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69247" w14:textId="77777777" w:rsidR="00C75AD4" w:rsidRPr="009C28F4" w:rsidRDefault="00811128">
      <w:pPr>
        <w:jc w:val="center"/>
        <w:rPr>
          <w:rFonts w:ascii="Times New Roman" w:eastAsia="Times New Roman" w:hAnsi="Times New Roman" w:cs="Times New Roman"/>
          <w:b/>
          <w:sz w:val="24"/>
          <w:szCs w:val="24"/>
        </w:rPr>
      </w:pPr>
      <w:bookmarkStart w:id="0" w:name="_Hlk216937910"/>
      <w:r w:rsidRPr="009C28F4">
        <w:rPr>
          <w:rFonts w:ascii="Times New Roman" w:eastAsia="Times New Roman" w:hAnsi="Times New Roman" w:cs="Times New Roman"/>
          <w:b/>
          <w:sz w:val="24"/>
          <w:szCs w:val="24"/>
        </w:rPr>
        <w:t>A microcosm study of effects of Atrazine and Dichlorvos on microbial biomass carbon (MB-C), nitrogen (MB-N), phosphorus (MB-P), microorganisms and snails in soil</w:t>
      </w:r>
    </w:p>
    <w:p w14:paraId="78F67E6A" w14:textId="77777777" w:rsidR="00C75AD4" w:rsidRPr="009C28F4" w:rsidRDefault="00C75AD4">
      <w:pPr>
        <w:jc w:val="both"/>
        <w:rPr>
          <w:rFonts w:ascii="Times New Roman" w:eastAsia="Times New Roman" w:hAnsi="Times New Roman" w:cs="Times New Roman"/>
          <w:b/>
          <w:bCs/>
          <w:sz w:val="24"/>
          <w:szCs w:val="24"/>
        </w:rPr>
      </w:pPr>
    </w:p>
    <w:p w14:paraId="48ACBA3E" w14:textId="4073C956" w:rsidR="0017204E" w:rsidRDefault="0017204E">
      <w:pPr>
        <w:spacing w:line="276" w:lineRule="auto"/>
        <w:jc w:val="both"/>
        <w:rPr>
          <w:rFonts w:ascii="Times New Roman" w:eastAsia="Arial" w:hAnsi="Times New Roman" w:cs="Times New Roman"/>
          <w:sz w:val="24"/>
          <w:szCs w:val="24"/>
        </w:rPr>
      </w:pPr>
    </w:p>
    <w:p w14:paraId="34FFB3B2" w14:textId="77777777" w:rsidR="00AA32F9" w:rsidRPr="009C28F4" w:rsidRDefault="00AA32F9">
      <w:pPr>
        <w:spacing w:line="276" w:lineRule="auto"/>
        <w:jc w:val="both"/>
        <w:rPr>
          <w:rFonts w:ascii="Times New Roman" w:eastAsia="Arial" w:hAnsi="Times New Roman" w:cs="Times New Roman"/>
          <w:sz w:val="24"/>
          <w:szCs w:val="24"/>
        </w:rPr>
      </w:pPr>
      <w:bookmarkStart w:id="1" w:name="_GoBack"/>
      <w:bookmarkEnd w:id="1"/>
    </w:p>
    <w:p w14:paraId="7178A8B0" w14:textId="77777777" w:rsidR="00C75AD4" w:rsidRPr="009C28F4" w:rsidRDefault="00811128">
      <w:pPr>
        <w:spacing w:line="276" w:lineRule="auto"/>
        <w:jc w:val="both"/>
        <w:rPr>
          <w:rFonts w:ascii="Times New Roman" w:eastAsia="Arial" w:hAnsi="Times New Roman" w:cs="Times New Roman"/>
          <w:sz w:val="24"/>
          <w:szCs w:val="24"/>
        </w:rPr>
      </w:pPr>
      <w:r w:rsidRPr="00360E6A">
        <w:rPr>
          <w:rFonts w:ascii="Times New Roman" w:eastAsia="Arial" w:hAnsi="Times New Roman" w:cs="Times New Roman"/>
          <w:b/>
          <w:sz w:val="24"/>
          <w:szCs w:val="24"/>
        </w:rPr>
        <w:t>Abstract</w:t>
      </w:r>
    </w:p>
    <w:p w14:paraId="3CEC6B70" w14:textId="77777777" w:rsidR="00C75AD4" w:rsidRPr="009C28F4" w:rsidRDefault="00811128" w:rsidP="005F03B9">
      <w:pPr>
        <w:spacing w:before="100" w:beforeAutospacing="1" w:after="100" w:afterAutospacing="1" w:line="276" w:lineRule="auto"/>
        <w:jc w:val="both"/>
        <w:rPr>
          <w:rFonts w:ascii="Times New Roman" w:eastAsia="Times New Roman" w:hAnsi="Times New Roman" w:cs="Times New Roman"/>
          <w:sz w:val="24"/>
          <w:szCs w:val="24"/>
        </w:rPr>
      </w:pPr>
      <w:r w:rsidRPr="009C28F4">
        <w:rPr>
          <w:rFonts w:ascii="Times New Roman" w:eastAsia="Times New Roman" w:hAnsi="Times New Roman" w:cs="Times New Roman"/>
          <w:sz w:val="24"/>
          <w:szCs w:val="24"/>
        </w:rPr>
        <w:t>This study assessed the effects of Atrazine and Dichlorvos on microbial biomass carbon (MB-C), nitrogen (MB-N), phosphorus (MB-P), soil microbial populations, and snail toxicity in a controlled microcosm environment. Surface soils (0–15 cm) from pesticide-free plots at the Federal University of Petroleum Resources, Effurun, Nigeria, were collected, chara</w:t>
      </w:r>
      <w:r w:rsidR="00471BCB" w:rsidRPr="009C28F4">
        <w:rPr>
          <w:rFonts w:ascii="Times New Roman" w:eastAsia="Times New Roman" w:hAnsi="Times New Roman" w:cs="Times New Roman"/>
          <w:sz w:val="24"/>
          <w:szCs w:val="24"/>
        </w:rPr>
        <w:t>cterized, and exposed to manufacturer</w:t>
      </w:r>
      <w:r w:rsidRPr="009C28F4">
        <w:rPr>
          <w:rFonts w:ascii="Times New Roman" w:eastAsia="Times New Roman" w:hAnsi="Times New Roman" w:cs="Times New Roman"/>
          <w:sz w:val="24"/>
          <w:szCs w:val="24"/>
        </w:rPr>
        <w:t xml:space="preserve">-recommended doses of Atrazine and Dichlorvos over an eight-week period. </w:t>
      </w:r>
      <w:r w:rsidR="00E6301D" w:rsidRPr="009C28F4">
        <w:rPr>
          <w:rFonts w:ascii="Times New Roman" w:eastAsia="Arial" w:hAnsi="Times New Roman" w:cs="Times New Roman"/>
          <w:sz w:val="24"/>
          <w:szCs w:val="24"/>
        </w:rPr>
        <w:t xml:space="preserve">Samples from the pesticides contaminated soil as well as the unpolluted soil (control), and were assessed for their effects on organic carbon, microbial biomass carbon (MB-C), nitrogen (MB-N), phosphorus (MB-P) and snails. Also, microbial population (determined by aerobic spread plate count) of the pesticide-polluted soils was ascertained. The assessments were done </w:t>
      </w:r>
      <w:r w:rsidR="003A6545" w:rsidRPr="009C28F4">
        <w:rPr>
          <w:rFonts w:ascii="Times New Roman" w:eastAsia="Arial" w:hAnsi="Times New Roman" w:cs="Times New Roman"/>
          <w:sz w:val="24"/>
          <w:szCs w:val="24"/>
        </w:rPr>
        <w:t>weekly.</w:t>
      </w:r>
      <w:r w:rsidR="003A6545" w:rsidRPr="009C28F4">
        <w:rPr>
          <w:rFonts w:ascii="Times New Roman" w:eastAsia="Times New Roman" w:hAnsi="Times New Roman" w:cs="Times New Roman"/>
          <w:sz w:val="24"/>
          <w:szCs w:val="24"/>
        </w:rPr>
        <w:t xml:space="preserve"> The</w:t>
      </w:r>
      <w:r w:rsidRPr="009C28F4">
        <w:rPr>
          <w:rFonts w:ascii="Times New Roman" w:eastAsia="Times New Roman" w:hAnsi="Times New Roman" w:cs="Times New Roman"/>
          <w:sz w:val="24"/>
          <w:szCs w:val="24"/>
        </w:rPr>
        <w:t xml:space="preserve"> initial soil was moderately acidic (pH 6.70), with total organic carbon of 3.316%, total nitrogen of 0.3029%, and phosphate and nitrate levels at 26.32 mg/kg and 36.28 mg/kg, respectively. Microbial populations included total h</w:t>
      </w:r>
      <w:r w:rsidR="00E6301D" w:rsidRPr="009C28F4">
        <w:rPr>
          <w:rFonts w:ascii="Times New Roman" w:eastAsia="Times New Roman" w:hAnsi="Times New Roman" w:cs="Times New Roman"/>
          <w:sz w:val="24"/>
          <w:szCs w:val="24"/>
        </w:rPr>
        <w:t xml:space="preserve">eterotrophic bacteria </w:t>
      </w:r>
      <w:r w:rsidR="00C617CB" w:rsidRPr="009C28F4">
        <w:rPr>
          <w:rFonts w:ascii="Times New Roman" w:eastAsia="Times New Roman" w:hAnsi="Times New Roman" w:cs="Times New Roman"/>
          <w:sz w:val="24"/>
          <w:szCs w:val="24"/>
        </w:rPr>
        <w:t xml:space="preserve">6.30 × 10⁷ CFU/g </w:t>
      </w:r>
      <w:r w:rsidR="00E6301D" w:rsidRPr="009C28F4">
        <w:rPr>
          <w:rFonts w:ascii="Times New Roman" w:eastAsia="Times New Roman" w:hAnsi="Times New Roman" w:cs="Times New Roman"/>
          <w:sz w:val="24"/>
          <w:szCs w:val="24"/>
        </w:rPr>
        <w:t xml:space="preserve">and </w:t>
      </w:r>
      <w:r w:rsidRPr="009C28F4">
        <w:rPr>
          <w:rFonts w:ascii="Times New Roman" w:eastAsia="Times New Roman" w:hAnsi="Times New Roman" w:cs="Times New Roman"/>
          <w:sz w:val="24"/>
          <w:szCs w:val="24"/>
        </w:rPr>
        <w:t>fungi</w:t>
      </w:r>
      <w:r w:rsidR="00C617CB" w:rsidRPr="009C28F4">
        <w:rPr>
          <w:rFonts w:ascii="Times New Roman" w:eastAsia="Times New Roman" w:hAnsi="Times New Roman" w:cs="Times New Roman"/>
          <w:sz w:val="24"/>
          <w:szCs w:val="24"/>
        </w:rPr>
        <w:t xml:space="preserve"> 1.41 × 10⁵ CFU/g</w:t>
      </w:r>
      <w:r w:rsidRPr="009C28F4">
        <w:rPr>
          <w:rFonts w:ascii="Times New Roman" w:eastAsia="Times New Roman" w:hAnsi="Times New Roman" w:cs="Times New Roman"/>
          <w:sz w:val="24"/>
          <w:szCs w:val="24"/>
        </w:rPr>
        <w:t xml:space="preserve">. Both pesticides caused an initial decline in MB-C, MB-N, and MB-P within the first two weeks. </w:t>
      </w:r>
      <w:r w:rsidR="007F1D86" w:rsidRPr="009C28F4">
        <w:rPr>
          <w:rFonts w:ascii="Times New Roman" w:eastAsia="Times New Roman" w:hAnsi="Times New Roman" w:cs="Times New Roman"/>
          <w:sz w:val="24"/>
          <w:szCs w:val="24"/>
        </w:rPr>
        <w:t xml:space="preserve">By Day 28, MB-C </w:t>
      </w:r>
      <w:r w:rsidRPr="009C28F4">
        <w:rPr>
          <w:rFonts w:ascii="Times New Roman" w:eastAsia="Times New Roman" w:hAnsi="Times New Roman" w:cs="Times New Roman"/>
          <w:sz w:val="24"/>
          <w:szCs w:val="24"/>
        </w:rPr>
        <w:t xml:space="preserve">reached 293 µg/g, surpassing the control (273 µg/g); MB-N peaked at 18.5 µg/g (control: 17.2 µg/g); and MB-P increased to 11.4 µg/g compared to the control's 10.6 µg/g. Atrazine and Dichlorvos also affected microbial counts, with a reduction observed in phosphate-solubilizing bacteria and actinomycetes. Acute toxicity tests with </w:t>
      </w:r>
      <w:r w:rsidRPr="009C28F4">
        <w:rPr>
          <w:rFonts w:ascii="Times New Roman" w:eastAsia="Times New Roman" w:hAnsi="Times New Roman" w:cs="Times New Roman"/>
          <w:i/>
          <w:iCs/>
          <w:sz w:val="24"/>
          <w:szCs w:val="24"/>
        </w:rPr>
        <w:t xml:space="preserve">Helix </w:t>
      </w:r>
      <w:proofErr w:type="spellStart"/>
      <w:r w:rsidRPr="009C28F4">
        <w:rPr>
          <w:rFonts w:ascii="Times New Roman" w:eastAsia="Times New Roman" w:hAnsi="Times New Roman" w:cs="Times New Roman"/>
          <w:i/>
          <w:iCs/>
          <w:sz w:val="24"/>
          <w:szCs w:val="24"/>
        </w:rPr>
        <w:t>aspersa</w:t>
      </w:r>
      <w:proofErr w:type="spellEnd"/>
      <w:r w:rsidRPr="009C28F4">
        <w:rPr>
          <w:rFonts w:ascii="Times New Roman" w:eastAsia="Times New Roman" w:hAnsi="Times New Roman" w:cs="Times New Roman"/>
          <w:sz w:val="24"/>
          <w:szCs w:val="24"/>
        </w:rPr>
        <w:t xml:space="preserve"> revealed that Dichlorvos had an LC₅₀ of 1.13 mg/kg, indicating significantly higher toxicity than Atrazine, which had an LC₅₀ of 10.04 mg/kg. The narrow mortality response range of Dichlorvos reflects its potent ecotoxicological impact on non-target soil invertebrates. The findings demonstrate the differential effects of pesticide classes on soil microbial dynamics and soil-dwelling organisms and underscore the need for ecologically safer pest management strategies.</w:t>
      </w:r>
    </w:p>
    <w:p w14:paraId="54E27922" w14:textId="77777777" w:rsidR="00C75AD4" w:rsidRPr="009C28F4" w:rsidRDefault="00811128" w:rsidP="00D21E87">
      <w:pPr>
        <w:jc w:val="both"/>
        <w:outlineLvl w:val="0"/>
        <w:rPr>
          <w:rFonts w:ascii="Times New Roman" w:eastAsia="Times New Roman" w:hAnsi="Times New Roman" w:cs="Times New Roman"/>
          <w:sz w:val="24"/>
          <w:szCs w:val="24"/>
        </w:rPr>
      </w:pPr>
      <w:r w:rsidRPr="009C28F4">
        <w:rPr>
          <w:rFonts w:ascii="Times New Roman" w:eastAsia="Times New Roman" w:hAnsi="Times New Roman" w:cs="Times New Roman"/>
          <w:sz w:val="24"/>
          <w:szCs w:val="24"/>
        </w:rPr>
        <w:t xml:space="preserve">Keywords: </w:t>
      </w:r>
      <w:r w:rsidRPr="009C28F4">
        <w:rPr>
          <w:rFonts w:ascii="Times New Roman" w:eastAsia="Times New Roman" w:hAnsi="Times New Roman" w:cs="Times New Roman"/>
          <w:iCs/>
          <w:sz w:val="24"/>
          <w:szCs w:val="24"/>
        </w:rPr>
        <w:t>Microbial biomass, soil quality, microbial counts, s</w:t>
      </w:r>
      <w:r w:rsidRPr="009C28F4">
        <w:rPr>
          <w:rFonts w:ascii="Times New Roman" w:eastAsia="Arial" w:hAnsi="Times New Roman" w:cs="Times New Roman"/>
          <w:sz w:val="24"/>
          <w:szCs w:val="24"/>
        </w:rPr>
        <w:t>n</w:t>
      </w:r>
      <w:r w:rsidRPr="009C28F4">
        <w:rPr>
          <w:rFonts w:ascii="Times New Roman" w:eastAsia="Times New Roman" w:hAnsi="Times New Roman" w:cs="Times New Roman"/>
          <w:iCs/>
          <w:sz w:val="24"/>
          <w:szCs w:val="24"/>
        </w:rPr>
        <w:t>ails, Atrazine, Dichlorvos</w:t>
      </w:r>
    </w:p>
    <w:p w14:paraId="0F4DF834" w14:textId="77777777" w:rsidR="005F03B9" w:rsidRPr="009C28F4" w:rsidRDefault="005F03B9">
      <w:pPr>
        <w:spacing w:after="0" w:line="240" w:lineRule="auto"/>
        <w:rPr>
          <w:rFonts w:ascii="Times New Roman" w:hAnsi="Times New Roman" w:cs="Times New Roman"/>
          <w:b/>
          <w:sz w:val="24"/>
          <w:szCs w:val="24"/>
        </w:rPr>
      </w:pPr>
      <w:r w:rsidRPr="009C28F4">
        <w:rPr>
          <w:rFonts w:ascii="Times New Roman" w:hAnsi="Times New Roman" w:cs="Times New Roman"/>
          <w:b/>
          <w:sz w:val="24"/>
          <w:szCs w:val="24"/>
        </w:rPr>
        <w:br w:type="page"/>
      </w:r>
    </w:p>
    <w:p w14:paraId="3D37971E" w14:textId="77777777" w:rsidR="00C75AD4" w:rsidRPr="009C28F4" w:rsidRDefault="00811128" w:rsidP="00D21E87">
      <w:pPr>
        <w:outlineLvl w:val="0"/>
        <w:rPr>
          <w:rFonts w:ascii="Times New Roman" w:hAnsi="Times New Roman" w:cs="Times New Roman"/>
          <w:b/>
          <w:sz w:val="24"/>
          <w:szCs w:val="24"/>
        </w:rPr>
      </w:pPr>
      <w:r w:rsidRPr="009C28F4">
        <w:rPr>
          <w:rFonts w:ascii="Times New Roman" w:hAnsi="Times New Roman" w:cs="Times New Roman"/>
          <w:b/>
          <w:sz w:val="24"/>
          <w:szCs w:val="24"/>
        </w:rPr>
        <w:lastRenderedPageBreak/>
        <w:t>1.  Introduction</w:t>
      </w:r>
    </w:p>
    <w:p w14:paraId="18AD2488" w14:textId="77777777" w:rsidR="00C75AD4" w:rsidRPr="009C28F4" w:rsidRDefault="00811128">
      <w:pPr>
        <w:spacing w:line="360" w:lineRule="auto"/>
        <w:ind w:firstLine="720"/>
        <w:jc w:val="both"/>
        <w:rPr>
          <w:rFonts w:ascii="Times New Roman" w:hAnsi="Times New Roman" w:cs="Times New Roman"/>
          <w:sz w:val="24"/>
          <w:szCs w:val="24"/>
        </w:rPr>
      </w:pPr>
      <w:r w:rsidRPr="009C28F4">
        <w:rPr>
          <w:rFonts w:ascii="Times New Roman" w:hAnsi="Times New Roman" w:cs="Times New Roman"/>
          <w:sz w:val="24"/>
          <w:szCs w:val="24"/>
        </w:rPr>
        <w:t>The intensification of agricultural activities has led to the extensive use of pesticides and herbicides, many of which persist in the environment and exert deleterious effects on non-target organisms. Among these agrochemicals, Atrazine, a triazine herbicide, and Dichlorvos, an organophosphate insecticide, are widely applied due to their effectiveness in controlling weeds and pests, respectively (</w:t>
      </w:r>
      <w:r w:rsidR="005F03B9" w:rsidRPr="009C28F4">
        <w:rPr>
          <w:rFonts w:ascii="Times New Roman" w:hAnsi="Times New Roman" w:cs="Times New Roman"/>
          <w:sz w:val="24"/>
          <w:szCs w:val="24"/>
        </w:rPr>
        <w:t xml:space="preserve">Adediran et al., 2020; </w:t>
      </w:r>
      <w:r w:rsidR="00284E97" w:rsidRPr="009F57C0">
        <w:rPr>
          <w:rFonts w:ascii="Times New Roman" w:hAnsi="Times New Roman" w:cs="Times New Roman"/>
          <w:sz w:val="24"/>
          <w:szCs w:val="24"/>
        </w:rPr>
        <w:t>Tudi et al., 2021</w:t>
      </w:r>
      <w:r w:rsidRPr="009C28F4">
        <w:rPr>
          <w:rFonts w:ascii="Times New Roman" w:hAnsi="Times New Roman" w:cs="Times New Roman"/>
          <w:sz w:val="24"/>
          <w:szCs w:val="24"/>
        </w:rPr>
        <w:t>). However, their widespread usage raises ecological concerns, particularly regarding soil health and biodiversity. Soils are not only physical supports for plants but also dynamic ecosystems that host a vast diversity of microbial communities and invertebrates such as snails, which play critical roles in nutrient cycling and organic matter decomposition (</w:t>
      </w:r>
      <w:r w:rsidR="00517677" w:rsidRPr="009F57C0">
        <w:rPr>
          <w:rFonts w:ascii="Times New Roman" w:hAnsi="Times New Roman" w:cs="Times New Roman"/>
          <w:color w:val="1B1B1B"/>
          <w:sz w:val="24"/>
          <w:szCs w:val="24"/>
          <w:shd w:val="clear" w:color="auto" w:fill="FFFFFF"/>
        </w:rPr>
        <w:t>Thiele-Bruhn</w:t>
      </w:r>
      <w:r w:rsidR="009C28F4" w:rsidRPr="009F57C0">
        <w:rPr>
          <w:rFonts w:ascii="Times New Roman" w:hAnsi="Times New Roman" w:cs="Times New Roman"/>
          <w:color w:val="1B1B1B"/>
          <w:sz w:val="24"/>
          <w:szCs w:val="24"/>
          <w:shd w:val="clear" w:color="auto" w:fill="FFFFFF"/>
        </w:rPr>
        <w:t>,</w:t>
      </w:r>
      <w:r w:rsidR="00517677" w:rsidRPr="009F57C0">
        <w:rPr>
          <w:rFonts w:ascii="Times New Roman" w:hAnsi="Times New Roman" w:cs="Times New Roman"/>
          <w:color w:val="1B1B1B"/>
          <w:sz w:val="24"/>
          <w:szCs w:val="24"/>
          <w:shd w:val="clear" w:color="auto" w:fill="FFFFFF"/>
        </w:rPr>
        <w:t xml:space="preserve"> </w:t>
      </w:r>
      <w:r w:rsidR="00284E97" w:rsidRPr="009F57C0">
        <w:rPr>
          <w:rFonts w:ascii="Times New Roman" w:hAnsi="Times New Roman" w:cs="Times New Roman"/>
          <w:color w:val="1B1B1B"/>
          <w:sz w:val="24"/>
          <w:szCs w:val="24"/>
          <w:shd w:val="clear" w:color="auto" w:fill="FFFFFF"/>
        </w:rPr>
        <w:t>2021</w:t>
      </w:r>
      <w:r w:rsidR="00517677" w:rsidRPr="009F57C0">
        <w:rPr>
          <w:rFonts w:ascii="Times New Roman" w:hAnsi="Times New Roman" w:cs="Times New Roman"/>
          <w:color w:val="1B1B1B"/>
          <w:sz w:val="24"/>
          <w:szCs w:val="24"/>
          <w:shd w:val="clear" w:color="auto" w:fill="FFFFFF"/>
        </w:rPr>
        <w:t>)</w:t>
      </w:r>
      <w:r w:rsidRPr="009F57C0">
        <w:rPr>
          <w:rFonts w:ascii="Times New Roman" w:hAnsi="Times New Roman" w:cs="Times New Roman"/>
          <w:sz w:val="24"/>
          <w:szCs w:val="24"/>
        </w:rPr>
        <w:t>.</w:t>
      </w:r>
    </w:p>
    <w:p w14:paraId="455F2596" w14:textId="3F268AB7" w:rsidR="00C75AD4" w:rsidRDefault="00811128" w:rsidP="00114678">
      <w:pPr>
        <w:spacing w:line="360" w:lineRule="auto"/>
        <w:ind w:firstLine="720"/>
        <w:jc w:val="both"/>
        <w:rPr>
          <w:rFonts w:ascii="Times New Roman" w:hAnsi="Times New Roman" w:cs="Times New Roman"/>
          <w:color w:val="1B1B1B"/>
          <w:sz w:val="24"/>
          <w:szCs w:val="24"/>
          <w:shd w:val="clear" w:color="auto" w:fill="FFFFFF"/>
        </w:rPr>
      </w:pPr>
      <w:r w:rsidRPr="009C28F4">
        <w:rPr>
          <w:rFonts w:ascii="Times New Roman" w:hAnsi="Times New Roman" w:cs="Times New Roman"/>
          <w:sz w:val="24"/>
          <w:szCs w:val="24"/>
        </w:rPr>
        <w:t>Soil microorganisms contribute significantly to ecosystem functioning through processes such as organic matter mineralization, nitrogen fixation, and phosphorus solubilization. Microbial biomass carbon (MB-C), nitrogen (MB-N), and phosphorus (MB-P) are key indicators of microbial activity and soil fertility (</w:t>
      </w:r>
      <w:r w:rsidR="00517677" w:rsidRPr="009C28F4">
        <w:rPr>
          <w:rFonts w:ascii="Times New Roman" w:hAnsi="Times New Roman" w:cs="Times New Roman"/>
          <w:color w:val="1B1B1B"/>
          <w:sz w:val="24"/>
          <w:szCs w:val="24"/>
          <w:shd w:val="clear" w:color="auto" w:fill="FFFFFF"/>
        </w:rPr>
        <w:t xml:space="preserve">Daunoras </w:t>
      </w:r>
      <w:r w:rsidR="009C28F4">
        <w:rPr>
          <w:rFonts w:ascii="Times New Roman" w:hAnsi="Times New Roman" w:cs="Times New Roman"/>
          <w:color w:val="1B1B1B"/>
          <w:sz w:val="24"/>
          <w:szCs w:val="24"/>
          <w:shd w:val="clear" w:color="auto" w:fill="FFFFFF"/>
        </w:rPr>
        <w:t>et al.,</w:t>
      </w:r>
      <w:r w:rsidR="006A4654" w:rsidRPr="009C28F4">
        <w:rPr>
          <w:rFonts w:ascii="Times New Roman" w:hAnsi="Times New Roman" w:cs="Times New Roman"/>
          <w:color w:val="1B1B1B"/>
          <w:sz w:val="24"/>
          <w:szCs w:val="24"/>
          <w:shd w:val="clear" w:color="auto" w:fill="FFFFFF"/>
        </w:rPr>
        <w:t xml:space="preserve"> </w:t>
      </w:r>
      <w:r w:rsidR="00517677" w:rsidRPr="009C28F4">
        <w:rPr>
          <w:rFonts w:ascii="Times New Roman" w:hAnsi="Times New Roman" w:cs="Times New Roman"/>
          <w:color w:val="1B1B1B"/>
          <w:sz w:val="24"/>
          <w:szCs w:val="24"/>
          <w:shd w:val="clear" w:color="auto" w:fill="FFFFFF"/>
        </w:rPr>
        <w:t>2024)</w:t>
      </w:r>
      <w:r w:rsidR="009C28F4" w:rsidRPr="009C28F4">
        <w:rPr>
          <w:rFonts w:ascii="Times New Roman" w:hAnsi="Times New Roman" w:cs="Times New Roman"/>
          <w:color w:val="1B1B1B"/>
          <w:sz w:val="24"/>
          <w:szCs w:val="24"/>
          <w:shd w:val="clear" w:color="auto" w:fill="FFFFFF"/>
        </w:rPr>
        <w:t>.</w:t>
      </w:r>
      <w:r w:rsidR="00517677" w:rsidRPr="009C28F4">
        <w:rPr>
          <w:rFonts w:ascii="Times New Roman" w:hAnsi="Times New Roman" w:cs="Times New Roman"/>
          <w:color w:val="1B1B1B"/>
          <w:sz w:val="24"/>
          <w:szCs w:val="24"/>
          <w:shd w:val="clear" w:color="auto" w:fill="FFFFFF"/>
        </w:rPr>
        <w:t xml:space="preserve"> </w:t>
      </w:r>
      <w:r w:rsidRPr="009C28F4">
        <w:rPr>
          <w:rFonts w:ascii="Times New Roman" w:hAnsi="Times New Roman" w:cs="Times New Roman"/>
          <w:sz w:val="24"/>
          <w:szCs w:val="24"/>
        </w:rPr>
        <w:t>These parameters are sensitive to environmental disturbances, including chemical contamination. Atrazine and Dichlorvos are known to interfere with enzymatic functions, cell membrane integrity, and metabolic pathways in microorganisms, leading to altered community structures and reduced microbia</w:t>
      </w:r>
      <w:r w:rsidR="0050225F" w:rsidRPr="009C28F4">
        <w:rPr>
          <w:rFonts w:ascii="Times New Roman" w:hAnsi="Times New Roman" w:cs="Times New Roman"/>
          <w:sz w:val="24"/>
          <w:szCs w:val="24"/>
        </w:rPr>
        <w:t>l biomass (</w:t>
      </w:r>
      <w:r w:rsidR="00114678">
        <w:rPr>
          <w:rFonts w:ascii="Times New Roman" w:hAnsi="Times New Roman" w:cs="Times New Roman"/>
          <w:sz w:val="24"/>
          <w:szCs w:val="24"/>
        </w:rPr>
        <w:t>de Souza</w:t>
      </w:r>
      <w:r w:rsidR="0050225F" w:rsidRPr="009C28F4">
        <w:rPr>
          <w:rFonts w:ascii="Times New Roman" w:hAnsi="Times New Roman" w:cs="Times New Roman"/>
          <w:sz w:val="24"/>
          <w:szCs w:val="24"/>
        </w:rPr>
        <w:t xml:space="preserve"> et al., 202</w:t>
      </w:r>
      <w:r w:rsidR="00114678">
        <w:rPr>
          <w:rFonts w:ascii="Times New Roman" w:hAnsi="Times New Roman" w:cs="Times New Roman"/>
          <w:sz w:val="24"/>
          <w:szCs w:val="24"/>
        </w:rPr>
        <w:t>2</w:t>
      </w:r>
      <w:r w:rsidRPr="009C28F4">
        <w:rPr>
          <w:rFonts w:ascii="Times New Roman" w:hAnsi="Times New Roman" w:cs="Times New Roman"/>
          <w:sz w:val="24"/>
          <w:szCs w:val="24"/>
        </w:rPr>
        <w:t>). Furthermore, terrestrial gastropods such as snails, which are integral to litter breakdown and calcium cycling, are also susceptible to the sub-lethal and lethal effects of these chemicals (</w:t>
      </w:r>
      <w:proofErr w:type="spellStart"/>
      <w:r w:rsidR="00114678">
        <w:rPr>
          <w:rFonts w:ascii="Times New Roman" w:hAnsi="Times New Roman" w:cs="Times New Roman"/>
          <w:color w:val="1B1B1B"/>
          <w:sz w:val="24"/>
          <w:szCs w:val="24"/>
          <w:shd w:val="clear" w:color="auto" w:fill="FFFFFF"/>
        </w:rPr>
        <w:t>Gordilla</w:t>
      </w:r>
      <w:proofErr w:type="spellEnd"/>
      <w:r w:rsidR="00114678">
        <w:rPr>
          <w:rFonts w:ascii="Times New Roman" w:hAnsi="Times New Roman" w:cs="Times New Roman"/>
          <w:color w:val="1B1B1B"/>
          <w:sz w:val="24"/>
          <w:szCs w:val="24"/>
          <w:shd w:val="clear" w:color="auto" w:fill="FFFFFF"/>
        </w:rPr>
        <w:t>-Perez, et al., 2026</w:t>
      </w:r>
      <w:r w:rsidR="00174FD3" w:rsidRPr="009C28F4">
        <w:rPr>
          <w:rFonts w:ascii="Times New Roman" w:hAnsi="Times New Roman" w:cs="Times New Roman"/>
          <w:color w:val="1B1B1B"/>
          <w:sz w:val="24"/>
          <w:szCs w:val="24"/>
          <w:shd w:val="clear" w:color="auto" w:fill="FFFFFF"/>
        </w:rPr>
        <w:t>).</w:t>
      </w:r>
    </w:p>
    <w:p w14:paraId="77C19D7C" w14:textId="77777777" w:rsidR="00114678" w:rsidRPr="00114678" w:rsidRDefault="00114678" w:rsidP="00114678">
      <w:pPr>
        <w:spacing w:line="360" w:lineRule="auto"/>
        <w:jc w:val="both"/>
        <w:rPr>
          <w:rFonts w:ascii="Times New Roman" w:hAnsi="Times New Roman" w:cs="Times New Roman"/>
          <w:color w:val="1B1B1B"/>
          <w:sz w:val="24"/>
          <w:szCs w:val="24"/>
          <w:shd w:val="clear" w:color="auto" w:fill="FFFFFF"/>
        </w:rPr>
      </w:pPr>
    </w:p>
    <w:p w14:paraId="6E31BD76" w14:textId="77777777" w:rsidR="00C75AD4" w:rsidRPr="009C28F4" w:rsidRDefault="00811128">
      <w:pPr>
        <w:spacing w:line="360" w:lineRule="auto"/>
        <w:ind w:firstLine="720"/>
        <w:jc w:val="both"/>
        <w:rPr>
          <w:rFonts w:ascii="Times New Roman" w:hAnsi="Times New Roman" w:cs="Times New Roman"/>
          <w:sz w:val="24"/>
          <w:szCs w:val="24"/>
        </w:rPr>
      </w:pPr>
      <w:r w:rsidRPr="009C28F4">
        <w:rPr>
          <w:rFonts w:ascii="Times New Roman" w:hAnsi="Times New Roman" w:cs="Times New Roman"/>
          <w:sz w:val="24"/>
          <w:szCs w:val="24"/>
        </w:rPr>
        <w:t>Microcosm studies offer a controlled experimental approach for evaluating the ecological impacts of xenobiotics on soil systems. They allow for the simultaneous assessment of multiple biological endpoints, including microbial functional indices and invertebrate health, under near-natural conditions. Although several studies have examined the individual impacts of pesticides on microbial or invertebrate communities, there remains limited integrated analysis of their combined effects on microbial biomass indices and terrestrial snails within the same soil environment.</w:t>
      </w:r>
    </w:p>
    <w:p w14:paraId="053E4D22" w14:textId="77777777" w:rsidR="00C75AD4" w:rsidRPr="009C28F4" w:rsidRDefault="00811128">
      <w:pPr>
        <w:spacing w:line="360" w:lineRule="auto"/>
        <w:ind w:firstLine="720"/>
        <w:jc w:val="both"/>
        <w:rPr>
          <w:rFonts w:ascii="Times New Roman" w:hAnsi="Times New Roman" w:cs="Times New Roman"/>
          <w:sz w:val="24"/>
          <w:szCs w:val="24"/>
        </w:rPr>
      </w:pPr>
      <w:r w:rsidRPr="009C28F4">
        <w:rPr>
          <w:rFonts w:ascii="Times New Roman" w:hAnsi="Times New Roman" w:cs="Times New Roman"/>
          <w:sz w:val="24"/>
          <w:szCs w:val="24"/>
        </w:rPr>
        <w:t xml:space="preserve">This study, therefore, investigates the effects of Atrazine and Dichlorvos, applied singly and in combination, on microbial biomass carbon, nitrogen, phosphorus, microbial populations, and the survival and activity of snails in soil using a microcosm setup. The outcomes are expected to provide </w:t>
      </w:r>
      <w:r w:rsidRPr="009C28F4">
        <w:rPr>
          <w:rFonts w:ascii="Times New Roman" w:hAnsi="Times New Roman" w:cs="Times New Roman"/>
          <w:sz w:val="24"/>
          <w:szCs w:val="24"/>
        </w:rPr>
        <w:lastRenderedPageBreak/>
        <w:t>insight into the ecological risks posed by agrochemical co-contamination and contribute to improved guidelines for pesticide management and soil biodiversity conservation.</w:t>
      </w:r>
    </w:p>
    <w:p w14:paraId="4221CF2B" w14:textId="77777777" w:rsidR="00C75AD4" w:rsidRPr="009C28F4" w:rsidRDefault="00811128" w:rsidP="00D21E87">
      <w:pPr>
        <w:spacing w:after="0" w:line="360" w:lineRule="auto"/>
        <w:jc w:val="both"/>
        <w:outlineLvl w:val="0"/>
        <w:rPr>
          <w:rFonts w:ascii="Times New Roman" w:hAnsi="Times New Roman" w:cs="Times New Roman"/>
          <w:b/>
          <w:sz w:val="24"/>
          <w:szCs w:val="24"/>
        </w:rPr>
      </w:pPr>
      <w:r w:rsidRPr="009C28F4">
        <w:rPr>
          <w:rFonts w:ascii="Times New Roman" w:hAnsi="Times New Roman" w:cs="Times New Roman"/>
          <w:b/>
          <w:sz w:val="24"/>
          <w:szCs w:val="24"/>
        </w:rPr>
        <w:t>2. Materials and Methods</w:t>
      </w:r>
    </w:p>
    <w:p w14:paraId="261578D8" w14:textId="77777777" w:rsidR="00C75AD4" w:rsidRPr="009C28F4" w:rsidRDefault="00811128" w:rsidP="00D21E87">
      <w:pPr>
        <w:outlineLvl w:val="0"/>
        <w:rPr>
          <w:rFonts w:ascii="Times New Roman" w:hAnsi="Times New Roman" w:cs="Times New Roman"/>
          <w:b/>
          <w:sz w:val="24"/>
          <w:szCs w:val="24"/>
        </w:rPr>
      </w:pPr>
      <w:r w:rsidRPr="009C28F4">
        <w:rPr>
          <w:rFonts w:ascii="Times New Roman" w:hAnsi="Times New Roman" w:cs="Times New Roman"/>
          <w:b/>
          <w:sz w:val="24"/>
          <w:szCs w:val="24"/>
        </w:rPr>
        <w:t>2.1 Study Area and Soil Collection</w:t>
      </w:r>
    </w:p>
    <w:p w14:paraId="20C9B03E" w14:textId="77777777" w:rsidR="00C75AD4" w:rsidRPr="009C28F4" w:rsidRDefault="00811128">
      <w:pPr>
        <w:pStyle w:val="NormalWeb"/>
        <w:spacing w:before="0" w:beforeAutospacing="0" w:after="0" w:afterAutospacing="0" w:line="360" w:lineRule="auto"/>
        <w:ind w:firstLine="720"/>
        <w:jc w:val="both"/>
      </w:pPr>
      <w:r w:rsidRPr="009C28F4">
        <w:t xml:space="preserve">The study was conducted at the Federal University of Petroleum Resources, Effurun, Delta State, </w:t>
      </w:r>
      <w:r w:rsidR="00C52659">
        <w:t>Nigeria (7°23′N; 3°51′E; 26.7</w:t>
      </w:r>
      <w:r w:rsidRPr="009C28F4">
        <w:t>). The site lies within the tropical Niger Delta region, characterized by a humid climate with bimodal rainfall predominantly from June to September and mean annual temperatures ranging from 25.2°C to 28°C. The soils in the area are well-drained sandy loam at the surface, transitioning to loamy sand in the subsoil.</w:t>
      </w:r>
    </w:p>
    <w:p w14:paraId="747AEFB8" w14:textId="77777777" w:rsidR="00C75AD4" w:rsidRPr="009C28F4" w:rsidRDefault="00811128">
      <w:pPr>
        <w:pStyle w:val="NormalWeb"/>
        <w:spacing w:before="0" w:beforeAutospacing="0" w:after="0" w:afterAutospacing="0" w:line="360" w:lineRule="auto"/>
        <w:ind w:firstLine="720"/>
        <w:jc w:val="both"/>
      </w:pPr>
      <w:r w:rsidRPr="009C28F4">
        <w:t>Surface soils (0–15 cm) were collected from four ecologically similar, pesticide-free locations within the study area. At each location, multiple sub-samples were composited, cleaned of debris, air-dried, and sieved through a 2 mm mesh. The pooled soil was homogenized and stored under cool conditions prior to use.</w:t>
      </w:r>
    </w:p>
    <w:p w14:paraId="2B4B64B3" w14:textId="77777777" w:rsidR="00C75AD4" w:rsidRPr="009C28F4" w:rsidRDefault="00811128" w:rsidP="00D21E87">
      <w:pPr>
        <w:jc w:val="both"/>
        <w:outlineLvl w:val="0"/>
        <w:rPr>
          <w:rFonts w:ascii="Times New Roman" w:hAnsi="Times New Roman" w:cs="Times New Roman"/>
          <w:b/>
          <w:sz w:val="24"/>
          <w:szCs w:val="24"/>
        </w:rPr>
      </w:pPr>
      <w:r w:rsidRPr="009C28F4">
        <w:rPr>
          <w:rFonts w:ascii="Times New Roman" w:hAnsi="Times New Roman" w:cs="Times New Roman"/>
          <w:b/>
          <w:sz w:val="24"/>
          <w:szCs w:val="24"/>
        </w:rPr>
        <w:t>2.2 Test Chemicals and Treatment Setup</w:t>
      </w:r>
    </w:p>
    <w:p w14:paraId="0662EE70" w14:textId="77777777" w:rsidR="00C75AD4" w:rsidRPr="009C28F4" w:rsidRDefault="00811128">
      <w:pPr>
        <w:pStyle w:val="NormalWeb"/>
        <w:spacing w:before="0" w:beforeAutospacing="0" w:after="0" w:afterAutospacing="0" w:line="360" w:lineRule="auto"/>
        <w:ind w:firstLine="720"/>
        <w:jc w:val="both"/>
      </w:pPr>
      <w:r w:rsidRPr="009C28F4">
        <w:t>Two agrochemicals commonly used by local farmers were selected:</w:t>
      </w:r>
    </w:p>
    <w:p w14:paraId="1C61F623" w14:textId="77777777" w:rsidR="00C75AD4" w:rsidRPr="009C28F4" w:rsidRDefault="00811128">
      <w:pPr>
        <w:pStyle w:val="NormalWeb"/>
        <w:numPr>
          <w:ilvl w:val="0"/>
          <w:numId w:val="1"/>
        </w:numPr>
        <w:spacing w:before="0" w:beforeAutospacing="0" w:after="0" w:afterAutospacing="0" w:line="360" w:lineRule="auto"/>
        <w:jc w:val="both"/>
      </w:pPr>
      <w:r w:rsidRPr="009C28F4">
        <w:rPr>
          <w:rStyle w:val="Strong"/>
        </w:rPr>
        <w:t>Atrazine</w:t>
      </w:r>
      <w:r w:rsidRPr="009C28F4">
        <w:t xml:space="preserve"> (</w:t>
      </w:r>
      <w:proofErr w:type="spellStart"/>
      <w:r w:rsidRPr="009C28F4">
        <w:t>Gesaprim</w:t>
      </w:r>
      <w:proofErr w:type="spellEnd"/>
      <w:r w:rsidRPr="009C28F4">
        <w:t xml:space="preserve"> 90% W.G; C₈H₁₄</w:t>
      </w:r>
      <w:proofErr w:type="spellStart"/>
      <w:r w:rsidRPr="009C28F4">
        <w:t>ClN</w:t>
      </w:r>
      <w:proofErr w:type="spellEnd"/>
      <w:r w:rsidRPr="009C28F4">
        <w:t xml:space="preserve">₅): A selective systemic herbicide </w:t>
      </w:r>
      <w:r w:rsidR="001A4744" w:rsidRPr="009C28F4">
        <w:t xml:space="preserve">of the triazine class </w:t>
      </w:r>
      <w:r w:rsidRPr="009C28F4">
        <w:t>obtained from Syngenta.</w:t>
      </w:r>
    </w:p>
    <w:p w14:paraId="752C6013" w14:textId="77777777" w:rsidR="00C75AD4" w:rsidRPr="009C28F4" w:rsidRDefault="001A4744">
      <w:pPr>
        <w:pStyle w:val="NormalWeb"/>
        <w:numPr>
          <w:ilvl w:val="0"/>
          <w:numId w:val="1"/>
        </w:numPr>
        <w:spacing w:before="0" w:beforeAutospacing="0" w:after="0" w:afterAutospacing="0" w:line="360" w:lineRule="auto"/>
        <w:jc w:val="both"/>
      </w:pPr>
      <w:r w:rsidRPr="009C28F4">
        <w:t xml:space="preserve">Dichlorvos (Dimethyl 2,2-dichlorovinyl phosphate – DDVP; </w:t>
      </w:r>
      <w:proofErr w:type="spellStart"/>
      <w:r w:rsidRPr="009C28F4">
        <w:t>C₄H₇Cl₂O₄P</w:t>
      </w:r>
      <w:proofErr w:type="spellEnd"/>
      <w:r w:rsidRPr="009C28F4">
        <w:t>): A fast-acting organophosphate insecticide belonging to the organophosphate class, widely used for controlling household and agricultural pests</w:t>
      </w:r>
      <w:r w:rsidR="00811128" w:rsidRPr="009C28F4">
        <w:t>.</w:t>
      </w:r>
    </w:p>
    <w:p w14:paraId="426E9E0E" w14:textId="77777777" w:rsidR="00C75AD4" w:rsidRPr="009C28F4" w:rsidRDefault="00811128">
      <w:pPr>
        <w:pStyle w:val="NormalWeb"/>
        <w:spacing w:before="0" w:beforeAutospacing="0" w:after="0" w:afterAutospacing="0" w:line="360" w:lineRule="auto"/>
        <w:ind w:firstLine="720"/>
        <w:jc w:val="both"/>
      </w:pPr>
      <w:r w:rsidRPr="009C28F4">
        <w:t>The experiment was designed as a randomized block trial in pots (5 L capacity), each filled with 3 kg of soil. Treatments were applied at company-recommended field rates by spraying and monitored for 8 weeks. Each treatment was replicated in four blocks.</w:t>
      </w:r>
    </w:p>
    <w:p w14:paraId="28B26152" w14:textId="77777777" w:rsidR="00C75AD4" w:rsidRPr="009C28F4" w:rsidRDefault="00811128" w:rsidP="00D21E87">
      <w:pPr>
        <w:jc w:val="center"/>
        <w:outlineLvl w:val="0"/>
        <w:rPr>
          <w:rFonts w:ascii="Times New Roman" w:hAnsi="Times New Roman" w:cs="Times New Roman"/>
          <w:sz w:val="24"/>
          <w:szCs w:val="24"/>
        </w:rPr>
      </w:pPr>
      <w:r w:rsidRPr="009C28F4">
        <w:rPr>
          <w:rFonts w:ascii="Times New Roman" w:hAnsi="Times New Roman" w:cs="Times New Roman"/>
          <w:sz w:val="24"/>
          <w:szCs w:val="24"/>
        </w:rPr>
        <w:t>Table 1: Experimental Treatments</w:t>
      </w:r>
    </w:p>
    <w:tbl>
      <w:tblPr>
        <w:tblStyle w:val="TableGrid"/>
        <w:tblW w:w="0" w:type="auto"/>
        <w:jc w:val="center"/>
        <w:tblLook w:val="04A0" w:firstRow="1" w:lastRow="0" w:firstColumn="1" w:lastColumn="0" w:noHBand="0" w:noVBand="1"/>
      </w:tblPr>
      <w:tblGrid>
        <w:gridCol w:w="1903"/>
        <w:gridCol w:w="2323"/>
        <w:gridCol w:w="2282"/>
      </w:tblGrid>
      <w:tr w:rsidR="00C75AD4" w:rsidRPr="009C28F4" w14:paraId="4E347C83" w14:textId="77777777">
        <w:trPr>
          <w:jc w:val="center"/>
        </w:trPr>
        <w:tc>
          <w:tcPr>
            <w:tcW w:w="0" w:type="auto"/>
          </w:tcPr>
          <w:p w14:paraId="5E4C3F49" w14:textId="77777777" w:rsidR="00C75AD4" w:rsidRPr="009C28F4" w:rsidRDefault="00811128">
            <w:pPr>
              <w:spacing w:after="0" w:line="360" w:lineRule="auto"/>
              <w:jc w:val="both"/>
              <w:rPr>
                <w:rFonts w:ascii="Times New Roman" w:hAnsi="Times New Roman" w:cs="Times New Roman"/>
                <w:b/>
                <w:bCs/>
                <w:sz w:val="24"/>
                <w:szCs w:val="24"/>
              </w:rPr>
            </w:pPr>
            <w:r w:rsidRPr="009C28F4">
              <w:rPr>
                <w:rStyle w:val="Strong"/>
                <w:rFonts w:ascii="Times New Roman" w:hAnsi="Times New Roman" w:cs="Times New Roman"/>
                <w:sz w:val="24"/>
                <w:szCs w:val="24"/>
              </w:rPr>
              <w:t>Treatment Code</w:t>
            </w:r>
          </w:p>
        </w:tc>
        <w:tc>
          <w:tcPr>
            <w:tcW w:w="0" w:type="auto"/>
          </w:tcPr>
          <w:p w14:paraId="2E24ABB6" w14:textId="77777777" w:rsidR="00C75AD4" w:rsidRPr="009C28F4" w:rsidRDefault="00811128">
            <w:pPr>
              <w:spacing w:after="0" w:line="360" w:lineRule="auto"/>
              <w:jc w:val="both"/>
              <w:rPr>
                <w:rFonts w:ascii="Times New Roman" w:hAnsi="Times New Roman" w:cs="Times New Roman"/>
                <w:b/>
                <w:bCs/>
                <w:sz w:val="24"/>
                <w:szCs w:val="24"/>
              </w:rPr>
            </w:pPr>
            <w:r w:rsidRPr="009C28F4">
              <w:rPr>
                <w:rStyle w:val="Strong"/>
                <w:rFonts w:ascii="Times New Roman" w:hAnsi="Times New Roman" w:cs="Times New Roman"/>
                <w:sz w:val="24"/>
                <w:szCs w:val="24"/>
              </w:rPr>
              <w:t>Description</w:t>
            </w:r>
          </w:p>
        </w:tc>
        <w:tc>
          <w:tcPr>
            <w:tcW w:w="0" w:type="auto"/>
          </w:tcPr>
          <w:p w14:paraId="4FDC36F0" w14:textId="77777777" w:rsidR="00C75AD4" w:rsidRPr="009C28F4" w:rsidRDefault="00811128">
            <w:pPr>
              <w:spacing w:after="0" w:line="360" w:lineRule="auto"/>
              <w:jc w:val="both"/>
              <w:rPr>
                <w:rFonts w:ascii="Times New Roman" w:hAnsi="Times New Roman" w:cs="Times New Roman"/>
                <w:b/>
                <w:bCs/>
                <w:sz w:val="24"/>
                <w:szCs w:val="24"/>
              </w:rPr>
            </w:pPr>
            <w:r w:rsidRPr="009C28F4">
              <w:rPr>
                <w:rStyle w:val="Strong"/>
                <w:rFonts w:ascii="Times New Roman" w:hAnsi="Times New Roman" w:cs="Times New Roman"/>
                <w:sz w:val="24"/>
                <w:szCs w:val="24"/>
              </w:rPr>
              <w:t>Application Rate</w:t>
            </w:r>
          </w:p>
        </w:tc>
      </w:tr>
      <w:tr w:rsidR="00C75AD4" w:rsidRPr="009C28F4" w14:paraId="474632D5" w14:textId="77777777">
        <w:trPr>
          <w:jc w:val="center"/>
        </w:trPr>
        <w:tc>
          <w:tcPr>
            <w:tcW w:w="0" w:type="auto"/>
          </w:tcPr>
          <w:p w14:paraId="4E9999F0"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T0</w:t>
            </w:r>
          </w:p>
        </w:tc>
        <w:tc>
          <w:tcPr>
            <w:tcW w:w="0" w:type="auto"/>
          </w:tcPr>
          <w:p w14:paraId="75B358B0"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Control (no pesticide)</w:t>
            </w:r>
          </w:p>
        </w:tc>
        <w:tc>
          <w:tcPr>
            <w:tcW w:w="0" w:type="auto"/>
          </w:tcPr>
          <w:p w14:paraId="7C5E433B"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Deionized water only</w:t>
            </w:r>
          </w:p>
        </w:tc>
      </w:tr>
      <w:tr w:rsidR="00C75AD4" w:rsidRPr="009C28F4" w14:paraId="71C52361" w14:textId="77777777">
        <w:trPr>
          <w:jc w:val="center"/>
        </w:trPr>
        <w:tc>
          <w:tcPr>
            <w:tcW w:w="0" w:type="auto"/>
          </w:tcPr>
          <w:p w14:paraId="6B18EDB8"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T1</w:t>
            </w:r>
          </w:p>
        </w:tc>
        <w:tc>
          <w:tcPr>
            <w:tcW w:w="0" w:type="auto"/>
          </w:tcPr>
          <w:p w14:paraId="36648B9A"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Atrazine only</w:t>
            </w:r>
          </w:p>
        </w:tc>
        <w:tc>
          <w:tcPr>
            <w:tcW w:w="0" w:type="auto"/>
          </w:tcPr>
          <w:p w14:paraId="4A4C722E"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1 mg/kg soil</w:t>
            </w:r>
          </w:p>
        </w:tc>
      </w:tr>
      <w:tr w:rsidR="00C75AD4" w:rsidRPr="009C28F4" w14:paraId="0AA7823F" w14:textId="77777777">
        <w:trPr>
          <w:jc w:val="center"/>
        </w:trPr>
        <w:tc>
          <w:tcPr>
            <w:tcW w:w="0" w:type="auto"/>
          </w:tcPr>
          <w:p w14:paraId="32EB23D2"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T2</w:t>
            </w:r>
          </w:p>
        </w:tc>
        <w:tc>
          <w:tcPr>
            <w:tcW w:w="0" w:type="auto"/>
          </w:tcPr>
          <w:p w14:paraId="01C9F234"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Dichlorvos only</w:t>
            </w:r>
          </w:p>
        </w:tc>
        <w:tc>
          <w:tcPr>
            <w:tcW w:w="0" w:type="auto"/>
          </w:tcPr>
          <w:p w14:paraId="3B5D703C"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10 mg/kg soil</w:t>
            </w:r>
          </w:p>
        </w:tc>
      </w:tr>
    </w:tbl>
    <w:p w14:paraId="573C6A33" w14:textId="77777777" w:rsidR="00C75AD4" w:rsidRPr="009C28F4" w:rsidRDefault="00811128">
      <w:pPr>
        <w:pStyle w:val="NormalWeb"/>
        <w:spacing w:before="0" w:beforeAutospacing="0" w:after="0" w:afterAutospacing="0" w:line="360" w:lineRule="auto"/>
        <w:ind w:firstLine="720"/>
        <w:jc w:val="both"/>
      </w:pPr>
      <w:r w:rsidRPr="009C28F4">
        <w:t>Ten random soil sub-samples (0–5 cm) were collected from each pot and composited weekly. Analyses were performed for microbial biomass indices and microbial enumeration.</w:t>
      </w:r>
    </w:p>
    <w:p w14:paraId="43C31306" w14:textId="77777777" w:rsidR="00C75AD4" w:rsidRDefault="00C75AD4">
      <w:pPr>
        <w:pStyle w:val="NormalWeb"/>
        <w:spacing w:before="0" w:beforeAutospacing="0" w:after="0" w:afterAutospacing="0" w:line="360" w:lineRule="auto"/>
        <w:jc w:val="both"/>
      </w:pPr>
    </w:p>
    <w:p w14:paraId="2DBDA79F" w14:textId="77777777" w:rsidR="00C855B0" w:rsidRDefault="00C855B0">
      <w:pPr>
        <w:pStyle w:val="NormalWeb"/>
        <w:spacing w:before="0" w:beforeAutospacing="0" w:after="0" w:afterAutospacing="0" w:line="360" w:lineRule="auto"/>
        <w:jc w:val="both"/>
      </w:pPr>
    </w:p>
    <w:p w14:paraId="5FD43B74" w14:textId="77777777" w:rsidR="00C855B0" w:rsidRPr="009C28F4" w:rsidRDefault="00C855B0">
      <w:pPr>
        <w:pStyle w:val="NormalWeb"/>
        <w:spacing w:before="0" w:beforeAutospacing="0" w:after="0" w:afterAutospacing="0" w:line="360" w:lineRule="auto"/>
        <w:jc w:val="both"/>
      </w:pPr>
    </w:p>
    <w:p w14:paraId="6BF9AFEC" w14:textId="77777777" w:rsidR="00C75AD4" w:rsidRPr="009C28F4" w:rsidRDefault="00811128" w:rsidP="00D21E87">
      <w:pPr>
        <w:jc w:val="both"/>
        <w:outlineLvl w:val="0"/>
        <w:rPr>
          <w:rFonts w:ascii="Times New Roman" w:hAnsi="Times New Roman" w:cs="Times New Roman"/>
          <w:b/>
          <w:sz w:val="24"/>
          <w:szCs w:val="24"/>
        </w:rPr>
      </w:pPr>
      <w:r w:rsidRPr="009C28F4">
        <w:rPr>
          <w:rFonts w:ascii="Times New Roman" w:hAnsi="Times New Roman" w:cs="Times New Roman"/>
          <w:b/>
          <w:sz w:val="24"/>
          <w:szCs w:val="24"/>
        </w:rPr>
        <w:t>2.3 Soil Physicochemical and Microbial Biomass Analyses</w:t>
      </w:r>
    </w:p>
    <w:p w14:paraId="64DEE851" w14:textId="382C45C2" w:rsidR="00C75AD4" w:rsidRPr="009C28F4" w:rsidRDefault="00811128">
      <w:pPr>
        <w:spacing w:after="0" w:line="360" w:lineRule="auto"/>
        <w:ind w:firstLine="720"/>
        <w:jc w:val="both"/>
        <w:rPr>
          <w:rFonts w:ascii="Times New Roman" w:eastAsia="Times New Roman" w:hAnsi="Times New Roman" w:cs="Times New Roman"/>
          <w:sz w:val="24"/>
          <w:szCs w:val="24"/>
        </w:rPr>
      </w:pPr>
      <w:r w:rsidRPr="009C28F4">
        <w:rPr>
          <w:rFonts w:ascii="Times New Roman" w:eastAsia="Times New Roman" w:hAnsi="Times New Roman" w:cs="Times New Roman"/>
          <w:sz w:val="24"/>
          <w:szCs w:val="24"/>
        </w:rPr>
        <w:t>Soil physicochemical parameters were analyzed using standard procedures. Particle size distribution was determined by the hydrometer method (</w:t>
      </w:r>
      <w:r w:rsidR="00427E8A">
        <w:rPr>
          <w:rFonts w:ascii="Times New Roman" w:eastAsia="Times New Roman" w:hAnsi="Times New Roman" w:cs="Times New Roman"/>
          <w:sz w:val="24"/>
          <w:szCs w:val="24"/>
        </w:rPr>
        <w:t>Messing, et al., 2024</w:t>
      </w:r>
      <w:r w:rsidRPr="009C28F4">
        <w:rPr>
          <w:rFonts w:ascii="Times New Roman" w:eastAsia="Times New Roman" w:hAnsi="Times New Roman" w:cs="Times New Roman"/>
          <w:sz w:val="24"/>
          <w:szCs w:val="24"/>
        </w:rPr>
        <w:t xml:space="preserve">), while pH, electrical conductivity (EC), and moisture content were measured following APHA (2012) guidelines. Total nitrogen (TN) was analyzed using the Kjeldahl method; available phosphorus (P) by Olsen’s method; and total organic carbon (TOC) by the Walkley–Black titration method. Heavy metal concentrations (Hg, As, Cd, Pb, Ca, Mg, K, Na) were assessed by Atomic Absorption Spectrophotometry (AAS) using Method 7000B (APHA, 2012). </w:t>
      </w:r>
    </w:p>
    <w:p w14:paraId="568367BB" w14:textId="44A46D31" w:rsidR="00C75AD4" w:rsidRPr="009C28F4" w:rsidRDefault="00811128">
      <w:pPr>
        <w:spacing w:after="0" w:line="360" w:lineRule="auto"/>
        <w:ind w:firstLine="720"/>
        <w:jc w:val="both"/>
        <w:rPr>
          <w:rFonts w:ascii="Times New Roman" w:eastAsia="Times New Roman" w:hAnsi="Times New Roman" w:cs="Times New Roman"/>
          <w:sz w:val="24"/>
          <w:szCs w:val="24"/>
        </w:rPr>
      </w:pPr>
      <w:r w:rsidRPr="009C28F4">
        <w:rPr>
          <w:rFonts w:ascii="Times New Roman" w:eastAsia="Times New Roman" w:hAnsi="Times New Roman" w:cs="Times New Roman"/>
          <w:sz w:val="24"/>
          <w:szCs w:val="24"/>
        </w:rPr>
        <w:t xml:space="preserve">Microbial biomass carbon (MB-C), nitrogen (MB-N), and phosphorus (MB-P) were determined by fumigation-extraction methods. MB-C was extracted with 0.5 M K₂SO₄ and calculated as </w:t>
      </w:r>
      <w:proofErr w:type="spellStart"/>
      <w:r w:rsidRPr="009C28F4">
        <w:rPr>
          <w:rFonts w:ascii="Times New Roman" w:eastAsia="Times New Roman" w:hAnsi="Times New Roman" w:cs="Times New Roman"/>
          <w:sz w:val="24"/>
          <w:szCs w:val="24"/>
        </w:rPr>
        <w:t>ΔOrganic</w:t>
      </w:r>
      <w:proofErr w:type="spellEnd"/>
      <w:r w:rsidRPr="009C28F4">
        <w:rPr>
          <w:rFonts w:ascii="Times New Roman" w:eastAsia="Times New Roman" w:hAnsi="Times New Roman" w:cs="Times New Roman"/>
          <w:sz w:val="24"/>
          <w:szCs w:val="24"/>
        </w:rPr>
        <w:t>-C/</w:t>
      </w:r>
      <w:r w:rsidRPr="009C28F4">
        <w:rPr>
          <w:rFonts w:ascii="Cambria Math" w:eastAsia="Times New Roman" w:hAnsi="Cambria Math" w:cs="Times New Roman"/>
          <w:sz w:val="24"/>
          <w:szCs w:val="24"/>
        </w:rPr>
        <w:t>𝑘</w:t>
      </w:r>
      <w:r w:rsidRPr="009C28F4">
        <w:rPr>
          <w:rFonts w:ascii="Times New Roman" w:eastAsia="Times New Roman" w:hAnsi="Times New Roman" w:cs="Times New Roman"/>
          <w:sz w:val="24"/>
          <w:szCs w:val="24"/>
        </w:rPr>
        <w:t>ₑc (</w:t>
      </w:r>
      <w:r w:rsidRPr="009C28F4">
        <w:rPr>
          <w:rFonts w:ascii="Cambria Math" w:eastAsia="Times New Roman" w:hAnsi="Cambria Math" w:cs="Times New Roman"/>
          <w:sz w:val="24"/>
          <w:szCs w:val="24"/>
        </w:rPr>
        <w:t>𝑘</w:t>
      </w:r>
      <w:r w:rsidRPr="009C28F4">
        <w:rPr>
          <w:rFonts w:ascii="Times New Roman" w:eastAsia="Times New Roman" w:hAnsi="Times New Roman" w:cs="Times New Roman"/>
          <w:sz w:val="24"/>
          <w:szCs w:val="24"/>
        </w:rPr>
        <w:t xml:space="preserve">ₑc = 0.33) following </w:t>
      </w:r>
      <w:r w:rsidR="00114678" w:rsidRPr="00427E8A">
        <w:rPr>
          <w:rFonts w:ascii="Times New Roman" w:eastAsia="Times New Roman" w:hAnsi="Times New Roman" w:cs="Times New Roman"/>
          <w:sz w:val="24"/>
          <w:szCs w:val="24"/>
        </w:rPr>
        <w:t>(</w:t>
      </w:r>
      <w:r w:rsidRPr="00427E8A">
        <w:rPr>
          <w:rFonts w:ascii="Times New Roman" w:eastAsia="Times New Roman" w:hAnsi="Times New Roman" w:cs="Times New Roman"/>
          <w:sz w:val="24"/>
          <w:szCs w:val="24"/>
        </w:rPr>
        <w:t>Vance et al. (1987).</w:t>
      </w:r>
      <w:r w:rsidRPr="009C28F4">
        <w:rPr>
          <w:rFonts w:ascii="Times New Roman" w:eastAsia="Times New Roman" w:hAnsi="Times New Roman" w:cs="Times New Roman"/>
          <w:sz w:val="24"/>
          <w:szCs w:val="24"/>
        </w:rPr>
        <w:t xml:space="preserve"> MB-N was estimated using the ninhydrin-reactive nitrogen method (</w:t>
      </w:r>
      <w:r w:rsidR="007E2E2F">
        <w:rPr>
          <w:rFonts w:ascii="Times New Roman" w:eastAsia="Times New Roman" w:hAnsi="Times New Roman" w:cs="Times New Roman"/>
          <w:sz w:val="24"/>
          <w:szCs w:val="24"/>
        </w:rPr>
        <w:t>Meira et al</w:t>
      </w:r>
      <w:r w:rsidRPr="009C28F4">
        <w:rPr>
          <w:rFonts w:ascii="Times New Roman" w:eastAsia="Times New Roman" w:hAnsi="Times New Roman" w:cs="Times New Roman"/>
          <w:sz w:val="24"/>
          <w:szCs w:val="24"/>
        </w:rPr>
        <w:t xml:space="preserve">, </w:t>
      </w:r>
      <w:r w:rsidR="007E2E2F">
        <w:rPr>
          <w:rFonts w:ascii="Times New Roman" w:eastAsia="Times New Roman" w:hAnsi="Times New Roman" w:cs="Times New Roman"/>
          <w:sz w:val="24"/>
          <w:szCs w:val="24"/>
        </w:rPr>
        <w:t>2025</w:t>
      </w:r>
      <w:r w:rsidRPr="009C28F4">
        <w:rPr>
          <w:rFonts w:ascii="Times New Roman" w:eastAsia="Times New Roman" w:hAnsi="Times New Roman" w:cs="Times New Roman"/>
          <w:sz w:val="24"/>
          <w:szCs w:val="24"/>
        </w:rPr>
        <w:t xml:space="preserve">) and expressed as </w:t>
      </w:r>
      <w:proofErr w:type="spellStart"/>
      <w:r w:rsidRPr="009C28F4">
        <w:rPr>
          <w:rFonts w:ascii="Times New Roman" w:eastAsia="Times New Roman" w:hAnsi="Times New Roman" w:cs="Times New Roman"/>
          <w:sz w:val="24"/>
          <w:szCs w:val="24"/>
        </w:rPr>
        <w:t>ΔNinhydrin</w:t>
      </w:r>
      <w:proofErr w:type="spellEnd"/>
      <w:r w:rsidRPr="009C28F4">
        <w:rPr>
          <w:rFonts w:ascii="Times New Roman" w:eastAsia="Times New Roman" w:hAnsi="Times New Roman" w:cs="Times New Roman"/>
          <w:sz w:val="24"/>
          <w:szCs w:val="24"/>
        </w:rPr>
        <w:t>-N/</w:t>
      </w:r>
      <w:r w:rsidRPr="009C28F4">
        <w:rPr>
          <w:rFonts w:ascii="Cambria Math" w:eastAsia="Times New Roman" w:hAnsi="Cambria Math" w:cs="Times New Roman"/>
          <w:sz w:val="24"/>
          <w:szCs w:val="24"/>
        </w:rPr>
        <w:t>𝑘</w:t>
      </w:r>
      <w:r w:rsidRPr="009C28F4">
        <w:rPr>
          <w:rFonts w:ascii="Times New Roman" w:eastAsia="Times New Roman" w:hAnsi="Times New Roman" w:cs="Times New Roman"/>
          <w:sz w:val="24"/>
          <w:szCs w:val="24"/>
        </w:rPr>
        <w:t>ₙᵢₙₕN (</w:t>
      </w:r>
      <w:r w:rsidRPr="009C28F4">
        <w:rPr>
          <w:rFonts w:ascii="Cambria Math" w:eastAsia="Times New Roman" w:hAnsi="Cambria Math" w:cs="Times New Roman"/>
          <w:sz w:val="24"/>
          <w:szCs w:val="24"/>
        </w:rPr>
        <w:t>𝑘</w:t>
      </w:r>
      <w:r w:rsidRPr="009C28F4">
        <w:rPr>
          <w:rFonts w:ascii="Times New Roman" w:eastAsia="Times New Roman" w:hAnsi="Times New Roman" w:cs="Times New Roman"/>
          <w:sz w:val="24"/>
          <w:szCs w:val="24"/>
        </w:rPr>
        <w:t>ₙᵢₙₕN = 0.20). MB-P was analyzed by the EDTA-extraction method with ³³P-labeled soil and calculated as the difference in extractable phosphorus with and withou</w:t>
      </w:r>
      <w:r w:rsidR="0064657E" w:rsidRPr="009C28F4">
        <w:rPr>
          <w:rFonts w:ascii="Times New Roman" w:eastAsia="Times New Roman" w:hAnsi="Times New Roman" w:cs="Times New Roman"/>
          <w:sz w:val="24"/>
          <w:szCs w:val="24"/>
        </w:rPr>
        <w:t>t chloroform fumigation (Cade-Menun et al.</w:t>
      </w:r>
      <w:r w:rsidRPr="009C28F4">
        <w:rPr>
          <w:rFonts w:ascii="Times New Roman" w:eastAsia="Times New Roman" w:hAnsi="Times New Roman" w:cs="Times New Roman"/>
          <w:sz w:val="24"/>
          <w:szCs w:val="24"/>
        </w:rPr>
        <w:t>, 1996).</w:t>
      </w:r>
    </w:p>
    <w:p w14:paraId="0A2F57E4" w14:textId="77777777" w:rsidR="00C75AD4" w:rsidRPr="009C28F4" w:rsidRDefault="00811128" w:rsidP="00D21E87">
      <w:pPr>
        <w:outlineLvl w:val="0"/>
        <w:rPr>
          <w:rFonts w:ascii="Times New Roman" w:hAnsi="Times New Roman" w:cs="Times New Roman"/>
          <w:b/>
          <w:sz w:val="24"/>
          <w:szCs w:val="24"/>
        </w:rPr>
      </w:pPr>
      <w:r w:rsidRPr="009C28F4">
        <w:rPr>
          <w:rFonts w:ascii="Times New Roman" w:hAnsi="Times New Roman" w:cs="Times New Roman"/>
          <w:b/>
          <w:sz w:val="24"/>
          <w:szCs w:val="24"/>
        </w:rPr>
        <w:t>2.4</w:t>
      </w:r>
      <w:r w:rsidR="009E014C" w:rsidRPr="009C28F4">
        <w:rPr>
          <w:rFonts w:ascii="Times New Roman" w:hAnsi="Times New Roman" w:cs="Times New Roman"/>
          <w:b/>
          <w:sz w:val="24"/>
          <w:szCs w:val="24"/>
        </w:rPr>
        <w:tab/>
      </w:r>
      <w:r w:rsidRPr="009C28F4">
        <w:rPr>
          <w:rFonts w:ascii="Times New Roman" w:hAnsi="Times New Roman" w:cs="Times New Roman"/>
          <w:b/>
          <w:sz w:val="24"/>
          <w:szCs w:val="24"/>
        </w:rPr>
        <w:t>Microbial Enumeration</w:t>
      </w:r>
    </w:p>
    <w:p w14:paraId="554B68F8" w14:textId="71FD6575" w:rsidR="00C75AD4" w:rsidRPr="009C28F4" w:rsidRDefault="0017204E">
      <w:pPr>
        <w:pStyle w:val="NormalWeb"/>
        <w:spacing w:before="0" w:beforeAutospacing="0" w:after="0" w:afterAutospacing="0" w:line="360" w:lineRule="auto"/>
        <w:ind w:firstLine="720"/>
        <w:jc w:val="both"/>
      </w:pPr>
      <w:r>
        <w:t xml:space="preserve">Table 2. </w:t>
      </w:r>
      <w:r w:rsidR="00811128" w:rsidRPr="009C28F4">
        <w:t>Microbial abundance was estimated using viable plate count methods. A gram of soil was serially diluted and plated on:</w:t>
      </w:r>
    </w:p>
    <w:tbl>
      <w:tblPr>
        <w:tblStyle w:val="TableGrid"/>
        <w:tblW w:w="0" w:type="auto"/>
        <w:jc w:val="center"/>
        <w:tblLook w:val="04A0" w:firstRow="1" w:lastRow="0" w:firstColumn="1" w:lastColumn="0" w:noHBand="0" w:noVBand="1"/>
      </w:tblPr>
      <w:tblGrid>
        <w:gridCol w:w="2975"/>
        <w:gridCol w:w="3602"/>
      </w:tblGrid>
      <w:tr w:rsidR="00C75AD4" w:rsidRPr="009C28F4" w14:paraId="4BB93DEC" w14:textId="77777777">
        <w:trPr>
          <w:jc w:val="center"/>
        </w:trPr>
        <w:tc>
          <w:tcPr>
            <w:tcW w:w="0" w:type="auto"/>
          </w:tcPr>
          <w:p w14:paraId="4906D333" w14:textId="77777777" w:rsidR="00C75AD4" w:rsidRPr="009C28F4" w:rsidRDefault="00811128">
            <w:pPr>
              <w:spacing w:after="0" w:line="360" w:lineRule="auto"/>
              <w:jc w:val="both"/>
              <w:rPr>
                <w:rFonts w:ascii="Times New Roman" w:hAnsi="Times New Roman" w:cs="Times New Roman"/>
                <w:b/>
                <w:bCs/>
                <w:sz w:val="24"/>
                <w:szCs w:val="24"/>
              </w:rPr>
            </w:pPr>
            <w:r w:rsidRPr="009C28F4">
              <w:rPr>
                <w:rStyle w:val="Strong"/>
                <w:rFonts w:ascii="Times New Roman" w:hAnsi="Times New Roman" w:cs="Times New Roman"/>
                <w:sz w:val="24"/>
                <w:szCs w:val="24"/>
              </w:rPr>
              <w:t>Microbial Group</w:t>
            </w:r>
          </w:p>
        </w:tc>
        <w:tc>
          <w:tcPr>
            <w:tcW w:w="0" w:type="auto"/>
          </w:tcPr>
          <w:p w14:paraId="25E134F4" w14:textId="77777777" w:rsidR="00C75AD4" w:rsidRPr="009C28F4" w:rsidRDefault="00811128">
            <w:pPr>
              <w:spacing w:after="0" w:line="360" w:lineRule="auto"/>
              <w:jc w:val="both"/>
              <w:rPr>
                <w:rFonts w:ascii="Times New Roman" w:hAnsi="Times New Roman" w:cs="Times New Roman"/>
                <w:b/>
                <w:bCs/>
                <w:sz w:val="24"/>
                <w:szCs w:val="24"/>
              </w:rPr>
            </w:pPr>
            <w:r w:rsidRPr="009C28F4">
              <w:rPr>
                <w:rStyle w:val="Strong"/>
                <w:rFonts w:ascii="Times New Roman" w:hAnsi="Times New Roman" w:cs="Times New Roman"/>
                <w:sz w:val="24"/>
                <w:szCs w:val="24"/>
              </w:rPr>
              <w:t>Medium Used</w:t>
            </w:r>
          </w:p>
        </w:tc>
      </w:tr>
      <w:tr w:rsidR="00C75AD4" w:rsidRPr="009C28F4" w14:paraId="309B9F31" w14:textId="77777777">
        <w:trPr>
          <w:jc w:val="center"/>
        </w:trPr>
        <w:tc>
          <w:tcPr>
            <w:tcW w:w="0" w:type="auto"/>
          </w:tcPr>
          <w:p w14:paraId="1C8952F0"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Fungi</w:t>
            </w:r>
          </w:p>
        </w:tc>
        <w:tc>
          <w:tcPr>
            <w:tcW w:w="0" w:type="auto"/>
          </w:tcPr>
          <w:p w14:paraId="5B3F909C"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Rose-Bengal chloramphenicol agar</w:t>
            </w:r>
          </w:p>
        </w:tc>
      </w:tr>
      <w:tr w:rsidR="00C75AD4" w:rsidRPr="009C28F4" w14:paraId="29ACC020" w14:textId="77777777">
        <w:trPr>
          <w:jc w:val="center"/>
        </w:trPr>
        <w:tc>
          <w:tcPr>
            <w:tcW w:w="0" w:type="auto"/>
          </w:tcPr>
          <w:p w14:paraId="5D36F191"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Total Heterotrophic Bacteria</w:t>
            </w:r>
          </w:p>
        </w:tc>
        <w:tc>
          <w:tcPr>
            <w:tcW w:w="0" w:type="auto"/>
          </w:tcPr>
          <w:p w14:paraId="1FDE2E8E"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Plate Count Agar (PCA)</w:t>
            </w:r>
          </w:p>
        </w:tc>
      </w:tr>
      <w:tr w:rsidR="00C75AD4" w:rsidRPr="009C28F4" w14:paraId="57FC29AB" w14:textId="77777777">
        <w:trPr>
          <w:jc w:val="center"/>
        </w:trPr>
        <w:tc>
          <w:tcPr>
            <w:tcW w:w="0" w:type="auto"/>
          </w:tcPr>
          <w:p w14:paraId="63534A7D"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Actinomycetes</w:t>
            </w:r>
          </w:p>
        </w:tc>
        <w:tc>
          <w:tcPr>
            <w:tcW w:w="0" w:type="auto"/>
          </w:tcPr>
          <w:p w14:paraId="0D5D8677"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Starch-casein agar</w:t>
            </w:r>
          </w:p>
        </w:tc>
      </w:tr>
      <w:tr w:rsidR="00C75AD4" w:rsidRPr="009C28F4" w14:paraId="6E2831ED" w14:textId="77777777">
        <w:trPr>
          <w:jc w:val="center"/>
        </w:trPr>
        <w:tc>
          <w:tcPr>
            <w:tcW w:w="0" w:type="auto"/>
          </w:tcPr>
          <w:p w14:paraId="7FD765ED"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Phosphate Solubilizers</w:t>
            </w:r>
          </w:p>
        </w:tc>
        <w:tc>
          <w:tcPr>
            <w:tcW w:w="0" w:type="auto"/>
          </w:tcPr>
          <w:p w14:paraId="056E2904" w14:textId="77777777" w:rsidR="00C75AD4" w:rsidRPr="009C28F4" w:rsidRDefault="00811128">
            <w:pPr>
              <w:spacing w:after="0" w:line="360" w:lineRule="auto"/>
              <w:jc w:val="both"/>
              <w:rPr>
                <w:rFonts w:ascii="Times New Roman" w:hAnsi="Times New Roman" w:cs="Times New Roman"/>
                <w:sz w:val="24"/>
                <w:szCs w:val="24"/>
              </w:rPr>
            </w:pPr>
            <w:proofErr w:type="spellStart"/>
            <w:r w:rsidRPr="009C28F4">
              <w:rPr>
                <w:rFonts w:ascii="Times New Roman" w:hAnsi="Times New Roman" w:cs="Times New Roman"/>
                <w:sz w:val="24"/>
                <w:szCs w:val="24"/>
              </w:rPr>
              <w:t>Pikovskaya’s</w:t>
            </w:r>
            <w:proofErr w:type="spellEnd"/>
            <w:r w:rsidRPr="009C28F4">
              <w:rPr>
                <w:rFonts w:ascii="Times New Roman" w:hAnsi="Times New Roman" w:cs="Times New Roman"/>
                <w:sz w:val="24"/>
                <w:szCs w:val="24"/>
              </w:rPr>
              <w:t xml:space="preserve"> medium</w:t>
            </w:r>
          </w:p>
        </w:tc>
      </w:tr>
      <w:tr w:rsidR="00C75AD4" w:rsidRPr="009C28F4" w14:paraId="3327E4FE" w14:textId="77777777">
        <w:trPr>
          <w:jc w:val="center"/>
        </w:trPr>
        <w:tc>
          <w:tcPr>
            <w:tcW w:w="0" w:type="auto"/>
          </w:tcPr>
          <w:p w14:paraId="17104923"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Nitrogen Fixers</w:t>
            </w:r>
          </w:p>
        </w:tc>
        <w:tc>
          <w:tcPr>
            <w:tcW w:w="0" w:type="auto"/>
          </w:tcPr>
          <w:p w14:paraId="66D276E4" w14:textId="77777777" w:rsidR="00C75AD4" w:rsidRPr="009C28F4" w:rsidRDefault="00811128">
            <w:pPr>
              <w:spacing w:after="0" w:line="360" w:lineRule="auto"/>
              <w:jc w:val="both"/>
              <w:rPr>
                <w:rFonts w:ascii="Times New Roman" w:hAnsi="Times New Roman" w:cs="Times New Roman"/>
                <w:sz w:val="24"/>
                <w:szCs w:val="24"/>
              </w:rPr>
            </w:pPr>
            <w:r w:rsidRPr="009C28F4">
              <w:rPr>
                <w:rFonts w:ascii="Times New Roman" w:hAnsi="Times New Roman" w:cs="Times New Roman"/>
                <w:sz w:val="24"/>
                <w:szCs w:val="24"/>
              </w:rPr>
              <w:t xml:space="preserve">Ashby’s </w:t>
            </w:r>
            <w:proofErr w:type="spellStart"/>
            <w:r w:rsidRPr="009C28F4">
              <w:rPr>
                <w:rFonts w:ascii="Times New Roman" w:hAnsi="Times New Roman" w:cs="Times New Roman"/>
                <w:sz w:val="24"/>
                <w:szCs w:val="24"/>
              </w:rPr>
              <w:t>mannitolagar</w:t>
            </w:r>
            <w:proofErr w:type="spellEnd"/>
          </w:p>
        </w:tc>
      </w:tr>
    </w:tbl>
    <w:p w14:paraId="1C88A7C9" w14:textId="77777777" w:rsidR="00C75AD4" w:rsidRPr="009C28F4" w:rsidRDefault="00811128">
      <w:pPr>
        <w:pStyle w:val="NormalWeb"/>
        <w:spacing w:before="0" w:beforeAutospacing="0" w:after="0" w:afterAutospacing="0" w:line="360" w:lineRule="auto"/>
        <w:jc w:val="both"/>
      </w:pPr>
      <w:r w:rsidRPr="009C28F4">
        <w:t>Plates were incubated at appropriate temperatures and colonies counted as CFU/g of soil.</w:t>
      </w:r>
    </w:p>
    <w:p w14:paraId="419996BF" w14:textId="77777777" w:rsidR="00C75AD4" w:rsidRPr="009C28F4" w:rsidRDefault="00811128" w:rsidP="00D21E87">
      <w:pPr>
        <w:outlineLvl w:val="0"/>
        <w:rPr>
          <w:rFonts w:ascii="Times New Roman" w:hAnsi="Times New Roman" w:cs="Times New Roman"/>
          <w:b/>
          <w:sz w:val="24"/>
          <w:szCs w:val="24"/>
        </w:rPr>
      </w:pPr>
      <w:r w:rsidRPr="009C28F4">
        <w:rPr>
          <w:rFonts w:ascii="Times New Roman" w:hAnsi="Times New Roman" w:cs="Times New Roman"/>
          <w:b/>
          <w:sz w:val="24"/>
          <w:szCs w:val="24"/>
        </w:rPr>
        <w:t>2.5 Ecotoxicological Bioassay Using Snails</w:t>
      </w:r>
    </w:p>
    <w:p w14:paraId="3C38F73A" w14:textId="5F65A29B" w:rsidR="00C75AD4" w:rsidRPr="009C28F4" w:rsidRDefault="00811128" w:rsidP="0034201D">
      <w:pPr>
        <w:pStyle w:val="NormalWeb"/>
        <w:spacing w:before="0" w:beforeAutospacing="0" w:after="0" w:afterAutospacing="0" w:line="360" w:lineRule="auto"/>
        <w:ind w:firstLine="720"/>
        <w:jc w:val="both"/>
      </w:pPr>
      <w:r w:rsidRPr="009C28F4">
        <w:t xml:space="preserve">A 14-day acute toxicity test was conducted in line with ISO (2006) protocols using </w:t>
      </w:r>
      <w:r w:rsidRPr="009C28F4">
        <w:rPr>
          <w:rStyle w:val="Emphasis"/>
        </w:rPr>
        <w:t xml:space="preserve">Helix </w:t>
      </w:r>
      <w:proofErr w:type="spellStart"/>
      <w:r w:rsidRPr="009C28F4">
        <w:rPr>
          <w:rStyle w:val="Emphasis"/>
        </w:rPr>
        <w:t>aspersa</w:t>
      </w:r>
      <w:proofErr w:type="spellEnd"/>
      <w:r w:rsidRPr="009C28F4">
        <w:t xml:space="preserve"> snails collected from </w:t>
      </w:r>
      <w:proofErr w:type="spellStart"/>
      <w:r w:rsidRPr="009C28F4">
        <w:t>pestici</w:t>
      </w:r>
      <w:r w:rsidR="00114678">
        <w:t>fer</w:t>
      </w:r>
      <w:r w:rsidRPr="009C28F4">
        <w:t>de</w:t>
      </w:r>
      <w:proofErr w:type="spellEnd"/>
      <w:r w:rsidRPr="009C28F4">
        <w:t>-f</w:t>
      </w:r>
      <w:r w:rsidR="0034201D" w:rsidRPr="009C28F4">
        <w:t xml:space="preserve">ree areas. The test started with a range finding test to decide the definitive test concentrations. Homogenized and </w:t>
      </w:r>
      <w:proofErr w:type="gramStart"/>
      <w:r w:rsidR="0034201D" w:rsidRPr="009C28F4">
        <w:t>air dried</w:t>
      </w:r>
      <w:proofErr w:type="gramEnd"/>
      <w:r w:rsidR="0034201D" w:rsidRPr="009C28F4">
        <w:t xml:space="preserve"> soil were sieved through 2 mm mesh. Adult </w:t>
      </w:r>
      <w:r w:rsidR="0034201D" w:rsidRPr="009C28F4">
        <w:lastRenderedPageBreak/>
        <w:t>snails were exposed to soil mixed with different concentration of pesticides. The definitive test concentrations for Dichlorvos were 0.625, 1.25, 2.5, 5.0, 10mg/kg and 0.0625, 0.125, 0.25, 0.5, 1mg/kg for Atrazine, respectively.</w:t>
      </w:r>
    </w:p>
    <w:p w14:paraId="70713DBD" w14:textId="77777777" w:rsidR="00C75AD4" w:rsidRPr="009C28F4" w:rsidRDefault="00811128">
      <w:pPr>
        <w:pStyle w:val="NormalWeb"/>
        <w:spacing w:before="0" w:beforeAutospacing="0" w:after="0" w:afterAutospacing="0" w:line="360" w:lineRule="auto"/>
        <w:ind w:firstLine="720"/>
        <w:jc w:val="both"/>
      </w:pPr>
      <w:r w:rsidRPr="009C28F4">
        <w:t>Each treatment was set up in 1.2 L glass containers containing 10 snails and 5 g fresh pawpaw leaves as food. Each treatment and control had three replicates and was maintained at 28 ± 1°C.</w:t>
      </w:r>
    </w:p>
    <w:p w14:paraId="435A7B6A" w14:textId="77777777" w:rsidR="00C75AD4" w:rsidRPr="009C28F4" w:rsidRDefault="00811128">
      <w:pPr>
        <w:pStyle w:val="NormalWeb"/>
        <w:spacing w:before="0" w:beforeAutospacing="0" w:after="0" w:afterAutospacing="0" w:line="360" w:lineRule="auto"/>
        <w:jc w:val="both"/>
      </w:pPr>
      <w:r w:rsidRPr="009C28F4">
        <w:t>Mortality was recorded on days 7 and 14. A snail was considered dead if unresponsive to tactile stimulation or water sprinkling for 5 minutes. LC₅₀ values were calculated using probit analysis.</w:t>
      </w:r>
    </w:p>
    <w:p w14:paraId="013D5FD0" w14:textId="77777777" w:rsidR="00C75AD4" w:rsidRPr="009C28F4" w:rsidRDefault="00811128" w:rsidP="00D21E87">
      <w:pPr>
        <w:outlineLvl w:val="0"/>
        <w:rPr>
          <w:rFonts w:ascii="Times New Roman" w:hAnsi="Times New Roman" w:cs="Times New Roman"/>
          <w:b/>
          <w:sz w:val="24"/>
          <w:szCs w:val="24"/>
        </w:rPr>
      </w:pPr>
      <w:r w:rsidRPr="009C28F4">
        <w:rPr>
          <w:rFonts w:ascii="Times New Roman" w:hAnsi="Times New Roman" w:cs="Times New Roman"/>
          <w:b/>
          <w:sz w:val="24"/>
          <w:szCs w:val="24"/>
        </w:rPr>
        <w:t>2.6</w:t>
      </w:r>
      <w:r w:rsidR="009E014C" w:rsidRPr="009C28F4">
        <w:rPr>
          <w:rFonts w:ascii="Times New Roman" w:hAnsi="Times New Roman" w:cs="Times New Roman"/>
          <w:b/>
          <w:sz w:val="24"/>
          <w:szCs w:val="24"/>
        </w:rPr>
        <w:tab/>
      </w:r>
      <w:r w:rsidRPr="009C28F4">
        <w:rPr>
          <w:rFonts w:ascii="Times New Roman" w:hAnsi="Times New Roman" w:cs="Times New Roman"/>
          <w:b/>
          <w:sz w:val="24"/>
          <w:szCs w:val="24"/>
        </w:rPr>
        <w:t>Statistical Analysis</w:t>
      </w:r>
    </w:p>
    <w:p w14:paraId="2A915AEC" w14:textId="77777777" w:rsidR="00C75AD4" w:rsidRPr="009C28F4" w:rsidRDefault="00811128">
      <w:pPr>
        <w:pStyle w:val="NormalWeb"/>
        <w:spacing w:before="0" w:beforeAutospacing="0" w:after="0" w:afterAutospacing="0" w:line="360" w:lineRule="auto"/>
        <w:ind w:firstLine="720"/>
        <w:jc w:val="both"/>
      </w:pPr>
      <w:r w:rsidRPr="009C28F4">
        <w:t xml:space="preserve">Two-way analysis of variance (ANOVA) was used to assess the interactive effects of treatment and time on MB-C, MB-N, and MB-P. Probit analysis was used to estimate LC₅₀ values from the snail bioassays. Statistical significance was set at </w:t>
      </w:r>
      <w:r w:rsidRPr="009C28F4">
        <w:rPr>
          <w:rStyle w:val="Emphasis"/>
        </w:rPr>
        <w:t>p</w:t>
      </w:r>
      <w:r w:rsidRPr="009C28F4">
        <w:t>&lt; 0.05.</w:t>
      </w:r>
    </w:p>
    <w:p w14:paraId="2559D798" w14:textId="77777777" w:rsidR="00C75AD4" w:rsidRPr="009C28F4" w:rsidRDefault="00C75AD4">
      <w:pPr>
        <w:pStyle w:val="Heading3"/>
        <w:spacing w:before="0" w:beforeAutospacing="0" w:after="0" w:afterAutospacing="0"/>
        <w:rPr>
          <w:rStyle w:val="Strong"/>
          <w:b/>
          <w:bCs/>
          <w:sz w:val="24"/>
          <w:szCs w:val="24"/>
        </w:rPr>
      </w:pPr>
    </w:p>
    <w:p w14:paraId="02B0A89E" w14:textId="77777777" w:rsidR="00C75AD4" w:rsidRPr="009C28F4" w:rsidRDefault="00811128" w:rsidP="00D21E87">
      <w:pPr>
        <w:outlineLvl w:val="0"/>
        <w:rPr>
          <w:rFonts w:ascii="Times New Roman" w:hAnsi="Times New Roman" w:cs="Times New Roman"/>
          <w:b/>
          <w:sz w:val="24"/>
          <w:szCs w:val="24"/>
        </w:rPr>
      </w:pPr>
      <w:r w:rsidRPr="009C28F4">
        <w:rPr>
          <w:rFonts w:ascii="Times New Roman" w:hAnsi="Times New Roman" w:cs="Times New Roman"/>
          <w:b/>
          <w:sz w:val="24"/>
          <w:szCs w:val="24"/>
        </w:rPr>
        <w:t>3. Result</w:t>
      </w:r>
      <w:r w:rsidR="00322B9C" w:rsidRPr="009C28F4">
        <w:rPr>
          <w:rFonts w:ascii="Times New Roman" w:hAnsi="Times New Roman" w:cs="Times New Roman"/>
          <w:b/>
          <w:sz w:val="24"/>
          <w:szCs w:val="24"/>
        </w:rPr>
        <w:t>s</w:t>
      </w:r>
      <w:r w:rsidRPr="009C28F4">
        <w:rPr>
          <w:rFonts w:ascii="Times New Roman" w:hAnsi="Times New Roman" w:cs="Times New Roman"/>
          <w:b/>
          <w:sz w:val="24"/>
          <w:szCs w:val="24"/>
        </w:rPr>
        <w:t xml:space="preserve"> and Discussion</w:t>
      </w:r>
      <w:r w:rsidR="00322B9C" w:rsidRPr="009C28F4">
        <w:rPr>
          <w:rFonts w:ascii="Times New Roman" w:hAnsi="Times New Roman" w:cs="Times New Roman"/>
          <w:b/>
          <w:sz w:val="24"/>
          <w:szCs w:val="24"/>
        </w:rPr>
        <w:t>s</w:t>
      </w:r>
    </w:p>
    <w:p w14:paraId="4E416EAE" w14:textId="77777777" w:rsidR="00C75AD4" w:rsidRPr="009C28F4" w:rsidRDefault="00811128" w:rsidP="00D21E87">
      <w:pPr>
        <w:outlineLvl w:val="0"/>
        <w:rPr>
          <w:rFonts w:ascii="Times New Roman" w:hAnsi="Times New Roman" w:cs="Times New Roman"/>
          <w:b/>
          <w:sz w:val="24"/>
          <w:szCs w:val="24"/>
        </w:rPr>
      </w:pPr>
      <w:r w:rsidRPr="009C28F4">
        <w:rPr>
          <w:rFonts w:ascii="Times New Roman" w:hAnsi="Times New Roman" w:cs="Times New Roman"/>
          <w:b/>
          <w:sz w:val="24"/>
          <w:szCs w:val="24"/>
        </w:rPr>
        <w:t>3.1 Result</w:t>
      </w:r>
      <w:r w:rsidR="00322B9C" w:rsidRPr="009C28F4">
        <w:rPr>
          <w:rFonts w:ascii="Times New Roman" w:hAnsi="Times New Roman" w:cs="Times New Roman"/>
          <w:b/>
          <w:sz w:val="24"/>
          <w:szCs w:val="24"/>
        </w:rPr>
        <w:t>s</w:t>
      </w:r>
    </w:p>
    <w:p w14:paraId="3F3FF107" w14:textId="77777777" w:rsidR="00C75AD4" w:rsidRPr="009C28F4" w:rsidRDefault="00811128" w:rsidP="00D21E87">
      <w:pPr>
        <w:outlineLvl w:val="0"/>
        <w:rPr>
          <w:rFonts w:ascii="Times New Roman" w:hAnsi="Times New Roman" w:cs="Times New Roman"/>
          <w:b/>
          <w:sz w:val="24"/>
          <w:szCs w:val="24"/>
        </w:rPr>
      </w:pPr>
      <w:r w:rsidRPr="009C28F4">
        <w:rPr>
          <w:rFonts w:ascii="Times New Roman" w:hAnsi="Times New Roman" w:cs="Times New Roman"/>
          <w:b/>
          <w:sz w:val="24"/>
          <w:szCs w:val="24"/>
        </w:rPr>
        <w:t>3.1.1 Physico-chemical and Microbial Properties of the Experimental Soil</w:t>
      </w:r>
    </w:p>
    <w:p w14:paraId="130E6A3E" w14:textId="6945A555" w:rsidR="00C75AD4" w:rsidRPr="009C28F4" w:rsidRDefault="00811128">
      <w:pPr>
        <w:spacing w:line="360" w:lineRule="auto"/>
        <w:ind w:firstLine="720"/>
        <w:jc w:val="both"/>
        <w:rPr>
          <w:rFonts w:ascii="Times New Roman" w:hAnsi="Times New Roman" w:cs="Times New Roman"/>
          <w:sz w:val="24"/>
          <w:szCs w:val="24"/>
        </w:rPr>
      </w:pPr>
      <w:r w:rsidRPr="009C28F4">
        <w:rPr>
          <w:rFonts w:ascii="Times New Roman" w:hAnsi="Times New Roman" w:cs="Times New Roman"/>
          <w:sz w:val="24"/>
          <w:szCs w:val="24"/>
        </w:rPr>
        <w:t xml:space="preserve">The baseline characteristics of the unpolluted soil used for the study are presented in Table </w:t>
      </w:r>
      <w:r w:rsidR="0017204E">
        <w:rPr>
          <w:rFonts w:ascii="Times New Roman" w:hAnsi="Times New Roman" w:cs="Times New Roman"/>
          <w:sz w:val="24"/>
          <w:szCs w:val="24"/>
        </w:rPr>
        <w:t>3</w:t>
      </w:r>
      <w:r w:rsidRPr="009C28F4">
        <w:rPr>
          <w:rFonts w:ascii="Times New Roman" w:hAnsi="Times New Roman" w:cs="Times New Roman"/>
          <w:sz w:val="24"/>
          <w:szCs w:val="24"/>
        </w:rPr>
        <w:t xml:space="preserve">. The soil had a moderately acidic pH of 6.70, which falls within the optimal range for microbial activity and nutrient availability. The electrical conductivity (EC) was 144 µS/cm, indicating a non-saline condition suitable for soil biota and plant health. The total organic carbon (TOC) content was relatively high at 3.316%, supporting the presence of substantial organic matter, while the total nitrogen content measured 0.3029%, suggesting moderate fertility. Nitrate and phosphate concentrations were 36.28 mg/kg and 26.32 mg/kg, respectively, indicating the availability of essential macronutrients for microbial and plant metabolic functions. The moisture content was 19.41%, an adequate level for microbial growth and metabolic activity. Regarding the cation composition, the soil had high levels of calcium (61.83 </w:t>
      </w:r>
      <w:proofErr w:type="spellStart"/>
      <w:r w:rsidRPr="009C28F4">
        <w:rPr>
          <w:rFonts w:ascii="Times New Roman" w:hAnsi="Times New Roman" w:cs="Times New Roman"/>
          <w:sz w:val="24"/>
          <w:szCs w:val="24"/>
        </w:rPr>
        <w:t>meq</w:t>
      </w:r>
      <w:proofErr w:type="spellEnd"/>
      <w:r w:rsidRPr="009C28F4">
        <w:rPr>
          <w:rFonts w:ascii="Times New Roman" w:hAnsi="Times New Roman" w:cs="Times New Roman"/>
          <w:sz w:val="24"/>
          <w:szCs w:val="24"/>
        </w:rPr>
        <w:t xml:space="preserve">/100g) and magnesium (22.15 </w:t>
      </w:r>
      <w:proofErr w:type="spellStart"/>
      <w:r w:rsidRPr="009C28F4">
        <w:rPr>
          <w:rFonts w:ascii="Times New Roman" w:hAnsi="Times New Roman" w:cs="Times New Roman"/>
          <w:sz w:val="24"/>
          <w:szCs w:val="24"/>
        </w:rPr>
        <w:t>meq</w:t>
      </w:r>
      <w:proofErr w:type="spellEnd"/>
      <w:r w:rsidRPr="009C28F4">
        <w:rPr>
          <w:rFonts w:ascii="Times New Roman" w:hAnsi="Times New Roman" w:cs="Times New Roman"/>
          <w:sz w:val="24"/>
          <w:szCs w:val="24"/>
        </w:rPr>
        <w:t xml:space="preserve">/100g), which are beneficial for maintaining soil structure and microbial habitat stability. Sodium and potassium were present at 0.97 </w:t>
      </w:r>
      <w:proofErr w:type="spellStart"/>
      <w:r w:rsidRPr="009C28F4">
        <w:rPr>
          <w:rFonts w:ascii="Times New Roman" w:hAnsi="Times New Roman" w:cs="Times New Roman"/>
          <w:sz w:val="24"/>
          <w:szCs w:val="24"/>
        </w:rPr>
        <w:t>meq</w:t>
      </w:r>
      <w:proofErr w:type="spellEnd"/>
      <w:r w:rsidRPr="009C28F4">
        <w:rPr>
          <w:rFonts w:ascii="Times New Roman" w:hAnsi="Times New Roman" w:cs="Times New Roman"/>
          <w:sz w:val="24"/>
          <w:szCs w:val="24"/>
        </w:rPr>
        <w:t xml:space="preserve">/100g and 1.03 </w:t>
      </w:r>
      <w:proofErr w:type="spellStart"/>
      <w:r w:rsidRPr="009C28F4">
        <w:rPr>
          <w:rFonts w:ascii="Times New Roman" w:hAnsi="Times New Roman" w:cs="Times New Roman"/>
          <w:sz w:val="24"/>
          <w:szCs w:val="24"/>
        </w:rPr>
        <w:t>meq</w:t>
      </w:r>
      <w:proofErr w:type="spellEnd"/>
      <w:r w:rsidRPr="009C28F4">
        <w:rPr>
          <w:rFonts w:ascii="Times New Roman" w:hAnsi="Times New Roman" w:cs="Times New Roman"/>
          <w:sz w:val="24"/>
          <w:szCs w:val="24"/>
        </w:rPr>
        <w:t xml:space="preserve">/100g, respectively, within tolerable limits that do not impair microbial processes. </w:t>
      </w:r>
    </w:p>
    <w:p w14:paraId="2B0E980E" w14:textId="77777777" w:rsidR="00C75AD4" w:rsidRPr="009C28F4" w:rsidRDefault="00811128">
      <w:pPr>
        <w:spacing w:line="360" w:lineRule="auto"/>
        <w:ind w:firstLine="720"/>
        <w:jc w:val="both"/>
        <w:rPr>
          <w:rFonts w:ascii="Times New Roman" w:hAnsi="Times New Roman" w:cs="Times New Roman"/>
          <w:sz w:val="24"/>
          <w:szCs w:val="24"/>
        </w:rPr>
      </w:pPr>
      <w:r w:rsidRPr="009C28F4">
        <w:rPr>
          <w:rFonts w:ascii="Times New Roman" w:hAnsi="Times New Roman" w:cs="Times New Roman"/>
          <w:sz w:val="24"/>
          <w:szCs w:val="24"/>
        </w:rPr>
        <w:t xml:space="preserve">The concentrations of heavy metals such as arsenic (0.215 mg/kg), lead (19.25 mg/kg), and cadmium (0.725 mg/kg) were present but below thresholds considered toxic for most soil organisms. Mercury was detected at &lt;0.001 mg/kg, indicating minimal contamination. The particle size distribution revealed a predominantly sandy texture, with sand comprising 97.19%, silt 2.65%, and clay only 0.16%. </w:t>
      </w:r>
      <w:r w:rsidRPr="009C28F4">
        <w:rPr>
          <w:rFonts w:ascii="Times New Roman" w:hAnsi="Times New Roman" w:cs="Times New Roman"/>
          <w:sz w:val="24"/>
          <w:szCs w:val="24"/>
        </w:rPr>
        <w:lastRenderedPageBreak/>
        <w:t xml:space="preserve">Such a texture is typically associated with good drainage but lower nutrient-holding capacity, which may influence microbial persistence and pesticide mobility. Microbiologically, the soil showed high bacterial activity, with total heterotrophic bacteria counts of 6.30 × 10⁷ CFU/g, indicative of a biologically active soil. Fungal counts were recorded at 1.41 × 10⁵ CFU/g, while actinomycetes and nitrifying bacteria were present at 1.99 × 10⁴ CFU/g and 1.45 × 10⁴ CFU/g, respectively. Phosphate-solubilizing bacteria were also detected at 1.52 × 10⁴ CFU/g, supporting the soil's potential for nutrient cycling and organic matter turnover. </w:t>
      </w:r>
    </w:p>
    <w:p w14:paraId="69EC0828" w14:textId="7105E3AC" w:rsidR="00C75AD4" w:rsidRPr="009C28F4" w:rsidRDefault="00811128" w:rsidP="00D21E87">
      <w:pPr>
        <w:jc w:val="center"/>
        <w:outlineLvl w:val="0"/>
        <w:rPr>
          <w:rFonts w:ascii="Times New Roman" w:hAnsi="Times New Roman" w:cs="Times New Roman"/>
          <w:b/>
          <w:sz w:val="24"/>
          <w:szCs w:val="24"/>
        </w:rPr>
      </w:pPr>
      <w:r w:rsidRPr="009C28F4">
        <w:rPr>
          <w:rFonts w:ascii="Times New Roman" w:hAnsi="Times New Roman" w:cs="Times New Roman"/>
          <w:b/>
          <w:sz w:val="24"/>
          <w:szCs w:val="24"/>
        </w:rPr>
        <w:t xml:space="preserve">Table </w:t>
      </w:r>
      <w:r w:rsidR="0017204E">
        <w:rPr>
          <w:rFonts w:ascii="Times New Roman" w:hAnsi="Times New Roman" w:cs="Times New Roman"/>
          <w:b/>
          <w:sz w:val="24"/>
          <w:szCs w:val="24"/>
        </w:rPr>
        <w:t>3</w:t>
      </w:r>
      <w:r w:rsidRPr="009C28F4">
        <w:rPr>
          <w:rFonts w:ascii="Times New Roman" w:hAnsi="Times New Roman" w:cs="Times New Roman"/>
          <w:b/>
          <w:sz w:val="24"/>
          <w:szCs w:val="24"/>
        </w:rPr>
        <w:t>: Physico-chemical and microbial characteristics of the soil used for study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6"/>
        <w:gridCol w:w="1644"/>
      </w:tblGrid>
      <w:tr w:rsidR="00322B9C" w:rsidRPr="009C28F4" w14:paraId="6C58DC25" w14:textId="77777777" w:rsidTr="00322B9C">
        <w:trPr>
          <w:trHeight w:val="280"/>
          <w:jc w:val="center"/>
        </w:trPr>
        <w:tc>
          <w:tcPr>
            <w:tcW w:w="4606" w:type="dxa"/>
            <w:tcBorders>
              <w:bottom w:val="single" w:sz="4" w:space="0" w:color="auto"/>
            </w:tcBorders>
          </w:tcPr>
          <w:p w14:paraId="1F01D3C7"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Physicochemical Parameters</w:t>
            </w:r>
          </w:p>
        </w:tc>
        <w:tc>
          <w:tcPr>
            <w:tcW w:w="1644" w:type="dxa"/>
            <w:tcBorders>
              <w:bottom w:val="single" w:sz="4" w:space="0" w:color="auto"/>
            </w:tcBorders>
          </w:tcPr>
          <w:p w14:paraId="24264CB1"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Values</w:t>
            </w:r>
          </w:p>
        </w:tc>
      </w:tr>
      <w:tr w:rsidR="00322B9C" w:rsidRPr="009C28F4" w14:paraId="7A4B6197" w14:textId="77777777" w:rsidTr="00322B9C">
        <w:trPr>
          <w:trHeight w:val="50"/>
          <w:jc w:val="center"/>
        </w:trPr>
        <w:tc>
          <w:tcPr>
            <w:tcW w:w="4606" w:type="dxa"/>
            <w:tcBorders>
              <w:top w:val="single" w:sz="4" w:space="0" w:color="auto"/>
              <w:bottom w:val="nil"/>
            </w:tcBorders>
          </w:tcPr>
          <w:p w14:paraId="280259F9"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Electrical conductivity (µs/cm)</w:t>
            </w:r>
          </w:p>
        </w:tc>
        <w:tc>
          <w:tcPr>
            <w:tcW w:w="1644" w:type="dxa"/>
            <w:tcBorders>
              <w:top w:val="single" w:sz="4" w:space="0" w:color="auto"/>
              <w:bottom w:val="nil"/>
            </w:tcBorders>
          </w:tcPr>
          <w:p w14:paraId="7D4279E6"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144</w:t>
            </w:r>
          </w:p>
        </w:tc>
      </w:tr>
      <w:tr w:rsidR="00322B9C" w:rsidRPr="009C28F4" w14:paraId="53A8F0D4" w14:textId="77777777" w:rsidTr="00322B9C">
        <w:trPr>
          <w:trHeight w:val="50"/>
          <w:jc w:val="center"/>
        </w:trPr>
        <w:tc>
          <w:tcPr>
            <w:tcW w:w="4606" w:type="dxa"/>
            <w:tcBorders>
              <w:top w:val="nil"/>
            </w:tcBorders>
          </w:tcPr>
          <w:p w14:paraId="38EBD392"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pH</w:t>
            </w:r>
          </w:p>
        </w:tc>
        <w:tc>
          <w:tcPr>
            <w:tcW w:w="1644" w:type="dxa"/>
            <w:tcBorders>
              <w:top w:val="nil"/>
            </w:tcBorders>
          </w:tcPr>
          <w:p w14:paraId="4A20494D"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6.70</w:t>
            </w:r>
          </w:p>
        </w:tc>
      </w:tr>
      <w:tr w:rsidR="00322B9C" w:rsidRPr="009C28F4" w14:paraId="72B1CD5B" w14:textId="77777777" w:rsidTr="00322B9C">
        <w:trPr>
          <w:trHeight w:val="50"/>
          <w:jc w:val="center"/>
        </w:trPr>
        <w:tc>
          <w:tcPr>
            <w:tcW w:w="4606" w:type="dxa"/>
          </w:tcPr>
          <w:p w14:paraId="132BD766"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Total organic carbon (TOC %)</w:t>
            </w:r>
          </w:p>
        </w:tc>
        <w:tc>
          <w:tcPr>
            <w:tcW w:w="1644" w:type="dxa"/>
          </w:tcPr>
          <w:p w14:paraId="13F32A7E"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3.316</w:t>
            </w:r>
          </w:p>
        </w:tc>
      </w:tr>
      <w:tr w:rsidR="00322B9C" w:rsidRPr="009C28F4" w14:paraId="3A3CD4D4" w14:textId="77777777" w:rsidTr="00322B9C">
        <w:trPr>
          <w:trHeight w:val="50"/>
          <w:jc w:val="center"/>
        </w:trPr>
        <w:tc>
          <w:tcPr>
            <w:tcW w:w="4606" w:type="dxa"/>
          </w:tcPr>
          <w:p w14:paraId="2A2014FF"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Total nitrogen (%)</w:t>
            </w:r>
          </w:p>
        </w:tc>
        <w:tc>
          <w:tcPr>
            <w:tcW w:w="1644" w:type="dxa"/>
          </w:tcPr>
          <w:p w14:paraId="2BD234B5"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0.3029</w:t>
            </w:r>
          </w:p>
        </w:tc>
      </w:tr>
      <w:tr w:rsidR="00322B9C" w:rsidRPr="009C28F4" w14:paraId="48E3A7D8" w14:textId="77777777" w:rsidTr="00322B9C">
        <w:trPr>
          <w:trHeight w:val="50"/>
          <w:jc w:val="center"/>
        </w:trPr>
        <w:tc>
          <w:tcPr>
            <w:tcW w:w="4606" w:type="dxa"/>
          </w:tcPr>
          <w:p w14:paraId="4ABD9105"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Nitrates (mg/kg)</w:t>
            </w:r>
          </w:p>
        </w:tc>
        <w:tc>
          <w:tcPr>
            <w:tcW w:w="1644" w:type="dxa"/>
          </w:tcPr>
          <w:p w14:paraId="65715C02"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36.28</w:t>
            </w:r>
          </w:p>
        </w:tc>
      </w:tr>
      <w:tr w:rsidR="00322B9C" w:rsidRPr="009C28F4" w14:paraId="4F4C5A04" w14:textId="77777777" w:rsidTr="00322B9C">
        <w:trPr>
          <w:trHeight w:val="50"/>
          <w:jc w:val="center"/>
        </w:trPr>
        <w:tc>
          <w:tcPr>
            <w:tcW w:w="4606" w:type="dxa"/>
          </w:tcPr>
          <w:p w14:paraId="60AAF19E"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Phosphates (mg/kg)</w:t>
            </w:r>
          </w:p>
        </w:tc>
        <w:tc>
          <w:tcPr>
            <w:tcW w:w="1644" w:type="dxa"/>
          </w:tcPr>
          <w:p w14:paraId="190426AC"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26.32</w:t>
            </w:r>
          </w:p>
        </w:tc>
      </w:tr>
      <w:tr w:rsidR="00322B9C" w:rsidRPr="009C28F4" w14:paraId="6D7C5445" w14:textId="77777777" w:rsidTr="00322B9C">
        <w:trPr>
          <w:trHeight w:val="50"/>
          <w:jc w:val="center"/>
        </w:trPr>
        <w:tc>
          <w:tcPr>
            <w:tcW w:w="4606" w:type="dxa"/>
          </w:tcPr>
          <w:p w14:paraId="3F263ADF"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Moisture content (%)</w:t>
            </w:r>
          </w:p>
        </w:tc>
        <w:tc>
          <w:tcPr>
            <w:tcW w:w="1644" w:type="dxa"/>
          </w:tcPr>
          <w:p w14:paraId="38AD5AAC"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19.41</w:t>
            </w:r>
          </w:p>
        </w:tc>
      </w:tr>
      <w:tr w:rsidR="00322B9C" w:rsidRPr="009C28F4" w14:paraId="2E14D47F" w14:textId="77777777" w:rsidTr="00322B9C">
        <w:trPr>
          <w:trHeight w:val="50"/>
          <w:jc w:val="center"/>
        </w:trPr>
        <w:tc>
          <w:tcPr>
            <w:tcW w:w="4606" w:type="dxa"/>
          </w:tcPr>
          <w:p w14:paraId="55B9C876"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Calcium (</w:t>
            </w:r>
            <w:proofErr w:type="spellStart"/>
            <w:r w:rsidRPr="009C28F4">
              <w:rPr>
                <w:rFonts w:ascii="Times New Roman" w:hAnsi="Times New Roman" w:cs="Times New Roman"/>
                <w:sz w:val="24"/>
                <w:szCs w:val="24"/>
              </w:rPr>
              <w:t>meq</w:t>
            </w:r>
            <w:proofErr w:type="spellEnd"/>
            <w:r w:rsidRPr="009C28F4">
              <w:rPr>
                <w:rFonts w:ascii="Times New Roman" w:hAnsi="Times New Roman" w:cs="Times New Roman"/>
                <w:sz w:val="24"/>
                <w:szCs w:val="24"/>
              </w:rPr>
              <w:t>/100g)</w:t>
            </w:r>
          </w:p>
        </w:tc>
        <w:tc>
          <w:tcPr>
            <w:tcW w:w="1644" w:type="dxa"/>
          </w:tcPr>
          <w:p w14:paraId="534C3833"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61.83</w:t>
            </w:r>
          </w:p>
        </w:tc>
      </w:tr>
      <w:tr w:rsidR="00322B9C" w:rsidRPr="009C28F4" w14:paraId="4915065E" w14:textId="77777777" w:rsidTr="00322B9C">
        <w:trPr>
          <w:trHeight w:val="50"/>
          <w:jc w:val="center"/>
        </w:trPr>
        <w:tc>
          <w:tcPr>
            <w:tcW w:w="4606" w:type="dxa"/>
          </w:tcPr>
          <w:p w14:paraId="7028C90D" w14:textId="77777777" w:rsidR="00322B9C" w:rsidRPr="009C28F4" w:rsidRDefault="00322B9C">
            <w:pPr>
              <w:spacing w:after="0" w:line="240" w:lineRule="auto"/>
              <w:rPr>
                <w:rFonts w:ascii="Times New Roman" w:hAnsi="Times New Roman" w:cs="Times New Roman"/>
                <w:sz w:val="24"/>
                <w:szCs w:val="24"/>
              </w:rPr>
            </w:pPr>
            <w:proofErr w:type="spellStart"/>
            <w:r w:rsidRPr="009C28F4">
              <w:rPr>
                <w:rFonts w:ascii="Times New Roman" w:hAnsi="Times New Roman" w:cs="Times New Roman"/>
                <w:sz w:val="24"/>
                <w:szCs w:val="24"/>
              </w:rPr>
              <w:t>Magnessium</w:t>
            </w:r>
            <w:proofErr w:type="spellEnd"/>
            <w:r w:rsidRPr="009C28F4">
              <w:rPr>
                <w:rFonts w:ascii="Times New Roman" w:hAnsi="Times New Roman" w:cs="Times New Roman"/>
                <w:sz w:val="24"/>
                <w:szCs w:val="24"/>
              </w:rPr>
              <w:t xml:space="preserve"> (</w:t>
            </w:r>
            <w:proofErr w:type="spellStart"/>
            <w:r w:rsidRPr="009C28F4">
              <w:rPr>
                <w:rFonts w:ascii="Times New Roman" w:hAnsi="Times New Roman" w:cs="Times New Roman"/>
                <w:sz w:val="24"/>
                <w:szCs w:val="24"/>
              </w:rPr>
              <w:t>meq</w:t>
            </w:r>
            <w:proofErr w:type="spellEnd"/>
            <w:r w:rsidRPr="009C28F4">
              <w:rPr>
                <w:rFonts w:ascii="Times New Roman" w:hAnsi="Times New Roman" w:cs="Times New Roman"/>
                <w:sz w:val="24"/>
                <w:szCs w:val="24"/>
              </w:rPr>
              <w:t>/100g)</w:t>
            </w:r>
          </w:p>
        </w:tc>
        <w:tc>
          <w:tcPr>
            <w:tcW w:w="1644" w:type="dxa"/>
          </w:tcPr>
          <w:p w14:paraId="67B5EB69"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22.15</w:t>
            </w:r>
          </w:p>
        </w:tc>
      </w:tr>
      <w:tr w:rsidR="00322B9C" w:rsidRPr="009C28F4" w14:paraId="5BD79390" w14:textId="77777777" w:rsidTr="00322B9C">
        <w:trPr>
          <w:trHeight w:val="50"/>
          <w:jc w:val="center"/>
        </w:trPr>
        <w:tc>
          <w:tcPr>
            <w:tcW w:w="4606" w:type="dxa"/>
          </w:tcPr>
          <w:p w14:paraId="46A21B37"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Sodium (</w:t>
            </w:r>
            <w:proofErr w:type="spellStart"/>
            <w:r w:rsidRPr="009C28F4">
              <w:rPr>
                <w:rFonts w:ascii="Times New Roman" w:hAnsi="Times New Roman" w:cs="Times New Roman"/>
                <w:sz w:val="24"/>
                <w:szCs w:val="24"/>
              </w:rPr>
              <w:t>meq</w:t>
            </w:r>
            <w:proofErr w:type="spellEnd"/>
            <w:r w:rsidRPr="009C28F4">
              <w:rPr>
                <w:rFonts w:ascii="Times New Roman" w:hAnsi="Times New Roman" w:cs="Times New Roman"/>
                <w:sz w:val="24"/>
                <w:szCs w:val="24"/>
              </w:rPr>
              <w:t>/100g)</w:t>
            </w:r>
          </w:p>
        </w:tc>
        <w:tc>
          <w:tcPr>
            <w:tcW w:w="1644" w:type="dxa"/>
          </w:tcPr>
          <w:p w14:paraId="53FAE95E"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0.97</w:t>
            </w:r>
          </w:p>
        </w:tc>
      </w:tr>
      <w:tr w:rsidR="00322B9C" w:rsidRPr="009C28F4" w14:paraId="77A5D8D6" w14:textId="77777777" w:rsidTr="00322B9C">
        <w:trPr>
          <w:trHeight w:val="50"/>
          <w:jc w:val="center"/>
        </w:trPr>
        <w:tc>
          <w:tcPr>
            <w:tcW w:w="4606" w:type="dxa"/>
          </w:tcPr>
          <w:p w14:paraId="7844E209"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Potassium (</w:t>
            </w:r>
            <w:proofErr w:type="spellStart"/>
            <w:r w:rsidRPr="009C28F4">
              <w:rPr>
                <w:rFonts w:ascii="Times New Roman" w:hAnsi="Times New Roman" w:cs="Times New Roman"/>
                <w:sz w:val="24"/>
                <w:szCs w:val="24"/>
              </w:rPr>
              <w:t>meq</w:t>
            </w:r>
            <w:proofErr w:type="spellEnd"/>
            <w:r w:rsidRPr="009C28F4">
              <w:rPr>
                <w:rFonts w:ascii="Times New Roman" w:hAnsi="Times New Roman" w:cs="Times New Roman"/>
                <w:sz w:val="24"/>
                <w:szCs w:val="24"/>
              </w:rPr>
              <w:t>/100g)</w:t>
            </w:r>
          </w:p>
        </w:tc>
        <w:tc>
          <w:tcPr>
            <w:tcW w:w="1644" w:type="dxa"/>
          </w:tcPr>
          <w:p w14:paraId="05A0749A"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1.03</w:t>
            </w:r>
          </w:p>
        </w:tc>
      </w:tr>
      <w:tr w:rsidR="00322B9C" w:rsidRPr="009C28F4" w14:paraId="3473422A" w14:textId="77777777" w:rsidTr="00322B9C">
        <w:trPr>
          <w:trHeight w:val="50"/>
          <w:jc w:val="center"/>
        </w:trPr>
        <w:tc>
          <w:tcPr>
            <w:tcW w:w="4606" w:type="dxa"/>
          </w:tcPr>
          <w:p w14:paraId="307C7FFB"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Arsenic (mg/kg)</w:t>
            </w:r>
          </w:p>
        </w:tc>
        <w:tc>
          <w:tcPr>
            <w:tcW w:w="1644" w:type="dxa"/>
          </w:tcPr>
          <w:p w14:paraId="33468BF0"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0.215</w:t>
            </w:r>
          </w:p>
        </w:tc>
      </w:tr>
      <w:tr w:rsidR="00322B9C" w:rsidRPr="009C28F4" w14:paraId="5A924E39" w14:textId="77777777" w:rsidTr="00322B9C">
        <w:trPr>
          <w:trHeight w:val="50"/>
          <w:jc w:val="center"/>
        </w:trPr>
        <w:tc>
          <w:tcPr>
            <w:tcW w:w="4606" w:type="dxa"/>
          </w:tcPr>
          <w:p w14:paraId="44BE2624"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Mercury (mg/kg)</w:t>
            </w:r>
          </w:p>
        </w:tc>
        <w:tc>
          <w:tcPr>
            <w:tcW w:w="1644" w:type="dxa"/>
          </w:tcPr>
          <w:p w14:paraId="4DCA0799"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&lt;0.001</w:t>
            </w:r>
          </w:p>
        </w:tc>
      </w:tr>
      <w:tr w:rsidR="00322B9C" w:rsidRPr="009C28F4" w14:paraId="31BFAC5B" w14:textId="77777777" w:rsidTr="00322B9C">
        <w:trPr>
          <w:trHeight w:val="50"/>
          <w:jc w:val="center"/>
        </w:trPr>
        <w:tc>
          <w:tcPr>
            <w:tcW w:w="4606" w:type="dxa"/>
          </w:tcPr>
          <w:p w14:paraId="39CFD226"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Lead (mg/kg)</w:t>
            </w:r>
          </w:p>
        </w:tc>
        <w:tc>
          <w:tcPr>
            <w:tcW w:w="1644" w:type="dxa"/>
          </w:tcPr>
          <w:p w14:paraId="74BDD5CA"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19.25</w:t>
            </w:r>
          </w:p>
        </w:tc>
      </w:tr>
      <w:tr w:rsidR="00322B9C" w:rsidRPr="009C28F4" w14:paraId="5CA6CC24" w14:textId="77777777" w:rsidTr="00322B9C">
        <w:trPr>
          <w:trHeight w:val="50"/>
          <w:jc w:val="center"/>
        </w:trPr>
        <w:tc>
          <w:tcPr>
            <w:tcW w:w="4606" w:type="dxa"/>
          </w:tcPr>
          <w:p w14:paraId="2143F035"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Cadmium (mg/kg)</w:t>
            </w:r>
          </w:p>
        </w:tc>
        <w:tc>
          <w:tcPr>
            <w:tcW w:w="1644" w:type="dxa"/>
          </w:tcPr>
          <w:p w14:paraId="4662F03A"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0.725</w:t>
            </w:r>
          </w:p>
        </w:tc>
      </w:tr>
      <w:tr w:rsidR="00322B9C" w:rsidRPr="009C28F4" w14:paraId="580FF8C9" w14:textId="77777777" w:rsidTr="00322B9C">
        <w:trPr>
          <w:trHeight w:val="50"/>
          <w:jc w:val="center"/>
        </w:trPr>
        <w:tc>
          <w:tcPr>
            <w:tcW w:w="4606" w:type="dxa"/>
          </w:tcPr>
          <w:p w14:paraId="05F27093" w14:textId="77777777" w:rsidR="00322B9C" w:rsidRPr="009C28F4" w:rsidRDefault="00322B9C" w:rsidP="00322B9C">
            <w:pPr>
              <w:spacing w:after="0" w:line="240" w:lineRule="auto"/>
              <w:rPr>
                <w:rFonts w:ascii="Times New Roman" w:hAnsi="Times New Roman" w:cs="Times New Roman"/>
                <w:b/>
                <w:sz w:val="24"/>
                <w:szCs w:val="24"/>
              </w:rPr>
            </w:pPr>
            <w:r w:rsidRPr="009C28F4">
              <w:rPr>
                <w:rFonts w:ascii="Times New Roman" w:hAnsi="Times New Roman" w:cs="Times New Roman"/>
                <w:b/>
                <w:sz w:val="24"/>
                <w:szCs w:val="24"/>
              </w:rPr>
              <w:t>Microbiological</w:t>
            </w:r>
          </w:p>
        </w:tc>
        <w:tc>
          <w:tcPr>
            <w:tcW w:w="1644" w:type="dxa"/>
          </w:tcPr>
          <w:p w14:paraId="40D575AB" w14:textId="77777777" w:rsidR="00322B9C" w:rsidRPr="009C28F4" w:rsidRDefault="00322B9C">
            <w:pPr>
              <w:spacing w:after="0" w:line="240" w:lineRule="auto"/>
              <w:rPr>
                <w:rFonts w:ascii="Times New Roman" w:hAnsi="Times New Roman" w:cs="Times New Roman"/>
                <w:b/>
                <w:sz w:val="24"/>
                <w:szCs w:val="24"/>
              </w:rPr>
            </w:pPr>
          </w:p>
        </w:tc>
      </w:tr>
      <w:tr w:rsidR="00322B9C" w:rsidRPr="009C28F4" w14:paraId="0BAA3C87" w14:textId="77777777" w:rsidTr="00322B9C">
        <w:trPr>
          <w:trHeight w:val="50"/>
          <w:jc w:val="center"/>
        </w:trPr>
        <w:tc>
          <w:tcPr>
            <w:tcW w:w="4606" w:type="dxa"/>
          </w:tcPr>
          <w:p w14:paraId="77C824C9"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Total heterotrophic bacteria (× 10</w:t>
            </w:r>
            <w:r w:rsidRPr="009C28F4">
              <w:rPr>
                <w:rFonts w:ascii="Times New Roman" w:hAnsi="Times New Roman" w:cs="Times New Roman"/>
                <w:sz w:val="24"/>
                <w:szCs w:val="24"/>
                <w:vertAlign w:val="superscript"/>
              </w:rPr>
              <w:t xml:space="preserve">7 </w:t>
            </w:r>
            <w:r w:rsidRPr="009C28F4">
              <w:rPr>
                <w:rFonts w:ascii="Times New Roman" w:hAnsi="Times New Roman" w:cs="Times New Roman"/>
                <w:sz w:val="24"/>
                <w:szCs w:val="24"/>
              </w:rPr>
              <w:t>CFU/g)</w:t>
            </w:r>
          </w:p>
        </w:tc>
        <w:tc>
          <w:tcPr>
            <w:tcW w:w="1644" w:type="dxa"/>
          </w:tcPr>
          <w:p w14:paraId="54383731" w14:textId="77777777" w:rsidR="00322B9C" w:rsidRPr="009C28F4" w:rsidRDefault="00322B9C" w:rsidP="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6.30</w:t>
            </w:r>
          </w:p>
        </w:tc>
      </w:tr>
      <w:tr w:rsidR="00322B9C" w:rsidRPr="009C28F4" w14:paraId="39BEA5CA" w14:textId="77777777" w:rsidTr="00322B9C">
        <w:trPr>
          <w:trHeight w:val="50"/>
          <w:jc w:val="center"/>
        </w:trPr>
        <w:tc>
          <w:tcPr>
            <w:tcW w:w="4606" w:type="dxa"/>
          </w:tcPr>
          <w:p w14:paraId="1CE0C5D6"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Fungi (× 10</w:t>
            </w:r>
            <w:r w:rsidRPr="009C28F4">
              <w:rPr>
                <w:rFonts w:ascii="Times New Roman" w:hAnsi="Times New Roman" w:cs="Times New Roman"/>
                <w:sz w:val="24"/>
                <w:szCs w:val="24"/>
                <w:vertAlign w:val="superscript"/>
              </w:rPr>
              <w:t xml:space="preserve">5 </w:t>
            </w:r>
            <w:r w:rsidRPr="009C28F4">
              <w:rPr>
                <w:rFonts w:ascii="Times New Roman" w:hAnsi="Times New Roman" w:cs="Times New Roman"/>
                <w:sz w:val="24"/>
                <w:szCs w:val="24"/>
              </w:rPr>
              <w:t>CFU/g)</w:t>
            </w:r>
          </w:p>
        </w:tc>
        <w:tc>
          <w:tcPr>
            <w:tcW w:w="1644" w:type="dxa"/>
          </w:tcPr>
          <w:p w14:paraId="76125E75" w14:textId="77777777" w:rsidR="00322B9C" w:rsidRPr="009C28F4" w:rsidRDefault="00322B9C" w:rsidP="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1.41</w:t>
            </w:r>
          </w:p>
        </w:tc>
      </w:tr>
      <w:tr w:rsidR="00322B9C" w:rsidRPr="009C28F4" w14:paraId="6219C501" w14:textId="77777777" w:rsidTr="00322B9C">
        <w:trPr>
          <w:trHeight w:val="50"/>
          <w:jc w:val="center"/>
        </w:trPr>
        <w:tc>
          <w:tcPr>
            <w:tcW w:w="4606" w:type="dxa"/>
          </w:tcPr>
          <w:p w14:paraId="61EB16D0"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Actinomycetes (× 10</w:t>
            </w:r>
            <w:r w:rsidRPr="009C28F4">
              <w:rPr>
                <w:rFonts w:ascii="Times New Roman" w:hAnsi="Times New Roman" w:cs="Times New Roman"/>
                <w:sz w:val="24"/>
                <w:szCs w:val="24"/>
                <w:vertAlign w:val="superscript"/>
              </w:rPr>
              <w:t xml:space="preserve">4 </w:t>
            </w:r>
            <w:r w:rsidRPr="009C28F4">
              <w:rPr>
                <w:rFonts w:ascii="Times New Roman" w:hAnsi="Times New Roman" w:cs="Times New Roman"/>
                <w:sz w:val="24"/>
                <w:szCs w:val="24"/>
              </w:rPr>
              <w:t>CFU/g)</w:t>
            </w:r>
          </w:p>
        </w:tc>
        <w:tc>
          <w:tcPr>
            <w:tcW w:w="1644" w:type="dxa"/>
          </w:tcPr>
          <w:p w14:paraId="12D72100" w14:textId="77777777" w:rsidR="00322B9C" w:rsidRPr="009C28F4" w:rsidRDefault="00322B9C" w:rsidP="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1.99</w:t>
            </w:r>
          </w:p>
        </w:tc>
      </w:tr>
      <w:tr w:rsidR="00322B9C" w:rsidRPr="009C28F4" w14:paraId="06C8D58B" w14:textId="77777777" w:rsidTr="00322B9C">
        <w:trPr>
          <w:trHeight w:val="50"/>
          <w:jc w:val="center"/>
        </w:trPr>
        <w:tc>
          <w:tcPr>
            <w:tcW w:w="4606" w:type="dxa"/>
          </w:tcPr>
          <w:p w14:paraId="11A7A68F"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Nitrifying bacteria (× 10</w:t>
            </w:r>
            <w:r w:rsidRPr="009C28F4">
              <w:rPr>
                <w:rFonts w:ascii="Times New Roman" w:hAnsi="Times New Roman" w:cs="Times New Roman"/>
                <w:sz w:val="24"/>
                <w:szCs w:val="24"/>
                <w:vertAlign w:val="superscript"/>
              </w:rPr>
              <w:t xml:space="preserve">4 </w:t>
            </w:r>
            <w:r w:rsidRPr="009C28F4">
              <w:rPr>
                <w:rFonts w:ascii="Times New Roman" w:hAnsi="Times New Roman" w:cs="Times New Roman"/>
                <w:sz w:val="24"/>
                <w:szCs w:val="24"/>
              </w:rPr>
              <w:t>CFU/g)</w:t>
            </w:r>
          </w:p>
        </w:tc>
        <w:tc>
          <w:tcPr>
            <w:tcW w:w="1644" w:type="dxa"/>
          </w:tcPr>
          <w:p w14:paraId="67AD84B4" w14:textId="77777777" w:rsidR="00322B9C" w:rsidRPr="009C28F4" w:rsidRDefault="00322B9C" w:rsidP="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1.45</w:t>
            </w:r>
          </w:p>
        </w:tc>
      </w:tr>
      <w:tr w:rsidR="00322B9C" w:rsidRPr="009C28F4" w14:paraId="43500E7B" w14:textId="77777777" w:rsidTr="00322B9C">
        <w:trPr>
          <w:trHeight w:val="50"/>
          <w:jc w:val="center"/>
        </w:trPr>
        <w:tc>
          <w:tcPr>
            <w:tcW w:w="4606" w:type="dxa"/>
          </w:tcPr>
          <w:p w14:paraId="61B4FB67" w14:textId="77777777" w:rsidR="00322B9C" w:rsidRPr="009C28F4" w:rsidRDefault="00322B9C">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Phosphate solubilizers (× 10</w:t>
            </w:r>
            <w:r w:rsidRPr="009C28F4">
              <w:rPr>
                <w:rFonts w:ascii="Times New Roman" w:hAnsi="Times New Roman" w:cs="Times New Roman"/>
                <w:sz w:val="24"/>
                <w:szCs w:val="24"/>
                <w:vertAlign w:val="superscript"/>
              </w:rPr>
              <w:t xml:space="preserve">4 </w:t>
            </w:r>
            <w:r w:rsidRPr="009C28F4">
              <w:rPr>
                <w:rFonts w:ascii="Times New Roman" w:hAnsi="Times New Roman" w:cs="Times New Roman"/>
                <w:sz w:val="24"/>
                <w:szCs w:val="24"/>
              </w:rPr>
              <w:t>CFU/g)</w:t>
            </w:r>
          </w:p>
        </w:tc>
        <w:tc>
          <w:tcPr>
            <w:tcW w:w="1644" w:type="dxa"/>
          </w:tcPr>
          <w:p w14:paraId="771D8A50" w14:textId="77777777" w:rsidR="00322B9C" w:rsidRPr="009C28F4" w:rsidRDefault="00322B9C" w:rsidP="00322B9C">
            <w:pPr>
              <w:spacing w:after="0" w:line="240" w:lineRule="auto"/>
              <w:rPr>
                <w:rFonts w:ascii="Times New Roman" w:hAnsi="Times New Roman" w:cs="Times New Roman"/>
                <w:sz w:val="24"/>
                <w:szCs w:val="24"/>
                <w:highlight w:val="yellow"/>
              </w:rPr>
            </w:pPr>
            <w:r w:rsidRPr="009C28F4">
              <w:rPr>
                <w:rFonts w:ascii="Times New Roman" w:hAnsi="Times New Roman" w:cs="Times New Roman"/>
                <w:sz w:val="24"/>
                <w:szCs w:val="24"/>
              </w:rPr>
              <w:t>1.52</w:t>
            </w:r>
          </w:p>
        </w:tc>
      </w:tr>
      <w:tr w:rsidR="00322B9C" w:rsidRPr="009C28F4" w14:paraId="3FB7348D" w14:textId="77777777" w:rsidTr="00322B9C">
        <w:trPr>
          <w:trHeight w:val="50"/>
          <w:jc w:val="center"/>
        </w:trPr>
        <w:tc>
          <w:tcPr>
            <w:tcW w:w="4606" w:type="dxa"/>
          </w:tcPr>
          <w:p w14:paraId="7148626B" w14:textId="77777777" w:rsidR="00322B9C" w:rsidRPr="009C28F4" w:rsidRDefault="00322B9C" w:rsidP="00322B9C">
            <w:pPr>
              <w:spacing w:after="0" w:line="240" w:lineRule="auto"/>
              <w:rPr>
                <w:rFonts w:ascii="Times New Roman" w:hAnsi="Times New Roman" w:cs="Times New Roman"/>
                <w:b/>
                <w:sz w:val="24"/>
                <w:szCs w:val="24"/>
              </w:rPr>
            </w:pPr>
            <w:r w:rsidRPr="009C28F4">
              <w:rPr>
                <w:rFonts w:ascii="Times New Roman" w:hAnsi="Times New Roman" w:cs="Times New Roman"/>
                <w:b/>
                <w:sz w:val="24"/>
                <w:szCs w:val="24"/>
              </w:rPr>
              <w:t xml:space="preserve">Soil particle size distribution </w:t>
            </w:r>
          </w:p>
        </w:tc>
        <w:tc>
          <w:tcPr>
            <w:tcW w:w="1644" w:type="dxa"/>
          </w:tcPr>
          <w:p w14:paraId="00F485A1" w14:textId="77777777" w:rsidR="00322B9C" w:rsidRPr="009C28F4" w:rsidRDefault="00322B9C" w:rsidP="0050225F">
            <w:pPr>
              <w:spacing w:after="0" w:line="240" w:lineRule="auto"/>
              <w:rPr>
                <w:rFonts w:ascii="Times New Roman" w:hAnsi="Times New Roman" w:cs="Times New Roman"/>
                <w:b/>
                <w:sz w:val="24"/>
                <w:szCs w:val="24"/>
              </w:rPr>
            </w:pPr>
          </w:p>
        </w:tc>
      </w:tr>
      <w:tr w:rsidR="00322B9C" w:rsidRPr="009C28F4" w14:paraId="64EFE2F6" w14:textId="77777777" w:rsidTr="00322B9C">
        <w:trPr>
          <w:trHeight w:val="50"/>
          <w:jc w:val="center"/>
        </w:trPr>
        <w:tc>
          <w:tcPr>
            <w:tcW w:w="4606" w:type="dxa"/>
          </w:tcPr>
          <w:p w14:paraId="7267CE80" w14:textId="77777777" w:rsidR="00322B9C" w:rsidRPr="009C28F4" w:rsidRDefault="00322B9C" w:rsidP="0050225F">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Silt (%)</w:t>
            </w:r>
          </w:p>
        </w:tc>
        <w:tc>
          <w:tcPr>
            <w:tcW w:w="1644" w:type="dxa"/>
          </w:tcPr>
          <w:p w14:paraId="136A0288" w14:textId="77777777" w:rsidR="00322B9C" w:rsidRPr="009C28F4" w:rsidRDefault="00322B9C" w:rsidP="0050225F">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2.65</w:t>
            </w:r>
          </w:p>
        </w:tc>
      </w:tr>
      <w:tr w:rsidR="00322B9C" w:rsidRPr="009C28F4" w14:paraId="38A6CC5B" w14:textId="77777777" w:rsidTr="00322B9C">
        <w:trPr>
          <w:trHeight w:val="50"/>
          <w:jc w:val="center"/>
        </w:trPr>
        <w:tc>
          <w:tcPr>
            <w:tcW w:w="4606" w:type="dxa"/>
          </w:tcPr>
          <w:p w14:paraId="61E2E31D" w14:textId="77777777" w:rsidR="00322B9C" w:rsidRPr="009C28F4" w:rsidRDefault="00322B9C" w:rsidP="0050225F">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Sand (%)</w:t>
            </w:r>
          </w:p>
        </w:tc>
        <w:tc>
          <w:tcPr>
            <w:tcW w:w="1644" w:type="dxa"/>
          </w:tcPr>
          <w:p w14:paraId="582FB104" w14:textId="77777777" w:rsidR="00322B9C" w:rsidRPr="009C28F4" w:rsidRDefault="00322B9C" w:rsidP="0050225F">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97.192</w:t>
            </w:r>
          </w:p>
        </w:tc>
      </w:tr>
      <w:tr w:rsidR="00322B9C" w:rsidRPr="009C28F4" w14:paraId="4C7905DC" w14:textId="77777777" w:rsidTr="00322B9C">
        <w:trPr>
          <w:trHeight w:val="50"/>
          <w:jc w:val="center"/>
        </w:trPr>
        <w:tc>
          <w:tcPr>
            <w:tcW w:w="4606" w:type="dxa"/>
          </w:tcPr>
          <w:p w14:paraId="71FA9A18" w14:textId="77777777" w:rsidR="00322B9C" w:rsidRPr="009C28F4" w:rsidRDefault="00322B9C" w:rsidP="0050225F">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Clay (%)</w:t>
            </w:r>
          </w:p>
        </w:tc>
        <w:tc>
          <w:tcPr>
            <w:tcW w:w="1644" w:type="dxa"/>
          </w:tcPr>
          <w:p w14:paraId="35F67F29" w14:textId="77777777" w:rsidR="00322B9C" w:rsidRPr="009C28F4" w:rsidRDefault="00322B9C" w:rsidP="0050225F">
            <w:pPr>
              <w:spacing w:after="0" w:line="240" w:lineRule="auto"/>
              <w:rPr>
                <w:rFonts w:ascii="Times New Roman" w:hAnsi="Times New Roman" w:cs="Times New Roman"/>
                <w:sz w:val="24"/>
                <w:szCs w:val="24"/>
              </w:rPr>
            </w:pPr>
            <w:r w:rsidRPr="009C28F4">
              <w:rPr>
                <w:rFonts w:ascii="Times New Roman" w:hAnsi="Times New Roman" w:cs="Times New Roman"/>
                <w:sz w:val="24"/>
                <w:szCs w:val="24"/>
              </w:rPr>
              <w:t>0.158</w:t>
            </w:r>
          </w:p>
        </w:tc>
      </w:tr>
    </w:tbl>
    <w:p w14:paraId="59E2AB14" w14:textId="77777777" w:rsidR="00C75AD4" w:rsidRPr="009C28F4" w:rsidRDefault="00C75AD4">
      <w:pPr>
        <w:spacing w:line="360" w:lineRule="auto"/>
        <w:jc w:val="both"/>
        <w:rPr>
          <w:rFonts w:ascii="Times New Roman" w:hAnsi="Times New Roman" w:cs="Times New Roman"/>
          <w:b/>
          <w:sz w:val="24"/>
          <w:szCs w:val="24"/>
        </w:rPr>
      </w:pPr>
    </w:p>
    <w:p w14:paraId="67C9F628" w14:textId="77777777" w:rsidR="00C75AD4" w:rsidRPr="009C28F4" w:rsidRDefault="00811128" w:rsidP="00D21E87">
      <w:pPr>
        <w:spacing w:after="0" w:line="360" w:lineRule="auto"/>
        <w:jc w:val="both"/>
        <w:outlineLvl w:val="0"/>
        <w:rPr>
          <w:rFonts w:ascii="Times New Roman" w:hAnsi="Times New Roman" w:cs="Times New Roman"/>
          <w:b/>
          <w:sz w:val="24"/>
          <w:szCs w:val="24"/>
        </w:rPr>
      </w:pPr>
      <w:r w:rsidRPr="009C28F4">
        <w:rPr>
          <w:rFonts w:ascii="Times New Roman" w:hAnsi="Times New Roman" w:cs="Times New Roman"/>
          <w:b/>
          <w:sz w:val="24"/>
          <w:szCs w:val="24"/>
        </w:rPr>
        <w:t>3.1.2 Acute Toxicity of Atrazine to Snails (</w:t>
      </w:r>
      <w:r w:rsidRPr="009C28F4">
        <w:rPr>
          <w:rFonts w:ascii="Times New Roman" w:hAnsi="Times New Roman" w:cs="Times New Roman"/>
          <w:b/>
          <w:i/>
          <w:sz w:val="24"/>
          <w:szCs w:val="24"/>
        </w:rPr>
        <w:t xml:space="preserve">Helix </w:t>
      </w:r>
      <w:proofErr w:type="spellStart"/>
      <w:r w:rsidRPr="009C28F4">
        <w:rPr>
          <w:rFonts w:ascii="Times New Roman" w:hAnsi="Times New Roman" w:cs="Times New Roman"/>
          <w:b/>
          <w:i/>
          <w:sz w:val="24"/>
          <w:szCs w:val="24"/>
        </w:rPr>
        <w:t>aspersa</w:t>
      </w:r>
      <w:proofErr w:type="spellEnd"/>
      <w:r w:rsidRPr="009C28F4">
        <w:rPr>
          <w:rFonts w:ascii="Times New Roman" w:hAnsi="Times New Roman" w:cs="Times New Roman"/>
          <w:b/>
          <w:sz w:val="24"/>
          <w:szCs w:val="24"/>
        </w:rPr>
        <w:t>)</w:t>
      </w:r>
    </w:p>
    <w:p w14:paraId="49F538D8" w14:textId="77777777" w:rsidR="00C75AD4" w:rsidRPr="009C28F4" w:rsidRDefault="00811128">
      <w:pPr>
        <w:spacing w:line="360" w:lineRule="auto"/>
        <w:ind w:firstLine="720"/>
        <w:jc w:val="both"/>
        <w:rPr>
          <w:rFonts w:ascii="Times New Roman" w:hAnsi="Times New Roman" w:cs="Times New Roman"/>
          <w:sz w:val="24"/>
          <w:szCs w:val="24"/>
        </w:rPr>
      </w:pPr>
      <w:r w:rsidRPr="009C28F4">
        <w:rPr>
          <w:rFonts w:ascii="Times New Roman" w:hAnsi="Times New Roman" w:cs="Times New Roman"/>
          <w:sz w:val="24"/>
          <w:szCs w:val="24"/>
        </w:rPr>
        <w:t xml:space="preserve">The dose-response relationship between Atrazine concentration and snail mortality is presented in Figure 1. The probit curve exhibits a classic sigmoidal shape, indicating a consistent increase in mortality with increasing pesticide concentration. The x-axis represents the logarithm (base 10) of </w:t>
      </w:r>
      <w:r w:rsidRPr="009C28F4">
        <w:rPr>
          <w:rFonts w:ascii="Times New Roman" w:hAnsi="Times New Roman" w:cs="Times New Roman"/>
          <w:sz w:val="24"/>
          <w:szCs w:val="24"/>
        </w:rPr>
        <w:lastRenderedPageBreak/>
        <w:t>Atrazine concentration (mg/kg), while the y-axis represents the proportion of dead snails expressed as probit values. As observed, mortality was negligible at lower concentrations (e.g., 1–2 mg/kg), corresponding to probit values between 0.05 and 0.25, indicating minimal lethality. However, a sharp increase in mortality occurred between 5 and 20 mg/kg, with corresponding probit values rising rapidly from 0.3 to 0.9, showing a steep slope within this concentration range. The med</w:t>
      </w:r>
      <w:r w:rsidR="0064657E" w:rsidRPr="009C28F4">
        <w:rPr>
          <w:rFonts w:ascii="Times New Roman" w:hAnsi="Times New Roman" w:cs="Times New Roman"/>
          <w:sz w:val="24"/>
          <w:szCs w:val="24"/>
        </w:rPr>
        <w:t xml:space="preserve">ian lethal concentration (LC₅₀) </w:t>
      </w:r>
      <w:r w:rsidRPr="009C28F4">
        <w:rPr>
          <w:rFonts w:ascii="Times New Roman" w:hAnsi="Times New Roman" w:cs="Times New Roman"/>
          <w:sz w:val="24"/>
          <w:szCs w:val="24"/>
        </w:rPr>
        <w:t xml:space="preserve">defined as the dose causing 50% mortality of the exposed snail </w:t>
      </w:r>
      <w:proofErr w:type="spellStart"/>
      <w:r w:rsidRPr="009C28F4">
        <w:rPr>
          <w:rFonts w:ascii="Times New Roman" w:hAnsi="Times New Roman" w:cs="Times New Roman"/>
          <w:sz w:val="24"/>
          <w:szCs w:val="24"/>
        </w:rPr>
        <w:t>populationwas</w:t>
      </w:r>
      <w:proofErr w:type="spellEnd"/>
      <w:r w:rsidRPr="009C28F4">
        <w:rPr>
          <w:rFonts w:ascii="Times New Roman" w:hAnsi="Times New Roman" w:cs="Times New Roman"/>
          <w:sz w:val="24"/>
          <w:szCs w:val="24"/>
        </w:rPr>
        <w:t xml:space="preserve"> estimated to be 10.04 mg/kg. This point corresponds to a probit value of 0.5 on the curve, confirming the validity of the fitted model and the observed mortality trend. Beyond this concentration, further increases in Atrazine levels resulted in near-complete mortality (probit values approaching 1.0), suggesting high toxicity at higher exposure levels. These results demonstrate that Atrazine poses significant toxicological risk to terrestrial mollusks at concentrations above 10 mg/kg, underscoring its potential ecological impact in pesticide-contaminated soils.</w:t>
      </w:r>
    </w:p>
    <w:p w14:paraId="5F9287EA" w14:textId="77777777" w:rsidR="00C75AD4" w:rsidRPr="009C28F4" w:rsidRDefault="00811128">
      <w:pPr>
        <w:spacing w:line="240" w:lineRule="auto"/>
        <w:jc w:val="center"/>
        <w:rPr>
          <w:rFonts w:ascii="Times New Roman" w:eastAsia="Times New Roman" w:hAnsi="Times New Roman" w:cs="Times New Roman"/>
          <w:sz w:val="24"/>
          <w:szCs w:val="24"/>
        </w:rPr>
      </w:pPr>
      <w:r w:rsidRPr="009C28F4">
        <w:rPr>
          <w:rFonts w:ascii="Times New Roman" w:hAnsi="Times New Roman" w:cs="Times New Roman"/>
          <w:noProof/>
          <w:sz w:val="24"/>
          <w:szCs w:val="24"/>
        </w:rPr>
        <w:drawing>
          <wp:inline distT="0" distB="0" distL="0" distR="0" wp14:anchorId="5791DC7A" wp14:editId="11C4114F">
            <wp:extent cx="5057775" cy="2614295"/>
            <wp:effectExtent l="0" t="0" r="0"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37506DC" w14:textId="77777777" w:rsidR="00C75AD4" w:rsidRPr="009C28F4" w:rsidRDefault="00811128" w:rsidP="00D21E87">
      <w:pPr>
        <w:jc w:val="center"/>
        <w:outlineLvl w:val="0"/>
        <w:rPr>
          <w:rFonts w:ascii="Times New Roman" w:hAnsi="Times New Roman" w:cs="Times New Roman"/>
          <w:sz w:val="24"/>
          <w:szCs w:val="24"/>
        </w:rPr>
      </w:pPr>
      <w:r w:rsidRPr="009C28F4">
        <w:rPr>
          <w:rFonts w:ascii="Times New Roman" w:hAnsi="Times New Roman" w:cs="Times New Roman"/>
          <w:sz w:val="24"/>
          <w:szCs w:val="24"/>
        </w:rPr>
        <w:t>Figure 1: Median lethal concentration (LC50) of Atrazine for snails = 10.04mg/kg</w:t>
      </w:r>
    </w:p>
    <w:p w14:paraId="0B94DA27" w14:textId="77777777" w:rsidR="00C75AD4" w:rsidRPr="009C28F4" w:rsidRDefault="00811128" w:rsidP="00D21E87">
      <w:pPr>
        <w:spacing w:line="360" w:lineRule="auto"/>
        <w:jc w:val="both"/>
        <w:outlineLvl w:val="0"/>
        <w:rPr>
          <w:rFonts w:ascii="Times New Roman" w:hAnsi="Times New Roman" w:cs="Times New Roman"/>
          <w:b/>
          <w:sz w:val="24"/>
          <w:szCs w:val="24"/>
        </w:rPr>
      </w:pPr>
      <w:r w:rsidRPr="009C28F4">
        <w:rPr>
          <w:rFonts w:ascii="Times New Roman" w:hAnsi="Times New Roman" w:cs="Times New Roman"/>
          <w:b/>
          <w:sz w:val="24"/>
          <w:szCs w:val="24"/>
        </w:rPr>
        <w:t>3.1.3</w:t>
      </w:r>
      <w:r w:rsidR="009E014C" w:rsidRPr="009C28F4">
        <w:rPr>
          <w:rFonts w:ascii="Times New Roman" w:hAnsi="Times New Roman" w:cs="Times New Roman"/>
          <w:b/>
          <w:sz w:val="24"/>
          <w:szCs w:val="24"/>
        </w:rPr>
        <w:tab/>
      </w:r>
      <w:r w:rsidRPr="009C28F4">
        <w:rPr>
          <w:rFonts w:ascii="Times New Roman" w:hAnsi="Times New Roman" w:cs="Times New Roman"/>
          <w:b/>
          <w:sz w:val="24"/>
          <w:szCs w:val="24"/>
        </w:rPr>
        <w:t>Acute Toxicity of Dichlorvos to Snails (</w:t>
      </w:r>
      <w:r w:rsidRPr="009C28F4">
        <w:rPr>
          <w:rFonts w:ascii="Times New Roman" w:hAnsi="Times New Roman" w:cs="Times New Roman"/>
          <w:b/>
          <w:i/>
          <w:sz w:val="24"/>
          <w:szCs w:val="24"/>
        </w:rPr>
        <w:t xml:space="preserve">Helix </w:t>
      </w:r>
      <w:proofErr w:type="spellStart"/>
      <w:r w:rsidRPr="009C28F4">
        <w:rPr>
          <w:rFonts w:ascii="Times New Roman" w:hAnsi="Times New Roman" w:cs="Times New Roman"/>
          <w:b/>
          <w:i/>
          <w:sz w:val="24"/>
          <w:szCs w:val="24"/>
        </w:rPr>
        <w:t>aspersa</w:t>
      </w:r>
      <w:proofErr w:type="spellEnd"/>
      <w:r w:rsidRPr="009C28F4">
        <w:rPr>
          <w:rFonts w:ascii="Times New Roman" w:hAnsi="Times New Roman" w:cs="Times New Roman"/>
          <w:b/>
          <w:sz w:val="24"/>
          <w:szCs w:val="24"/>
        </w:rPr>
        <w:t>)</w:t>
      </w:r>
    </w:p>
    <w:p w14:paraId="6881AE6E" w14:textId="66868267" w:rsidR="00C75AD4" w:rsidRPr="009C28F4" w:rsidRDefault="00811128">
      <w:pPr>
        <w:spacing w:line="360" w:lineRule="auto"/>
        <w:ind w:firstLine="720"/>
        <w:jc w:val="both"/>
        <w:rPr>
          <w:rFonts w:ascii="Times New Roman" w:hAnsi="Times New Roman" w:cs="Times New Roman"/>
          <w:sz w:val="24"/>
          <w:szCs w:val="24"/>
        </w:rPr>
      </w:pPr>
      <w:r w:rsidRPr="009C28F4">
        <w:rPr>
          <w:rFonts w:ascii="Times New Roman" w:hAnsi="Times New Roman" w:cs="Times New Roman"/>
          <w:sz w:val="24"/>
          <w:szCs w:val="24"/>
        </w:rPr>
        <w:t xml:space="preserve">The probit regression curve for snail mortality in response to Dichlorvos exposure is shown in Figure 2. The graph depicts a steep sigmoidal relationship between the logarithm of </w:t>
      </w:r>
      <w:proofErr w:type="spellStart"/>
      <w:r w:rsidRPr="009C28F4">
        <w:rPr>
          <w:rFonts w:ascii="Times New Roman" w:hAnsi="Times New Roman" w:cs="Times New Roman"/>
          <w:sz w:val="24"/>
          <w:szCs w:val="24"/>
        </w:rPr>
        <w:t>Dichlorvosconcentration</w:t>
      </w:r>
      <w:proofErr w:type="spellEnd"/>
      <w:r w:rsidRPr="009C28F4">
        <w:rPr>
          <w:rFonts w:ascii="Times New Roman" w:hAnsi="Times New Roman" w:cs="Times New Roman"/>
          <w:sz w:val="24"/>
          <w:szCs w:val="24"/>
        </w:rPr>
        <w:t xml:space="preserve"> (x-axis) and the corresponding probit-transformed mortality response (y-axis). The steepness of the curve suggests a narrow range of concentrations separating non-lethal from lethal doses. At concentrations below 1 mg/kg, mortality was low (probit values &lt; 0.3), indicating relatively limited acute toxicity at lower exposures. However, mortality increased sharply between 1 and 2 mg/kg, </w:t>
      </w:r>
      <w:r w:rsidRPr="009C28F4">
        <w:rPr>
          <w:rFonts w:ascii="Times New Roman" w:hAnsi="Times New Roman" w:cs="Times New Roman"/>
          <w:sz w:val="24"/>
          <w:szCs w:val="24"/>
        </w:rPr>
        <w:lastRenderedPageBreak/>
        <w:t>with probit values escalating from 0.3 to 0.9 within this narrow range, reflecting the high potency and fast-acting toxicity of Dichlorvos on the exposed s</w:t>
      </w:r>
      <w:r w:rsidR="0064657E" w:rsidRPr="009C28F4">
        <w:rPr>
          <w:rFonts w:ascii="Times New Roman" w:hAnsi="Times New Roman" w:cs="Times New Roman"/>
          <w:sz w:val="24"/>
          <w:szCs w:val="24"/>
        </w:rPr>
        <w:t xml:space="preserve">nail population. The LC₅₀ value </w:t>
      </w:r>
      <w:r w:rsidRPr="009C28F4">
        <w:rPr>
          <w:rFonts w:ascii="Times New Roman" w:hAnsi="Times New Roman" w:cs="Times New Roman"/>
          <w:sz w:val="24"/>
          <w:szCs w:val="24"/>
        </w:rPr>
        <w:t>defined as the concentration at whic</w:t>
      </w:r>
      <w:r w:rsidR="0064657E" w:rsidRPr="009C28F4">
        <w:rPr>
          <w:rFonts w:ascii="Times New Roman" w:hAnsi="Times New Roman" w:cs="Times New Roman"/>
          <w:sz w:val="24"/>
          <w:szCs w:val="24"/>
        </w:rPr>
        <w:t xml:space="preserve">h 50% of the test organisms die </w:t>
      </w:r>
      <w:r w:rsidRPr="009C28F4">
        <w:rPr>
          <w:rFonts w:ascii="Times New Roman" w:hAnsi="Times New Roman" w:cs="Times New Roman"/>
          <w:sz w:val="24"/>
          <w:szCs w:val="24"/>
        </w:rPr>
        <w:t xml:space="preserve">was calculated to be 1.13 mg/kg, corresponding to the inflection point (probit = 0.5) on the fitted curve. This value demonstrates that </w:t>
      </w:r>
      <w:r w:rsidRPr="009C28F4">
        <w:rPr>
          <w:rFonts w:ascii="Times New Roman" w:hAnsi="Times New Roman" w:cs="Times New Roman"/>
          <w:i/>
          <w:sz w:val="24"/>
          <w:szCs w:val="24"/>
        </w:rPr>
        <w:t xml:space="preserve">Helix </w:t>
      </w:r>
      <w:proofErr w:type="spellStart"/>
      <w:r w:rsidRPr="009C28F4">
        <w:rPr>
          <w:rFonts w:ascii="Times New Roman" w:hAnsi="Times New Roman" w:cs="Times New Roman"/>
          <w:i/>
          <w:sz w:val="24"/>
          <w:szCs w:val="24"/>
        </w:rPr>
        <w:t>aspersa</w:t>
      </w:r>
      <w:proofErr w:type="spellEnd"/>
      <w:r w:rsidRPr="009C28F4">
        <w:rPr>
          <w:rFonts w:ascii="Times New Roman" w:hAnsi="Times New Roman" w:cs="Times New Roman"/>
          <w:sz w:val="24"/>
          <w:szCs w:val="24"/>
        </w:rPr>
        <w:t xml:space="preserve"> is significantly more sensitive to Dichlorvos than Atrazine, which had an LC₅₀ of 10.04 mg/kg. </w:t>
      </w:r>
    </w:p>
    <w:p w14:paraId="520DAEDE" w14:textId="77777777" w:rsidR="00C75AD4" w:rsidRPr="009C28F4" w:rsidRDefault="00811128">
      <w:pPr>
        <w:spacing w:line="0" w:lineRule="atLeast"/>
        <w:jc w:val="center"/>
        <w:rPr>
          <w:rFonts w:ascii="Times New Roman" w:eastAsia="Times New Roman" w:hAnsi="Times New Roman" w:cs="Times New Roman"/>
          <w:b/>
          <w:sz w:val="24"/>
          <w:szCs w:val="24"/>
          <w:highlight w:val="yellow"/>
        </w:rPr>
      </w:pPr>
      <w:r w:rsidRPr="009C28F4">
        <w:rPr>
          <w:rFonts w:ascii="Times New Roman" w:hAnsi="Times New Roman" w:cs="Times New Roman"/>
          <w:noProof/>
          <w:sz w:val="24"/>
          <w:szCs w:val="24"/>
        </w:rPr>
        <w:drawing>
          <wp:inline distT="0" distB="0" distL="0" distR="0" wp14:anchorId="29D8C723" wp14:editId="7C5C4F78">
            <wp:extent cx="3962400" cy="2540000"/>
            <wp:effectExtent l="0" t="0" r="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FA4C9E" w14:textId="77777777" w:rsidR="00C75AD4" w:rsidRPr="009C28F4" w:rsidRDefault="00811128" w:rsidP="00D21E87">
      <w:pPr>
        <w:jc w:val="center"/>
        <w:outlineLvl w:val="0"/>
        <w:rPr>
          <w:rFonts w:ascii="Times New Roman" w:hAnsi="Times New Roman" w:cs="Times New Roman"/>
          <w:sz w:val="24"/>
          <w:szCs w:val="24"/>
        </w:rPr>
      </w:pPr>
      <w:r w:rsidRPr="009C28F4">
        <w:rPr>
          <w:rFonts w:ascii="Times New Roman" w:hAnsi="Times New Roman" w:cs="Times New Roman"/>
          <w:sz w:val="24"/>
          <w:szCs w:val="24"/>
        </w:rPr>
        <w:t>Figure 2:</w:t>
      </w:r>
      <w:r w:rsidR="002014B4">
        <w:rPr>
          <w:rFonts w:ascii="Times New Roman" w:hAnsi="Times New Roman" w:cs="Times New Roman"/>
          <w:sz w:val="24"/>
          <w:szCs w:val="24"/>
        </w:rPr>
        <w:t xml:space="preserve"> </w:t>
      </w:r>
      <w:r w:rsidRPr="009C28F4">
        <w:rPr>
          <w:rFonts w:ascii="Times New Roman" w:hAnsi="Times New Roman" w:cs="Times New Roman"/>
          <w:sz w:val="24"/>
          <w:szCs w:val="24"/>
        </w:rPr>
        <w:t>Median lethal concentration (LC50) of Dichlorvos for snails = 1.13mg/kg</w:t>
      </w:r>
    </w:p>
    <w:p w14:paraId="2A5A3EAA" w14:textId="77777777" w:rsidR="009E014C" w:rsidRPr="009C28F4" w:rsidRDefault="009E014C">
      <w:pPr>
        <w:spacing w:after="0" w:line="240" w:lineRule="auto"/>
        <w:rPr>
          <w:rFonts w:ascii="Times New Roman" w:hAnsi="Times New Roman" w:cs="Times New Roman"/>
          <w:b/>
          <w:sz w:val="24"/>
          <w:szCs w:val="24"/>
        </w:rPr>
      </w:pPr>
    </w:p>
    <w:p w14:paraId="6322BD92" w14:textId="77777777" w:rsidR="00C75AD4" w:rsidRPr="009C28F4" w:rsidRDefault="00811128" w:rsidP="00D21E87">
      <w:pPr>
        <w:spacing w:after="0" w:line="360" w:lineRule="auto"/>
        <w:jc w:val="both"/>
        <w:outlineLvl w:val="0"/>
        <w:rPr>
          <w:rFonts w:ascii="Times New Roman" w:hAnsi="Times New Roman" w:cs="Times New Roman"/>
          <w:b/>
          <w:sz w:val="24"/>
          <w:szCs w:val="24"/>
        </w:rPr>
      </w:pPr>
      <w:r w:rsidRPr="009C28F4">
        <w:rPr>
          <w:rFonts w:ascii="Times New Roman" w:hAnsi="Times New Roman" w:cs="Times New Roman"/>
          <w:b/>
          <w:sz w:val="24"/>
          <w:szCs w:val="24"/>
        </w:rPr>
        <w:t xml:space="preserve">3.1.4 Temporal Effects of Pesticides on Microbial Biomass </w:t>
      </w:r>
    </w:p>
    <w:p w14:paraId="46CF849F" w14:textId="77777777" w:rsidR="00507CC1" w:rsidRPr="009C28F4" w:rsidRDefault="00507CC1" w:rsidP="001A1C70">
      <w:pPr>
        <w:pStyle w:val="NormalWeb"/>
        <w:spacing w:before="0" w:beforeAutospacing="0" w:after="0" w:afterAutospacing="0" w:line="360" w:lineRule="auto"/>
        <w:ind w:firstLine="720"/>
        <w:jc w:val="both"/>
      </w:pPr>
      <w:r w:rsidRPr="009C28F4">
        <w:t xml:space="preserve">Figure 3 shows the temporal variation in microbial biomass carbon (MB-C) in soil treated with Atrazine and Dichlorvos compared to the control. At Day 7, the control recorded the highest MB-C value (285.06 ± 0.56 µg/g), while Atrazine (271.38 ± 0.95 µg/g) and Dichlorvos (268.07 ± 0.25 µg/g) treatments showed reduced levels, indicating an initial inhibitory effect of the pesticides on soil microbial activity. By Day 14, Atrazine-treated soil showed a slight increase to 274.65 ± 0.56 µg/g, while Dichlorvos remained low at 269.62 ± 0.50 µg/g, suggesting gradual microbial recovery. On Day 21, MB-C under Atrazine (278.81 ± 0.43 µg/g) and Dichlorvos (274.38 ± 0.97 µg/g) exceeded the control (275.67 ± 0.56 µg/g), reflecting microbial adaptation and possible </w:t>
      </w:r>
      <w:proofErr w:type="spellStart"/>
      <w:r w:rsidRPr="009C28F4">
        <w:t>utilisation</w:t>
      </w:r>
      <w:proofErr w:type="spellEnd"/>
      <w:r w:rsidRPr="009C28F4">
        <w:t xml:space="preserve"> of the pesticides as alternative carbon sources. By Day 28, Atrazine exhibited the highest MB-C (284.67 ± 0.55 µg/g), followed by Dichlorvos (277.71 ± 0.41 µg/g) and control (272.73 ± 0.30 µg/g). Overall, the results indicate an initial decline followed by progressive recovery and enhancement of microbial biomass carbon in pesticide-treated soils, suggesting microbial </w:t>
      </w:r>
      <w:proofErr w:type="spellStart"/>
      <w:r w:rsidRPr="009C28F4">
        <w:t>acclimatisation</w:t>
      </w:r>
      <w:proofErr w:type="spellEnd"/>
      <w:r w:rsidRPr="009C28F4">
        <w:t xml:space="preserve"> to prolonged pesticide exposure.</w:t>
      </w:r>
    </w:p>
    <w:p w14:paraId="221FA7E6" w14:textId="77777777" w:rsidR="00507CC1" w:rsidRPr="009C28F4" w:rsidRDefault="00507CC1" w:rsidP="001A1C70">
      <w:pPr>
        <w:spacing w:after="0" w:line="360" w:lineRule="auto"/>
        <w:jc w:val="both"/>
        <w:rPr>
          <w:rFonts w:ascii="Times New Roman" w:hAnsi="Times New Roman" w:cs="Times New Roman"/>
          <w:b/>
          <w:sz w:val="24"/>
          <w:szCs w:val="24"/>
        </w:rPr>
      </w:pPr>
    </w:p>
    <w:p w14:paraId="3378D7C1" w14:textId="77777777" w:rsidR="009E0815" w:rsidRPr="009C28F4" w:rsidRDefault="009E0815" w:rsidP="001A1C70">
      <w:pPr>
        <w:spacing w:after="0" w:line="360" w:lineRule="auto"/>
        <w:jc w:val="center"/>
        <w:rPr>
          <w:rFonts w:ascii="Times New Roman" w:hAnsi="Times New Roman" w:cs="Times New Roman"/>
          <w:sz w:val="24"/>
          <w:szCs w:val="24"/>
        </w:rPr>
      </w:pPr>
      <w:r w:rsidRPr="009C28F4">
        <w:rPr>
          <w:rFonts w:ascii="Times New Roman" w:hAnsi="Times New Roman" w:cs="Times New Roman"/>
          <w:noProof/>
          <w:sz w:val="24"/>
          <w:szCs w:val="24"/>
        </w:rPr>
        <w:lastRenderedPageBreak/>
        <w:drawing>
          <wp:inline distT="0" distB="0" distL="0" distR="0" wp14:anchorId="7C61B2EA" wp14:editId="4B19B2D1">
            <wp:extent cx="3917950" cy="19939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F9DF9B" w14:textId="77777777" w:rsidR="002073C5" w:rsidRPr="009C28F4" w:rsidRDefault="009E0815" w:rsidP="00D21E87">
      <w:pPr>
        <w:spacing w:after="0" w:line="360" w:lineRule="auto"/>
        <w:jc w:val="center"/>
        <w:outlineLvl w:val="0"/>
        <w:rPr>
          <w:rFonts w:ascii="Times New Roman" w:hAnsi="Times New Roman" w:cs="Times New Roman"/>
          <w:sz w:val="24"/>
          <w:szCs w:val="24"/>
        </w:rPr>
      </w:pPr>
      <w:r w:rsidRPr="009C28F4">
        <w:rPr>
          <w:rFonts w:ascii="Times New Roman" w:hAnsi="Times New Roman" w:cs="Times New Roman"/>
          <w:b/>
          <w:sz w:val="24"/>
          <w:szCs w:val="24"/>
        </w:rPr>
        <w:t>Figure</w:t>
      </w:r>
      <w:r w:rsidR="002073C5" w:rsidRPr="009C28F4">
        <w:rPr>
          <w:rFonts w:ascii="Times New Roman" w:hAnsi="Times New Roman" w:cs="Times New Roman"/>
          <w:b/>
          <w:sz w:val="24"/>
          <w:szCs w:val="24"/>
        </w:rPr>
        <w:t xml:space="preserve"> 3:</w:t>
      </w:r>
      <w:r w:rsidR="002014B4">
        <w:rPr>
          <w:rFonts w:ascii="Times New Roman" w:hAnsi="Times New Roman" w:cs="Times New Roman"/>
          <w:b/>
          <w:sz w:val="24"/>
          <w:szCs w:val="24"/>
        </w:rPr>
        <w:t xml:space="preserve"> </w:t>
      </w:r>
      <w:r w:rsidR="002073C5" w:rsidRPr="009C28F4">
        <w:rPr>
          <w:rFonts w:ascii="Times New Roman" w:hAnsi="Times New Roman" w:cs="Times New Roman"/>
          <w:b/>
          <w:sz w:val="24"/>
          <w:szCs w:val="24"/>
        </w:rPr>
        <w:t>Temporal Effects of Pesticides on Microbial Biomass Carbon (MB-C)</w:t>
      </w:r>
    </w:p>
    <w:p w14:paraId="360404A4" w14:textId="3AF78111" w:rsidR="00507CC1" w:rsidRPr="009C28F4" w:rsidRDefault="00507CC1" w:rsidP="001A1C70">
      <w:pPr>
        <w:pStyle w:val="NormalWeb"/>
        <w:spacing w:before="0" w:beforeAutospacing="0" w:after="0" w:afterAutospacing="0" w:line="360" w:lineRule="auto"/>
        <w:ind w:firstLine="720"/>
        <w:jc w:val="both"/>
      </w:pPr>
      <w:r w:rsidRPr="009C28F4">
        <w:t xml:space="preserve">Figure 4 illustrates the temporal variation in microbial biomass nitrogen (MB-N) in soil treated with Atrazine and Dichlorvos compared to the control. At Day 7, the control recorded the highest MB-N (18.01 ± 0.04 µg/g), while Atrazine (17.14 ± 0.06 µg/g) and Dichlorvos (16.94 ± 0.01 µg/g) treatments showed lower values, indicating an initial inhibitory effect of the pesticides on soil nitrogen-associated microbial activity. By Day 14, MB-N slightly decreased in the control (17.67 ± 0.03 µg/g) but increased marginally in Atrazine-treated soil (17.36 ± 0.04 µg/g), suggesting early microbial adjustment. On Day 21, MB-N in Atrazine (17.62 ± 0.03 µg/g) surpassed the control (17.42 ± 0.04 µg/g) and Dichlorvos (17.34 ± 0.06 µg/g), indicating microbial adaptation to pesticide presence. By Day 28, Atrazine treatment exhibited the highest MB-N (17.99 ± 0.04 µg/g), followed by Dichlorvos (17.55 ± 0.03 µg/g) and the control (17.23 ± 0.02 µg/g). </w:t>
      </w:r>
    </w:p>
    <w:p w14:paraId="5332DE6B" w14:textId="77777777" w:rsidR="009E0815" w:rsidRPr="009C28F4" w:rsidRDefault="009E0815" w:rsidP="001A1C70">
      <w:pPr>
        <w:spacing w:after="0" w:line="360" w:lineRule="auto"/>
        <w:jc w:val="center"/>
        <w:rPr>
          <w:rFonts w:ascii="Times New Roman" w:hAnsi="Times New Roman" w:cs="Times New Roman"/>
          <w:sz w:val="24"/>
          <w:szCs w:val="24"/>
        </w:rPr>
      </w:pPr>
      <w:r w:rsidRPr="009C28F4">
        <w:rPr>
          <w:rFonts w:ascii="Times New Roman" w:hAnsi="Times New Roman" w:cs="Times New Roman"/>
          <w:noProof/>
          <w:sz w:val="24"/>
          <w:szCs w:val="24"/>
        </w:rPr>
        <w:drawing>
          <wp:inline distT="0" distB="0" distL="0" distR="0" wp14:anchorId="33EDE6D9" wp14:editId="48BDF463">
            <wp:extent cx="3892550" cy="2171700"/>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8B9CB7" w14:textId="77777777" w:rsidR="009E0815" w:rsidRPr="009C28F4" w:rsidRDefault="009E0815" w:rsidP="00D21E87">
      <w:pPr>
        <w:spacing w:after="0" w:line="360" w:lineRule="auto"/>
        <w:jc w:val="center"/>
        <w:outlineLvl w:val="0"/>
        <w:rPr>
          <w:rFonts w:ascii="Times New Roman" w:hAnsi="Times New Roman" w:cs="Times New Roman"/>
          <w:b/>
          <w:sz w:val="24"/>
          <w:szCs w:val="24"/>
        </w:rPr>
      </w:pPr>
      <w:r w:rsidRPr="009C28F4">
        <w:rPr>
          <w:rFonts w:ascii="Times New Roman" w:hAnsi="Times New Roman" w:cs="Times New Roman"/>
          <w:b/>
          <w:sz w:val="24"/>
          <w:szCs w:val="24"/>
        </w:rPr>
        <w:t>Figure</w:t>
      </w:r>
      <w:r w:rsidR="00A43866" w:rsidRPr="009C28F4">
        <w:rPr>
          <w:rFonts w:ascii="Times New Roman" w:hAnsi="Times New Roman" w:cs="Times New Roman"/>
          <w:b/>
          <w:sz w:val="24"/>
          <w:szCs w:val="24"/>
        </w:rPr>
        <w:t xml:space="preserve"> 4: Temporal Effects of Pesticides on Microbial </w:t>
      </w:r>
      <w:r w:rsidR="00506A11" w:rsidRPr="009C28F4">
        <w:rPr>
          <w:rFonts w:ascii="Times New Roman" w:hAnsi="Times New Roman" w:cs="Times New Roman"/>
          <w:b/>
          <w:sz w:val="24"/>
          <w:szCs w:val="24"/>
        </w:rPr>
        <w:t>Nitrogen (MB-B</w:t>
      </w:r>
      <w:r w:rsidR="00A43866" w:rsidRPr="009C28F4">
        <w:rPr>
          <w:rFonts w:ascii="Times New Roman" w:hAnsi="Times New Roman" w:cs="Times New Roman"/>
          <w:b/>
          <w:sz w:val="24"/>
          <w:szCs w:val="24"/>
        </w:rPr>
        <w:t>)</w:t>
      </w:r>
    </w:p>
    <w:p w14:paraId="4407FD42" w14:textId="3FDA7641" w:rsidR="00507CC1" w:rsidRPr="009C28F4" w:rsidRDefault="00507CC1" w:rsidP="001A1C70">
      <w:pPr>
        <w:pStyle w:val="NormalWeb"/>
        <w:spacing w:before="0" w:beforeAutospacing="0" w:after="0" w:afterAutospacing="0" w:line="360" w:lineRule="auto"/>
        <w:ind w:firstLine="720"/>
        <w:jc w:val="both"/>
      </w:pPr>
      <w:r w:rsidRPr="009C28F4">
        <w:t xml:space="preserve">Figure 5 presents the temporal variation in microbial biomass phosphorus (MB-P) in soil treated with Atrazine and Dichlorvos compared to the control. At Day 7, the control recorded the highest MB-P (11.05 ± 0.02 µg/g), while Atrazine (10.52 ± 0.04 µg/g) and Dichlorvos (10.39 ± 0.01 µg/g) treatments </w:t>
      </w:r>
      <w:r w:rsidRPr="009C28F4">
        <w:lastRenderedPageBreak/>
        <w:t xml:space="preserve">showed lower values, indicating an initial reduction in microbial phosphorus content due to pesticide stress. By Day 14, MB-P declined slightly in the control (10.85 ± 0.02 µg/g), while a minor increase was observed in Atrazine-treated soil (10.65 ± 0.02 µg/g) and Dichlorvos-treated soil (10.45 ± 0.02 µg/g), suggesting gradual microbial adjustment. On Day 21, MB-P values in the treated soils (Atrazine: 10.81 ± 0.02 µg/g; Dichlorvos: 10.64 ± 0.04 µg/g) exceeded the control (10.69 ± 0.02 µg/g), indicating microbial adaptation and possible enhancement of phosphorus </w:t>
      </w:r>
      <w:proofErr w:type="spellStart"/>
      <w:r w:rsidRPr="009C28F4">
        <w:t>mineralisation</w:t>
      </w:r>
      <w:proofErr w:type="spellEnd"/>
      <w:r w:rsidRPr="009C28F4">
        <w:t xml:space="preserve"> activity. By Day 28, Atrazine treatment exhibited the highest MB-P (11.04 ± 0.02 µg/g), followed by Dichlorvos (10.77 ± 0.01 µg/g) and the control (10.58 ± 0.01 µg/g). </w:t>
      </w:r>
    </w:p>
    <w:p w14:paraId="018BB295" w14:textId="77777777" w:rsidR="009E0815" w:rsidRPr="009C28F4" w:rsidRDefault="009E0815" w:rsidP="001A1C70">
      <w:pPr>
        <w:spacing w:after="0" w:line="360" w:lineRule="auto"/>
        <w:jc w:val="both"/>
        <w:rPr>
          <w:rFonts w:ascii="Times New Roman" w:hAnsi="Times New Roman" w:cs="Times New Roman"/>
          <w:sz w:val="24"/>
          <w:szCs w:val="24"/>
        </w:rPr>
      </w:pPr>
      <w:r w:rsidRPr="009C28F4">
        <w:rPr>
          <w:rFonts w:ascii="Times New Roman" w:hAnsi="Times New Roman" w:cs="Times New Roman"/>
          <w:noProof/>
          <w:sz w:val="24"/>
          <w:szCs w:val="24"/>
        </w:rPr>
        <w:drawing>
          <wp:inline distT="0" distB="0" distL="0" distR="0" wp14:anchorId="3A5566D6" wp14:editId="7956F6A8">
            <wp:extent cx="3994150" cy="2178050"/>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4EBD4B" w14:textId="77777777" w:rsidR="009E0815" w:rsidRPr="009C28F4" w:rsidRDefault="009E0815" w:rsidP="00D21E87">
      <w:pPr>
        <w:spacing w:after="0" w:line="360" w:lineRule="auto"/>
        <w:jc w:val="both"/>
        <w:outlineLvl w:val="0"/>
        <w:rPr>
          <w:rFonts w:ascii="Times New Roman" w:hAnsi="Times New Roman" w:cs="Times New Roman"/>
          <w:b/>
          <w:sz w:val="24"/>
          <w:szCs w:val="24"/>
        </w:rPr>
      </w:pPr>
      <w:r w:rsidRPr="009C28F4">
        <w:rPr>
          <w:rFonts w:ascii="Times New Roman" w:hAnsi="Times New Roman" w:cs="Times New Roman"/>
          <w:b/>
          <w:sz w:val="24"/>
          <w:szCs w:val="24"/>
        </w:rPr>
        <w:t>Figure</w:t>
      </w:r>
      <w:r w:rsidR="00A43866" w:rsidRPr="009C28F4">
        <w:rPr>
          <w:rFonts w:ascii="Times New Roman" w:hAnsi="Times New Roman" w:cs="Times New Roman"/>
          <w:b/>
          <w:sz w:val="24"/>
          <w:szCs w:val="24"/>
        </w:rPr>
        <w:t xml:space="preserve"> 5: Temporal Effects of Pesticides on Microbial Biomass </w:t>
      </w:r>
      <w:r w:rsidR="00506A11" w:rsidRPr="009C28F4">
        <w:rPr>
          <w:rFonts w:ascii="Times New Roman" w:hAnsi="Times New Roman" w:cs="Times New Roman"/>
          <w:b/>
          <w:sz w:val="24"/>
          <w:szCs w:val="24"/>
        </w:rPr>
        <w:t xml:space="preserve">Phosphorus </w:t>
      </w:r>
      <w:r w:rsidR="00A43866" w:rsidRPr="009C28F4">
        <w:rPr>
          <w:rFonts w:ascii="Times New Roman" w:hAnsi="Times New Roman" w:cs="Times New Roman"/>
          <w:b/>
          <w:sz w:val="24"/>
          <w:szCs w:val="24"/>
        </w:rPr>
        <w:t>(MB-</w:t>
      </w:r>
      <w:r w:rsidR="00506A11" w:rsidRPr="009C28F4">
        <w:rPr>
          <w:rFonts w:ascii="Times New Roman" w:hAnsi="Times New Roman" w:cs="Times New Roman"/>
          <w:b/>
          <w:sz w:val="24"/>
          <w:szCs w:val="24"/>
        </w:rPr>
        <w:t>P</w:t>
      </w:r>
      <w:r w:rsidR="00A43866" w:rsidRPr="009C28F4">
        <w:rPr>
          <w:rFonts w:ascii="Times New Roman" w:hAnsi="Times New Roman" w:cs="Times New Roman"/>
          <w:b/>
          <w:sz w:val="24"/>
          <w:szCs w:val="24"/>
        </w:rPr>
        <w:t>)</w:t>
      </w:r>
    </w:p>
    <w:p w14:paraId="52C0C4CE" w14:textId="441F40C4" w:rsidR="00507CC1" w:rsidRPr="009C28F4" w:rsidRDefault="00507CC1" w:rsidP="00F65116">
      <w:pPr>
        <w:pStyle w:val="NormalWeb"/>
        <w:spacing w:before="0" w:beforeAutospacing="0" w:after="0" w:afterAutospacing="0" w:line="360" w:lineRule="auto"/>
        <w:ind w:firstLine="720"/>
        <w:jc w:val="both"/>
      </w:pPr>
      <w:r w:rsidRPr="009C28F4">
        <w:t xml:space="preserve">Figure 6 shows the temporal variation in bacterial population in soil treated with Atrazine and Dichlorvos compared with the control. At Day 0, all treatments had similar bacterial counts (254.33 ± 9.77 × 10⁴ CFU/g), confirming uniform initial conditions. By Day 7, bacterial populations declined sharply in Atrazine (159.00 ± 4.16 × 10⁴ CFU/g) and Dichlorvos (143.00 ± 5.03 × 10⁴ CFU/g) treatments relative to the control (251.00 ± 3.21 × 10⁴ CFU/g), indicating strong initial toxicity of both pesticides to soil bacteria. At Day 14, bacterial recovery was observed, with increases to 190.33 ± 9.61 × 10⁴ CFU/g under Atrazine and 179.00 ± 5.13 × 10⁴ CFU/g under Dichlorvos, though still lower than the control (233.33 ± 2.73 × 10⁴ CFU/g). By Day 21, bacterial count in Atrazine-treated soil (245.00 ± 2.52 × 10⁴ CFU/g) exceeded both the control (201.67 ± 6.06 × 10⁴ CFU/g) and Dichlorvos (205.00 ± 1.15 × 10⁴ CFU/g), suggesting microbial adaptation and possible </w:t>
      </w:r>
      <w:proofErr w:type="spellStart"/>
      <w:r w:rsidRPr="009C28F4">
        <w:t>utilisation</w:t>
      </w:r>
      <w:proofErr w:type="spellEnd"/>
      <w:r w:rsidRPr="009C28F4">
        <w:t xml:space="preserve"> of Atrazine as a carbon or energy source. At Day 28, a general decline was observed across treatments, with Atrazine (214.00 ± 6.03 × 10⁴ CFU/g) still maintaining higher counts than the control (195.00 ± 6.35 × 10⁴ CFU/g) and Dichlorvos (196.33 ± 9.26 × 10⁴ CFU/g). </w:t>
      </w:r>
    </w:p>
    <w:p w14:paraId="484B00FB" w14:textId="77777777" w:rsidR="009E0815" w:rsidRPr="009C28F4" w:rsidRDefault="009E0815" w:rsidP="001A1C70">
      <w:pPr>
        <w:spacing w:after="0" w:line="360" w:lineRule="auto"/>
        <w:jc w:val="center"/>
        <w:rPr>
          <w:rFonts w:ascii="Times New Roman" w:hAnsi="Times New Roman" w:cs="Times New Roman"/>
          <w:sz w:val="24"/>
          <w:szCs w:val="24"/>
        </w:rPr>
      </w:pPr>
      <w:r w:rsidRPr="009C28F4">
        <w:rPr>
          <w:rFonts w:ascii="Times New Roman" w:hAnsi="Times New Roman" w:cs="Times New Roman"/>
          <w:noProof/>
          <w:sz w:val="24"/>
          <w:szCs w:val="24"/>
        </w:rPr>
        <w:lastRenderedPageBreak/>
        <w:drawing>
          <wp:inline distT="0" distB="0" distL="0" distR="0" wp14:anchorId="18417FD9" wp14:editId="23D26234">
            <wp:extent cx="3765550" cy="2152650"/>
            <wp:effectExtent l="0" t="0" r="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71777A" w14:textId="77777777" w:rsidR="009E0815" w:rsidRPr="009C28F4" w:rsidRDefault="009E0815" w:rsidP="00D21E87">
      <w:pPr>
        <w:spacing w:after="0" w:line="360" w:lineRule="auto"/>
        <w:jc w:val="center"/>
        <w:outlineLvl w:val="0"/>
        <w:rPr>
          <w:rFonts w:ascii="Times New Roman" w:hAnsi="Times New Roman" w:cs="Times New Roman"/>
          <w:b/>
          <w:sz w:val="24"/>
          <w:szCs w:val="24"/>
        </w:rPr>
      </w:pPr>
      <w:r w:rsidRPr="009C28F4">
        <w:rPr>
          <w:rFonts w:ascii="Times New Roman" w:hAnsi="Times New Roman" w:cs="Times New Roman"/>
          <w:b/>
          <w:sz w:val="24"/>
          <w:szCs w:val="24"/>
        </w:rPr>
        <w:t>Figure</w:t>
      </w:r>
      <w:r w:rsidR="00A43866" w:rsidRPr="009C28F4">
        <w:rPr>
          <w:rFonts w:ascii="Times New Roman" w:hAnsi="Times New Roman" w:cs="Times New Roman"/>
          <w:b/>
          <w:sz w:val="24"/>
          <w:szCs w:val="24"/>
        </w:rPr>
        <w:t xml:space="preserve"> 6: Temporal Effects of Pesticides on </w:t>
      </w:r>
      <w:r w:rsidR="00506A11" w:rsidRPr="009C28F4">
        <w:rPr>
          <w:rFonts w:ascii="Times New Roman" w:hAnsi="Times New Roman" w:cs="Times New Roman"/>
          <w:b/>
          <w:sz w:val="24"/>
          <w:szCs w:val="24"/>
        </w:rPr>
        <w:t>bacterial count</w:t>
      </w:r>
    </w:p>
    <w:p w14:paraId="1C013214" w14:textId="7E048600" w:rsidR="00507CC1" w:rsidRPr="009C28F4" w:rsidRDefault="001A1C70" w:rsidP="001A1C70">
      <w:pPr>
        <w:spacing w:line="360" w:lineRule="auto"/>
        <w:ind w:firstLine="720"/>
        <w:jc w:val="both"/>
        <w:rPr>
          <w:rFonts w:ascii="Times New Roman" w:hAnsi="Times New Roman" w:cs="Times New Roman"/>
          <w:sz w:val="24"/>
          <w:szCs w:val="24"/>
        </w:rPr>
      </w:pPr>
      <w:r w:rsidRPr="009C28F4">
        <w:rPr>
          <w:rFonts w:ascii="Times New Roman" w:hAnsi="Times New Roman" w:cs="Times New Roman"/>
          <w:sz w:val="24"/>
          <w:szCs w:val="24"/>
        </w:rPr>
        <w:t>Figure 7 showed that the</w:t>
      </w:r>
      <w:r w:rsidR="00507CC1" w:rsidRPr="009C28F4">
        <w:rPr>
          <w:rFonts w:ascii="Times New Roman" w:hAnsi="Times New Roman" w:cs="Times New Roman"/>
          <w:sz w:val="24"/>
          <w:szCs w:val="24"/>
        </w:rPr>
        <w:t xml:space="preserve"> nitrifier population initially declined sharply in both atrazine and dichlorvos-treated soils by day 7, dropping from 182.33×10³ CFU/g to 121.00×10³ CFU/g and 79.67×10³ CFU/g, respectively, compared to 179.33×10³ CFU/g in the control. This indicates strong inhibitory effects of both chemicals, more pronounced with dichlorvos. By day 14, slight recovery occurred, suggesting microbial adaptation. At day 21, the atrazine-treated soil surpassed the control (184.33×10³ CFU/g vs. 155.33×10³ CFU/g), indicating enhanced resilience and possible </w:t>
      </w:r>
      <w:proofErr w:type="spellStart"/>
      <w:r w:rsidR="00507CC1" w:rsidRPr="009C28F4">
        <w:rPr>
          <w:rFonts w:ascii="Times New Roman" w:hAnsi="Times New Roman" w:cs="Times New Roman"/>
          <w:sz w:val="24"/>
          <w:szCs w:val="24"/>
        </w:rPr>
        <w:t>utilisation</w:t>
      </w:r>
      <w:proofErr w:type="spellEnd"/>
      <w:r w:rsidR="00507CC1" w:rsidRPr="009C28F4">
        <w:rPr>
          <w:rFonts w:ascii="Times New Roman" w:hAnsi="Times New Roman" w:cs="Times New Roman"/>
          <w:sz w:val="24"/>
          <w:szCs w:val="24"/>
        </w:rPr>
        <w:t xml:space="preserve"> of the herbicide by nitrifiers. However, by day 28, counts declined across treatments, likely due to nutrient depletion or residual toxicity. </w:t>
      </w:r>
    </w:p>
    <w:p w14:paraId="74EAE9ED" w14:textId="77777777" w:rsidR="002073C5" w:rsidRPr="009C28F4" w:rsidRDefault="002073C5" w:rsidP="001A1C70">
      <w:pPr>
        <w:spacing w:after="0" w:line="360" w:lineRule="auto"/>
        <w:jc w:val="both"/>
        <w:rPr>
          <w:rFonts w:ascii="Times New Roman" w:hAnsi="Times New Roman" w:cs="Times New Roman"/>
          <w:sz w:val="24"/>
          <w:szCs w:val="24"/>
        </w:rPr>
      </w:pPr>
      <w:r w:rsidRPr="009C28F4">
        <w:rPr>
          <w:rFonts w:ascii="Times New Roman" w:hAnsi="Times New Roman" w:cs="Times New Roman"/>
          <w:noProof/>
          <w:sz w:val="24"/>
          <w:szCs w:val="24"/>
        </w:rPr>
        <w:drawing>
          <wp:inline distT="0" distB="0" distL="0" distR="0" wp14:anchorId="590E2B79" wp14:editId="0FA69ED8">
            <wp:extent cx="4006850" cy="2146300"/>
            <wp:effectExtent l="0" t="0" r="0"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1D2B6F" w14:textId="77777777" w:rsidR="002073C5" w:rsidRPr="009C28F4" w:rsidRDefault="002073C5" w:rsidP="00D21E87">
      <w:pPr>
        <w:spacing w:after="0" w:line="360" w:lineRule="auto"/>
        <w:jc w:val="both"/>
        <w:outlineLvl w:val="0"/>
        <w:rPr>
          <w:rFonts w:ascii="Times New Roman" w:hAnsi="Times New Roman" w:cs="Times New Roman"/>
          <w:b/>
          <w:sz w:val="24"/>
          <w:szCs w:val="24"/>
        </w:rPr>
      </w:pPr>
      <w:r w:rsidRPr="009C28F4">
        <w:rPr>
          <w:rFonts w:ascii="Times New Roman" w:hAnsi="Times New Roman" w:cs="Times New Roman"/>
          <w:b/>
          <w:sz w:val="24"/>
          <w:szCs w:val="24"/>
        </w:rPr>
        <w:t>Figure</w:t>
      </w:r>
      <w:r w:rsidR="00A43866" w:rsidRPr="009C28F4">
        <w:rPr>
          <w:rFonts w:ascii="Times New Roman" w:hAnsi="Times New Roman" w:cs="Times New Roman"/>
          <w:b/>
          <w:sz w:val="24"/>
          <w:szCs w:val="24"/>
        </w:rPr>
        <w:t xml:space="preserve"> 7: </w:t>
      </w:r>
      <w:r w:rsidR="002E707B" w:rsidRPr="009C28F4">
        <w:rPr>
          <w:rFonts w:ascii="Times New Roman" w:hAnsi="Times New Roman" w:cs="Times New Roman"/>
          <w:b/>
          <w:sz w:val="24"/>
          <w:szCs w:val="24"/>
        </w:rPr>
        <w:t>Temporal e</w:t>
      </w:r>
      <w:r w:rsidR="00A43866" w:rsidRPr="009C28F4">
        <w:rPr>
          <w:rFonts w:ascii="Times New Roman" w:hAnsi="Times New Roman" w:cs="Times New Roman"/>
          <w:b/>
          <w:sz w:val="24"/>
          <w:szCs w:val="24"/>
        </w:rPr>
        <w:t xml:space="preserve">ffects of </w:t>
      </w:r>
      <w:r w:rsidR="002E707B" w:rsidRPr="009C28F4">
        <w:rPr>
          <w:rFonts w:ascii="Times New Roman" w:hAnsi="Times New Roman" w:cs="Times New Roman"/>
          <w:b/>
          <w:sz w:val="24"/>
          <w:szCs w:val="24"/>
        </w:rPr>
        <w:t>p</w:t>
      </w:r>
      <w:r w:rsidR="00A43866" w:rsidRPr="009C28F4">
        <w:rPr>
          <w:rFonts w:ascii="Times New Roman" w:hAnsi="Times New Roman" w:cs="Times New Roman"/>
          <w:b/>
          <w:sz w:val="24"/>
          <w:szCs w:val="24"/>
        </w:rPr>
        <w:t xml:space="preserve">esticides on </w:t>
      </w:r>
      <w:r w:rsidR="002E707B" w:rsidRPr="009C28F4">
        <w:rPr>
          <w:rFonts w:ascii="Times New Roman" w:hAnsi="Times New Roman" w:cs="Times New Roman"/>
          <w:b/>
          <w:sz w:val="24"/>
          <w:szCs w:val="24"/>
        </w:rPr>
        <w:t>Nitrifiers count</w:t>
      </w:r>
    </w:p>
    <w:p w14:paraId="41182CFF" w14:textId="0E95B64C" w:rsidR="00507CC1" w:rsidRPr="009C28F4" w:rsidRDefault="001A1C70" w:rsidP="001A1C70">
      <w:pPr>
        <w:spacing w:line="360" w:lineRule="auto"/>
        <w:ind w:firstLine="720"/>
        <w:jc w:val="both"/>
        <w:rPr>
          <w:rFonts w:ascii="Times New Roman" w:hAnsi="Times New Roman" w:cs="Times New Roman"/>
          <w:sz w:val="24"/>
          <w:szCs w:val="24"/>
        </w:rPr>
      </w:pPr>
      <w:r w:rsidRPr="009C28F4">
        <w:rPr>
          <w:rFonts w:ascii="Times New Roman" w:hAnsi="Times New Roman" w:cs="Times New Roman"/>
          <w:sz w:val="24"/>
          <w:szCs w:val="24"/>
        </w:rPr>
        <w:t>Figure 8 showed that p</w:t>
      </w:r>
      <w:r w:rsidR="00507CC1" w:rsidRPr="009C28F4">
        <w:rPr>
          <w:rFonts w:ascii="Times New Roman" w:hAnsi="Times New Roman" w:cs="Times New Roman"/>
          <w:sz w:val="24"/>
          <w:szCs w:val="24"/>
        </w:rPr>
        <w:t xml:space="preserve">hosphate-solubilizing bacteria (PSB) showed a marked decline in both atrazine and dichlorvos-treated soils by day 7, decreasing from 217.33×10³ CFU/g to 88.33×10³ CFU/g and 78.67×10³ CFU/g, respectively, compared to 201.33×10³ CFU/g in the control. This indicates strong initial toxicity, with dichlorvos exerting greater inhibition. By day 14, partial recovery was observed, </w:t>
      </w:r>
      <w:r w:rsidR="00507CC1" w:rsidRPr="009C28F4">
        <w:rPr>
          <w:rFonts w:ascii="Times New Roman" w:hAnsi="Times New Roman" w:cs="Times New Roman"/>
          <w:sz w:val="24"/>
          <w:szCs w:val="24"/>
        </w:rPr>
        <w:lastRenderedPageBreak/>
        <w:t xml:space="preserve">reaching 140.67×10³ CFU/g (atrazine) and 111.67×10³ CFU/g (dichlorvos). At day 21, the atrazine-treated soil recorded a significant rebound (233.33×10³ CFU/g), surpassing the control (174.00×10³ CFU/g), suggesting adaptation and possible </w:t>
      </w:r>
      <w:proofErr w:type="spellStart"/>
      <w:r w:rsidR="00507CC1" w:rsidRPr="009C28F4">
        <w:rPr>
          <w:rFonts w:ascii="Times New Roman" w:hAnsi="Times New Roman" w:cs="Times New Roman"/>
          <w:sz w:val="24"/>
          <w:szCs w:val="24"/>
        </w:rPr>
        <w:t>utilisation</w:t>
      </w:r>
      <w:proofErr w:type="spellEnd"/>
      <w:r w:rsidR="00507CC1" w:rsidRPr="009C28F4">
        <w:rPr>
          <w:rFonts w:ascii="Times New Roman" w:hAnsi="Times New Roman" w:cs="Times New Roman"/>
          <w:sz w:val="24"/>
          <w:szCs w:val="24"/>
        </w:rPr>
        <w:t xml:space="preserve"> of atrazine as a carbon source. However, the dichlorvos-treated soil remained lower (153.33×10³ CFU/g). By day 28, populations declined slightly across all treatments, with 160.33×10³ CFU/g (atrazine) and 117.33×10³ CFU/g (dichlorvos), implying residual toxic effects. </w:t>
      </w:r>
    </w:p>
    <w:p w14:paraId="57830D39" w14:textId="77777777" w:rsidR="002073C5" w:rsidRPr="009C28F4" w:rsidRDefault="002073C5" w:rsidP="001A1C70">
      <w:pPr>
        <w:spacing w:after="0" w:line="360" w:lineRule="auto"/>
        <w:jc w:val="both"/>
        <w:rPr>
          <w:rFonts w:ascii="Times New Roman" w:hAnsi="Times New Roman" w:cs="Times New Roman"/>
          <w:sz w:val="24"/>
          <w:szCs w:val="24"/>
        </w:rPr>
      </w:pPr>
      <w:r w:rsidRPr="009C28F4">
        <w:rPr>
          <w:rFonts w:ascii="Times New Roman" w:hAnsi="Times New Roman" w:cs="Times New Roman"/>
          <w:noProof/>
          <w:sz w:val="24"/>
          <w:szCs w:val="24"/>
        </w:rPr>
        <w:drawing>
          <wp:inline distT="0" distB="0" distL="0" distR="0" wp14:anchorId="06288ECD" wp14:editId="5CFB0924">
            <wp:extent cx="3752850" cy="2044700"/>
            <wp:effectExtent l="0" t="0" r="0" b="0"/>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9F34B3" w14:textId="77777777" w:rsidR="002073C5" w:rsidRPr="009C28F4" w:rsidRDefault="002073C5" w:rsidP="00D21E87">
      <w:pPr>
        <w:spacing w:after="0" w:line="360" w:lineRule="auto"/>
        <w:jc w:val="both"/>
        <w:outlineLvl w:val="0"/>
        <w:rPr>
          <w:rFonts w:ascii="Times New Roman" w:hAnsi="Times New Roman" w:cs="Times New Roman"/>
          <w:b/>
          <w:sz w:val="24"/>
          <w:szCs w:val="24"/>
        </w:rPr>
      </w:pPr>
      <w:r w:rsidRPr="009C28F4">
        <w:rPr>
          <w:rFonts w:ascii="Times New Roman" w:hAnsi="Times New Roman" w:cs="Times New Roman"/>
          <w:b/>
          <w:sz w:val="24"/>
          <w:szCs w:val="24"/>
        </w:rPr>
        <w:t>Figure</w:t>
      </w:r>
      <w:r w:rsidR="00B93559" w:rsidRPr="009C28F4">
        <w:rPr>
          <w:rFonts w:ascii="Times New Roman" w:hAnsi="Times New Roman" w:cs="Times New Roman"/>
          <w:b/>
          <w:sz w:val="24"/>
          <w:szCs w:val="24"/>
        </w:rPr>
        <w:t xml:space="preserve"> 8: </w:t>
      </w:r>
      <w:r w:rsidR="002E707B" w:rsidRPr="009C28F4">
        <w:rPr>
          <w:rFonts w:ascii="Times New Roman" w:hAnsi="Times New Roman" w:cs="Times New Roman"/>
          <w:b/>
          <w:sz w:val="24"/>
          <w:szCs w:val="24"/>
        </w:rPr>
        <w:t>Temporal e</w:t>
      </w:r>
      <w:r w:rsidR="00B93559" w:rsidRPr="009C28F4">
        <w:rPr>
          <w:rFonts w:ascii="Times New Roman" w:hAnsi="Times New Roman" w:cs="Times New Roman"/>
          <w:b/>
          <w:sz w:val="24"/>
          <w:szCs w:val="24"/>
        </w:rPr>
        <w:t xml:space="preserve">ffects of </w:t>
      </w:r>
      <w:r w:rsidR="00BC639E" w:rsidRPr="009C28F4">
        <w:rPr>
          <w:rFonts w:ascii="Times New Roman" w:hAnsi="Times New Roman" w:cs="Times New Roman"/>
          <w:b/>
          <w:sz w:val="24"/>
          <w:szCs w:val="24"/>
        </w:rPr>
        <w:t>p</w:t>
      </w:r>
      <w:r w:rsidR="00B93559" w:rsidRPr="009C28F4">
        <w:rPr>
          <w:rFonts w:ascii="Times New Roman" w:hAnsi="Times New Roman" w:cs="Times New Roman"/>
          <w:b/>
          <w:sz w:val="24"/>
          <w:szCs w:val="24"/>
        </w:rPr>
        <w:t xml:space="preserve">esticides on </w:t>
      </w:r>
      <w:r w:rsidR="00D57177" w:rsidRPr="009C28F4">
        <w:rPr>
          <w:rFonts w:ascii="Times New Roman" w:hAnsi="Times New Roman" w:cs="Times New Roman"/>
          <w:b/>
          <w:sz w:val="24"/>
          <w:szCs w:val="24"/>
        </w:rPr>
        <w:t>Phosphate solubilizers count</w:t>
      </w:r>
    </w:p>
    <w:p w14:paraId="4BB58D92" w14:textId="207F44AC" w:rsidR="007A7728" w:rsidRPr="009C28F4" w:rsidRDefault="00347D40" w:rsidP="001A1C70">
      <w:pPr>
        <w:pStyle w:val="NormalWeb"/>
        <w:spacing w:before="0" w:beforeAutospacing="0" w:after="0" w:afterAutospacing="0" w:line="360" w:lineRule="auto"/>
        <w:ind w:firstLine="720"/>
        <w:jc w:val="both"/>
      </w:pPr>
      <w:r w:rsidRPr="009C28F4">
        <w:t>Figure 8 showed that t</w:t>
      </w:r>
      <w:r w:rsidR="007A7728" w:rsidRPr="009C28F4">
        <w:t>he Actinomycetes population showed a clear response to pesticide exposure over the 28-day period. At Day 0, all treatments had identical counts (199.00 ± 5.03</w:t>
      </w:r>
      <w:r w:rsidRPr="009C28F4">
        <w:t xml:space="preserve"> ×10² CFU/g</w:t>
      </w:r>
      <w:r w:rsidR="007A7728" w:rsidRPr="009C28F4">
        <w:t xml:space="preserve">), confirming uniform initial conditions. By Day 7, populations declined sharply in Atrazine- and Dichlorvos-treated soils to 97.00 ± 1.00 </w:t>
      </w:r>
      <w:r w:rsidRPr="009C28F4">
        <w:t xml:space="preserve">(×10² CFU/g) </w:t>
      </w:r>
      <w:r w:rsidR="007A7728" w:rsidRPr="009C28F4">
        <w:t>and 86.00 ± 3.51</w:t>
      </w:r>
      <w:r w:rsidRPr="009C28F4">
        <w:t>(×10² CFU/g)</w:t>
      </w:r>
      <w:r w:rsidR="007A7728" w:rsidRPr="009C28F4">
        <w:t>, respectively, compared with 147.00 ± 8.50 in the control, indicating strong initial pesticide toxicity. By Day 14, recovery was observed in both pesticide treatments, with counts rising to 107.00 ± 5.03</w:t>
      </w:r>
      <w:r w:rsidRPr="009C28F4">
        <w:t>(×10² CFU/g)</w:t>
      </w:r>
      <w:r w:rsidR="007A7728" w:rsidRPr="009C28F4">
        <w:t xml:space="preserve"> (Atrazine) and 110.00 ± 3.46</w:t>
      </w:r>
      <w:r w:rsidRPr="009C28F4">
        <w:t xml:space="preserve"> (×10² CFU/g)</w:t>
      </w:r>
      <w:r w:rsidR="007A7728" w:rsidRPr="009C28F4">
        <w:t xml:space="preserve"> (Dichlorvos), although control levels continued to decline slightly. At Day 21, Actinomycetes in Atrazine-treated soil surged to 151.67 ± 2.67</w:t>
      </w:r>
      <w:r w:rsidRPr="009C28F4">
        <w:t xml:space="preserve"> (×10² CFU/g)</w:t>
      </w:r>
      <w:r w:rsidR="007A7728" w:rsidRPr="009C28F4">
        <w:t>, surpassing both Dichlorvos (133.67 ± 5.78</w:t>
      </w:r>
      <w:r w:rsidRPr="009C28F4">
        <w:t xml:space="preserve"> ×10² CFU/g</w:t>
      </w:r>
      <w:r w:rsidR="007A7728" w:rsidRPr="009C28F4">
        <w:t>) and control (131.00 ± 2.52</w:t>
      </w:r>
      <w:r w:rsidRPr="009C28F4">
        <w:t>×10² CFU/g</w:t>
      </w:r>
      <w:r w:rsidR="007A7728" w:rsidRPr="009C28F4">
        <w:t xml:space="preserve">), suggesting microbial adaptation and possible </w:t>
      </w:r>
      <w:proofErr w:type="spellStart"/>
      <w:r w:rsidR="007A7728" w:rsidRPr="009C28F4">
        <w:t>utilisation</w:t>
      </w:r>
      <w:proofErr w:type="spellEnd"/>
      <w:r w:rsidR="007A7728" w:rsidRPr="009C28F4">
        <w:t xml:space="preserve"> of Atrazine as a carbon source. By Day 28, populations slightly declined but remained higher in Atrazine-treated soil (147.67 ± 5.49</w:t>
      </w:r>
      <w:r w:rsidRPr="009C28F4">
        <w:t xml:space="preserve"> ×10² CFU/g</w:t>
      </w:r>
      <w:r w:rsidR="007A7728" w:rsidRPr="009C28F4">
        <w:t>) compared with Dichlorvos (128.00 ± 5.69</w:t>
      </w:r>
      <w:r w:rsidRPr="009C28F4">
        <w:t xml:space="preserve"> ×10² CFU/g</w:t>
      </w:r>
      <w:r w:rsidR="007A7728" w:rsidRPr="009C28F4">
        <w:t>) and the control (127.33 ± 6.12</w:t>
      </w:r>
      <w:r w:rsidRPr="009C28F4">
        <w:t xml:space="preserve"> ×10² CFU/g</w:t>
      </w:r>
      <w:r w:rsidR="007A7728" w:rsidRPr="009C28F4">
        <w:t xml:space="preserve">). </w:t>
      </w:r>
    </w:p>
    <w:p w14:paraId="0F04EC04" w14:textId="77777777" w:rsidR="002073C5" w:rsidRPr="009C28F4" w:rsidRDefault="002073C5" w:rsidP="001A1C70">
      <w:pPr>
        <w:spacing w:after="0" w:line="360" w:lineRule="auto"/>
        <w:jc w:val="both"/>
        <w:rPr>
          <w:rFonts w:ascii="Times New Roman" w:hAnsi="Times New Roman" w:cs="Times New Roman"/>
          <w:sz w:val="24"/>
          <w:szCs w:val="24"/>
        </w:rPr>
      </w:pPr>
      <w:r w:rsidRPr="009C28F4">
        <w:rPr>
          <w:rFonts w:ascii="Times New Roman" w:hAnsi="Times New Roman" w:cs="Times New Roman"/>
          <w:noProof/>
          <w:sz w:val="24"/>
          <w:szCs w:val="24"/>
        </w:rPr>
        <w:lastRenderedPageBreak/>
        <w:drawing>
          <wp:inline distT="0" distB="0" distL="0" distR="0" wp14:anchorId="259A8C89" wp14:editId="350E312C">
            <wp:extent cx="4572000" cy="2743200"/>
            <wp:effectExtent l="0" t="0" r="0" b="0"/>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DEFDFD" w14:textId="77777777" w:rsidR="002073C5" w:rsidRPr="009C28F4" w:rsidRDefault="002073C5" w:rsidP="00D21E87">
      <w:pPr>
        <w:spacing w:after="0" w:line="360" w:lineRule="auto"/>
        <w:jc w:val="both"/>
        <w:outlineLvl w:val="0"/>
        <w:rPr>
          <w:rFonts w:ascii="Times New Roman" w:hAnsi="Times New Roman" w:cs="Times New Roman"/>
          <w:b/>
          <w:sz w:val="24"/>
          <w:szCs w:val="24"/>
        </w:rPr>
      </w:pPr>
      <w:r w:rsidRPr="009C28F4">
        <w:rPr>
          <w:rFonts w:ascii="Times New Roman" w:hAnsi="Times New Roman" w:cs="Times New Roman"/>
          <w:b/>
          <w:sz w:val="24"/>
          <w:szCs w:val="24"/>
        </w:rPr>
        <w:t>Figure:</w:t>
      </w:r>
      <w:r w:rsidR="00B93559" w:rsidRPr="009C28F4">
        <w:rPr>
          <w:rFonts w:ascii="Times New Roman" w:hAnsi="Times New Roman" w:cs="Times New Roman"/>
          <w:b/>
          <w:sz w:val="24"/>
          <w:szCs w:val="24"/>
        </w:rPr>
        <w:t xml:space="preserve"> 9: Temporal effects of Pesticides on </w:t>
      </w:r>
      <w:r w:rsidR="00D57177" w:rsidRPr="009C28F4">
        <w:rPr>
          <w:rFonts w:ascii="Times New Roman" w:hAnsi="Times New Roman" w:cs="Times New Roman"/>
          <w:b/>
          <w:sz w:val="24"/>
          <w:szCs w:val="24"/>
        </w:rPr>
        <w:t>Actinomycetes count</w:t>
      </w:r>
    </w:p>
    <w:p w14:paraId="67C2B703" w14:textId="4D7A43C4" w:rsidR="00DE184E" w:rsidRPr="009C28F4" w:rsidRDefault="001A1C70" w:rsidP="00347D40">
      <w:pPr>
        <w:pStyle w:val="NormalWeb"/>
        <w:spacing w:before="0" w:beforeAutospacing="0" w:after="0" w:afterAutospacing="0" w:line="360" w:lineRule="auto"/>
        <w:ind w:firstLine="720"/>
        <w:jc w:val="both"/>
      </w:pPr>
      <w:r w:rsidRPr="009C28F4">
        <w:t xml:space="preserve">Figure 9 showed that </w:t>
      </w:r>
      <w:r w:rsidR="00DE184E" w:rsidRPr="009C28F4">
        <w:t>fungal counts in the soil showed differential responses to atrazine and dichlorvos over the 28-day period (Figure 10). In the control soil, fungal populations steadily increased from 150.00±3.61</w:t>
      </w:r>
      <w:r w:rsidR="00347D40" w:rsidRPr="009C28F4">
        <w:t>(×10³ CFU/g)</w:t>
      </w:r>
      <w:r w:rsidR="00DE184E" w:rsidRPr="009C28F4">
        <w:t xml:space="preserve"> at day 0 to 189.67±6.94 </w:t>
      </w:r>
      <w:r w:rsidR="00347D40" w:rsidRPr="009C28F4">
        <w:t xml:space="preserve">(×10³ CFU/g) </w:t>
      </w:r>
      <w:r w:rsidR="00DE184E" w:rsidRPr="009C28F4">
        <w:t xml:space="preserve">at day 28, indicating normal growth. Soils treated with atrazine showed an initial sharp decline from 150.00±3.61 to 65.33±7.13 </w:t>
      </w:r>
      <w:r w:rsidR="00347D40" w:rsidRPr="009C28F4">
        <w:t xml:space="preserve">(×10³ CFU/g) </w:t>
      </w:r>
      <w:r w:rsidR="00DE184E" w:rsidRPr="009C28F4">
        <w:t>by day 7, followed by gradual recovery to 102.00±3.06 by day 28. Similarly, dichlorvos-treated soils experienced a pronounced decrease to 42.67±4.48</w:t>
      </w:r>
      <w:r w:rsidR="00347D40" w:rsidRPr="009C28F4">
        <w:t xml:space="preserve"> (×10³ CFU/g)</w:t>
      </w:r>
      <w:r w:rsidR="00DE184E" w:rsidRPr="009C28F4">
        <w:t xml:space="preserve"> at day 7, then a gradual increase to 86.67±4.91 </w:t>
      </w:r>
      <w:r w:rsidR="00347D40" w:rsidRPr="009C28F4">
        <w:t xml:space="preserve">(×10³ CFU/g) </w:t>
      </w:r>
      <w:r w:rsidR="00DE184E" w:rsidRPr="009C28F4">
        <w:t xml:space="preserve">at day 28. </w:t>
      </w:r>
    </w:p>
    <w:p w14:paraId="33F3E1B5" w14:textId="77777777" w:rsidR="002073C5" w:rsidRPr="009C28F4" w:rsidRDefault="002073C5" w:rsidP="001A1C70">
      <w:pPr>
        <w:spacing w:after="0" w:line="240" w:lineRule="auto"/>
        <w:jc w:val="center"/>
        <w:rPr>
          <w:rFonts w:ascii="Times New Roman" w:hAnsi="Times New Roman" w:cs="Times New Roman"/>
          <w:sz w:val="24"/>
          <w:szCs w:val="24"/>
        </w:rPr>
      </w:pPr>
      <w:r w:rsidRPr="009C28F4">
        <w:rPr>
          <w:rFonts w:ascii="Times New Roman" w:hAnsi="Times New Roman" w:cs="Times New Roman"/>
          <w:noProof/>
          <w:sz w:val="24"/>
          <w:szCs w:val="24"/>
        </w:rPr>
        <w:drawing>
          <wp:inline distT="0" distB="0" distL="0" distR="0" wp14:anchorId="7C8130CF" wp14:editId="033A6E83">
            <wp:extent cx="4381500" cy="2540000"/>
            <wp:effectExtent l="0" t="0" r="0" b="0"/>
            <wp:docPr id="1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269AA5" w14:textId="77777777" w:rsidR="00DE184E" w:rsidRPr="009C28F4" w:rsidRDefault="002073C5" w:rsidP="00D21E87">
      <w:pPr>
        <w:spacing w:after="0" w:line="240" w:lineRule="auto"/>
        <w:jc w:val="center"/>
        <w:outlineLvl w:val="0"/>
        <w:rPr>
          <w:rFonts w:ascii="Times New Roman" w:hAnsi="Times New Roman" w:cs="Times New Roman"/>
          <w:sz w:val="24"/>
          <w:szCs w:val="24"/>
        </w:rPr>
      </w:pPr>
      <w:r w:rsidRPr="009C28F4">
        <w:rPr>
          <w:rFonts w:ascii="Times New Roman" w:hAnsi="Times New Roman" w:cs="Times New Roman"/>
          <w:b/>
          <w:sz w:val="24"/>
          <w:szCs w:val="24"/>
        </w:rPr>
        <w:t>Figure</w:t>
      </w:r>
      <w:r w:rsidR="00B93559" w:rsidRPr="009C28F4">
        <w:rPr>
          <w:rFonts w:ascii="Times New Roman" w:hAnsi="Times New Roman" w:cs="Times New Roman"/>
          <w:b/>
          <w:sz w:val="24"/>
          <w:szCs w:val="24"/>
        </w:rPr>
        <w:t xml:space="preserve"> 10: Temporal effects of Pesticides on Fungal count</w:t>
      </w:r>
    </w:p>
    <w:p w14:paraId="1A078722" w14:textId="77777777" w:rsidR="00C75AD4" w:rsidRPr="009C28F4" w:rsidRDefault="00811128" w:rsidP="00D21E87">
      <w:pPr>
        <w:jc w:val="both"/>
        <w:outlineLvl w:val="0"/>
        <w:rPr>
          <w:rFonts w:ascii="Times New Roman" w:hAnsi="Times New Roman" w:cs="Times New Roman"/>
          <w:b/>
          <w:sz w:val="24"/>
          <w:szCs w:val="24"/>
        </w:rPr>
      </w:pPr>
      <w:r w:rsidRPr="009C28F4">
        <w:rPr>
          <w:rFonts w:ascii="Times New Roman" w:hAnsi="Times New Roman" w:cs="Times New Roman"/>
          <w:b/>
          <w:sz w:val="24"/>
          <w:szCs w:val="24"/>
        </w:rPr>
        <w:t>3.2</w:t>
      </w:r>
      <w:r w:rsidRPr="009C28F4">
        <w:rPr>
          <w:rFonts w:ascii="Times New Roman" w:hAnsi="Times New Roman" w:cs="Times New Roman"/>
          <w:b/>
          <w:sz w:val="24"/>
          <w:szCs w:val="24"/>
        </w:rPr>
        <w:tab/>
        <w:t>Discussion</w:t>
      </w:r>
    </w:p>
    <w:p w14:paraId="2DD7D900" w14:textId="36A837D9" w:rsidR="00C75AD4" w:rsidRPr="009C28F4" w:rsidRDefault="00B73264">
      <w:pPr>
        <w:spacing w:before="100" w:beforeAutospacing="1" w:after="100" w:afterAutospacing="1" w:line="360" w:lineRule="auto"/>
        <w:ind w:firstLine="720"/>
        <w:jc w:val="both"/>
        <w:rPr>
          <w:rFonts w:ascii="Times New Roman" w:eastAsia="Times New Roman" w:hAnsi="Times New Roman" w:cs="Times New Roman"/>
          <w:sz w:val="24"/>
          <w:szCs w:val="24"/>
        </w:rPr>
      </w:pPr>
      <w:r w:rsidRPr="009C28F4">
        <w:rPr>
          <w:rFonts w:ascii="Times New Roman" w:hAnsi="Times New Roman" w:cs="Times New Roman"/>
          <w:sz w:val="24"/>
          <w:szCs w:val="24"/>
        </w:rPr>
        <w:lastRenderedPageBreak/>
        <w:t xml:space="preserve">The moderately acidic pH of the control soil aligns with recent findings indicating that near-neutral pH conditions </w:t>
      </w:r>
      <w:proofErr w:type="spellStart"/>
      <w:r w:rsidRPr="009C28F4">
        <w:rPr>
          <w:rFonts w:ascii="Times New Roman" w:hAnsi="Times New Roman" w:cs="Times New Roman"/>
          <w:sz w:val="24"/>
          <w:szCs w:val="24"/>
        </w:rPr>
        <w:t>optimise</w:t>
      </w:r>
      <w:proofErr w:type="spellEnd"/>
      <w:r w:rsidRPr="009C28F4">
        <w:rPr>
          <w:rFonts w:ascii="Times New Roman" w:hAnsi="Times New Roman" w:cs="Times New Roman"/>
          <w:sz w:val="24"/>
          <w:szCs w:val="24"/>
        </w:rPr>
        <w:t xml:space="preserve"> microbial community diversity and function (Zhou </w:t>
      </w:r>
      <w:r w:rsidR="0029309C" w:rsidRPr="009C28F4">
        <w:rPr>
          <w:rFonts w:ascii="Times New Roman" w:hAnsi="Times New Roman" w:cs="Times New Roman"/>
          <w:sz w:val="24"/>
          <w:szCs w:val="24"/>
        </w:rPr>
        <w:t>et al., 2017; Muneer et al.</w:t>
      </w:r>
      <w:r w:rsidRPr="009C28F4">
        <w:rPr>
          <w:rFonts w:ascii="Times New Roman" w:hAnsi="Times New Roman" w:cs="Times New Roman"/>
          <w:sz w:val="24"/>
          <w:szCs w:val="24"/>
        </w:rPr>
        <w:t xml:space="preserve">, 2022). </w:t>
      </w:r>
      <w:r w:rsidR="00811128" w:rsidRPr="009C28F4">
        <w:rPr>
          <w:rFonts w:ascii="Times New Roman" w:eastAsia="Times New Roman" w:hAnsi="Times New Roman" w:cs="Times New Roman"/>
          <w:sz w:val="24"/>
          <w:szCs w:val="24"/>
        </w:rPr>
        <w:t>This mirrors global trends where pH remains a key driver of bacterial community</w:t>
      </w:r>
      <w:r w:rsidR="00813D44" w:rsidRPr="009C28F4">
        <w:rPr>
          <w:rFonts w:ascii="Times New Roman" w:eastAsia="Times New Roman" w:hAnsi="Times New Roman" w:cs="Times New Roman"/>
          <w:sz w:val="24"/>
          <w:szCs w:val="24"/>
        </w:rPr>
        <w:t xml:space="preserve"> structure in surface soils (Tian</w:t>
      </w:r>
      <w:r w:rsidR="00811128" w:rsidRPr="009C28F4">
        <w:rPr>
          <w:rFonts w:ascii="Times New Roman" w:eastAsia="Times New Roman" w:hAnsi="Times New Roman" w:cs="Times New Roman"/>
          <w:sz w:val="24"/>
          <w:szCs w:val="24"/>
        </w:rPr>
        <w:t xml:space="preserve"> et al., 2021). High organic carbon content in the soil supports abundant microbial biomass, which is consistent with studies showing that soils rich in organic matter exhibit higher microbial biomass ca</w:t>
      </w:r>
      <w:r w:rsidR="00723BB2" w:rsidRPr="009C28F4">
        <w:rPr>
          <w:rFonts w:ascii="Times New Roman" w:eastAsia="Times New Roman" w:hAnsi="Times New Roman" w:cs="Times New Roman"/>
          <w:sz w:val="24"/>
          <w:szCs w:val="24"/>
        </w:rPr>
        <w:t>rbon (MBC) and activity (Liu et al., 2019</w:t>
      </w:r>
      <w:r w:rsidR="00811128" w:rsidRPr="009C28F4">
        <w:rPr>
          <w:rFonts w:ascii="Times New Roman" w:eastAsia="Times New Roman" w:hAnsi="Times New Roman" w:cs="Times New Roman"/>
          <w:sz w:val="24"/>
          <w:szCs w:val="24"/>
        </w:rPr>
        <w:t xml:space="preserve">). Notably, research into sandy grassland soils found a strong positive </w:t>
      </w:r>
      <w:r w:rsidR="003F473D" w:rsidRPr="009C28F4">
        <w:rPr>
          <w:rFonts w:ascii="Times New Roman" w:eastAsia="Times New Roman" w:hAnsi="Times New Roman" w:cs="Times New Roman"/>
          <w:sz w:val="24"/>
          <w:szCs w:val="24"/>
        </w:rPr>
        <w:t>correlation between SOC and MBC</w:t>
      </w:r>
      <w:r w:rsidR="00811128" w:rsidRPr="009C28F4">
        <w:rPr>
          <w:rFonts w:ascii="Times New Roman" w:eastAsia="Times New Roman" w:hAnsi="Times New Roman" w:cs="Times New Roman"/>
          <w:sz w:val="24"/>
          <w:szCs w:val="24"/>
        </w:rPr>
        <w:t>, indicating organic carbon availability is crucial for m</w:t>
      </w:r>
      <w:r w:rsidR="00DD3B5F" w:rsidRPr="009C28F4">
        <w:rPr>
          <w:rFonts w:ascii="Times New Roman" w:eastAsia="Times New Roman" w:hAnsi="Times New Roman" w:cs="Times New Roman"/>
          <w:sz w:val="24"/>
          <w:szCs w:val="24"/>
        </w:rPr>
        <w:t>icrobial proliferation (He</w:t>
      </w:r>
      <w:r w:rsidR="00811128" w:rsidRPr="009C28F4">
        <w:rPr>
          <w:rFonts w:ascii="Times New Roman" w:eastAsia="Times New Roman" w:hAnsi="Times New Roman" w:cs="Times New Roman"/>
          <w:sz w:val="24"/>
          <w:szCs w:val="24"/>
        </w:rPr>
        <w:t xml:space="preserve"> et al., 2022). The sandy texture observed is known to influence nutrient retention ne</w:t>
      </w:r>
      <w:r w:rsidR="000D25DF" w:rsidRPr="009C28F4">
        <w:rPr>
          <w:rFonts w:ascii="Times New Roman" w:eastAsia="Times New Roman" w:hAnsi="Times New Roman" w:cs="Times New Roman"/>
          <w:sz w:val="24"/>
          <w:szCs w:val="24"/>
        </w:rPr>
        <w:t xml:space="preserve">gatively </w:t>
      </w:r>
      <w:r w:rsidR="00811128" w:rsidRPr="009C28F4">
        <w:rPr>
          <w:rFonts w:ascii="Times New Roman" w:eastAsia="Times New Roman" w:hAnsi="Times New Roman" w:cs="Times New Roman"/>
          <w:sz w:val="24"/>
          <w:szCs w:val="24"/>
        </w:rPr>
        <w:t>often leading to faster SOC mineralization due to hig</w:t>
      </w:r>
      <w:r w:rsidR="00DD3B5F" w:rsidRPr="009C28F4">
        <w:rPr>
          <w:rFonts w:ascii="Times New Roman" w:eastAsia="Times New Roman" w:hAnsi="Times New Roman" w:cs="Times New Roman"/>
          <w:sz w:val="24"/>
          <w:szCs w:val="24"/>
        </w:rPr>
        <w:t>h porosity and aeration (</w:t>
      </w:r>
      <w:r w:rsidR="00E268A3">
        <w:rPr>
          <w:rFonts w:ascii="Times New Roman" w:eastAsia="Times New Roman" w:hAnsi="Times New Roman" w:cs="Times New Roman"/>
          <w:sz w:val="24"/>
          <w:szCs w:val="24"/>
        </w:rPr>
        <w:t xml:space="preserve">Afandi </w:t>
      </w:r>
      <w:r w:rsidR="00DD3B5F" w:rsidRPr="009C28F4">
        <w:rPr>
          <w:rFonts w:ascii="Times New Roman" w:eastAsia="Times New Roman" w:hAnsi="Times New Roman" w:cs="Times New Roman"/>
          <w:sz w:val="24"/>
          <w:szCs w:val="24"/>
        </w:rPr>
        <w:t>et al., 202</w:t>
      </w:r>
      <w:r w:rsidR="00E268A3">
        <w:rPr>
          <w:rFonts w:ascii="Times New Roman" w:eastAsia="Times New Roman" w:hAnsi="Times New Roman" w:cs="Times New Roman"/>
          <w:sz w:val="24"/>
          <w:szCs w:val="24"/>
        </w:rPr>
        <w:t>6</w:t>
      </w:r>
      <w:r w:rsidR="00811128" w:rsidRPr="009C28F4">
        <w:rPr>
          <w:rFonts w:ascii="Times New Roman" w:eastAsia="Times New Roman" w:hAnsi="Times New Roman" w:cs="Times New Roman"/>
          <w:sz w:val="24"/>
          <w:szCs w:val="24"/>
        </w:rPr>
        <w:t xml:space="preserve">). </w:t>
      </w:r>
      <w:r w:rsidR="003F473D" w:rsidRPr="009C28F4">
        <w:rPr>
          <w:rFonts w:ascii="Times New Roman" w:hAnsi="Times New Roman" w:cs="Times New Roman"/>
          <w:sz w:val="24"/>
          <w:szCs w:val="24"/>
        </w:rPr>
        <w:t xml:space="preserve">Nevertheless, recent analyses of sandy-textured soils confirm that microbial biomass tends to decrease as sand content rises, whereas higher proportions of silt and clay provide </w:t>
      </w:r>
      <w:proofErr w:type="spellStart"/>
      <w:r w:rsidR="003F473D" w:rsidRPr="009C28F4">
        <w:rPr>
          <w:rFonts w:ascii="Times New Roman" w:hAnsi="Times New Roman" w:cs="Times New Roman"/>
          <w:sz w:val="24"/>
          <w:szCs w:val="24"/>
        </w:rPr>
        <w:t>stabilising</w:t>
      </w:r>
      <w:proofErr w:type="spellEnd"/>
      <w:r w:rsidR="003F473D" w:rsidRPr="009C28F4">
        <w:rPr>
          <w:rFonts w:ascii="Times New Roman" w:hAnsi="Times New Roman" w:cs="Times New Roman"/>
          <w:sz w:val="24"/>
          <w:szCs w:val="24"/>
        </w:rPr>
        <w:t xml:space="preserve"> niches for soil o</w:t>
      </w:r>
      <w:r w:rsidR="00E550B8" w:rsidRPr="009C28F4">
        <w:rPr>
          <w:rFonts w:ascii="Times New Roman" w:hAnsi="Times New Roman" w:cs="Times New Roman"/>
          <w:sz w:val="24"/>
          <w:szCs w:val="24"/>
        </w:rPr>
        <w:t xml:space="preserve">rganisms </w:t>
      </w:r>
      <w:r w:rsidR="00E550B8" w:rsidRPr="009F57C0">
        <w:rPr>
          <w:rFonts w:ascii="Times New Roman" w:hAnsi="Times New Roman" w:cs="Times New Roman"/>
          <w:sz w:val="24"/>
          <w:szCs w:val="24"/>
        </w:rPr>
        <w:t>(Shi et al., 2016</w:t>
      </w:r>
      <w:r w:rsidR="003F473D" w:rsidRPr="009C28F4">
        <w:rPr>
          <w:rFonts w:ascii="Times New Roman" w:hAnsi="Times New Roman" w:cs="Times New Roman"/>
          <w:sz w:val="24"/>
          <w:szCs w:val="24"/>
        </w:rPr>
        <w:t xml:space="preserve">). </w:t>
      </w:r>
      <w:r w:rsidR="00811128" w:rsidRPr="009C28F4">
        <w:rPr>
          <w:rFonts w:ascii="Times New Roman" w:eastAsia="Times New Roman" w:hAnsi="Times New Roman" w:cs="Times New Roman"/>
          <w:sz w:val="24"/>
          <w:szCs w:val="24"/>
        </w:rPr>
        <w:t>Nutrien</w:t>
      </w:r>
      <w:r w:rsidR="00DD3B5F" w:rsidRPr="009C28F4">
        <w:rPr>
          <w:rFonts w:ascii="Times New Roman" w:eastAsia="Times New Roman" w:hAnsi="Times New Roman" w:cs="Times New Roman"/>
          <w:sz w:val="24"/>
          <w:szCs w:val="24"/>
        </w:rPr>
        <w:t xml:space="preserve">t levels and cation composition </w:t>
      </w:r>
      <w:r w:rsidR="00811128" w:rsidRPr="009C28F4">
        <w:rPr>
          <w:rFonts w:ascii="Times New Roman" w:eastAsia="Times New Roman" w:hAnsi="Times New Roman" w:cs="Times New Roman"/>
          <w:sz w:val="24"/>
          <w:szCs w:val="24"/>
        </w:rPr>
        <w:t>especially</w:t>
      </w:r>
      <w:r w:rsidR="00E550B8" w:rsidRPr="009C28F4">
        <w:rPr>
          <w:rFonts w:ascii="Times New Roman" w:eastAsia="Times New Roman" w:hAnsi="Times New Roman" w:cs="Times New Roman"/>
          <w:sz w:val="24"/>
          <w:szCs w:val="24"/>
        </w:rPr>
        <w:t xml:space="preserve"> elevated calcium and magnesium </w:t>
      </w:r>
      <w:r w:rsidR="00811128" w:rsidRPr="009C28F4">
        <w:rPr>
          <w:rFonts w:ascii="Times New Roman" w:eastAsia="Times New Roman" w:hAnsi="Times New Roman" w:cs="Times New Roman"/>
          <w:sz w:val="24"/>
          <w:szCs w:val="24"/>
        </w:rPr>
        <w:t xml:space="preserve">are aligned with statistics from productive agricultural soils, where these base cations help maintain microbial habitat stability and cation exchange capacity essential for nutrient cycling </w:t>
      </w:r>
      <w:r w:rsidR="00E550B8" w:rsidRPr="009C28F4">
        <w:rPr>
          <w:rFonts w:ascii="Times New Roman" w:eastAsia="Times New Roman" w:hAnsi="Times New Roman" w:cs="Times New Roman"/>
          <w:sz w:val="24"/>
          <w:szCs w:val="24"/>
        </w:rPr>
        <w:t>(</w:t>
      </w:r>
      <w:r w:rsidR="00E550B8" w:rsidRPr="009F57C0">
        <w:rPr>
          <w:rFonts w:ascii="Times New Roman" w:eastAsia="Times New Roman" w:hAnsi="Times New Roman" w:cs="Times New Roman"/>
          <w:sz w:val="24"/>
          <w:szCs w:val="24"/>
        </w:rPr>
        <w:t>Khan et al., 2024</w:t>
      </w:r>
      <w:r w:rsidR="00811128" w:rsidRPr="009F57C0">
        <w:rPr>
          <w:rFonts w:ascii="Times New Roman" w:eastAsia="Times New Roman" w:hAnsi="Times New Roman" w:cs="Times New Roman"/>
          <w:sz w:val="24"/>
          <w:szCs w:val="24"/>
        </w:rPr>
        <w:t xml:space="preserve">). </w:t>
      </w:r>
      <w:r w:rsidR="00811128" w:rsidRPr="009C28F4">
        <w:rPr>
          <w:rFonts w:ascii="Times New Roman" w:eastAsia="Times New Roman" w:hAnsi="Times New Roman" w:cs="Times New Roman"/>
          <w:sz w:val="24"/>
          <w:szCs w:val="24"/>
        </w:rPr>
        <w:t xml:space="preserve">Heavy metal concentrations, which are below known phytotoxic thresholds, indicate minimal contamination, consistent with results from sites known to sustain healthy microbial functions under low metal stress </w:t>
      </w:r>
      <w:r w:rsidR="005D55A9" w:rsidRPr="009C28F4">
        <w:rPr>
          <w:rFonts w:ascii="Times New Roman" w:eastAsia="Times New Roman" w:hAnsi="Times New Roman" w:cs="Times New Roman"/>
          <w:sz w:val="24"/>
          <w:szCs w:val="24"/>
        </w:rPr>
        <w:t>(</w:t>
      </w:r>
      <w:proofErr w:type="spellStart"/>
      <w:r w:rsidR="005D55A9" w:rsidRPr="009C28F4">
        <w:rPr>
          <w:rFonts w:ascii="Times New Roman" w:eastAsia="Times New Roman" w:hAnsi="Times New Roman" w:cs="Times New Roman"/>
          <w:sz w:val="24"/>
          <w:szCs w:val="24"/>
        </w:rPr>
        <w:t>Laoye</w:t>
      </w:r>
      <w:proofErr w:type="spellEnd"/>
      <w:r w:rsidR="005D55A9" w:rsidRPr="009C28F4">
        <w:rPr>
          <w:rFonts w:ascii="Times New Roman" w:eastAsia="Times New Roman" w:hAnsi="Times New Roman" w:cs="Times New Roman"/>
          <w:sz w:val="24"/>
          <w:szCs w:val="24"/>
        </w:rPr>
        <w:t xml:space="preserve"> et al., 2025</w:t>
      </w:r>
      <w:r w:rsidR="00811128" w:rsidRPr="009C28F4">
        <w:rPr>
          <w:rFonts w:ascii="Times New Roman" w:eastAsia="Times New Roman" w:hAnsi="Times New Roman" w:cs="Times New Roman"/>
          <w:sz w:val="24"/>
          <w:szCs w:val="24"/>
        </w:rPr>
        <w:t xml:space="preserve">). This low-level contamination is unlikely to impact the high microbial activity and high counts seen in the soil. </w:t>
      </w:r>
      <w:r w:rsidR="00477230" w:rsidRPr="009C28F4">
        <w:rPr>
          <w:rFonts w:ascii="Times New Roman" w:hAnsi="Times New Roman" w:cs="Times New Roman"/>
          <w:sz w:val="24"/>
          <w:szCs w:val="24"/>
        </w:rPr>
        <w:t xml:space="preserve">The microbial enumeration agrees with recent findings that total heterotrophic bacteria often dominate fertile soils, whereas fungi and </w:t>
      </w:r>
      <w:proofErr w:type="spellStart"/>
      <w:r w:rsidR="00477230" w:rsidRPr="009C28F4">
        <w:rPr>
          <w:rFonts w:ascii="Times New Roman" w:hAnsi="Times New Roman" w:cs="Times New Roman"/>
          <w:sz w:val="24"/>
          <w:szCs w:val="24"/>
        </w:rPr>
        <w:t>specialised</w:t>
      </w:r>
      <w:proofErr w:type="spellEnd"/>
      <w:r w:rsidR="00477230" w:rsidRPr="009C28F4">
        <w:rPr>
          <w:rFonts w:ascii="Times New Roman" w:hAnsi="Times New Roman" w:cs="Times New Roman"/>
          <w:sz w:val="24"/>
          <w:szCs w:val="24"/>
        </w:rPr>
        <w:t xml:space="preserve"> functional groups such as phosphate solubilizers occur at lower yet ecolog</w:t>
      </w:r>
      <w:r w:rsidR="00A96616" w:rsidRPr="009C28F4">
        <w:rPr>
          <w:rFonts w:ascii="Times New Roman" w:hAnsi="Times New Roman" w:cs="Times New Roman"/>
          <w:sz w:val="24"/>
          <w:szCs w:val="24"/>
        </w:rPr>
        <w:t>ically crucial densities (Bogati et al., 2025</w:t>
      </w:r>
      <w:r w:rsidR="00477230" w:rsidRPr="009C28F4">
        <w:rPr>
          <w:rFonts w:ascii="Times New Roman" w:hAnsi="Times New Roman" w:cs="Times New Roman"/>
          <w:sz w:val="24"/>
          <w:szCs w:val="24"/>
        </w:rPr>
        <w:t xml:space="preserve">). </w:t>
      </w:r>
      <w:r w:rsidR="00811128" w:rsidRPr="009C28F4">
        <w:rPr>
          <w:rFonts w:ascii="Times New Roman" w:eastAsia="Times New Roman" w:hAnsi="Times New Roman" w:cs="Times New Roman"/>
          <w:sz w:val="24"/>
          <w:szCs w:val="24"/>
        </w:rPr>
        <w:t xml:space="preserve">These findings mirror the hierarchical microbial structure described in microbially lively soils across </w:t>
      </w:r>
      <w:r w:rsidR="00821109" w:rsidRPr="009C28F4">
        <w:rPr>
          <w:rFonts w:ascii="Times New Roman" w:eastAsia="Times New Roman" w:hAnsi="Times New Roman" w:cs="Times New Roman"/>
          <w:sz w:val="24"/>
          <w:szCs w:val="24"/>
        </w:rPr>
        <w:t>varied agroecosystems (Mishra et al., 2025</w:t>
      </w:r>
      <w:r w:rsidR="00811128" w:rsidRPr="009C28F4">
        <w:rPr>
          <w:rFonts w:ascii="Times New Roman" w:eastAsia="Times New Roman" w:hAnsi="Times New Roman" w:cs="Times New Roman"/>
          <w:sz w:val="24"/>
          <w:szCs w:val="24"/>
        </w:rPr>
        <w:t>).</w:t>
      </w:r>
    </w:p>
    <w:p w14:paraId="4CACB0F0" w14:textId="07E850A9" w:rsidR="00C75AD4" w:rsidRPr="009C28F4" w:rsidRDefault="00811128">
      <w:pPr>
        <w:spacing w:before="100" w:beforeAutospacing="1" w:after="100" w:afterAutospacing="1" w:line="360" w:lineRule="auto"/>
        <w:ind w:firstLine="720"/>
        <w:jc w:val="both"/>
        <w:rPr>
          <w:rFonts w:ascii="Times New Roman" w:eastAsia="Times New Roman" w:hAnsi="Times New Roman" w:cs="Times New Roman"/>
          <w:sz w:val="24"/>
          <w:szCs w:val="24"/>
        </w:rPr>
      </w:pPr>
      <w:r w:rsidRPr="009C28F4">
        <w:rPr>
          <w:rFonts w:ascii="Times New Roman" w:eastAsia="Times New Roman" w:hAnsi="Times New Roman" w:cs="Times New Roman"/>
          <w:sz w:val="24"/>
          <w:szCs w:val="24"/>
        </w:rPr>
        <w:t xml:space="preserve">The median lethal concentration (LC₅₀) of Atrazine to </w:t>
      </w:r>
      <w:r w:rsidRPr="009C28F4">
        <w:rPr>
          <w:rFonts w:ascii="Times New Roman" w:eastAsia="Times New Roman" w:hAnsi="Times New Roman" w:cs="Times New Roman"/>
          <w:i/>
          <w:iCs/>
          <w:sz w:val="24"/>
          <w:szCs w:val="24"/>
        </w:rPr>
        <w:t xml:space="preserve">Helix </w:t>
      </w:r>
      <w:proofErr w:type="spellStart"/>
      <w:r w:rsidRPr="009C28F4">
        <w:rPr>
          <w:rFonts w:ascii="Times New Roman" w:eastAsia="Times New Roman" w:hAnsi="Times New Roman" w:cs="Times New Roman"/>
          <w:i/>
          <w:iCs/>
          <w:sz w:val="24"/>
          <w:szCs w:val="24"/>
        </w:rPr>
        <w:t>aspersa</w:t>
      </w:r>
      <w:proofErr w:type="spellEnd"/>
      <w:r w:rsidRPr="009C28F4">
        <w:rPr>
          <w:rFonts w:ascii="Times New Roman" w:eastAsia="Times New Roman" w:hAnsi="Times New Roman" w:cs="Times New Roman"/>
          <w:sz w:val="24"/>
          <w:szCs w:val="24"/>
        </w:rPr>
        <w:t xml:space="preserve"> demonstrates significant acute toxicity at higher exposure levels, which is consistent with previous reports. </w:t>
      </w:r>
      <w:r w:rsidR="00E31001" w:rsidRPr="009C28F4">
        <w:rPr>
          <w:rFonts w:ascii="Times New Roman" w:hAnsi="Times New Roman" w:cs="Times New Roman"/>
          <w:sz w:val="24"/>
          <w:szCs w:val="24"/>
        </w:rPr>
        <w:t xml:space="preserve">Recent studies also report comparable sub-lethal impacts of Atrazine on freshwater </w:t>
      </w:r>
      <w:proofErr w:type="spellStart"/>
      <w:r w:rsidR="00E31001" w:rsidRPr="009C28F4">
        <w:rPr>
          <w:rFonts w:ascii="Times New Roman" w:hAnsi="Times New Roman" w:cs="Times New Roman"/>
          <w:sz w:val="24"/>
          <w:szCs w:val="24"/>
        </w:rPr>
        <w:t>molluscs</w:t>
      </w:r>
      <w:proofErr w:type="spellEnd"/>
      <w:r w:rsidR="00821109" w:rsidRPr="009C28F4">
        <w:rPr>
          <w:rFonts w:ascii="Times New Roman" w:hAnsi="Times New Roman" w:cs="Times New Roman"/>
          <w:sz w:val="24"/>
          <w:szCs w:val="24"/>
        </w:rPr>
        <w:t xml:space="preserve">. For example, </w:t>
      </w:r>
      <w:r w:rsidR="00427E8A">
        <w:rPr>
          <w:rFonts w:ascii="Times New Roman" w:hAnsi="Times New Roman" w:cs="Times New Roman"/>
          <w:sz w:val="24"/>
          <w:szCs w:val="24"/>
        </w:rPr>
        <w:t>(Singh &amp; Garg</w:t>
      </w:r>
      <w:r w:rsidR="00821109" w:rsidRPr="00427E8A">
        <w:rPr>
          <w:rFonts w:ascii="Times New Roman" w:hAnsi="Times New Roman" w:cs="Times New Roman"/>
          <w:sz w:val="24"/>
          <w:szCs w:val="24"/>
        </w:rPr>
        <w:t xml:space="preserve"> (20</w:t>
      </w:r>
      <w:r w:rsidR="00427E8A">
        <w:rPr>
          <w:rFonts w:ascii="Times New Roman" w:hAnsi="Times New Roman" w:cs="Times New Roman"/>
          <w:sz w:val="24"/>
          <w:szCs w:val="24"/>
        </w:rPr>
        <w:t>22</w:t>
      </w:r>
      <w:r w:rsidR="00E31001" w:rsidRPr="00427E8A">
        <w:rPr>
          <w:rFonts w:ascii="Times New Roman" w:hAnsi="Times New Roman" w:cs="Times New Roman"/>
          <w:sz w:val="24"/>
          <w:szCs w:val="24"/>
        </w:rPr>
        <w:t>)</w:t>
      </w:r>
      <w:r w:rsidR="00E31001" w:rsidRPr="009C28F4">
        <w:rPr>
          <w:rFonts w:ascii="Times New Roman" w:hAnsi="Times New Roman" w:cs="Times New Roman"/>
          <w:sz w:val="24"/>
          <w:szCs w:val="24"/>
        </w:rPr>
        <w:t xml:space="preserve"> observed histopathological and genotoxic alterations in mus</w:t>
      </w:r>
      <w:r w:rsidR="00821109" w:rsidRPr="009C28F4">
        <w:rPr>
          <w:rFonts w:ascii="Times New Roman" w:hAnsi="Times New Roman" w:cs="Times New Roman"/>
          <w:sz w:val="24"/>
          <w:szCs w:val="24"/>
        </w:rPr>
        <w:t xml:space="preserve">sels exposed to Atrazine, while </w:t>
      </w:r>
      <w:r w:rsidR="00427E8A">
        <w:rPr>
          <w:rFonts w:ascii="Times New Roman" w:hAnsi="Times New Roman" w:cs="Times New Roman"/>
          <w:sz w:val="24"/>
          <w:szCs w:val="24"/>
        </w:rPr>
        <w:t xml:space="preserve">(Sparr, J </w:t>
      </w:r>
      <w:r w:rsidR="00821109" w:rsidRPr="009C28F4">
        <w:rPr>
          <w:rFonts w:ascii="Times New Roman" w:hAnsi="Times New Roman" w:cs="Times New Roman"/>
          <w:sz w:val="24"/>
          <w:szCs w:val="24"/>
        </w:rPr>
        <w:t>20</w:t>
      </w:r>
      <w:r w:rsidR="00427E8A">
        <w:rPr>
          <w:rFonts w:ascii="Times New Roman" w:hAnsi="Times New Roman" w:cs="Times New Roman"/>
          <w:sz w:val="24"/>
          <w:szCs w:val="24"/>
        </w:rPr>
        <w:t>24</w:t>
      </w:r>
      <w:r w:rsidR="00E31001" w:rsidRPr="009C28F4">
        <w:rPr>
          <w:rFonts w:ascii="Times New Roman" w:hAnsi="Times New Roman" w:cs="Times New Roman"/>
          <w:sz w:val="24"/>
          <w:szCs w:val="24"/>
        </w:rPr>
        <w:t xml:space="preserve">) documented oxidative stress and </w:t>
      </w:r>
      <w:proofErr w:type="spellStart"/>
      <w:r w:rsidR="00E31001" w:rsidRPr="009C28F4">
        <w:rPr>
          <w:rFonts w:ascii="Times New Roman" w:hAnsi="Times New Roman" w:cs="Times New Roman"/>
          <w:sz w:val="24"/>
          <w:szCs w:val="24"/>
        </w:rPr>
        <w:t>behavioural</w:t>
      </w:r>
      <w:proofErr w:type="spellEnd"/>
      <w:r w:rsidR="00E31001" w:rsidRPr="009C28F4">
        <w:rPr>
          <w:rFonts w:ascii="Times New Roman" w:hAnsi="Times New Roman" w:cs="Times New Roman"/>
          <w:sz w:val="24"/>
          <w:szCs w:val="24"/>
        </w:rPr>
        <w:t xml:space="preserve"> disruptions in </w:t>
      </w:r>
      <w:proofErr w:type="spellStart"/>
      <w:r w:rsidR="00E31001" w:rsidRPr="009C28F4">
        <w:rPr>
          <w:rStyle w:val="Emphasis"/>
          <w:rFonts w:ascii="Times New Roman" w:hAnsi="Times New Roman" w:cs="Times New Roman"/>
          <w:sz w:val="24"/>
          <w:szCs w:val="24"/>
        </w:rPr>
        <w:t>Biomphalaria</w:t>
      </w:r>
      <w:proofErr w:type="spellEnd"/>
      <w:r w:rsidR="00E31001" w:rsidRPr="009C28F4">
        <w:rPr>
          <w:rStyle w:val="Emphasis"/>
          <w:rFonts w:ascii="Times New Roman" w:hAnsi="Times New Roman" w:cs="Times New Roman"/>
          <w:sz w:val="24"/>
          <w:szCs w:val="24"/>
        </w:rPr>
        <w:t xml:space="preserve"> glabrata</w:t>
      </w:r>
      <w:r w:rsidR="00E31001" w:rsidRPr="009C28F4">
        <w:rPr>
          <w:rFonts w:ascii="Times New Roman" w:hAnsi="Times New Roman" w:cs="Times New Roman"/>
          <w:sz w:val="24"/>
          <w:szCs w:val="24"/>
        </w:rPr>
        <w:t>. Although some studies have shown that environmentally relevant concentrations of Atrazine may not cause immediate mortality in aquatic snails, recent evidence suggests that such exposures can trigger oxidative stress and physiological disruptio</w:t>
      </w:r>
      <w:r w:rsidR="00942748" w:rsidRPr="009C28F4">
        <w:rPr>
          <w:rFonts w:ascii="Times New Roman" w:hAnsi="Times New Roman" w:cs="Times New Roman"/>
          <w:sz w:val="24"/>
          <w:szCs w:val="24"/>
        </w:rPr>
        <w:t>n over time. For instance, Debroy et al. (2025</w:t>
      </w:r>
      <w:r w:rsidR="00E31001" w:rsidRPr="009C28F4">
        <w:rPr>
          <w:rFonts w:ascii="Times New Roman" w:hAnsi="Times New Roman" w:cs="Times New Roman"/>
          <w:sz w:val="24"/>
          <w:szCs w:val="24"/>
        </w:rPr>
        <w:t xml:space="preserve">) reported that </w:t>
      </w:r>
      <w:r w:rsidR="00E31001" w:rsidRPr="009C28F4">
        <w:rPr>
          <w:rFonts w:ascii="Times New Roman" w:hAnsi="Times New Roman" w:cs="Times New Roman"/>
          <w:sz w:val="24"/>
          <w:szCs w:val="24"/>
        </w:rPr>
        <w:lastRenderedPageBreak/>
        <w:t xml:space="preserve">sublethal Atrazine concentrations significantly altered antioxidant enzyme activities and induced oxidative damage in </w:t>
      </w:r>
      <w:proofErr w:type="spellStart"/>
      <w:r w:rsidR="00E31001" w:rsidRPr="009C28F4">
        <w:rPr>
          <w:rStyle w:val="Emphasis"/>
          <w:rFonts w:ascii="Times New Roman" w:hAnsi="Times New Roman" w:cs="Times New Roman"/>
          <w:sz w:val="24"/>
          <w:szCs w:val="24"/>
        </w:rPr>
        <w:t>Bellamya</w:t>
      </w:r>
      <w:proofErr w:type="spellEnd"/>
      <w:r w:rsidR="00E31001" w:rsidRPr="009C28F4">
        <w:rPr>
          <w:rStyle w:val="Emphasis"/>
          <w:rFonts w:ascii="Times New Roman" w:hAnsi="Times New Roman" w:cs="Times New Roman"/>
          <w:sz w:val="24"/>
          <w:szCs w:val="24"/>
        </w:rPr>
        <w:t xml:space="preserve"> aeruginosa</w:t>
      </w:r>
      <w:r w:rsidR="00821109" w:rsidRPr="009C28F4">
        <w:rPr>
          <w:rFonts w:ascii="Times New Roman" w:hAnsi="Times New Roman" w:cs="Times New Roman"/>
          <w:sz w:val="24"/>
          <w:szCs w:val="24"/>
        </w:rPr>
        <w:t xml:space="preserve">, while </w:t>
      </w:r>
      <w:r w:rsidR="00427E8A">
        <w:rPr>
          <w:rFonts w:ascii="Times New Roman" w:hAnsi="Times New Roman" w:cs="Times New Roman"/>
          <w:sz w:val="24"/>
          <w:szCs w:val="24"/>
        </w:rPr>
        <w:t xml:space="preserve">(Singh &amp; Garg, </w:t>
      </w:r>
      <w:proofErr w:type="gramStart"/>
      <w:r w:rsidR="00427E8A">
        <w:rPr>
          <w:rFonts w:ascii="Times New Roman" w:hAnsi="Times New Roman" w:cs="Times New Roman"/>
          <w:sz w:val="24"/>
          <w:szCs w:val="24"/>
        </w:rPr>
        <w:t>2022)</w:t>
      </w:r>
      <w:r w:rsidR="00E31001" w:rsidRPr="009C28F4">
        <w:rPr>
          <w:rFonts w:ascii="Times New Roman" w:hAnsi="Times New Roman" w:cs="Times New Roman"/>
          <w:sz w:val="24"/>
          <w:szCs w:val="24"/>
        </w:rPr>
        <w:t>observed</w:t>
      </w:r>
      <w:proofErr w:type="gramEnd"/>
      <w:r w:rsidR="00E31001" w:rsidRPr="009C28F4">
        <w:rPr>
          <w:rFonts w:ascii="Times New Roman" w:hAnsi="Times New Roman" w:cs="Times New Roman"/>
          <w:sz w:val="24"/>
          <w:szCs w:val="24"/>
        </w:rPr>
        <w:t xml:space="preserve"> long-term histopathological and genotoxic effects in freshwater mussels exposed to similar concentrations. Recent studies indicate that the toxicity of Atrazine is strongly influenced by the route of exposure. </w:t>
      </w:r>
      <w:r w:rsidR="00942748" w:rsidRPr="009C28F4">
        <w:rPr>
          <w:rFonts w:ascii="Times New Roman" w:hAnsi="Times New Roman" w:cs="Times New Roman"/>
          <w:sz w:val="24"/>
          <w:szCs w:val="24"/>
        </w:rPr>
        <w:t xml:space="preserve">For instance, </w:t>
      </w:r>
      <w:proofErr w:type="spellStart"/>
      <w:r w:rsidR="00942748" w:rsidRPr="009C28F4">
        <w:rPr>
          <w:rFonts w:ascii="Times New Roman" w:hAnsi="Times New Roman" w:cs="Times New Roman"/>
          <w:sz w:val="24"/>
          <w:szCs w:val="24"/>
        </w:rPr>
        <w:t>Oorts</w:t>
      </w:r>
      <w:proofErr w:type="spellEnd"/>
      <w:r w:rsidR="00942748" w:rsidRPr="009C28F4">
        <w:rPr>
          <w:rFonts w:ascii="Times New Roman" w:hAnsi="Times New Roman" w:cs="Times New Roman"/>
          <w:sz w:val="24"/>
          <w:szCs w:val="24"/>
        </w:rPr>
        <w:t xml:space="preserve"> et al. (2021</w:t>
      </w:r>
      <w:r w:rsidR="00E31001" w:rsidRPr="009C28F4">
        <w:rPr>
          <w:rFonts w:ascii="Times New Roman" w:hAnsi="Times New Roman" w:cs="Times New Roman"/>
          <w:sz w:val="24"/>
          <w:szCs w:val="24"/>
        </w:rPr>
        <w:t>) reported that soil-contact exposure resulted in higher bioavailability and toxicity to invertebrates than dietary routes, where metabolic detoxification reduces acute effects. This may explain the lower lethality observed in ingestion-based studies compared to direct soil contact</w:t>
      </w:r>
      <w:r w:rsidR="00942748" w:rsidRPr="009C28F4">
        <w:rPr>
          <w:rFonts w:ascii="Times New Roman" w:hAnsi="Times New Roman" w:cs="Times New Roman"/>
          <w:sz w:val="24"/>
          <w:szCs w:val="24"/>
        </w:rPr>
        <w:t>. Furthermore, Anderson &amp;</w:t>
      </w:r>
      <w:r w:rsidR="005A330D">
        <w:rPr>
          <w:rFonts w:ascii="Times New Roman" w:hAnsi="Times New Roman" w:cs="Times New Roman"/>
          <w:sz w:val="24"/>
          <w:szCs w:val="24"/>
        </w:rPr>
        <w:t xml:space="preserve"> </w:t>
      </w:r>
      <w:r w:rsidR="00942748" w:rsidRPr="009C28F4">
        <w:rPr>
          <w:rFonts w:ascii="Times New Roman" w:hAnsi="Times New Roman" w:cs="Times New Roman"/>
          <w:sz w:val="24"/>
          <w:szCs w:val="24"/>
        </w:rPr>
        <w:t>Lydy et al. (2002</w:t>
      </w:r>
      <w:r w:rsidR="00E31001" w:rsidRPr="009C28F4">
        <w:rPr>
          <w:rFonts w:ascii="Times New Roman" w:hAnsi="Times New Roman" w:cs="Times New Roman"/>
          <w:sz w:val="24"/>
          <w:szCs w:val="24"/>
        </w:rPr>
        <w:t xml:space="preserve">) demonstrated that co-exposure of Atrazine with organophosphate insecticides significantly intensified toxicity due to the inhibition of detoxification enzymes and elevated oxidative stress, reinforcing that combined exposures present greater ecological risks than single-compound exposures. </w:t>
      </w:r>
      <w:r w:rsidRPr="009C28F4">
        <w:rPr>
          <w:rFonts w:ascii="Times New Roman" w:eastAsia="Times New Roman" w:hAnsi="Times New Roman" w:cs="Times New Roman"/>
          <w:sz w:val="24"/>
          <w:szCs w:val="24"/>
        </w:rPr>
        <w:t>Their findings echo the broader study theme and suggest that Atrazine could potentiate Dichlorvos toxicity via synergistic effect</w:t>
      </w:r>
      <w:r w:rsidR="00477230" w:rsidRPr="009C28F4">
        <w:rPr>
          <w:rFonts w:ascii="Times New Roman" w:eastAsia="Times New Roman" w:hAnsi="Times New Roman" w:cs="Times New Roman"/>
          <w:sz w:val="24"/>
          <w:szCs w:val="24"/>
        </w:rPr>
        <w:t xml:space="preserve">. </w:t>
      </w:r>
      <w:r w:rsidRPr="009C28F4">
        <w:rPr>
          <w:rFonts w:ascii="Times New Roman" w:eastAsia="Times New Roman" w:hAnsi="Times New Roman" w:cs="Times New Roman"/>
          <w:sz w:val="24"/>
          <w:szCs w:val="24"/>
        </w:rPr>
        <w:t xml:space="preserve">In summary, the LC₅₀ findings for Atrazine in </w:t>
      </w:r>
      <w:r w:rsidRPr="009C28F4">
        <w:rPr>
          <w:rFonts w:ascii="Times New Roman" w:eastAsia="Times New Roman" w:hAnsi="Times New Roman" w:cs="Times New Roman"/>
          <w:i/>
          <w:iCs/>
          <w:sz w:val="24"/>
          <w:szCs w:val="24"/>
        </w:rPr>
        <w:t xml:space="preserve">Helix </w:t>
      </w:r>
      <w:proofErr w:type="spellStart"/>
      <w:r w:rsidRPr="009C28F4">
        <w:rPr>
          <w:rFonts w:ascii="Times New Roman" w:eastAsia="Times New Roman" w:hAnsi="Times New Roman" w:cs="Times New Roman"/>
          <w:i/>
          <w:iCs/>
          <w:sz w:val="24"/>
          <w:szCs w:val="24"/>
        </w:rPr>
        <w:t>aspersa</w:t>
      </w:r>
      <w:proofErr w:type="spellEnd"/>
      <w:r w:rsidRPr="009C28F4">
        <w:rPr>
          <w:rFonts w:ascii="Times New Roman" w:eastAsia="Times New Roman" w:hAnsi="Times New Roman" w:cs="Times New Roman"/>
          <w:sz w:val="24"/>
          <w:szCs w:val="24"/>
        </w:rPr>
        <w:t xml:space="preserve"> are generally consistent with evidence from prior studies involving histopathological damage, aquatic exposures, and pesticide interactions, although discrepancies in lethality thresholds reflect differences in exposure route, duration, and organism stage.</w:t>
      </w:r>
    </w:p>
    <w:p w14:paraId="180CBC29" w14:textId="0F32CAE7" w:rsidR="004234FA" w:rsidRPr="009C28F4" w:rsidRDefault="004234FA" w:rsidP="009F1E13">
      <w:pPr>
        <w:pStyle w:val="NormalWeb"/>
        <w:spacing w:line="360" w:lineRule="auto"/>
        <w:ind w:firstLine="720"/>
        <w:jc w:val="both"/>
      </w:pPr>
      <w:r w:rsidRPr="009C28F4">
        <w:t>The steep sigmoidal trend observed in the probit</w:t>
      </w:r>
      <w:r w:rsidR="00942748" w:rsidRPr="009C28F4">
        <w:t xml:space="preserve"> curve for Dichlorvos mortality </w:t>
      </w:r>
      <w:r w:rsidRPr="009C28F4">
        <w:t>where death rates rapidly escalate with</w:t>
      </w:r>
      <w:r w:rsidR="00942748" w:rsidRPr="009C28F4">
        <w:t xml:space="preserve">in a narrow concentration range </w:t>
      </w:r>
      <w:r w:rsidRPr="009C28F4">
        <w:t>accords with the known neurotoxic mode of action of organophosphates in invertebrates. Recent work confirms that organophosphorus pesticides inhibit acetylcholinesterase (</w:t>
      </w:r>
      <w:proofErr w:type="spellStart"/>
      <w:r w:rsidRPr="009C28F4">
        <w:t>AChE</w:t>
      </w:r>
      <w:proofErr w:type="spellEnd"/>
      <w:r w:rsidRPr="009C28F4">
        <w:t xml:space="preserve">), causing rapid </w:t>
      </w:r>
      <w:proofErr w:type="spellStart"/>
      <w:r w:rsidRPr="009C28F4">
        <w:t>behavioural</w:t>
      </w:r>
      <w:proofErr w:type="spellEnd"/>
      <w:r w:rsidRPr="009C28F4">
        <w:t xml:space="preserve"> impairment and, under sufficient dose or exposur</w:t>
      </w:r>
      <w:r w:rsidR="00942748" w:rsidRPr="009C28F4">
        <w:t>e, mortality (</w:t>
      </w:r>
      <w:r w:rsidR="00427E8A">
        <w:t xml:space="preserve">Al </w:t>
      </w:r>
      <w:proofErr w:type="spellStart"/>
      <w:r w:rsidR="00427E8A">
        <w:t>jowf</w:t>
      </w:r>
      <w:proofErr w:type="spellEnd"/>
      <w:r w:rsidR="00427E8A">
        <w:t>, et al., 2022</w:t>
      </w:r>
      <w:r w:rsidRPr="009C28F4">
        <w:t xml:space="preserve">). For example, the primary neurotoxic mechanism of organophosphate insecticides is irreversible </w:t>
      </w:r>
      <w:proofErr w:type="spellStart"/>
      <w:r w:rsidRPr="009C28F4">
        <w:t>AChE</w:t>
      </w:r>
      <w:proofErr w:type="spellEnd"/>
      <w:r w:rsidRPr="009C28F4">
        <w:t xml:space="preserve"> inhibition, leading to excessive accumulation of acetylcholine in synapses and consequent neural transmiss</w:t>
      </w:r>
      <w:r w:rsidR="00942748" w:rsidRPr="009C28F4">
        <w:t xml:space="preserve">ion failure (Trang &amp; </w:t>
      </w:r>
      <w:proofErr w:type="spellStart"/>
      <w:r w:rsidR="00942748" w:rsidRPr="009C28F4">
        <w:t>Khandhar</w:t>
      </w:r>
      <w:proofErr w:type="spellEnd"/>
      <w:r w:rsidR="00942748" w:rsidRPr="009C28F4">
        <w:t>, 2023</w:t>
      </w:r>
      <w:r w:rsidRPr="009C28F4">
        <w:t>).</w:t>
      </w:r>
      <w:r w:rsidR="005A330D">
        <w:t xml:space="preserve"> </w:t>
      </w:r>
      <w:r w:rsidRPr="009C28F4">
        <w:t xml:space="preserve">While direct studies of Dichlorvos in terrestrial </w:t>
      </w:r>
      <w:proofErr w:type="spellStart"/>
      <w:r w:rsidRPr="009C28F4">
        <w:t>molluscs</w:t>
      </w:r>
      <w:proofErr w:type="spellEnd"/>
      <w:r w:rsidRPr="009C28F4">
        <w:t xml:space="preserve"> remain limited, the general pattern of acute neurotoxicity in invertebrates supports the interpretation of your findings. A recent review of organophosphate</w:t>
      </w:r>
      <w:r w:rsidRPr="009C28F4">
        <w:noBreakHyphen/>
        <w:t>pesticide impacts on non</w:t>
      </w:r>
      <w:r w:rsidRPr="009C28F4">
        <w:noBreakHyphen/>
        <w:t xml:space="preserve">target invertebrates and vertebrates found that </w:t>
      </w:r>
      <w:proofErr w:type="spellStart"/>
      <w:r w:rsidRPr="009C28F4">
        <w:t>AChE</w:t>
      </w:r>
      <w:proofErr w:type="spellEnd"/>
      <w:r w:rsidRPr="009C28F4">
        <w:t xml:space="preserve"> inhibition is a key mechanism both of rapid toxicity and of sub</w:t>
      </w:r>
      <w:r w:rsidRPr="009C28F4">
        <w:noBreakHyphen/>
        <w:t xml:space="preserve">lethal disruption of physiological and </w:t>
      </w:r>
      <w:proofErr w:type="spellStart"/>
      <w:r w:rsidRPr="009C28F4">
        <w:t>behavioural</w:t>
      </w:r>
      <w:proofErr w:type="spellEnd"/>
      <w:r w:rsidRPr="009C28F4">
        <w:t xml:space="preserve"> syste</w:t>
      </w:r>
      <w:r w:rsidR="00942748" w:rsidRPr="009C28F4">
        <w:t>ms (Chen et al., 2024</w:t>
      </w:r>
      <w:r w:rsidRPr="009C28F4">
        <w:t>).</w:t>
      </w:r>
    </w:p>
    <w:p w14:paraId="3B9B239F" w14:textId="692CFA45" w:rsidR="004234FA" w:rsidRPr="009C28F4" w:rsidRDefault="004234FA" w:rsidP="009F1E13">
      <w:pPr>
        <w:pStyle w:val="NormalWeb"/>
        <w:spacing w:line="360" w:lineRule="auto"/>
        <w:ind w:firstLine="720"/>
        <w:jc w:val="both"/>
      </w:pPr>
      <w:r w:rsidRPr="009C28F4">
        <w:t xml:space="preserve">In </w:t>
      </w:r>
      <w:r w:rsidR="009F1E13" w:rsidRPr="009C28F4">
        <w:t xml:space="preserve">the </w:t>
      </w:r>
      <w:r w:rsidRPr="009C28F4">
        <w:t xml:space="preserve">trials, the high mortality of Helix </w:t>
      </w:r>
      <w:proofErr w:type="spellStart"/>
      <w:r w:rsidRPr="009C28F4">
        <w:t>aspersa</w:t>
      </w:r>
      <w:proofErr w:type="spellEnd"/>
      <w:r w:rsidRPr="009C28F4">
        <w:t xml:space="preserve"> is consistent with its demonstrated sensitivity to cholinesterase</w:t>
      </w:r>
      <w:r w:rsidRPr="009C28F4">
        <w:noBreakHyphen/>
        <w:t>inhibiting compounds. Although many earlier studies focused on dimethoate rather than Dichlorvos, the pattern remains relevant: exposure of H. </w:t>
      </w:r>
      <w:proofErr w:type="spellStart"/>
      <w:r w:rsidRPr="009C28F4">
        <w:t>aspersa</w:t>
      </w:r>
      <w:proofErr w:type="spellEnd"/>
      <w:r w:rsidRPr="009C28F4">
        <w:t xml:space="preserve"> to an organophosphorus pesticide </w:t>
      </w:r>
      <w:r w:rsidRPr="009C28F4">
        <w:lastRenderedPageBreak/>
        <w:t xml:space="preserve">produced marked reductions in </w:t>
      </w:r>
      <w:proofErr w:type="spellStart"/>
      <w:r w:rsidRPr="009C28F4">
        <w:t>AChE</w:t>
      </w:r>
      <w:proofErr w:type="spellEnd"/>
      <w:r w:rsidRPr="009C28F4">
        <w:t xml:space="preserve"> activity and impaired g</w:t>
      </w:r>
      <w:r w:rsidR="00CA798E" w:rsidRPr="009C28F4">
        <w:t>rowth (Abdel-Azeem et al., 2025</w:t>
      </w:r>
      <w:proofErr w:type="gramStart"/>
      <w:r w:rsidRPr="009C28F4">
        <w:t>).However</w:t>
      </w:r>
      <w:proofErr w:type="gramEnd"/>
      <w:r w:rsidRPr="009C28F4">
        <w:t xml:space="preserve">, sensitivity differs markedly among taxa and endpoints. Some aquatic invertebrates display </w:t>
      </w:r>
      <w:proofErr w:type="spellStart"/>
      <w:r w:rsidRPr="009C28F4">
        <w:t>behavioural</w:t>
      </w:r>
      <w:proofErr w:type="spellEnd"/>
      <w:r w:rsidRPr="009C28F4">
        <w:t xml:space="preserve"> responses rather than outright mortality at lower exposures. For instance, freshwater </w:t>
      </w:r>
      <w:proofErr w:type="spellStart"/>
      <w:r w:rsidRPr="009C28F4">
        <w:t>molluscs</w:t>
      </w:r>
      <w:proofErr w:type="spellEnd"/>
      <w:r w:rsidRPr="009C28F4">
        <w:t xml:space="preserve"> exposed to pesticides showed altered shell</w:t>
      </w:r>
      <w:r w:rsidRPr="009C28F4">
        <w:noBreakHyphen/>
        <w:t xml:space="preserve">opening </w:t>
      </w:r>
      <w:proofErr w:type="spellStart"/>
      <w:r w:rsidRPr="009C28F4">
        <w:t>behaviour</w:t>
      </w:r>
      <w:proofErr w:type="spellEnd"/>
      <w:r w:rsidRPr="009C28F4">
        <w:t xml:space="preserve"> and activity cha</w:t>
      </w:r>
      <w:r w:rsidR="00CA798E" w:rsidRPr="009C28F4">
        <w:t>nges prior to mortality (Betz-Koch</w:t>
      </w:r>
      <w:r w:rsidRPr="009C28F4">
        <w:t xml:space="preserve"> et al., 2025). In soil invertebrate assemblages, pesticide exposure often leads to declines in abundance, diversity or biomarker responses rather than simple mortality endpoints. A recent systematic review found that pesticide</w:t>
      </w:r>
      <w:r w:rsidRPr="009C28F4">
        <w:noBreakHyphen/>
        <w:t>related negative effects occurred in approximately 70 % of tested parameters across soil inv</w:t>
      </w:r>
      <w:r w:rsidR="00CA798E" w:rsidRPr="009C28F4">
        <w:t>ertebrates (</w:t>
      </w:r>
      <w:r w:rsidR="007E2E2F">
        <w:t xml:space="preserve">Beaumelle </w:t>
      </w:r>
      <w:r w:rsidR="00CA798E" w:rsidRPr="009C28F4">
        <w:t>et al., 20</w:t>
      </w:r>
      <w:r w:rsidR="007E2E2F">
        <w:t>23</w:t>
      </w:r>
      <w:r w:rsidRPr="009C28F4">
        <w:t xml:space="preserve">).Thus, while the acute mortality seen in </w:t>
      </w:r>
      <w:r w:rsidRPr="009C28F4">
        <w:rPr>
          <w:i/>
        </w:rPr>
        <w:t>H. </w:t>
      </w:r>
      <w:proofErr w:type="spellStart"/>
      <w:r w:rsidRPr="009C28F4">
        <w:rPr>
          <w:i/>
        </w:rPr>
        <w:t>aspersa</w:t>
      </w:r>
      <w:proofErr w:type="spellEnd"/>
      <w:r w:rsidRPr="009C28F4">
        <w:t xml:space="preserve"> in your experiment aligns with its high susceptibility to </w:t>
      </w:r>
      <w:proofErr w:type="spellStart"/>
      <w:r w:rsidRPr="009C28F4">
        <w:t>AChE</w:t>
      </w:r>
      <w:proofErr w:type="spellEnd"/>
      <w:r w:rsidRPr="009C28F4">
        <w:noBreakHyphen/>
        <w:t xml:space="preserve">inhibiting compounds, your results underscore that the magnitude and type of response (mortality vs </w:t>
      </w:r>
      <w:proofErr w:type="spellStart"/>
      <w:r w:rsidRPr="009C28F4">
        <w:t>behaviour</w:t>
      </w:r>
      <w:proofErr w:type="spellEnd"/>
      <w:r w:rsidRPr="009C28F4">
        <w:t xml:space="preserve"> vs biomarker change) vary strongly among species, chemical mode of action, exposure milieu and endpoint. The pronounced shift in the dose</w:t>
      </w:r>
      <w:r w:rsidRPr="009C28F4">
        <w:noBreakHyphen/>
        <w:t>response curve which you attribute to the organophosphate’s neurotoxicity fits with the mechanistic understanding that organophosphates often produce more rapid and severe neural disruption than many herbicides.</w:t>
      </w:r>
    </w:p>
    <w:p w14:paraId="49B2637A" w14:textId="77777777" w:rsidR="00F93B3E" w:rsidRPr="009C28F4" w:rsidRDefault="00F93B3E" w:rsidP="00D21E87">
      <w:pPr>
        <w:spacing w:after="0" w:line="360" w:lineRule="auto"/>
        <w:jc w:val="both"/>
        <w:outlineLvl w:val="0"/>
        <w:rPr>
          <w:rFonts w:ascii="Times New Roman" w:eastAsia="Times New Roman" w:hAnsi="Times New Roman" w:cs="Times New Roman"/>
          <w:b/>
          <w:bCs/>
          <w:sz w:val="24"/>
          <w:szCs w:val="24"/>
        </w:rPr>
      </w:pPr>
      <w:r w:rsidRPr="009C28F4">
        <w:rPr>
          <w:rFonts w:ascii="Times New Roman" w:eastAsia="Times New Roman" w:hAnsi="Times New Roman" w:cs="Times New Roman"/>
          <w:b/>
          <w:bCs/>
          <w:sz w:val="24"/>
          <w:szCs w:val="24"/>
        </w:rPr>
        <w:t>Microbial Biomass Dynamics and Soil Microbial Health</w:t>
      </w:r>
    </w:p>
    <w:p w14:paraId="5B9F1B8E" w14:textId="77777777" w:rsidR="00F93B3E" w:rsidRPr="009C28F4" w:rsidRDefault="00F93B3E" w:rsidP="00F93B3E">
      <w:pPr>
        <w:spacing w:after="0" w:line="360" w:lineRule="auto"/>
        <w:ind w:firstLine="720"/>
        <w:jc w:val="both"/>
        <w:rPr>
          <w:rFonts w:ascii="Times New Roman" w:eastAsia="Times New Roman" w:hAnsi="Times New Roman" w:cs="Times New Roman"/>
          <w:sz w:val="24"/>
          <w:szCs w:val="24"/>
        </w:rPr>
      </w:pPr>
      <w:r w:rsidRPr="009C28F4">
        <w:rPr>
          <w:rFonts w:ascii="Times New Roman" w:eastAsia="Times New Roman" w:hAnsi="Times New Roman" w:cs="Times New Roman"/>
          <w:sz w:val="24"/>
          <w:szCs w:val="24"/>
        </w:rPr>
        <w:t xml:space="preserve">Microbial biomass carbon (MB-C), nitrogen (MB-N), and phosphorus (MB-P) collectively represent the living microbial fraction of soil and serve as sensitive indicators of soil biological activity, nutrient cycling, and ecosystem functioning. These biomass pools are tightly interlinked: MB-C fuels microbial growth, while MB-N and MB-P reflect nutrient </w:t>
      </w:r>
      <w:proofErr w:type="spellStart"/>
      <w:r w:rsidRPr="009C28F4">
        <w:rPr>
          <w:rFonts w:ascii="Times New Roman" w:eastAsia="Times New Roman" w:hAnsi="Times New Roman" w:cs="Times New Roman"/>
          <w:sz w:val="24"/>
          <w:szCs w:val="24"/>
        </w:rPr>
        <w:t>immobilisation</w:t>
      </w:r>
      <w:proofErr w:type="spellEnd"/>
      <w:r w:rsidRPr="009C28F4">
        <w:rPr>
          <w:rFonts w:ascii="Times New Roman" w:eastAsia="Times New Roman" w:hAnsi="Times New Roman" w:cs="Times New Roman"/>
          <w:sz w:val="24"/>
          <w:szCs w:val="24"/>
        </w:rPr>
        <w:t xml:space="preserve"> and </w:t>
      </w:r>
      <w:proofErr w:type="spellStart"/>
      <w:r w:rsidRPr="009C28F4">
        <w:rPr>
          <w:rFonts w:ascii="Times New Roman" w:eastAsia="Times New Roman" w:hAnsi="Times New Roman" w:cs="Times New Roman"/>
          <w:sz w:val="24"/>
          <w:szCs w:val="24"/>
        </w:rPr>
        <w:t>mineralisation</w:t>
      </w:r>
      <w:proofErr w:type="spellEnd"/>
      <w:r w:rsidRPr="009C28F4">
        <w:rPr>
          <w:rFonts w:ascii="Times New Roman" w:eastAsia="Times New Roman" w:hAnsi="Times New Roman" w:cs="Times New Roman"/>
          <w:sz w:val="24"/>
          <w:szCs w:val="24"/>
        </w:rPr>
        <w:t xml:space="preserve"> processes that depend on the size, composition, and activity of bacterial, fungal, and functional groups such as nitrifiers and phosphate-so</w:t>
      </w:r>
      <w:r w:rsidR="00CA798E" w:rsidRPr="009C28F4">
        <w:rPr>
          <w:rFonts w:ascii="Times New Roman" w:eastAsia="Times New Roman" w:hAnsi="Times New Roman" w:cs="Times New Roman"/>
          <w:sz w:val="24"/>
          <w:szCs w:val="24"/>
        </w:rPr>
        <w:t>lubilizers (Naylor et al., 2022; Gupta et al., 2022</w:t>
      </w:r>
      <w:r w:rsidRPr="009C28F4">
        <w:rPr>
          <w:rFonts w:ascii="Times New Roman" w:eastAsia="Times New Roman" w:hAnsi="Times New Roman" w:cs="Times New Roman"/>
          <w:sz w:val="24"/>
          <w:szCs w:val="24"/>
        </w:rPr>
        <w:t>). Consequently, changes in any one biomass pool typically mirror shifts in the others and correlate with fluctuations in microbial populations and nutrient-cycling capacity.</w:t>
      </w:r>
    </w:p>
    <w:p w14:paraId="01F1076F" w14:textId="78FBC443" w:rsidR="00F93B3E" w:rsidRPr="009C28F4" w:rsidRDefault="00F93B3E" w:rsidP="00F93B3E">
      <w:pPr>
        <w:spacing w:after="0" w:line="360" w:lineRule="auto"/>
        <w:ind w:firstLine="720"/>
        <w:jc w:val="both"/>
        <w:rPr>
          <w:rFonts w:ascii="Times New Roman" w:eastAsia="Times New Roman" w:hAnsi="Times New Roman" w:cs="Times New Roman"/>
          <w:sz w:val="24"/>
          <w:szCs w:val="24"/>
        </w:rPr>
      </w:pPr>
      <w:r w:rsidRPr="009C28F4">
        <w:rPr>
          <w:rFonts w:ascii="Times New Roman" w:eastAsia="Times New Roman" w:hAnsi="Times New Roman" w:cs="Times New Roman"/>
          <w:sz w:val="24"/>
          <w:szCs w:val="24"/>
        </w:rPr>
        <w:t xml:space="preserve">The observed temporal patterns across pesticide treatments reveal a consistent disturbance-response trajectory. Initially, all three biomass pools experienced acute suppression following Atrazine and Dichlorvos application, </w:t>
      </w:r>
      <w:proofErr w:type="spellStart"/>
      <w:r w:rsidRPr="009C28F4">
        <w:rPr>
          <w:rFonts w:ascii="Times New Roman" w:eastAsia="Times New Roman" w:hAnsi="Times New Roman" w:cs="Times New Roman"/>
          <w:sz w:val="24"/>
          <w:szCs w:val="24"/>
        </w:rPr>
        <w:t>signalling</w:t>
      </w:r>
      <w:proofErr w:type="spellEnd"/>
      <w:r w:rsidRPr="009C28F4">
        <w:rPr>
          <w:rFonts w:ascii="Times New Roman" w:eastAsia="Times New Roman" w:hAnsi="Times New Roman" w:cs="Times New Roman"/>
          <w:sz w:val="24"/>
          <w:szCs w:val="24"/>
        </w:rPr>
        <w:t xml:space="preserve"> strong short-term toxicity that reduced active microbial biomass and constrained nutrient </w:t>
      </w:r>
      <w:proofErr w:type="spellStart"/>
      <w:r w:rsidRPr="009C28F4">
        <w:rPr>
          <w:rFonts w:ascii="Times New Roman" w:eastAsia="Times New Roman" w:hAnsi="Times New Roman" w:cs="Times New Roman"/>
          <w:sz w:val="24"/>
          <w:szCs w:val="24"/>
        </w:rPr>
        <w:t>immobilisation</w:t>
      </w:r>
      <w:proofErr w:type="spellEnd"/>
      <w:r w:rsidRPr="009C28F4">
        <w:rPr>
          <w:rFonts w:ascii="Times New Roman" w:eastAsia="Times New Roman" w:hAnsi="Times New Roman" w:cs="Times New Roman"/>
          <w:sz w:val="24"/>
          <w:szCs w:val="24"/>
        </w:rPr>
        <w:t xml:space="preserve">. This early decline in MB-C limited substrate availability for heterotrophic growth, while reductions in MB-N and MB-P reflected the diminished capacity of microbes to assimilate and cycle nitrogen and phosphorus. Correspondingly, bacterial and fungal populations, as well as key functional guilds like nitrifiers and phosphate-solubilizers, were also </w:t>
      </w:r>
      <w:r w:rsidRPr="009C28F4">
        <w:rPr>
          <w:rFonts w:ascii="Times New Roman" w:eastAsia="Times New Roman" w:hAnsi="Times New Roman" w:cs="Times New Roman"/>
          <w:sz w:val="24"/>
          <w:szCs w:val="24"/>
        </w:rPr>
        <w:lastRenderedPageBreak/>
        <w:t xml:space="preserve">suppressed, highlighting the systemic impact of pesticide stress on </w:t>
      </w:r>
      <w:r w:rsidR="00CA798E" w:rsidRPr="009C28F4">
        <w:rPr>
          <w:rFonts w:ascii="Times New Roman" w:eastAsia="Times New Roman" w:hAnsi="Times New Roman" w:cs="Times New Roman"/>
          <w:sz w:val="24"/>
          <w:szCs w:val="24"/>
        </w:rPr>
        <w:t>soil microbial networks (Li et al., 2024</w:t>
      </w:r>
      <w:r w:rsidR="009F57C0">
        <w:rPr>
          <w:rFonts w:ascii="Times New Roman" w:eastAsia="Times New Roman" w:hAnsi="Times New Roman" w:cs="Times New Roman"/>
          <w:sz w:val="24"/>
          <w:szCs w:val="24"/>
        </w:rPr>
        <w:t>)</w:t>
      </w:r>
    </w:p>
    <w:p w14:paraId="16B6CF92" w14:textId="77777777" w:rsidR="00F93B3E" w:rsidRPr="009C28F4" w:rsidRDefault="00F93B3E" w:rsidP="00F93B3E">
      <w:pPr>
        <w:spacing w:after="0" w:line="360" w:lineRule="auto"/>
        <w:ind w:firstLine="720"/>
        <w:jc w:val="both"/>
        <w:rPr>
          <w:rFonts w:ascii="Times New Roman" w:eastAsia="Times New Roman" w:hAnsi="Times New Roman" w:cs="Times New Roman"/>
          <w:sz w:val="24"/>
          <w:szCs w:val="24"/>
        </w:rPr>
      </w:pPr>
      <w:r w:rsidRPr="009C28F4">
        <w:rPr>
          <w:rFonts w:ascii="Times New Roman" w:eastAsia="Times New Roman" w:hAnsi="Times New Roman" w:cs="Times New Roman"/>
          <w:sz w:val="24"/>
          <w:szCs w:val="24"/>
        </w:rPr>
        <w:t xml:space="preserve">Following this initial inhibition, progressive recovery and eventual enhancement of MB-C, MB-N, and MB-P were observed, albeit at different rates depending on the pesticide type. Recovery is attributed to two complementary processes: physiological acclimation of surviving populations and selection for tolerant or pesticide-degrading taxa. Where degraders proliferated, they assimilated pesticide-derived carbon, nitrogen, and phosphorus into microbial biomass, facilitating the restoration of MB-C and driving concomitant increases in </w:t>
      </w:r>
      <w:r w:rsidR="00106E48" w:rsidRPr="009C28F4">
        <w:rPr>
          <w:rFonts w:ascii="Times New Roman" w:eastAsia="Times New Roman" w:hAnsi="Times New Roman" w:cs="Times New Roman"/>
          <w:sz w:val="24"/>
          <w:szCs w:val="24"/>
        </w:rPr>
        <w:t>MB-N and MB-P (He et al., 2020</w:t>
      </w:r>
      <w:r w:rsidRPr="009C28F4">
        <w:rPr>
          <w:rFonts w:ascii="Times New Roman" w:eastAsia="Times New Roman" w:hAnsi="Times New Roman" w:cs="Times New Roman"/>
          <w:sz w:val="24"/>
          <w:szCs w:val="24"/>
        </w:rPr>
        <w:t>). This functional compensation was mirrored in microbial population rebounds, indicating that recovery of biomass pools is mechanistically linked to the resurgence of active microbial communities and nutrient-transforming guilds.</w:t>
      </w:r>
    </w:p>
    <w:p w14:paraId="7E45C7E3" w14:textId="77777777" w:rsidR="00F93B3E" w:rsidRPr="009C28F4" w:rsidRDefault="00F93B3E" w:rsidP="00F93B3E">
      <w:pPr>
        <w:spacing w:after="0" w:line="360" w:lineRule="auto"/>
        <w:ind w:firstLine="720"/>
        <w:jc w:val="both"/>
        <w:rPr>
          <w:rFonts w:ascii="Times New Roman" w:eastAsia="Times New Roman" w:hAnsi="Times New Roman" w:cs="Times New Roman"/>
          <w:sz w:val="24"/>
          <w:szCs w:val="24"/>
        </w:rPr>
      </w:pPr>
      <w:r w:rsidRPr="009C28F4">
        <w:rPr>
          <w:rFonts w:ascii="Times New Roman" w:eastAsia="Times New Roman" w:hAnsi="Times New Roman" w:cs="Times New Roman"/>
          <w:sz w:val="24"/>
          <w:szCs w:val="24"/>
        </w:rPr>
        <w:t xml:space="preserve">Pesticide identity significantly influenced recovery dynamics. Herbicides like Atrazine, which can be </w:t>
      </w:r>
      <w:proofErr w:type="spellStart"/>
      <w:r w:rsidRPr="009C28F4">
        <w:rPr>
          <w:rFonts w:ascii="Times New Roman" w:eastAsia="Times New Roman" w:hAnsi="Times New Roman" w:cs="Times New Roman"/>
          <w:sz w:val="24"/>
          <w:szCs w:val="24"/>
        </w:rPr>
        <w:t>metabolised</w:t>
      </w:r>
      <w:proofErr w:type="spellEnd"/>
      <w:r w:rsidRPr="009C28F4">
        <w:rPr>
          <w:rFonts w:ascii="Times New Roman" w:eastAsia="Times New Roman" w:hAnsi="Times New Roman" w:cs="Times New Roman"/>
          <w:sz w:val="24"/>
          <w:szCs w:val="24"/>
        </w:rPr>
        <w:t xml:space="preserve"> by indigenous degraders, showed faster and more pronounced biomass recovery, whereas persistent insecticides such as Dichlorvos delayed rebound due to sustained toxicity and slower degradation (Hu et al., 2023; Zhang, 2021). These differences illustrate how the chemical nature of the pesticide interacts with the indigenous microbial community to determine the speed and extent of recovery, as well as the capacity of soil to restore carbon, nitrogen, and phosphorus cycling functions.</w:t>
      </w:r>
    </w:p>
    <w:p w14:paraId="56125AFB" w14:textId="77777777" w:rsidR="00F93B3E" w:rsidRPr="009C28F4" w:rsidRDefault="00F93B3E" w:rsidP="00F93B3E">
      <w:pPr>
        <w:spacing w:after="0" w:line="360" w:lineRule="auto"/>
        <w:jc w:val="both"/>
        <w:rPr>
          <w:rFonts w:ascii="Times New Roman" w:eastAsia="Times New Roman" w:hAnsi="Times New Roman" w:cs="Times New Roman"/>
          <w:sz w:val="24"/>
          <w:szCs w:val="24"/>
        </w:rPr>
      </w:pPr>
      <w:r w:rsidRPr="009C28F4">
        <w:rPr>
          <w:rFonts w:ascii="Times New Roman" w:eastAsia="Times New Roman" w:hAnsi="Times New Roman" w:cs="Times New Roman"/>
          <w:sz w:val="24"/>
          <w:szCs w:val="24"/>
        </w:rPr>
        <w:t>Scientifically and environmentally, these findings have several implications. Early suppression of microbial biomass pools signals acute ecosystem stress and potential short-term reductions in nutrient availability for plants, whereas recovery driven by degrader proliferation reflects microbial resilience and adaptive capacity. However, recovery may also shift community composition, potentially altering nutrient stoichiometry and long-term soil fertility. These dynamics underscore the importance of evaluating MB-C, MB-N, and MB-P together with microbial populations to obtain a holistic assessment of pesticide impacts and soil microbial h</w:t>
      </w:r>
      <w:r w:rsidR="00B370E2" w:rsidRPr="009C28F4">
        <w:rPr>
          <w:rFonts w:ascii="Times New Roman" w:eastAsia="Times New Roman" w:hAnsi="Times New Roman" w:cs="Times New Roman"/>
          <w:sz w:val="24"/>
          <w:szCs w:val="24"/>
        </w:rPr>
        <w:t>ealth (Zhang et al., 2024</w:t>
      </w:r>
      <w:r w:rsidRPr="009C28F4">
        <w:rPr>
          <w:rFonts w:ascii="Times New Roman" w:eastAsia="Times New Roman" w:hAnsi="Times New Roman" w:cs="Times New Roman"/>
          <w:sz w:val="24"/>
          <w:szCs w:val="24"/>
        </w:rPr>
        <w:t>).</w:t>
      </w:r>
    </w:p>
    <w:p w14:paraId="1939316B" w14:textId="77777777" w:rsidR="007A7728" w:rsidRPr="009C28F4" w:rsidRDefault="007A7728" w:rsidP="00D21E87">
      <w:pPr>
        <w:spacing w:after="0" w:line="360" w:lineRule="auto"/>
        <w:jc w:val="both"/>
        <w:outlineLvl w:val="0"/>
        <w:rPr>
          <w:rFonts w:ascii="Times New Roman" w:eastAsia="Times New Roman" w:hAnsi="Times New Roman" w:cs="Times New Roman"/>
          <w:b/>
          <w:bCs/>
          <w:sz w:val="24"/>
          <w:szCs w:val="24"/>
        </w:rPr>
      </w:pPr>
      <w:r w:rsidRPr="009C28F4">
        <w:rPr>
          <w:rFonts w:ascii="Times New Roman" w:eastAsia="Times New Roman" w:hAnsi="Times New Roman" w:cs="Times New Roman"/>
          <w:b/>
          <w:bCs/>
          <w:sz w:val="24"/>
          <w:szCs w:val="24"/>
        </w:rPr>
        <w:t>Soil Microbial Responses to Atrazine and Dichlorvos</w:t>
      </w:r>
    </w:p>
    <w:p w14:paraId="42298E5E" w14:textId="77777777" w:rsidR="007A7728" w:rsidRPr="009C28F4" w:rsidRDefault="00106E48" w:rsidP="007A7728">
      <w:pPr>
        <w:spacing w:after="0" w:line="360" w:lineRule="auto"/>
        <w:ind w:firstLine="720"/>
        <w:jc w:val="both"/>
        <w:rPr>
          <w:rFonts w:ascii="Times New Roman" w:eastAsia="Times New Roman" w:hAnsi="Times New Roman" w:cs="Times New Roman"/>
          <w:sz w:val="24"/>
          <w:szCs w:val="24"/>
        </w:rPr>
      </w:pPr>
      <w:r w:rsidRPr="009C28F4">
        <w:rPr>
          <w:rFonts w:ascii="Times New Roman" w:eastAsia="Times New Roman" w:hAnsi="Times New Roman" w:cs="Times New Roman"/>
          <w:sz w:val="24"/>
          <w:szCs w:val="24"/>
        </w:rPr>
        <w:t xml:space="preserve">Soil microbial communities </w:t>
      </w:r>
      <w:r w:rsidR="007A7728" w:rsidRPr="009C28F4">
        <w:rPr>
          <w:rFonts w:ascii="Times New Roman" w:eastAsia="Times New Roman" w:hAnsi="Times New Roman" w:cs="Times New Roman"/>
          <w:sz w:val="24"/>
          <w:szCs w:val="24"/>
        </w:rPr>
        <w:t>including bacteria, fungi, actinomycetes, and functional guilds such as nitrifiers and phosph</w:t>
      </w:r>
      <w:r w:rsidR="00B370E2" w:rsidRPr="009C28F4">
        <w:rPr>
          <w:rFonts w:ascii="Times New Roman" w:eastAsia="Times New Roman" w:hAnsi="Times New Roman" w:cs="Times New Roman"/>
          <w:sz w:val="24"/>
          <w:szCs w:val="24"/>
        </w:rPr>
        <w:t xml:space="preserve">ate-solubilizing bacteria (PSB) </w:t>
      </w:r>
      <w:r w:rsidR="007A7728" w:rsidRPr="009C28F4">
        <w:rPr>
          <w:rFonts w:ascii="Times New Roman" w:eastAsia="Times New Roman" w:hAnsi="Times New Roman" w:cs="Times New Roman"/>
          <w:sz w:val="24"/>
          <w:szCs w:val="24"/>
        </w:rPr>
        <w:t>play essential roles in nutrient cycling, organic matter decomposition, and overall soil fertility. Microbial biomass carbon (MB-C), nitrogen (MB-N), and phosphorus (MB-P) reflect the living microbial fraction and are closely linked to population dynamics and funct</w:t>
      </w:r>
      <w:r w:rsidR="00B370E2" w:rsidRPr="009C28F4">
        <w:rPr>
          <w:rFonts w:ascii="Times New Roman" w:eastAsia="Times New Roman" w:hAnsi="Times New Roman" w:cs="Times New Roman"/>
          <w:sz w:val="24"/>
          <w:szCs w:val="24"/>
        </w:rPr>
        <w:t>ional guild activity (Pan &amp; Cai, 2023; Maciel-Rodriguez et al., 2025</w:t>
      </w:r>
      <w:r w:rsidR="007A7728" w:rsidRPr="009C28F4">
        <w:rPr>
          <w:rFonts w:ascii="Times New Roman" w:eastAsia="Times New Roman" w:hAnsi="Times New Roman" w:cs="Times New Roman"/>
          <w:sz w:val="24"/>
          <w:szCs w:val="24"/>
        </w:rPr>
        <w:t>).</w:t>
      </w:r>
    </w:p>
    <w:p w14:paraId="4F478457" w14:textId="6420459F" w:rsidR="007A7728" w:rsidRPr="009C28F4" w:rsidRDefault="007A7728" w:rsidP="007A7728">
      <w:pPr>
        <w:spacing w:after="0" w:line="360" w:lineRule="auto"/>
        <w:ind w:firstLine="720"/>
        <w:jc w:val="both"/>
        <w:rPr>
          <w:rFonts w:ascii="Times New Roman" w:eastAsia="Times New Roman" w:hAnsi="Times New Roman" w:cs="Times New Roman"/>
          <w:sz w:val="24"/>
          <w:szCs w:val="24"/>
        </w:rPr>
      </w:pPr>
      <w:r w:rsidRPr="009C28F4">
        <w:rPr>
          <w:rFonts w:ascii="Times New Roman" w:eastAsia="Times New Roman" w:hAnsi="Times New Roman" w:cs="Times New Roman"/>
          <w:sz w:val="24"/>
          <w:szCs w:val="24"/>
        </w:rPr>
        <w:lastRenderedPageBreak/>
        <w:t>Across all microbial groups, the study revealed a consistent pattern: an acute suppression following pesticide application, followed by gradual recovery and, in some cases, enhancement relative to control soils. Bacterial populations declined sharply immediately after Atrazine and Dichlorvos application, mirroring early reductions in MB-C, MB-N, and MB-P. This early suppression indicates the direct toxic effects of pesticides, reducing microbial biomass, constraining functional guild activity, and temporarily wea</w:t>
      </w:r>
      <w:r w:rsidR="004F2C60" w:rsidRPr="009C28F4">
        <w:rPr>
          <w:rFonts w:ascii="Times New Roman" w:eastAsia="Times New Roman" w:hAnsi="Times New Roman" w:cs="Times New Roman"/>
          <w:sz w:val="24"/>
          <w:szCs w:val="24"/>
        </w:rPr>
        <w:t>kening nutrient cycling (</w:t>
      </w:r>
      <w:r w:rsidR="00427E8A">
        <w:rPr>
          <w:rFonts w:ascii="Times New Roman" w:eastAsia="Times New Roman" w:hAnsi="Times New Roman" w:cs="Times New Roman"/>
          <w:sz w:val="24"/>
          <w:szCs w:val="24"/>
        </w:rPr>
        <w:t>Bhardwaj, et l., 2024</w:t>
      </w:r>
      <w:r w:rsidRPr="009C28F4">
        <w:rPr>
          <w:rFonts w:ascii="Times New Roman" w:eastAsia="Times New Roman" w:hAnsi="Times New Roman" w:cs="Times New Roman"/>
          <w:sz w:val="24"/>
          <w:szCs w:val="24"/>
        </w:rPr>
        <w:t>).</w:t>
      </w:r>
    </w:p>
    <w:p w14:paraId="05ACCF6E" w14:textId="77777777" w:rsidR="007A7728" w:rsidRPr="009C28F4" w:rsidRDefault="007A7728" w:rsidP="007A7728">
      <w:pPr>
        <w:spacing w:after="0" w:line="360" w:lineRule="auto"/>
        <w:ind w:firstLine="720"/>
        <w:jc w:val="both"/>
        <w:rPr>
          <w:rFonts w:ascii="Times New Roman" w:eastAsia="Times New Roman" w:hAnsi="Times New Roman" w:cs="Times New Roman"/>
          <w:sz w:val="24"/>
          <w:szCs w:val="24"/>
        </w:rPr>
      </w:pPr>
      <w:r w:rsidRPr="009C28F4">
        <w:rPr>
          <w:rFonts w:ascii="Times New Roman" w:eastAsia="Times New Roman" w:hAnsi="Times New Roman" w:cs="Times New Roman"/>
          <w:sz w:val="24"/>
          <w:szCs w:val="24"/>
        </w:rPr>
        <w:t xml:space="preserve">Functional guilds exhibited similar trends. Nitrifiers, responsible for ammonium oxidation, experienced strong early inhibition, particularly under Dichlorvos, reflecting the higher toxicity and persistence of this chemical. Recovery was faster in Atrazine-treated soils, suggesting microbial adaptation and potential </w:t>
      </w:r>
      <w:proofErr w:type="spellStart"/>
      <w:r w:rsidRPr="009C28F4">
        <w:rPr>
          <w:rFonts w:ascii="Times New Roman" w:eastAsia="Times New Roman" w:hAnsi="Times New Roman" w:cs="Times New Roman"/>
          <w:sz w:val="24"/>
          <w:szCs w:val="24"/>
        </w:rPr>
        <w:t>utilisation</w:t>
      </w:r>
      <w:proofErr w:type="spellEnd"/>
      <w:r w:rsidRPr="009C28F4">
        <w:rPr>
          <w:rFonts w:ascii="Times New Roman" w:eastAsia="Times New Roman" w:hAnsi="Times New Roman" w:cs="Times New Roman"/>
          <w:sz w:val="24"/>
          <w:szCs w:val="24"/>
        </w:rPr>
        <w:t xml:space="preserve"> of Atrazine as a substrate, while Dichlorvos recovery was slower, highlighting persistent inhibitory effe</w:t>
      </w:r>
      <w:r w:rsidR="004F2C60" w:rsidRPr="009C28F4">
        <w:rPr>
          <w:rFonts w:ascii="Times New Roman" w:eastAsia="Times New Roman" w:hAnsi="Times New Roman" w:cs="Times New Roman"/>
          <w:sz w:val="24"/>
          <w:szCs w:val="24"/>
        </w:rPr>
        <w:t xml:space="preserve">cts (Hu et al., </w:t>
      </w:r>
      <w:r w:rsidRPr="009C28F4">
        <w:rPr>
          <w:rFonts w:ascii="Times New Roman" w:eastAsia="Times New Roman" w:hAnsi="Times New Roman" w:cs="Times New Roman"/>
          <w:sz w:val="24"/>
          <w:szCs w:val="24"/>
        </w:rPr>
        <w:t>2021</w:t>
      </w:r>
      <w:proofErr w:type="gramStart"/>
      <w:r w:rsidRPr="009C28F4">
        <w:rPr>
          <w:rFonts w:ascii="Times New Roman" w:eastAsia="Times New Roman" w:hAnsi="Times New Roman" w:cs="Times New Roman"/>
          <w:sz w:val="24"/>
          <w:szCs w:val="24"/>
        </w:rPr>
        <w:t>).Phosphate</w:t>
      </w:r>
      <w:proofErr w:type="gramEnd"/>
      <w:r w:rsidRPr="009C28F4">
        <w:rPr>
          <w:rFonts w:ascii="Times New Roman" w:eastAsia="Times New Roman" w:hAnsi="Times New Roman" w:cs="Times New Roman"/>
          <w:sz w:val="24"/>
          <w:szCs w:val="24"/>
        </w:rPr>
        <w:t>-solubilizing bacteria also showed pronounced early declines, with Atrazine allowing more robust mid-phase recovery and Dichlorvos causing persistent suppression. This indicates that pesticide type and microbial degradative capacity govern the resilience of nutrient-cycling guilds (</w:t>
      </w:r>
      <w:r w:rsidR="004F2C60" w:rsidRPr="009C28F4">
        <w:rPr>
          <w:rFonts w:ascii="Times New Roman" w:eastAsia="Times New Roman" w:hAnsi="Times New Roman" w:cs="Times New Roman"/>
          <w:sz w:val="24"/>
          <w:szCs w:val="24"/>
        </w:rPr>
        <w:t>Pan &amp; Cai, 2023</w:t>
      </w:r>
      <w:proofErr w:type="gramStart"/>
      <w:r w:rsidRPr="009C28F4">
        <w:rPr>
          <w:rFonts w:ascii="Times New Roman" w:eastAsia="Times New Roman" w:hAnsi="Times New Roman" w:cs="Times New Roman"/>
          <w:sz w:val="24"/>
          <w:szCs w:val="24"/>
        </w:rPr>
        <w:t>).Actinomycetes</w:t>
      </w:r>
      <w:proofErr w:type="gramEnd"/>
      <w:r w:rsidRPr="009C28F4">
        <w:rPr>
          <w:rFonts w:ascii="Times New Roman" w:eastAsia="Times New Roman" w:hAnsi="Times New Roman" w:cs="Times New Roman"/>
          <w:sz w:val="24"/>
          <w:szCs w:val="24"/>
        </w:rPr>
        <w:t>, key decomposers of complex organic matter, were initially suppressed and gradually recovered, with Atrazine-treated soils showing stronger rebound than Dichlorvos. Fungal populations followed the same pattern: both pesticides reduced fungal abundance early, but Atrazine supported faster recovery, whereas Dichlorvos delayed restoration.</w:t>
      </w:r>
    </w:p>
    <w:p w14:paraId="519E6FEC" w14:textId="5E00A1B5" w:rsidR="007A7728" w:rsidRPr="009C28F4" w:rsidRDefault="007A7728" w:rsidP="007A7728">
      <w:pPr>
        <w:spacing w:after="0" w:line="360" w:lineRule="auto"/>
        <w:ind w:firstLine="720"/>
        <w:jc w:val="both"/>
        <w:rPr>
          <w:rFonts w:ascii="Times New Roman" w:eastAsia="Times New Roman" w:hAnsi="Times New Roman" w:cs="Times New Roman"/>
          <w:sz w:val="24"/>
          <w:szCs w:val="24"/>
        </w:rPr>
      </w:pPr>
      <w:r w:rsidRPr="009C28F4">
        <w:rPr>
          <w:rFonts w:ascii="Times New Roman" w:eastAsia="Times New Roman" w:hAnsi="Times New Roman" w:cs="Times New Roman"/>
          <w:sz w:val="24"/>
          <w:szCs w:val="24"/>
        </w:rPr>
        <w:t xml:space="preserve">The synchronous suppression of microbial biomass pools and populations highlights strong mechanistic coupling between MB-C, MB-N, MB-P, and microbial abundance. Early reductions in MB-C constrain heterotrophic growth, leading to concurrent declines in MB-N and MB-P through reduced nitrogen and phosphorus </w:t>
      </w:r>
      <w:proofErr w:type="spellStart"/>
      <w:r w:rsidRPr="009C28F4">
        <w:rPr>
          <w:rFonts w:ascii="Times New Roman" w:eastAsia="Times New Roman" w:hAnsi="Times New Roman" w:cs="Times New Roman"/>
          <w:sz w:val="24"/>
          <w:szCs w:val="24"/>
        </w:rPr>
        <w:t>immo</w:t>
      </w:r>
      <w:r w:rsidR="004F2C60" w:rsidRPr="009C28F4">
        <w:rPr>
          <w:rFonts w:ascii="Times New Roman" w:eastAsia="Times New Roman" w:hAnsi="Times New Roman" w:cs="Times New Roman"/>
          <w:sz w:val="24"/>
          <w:szCs w:val="24"/>
        </w:rPr>
        <w:t>bilisation</w:t>
      </w:r>
      <w:proofErr w:type="spellEnd"/>
      <w:r w:rsidR="004F2C60" w:rsidRPr="009C28F4">
        <w:rPr>
          <w:rFonts w:ascii="Times New Roman" w:eastAsia="Times New Roman" w:hAnsi="Times New Roman" w:cs="Times New Roman"/>
          <w:sz w:val="24"/>
          <w:szCs w:val="24"/>
        </w:rPr>
        <w:t xml:space="preserve"> (</w:t>
      </w:r>
      <w:proofErr w:type="spellStart"/>
      <w:r w:rsidR="00427E8A">
        <w:rPr>
          <w:rFonts w:ascii="Times New Roman" w:eastAsia="Times New Roman" w:hAnsi="Times New Roman" w:cs="Times New Roman"/>
          <w:sz w:val="24"/>
          <w:szCs w:val="24"/>
        </w:rPr>
        <w:t>Tarzi</w:t>
      </w:r>
      <w:proofErr w:type="spellEnd"/>
      <w:r w:rsidR="00427E8A">
        <w:rPr>
          <w:rFonts w:ascii="Times New Roman" w:eastAsia="Times New Roman" w:hAnsi="Times New Roman" w:cs="Times New Roman"/>
          <w:sz w:val="24"/>
          <w:szCs w:val="24"/>
        </w:rPr>
        <w:t>, et al., 2024</w:t>
      </w:r>
      <w:r w:rsidRPr="009C28F4">
        <w:rPr>
          <w:rFonts w:ascii="Times New Roman" w:eastAsia="Times New Roman" w:hAnsi="Times New Roman" w:cs="Times New Roman"/>
          <w:sz w:val="24"/>
          <w:szCs w:val="24"/>
        </w:rPr>
        <w:t>). Suppression of functional guilds reflects their sensitivity to pesticide stress and dependence on living biomass for energy and substrate. Recovery of MB-C often precedes or parallels population rebounds, indicating that microbial adaptation, physiological acclimation, and proliferation of pesticide-degrading taxa drive restoration o</w:t>
      </w:r>
      <w:r w:rsidR="004F2C60" w:rsidRPr="009C28F4">
        <w:rPr>
          <w:rFonts w:ascii="Times New Roman" w:eastAsia="Times New Roman" w:hAnsi="Times New Roman" w:cs="Times New Roman"/>
          <w:sz w:val="24"/>
          <w:szCs w:val="24"/>
        </w:rPr>
        <w:t>f nutrient cycling functions (Ahmad et al., 2022</w:t>
      </w:r>
      <w:r w:rsidRPr="009C28F4">
        <w:rPr>
          <w:rFonts w:ascii="Times New Roman" w:eastAsia="Times New Roman" w:hAnsi="Times New Roman" w:cs="Times New Roman"/>
          <w:sz w:val="24"/>
          <w:szCs w:val="24"/>
        </w:rPr>
        <w:t>).</w:t>
      </w:r>
      <w:r w:rsidR="00736DEE">
        <w:rPr>
          <w:rFonts w:ascii="Times New Roman" w:eastAsia="Times New Roman" w:hAnsi="Times New Roman" w:cs="Times New Roman"/>
          <w:sz w:val="24"/>
          <w:szCs w:val="24"/>
        </w:rPr>
        <w:t xml:space="preserve"> </w:t>
      </w:r>
      <w:r w:rsidRPr="009C28F4">
        <w:rPr>
          <w:rFonts w:ascii="Times New Roman" w:eastAsia="Times New Roman" w:hAnsi="Times New Roman" w:cs="Times New Roman"/>
          <w:sz w:val="24"/>
          <w:szCs w:val="24"/>
        </w:rPr>
        <w:t>Differential responses between Atrazine and Dichlorvos underscore the importance of chemical identity, persistence, and indigenous degrader communities. Atrazine, more readily degraded, promoted faster recovery of microbial biomass and functional guilds, while Dichlorvos, with persistent toxicity, slowed restoration across all microbial grou</w:t>
      </w:r>
      <w:r w:rsidR="004F2C60" w:rsidRPr="009C28F4">
        <w:rPr>
          <w:rFonts w:ascii="Times New Roman" w:eastAsia="Times New Roman" w:hAnsi="Times New Roman" w:cs="Times New Roman"/>
          <w:sz w:val="24"/>
          <w:szCs w:val="24"/>
        </w:rPr>
        <w:t>ps (</w:t>
      </w:r>
      <w:r w:rsidR="00114678">
        <w:rPr>
          <w:rFonts w:ascii="Times New Roman" w:eastAsia="Times New Roman" w:hAnsi="Times New Roman" w:cs="Times New Roman"/>
          <w:sz w:val="24"/>
          <w:szCs w:val="24"/>
        </w:rPr>
        <w:t>de Souza</w:t>
      </w:r>
      <w:r w:rsidR="004F2C60" w:rsidRPr="009C28F4">
        <w:rPr>
          <w:rFonts w:ascii="Times New Roman" w:eastAsia="Times New Roman" w:hAnsi="Times New Roman" w:cs="Times New Roman"/>
          <w:sz w:val="24"/>
          <w:szCs w:val="24"/>
        </w:rPr>
        <w:t xml:space="preserve"> et al., 202</w:t>
      </w:r>
      <w:r w:rsidR="00114678">
        <w:rPr>
          <w:rFonts w:ascii="Times New Roman" w:eastAsia="Times New Roman" w:hAnsi="Times New Roman" w:cs="Times New Roman"/>
          <w:sz w:val="24"/>
          <w:szCs w:val="24"/>
        </w:rPr>
        <w:t>2</w:t>
      </w:r>
      <w:r w:rsidRPr="009C28F4">
        <w:rPr>
          <w:rFonts w:ascii="Times New Roman" w:eastAsia="Times New Roman" w:hAnsi="Times New Roman" w:cs="Times New Roman"/>
          <w:sz w:val="24"/>
          <w:szCs w:val="24"/>
        </w:rPr>
        <w:t>).</w:t>
      </w:r>
    </w:p>
    <w:p w14:paraId="46389D15" w14:textId="77777777" w:rsidR="00F93B3E" w:rsidRPr="009C28F4" w:rsidRDefault="00F93B3E" w:rsidP="007A7728">
      <w:pPr>
        <w:spacing w:after="0" w:line="360" w:lineRule="auto"/>
        <w:jc w:val="both"/>
        <w:rPr>
          <w:rFonts w:ascii="Times New Roman" w:eastAsia="Times New Roman" w:hAnsi="Times New Roman" w:cs="Times New Roman"/>
          <w:b/>
          <w:bCs/>
          <w:sz w:val="24"/>
          <w:szCs w:val="24"/>
        </w:rPr>
      </w:pPr>
    </w:p>
    <w:p w14:paraId="04EEFB22" w14:textId="77777777" w:rsidR="00C75AD4" w:rsidRPr="009C28F4" w:rsidRDefault="00811128" w:rsidP="00D21E87">
      <w:pPr>
        <w:spacing w:after="0" w:line="240" w:lineRule="auto"/>
        <w:outlineLvl w:val="0"/>
        <w:rPr>
          <w:rFonts w:ascii="Times New Roman" w:eastAsia="Times New Roman" w:hAnsi="Times New Roman" w:cs="Times New Roman"/>
          <w:b/>
          <w:bCs/>
          <w:sz w:val="24"/>
          <w:szCs w:val="24"/>
        </w:rPr>
      </w:pPr>
      <w:r w:rsidRPr="009C28F4">
        <w:rPr>
          <w:rFonts w:ascii="Times New Roman" w:eastAsia="Times New Roman" w:hAnsi="Times New Roman" w:cs="Times New Roman"/>
          <w:b/>
          <w:bCs/>
          <w:sz w:val="24"/>
          <w:szCs w:val="24"/>
        </w:rPr>
        <w:lastRenderedPageBreak/>
        <w:t>4. Conclusion</w:t>
      </w:r>
    </w:p>
    <w:p w14:paraId="5F250C49" w14:textId="7E058426" w:rsidR="00C75AD4" w:rsidRPr="009C28F4" w:rsidRDefault="00811128" w:rsidP="009F2FD7">
      <w:pPr>
        <w:spacing w:before="100" w:beforeAutospacing="1" w:after="100" w:afterAutospacing="1" w:line="360" w:lineRule="auto"/>
        <w:ind w:firstLine="720"/>
        <w:jc w:val="both"/>
        <w:rPr>
          <w:rFonts w:ascii="Times New Roman" w:eastAsia="Times New Roman" w:hAnsi="Times New Roman" w:cs="Times New Roman"/>
          <w:sz w:val="24"/>
          <w:szCs w:val="24"/>
        </w:rPr>
      </w:pPr>
      <w:r w:rsidRPr="009C28F4">
        <w:rPr>
          <w:rFonts w:ascii="Times New Roman" w:eastAsia="Times New Roman" w:hAnsi="Times New Roman" w:cs="Times New Roman"/>
          <w:sz w:val="24"/>
          <w:szCs w:val="24"/>
        </w:rPr>
        <w:t xml:space="preserve">This study demonstrated that the application of Atrazine and Dichlorvos significantly altered soil biological functions and posed measurable ecotoxicological risks to non-target soil organisms. The baseline soil condition, characterized by moderate acidity, high microbial diversity, and adequate nutrient content, provided a suitable environment for observing pesticide-induced perturbations. The results revealed that both pesticides exerted an initial suppressive effect on microbial biomass carbon, nitrogen, and phosphorus, as well as on microbial abundance. However, over time, the microbial biomass parameters exhibited recovery trends, particularly in soils treated with Atrazine, suggesting microbial adaptation or proliferation of resistant populations. </w:t>
      </w:r>
      <w:r w:rsidR="001A1C70" w:rsidRPr="009C28F4">
        <w:rPr>
          <w:rFonts w:ascii="Times New Roman" w:eastAsia="Times New Roman" w:hAnsi="Times New Roman" w:cs="Times New Roman"/>
          <w:sz w:val="24"/>
          <w:szCs w:val="24"/>
        </w:rPr>
        <w:t>Atrazine and Dichlorvos</w:t>
      </w:r>
      <w:r w:rsidRPr="009C28F4">
        <w:rPr>
          <w:rFonts w:ascii="Times New Roman" w:eastAsia="Times New Roman" w:hAnsi="Times New Roman" w:cs="Times New Roman"/>
          <w:sz w:val="24"/>
          <w:szCs w:val="24"/>
        </w:rPr>
        <w:t>, used as comparative references in toxicity assessments, similarly showed an initial inhibitory phase followed by a delayed stimulation of microbial functions.</w:t>
      </w:r>
      <w:r w:rsidR="00E268A3">
        <w:rPr>
          <w:rFonts w:ascii="Times New Roman" w:eastAsia="Times New Roman" w:hAnsi="Times New Roman" w:cs="Times New Roman"/>
          <w:sz w:val="24"/>
          <w:szCs w:val="24"/>
        </w:rPr>
        <w:t xml:space="preserve"> </w:t>
      </w:r>
      <w:r w:rsidRPr="009C28F4">
        <w:rPr>
          <w:rFonts w:ascii="Times New Roman" w:eastAsia="Times New Roman" w:hAnsi="Times New Roman" w:cs="Times New Roman"/>
          <w:sz w:val="24"/>
          <w:szCs w:val="24"/>
        </w:rPr>
        <w:t xml:space="preserve">The ecotoxicity assessment using </w:t>
      </w:r>
      <w:r w:rsidRPr="009C28F4">
        <w:rPr>
          <w:rFonts w:ascii="Times New Roman" w:eastAsia="Times New Roman" w:hAnsi="Times New Roman" w:cs="Times New Roman"/>
          <w:i/>
          <w:iCs/>
          <w:sz w:val="24"/>
          <w:szCs w:val="24"/>
        </w:rPr>
        <w:t xml:space="preserve">Helix </w:t>
      </w:r>
      <w:proofErr w:type="spellStart"/>
      <w:r w:rsidRPr="009C28F4">
        <w:rPr>
          <w:rFonts w:ascii="Times New Roman" w:eastAsia="Times New Roman" w:hAnsi="Times New Roman" w:cs="Times New Roman"/>
          <w:i/>
          <w:iCs/>
          <w:sz w:val="24"/>
          <w:szCs w:val="24"/>
        </w:rPr>
        <w:t>aspersa</w:t>
      </w:r>
      <w:proofErr w:type="spellEnd"/>
      <w:r w:rsidRPr="009C28F4">
        <w:rPr>
          <w:rFonts w:ascii="Times New Roman" w:eastAsia="Times New Roman" w:hAnsi="Times New Roman" w:cs="Times New Roman"/>
          <w:sz w:val="24"/>
          <w:szCs w:val="24"/>
        </w:rPr>
        <w:t xml:space="preserve"> indicated that Dichlorvos exhibited markedly higher acute toxicity than Atrazine, with a lower median lethal concentration (LC₅₀), highlighting its elevated risk to non-target invertebrate fauna in terrestrial habitats. These findings emphasize the differential toxicity profiles of pesticides, with organophosphates like Dichlorvos presenting more immediate ecological threats even at low concentrations. Overall, the study underscores the need for cautious application of agrochemicals, considering their persistent impacts on soil health and biodiversity. The findings also highlight the utility of microbial biomass and snail bioassays as effective indicators for assessing the ecological impact of pesticide exposure in terrestrial systems.</w:t>
      </w:r>
    </w:p>
    <w:p w14:paraId="2B552A8E" w14:textId="77777777" w:rsidR="00C75AD4" w:rsidRPr="009C28F4" w:rsidRDefault="00811128" w:rsidP="00D21E87">
      <w:pPr>
        <w:spacing w:before="100" w:beforeAutospacing="1" w:after="100" w:afterAutospacing="1" w:line="240" w:lineRule="auto"/>
        <w:outlineLvl w:val="0"/>
        <w:rPr>
          <w:rFonts w:ascii="Times New Roman" w:eastAsia="Times New Roman" w:hAnsi="Times New Roman" w:cs="Times New Roman"/>
          <w:b/>
          <w:bCs/>
          <w:sz w:val="24"/>
          <w:szCs w:val="24"/>
        </w:rPr>
      </w:pPr>
      <w:r w:rsidRPr="009C28F4">
        <w:rPr>
          <w:rFonts w:ascii="Times New Roman" w:eastAsia="Times New Roman" w:hAnsi="Times New Roman" w:cs="Times New Roman"/>
          <w:b/>
          <w:bCs/>
          <w:sz w:val="24"/>
          <w:szCs w:val="24"/>
        </w:rPr>
        <w:t>References</w:t>
      </w:r>
    </w:p>
    <w:p w14:paraId="7D4E61D9" w14:textId="4ECE18E0" w:rsidR="004F2C60" w:rsidRPr="00B57D6C" w:rsidRDefault="004F2C60" w:rsidP="00B57D6C">
      <w:pPr>
        <w:pStyle w:val="NormalWeb"/>
        <w:numPr>
          <w:ilvl w:val="0"/>
          <w:numId w:val="6"/>
        </w:numPr>
        <w:spacing w:line="276" w:lineRule="auto"/>
        <w:jc w:val="both"/>
      </w:pPr>
      <w:r w:rsidRPr="00B57D6C">
        <w:rPr>
          <w:color w:val="333333"/>
          <w:shd w:val="clear" w:color="auto" w:fill="FCFCFC"/>
        </w:rPr>
        <w:t xml:space="preserve">Abdel-Azeem, H.H. </w:t>
      </w:r>
      <w:r w:rsidR="0046469E" w:rsidRPr="00B57D6C">
        <w:rPr>
          <w:color w:val="333333"/>
          <w:shd w:val="clear" w:color="auto" w:fill="FCFCFC"/>
        </w:rPr>
        <w:t xml:space="preserve">(2025). </w:t>
      </w:r>
      <w:r w:rsidRPr="00B57D6C">
        <w:rPr>
          <w:color w:val="333333"/>
          <w:shd w:val="clear" w:color="auto" w:fill="FCFCFC"/>
        </w:rPr>
        <w:t>Biochemical and histopathological effects of clove oil on the land snail </w:t>
      </w:r>
      <w:r w:rsidRPr="00B57D6C">
        <w:rPr>
          <w:i/>
          <w:iCs/>
          <w:color w:val="333333"/>
          <w:shd w:val="clear" w:color="auto" w:fill="FCFCFC"/>
        </w:rPr>
        <w:t xml:space="preserve">Helix </w:t>
      </w:r>
      <w:proofErr w:type="spellStart"/>
      <w:r w:rsidRPr="00B57D6C">
        <w:rPr>
          <w:i/>
          <w:iCs/>
          <w:color w:val="333333"/>
          <w:shd w:val="clear" w:color="auto" w:fill="FCFCFC"/>
        </w:rPr>
        <w:t>aspersa</w:t>
      </w:r>
      <w:proofErr w:type="spellEnd"/>
      <w:r w:rsidRPr="00B57D6C">
        <w:rPr>
          <w:color w:val="333333"/>
          <w:shd w:val="clear" w:color="auto" w:fill="FCFCFC"/>
        </w:rPr>
        <w:t>. </w:t>
      </w:r>
      <w:proofErr w:type="spellStart"/>
      <w:r w:rsidRPr="00B57D6C">
        <w:rPr>
          <w:i/>
          <w:iCs/>
          <w:color w:val="333333"/>
          <w:shd w:val="clear" w:color="auto" w:fill="FCFCFC"/>
        </w:rPr>
        <w:t>JoBAZ</w:t>
      </w:r>
      <w:proofErr w:type="spellEnd"/>
      <w:r w:rsidRPr="00B57D6C">
        <w:rPr>
          <w:color w:val="333333"/>
          <w:shd w:val="clear" w:color="auto" w:fill="FCFCFC"/>
        </w:rPr>
        <w:t> 86, 14 (2025). https://doi.org/10.1186/s41936-025-00432-x</w:t>
      </w:r>
    </w:p>
    <w:p w14:paraId="430CC0FC" w14:textId="77777777" w:rsidR="004F2C60" w:rsidRPr="00B57D6C" w:rsidRDefault="004F2C60" w:rsidP="00B57D6C">
      <w:pPr>
        <w:pStyle w:val="NormalWeb"/>
        <w:numPr>
          <w:ilvl w:val="0"/>
          <w:numId w:val="6"/>
        </w:numPr>
        <w:spacing w:line="276" w:lineRule="auto"/>
        <w:jc w:val="both"/>
        <w:rPr>
          <w:color w:val="212121"/>
          <w:shd w:val="clear" w:color="auto" w:fill="FFFFFF"/>
        </w:rPr>
      </w:pPr>
      <w:r w:rsidRPr="00B57D6C">
        <w:rPr>
          <w:color w:val="212121"/>
          <w:shd w:val="clear" w:color="auto" w:fill="FFFFFF"/>
        </w:rPr>
        <w:t>Anderson, T. D., &amp; Lydy, M. J. (2002). Increased toxicity to invertebrates associated with a mixture of atrazine and organophosphate insecticides. </w:t>
      </w:r>
      <w:r w:rsidRPr="00B57D6C">
        <w:rPr>
          <w:i/>
          <w:iCs/>
          <w:color w:val="212121"/>
          <w:shd w:val="clear" w:color="auto" w:fill="FFFFFF"/>
        </w:rPr>
        <w:t>Environmental toxicology and chemistry</w:t>
      </w:r>
      <w:r w:rsidRPr="00B57D6C">
        <w:rPr>
          <w:color w:val="212121"/>
          <w:shd w:val="clear" w:color="auto" w:fill="FFFFFF"/>
        </w:rPr>
        <w:t>, </w:t>
      </w:r>
      <w:r w:rsidRPr="00B57D6C">
        <w:rPr>
          <w:i/>
          <w:iCs/>
          <w:color w:val="212121"/>
          <w:shd w:val="clear" w:color="auto" w:fill="FFFFFF"/>
        </w:rPr>
        <w:t>21</w:t>
      </w:r>
      <w:r w:rsidRPr="00B57D6C">
        <w:rPr>
          <w:color w:val="212121"/>
          <w:shd w:val="clear" w:color="auto" w:fill="FFFFFF"/>
        </w:rPr>
        <w:t>(7), 1507–1514.</w:t>
      </w:r>
    </w:p>
    <w:p w14:paraId="5B5466D3" w14:textId="77777777" w:rsidR="004F2C60" w:rsidRPr="00B57D6C" w:rsidRDefault="004F2C60" w:rsidP="00B57D6C">
      <w:pPr>
        <w:pStyle w:val="NormalWeb"/>
        <w:numPr>
          <w:ilvl w:val="0"/>
          <w:numId w:val="6"/>
        </w:numPr>
        <w:spacing w:line="276" w:lineRule="auto"/>
        <w:jc w:val="both"/>
        <w:rPr>
          <w:color w:val="1B1B1B"/>
          <w:shd w:val="clear" w:color="auto" w:fill="FFFFFF"/>
        </w:rPr>
      </w:pPr>
      <w:r w:rsidRPr="00B57D6C">
        <w:rPr>
          <w:color w:val="1B1B1B"/>
          <w:shd w:val="clear" w:color="auto" w:fill="FFFFFF"/>
        </w:rPr>
        <w:t>Aktar, M. W., Sengupta, D., &amp; Chowdhury, A. (2009). Impact of pesticides use in agriculture: their benefits and hazards. </w:t>
      </w:r>
      <w:r w:rsidRPr="00B57D6C">
        <w:rPr>
          <w:i/>
          <w:iCs/>
          <w:color w:val="1B1B1B"/>
          <w:shd w:val="clear" w:color="auto" w:fill="FFFFFF"/>
        </w:rPr>
        <w:t>Interdisciplinary toxicology</w:t>
      </w:r>
      <w:r w:rsidRPr="00B57D6C">
        <w:rPr>
          <w:color w:val="1B1B1B"/>
          <w:shd w:val="clear" w:color="auto" w:fill="FFFFFF"/>
        </w:rPr>
        <w:t>, </w:t>
      </w:r>
      <w:r w:rsidRPr="00B57D6C">
        <w:rPr>
          <w:i/>
          <w:iCs/>
          <w:color w:val="1B1B1B"/>
          <w:shd w:val="clear" w:color="auto" w:fill="FFFFFF"/>
        </w:rPr>
        <w:t>2</w:t>
      </w:r>
      <w:r w:rsidRPr="00B57D6C">
        <w:rPr>
          <w:color w:val="1B1B1B"/>
          <w:shd w:val="clear" w:color="auto" w:fill="FFFFFF"/>
        </w:rPr>
        <w:t xml:space="preserve">(1), 1–12. </w:t>
      </w:r>
      <w:hyperlink r:id="rId17" w:history="1">
        <w:r w:rsidRPr="00B57D6C">
          <w:rPr>
            <w:rStyle w:val="Hyperlink"/>
            <w:shd w:val="clear" w:color="auto" w:fill="FFFFFF"/>
          </w:rPr>
          <w:t>https://doi.org/10.2478/v10102-009-0001-7</w:t>
        </w:r>
      </w:hyperlink>
    </w:p>
    <w:p w14:paraId="368914D4" w14:textId="29FFEC32" w:rsidR="004F2C60" w:rsidRPr="00B57D6C" w:rsidRDefault="005D1FAC" w:rsidP="00B57D6C">
      <w:pPr>
        <w:pStyle w:val="NormalWeb"/>
        <w:numPr>
          <w:ilvl w:val="0"/>
          <w:numId w:val="6"/>
        </w:numPr>
        <w:spacing w:line="276" w:lineRule="auto"/>
        <w:jc w:val="both"/>
      </w:pPr>
      <w:r w:rsidRPr="00B57D6C">
        <w:rPr>
          <w:rFonts w:eastAsiaTheme="minorHAnsi"/>
        </w:rPr>
        <w:t xml:space="preserve">Afandi, A. M., </w:t>
      </w:r>
      <w:proofErr w:type="spellStart"/>
      <w:r w:rsidRPr="00B57D6C">
        <w:rPr>
          <w:rFonts w:eastAsiaTheme="minorHAnsi"/>
        </w:rPr>
        <w:t>Halimatul</w:t>
      </w:r>
      <w:proofErr w:type="spellEnd"/>
      <w:r w:rsidRPr="00B57D6C">
        <w:rPr>
          <w:rFonts w:eastAsiaTheme="minorHAnsi"/>
        </w:rPr>
        <w:t xml:space="preserve">, A. S., </w:t>
      </w:r>
      <w:proofErr w:type="spellStart"/>
      <w:r w:rsidRPr="00B57D6C">
        <w:rPr>
          <w:rFonts w:eastAsiaTheme="minorHAnsi"/>
        </w:rPr>
        <w:t>Amanina</w:t>
      </w:r>
      <w:proofErr w:type="spellEnd"/>
      <w:r w:rsidRPr="00B57D6C">
        <w:rPr>
          <w:rFonts w:eastAsiaTheme="minorHAnsi"/>
        </w:rPr>
        <w:t xml:space="preserve">, N. S., </w:t>
      </w:r>
      <w:proofErr w:type="spellStart"/>
      <w:r w:rsidRPr="00B57D6C">
        <w:rPr>
          <w:rFonts w:eastAsiaTheme="minorHAnsi"/>
        </w:rPr>
        <w:t>Norliyana</w:t>
      </w:r>
      <w:proofErr w:type="spellEnd"/>
      <w:r w:rsidRPr="00B57D6C">
        <w:rPr>
          <w:rFonts w:eastAsiaTheme="minorHAnsi"/>
        </w:rPr>
        <w:t xml:space="preserve">, Z. Z., </w:t>
      </w:r>
      <w:proofErr w:type="spellStart"/>
      <w:r w:rsidRPr="00B57D6C">
        <w:rPr>
          <w:rFonts w:eastAsiaTheme="minorHAnsi"/>
        </w:rPr>
        <w:t>Meilina</w:t>
      </w:r>
      <w:proofErr w:type="spellEnd"/>
      <w:r w:rsidRPr="00B57D6C">
        <w:rPr>
          <w:rFonts w:eastAsiaTheme="minorHAnsi"/>
        </w:rPr>
        <w:t xml:space="preserve">, O. A., Mohd Shahrin, R., ... &amp; </w:t>
      </w:r>
      <w:proofErr w:type="spellStart"/>
      <w:r w:rsidRPr="00B57D6C">
        <w:rPr>
          <w:rFonts w:eastAsiaTheme="minorHAnsi"/>
        </w:rPr>
        <w:t>Hasnul</w:t>
      </w:r>
      <w:proofErr w:type="spellEnd"/>
      <w:r w:rsidRPr="00B57D6C">
        <w:rPr>
          <w:rFonts w:eastAsiaTheme="minorHAnsi"/>
        </w:rPr>
        <w:t xml:space="preserve">, A. M. M. (2026). Effects of different spacing and polybag sizes on growth of oil palm (Elaeis guineensis Jacq.) seedlings in the main nursery. </w:t>
      </w:r>
      <w:r w:rsidR="004F2C60" w:rsidRPr="00B57D6C">
        <w:rPr>
          <w:color w:val="1B1B1B"/>
          <w:shd w:val="clear" w:color="auto" w:fill="FFFFFF"/>
        </w:rPr>
        <w:t>of Soil Moisture on Microbial Diversity and Enzymatic Activity in Agricultural Soils. </w:t>
      </w:r>
      <w:r w:rsidR="004F2C60" w:rsidRPr="00B57D6C">
        <w:rPr>
          <w:i/>
          <w:iCs/>
          <w:color w:val="1B1B1B"/>
          <w:shd w:val="clear" w:color="auto" w:fill="FFFFFF"/>
        </w:rPr>
        <w:t>Microorganisms</w:t>
      </w:r>
      <w:r w:rsidR="004F2C60" w:rsidRPr="00B57D6C">
        <w:rPr>
          <w:color w:val="1B1B1B"/>
          <w:shd w:val="clear" w:color="auto" w:fill="FFFFFF"/>
        </w:rPr>
        <w:t>, </w:t>
      </w:r>
      <w:r w:rsidR="004F2C60" w:rsidRPr="00B57D6C">
        <w:rPr>
          <w:i/>
          <w:iCs/>
          <w:color w:val="1B1B1B"/>
          <w:shd w:val="clear" w:color="auto" w:fill="FFFFFF"/>
        </w:rPr>
        <w:t>13</w:t>
      </w:r>
      <w:r w:rsidR="004F2C60" w:rsidRPr="00B57D6C">
        <w:rPr>
          <w:color w:val="1B1B1B"/>
          <w:shd w:val="clear" w:color="auto" w:fill="FFFFFF"/>
        </w:rPr>
        <w:t>(6), 1245. https://doi.org/10.3390/microorganisms13061245</w:t>
      </w:r>
    </w:p>
    <w:p w14:paraId="43F0E015" w14:textId="77777777" w:rsidR="009951EC" w:rsidRPr="00B57D6C" w:rsidRDefault="009951EC" w:rsidP="00B57D6C">
      <w:pPr>
        <w:pStyle w:val="NormalWeb"/>
        <w:numPr>
          <w:ilvl w:val="0"/>
          <w:numId w:val="6"/>
        </w:numPr>
        <w:spacing w:line="276" w:lineRule="auto"/>
        <w:jc w:val="both"/>
        <w:rPr>
          <w:color w:val="333333"/>
          <w:shd w:val="clear" w:color="auto" w:fill="FCFCFC"/>
        </w:rPr>
      </w:pPr>
      <w:r w:rsidRPr="00B57D6C">
        <w:rPr>
          <w:color w:val="333333"/>
          <w:shd w:val="clear" w:color="auto" w:fill="FCFCFC"/>
        </w:rPr>
        <w:lastRenderedPageBreak/>
        <w:t>Betz-Koch, S., Oehlmann, J. &amp; Oetken, M. Timing matters: impact of different frequencies of low pesticide pulses on aquatic invertebrates. </w:t>
      </w:r>
      <w:r w:rsidRPr="00B57D6C">
        <w:rPr>
          <w:i/>
          <w:iCs/>
          <w:color w:val="333333"/>
          <w:shd w:val="clear" w:color="auto" w:fill="FCFCFC"/>
        </w:rPr>
        <w:t>Environ Sci Eur</w:t>
      </w:r>
      <w:r w:rsidRPr="00B57D6C">
        <w:rPr>
          <w:color w:val="333333"/>
          <w:shd w:val="clear" w:color="auto" w:fill="FCFCFC"/>
        </w:rPr>
        <w:t> </w:t>
      </w:r>
      <w:r w:rsidRPr="00B57D6C">
        <w:rPr>
          <w:b/>
          <w:bCs/>
          <w:color w:val="333333"/>
          <w:shd w:val="clear" w:color="auto" w:fill="FCFCFC"/>
        </w:rPr>
        <w:t>37</w:t>
      </w:r>
      <w:r w:rsidRPr="00B57D6C">
        <w:rPr>
          <w:color w:val="333333"/>
          <w:shd w:val="clear" w:color="auto" w:fill="FCFCFC"/>
        </w:rPr>
        <w:t xml:space="preserve">, 55 (2025). https://doi.org/10.1186/s12302-025-01091-z </w:t>
      </w:r>
    </w:p>
    <w:p w14:paraId="0AD16205" w14:textId="77777777" w:rsidR="004F2C60" w:rsidRPr="00B57D6C" w:rsidRDefault="004F2C60" w:rsidP="00B57D6C">
      <w:pPr>
        <w:pStyle w:val="NormalWeb"/>
        <w:numPr>
          <w:ilvl w:val="0"/>
          <w:numId w:val="6"/>
        </w:numPr>
        <w:spacing w:line="276" w:lineRule="auto"/>
        <w:jc w:val="both"/>
      </w:pPr>
      <w:r w:rsidRPr="00B57D6C">
        <w:rPr>
          <w:color w:val="1B1B1B"/>
          <w:shd w:val="clear" w:color="auto" w:fill="FFFFFF"/>
        </w:rPr>
        <w:t xml:space="preserve">Cade-Menun, B. J., Elkin, K. R., Liu, C. W., Bryant, R. B., Kleinman, P. J. A., &amp; Moore, P. A., Jr (2018). Characterizing the phosphorus forms extracted from soil by the </w:t>
      </w:r>
      <w:proofErr w:type="spellStart"/>
      <w:r w:rsidRPr="00B57D6C">
        <w:rPr>
          <w:color w:val="1B1B1B"/>
          <w:shd w:val="clear" w:color="auto" w:fill="FFFFFF"/>
        </w:rPr>
        <w:t>Mehlich</w:t>
      </w:r>
      <w:proofErr w:type="spellEnd"/>
      <w:r w:rsidRPr="00B57D6C">
        <w:rPr>
          <w:color w:val="1B1B1B"/>
          <w:shd w:val="clear" w:color="auto" w:fill="FFFFFF"/>
        </w:rPr>
        <w:t xml:space="preserve"> III soil test. </w:t>
      </w:r>
      <w:r w:rsidRPr="00B57D6C">
        <w:rPr>
          <w:i/>
          <w:iCs/>
          <w:color w:val="1B1B1B"/>
          <w:shd w:val="clear" w:color="auto" w:fill="FFFFFF"/>
        </w:rPr>
        <w:t>Geochemical transactions</w:t>
      </w:r>
      <w:r w:rsidRPr="00B57D6C">
        <w:rPr>
          <w:color w:val="1B1B1B"/>
          <w:shd w:val="clear" w:color="auto" w:fill="FFFFFF"/>
        </w:rPr>
        <w:t>, </w:t>
      </w:r>
      <w:r w:rsidRPr="00B57D6C">
        <w:rPr>
          <w:i/>
          <w:iCs/>
          <w:color w:val="1B1B1B"/>
          <w:shd w:val="clear" w:color="auto" w:fill="FFFFFF"/>
        </w:rPr>
        <w:t>19</w:t>
      </w:r>
      <w:r w:rsidRPr="00B57D6C">
        <w:rPr>
          <w:color w:val="1B1B1B"/>
          <w:shd w:val="clear" w:color="auto" w:fill="FFFFFF"/>
        </w:rPr>
        <w:t>(1), 7. https://doi.org/10.1186/s12932-018-0052-9</w:t>
      </w:r>
    </w:p>
    <w:p w14:paraId="1DAA0BDF" w14:textId="77777777" w:rsidR="009951EC" w:rsidRPr="00B57D6C" w:rsidRDefault="009951EC" w:rsidP="00B57D6C">
      <w:pPr>
        <w:pStyle w:val="NormalWeb"/>
        <w:numPr>
          <w:ilvl w:val="0"/>
          <w:numId w:val="6"/>
        </w:numPr>
        <w:spacing w:line="276" w:lineRule="auto"/>
        <w:jc w:val="both"/>
      </w:pPr>
      <w:r w:rsidRPr="00B57D6C">
        <w:rPr>
          <w:color w:val="1B1B1B"/>
          <w:shd w:val="clear" w:color="auto" w:fill="FFFFFF"/>
        </w:rPr>
        <w:t xml:space="preserve">Chen, Y., Yang, Z., Nian, B., Yu, C., </w:t>
      </w:r>
      <w:proofErr w:type="spellStart"/>
      <w:r w:rsidRPr="00B57D6C">
        <w:rPr>
          <w:color w:val="1B1B1B"/>
          <w:shd w:val="clear" w:color="auto" w:fill="FFFFFF"/>
        </w:rPr>
        <w:t>Maimaiti</w:t>
      </w:r>
      <w:proofErr w:type="spellEnd"/>
      <w:r w:rsidRPr="00B57D6C">
        <w:rPr>
          <w:color w:val="1B1B1B"/>
          <w:shd w:val="clear" w:color="auto" w:fill="FFFFFF"/>
        </w:rPr>
        <w:t>, D., Chai, M., Yang, X., Zang, X., &amp; Xu, D. (2024). Mechanisms of Neurotoxicity of Organophosphate Pesticides and Their Relation to Neurological Disorders. </w:t>
      </w:r>
      <w:r w:rsidRPr="00B57D6C">
        <w:rPr>
          <w:i/>
          <w:iCs/>
          <w:color w:val="1B1B1B"/>
          <w:shd w:val="clear" w:color="auto" w:fill="FFFFFF"/>
        </w:rPr>
        <w:t>Neuropsychiatric disease and treatment</w:t>
      </w:r>
      <w:r w:rsidRPr="00B57D6C">
        <w:rPr>
          <w:color w:val="1B1B1B"/>
          <w:shd w:val="clear" w:color="auto" w:fill="FFFFFF"/>
        </w:rPr>
        <w:t>, </w:t>
      </w:r>
      <w:r w:rsidRPr="00B57D6C">
        <w:rPr>
          <w:i/>
          <w:iCs/>
          <w:color w:val="1B1B1B"/>
          <w:shd w:val="clear" w:color="auto" w:fill="FFFFFF"/>
        </w:rPr>
        <w:t>20</w:t>
      </w:r>
      <w:r w:rsidRPr="00B57D6C">
        <w:rPr>
          <w:color w:val="1B1B1B"/>
          <w:shd w:val="clear" w:color="auto" w:fill="FFFFFF"/>
        </w:rPr>
        <w:t>, 2237–2254. https://doi.org/10.2147/NDT.S479757</w:t>
      </w:r>
    </w:p>
    <w:p w14:paraId="1F962A61" w14:textId="77777777" w:rsidR="004F2C60" w:rsidRPr="00B57D6C" w:rsidRDefault="004F2C60" w:rsidP="00B57D6C">
      <w:pPr>
        <w:pStyle w:val="ListParagraph"/>
        <w:numPr>
          <w:ilvl w:val="0"/>
          <w:numId w:val="6"/>
        </w:numPr>
        <w:spacing w:before="100" w:beforeAutospacing="1" w:after="100" w:afterAutospacing="1" w:line="276" w:lineRule="auto"/>
        <w:jc w:val="both"/>
        <w:rPr>
          <w:rFonts w:ascii="Times New Roman" w:hAnsi="Times New Roman" w:cs="Times New Roman"/>
          <w:color w:val="1B1B1B"/>
          <w:sz w:val="24"/>
          <w:szCs w:val="24"/>
          <w:shd w:val="clear" w:color="auto" w:fill="FFFFFF"/>
        </w:rPr>
      </w:pPr>
      <w:r w:rsidRPr="00B57D6C">
        <w:rPr>
          <w:rFonts w:ascii="Times New Roman" w:hAnsi="Times New Roman" w:cs="Times New Roman"/>
          <w:color w:val="1B1B1B"/>
          <w:sz w:val="24"/>
          <w:szCs w:val="24"/>
          <w:shd w:val="clear" w:color="auto" w:fill="FFFFFF"/>
        </w:rPr>
        <w:t xml:space="preserve">Daunoras, J., </w:t>
      </w:r>
      <w:proofErr w:type="spellStart"/>
      <w:r w:rsidRPr="00B57D6C">
        <w:rPr>
          <w:rFonts w:ascii="Times New Roman" w:hAnsi="Times New Roman" w:cs="Times New Roman"/>
          <w:color w:val="1B1B1B"/>
          <w:sz w:val="24"/>
          <w:szCs w:val="24"/>
          <w:shd w:val="clear" w:color="auto" w:fill="FFFFFF"/>
        </w:rPr>
        <w:t>Kačergius</w:t>
      </w:r>
      <w:proofErr w:type="spellEnd"/>
      <w:r w:rsidRPr="00B57D6C">
        <w:rPr>
          <w:rFonts w:ascii="Times New Roman" w:hAnsi="Times New Roman" w:cs="Times New Roman"/>
          <w:color w:val="1B1B1B"/>
          <w:sz w:val="24"/>
          <w:szCs w:val="24"/>
          <w:shd w:val="clear" w:color="auto" w:fill="FFFFFF"/>
        </w:rPr>
        <w:t xml:space="preserve">, A., &amp; </w:t>
      </w:r>
      <w:proofErr w:type="spellStart"/>
      <w:r w:rsidRPr="00B57D6C">
        <w:rPr>
          <w:rFonts w:ascii="Times New Roman" w:hAnsi="Times New Roman" w:cs="Times New Roman"/>
          <w:color w:val="1B1B1B"/>
          <w:sz w:val="24"/>
          <w:szCs w:val="24"/>
          <w:shd w:val="clear" w:color="auto" w:fill="FFFFFF"/>
        </w:rPr>
        <w:t>Gudiukaitė</w:t>
      </w:r>
      <w:proofErr w:type="spellEnd"/>
      <w:r w:rsidRPr="00B57D6C">
        <w:rPr>
          <w:rFonts w:ascii="Times New Roman" w:hAnsi="Times New Roman" w:cs="Times New Roman"/>
          <w:color w:val="1B1B1B"/>
          <w:sz w:val="24"/>
          <w:szCs w:val="24"/>
          <w:shd w:val="clear" w:color="auto" w:fill="FFFFFF"/>
        </w:rPr>
        <w:t>, R. (2024). Role of Soil Microbiota Enzymes in Soil Health and Activity Changes Depending on Climate Change and the Type of Soil Ecosystem. </w:t>
      </w:r>
      <w:r w:rsidRPr="00B57D6C">
        <w:rPr>
          <w:rFonts w:ascii="Times New Roman" w:hAnsi="Times New Roman" w:cs="Times New Roman"/>
          <w:i/>
          <w:iCs/>
          <w:color w:val="1B1B1B"/>
          <w:sz w:val="24"/>
          <w:szCs w:val="24"/>
          <w:shd w:val="clear" w:color="auto" w:fill="FFFFFF"/>
        </w:rPr>
        <w:t>Biology</w:t>
      </w:r>
      <w:r w:rsidRPr="00B57D6C">
        <w:rPr>
          <w:rFonts w:ascii="Times New Roman" w:hAnsi="Times New Roman" w:cs="Times New Roman"/>
          <w:color w:val="1B1B1B"/>
          <w:sz w:val="24"/>
          <w:szCs w:val="24"/>
          <w:shd w:val="clear" w:color="auto" w:fill="FFFFFF"/>
        </w:rPr>
        <w:t>, </w:t>
      </w:r>
      <w:r w:rsidRPr="00B57D6C">
        <w:rPr>
          <w:rFonts w:ascii="Times New Roman" w:hAnsi="Times New Roman" w:cs="Times New Roman"/>
          <w:i/>
          <w:iCs/>
          <w:color w:val="1B1B1B"/>
          <w:sz w:val="24"/>
          <w:szCs w:val="24"/>
          <w:shd w:val="clear" w:color="auto" w:fill="FFFFFF"/>
        </w:rPr>
        <w:t>13</w:t>
      </w:r>
      <w:r w:rsidRPr="00B57D6C">
        <w:rPr>
          <w:rFonts w:ascii="Times New Roman" w:hAnsi="Times New Roman" w:cs="Times New Roman"/>
          <w:color w:val="1B1B1B"/>
          <w:sz w:val="24"/>
          <w:szCs w:val="24"/>
          <w:shd w:val="clear" w:color="auto" w:fill="FFFFFF"/>
        </w:rPr>
        <w:t xml:space="preserve">(2), 85. </w:t>
      </w:r>
      <w:hyperlink r:id="rId18" w:history="1">
        <w:r w:rsidRPr="00B57D6C">
          <w:rPr>
            <w:rStyle w:val="Hyperlink"/>
            <w:rFonts w:ascii="Times New Roman" w:hAnsi="Times New Roman" w:cs="Times New Roman"/>
            <w:sz w:val="24"/>
            <w:szCs w:val="24"/>
            <w:shd w:val="clear" w:color="auto" w:fill="FFFFFF"/>
          </w:rPr>
          <w:t>https://doi.org/10.3390/biology13020085</w:t>
        </w:r>
      </w:hyperlink>
    </w:p>
    <w:p w14:paraId="5EE47FD6" w14:textId="77777777" w:rsidR="009951EC" w:rsidRPr="00B57D6C" w:rsidRDefault="009951EC" w:rsidP="00B57D6C">
      <w:pPr>
        <w:pStyle w:val="NormalWeb"/>
        <w:numPr>
          <w:ilvl w:val="0"/>
          <w:numId w:val="6"/>
        </w:numPr>
        <w:spacing w:line="276" w:lineRule="auto"/>
        <w:jc w:val="both"/>
        <w:rPr>
          <w:color w:val="333333"/>
          <w:shd w:val="clear" w:color="auto" w:fill="FCFCFC"/>
        </w:rPr>
      </w:pPr>
      <w:r w:rsidRPr="00B57D6C">
        <w:rPr>
          <w:color w:val="333333"/>
          <w:shd w:val="clear" w:color="auto" w:fill="FCFCFC"/>
        </w:rPr>
        <w:t xml:space="preserve">Debroy, A., </w:t>
      </w:r>
      <w:proofErr w:type="spellStart"/>
      <w:r w:rsidRPr="00B57D6C">
        <w:rPr>
          <w:color w:val="333333"/>
          <w:shd w:val="clear" w:color="auto" w:fill="FCFCFC"/>
        </w:rPr>
        <w:t>Pulimi</w:t>
      </w:r>
      <w:proofErr w:type="spellEnd"/>
      <w:r w:rsidRPr="00B57D6C">
        <w:rPr>
          <w:color w:val="333333"/>
          <w:shd w:val="clear" w:color="auto" w:fill="FCFCFC"/>
        </w:rPr>
        <w:t>, M. &amp; Mukherjee, A. Toxicological impacts and environmental risk of atrazine in the presence of graphene family nanomaterials (GFNs) on </w:t>
      </w:r>
      <w:r w:rsidRPr="00B57D6C">
        <w:rPr>
          <w:i/>
          <w:iCs/>
          <w:color w:val="333333"/>
          <w:shd w:val="clear" w:color="auto" w:fill="FCFCFC"/>
        </w:rPr>
        <w:t>Chlorella</w:t>
      </w:r>
      <w:r w:rsidRPr="00B57D6C">
        <w:rPr>
          <w:color w:val="333333"/>
          <w:shd w:val="clear" w:color="auto" w:fill="FCFCFC"/>
        </w:rPr>
        <w:t> </w:t>
      </w:r>
      <w:r w:rsidR="00B86BB3" w:rsidRPr="00B57D6C">
        <w:rPr>
          <w:color w:val="333333"/>
          <w:shd w:val="clear" w:color="auto" w:fill="FCFCFC"/>
        </w:rPr>
        <w:t>sp.</w:t>
      </w:r>
      <w:r w:rsidRPr="00B57D6C">
        <w:rPr>
          <w:color w:val="333333"/>
          <w:shd w:val="clear" w:color="auto" w:fill="FCFCFC"/>
        </w:rPr>
        <w:t> </w:t>
      </w:r>
      <w:r w:rsidRPr="00B57D6C">
        <w:rPr>
          <w:i/>
          <w:iCs/>
          <w:color w:val="333333"/>
          <w:shd w:val="clear" w:color="auto" w:fill="FCFCFC"/>
        </w:rPr>
        <w:t>Environ Sci Eur</w:t>
      </w:r>
      <w:r w:rsidRPr="00B57D6C">
        <w:rPr>
          <w:color w:val="333333"/>
          <w:shd w:val="clear" w:color="auto" w:fill="FCFCFC"/>
        </w:rPr>
        <w:t> </w:t>
      </w:r>
      <w:r w:rsidRPr="00B57D6C">
        <w:rPr>
          <w:b/>
          <w:bCs/>
          <w:color w:val="333333"/>
          <w:shd w:val="clear" w:color="auto" w:fill="FCFCFC"/>
        </w:rPr>
        <w:t>37</w:t>
      </w:r>
      <w:r w:rsidRPr="00B57D6C">
        <w:rPr>
          <w:color w:val="333333"/>
          <w:shd w:val="clear" w:color="auto" w:fill="FCFCFC"/>
        </w:rPr>
        <w:t xml:space="preserve">, 108 (2025). </w:t>
      </w:r>
      <w:hyperlink r:id="rId19" w:history="1">
        <w:r w:rsidRPr="00B57D6C">
          <w:rPr>
            <w:rStyle w:val="Hyperlink"/>
            <w:shd w:val="clear" w:color="auto" w:fill="FCFCFC"/>
          </w:rPr>
          <w:t>https://doi.org/10.1186/s12302-025-01151-4</w:t>
        </w:r>
      </w:hyperlink>
    </w:p>
    <w:p w14:paraId="48633189" w14:textId="77777777" w:rsidR="00442D24" w:rsidRPr="00B57D6C" w:rsidRDefault="00442D24" w:rsidP="00B57D6C">
      <w:pPr>
        <w:pStyle w:val="NormalWeb"/>
        <w:numPr>
          <w:ilvl w:val="0"/>
          <w:numId w:val="6"/>
        </w:numPr>
        <w:spacing w:line="276" w:lineRule="auto"/>
        <w:jc w:val="both"/>
        <w:rPr>
          <w:shd w:val="clear" w:color="auto" w:fill="FFFFFF"/>
        </w:rPr>
      </w:pPr>
      <w:r w:rsidRPr="00B57D6C">
        <w:rPr>
          <w:shd w:val="clear" w:color="auto" w:fill="FFFFFF"/>
        </w:rPr>
        <w:t xml:space="preserve">de Souza, A. J., de Araújo Pereira, A. P., Pedrinho, A., </w:t>
      </w:r>
      <w:proofErr w:type="spellStart"/>
      <w:r w:rsidRPr="00B57D6C">
        <w:rPr>
          <w:shd w:val="clear" w:color="auto" w:fill="FFFFFF"/>
        </w:rPr>
        <w:t>Andreote</w:t>
      </w:r>
      <w:proofErr w:type="spellEnd"/>
      <w:r w:rsidRPr="00B57D6C">
        <w:rPr>
          <w:shd w:val="clear" w:color="auto" w:fill="FFFFFF"/>
        </w:rPr>
        <w:t xml:space="preserve">, F. D., </w:t>
      </w:r>
      <w:proofErr w:type="spellStart"/>
      <w:r w:rsidRPr="00B57D6C">
        <w:rPr>
          <w:shd w:val="clear" w:color="auto" w:fill="FFFFFF"/>
        </w:rPr>
        <w:t>Tornisielo</w:t>
      </w:r>
      <w:proofErr w:type="spellEnd"/>
      <w:r w:rsidRPr="00B57D6C">
        <w:rPr>
          <w:shd w:val="clear" w:color="auto" w:fill="FFFFFF"/>
        </w:rPr>
        <w:t xml:space="preserve">, V. L., </w:t>
      </w:r>
      <w:proofErr w:type="spellStart"/>
      <w:r w:rsidRPr="00B57D6C">
        <w:rPr>
          <w:shd w:val="clear" w:color="auto" w:fill="FFFFFF"/>
        </w:rPr>
        <w:t>Tizioto</w:t>
      </w:r>
      <w:proofErr w:type="spellEnd"/>
      <w:r w:rsidRPr="00B57D6C">
        <w:rPr>
          <w:shd w:val="clear" w:color="auto" w:fill="FFFFFF"/>
        </w:rPr>
        <w:t xml:space="preserve">, P. C., ... &amp; </w:t>
      </w:r>
      <w:proofErr w:type="spellStart"/>
      <w:r w:rsidRPr="00B57D6C">
        <w:rPr>
          <w:shd w:val="clear" w:color="auto" w:fill="FFFFFF"/>
        </w:rPr>
        <w:t>Regitano</w:t>
      </w:r>
      <w:proofErr w:type="spellEnd"/>
      <w:r w:rsidRPr="00B57D6C">
        <w:rPr>
          <w:shd w:val="clear" w:color="auto" w:fill="FFFFFF"/>
        </w:rPr>
        <w:t>, J. B. (2022). Land use and roles of soil bacterial community in the dissipation of atrazine. </w:t>
      </w:r>
      <w:r w:rsidRPr="00B57D6C">
        <w:rPr>
          <w:i/>
          <w:iCs/>
          <w:shd w:val="clear" w:color="auto" w:fill="FFFFFF"/>
        </w:rPr>
        <w:t>Science of The Total Environment</w:t>
      </w:r>
      <w:r w:rsidRPr="00B57D6C">
        <w:rPr>
          <w:shd w:val="clear" w:color="auto" w:fill="FFFFFF"/>
        </w:rPr>
        <w:t>, </w:t>
      </w:r>
      <w:r w:rsidRPr="00B57D6C">
        <w:rPr>
          <w:i/>
          <w:iCs/>
          <w:shd w:val="clear" w:color="auto" w:fill="FFFFFF"/>
        </w:rPr>
        <w:t>827</w:t>
      </w:r>
      <w:r w:rsidRPr="00B57D6C">
        <w:rPr>
          <w:shd w:val="clear" w:color="auto" w:fill="FFFFFF"/>
        </w:rPr>
        <w:t>, 154239.</w:t>
      </w:r>
    </w:p>
    <w:p w14:paraId="2E04A2A4" w14:textId="77777777" w:rsidR="00442D24" w:rsidRPr="00B57D6C" w:rsidRDefault="00442D24" w:rsidP="00B57D6C">
      <w:pPr>
        <w:pStyle w:val="NormalWeb"/>
        <w:numPr>
          <w:ilvl w:val="0"/>
          <w:numId w:val="6"/>
        </w:numPr>
        <w:spacing w:line="276" w:lineRule="auto"/>
        <w:jc w:val="both"/>
        <w:rPr>
          <w:shd w:val="clear" w:color="auto" w:fill="FFFFFF"/>
        </w:rPr>
      </w:pPr>
      <w:r w:rsidRPr="00B57D6C">
        <w:rPr>
          <w:shd w:val="clear" w:color="auto" w:fill="FFFFFF"/>
        </w:rPr>
        <w:t>Messing, I., Soriano, A. M. M., Svensson, D. N., &amp; Barron, J. (2024). Variability and compatibility in determining soil particle size distribution by sieving, sedimentation and laser diffraction methods. </w:t>
      </w:r>
      <w:r w:rsidRPr="00B57D6C">
        <w:rPr>
          <w:i/>
          <w:iCs/>
          <w:shd w:val="clear" w:color="auto" w:fill="FFFFFF"/>
        </w:rPr>
        <w:t>Soil and Tillage Research</w:t>
      </w:r>
      <w:r w:rsidRPr="00B57D6C">
        <w:rPr>
          <w:shd w:val="clear" w:color="auto" w:fill="FFFFFF"/>
        </w:rPr>
        <w:t>, </w:t>
      </w:r>
      <w:r w:rsidRPr="00B57D6C">
        <w:rPr>
          <w:i/>
          <w:iCs/>
          <w:shd w:val="clear" w:color="auto" w:fill="FFFFFF"/>
        </w:rPr>
        <w:t>238</w:t>
      </w:r>
      <w:r w:rsidRPr="00B57D6C">
        <w:rPr>
          <w:shd w:val="clear" w:color="auto" w:fill="FFFFFF"/>
        </w:rPr>
        <w:t xml:space="preserve">, 105987. </w:t>
      </w:r>
    </w:p>
    <w:p w14:paraId="54177AD9" w14:textId="77777777" w:rsidR="00371FFF" w:rsidRPr="00B57D6C" w:rsidRDefault="00371FFF" w:rsidP="00B57D6C">
      <w:pPr>
        <w:pStyle w:val="NormalWeb"/>
        <w:numPr>
          <w:ilvl w:val="0"/>
          <w:numId w:val="6"/>
        </w:numPr>
        <w:spacing w:line="276" w:lineRule="auto"/>
        <w:jc w:val="both"/>
        <w:rPr>
          <w:shd w:val="clear" w:color="auto" w:fill="FFFFFF"/>
        </w:rPr>
      </w:pPr>
      <w:r w:rsidRPr="00B57D6C">
        <w:rPr>
          <w:shd w:val="clear" w:color="auto" w:fill="FFFFFF"/>
        </w:rPr>
        <w:t>Sparr, J. (2024). Freshwater Effects of Pesticide Mixtures in Mesocosms of Great Pond Snails (</w:t>
      </w:r>
      <w:proofErr w:type="spellStart"/>
      <w:r w:rsidRPr="00B57D6C">
        <w:rPr>
          <w:i/>
          <w:iCs/>
          <w:shd w:val="clear" w:color="auto" w:fill="FFFFFF"/>
        </w:rPr>
        <w:t>Lymnaea</w:t>
      </w:r>
      <w:proofErr w:type="spellEnd"/>
      <w:r w:rsidRPr="00B57D6C">
        <w:rPr>
          <w:shd w:val="clear" w:color="auto" w:fill="FFFFFF"/>
        </w:rPr>
        <w:t xml:space="preserve"> </w:t>
      </w:r>
      <w:proofErr w:type="spellStart"/>
      <w:r w:rsidRPr="00B57D6C">
        <w:rPr>
          <w:i/>
          <w:iCs/>
          <w:shd w:val="clear" w:color="auto" w:fill="FFFFFF"/>
        </w:rPr>
        <w:t>stagnalis</w:t>
      </w:r>
      <w:proofErr w:type="spellEnd"/>
      <w:r w:rsidRPr="00B57D6C">
        <w:rPr>
          <w:shd w:val="clear" w:color="auto" w:fill="FFFFFF"/>
        </w:rPr>
        <w:t xml:space="preserve">). </w:t>
      </w:r>
    </w:p>
    <w:p w14:paraId="45A801A3" w14:textId="079757FF" w:rsidR="009951EC" w:rsidRPr="00B57D6C" w:rsidRDefault="009951EC" w:rsidP="00B57D6C">
      <w:pPr>
        <w:pStyle w:val="NormalWeb"/>
        <w:numPr>
          <w:ilvl w:val="0"/>
          <w:numId w:val="6"/>
        </w:numPr>
        <w:spacing w:line="276" w:lineRule="auto"/>
        <w:jc w:val="both"/>
        <w:rPr>
          <w:color w:val="333333"/>
          <w:shd w:val="clear" w:color="auto" w:fill="FCFCFC"/>
        </w:rPr>
      </w:pPr>
      <w:r w:rsidRPr="00B57D6C">
        <w:rPr>
          <w:color w:val="1B1B1B"/>
          <w:shd w:val="clear" w:color="auto" w:fill="FFFFFF"/>
        </w:rPr>
        <w:t xml:space="preserve">Gupta, A., Singh, U. B., Sahu, P. K., Paul, S., Kumar, A., Malviya, D., Singh, S., Kuppusamy, P., Singh, P., Paul, D., Rai, J. P., Singh, H. V., Manna, M. C., </w:t>
      </w:r>
      <w:proofErr w:type="spellStart"/>
      <w:r w:rsidRPr="00B57D6C">
        <w:rPr>
          <w:color w:val="1B1B1B"/>
          <w:shd w:val="clear" w:color="auto" w:fill="FFFFFF"/>
        </w:rPr>
        <w:t>Crusberg</w:t>
      </w:r>
      <w:proofErr w:type="spellEnd"/>
      <w:r w:rsidRPr="00B57D6C">
        <w:rPr>
          <w:color w:val="1B1B1B"/>
          <w:shd w:val="clear" w:color="auto" w:fill="FFFFFF"/>
        </w:rPr>
        <w:t>, T. C., Kumar, A., &amp; Saxena, A. K. (2022). Linking Soil Microbial Diversity to Modern Agriculture Practices: A Review. </w:t>
      </w:r>
      <w:r w:rsidRPr="00B57D6C">
        <w:rPr>
          <w:i/>
          <w:iCs/>
          <w:color w:val="1B1B1B"/>
          <w:shd w:val="clear" w:color="auto" w:fill="FFFFFF"/>
        </w:rPr>
        <w:t>International journal of environmental research and public health</w:t>
      </w:r>
      <w:r w:rsidRPr="00B57D6C">
        <w:rPr>
          <w:color w:val="1B1B1B"/>
          <w:shd w:val="clear" w:color="auto" w:fill="FFFFFF"/>
        </w:rPr>
        <w:t>, </w:t>
      </w:r>
      <w:r w:rsidRPr="00B57D6C">
        <w:rPr>
          <w:i/>
          <w:iCs/>
          <w:color w:val="1B1B1B"/>
          <w:shd w:val="clear" w:color="auto" w:fill="FFFFFF"/>
        </w:rPr>
        <w:t>19</w:t>
      </w:r>
      <w:r w:rsidRPr="00B57D6C">
        <w:rPr>
          <w:color w:val="1B1B1B"/>
          <w:shd w:val="clear" w:color="auto" w:fill="FFFFFF"/>
        </w:rPr>
        <w:t>(5), 3141. https://doi.org/10.3390/ijerph19053141</w:t>
      </w:r>
    </w:p>
    <w:p w14:paraId="76625A6E" w14:textId="77777777" w:rsidR="009951EC" w:rsidRPr="00B57D6C" w:rsidRDefault="009951EC" w:rsidP="00B57D6C">
      <w:pPr>
        <w:pStyle w:val="NormalWeb"/>
        <w:numPr>
          <w:ilvl w:val="0"/>
          <w:numId w:val="6"/>
        </w:numPr>
        <w:spacing w:line="276" w:lineRule="auto"/>
        <w:jc w:val="both"/>
        <w:rPr>
          <w:color w:val="1B1B1B"/>
          <w:shd w:val="clear" w:color="auto" w:fill="FFFFFF"/>
        </w:rPr>
      </w:pPr>
      <w:r w:rsidRPr="00B57D6C">
        <w:rPr>
          <w:color w:val="1B1B1B"/>
          <w:shd w:val="clear" w:color="auto" w:fill="FFFFFF"/>
        </w:rPr>
        <w:t xml:space="preserve">Hu, J., Richwine, J. D., Keyser, P. D., Li, L., Yao, F., </w:t>
      </w:r>
      <w:proofErr w:type="spellStart"/>
      <w:r w:rsidRPr="00B57D6C">
        <w:rPr>
          <w:color w:val="1B1B1B"/>
          <w:shd w:val="clear" w:color="auto" w:fill="FFFFFF"/>
        </w:rPr>
        <w:t>Jagadamma</w:t>
      </w:r>
      <w:proofErr w:type="spellEnd"/>
      <w:r w:rsidRPr="00B57D6C">
        <w:rPr>
          <w:color w:val="1B1B1B"/>
          <w:shd w:val="clear" w:color="auto" w:fill="FFFFFF"/>
        </w:rPr>
        <w:t>, S., &amp; DeBruyn, J. M. (2021). Ammonia-oxidizing bacterial communities are affected by nitrogen fertilization and grass species in native C</w:t>
      </w:r>
      <w:r w:rsidRPr="00B57D6C">
        <w:rPr>
          <w:color w:val="1B1B1B"/>
          <w:shd w:val="clear" w:color="auto" w:fill="FFFFFF"/>
          <w:vertAlign w:val="subscript"/>
        </w:rPr>
        <w:t>4</w:t>
      </w:r>
      <w:r w:rsidRPr="00B57D6C">
        <w:rPr>
          <w:color w:val="1B1B1B"/>
          <w:shd w:val="clear" w:color="auto" w:fill="FFFFFF"/>
        </w:rPr>
        <w:t> grassland soils. </w:t>
      </w:r>
      <w:proofErr w:type="spellStart"/>
      <w:r w:rsidRPr="00B57D6C">
        <w:rPr>
          <w:i/>
          <w:iCs/>
          <w:color w:val="1B1B1B"/>
          <w:shd w:val="clear" w:color="auto" w:fill="FFFFFF"/>
        </w:rPr>
        <w:t>PeerJ</w:t>
      </w:r>
      <w:proofErr w:type="spellEnd"/>
      <w:r w:rsidRPr="00B57D6C">
        <w:rPr>
          <w:color w:val="1B1B1B"/>
          <w:shd w:val="clear" w:color="auto" w:fill="FFFFFF"/>
        </w:rPr>
        <w:t>, </w:t>
      </w:r>
      <w:r w:rsidRPr="00B57D6C">
        <w:rPr>
          <w:i/>
          <w:iCs/>
          <w:color w:val="1B1B1B"/>
          <w:shd w:val="clear" w:color="auto" w:fill="FFFFFF"/>
        </w:rPr>
        <w:t>9</w:t>
      </w:r>
      <w:r w:rsidRPr="00B57D6C">
        <w:rPr>
          <w:color w:val="1B1B1B"/>
          <w:shd w:val="clear" w:color="auto" w:fill="FFFFFF"/>
        </w:rPr>
        <w:t xml:space="preserve">, e12592. </w:t>
      </w:r>
      <w:hyperlink r:id="rId20" w:history="1">
        <w:r w:rsidRPr="00B57D6C">
          <w:rPr>
            <w:rStyle w:val="Hyperlink"/>
            <w:shd w:val="clear" w:color="auto" w:fill="FFFFFF"/>
          </w:rPr>
          <w:t>https://doi.org/10.7717/peerj.12592</w:t>
        </w:r>
      </w:hyperlink>
    </w:p>
    <w:p w14:paraId="46EB2F54" w14:textId="77777777" w:rsidR="007E2E2F" w:rsidRPr="00B57D6C" w:rsidRDefault="00D97A6B" w:rsidP="00B57D6C">
      <w:pPr>
        <w:pStyle w:val="NormalWeb"/>
        <w:numPr>
          <w:ilvl w:val="0"/>
          <w:numId w:val="6"/>
        </w:numPr>
        <w:spacing w:line="276" w:lineRule="auto"/>
        <w:jc w:val="both"/>
        <w:rPr>
          <w:color w:val="FFFF00"/>
          <w:shd w:val="clear" w:color="auto" w:fill="FFFFFF"/>
        </w:rPr>
      </w:pPr>
      <w:r w:rsidRPr="00B57D6C">
        <w:rPr>
          <w:rFonts w:eastAsiaTheme="minorHAnsi"/>
        </w:rPr>
        <w:t>Beaumelle, L., Tison, L., Eisenhauer, N., Hines, J., Malladi, S., Pelosi, C., ... &amp; Phillips, H. R. (2023). Pesticide effects on soil fauna communities—A meta‐analysis. </w:t>
      </w:r>
      <w:r w:rsidRPr="00B57D6C">
        <w:rPr>
          <w:rFonts w:eastAsiaTheme="minorHAnsi"/>
          <w:i/>
          <w:iCs/>
        </w:rPr>
        <w:t>Journal of Applied Ecology</w:t>
      </w:r>
      <w:r w:rsidRPr="00B57D6C">
        <w:rPr>
          <w:rFonts w:eastAsiaTheme="minorHAnsi"/>
        </w:rPr>
        <w:t>, </w:t>
      </w:r>
      <w:r w:rsidRPr="00B57D6C">
        <w:rPr>
          <w:rFonts w:eastAsiaTheme="minorHAnsi"/>
          <w:i/>
          <w:iCs/>
        </w:rPr>
        <w:t>60</w:t>
      </w:r>
      <w:r w:rsidRPr="00B57D6C">
        <w:rPr>
          <w:rFonts w:eastAsiaTheme="minorHAnsi"/>
        </w:rPr>
        <w:t xml:space="preserve">(7), 1239-1253. </w:t>
      </w:r>
      <w:r w:rsidR="009951EC" w:rsidRPr="00B57D6C">
        <w:rPr>
          <w:color w:val="FFFF00"/>
          <w:shd w:val="clear" w:color="auto" w:fill="FFFFFF"/>
        </w:rPr>
        <w:t>J</w:t>
      </w:r>
    </w:p>
    <w:p w14:paraId="08E80D55" w14:textId="77777777" w:rsidR="007E2E2F" w:rsidRPr="00B57D6C" w:rsidRDefault="007E2E2F" w:rsidP="00B57D6C">
      <w:pPr>
        <w:pStyle w:val="NormalWeb"/>
        <w:numPr>
          <w:ilvl w:val="0"/>
          <w:numId w:val="6"/>
        </w:numPr>
        <w:spacing w:line="276" w:lineRule="auto"/>
        <w:jc w:val="both"/>
      </w:pPr>
      <w:r w:rsidRPr="00B57D6C">
        <w:t>Meira, A. C. S., Barreto-Garcia, P. A. B., de Paula, A., Monroe, P. H. M., de Carvalho Mendes, I., da Silva Martins, K. B., &amp; de Oliveira Matos, D. L. (2025). Medium-term Effects of Forest Management on Soil Microbial Biomass and Enzymatic Activity in Caatinga Dry Forest, Brazil. </w:t>
      </w:r>
      <w:r w:rsidRPr="00B57D6C">
        <w:rPr>
          <w:i/>
          <w:iCs/>
        </w:rPr>
        <w:t>Journal of Soil Science and Plant Nutrition</w:t>
      </w:r>
      <w:r w:rsidRPr="00B57D6C">
        <w:t xml:space="preserve">, 1-16 </w:t>
      </w:r>
    </w:p>
    <w:p w14:paraId="2F33D2A5" w14:textId="77777777" w:rsidR="007E2E2F" w:rsidRPr="00B57D6C" w:rsidRDefault="007E2E2F" w:rsidP="00B57D6C">
      <w:pPr>
        <w:pStyle w:val="ListParagraph"/>
        <w:numPr>
          <w:ilvl w:val="0"/>
          <w:numId w:val="6"/>
        </w:numPr>
        <w:spacing w:before="100" w:beforeAutospacing="1" w:after="100" w:afterAutospacing="1" w:line="276" w:lineRule="auto"/>
        <w:jc w:val="both"/>
        <w:rPr>
          <w:rFonts w:ascii="Times New Roman" w:eastAsia="Times New Roman" w:hAnsi="Times New Roman" w:cs="Times New Roman"/>
          <w:sz w:val="24"/>
          <w:szCs w:val="24"/>
          <w:shd w:val="clear" w:color="auto" w:fill="FFFFFF"/>
        </w:rPr>
      </w:pPr>
      <w:r w:rsidRPr="00B57D6C">
        <w:rPr>
          <w:rFonts w:ascii="Times New Roman" w:eastAsia="Times New Roman" w:hAnsi="Times New Roman" w:cs="Times New Roman"/>
          <w:sz w:val="24"/>
          <w:szCs w:val="24"/>
          <w:shd w:val="clear" w:color="auto" w:fill="FFFFFF"/>
        </w:rPr>
        <w:lastRenderedPageBreak/>
        <w:t xml:space="preserve">Khan, S., Irshad, S., Mehmood, K., Hasnain, Z., Nawaz, M., Rais, A., ... &amp; </w:t>
      </w:r>
      <w:proofErr w:type="spellStart"/>
      <w:r w:rsidRPr="00B57D6C">
        <w:rPr>
          <w:rFonts w:ascii="Times New Roman" w:eastAsia="Times New Roman" w:hAnsi="Times New Roman" w:cs="Times New Roman"/>
          <w:sz w:val="24"/>
          <w:szCs w:val="24"/>
          <w:shd w:val="clear" w:color="auto" w:fill="FFFFFF"/>
        </w:rPr>
        <w:t>Ibrar</w:t>
      </w:r>
      <w:proofErr w:type="spellEnd"/>
      <w:r w:rsidRPr="00B57D6C">
        <w:rPr>
          <w:rFonts w:ascii="Times New Roman" w:eastAsia="Times New Roman" w:hAnsi="Times New Roman" w:cs="Times New Roman"/>
          <w:sz w:val="24"/>
          <w:szCs w:val="24"/>
          <w:shd w:val="clear" w:color="auto" w:fill="FFFFFF"/>
        </w:rPr>
        <w:t>, D. (2024). Biochar production and characteristics, its impacts on soil health, crop production, and yield enhancement: A review. </w:t>
      </w:r>
      <w:r w:rsidRPr="00B57D6C">
        <w:rPr>
          <w:rFonts w:ascii="Times New Roman" w:eastAsia="Times New Roman" w:hAnsi="Times New Roman" w:cs="Times New Roman"/>
          <w:i/>
          <w:iCs/>
          <w:sz w:val="24"/>
          <w:szCs w:val="24"/>
          <w:shd w:val="clear" w:color="auto" w:fill="FFFFFF"/>
        </w:rPr>
        <w:t>Plants</w:t>
      </w:r>
      <w:r w:rsidRPr="00B57D6C">
        <w:rPr>
          <w:rFonts w:ascii="Times New Roman" w:eastAsia="Times New Roman" w:hAnsi="Times New Roman" w:cs="Times New Roman"/>
          <w:sz w:val="24"/>
          <w:szCs w:val="24"/>
          <w:shd w:val="clear" w:color="auto" w:fill="FFFFFF"/>
        </w:rPr>
        <w:t>, </w:t>
      </w:r>
      <w:r w:rsidRPr="00B57D6C">
        <w:rPr>
          <w:rFonts w:ascii="Times New Roman" w:eastAsia="Times New Roman" w:hAnsi="Times New Roman" w:cs="Times New Roman"/>
          <w:i/>
          <w:iCs/>
          <w:sz w:val="24"/>
          <w:szCs w:val="24"/>
          <w:shd w:val="clear" w:color="auto" w:fill="FFFFFF"/>
        </w:rPr>
        <w:t>13</w:t>
      </w:r>
      <w:r w:rsidRPr="00B57D6C">
        <w:rPr>
          <w:rFonts w:ascii="Times New Roman" w:eastAsia="Times New Roman" w:hAnsi="Times New Roman" w:cs="Times New Roman"/>
          <w:sz w:val="24"/>
          <w:szCs w:val="24"/>
          <w:shd w:val="clear" w:color="auto" w:fill="FFFFFF"/>
        </w:rPr>
        <w:t>(2), 166.</w:t>
      </w:r>
    </w:p>
    <w:p w14:paraId="749399E0" w14:textId="051000ED" w:rsidR="009951EC" w:rsidRPr="00B57D6C" w:rsidRDefault="009951EC" w:rsidP="00B57D6C">
      <w:pPr>
        <w:pStyle w:val="ListParagraph"/>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B57D6C">
        <w:rPr>
          <w:rFonts w:ascii="Times New Roman" w:hAnsi="Times New Roman" w:cs="Times New Roman"/>
          <w:color w:val="1B1B1B"/>
          <w:sz w:val="24"/>
          <w:szCs w:val="24"/>
          <w:shd w:val="clear" w:color="auto" w:fill="FFFFFF"/>
        </w:rPr>
        <w:t>Laoye</w:t>
      </w:r>
      <w:proofErr w:type="spellEnd"/>
      <w:r w:rsidRPr="00B57D6C">
        <w:rPr>
          <w:rFonts w:ascii="Times New Roman" w:hAnsi="Times New Roman" w:cs="Times New Roman"/>
          <w:color w:val="1B1B1B"/>
          <w:sz w:val="24"/>
          <w:szCs w:val="24"/>
          <w:shd w:val="clear" w:color="auto" w:fill="FFFFFF"/>
        </w:rPr>
        <w:t xml:space="preserve">, B., </w:t>
      </w:r>
      <w:proofErr w:type="spellStart"/>
      <w:r w:rsidRPr="00B57D6C">
        <w:rPr>
          <w:rFonts w:ascii="Times New Roman" w:hAnsi="Times New Roman" w:cs="Times New Roman"/>
          <w:color w:val="1B1B1B"/>
          <w:sz w:val="24"/>
          <w:szCs w:val="24"/>
          <w:shd w:val="clear" w:color="auto" w:fill="FFFFFF"/>
        </w:rPr>
        <w:t>Olagbemide</w:t>
      </w:r>
      <w:proofErr w:type="spellEnd"/>
      <w:r w:rsidRPr="00B57D6C">
        <w:rPr>
          <w:rFonts w:ascii="Times New Roman" w:hAnsi="Times New Roman" w:cs="Times New Roman"/>
          <w:color w:val="1B1B1B"/>
          <w:sz w:val="24"/>
          <w:szCs w:val="24"/>
          <w:shd w:val="clear" w:color="auto" w:fill="FFFFFF"/>
        </w:rPr>
        <w:t xml:space="preserve">, P., </w:t>
      </w:r>
      <w:proofErr w:type="spellStart"/>
      <w:r w:rsidRPr="00B57D6C">
        <w:rPr>
          <w:rFonts w:ascii="Times New Roman" w:hAnsi="Times New Roman" w:cs="Times New Roman"/>
          <w:color w:val="1B1B1B"/>
          <w:sz w:val="24"/>
          <w:szCs w:val="24"/>
          <w:shd w:val="clear" w:color="auto" w:fill="FFFFFF"/>
        </w:rPr>
        <w:t>Ogunnusi</w:t>
      </w:r>
      <w:proofErr w:type="spellEnd"/>
      <w:r w:rsidRPr="00B57D6C">
        <w:rPr>
          <w:rFonts w:ascii="Times New Roman" w:hAnsi="Times New Roman" w:cs="Times New Roman"/>
          <w:color w:val="1B1B1B"/>
          <w:sz w:val="24"/>
          <w:szCs w:val="24"/>
          <w:shd w:val="clear" w:color="auto" w:fill="FFFFFF"/>
        </w:rPr>
        <w:t>, T., &amp; Akpor, O. (2025). Heavy Metal Contamination: Sources, Health Impacts, and Sustainable Mitigation Strategies with Insights from Nigerian Case Studies. </w:t>
      </w:r>
      <w:r w:rsidRPr="00B57D6C">
        <w:rPr>
          <w:rFonts w:ascii="Times New Roman" w:hAnsi="Times New Roman" w:cs="Times New Roman"/>
          <w:i/>
          <w:iCs/>
          <w:color w:val="1B1B1B"/>
          <w:sz w:val="24"/>
          <w:szCs w:val="24"/>
          <w:shd w:val="clear" w:color="auto" w:fill="FFFFFF"/>
        </w:rPr>
        <w:t>F1000Research</w:t>
      </w:r>
      <w:r w:rsidRPr="00B57D6C">
        <w:rPr>
          <w:rFonts w:ascii="Times New Roman" w:hAnsi="Times New Roman" w:cs="Times New Roman"/>
          <w:color w:val="1B1B1B"/>
          <w:sz w:val="24"/>
          <w:szCs w:val="24"/>
          <w:shd w:val="clear" w:color="auto" w:fill="FFFFFF"/>
        </w:rPr>
        <w:t>, </w:t>
      </w:r>
      <w:r w:rsidRPr="00B57D6C">
        <w:rPr>
          <w:rFonts w:ascii="Times New Roman" w:hAnsi="Times New Roman" w:cs="Times New Roman"/>
          <w:i/>
          <w:iCs/>
          <w:color w:val="1B1B1B"/>
          <w:sz w:val="24"/>
          <w:szCs w:val="24"/>
          <w:shd w:val="clear" w:color="auto" w:fill="FFFFFF"/>
        </w:rPr>
        <w:t>14</w:t>
      </w:r>
      <w:r w:rsidRPr="00B57D6C">
        <w:rPr>
          <w:rFonts w:ascii="Times New Roman" w:hAnsi="Times New Roman" w:cs="Times New Roman"/>
          <w:color w:val="1B1B1B"/>
          <w:sz w:val="24"/>
          <w:szCs w:val="24"/>
          <w:shd w:val="clear" w:color="auto" w:fill="FFFFFF"/>
        </w:rPr>
        <w:t>, 134. https://doi.org/10.12688/f1000research.160148.4</w:t>
      </w:r>
    </w:p>
    <w:p w14:paraId="5D831CC3" w14:textId="77777777" w:rsidR="009951EC" w:rsidRPr="00B57D6C" w:rsidRDefault="009951EC" w:rsidP="00B57D6C">
      <w:pPr>
        <w:pStyle w:val="NormalWeb"/>
        <w:numPr>
          <w:ilvl w:val="0"/>
          <w:numId w:val="6"/>
        </w:numPr>
        <w:spacing w:line="276" w:lineRule="auto"/>
        <w:jc w:val="both"/>
        <w:rPr>
          <w:color w:val="1B1B1B"/>
          <w:shd w:val="clear" w:color="auto" w:fill="FFFFFF"/>
        </w:rPr>
      </w:pPr>
      <w:r w:rsidRPr="00B57D6C">
        <w:rPr>
          <w:color w:val="1B1B1B"/>
          <w:shd w:val="clear" w:color="auto" w:fill="FFFFFF"/>
        </w:rPr>
        <w:t>Li, Y., Wang, B., Wang, Z., He, W., Wang, Y., Liu, L., &amp; Yang, H. (2024). The Response of Rhizosphere Microbial C and N-Cycling Gene Abundance of Sand-Fixing Shrub to Stand Age Following Desert Restoration. </w:t>
      </w:r>
      <w:r w:rsidRPr="00B57D6C">
        <w:rPr>
          <w:i/>
          <w:iCs/>
          <w:color w:val="1B1B1B"/>
          <w:shd w:val="clear" w:color="auto" w:fill="FFFFFF"/>
        </w:rPr>
        <w:t>Microorganisms</w:t>
      </w:r>
      <w:r w:rsidRPr="00B57D6C">
        <w:rPr>
          <w:color w:val="1B1B1B"/>
          <w:shd w:val="clear" w:color="auto" w:fill="FFFFFF"/>
        </w:rPr>
        <w:t>, </w:t>
      </w:r>
      <w:r w:rsidRPr="00B57D6C">
        <w:rPr>
          <w:i/>
          <w:iCs/>
          <w:color w:val="1B1B1B"/>
          <w:shd w:val="clear" w:color="auto" w:fill="FFFFFF"/>
        </w:rPr>
        <w:t>12</w:t>
      </w:r>
      <w:r w:rsidRPr="00B57D6C">
        <w:rPr>
          <w:color w:val="1B1B1B"/>
          <w:shd w:val="clear" w:color="auto" w:fill="FFFFFF"/>
        </w:rPr>
        <w:t xml:space="preserve">(9), 1752. https://doi.org/10.3390/microorganisms12091752 </w:t>
      </w:r>
    </w:p>
    <w:p w14:paraId="09F35576" w14:textId="77777777" w:rsidR="009951EC" w:rsidRPr="00B57D6C" w:rsidRDefault="009951EC" w:rsidP="00B57D6C">
      <w:pPr>
        <w:pStyle w:val="NormalWeb"/>
        <w:numPr>
          <w:ilvl w:val="0"/>
          <w:numId w:val="6"/>
        </w:numPr>
        <w:spacing w:line="276" w:lineRule="auto"/>
        <w:jc w:val="both"/>
      </w:pPr>
      <w:r w:rsidRPr="00B57D6C">
        <w:rPr>
          <w:color w:val="1B1B1B"/>
          <w:shd w:val="clear" w:color="auto" w:fill="FFFFFF"/>
        </w:rPr>
        <w:t xml:space="preserve">Liu, M., Sui, X., Hu, Y., &amp; Feng, F. (2019). Microbial community structure and the relationship with soil carbon and nitrogen in an original Korean pine forest of </w:t>
      </w:r>
      <w:proofErr w:type="spellStart"/>
      <w:r w:rsidRPr="00B57D6C">
        <w:rPr>
          <w:color w:val="1B1B1B"/>
          <w:shd w:val="clear" w:color="auto" w:fill="FFFFFF"/>
        </w:rPr>
        <w:t>Changbai</w:t>
      </w:r>
      <w:proofErr w:type="spellEnd"/>
      <w:r w:rsidRPr="00B57D6C">
        <w:rPr>
          <w:color w:val="1B1B1B"/>
          <w:shd w:val="clear" w:color="auto" w:fill="FFFFFF"/>
        </w:rPr>
        <w:t xml:space="preserve"> Mountain, China. </w:t>
      </w:r>
      <w:r w:rsidRPr="00B57D6C">
        <w:rPr>
          <w:i/>
          <w:iCs/>
          <w:color w:val="1B1B1B"/>
          <w:shd w:val="clear" w:color="auto" w:fill="FFFFFF"/>
        </w:rPr>
        <w:t>BMC microbiology</w:t>
      </w:r>
      <w:r w:rsidRPr="00B57D6C">
        <w:rPr>
          <w:color w:val="1B1B1B"/>
          <w:shd w:val="clear" w:color="auto" w:fill="FFFFFF"/>
        </w:rPr>
        <w:t>, </w:t>
      </w:r>
      <w:r w:rsidRPr="00B57D6C">
        <w:rPr>
          <w:i/>
          <w:iCs/>
          <w:color w:val="1B1B1B"/>
          <w:shd w:val="clear" w:color="auto" w:fill="FFFFFF"/>
        </w:rPr>
        <w:t>19</w:t>
      </w:r>
      <w:r w:rsidRPr="00B57D6C">
        <w:rPr>
          <w:color w:val="1B1B1B"/>
          <w:shd w:val="clear" w:color="auto" w:fill="FFFFFF"/>
        </w:rPr>
        <w:t>(1), 218. https://doi.org/10.1186/s12866-019-1584-6</w:t>
      </w:r>
    </w:p>
    <w:p w14:paraId="57224391" w14:textId="77777777" w:rsidR="009951EC" w:rsidRPr="00B57D6C" w:rsidRDefault="009951EC" w:rsidP="00B57D6C">
      <w:pPr>
        <w:pStyle w:val="NormalWeb"/>
        <w:numPr>
          <w:ilvl w:val="0"/>
          <w:numId w:val="6"/>
        </w:numPr>
        <w:spacing w:line="276" w:lineRule="auto"/>
        <w:jc w:val="both"/>
        <w:rPr>
          <w:color w:val="1B1B1B"/>
          <w:shd w:val="clear" w:color="auto" w:fill="FFFFFF"/>
        </w:rPr>
      </w:pPr>
      <w:r w:rsidRPr="00B57D6C">
        <w:rPr>
          <w:color w:val="1B1B1B"/>
          <w:shd w:val="clear" w:color="auto" w:fill="FFFFFF"/>
        </w:rPr>
        <w:t>Maciel-Rodríguez, M., Moreno-Valencia, F. D., &amp; Plascencia-Espinosa, M. (2025). The Role of Plant Growth-Promoting Bacteria in Soil Restoration: A Strategy to Promote Agricultural Sustainability. </w:t>
      </w:r>
      <w:r w:rsidRPr="00B57D6C">
        <w:rPr>
          <w:i/>
          <w:iCs/>
          <w:color w:val="1B1B1B"/>
          <w:shd w:val="clear" w:color="auto" w:fill="FFFFFF"/>
        </w:rPr>
        <w:t>Microorganisms</w:t>
      </w:r>
      <w:r w:rsidRPr="00B57D6C">
        <w:rPr>
          <w:color w:val="1B1B1B"/>
          <w:shd w:val="clear" w:color="auto" w:fill="FFFFFF"/>
        </w:rPr>
        <w:t>, </w:t>
      </w:r>
      <w:r w:rsidRPr="00B57D6C">
        <w:rPr>
          <w:i/>
          <w:iCs/>
          <w:color w:val="1B1B1B"/>
          <w:shd w:val="clear" w:color="auto" w:fill="FFFFFF"/>
        </w:rPr>
        <w:t>13</w:t>
      </w:r>
      <w:r w:rsidRPr="00B57D6C">
        <w:rPr>
          <w:color w:val="1B1B1B"/>
          <w:shd w:val="clear" w:color="auto" w:fill="FFFFFF"/>
        </w:rPr>
        <w:t xml:space="preserve">(8), 1799. https://doi.org/10.3390/microorganisms13081799 </w:t>
      </w:r>
    </w:p>
    <w:p w14:paraId="5886F840" w14:textId="77777777" w:rsidR="009951EC" w:rsidRPr="00B57D6C" w:rsidRDefault="009951EC" w:rsidP="00B57D6C">
      <w:pPr>
        <w:pStyle w:val="ListParagraph"/>
        <w:numPr>
          <w:ilvl w:val="0"/>
          <w:numId w:val="6"/>
        </w:numPr>
        <w:spacing w:before="100" w:beforeAutospacing="1" w:after="100" w:afterAutospacing="1" w:line="276" w:lineRule="auto"/>
        <w:jc w:val="both"/>
        <w:rPr>
          <w:rFonts w:ascii="Times New Roman" w:hAnsi="Times New Roman" w:cs="Times New Roman"/>
          <w:color w:val="1B1B1B"/>
          <w:sz w:val="24"/>
          <w:szCs w:val="24"/>
          <w:shd w:val="clear" w:color="auto" w:fill="FFFFFF"/>
        </w:rPr>
      </w:pPr>
      <w:r w:rsidRPr="00B57D6C">
        <w:rPr>
          <w:rFonts w:ascii="Times New Roman" w:hAnsi="Times New Roman" w:cs="Times New Roman"/>
          <w:color w:val="1B1B1B"/>
          <w:sz w:val="24"/>
          <w:szCs w:val="24"/>
          <w:shd w:val="clear" w:color="auto" w:fill="FFFFFF"/>
        </w:rPr>
        <w:t>Mishra, A. K., Yadav, P., Sharma, S., &amp; Maurya, P. (2025). Comparison of microbial diversity and community structure in soils managed with organic and chemical fertilization strategies using amplicon sequencing of 16 s and ITS regions. </w:t>
      </w:r>
      <w:r w:rsidRPr="00B57D6C">
        <w:rPr>
          <w:rFonts w:ascii="Times New Roman" w:hAnsi="Times New Roman" w:cs="Times New Roman"/>
          <w:i/>
          <w:iCs/>
          <w:color w:val="1B1B1B"/>
          <w:sz w:val="24"/>
          <w:szCs w:val="24"/>
          <w:shd w:val="clear" w:color="auto" w:fill="FFFFFF"/>
        </w:rPr>
        <w:t>Frontiers in microbiology</w:t>
      </w:r>
      <w:r w:rsidRPr="00B57D6C">
        <w:rPr>
          <w:rFonts w:ascii="Times New Roman" w:hAnsi="Times New Roman" w:cs="Times New Roman"/>
          <w:color w:val="1B1B1B"/>
          <w:sz w:val="24"/>
          <w:szCs w:val="24"/>
          <w:shd w:val="clear" w:color="auto" w:fill="FFFFFF"/>
        </w:rPr>
        <w:t>, </w:t>
      </w:r>
      <w:r w:rsidRPr="00B57D6C">
        <w:rPr>
          <w:rFonts w:ascii="Times New Roman" w:hAnsi="Times New Roman" w:cs="Times New Roman"/>
          <w:i/>
          <w:iCs/>
          <w:color w:val="1B1B1B"/>
          <w:sz w:val="24"/>
          <w:szCs w:val="24"/>
          <w:shd w:val="clear" w:color="auto" w:fill="FFFFFF"/>
        </w:rPr>
        <w:t>15</w:t>
      </w:r>
      <w:r w:rsidRPr="00B57D6C">
        <w:rPr>
          <w:rFonts w:ascii="Times New Roman" w:hAnsi="Times New Roman" w:cs="Times New Roman"/>
          <w:color w:val="1B1B1B"/>
          <w:sz w:val="24"/>
          <w:szCs w:val="24"/>
          <w:shd w:val="clear" w:color="auto" w:fill="FFFFFF"/>
        </w:rPr>
        <w:t xml:space="preserve">, 1444903. </w:t>
      </w:r>
      <w:hyperlink r:id="rId21" w:history="1">
        <w:r w:rsidRPr="00B57D6C">
          <w:rPr>
            <w:rStyle w:val="Hyperlink"/>
            <w:rFonts w:ascii="Times New Roman" w:hAnsi="Times New Roman" w:cs="Times New Roman"/>
            <w:sz w:val="24"/>
            <w:szCs w:val="24"/>
            <w:shd w:val="clear" w:color="auto" w:fill="FFFFFF"/>
          </w:rPr>
          <w:t>https://doi.org/10.3389/fmicb.2024.1444903</w:t>
        </w:r>
      </w:hyperlink>
    </w:p>
    <w:p w14:paraId="4CEEA2A4" w14:textId="77777777" w:rsidR="009951EC" w:rsidRPr="00B57D6C" w:rsidRDefault="009951EC" w:rsidP="00B57D6C">
      <w:pPr>
        <w:pStyle w:val="NormalWeb"/>
        <w:numPr>
          <w:ilvl w:val="0"/>
          <w:numId w:val="6"/>
        </w:numPr>
        <w:spacing w:line="276" w:lineRule="auto"/>
        <w:jc w:val="both"/>
        <w:rPr>
          <w:color w:val="212121"/>
          <w:shd w:val="clear" w:color="auto" w:fill="FFFFFF"/>
        </w:rPr>
      </w:pPr>
      <w:r w:rsidRPr="00B57D6C">
        <w:rPr>
          <w:color w:val="212121"/>
          <w:shd w:val="clear" w:color="auto" w:fill="FFFFFF"/>
        </w:rPr>
        <w:t>Muneer, M. A., Hou, W., Li, J., Huang, X., Ur Rehman Kayani, M., Cai, Y., Yang, W., Wu, L., Ji, B., &amp; Zheng, C. (2022). Soil pH: a key edaphic factor regulating distribution and functions of bacterial community along vertical soil profiles in red soil of pomelo orchard. </w:t>
      </w:r>
      <w:r w:rsidRPr="00B57D6C">
        <w:rPr>
          <w:i/>
          <w:iCs/>
          <w:color w:val="212121"/>
          <w:shd w:val="clear" w:color="auto" w:fill="FFFFFF"/>
        </w:rPr>
        <w:t>BMC microbiology</w:t>
      </w:r>
      <w:r w:rsidRPr="00B57D6C">
        <w:rPr>
          <w:color w:val="212121"/>
          <w:shd w:val="clear" w:color="auto" w:fill="FFFFFF"/>
        </w:rPr>
        <w:t>, </w:t>
      </w:r>
      <w:r w:rsidRPr="00B57D6C">
        <w:rPr>
          <w:i/>
          <w:iCs/>
          <w:color w:val="212121"/>
          <w:shd w:val="clear" w:color="auto" w:fill="FFFFFF"/>
        </w:rPr>
        <w:t>22</w:t>
      </w:r>
      <w:r w:rsidRPr="00B57D6C">
        <w:rPr>
          <w:color w:val="212121"/>
          <w:shd w:val="clear" w:color="auto" w:fill="FFFFFF"/>
        </w:rPr>
        <w:t xml:space="preserve">(1), 38. </w:t>
      </w:r>
      <w:hyperlink r:id="rId22" w:history="1">
        <w:r w:rsidRPr="00B57D6C">
          <w:rPr>
            <w:rStyle w:val="Hyperlink"/>
            <w:shd w:val="clear" w:color="auto" w:fill="FFFFFF"/>
          </w:rPr>
          <w:t>https://doi.org/10.1186/s12866-022-02452-x</w:t>
        </w:r>
      </w:hyperlink>
    </w:p>
    <w:p w14:paraId="79E23CED" w14:textId="77777777" w:rsidR="009951EC" w:rsidRPr="00B57D6C" w:rsidRDefault="009951EC" w:rsidP="00B57D6C">
      <w:pPr>
        <w:pStyle w:val="NormalWeb"/>
        <w:numPr>
          <w:ilvl w:val="0"/>
          <w:numId w:val="6"/>
        </w:numPr>
        <w:spacing w:line="276" w:lineRule="auto"/>
        <w:jc w:val="both"/>
        <w:rPr>
          <w:color w:val="1B1B1B"/>
          <w:shd w:val="clear" w:color="auto" w:fill="FFFFFF"/>
        </w:rPr>
      </w:pPr>
      <w:r w:rsidRPr="00B57D6C">
        <w:rPr>
          <w:color w:val="1B1B1B"/>
          <w:shd w:val="clear" w:color="auto" w:fill="FFFFFF"/>
        </w:rPr>
        <w:t xml:space="preserve">Najafi, E., </w:t>
      </w:r>
      <w:proofErr w:type="spellStart"/>
      <w:r w:rsidRPr="00B57D6C">
        <w:rPr>
          <w:color w:val="1B1B1B"/>
          <w:shd w:val="clear" w:color="auto" w:fill="FFFFFF"/>
        </w:rPr>
        <w:t>Khanjani</w:t>
      </w:r>
      <w:proofErr w:type="spellEnd"/>
      <w:r w:rsidRPr="00B57D6C">
        <w:rPr>
          <w:color w:val="1B1B1B"/>
          <w:shd w:val="clear" w:color="auto" w:fill="FFFFFF"/>
        </w:rPr>
        <w:t xml:space="preserve">, N., </w:t>
      </w:r>
      <w:proofErr w:type="spellStart"/>
      <w:r w:rsidRPr="00B57D6C">
        <w:rPr>
          <w:color w:val="1B1B1B"/>
          <w:shd w:val="clear" w:color="auto" w:fill="FFFFFF"/>
        </w:rPr>
        <w:t>Parastar</w:t>
      </w:r>
      <w:proofErr w:type="spellEnd"/>
      <w:r w:rsidRPr="00B57D6C">
        <w:rPr>
          <w:color w:val="1B1B1B"/>
          <w:shd w:val="clear" w:color="auto" w:fill="FFFFFF"/>
        </w:rPr>
        <w:t xml:space="preserve">, S., Azizi Shalke, B., </w:t>
      </w:r>
      <w:proofErr w:type="spellStart"/>
      <w:r w:rsidRPr="00B57D6C">
        <w:rPr>
          <w:color w:val="1B1B1B"/>
          <w:shd w:val="clear" w:color="auto" w:fill="FFFFFF"/>
        </w:rPr>
        <w:t>Fathzadeh</w:t>
      </w:r>
      <w:proofErr w:type="spellEnd"/>
      <w:r w:rsidRPr="00B57D6C">
        <w:rPr>
          <w:color w:val="1B1B1B"/>
          <w:shd w:val="clear" w:color="auto" w:fill="FFFFFF"/>
        </w:rPr>
        <w:t>, Y., Nazari, S., Asgari, E., &amp; Najafi Saleh, H. (2025). Assessment of pesticide handling and use practices and associated health and safety concerns among rice farmers, in Northern Iran. </w:t>
      </w:r>
      <w:r w:rsidRPr="00B57D6C">
        <w:rPr>
          <w:i/>
          <w:iCs/>
          <w:color w:val="1B1B1B"/>
          <w:shd w:val="clear" w:color="auto" w:fill="FFFFFF"/>
        </w:rPr>
        <w:t>Scientific reports</w:t>
      </w:r>
      <w:r w:rsidRPr="00B57D6C">
        <w:rPr>
          <w:color w:val="1B1B1B"/>
          <w:shd w:val="clear" w:color="auto" w:fill="FFFFFF"/>
        </w:rPr>
        <w:t>, </w:t>
      </w:r>
      <w:r w:rsidRPr="00B57D6C">
        <w:rPr>
          <w:i/>
          <w:iCs/>
          <w:color w:val="1B1B1B"/>
          <w:shd w:val="clear" w:color="auto" w:fill="FFFFFF"/>
        </w:rPr>
        <w:t>15</w:t>
      </w:r>
      <w:r w:rsidRPr="00B57D6C">
        <w:rPr>
          <w:color w:val="1B1B1B"/>
          <w:shd w:val="clear" w:color="auto" w:fill="FFFFFF"/>
        </w:rPr>
        <w:t xml:space="preserve">(1), 25303. </w:t>
      </w:r>
      <w:hyperlink r:id="rId23" w:history="1">
        <w:r w:rsidRPr="00B57D6C">
          <w:rPr>
            <w:rStyle w:val="Hyperlink"/>
            <w:shd w:val="clear" w:color="auto" w:fill="FFFFFF"/>
          </w:rPr>
          <w:t>https://doi.org/10.1038/s41598-025-09624-5</w:t>
        </w:r>
      </w:hyperlink>
    </w:p>
    <w:p w14:paraId="3462D585" w14:textId="77777777" w:rsidR="007E2E2F" w:rsidRPr="00B57D6C" w:rsidRDefault="007E2E2F" w:rsidP="00B57D6C">
      <w:pPr>
        <w:pStyle w:val="NormalWeb"/>
        <w:numPr>
          <w:ilvl w:val="0"/>
          <w:numId w:val="6"/>
        </w:numPr>
        <w:spacing w:line="276" w:lineRule="auto"/>
        <w:jc w:val="both"/>
        <w:rPr>
          <w:shd w:val="clear" w:color="auto" w:fill="FFFFFF"/>
        </w:rPr>
      </w:pPr>
      <w:r w:rsidRPr="00B57D6C">
        <w:rPr>
          <w:shd w:val="clear" w:color="auto" w:fill="FFFFFF"/>
        </w:rPr>
        <w:t xml:space="preserve">Gordillo-Perez, M. J., Reyes-Tur, B., Chen, Z., Sigwart, J., Greve, C., Heleven, M., ... &amp; </w:t>
      </w:r>
      <w:proofErr w:type="spellStart"/>
      <w:r w:rsidRPr="00B57D6C">
        <w:rPr>
          <w:shd w:val="clear" w:color="auto" w:fill="FFFFFF"/>
        </w:rPr>
        <w:t>Beenaerts</w:t>
      </w:r>
      <w:proofErr w:type="spellEnd"/>
      <w:r w:rsidRPr="00B57D6C">
        <w:rPr>
          <w:shd w:val="clear" w:color="auto" w:fill="FFFFFF"/>
        </w:rPr>
        <w:t xml:space="preserve">, N. (2026). Genome-wide identification of heat shock proteins (HSP70) in the Cuban painted snail </w:t>
      </w:r>
      <w:proofErr w:type="spellStart"/>
      <w:r w:rsidRPr="00B57D6C">
        <w:rPr>
          <w:shd w:val="clear" w:color="auto" w:fill="FFFFFF"/>
        </w:rPr>
        <w:t>Polymita</w:t>
      </w:r>
      <w:proofErr w:type="spellEnd"/>
      <w:r w:rsidRPr="00B57D6C">
        <w:rPr>
          <w:shd w:val="clear" w:color="auto" w:fill="FFFFFF"/>
        </w:rPr>
        <w:t xml:space="preserve"> </w:t>
      </w:r>
      <w:proofErr w:type="spellStart"/>
      <w:r w:rsidRPr="00B57D6C">
        <w:rPr>
          <w:shd w:val="clear" w:color="auto" w:fill="FFFFFF"/>
        </w:rPr>
        <w:t>picta</w:t>
      </w:r>
      <w:proofErr w:type="spellEnd"/>
      <w:r w:rsidRPr="00B57D6C">
        <w:rPr>
          <w:shd w:val="clear" w:color="auto" w:fill="FFFFFF"/>
        </w:rPr>
        <w:t>: evolutionary constraints face climate change challenges. </w:t>
      </w:r>
      <w:r w:rsidRPr="00B57D6C">
        <w:rPr>
          <w:i/>
          <w:iCs/>
          <w:shd w:val="clear" w:color="auto" w:fill="FFFFFF"/>
        </w:rPr>
        <w:t>bioRxiv</w:t>
      </w:r>
      <w:r w:rsidRPr="00B57D6C">
        <w:rPr>
          <w:shd w:val="clear" w:color="auto" w:fill="FFFFFF"/>
        </w:rPr>
        <w:t>, 2026-01.</w:t>
      </w:r>
    </w:p>
    <w:p w14:paraId="6AFA93B5" w14:textId="550F700D" w:rsidR="00371FFF" w:rsidRPr="00B57D6C" w:rsidRDefault="00371FFF" w:rsidP="00B57D6C">
      <w:pPr>
        <w:pStyle w:val="NormalWeb"/>
        <w:numPr>
          <w:ilvl w:val="0"/>
          <w:numId w:val="6"/>
        </w:numPr>
        <w:spacing w:line="276" w:lineRule="auto"/>
        <w:jc w:val="both"/>
        <w:rPr>
          <w:shd w:val="clear" w:color="auto" w:fill="FFFFFF"/>
        </w:rPr>
      </w:pPr>
      <w:r w:rsidRPr="00B57D6C">
        <w:rPr>
          <w:shd w:val="clear" w:color="auto" w:fill="FFFFFF"/>
        </w:rPr>
        <w:t>Singh, K., &amp; Garg, V. (2022). Evaluation of ache activity and lipid peroxidation in freshwater teleost upon exposure to herbicide. </w:t>
      </w:r>
      <w:r w:rsidR="00B57D6C" w:rsidRPr="00B57D6C">
        <w:rPr>
          <w:i/>
          <w:iCs/>
          <w:shd w:val="clear" w:color="auto" w:fill="FFFFFF"/>
        </w:rPr>
        <w:t>Uttar Pradesh journal of zoology</w:t>
      </w:r>
      <w:r w:rsidRPr="00B57D6C">
        <w:rPr>
          <w:shd w:val="clear" w:color="auto" w:fill="FFFFFF"/>
        </w:rPr>
        <w:t>, </w:t>
      </w:r>
      <w:r w:rsidRPr="00B57D6C">
        <w:rPr>
          <w:i/>
          <w:iCs/>
          <w:shd w:val="clear" w:color="auto" w:fill="FFFFFF"/>
        </w:rPr>
        <w:t>43</w:t>
      </w:r>
      <w:r w:rsidRPr="00B57D6C">
        <w:rPr>
          <w:shd w:val="clear" w:color="auto" w:fill="FFFFFF"/>
        </w:rPr>
        <w:t>(23), 12-17.</w:t>
      </w:r>
    </w:p>
    <w:p w14:paraId="31ECFD28" w14:textId="77777777" w:rsidR="00371FFF" w:rsidRPr="00B57D6C" w:rsidRDefault="00371FFF" w:rsidP="00B57D6C">
      <w:pPr>
        <w:pStyle w:val="NormalWeb"/>
        <w:numPr>
          <w:ilvl w:val="0"/>
          <w:numId w:val="6"/>
        </w:numPr>
        <w:spacing w:line="276" w:lineRule="auto"/>
        <w:jc w:val="both"/>
        <w:rPr>
          <w:shd w:val="clear" w:color="auto" w:fill="FFFFFF"/>
        </w:rPr>
      </w:pPr>
      <w:r w:rsidRPr="00B57D6C">
        <w:rPr>
          <w:shd w:val="clear" w:color="auto" w:fill="FFFFFF"/>
        </w:rPr>
        <w:t xml:space="preserve">Bhardwaj, L., Reddy, B., Nath, A. J., &amp; Dubey, S. K. (2024). Influence of herbicide on </w:t>
      </w:r>
      <w:proofErr w:type="spellStart"/>
      <w:r w:rsidRPr="00B57D6C">
        <w:rPr>
          <w:shd w:val="clear" w:color="auto" w:fill="FFFFFF"/>
        </w:rPr>
        <w:t>rhizospheric</w:t>
      </w:r>
      <w:proofErr w:type="spellEnd"/>
      <w:r w:rsidRPr="00B57D6C">
        <w:rPr>
          <w:shd w:val="clear" w:color="auto" w:fill="FFFFFF"/>
        </w:rPr>
        <w:t xml:space="preserve"> microbial communities and soil properties in irrigated tropical rice field. </w:t>
      </w:r>
      <w:r w:rsidRPr="00B57D6C">
        <w:rPr>
          <w:i/>
          <w:iCs/>
          <w:shd w:val="clear" w:color="auto" w:fill="FFFFFF"/>
        </w:rPr>
        <w:t>Ecological Indicators</w:t>
      </w:r>
      <w:r w:rsidRPr="00B57D6C">
        <w:rPr>
          <w:shd w:val="clear" w:color="auto" w:fill="FFFFFF"/>
        </w:rPr>
        <w:t>, </w:t>
      </w:r>
      <w:r w:rsidRPr="00B57D6C">
        <w:rPr>
          <w:i/>
          <w:iCs/>
          <w:shd w:val="clear" w:color="auto" w:fill="FFFFFF"/>
        </w:rPr>
        <w:t>158</w:t>
      </w:r>
      <w:r w:rsidRPr="00B57D6C">
        <w:rPr>
          <w:shd w:val="clear" w:color="auto" w:fill="FFFFFF"/>
        </w:rPr>
        <w:t xml:space="preserve">, 111534. </w:t>
      </w:r>
    </w:p>
    <w:p w14:paraId="74872984" w14:textId="77777777" w:rsidR="00371FFF" w:rsidRPr="00B57D6C" w:rsidRDefault="00371FFF" w:rsidP="00B57D6C">
      <w:pPr>
        <w:pStyle w:val="NormalWeb"/>
        <w:numPr>
          <w:ilvl w:val="0"/>
          <w:numId w:val="6"/>
        </w:numPr>
        <w:spacing w:line="276" w:lineRule="auto"/>
        <w:jc w:val="both"/>
        <w:rPr>
          <w:shd w:val="clear" w:color="auto" w:fill="FFFFFF"/>
        </w:rPr>
      </w:pPr>
      <w:r w:rsidRPr="00B57D6C">
        <w:rPr>
          <w:shd w:val="clear" w:color="auto" w:fill="FFFFFF"/>
        </w:rPr>
        <w:t>Al Jowf, G. I., Ahmed, Z. T., An, N., Reijnders, R. A., Ambrosino, E., Rutten, B. P., ... &amp; Eijssen, L. M. (2022). A public health perspective of post-traumatic stress disorder. </w:t>
      </w:r>
      <w:r w:rsidRPr="00B57D6C">
        <w:rPr>
          <w:i/>
          <w:iCs/>
          <w:shd w:val="clear" w:color="auto" w:fill="FFFFFF"/>
        </w:rPr>
        <w:t>International journal of environmental research and public health</w:t>
      </w:r>
      <w:r w:rsidRPr="00B57D6C">
        <w:rPr>
          <w:shd w:val="clear" w:color="auto" w:fill="FFFFFF"/>
        </w:rPr>
        <w:t>, </w:t>
      </w:r>
      <w:r w:rsidRPr="00B57D6C">
        <w:rPr>
          <w:i/>
          <w:iCs/>
          <w:shd w:val="clear" w:color="auto" w:fill="FFFFFF"/>
        </w:rPr>
        <w:t>19</w:t>
      </w:r>
      <w:r w:rsidRPr="00B57D6C">
        <w:rPr>
          <w:shd w:val="clear" w:color="auto" w:fill="FFFFFF"/>
        </w:rPr>
        <w:t xml:space="preserve">(11), 6474. </w:t>
      </w:r>
    </w:p>
    <w:p w14:paraId="34D7A049" w14:textId="77777777" w:rsidR="00114678" w:rsidRPr="00B57D6C" w:rsidRDefault="00114678" w:rsidP="00B57D6C">
      <w:pPr>
        <w:pStyle w:val="NormalWeb"/>
        <w:numPr>
          <w:ilvl w:val="0"/>
          <w:numId w:val="6"/>
        </w:numPr>
        <w:spacing w:line="276" w:lineRule="auto"/>
        <w:jc w:val="both"/>
        <w:rPr>
          <w:shd w:val="clear" w:color="auto" w:fill="FFFFFF"/>
        </w:rPr>
      </w:pPr>
      <w:r w:rsidRPr="00B57D6C">
        <w:rPr>
          <w:shd w:val="clear" w:color="auto" w:fill="FFFFFF"/>
        </w:rPr>
        <w:lastRenderedPageBreak/>
        <w:t>Tarzi, C., Zampieri, G., Sullivan, N., &amp; Angione, C. (2024). Emerging methods for genome-scale metabolic modeling of microbial communities. </w:t>
      </w:r>
      <w:r w:rsidRPr="00B57D6C">
        <w:rPr>
          <w:i/>
          <w:iCs/>
          <w:shd w:val="clear" w:color="auto" w:fill="FFFFFF"/>
        </w:rPr>
        <w:t>Trends in Endocrinology &amp; Metabolism</w:t>
      </w:r>
      <w:r w:rsidRPr="00B57D6C">
        <w:rPr>
          <w:shd w:val="clear" w:color="auto" w:fill="FFFFFF"/>
        </w:rPr>
        <w:t>, </w:t>
      </w:r>
      <w:r w:rsidRPr="00B57D6C">
        <w:rPr>
          <w:i/>
          <w:iCs/>
          <w:shd w:val="clear" w:color="auto" w:fill="FFFFFF"/>
        </w:rPr>
        <w:t>35</w:t>
      </w:r>
      <w:r w:rsidRPr="00B57D6C">
        <w:rPr>
          <w:shd w:val="clear" w:color="auto" w:fill="FFFFFF"/>
        </w:rPr>
        <w:t>(6), 533-548.</w:t>
      </w:r>
    </w:p>
    <w:p w14:paraId="0CBEDB04" w14:textId="7D90BE0B" w:rsidR="009951EC" w:rsidRPr="00B57D6C" w:rsidRDefault="009951EC" w:rsidP="00B57D6C">
      <w:pPr>
        <w:pStyle w:val="NormalWeb"/>
        <w:numPr>
          <w:ilvl w:val="0"/>
          <w:numId w:val="6"/>
        </w:numPr>
        <w:spacing w:line="276" w:lineRule="auto"/>
        <w:jc w:val="both"/>
        <w:rPr>
          <w:color w:val="1B1B1B"/>
          <w:shd w:val="clear" w:color="auto" w:fill="FFFFFF"/>
        </w:rPr>
      </w:pPr>
      <w:r w:rsidRPr="00B57D6C">
        <w:rPr>
          <w:color w:val="1B1B1B"/>
          <w:shd w:val="clear" w:color="auto" w:fill="FFFFFF"/>
        </w:rPr>
        <w:t>Pan, L., &amp; Cai, B. (2023). Phosphate-Solubilizing Bacteria: Advances in Their Physiology, Molecular Mechanisms and Microbial Community Effects. </w:t>
      </w:r>
      <w:r w:rsidRPr="00B57D6C">
        <w:rPr>
          <w:i/>
          <w:iCs/>
          <w:color w:val="1B1B1B"/>
          <w:shd w:val="clear" w:color="auto" w:fill="FFFFFF"/>
        </w:rPr>
        <w:t>Microorganisms</w:t>
      </w:r>
      <w:r w:rsidRPr="00B57D6C">
        <w:rPr>
          <w:color w:val="1B1B1B"/>
          <w:shd w:val="clear" w:color="auto" w:fill="FFFFFF"/>
        </w:rPr>
        <w:t>, </w:t>
      </w:r>
      <w:r w:rsidRPr="00B57D6C">
        <w:rPr>
          <w:i/>
          <w:iCs/>
          <w:color w:val="1B1B1B"/>
          <w:shd w:val="clear" w:color="auto" w:fill="FFFFFF"/>
        </w:rPr>
        <w:t>11</w:t>
      </w:r>
      <w:r w:rsidRPr="00B57D6C">
        <w:rPr>
          <w:color w:val="1B1B1B"/>
          <w:shd w:val="clear" w:color="auto" w:fill="FFFFFF"/>
        </w:rPr>
        <w:t xml:space="preserve">(12), 2904. https://doi.org/10.3390/microorganisms11122904 </w:t>
      </w:r>
    </w:p>
    <w:p w14:paraId="10E4DA22" w14:textId="77777777" w:rsidR="00B86BB3" w:rsidRPr="00B57D6C" w:rsidRDefault="00B86BB3" w:rsidP="00B57D6C">
      <w:pPr>
        <w:pStyle w:val="NormalWeb"/>
        <w:numPr>
          <w:ilvl w:val="0"/>
          <w:numId w:val="6"/>
        </w:numPr>
        <w:spacing w:line="276" w:lineRule="auto"/>
        <w:jc w:val="both"/>
        <w:rPr>
          <w:color w:val="1B1B1B"/>
          <w:shd w:val="clear" w:color="auto" w:fill="FFFFFF"/>
        </w:rPr>
      </w:pPr>
      <w:r w:rsidRPr="00B57D6C">
        <w:rPr>
          <w:color w:val="1B1B1B"/>
          <w:shd w:val="clear" w:color="auto" w:fill="FFFFFF"/>
        </w:rPr>
        <w:t>Shi, P., Wang, H., Feng, M., Cheng, H., Yang, Q., Yan, Y., Xu, J., &amp; Zhang, M. (2022). Bacterial Metabolic Potential in Response to Climate Warming Alters the Decomposition Process of Aquatic Plant Litter-In Shallow Lake Mesocosms. </w:t>
      </w:r>
      <w:r w:rsidRPr="00B57D6C">
        <w:rPr>
          <w:i/>
          <w:iCs/>
          <w:color w:val="1B1B1B"/>
          <w:shd w:val="clear" w:color="auto" w:fill="FFFFFF"/>
        </w:rPr>
        <w:t>Microorganisms</w:t>
      </w:r>
      <w:r w:rsidRPr="00B57D6C">
        <w:rPr>
          <w:color w:val="1B1B1B"/>
          <w:shd w:val="clear" w:color="auto" w:fill="FFFFFF"/>
        </w:rPr>
        <w:t>, </w:t>
      </w:r>
      <w:r w:rsidRPr="00B57D6C">
        <w:rPr>
          <w:i/>
          <w:iCs/>
          <w:color w:val="1B1B1B"/>
          <w:shd w:val="clear" w:color="auto" w:fill="FFFFFF"/>
        </w:rPr>
        <w:t>10</w:t>
      </w:r>
      <w:r w:rsidRPr="00B57D6C">
        <w:rPr>
          <w:color w:val="1B1B1B"/>
          <w:shd w:val="clear" w:color="auto" w:fill="FFFFFF"/>
        </w:rPr>
        <w:t xml:space="preserve">(7), 1327. https://doi.org/10.3390/microorganisms10071327  </w:t>
      </w:r>
    </w:p>
    <w:p w14:paraId="1F3657D3" w14:textId="77777777" w:rsidR="00114678" w:rsidRPr="00B57D6C" w:rsidRDefault="00114678" w:rsidP="00B57D6C">
      <w:pPr>
        <w:pStyle w:val="NormalWeb"/>
        <w:numPr>
          <w:ilvl w:val="0"/>
          <w:numId w:val="6"/>
        </w:numPr>
        <w:spacing w:line="276" w:lineRule="auto"/>
        <w:jc w:val="both"/>
        <w:rPr>
          <w:shd w:val="clear" w:color="auto" w:fill="FFFFFF"/>
        </w:rPr>
      </w:pPr>
      <w:r w:rsidRPr="00B57D6C">
        <w:rPr>
          <w:shd w:val="clear" w:color="auto" w:fill="FFFFFF"/>
        </w:rPr>
        <w:t xml:space="preserve">Okolo, C. C., </w:t>
      </w:r>
      <w:proofErr w:type="spellStart"/>
      <w:r w:rsidRPr="00B57D6C">
        <w:rPr>
          <w:shd w:val="clear" w:color="auto" w:fill="FFFFFF"/>
        </w:rPr>
        <w:t>Gebresamuel</w:t>
      </w:r>
      <w:proofErr w:type="spellEnd"/>
      <w:r w:rsidRPr="00B57D6C">
        <w:rPr>
          <w:shd w:val="clear" w:color="auto" w:fill="FFFFFF"/>
        </w:rPr>
        <w:t xml:space="preserve">, G., Zenebe, A., Haile, M., Orji, J. E., </w:t>
      </w:r>
      <w:proofErr w:type="spellStart"/>
      <w:r w:rsidRPr="00B57D6C">
        <w:rPr>
          <w:shd w:val="clear" w:color="auto" w:fill="FFFFFF"/>
        </w:rPr>
        <w:t>Okebalama</w:t>
      </w:r>
      <w:proofErr w:type="spellEnd"/>
      <w:r w:rsidRPr="00B57D6C">
        <w:rPr>
          <w:shd w:val="clear" w:color="auto" w:fill="FFFFFF"/>
        </w:rPr>
        <w:t>, C. B., ... &amp; Eze, P. N. (2023). Soil organic carbon, total nitrogen stocks and CO2 emissions in top-and subsoils with contrasting management regimes in semi-arid environments. </w:t>
      </w:r>
      <w:r w:rsidRPr="00B57D6C">
        <w:rPr>
          <w:i/>
          <w:iCs/>
          <w:shd w:val="clear" w:color="auto" w:fill="FFFFFF"/>
        </w:rPr>
        <w:t>Scientific Reports</w:t>
      </w:r>
      <w:r w:rsidRPr="00B57D6C">
        <w:rPr>
          <w:shd w:val="clear" w:color="auto" w:fill="FFFFFF"/>
        </w:rPr>
        <w:t>, </w:t>
      </w:r>
      <w:r w:rsidRPr="00B57D6C">
        <w:rPr>
          <w:i/>
          <w:iCs/>
          <w:shd w:val="clear" w:color="auto" w:fill="FFFFFF"/>
        </w:rPr>
        <w:t>13</w:t>
      </w:r>
      <w:r w:rsidRPr="00B57D6C">
        <w:rPr>
          <w:shd w:val="clear" w:color="auto" w:fill="FFFFFF"/>
        </w:rPr>
        <w:t xml:space="preserve">(1), 1117. </w:t>
      </w:r>
    </w:p>
    <w:p w14:paraId="75DC035D" w14:textId="786D9692" w:rsidR="00B86BB3" w:rsidRPr="00B57D6C" w:rsidRDefault="00B86BB3" w:rsidP="00B57D6C">
      <w:pPr>
        <w:pStyle w:val="NormalWeb"/>
        <w:numPr>
          <w:ilvl w:val="0"/>
          <w:numId w:val="6"/>
        </w:numPr>
        <w:spacing w:line="276" w:lineRule="auto"/>
        <w:jc w:val="both"/>
        <w:rPr>
          <w:color w:val="FFFF00"/>
          <w:shd w:val="clear" w:color="auto" w:fill="FFFFFF"/>
        </w:rPr>
      </w:pPr>
      <w:r w:rsidRPr="00B57D6C">
        <w:rPr>
          <w:shd w:val="clear" w:color="auto" w:fill="FFFFFF"/>
        </w:rPr>
        <w:t>Thiele-Bruhn S. (2021). The role of soils in provision of genetic, medicinal and biochemical</w:t>
      </w:r>
      <w:r w:rsidRPr="00B57D6C">
        <w:rPr>
          <w:color w:val="FFFF00"/>
          <w:shd w:val="clear" w:color="auto" w:fill="FFFFFF"/>
        </w:rPr>
        <w:t xml:space="preserve"> </w:t>
      </w:r>
      <w:r w:rsidRPr="00B57D6C">
        <w:rPr>
          <w:shd w:val="clear" w:color="auto" w:fill="FFFFFF"/>
        </w:rPr>
        <w:t>resources. </w:t>
      </w:r>
      <w:r w:rsidRPr="00B57D6C">
        <w:rPr>
          <w:i/>
          <w:iCs/>
          <w:shd w:val="clear" w:color="auto" w:fill="FFFFFF"/>
        </w:rPr>
        <w:t>Philosophical transactions of the Royal Society of London. Series B, Biological sciences</w:t>
      </w:r>
      <w:r w:rsidRPr="00B57D6C">
        <w:rPr>
          <w:shd w:val="clear" w:color="auto" w:fill="FFFFFF"/>
        </w:rPr>
        <w:t>, </w:t>
      </w:r>
      <w:r w:rsidRPr="00B57D6C">
        <w:rPr>
          <w:i/>
          <w:iCs/>
          <w:shd w:val="clear" w:color="auto" w:fill="FFFFFF"/>
        </w:rPr>
        <w:t>376</w:t>
      </w:r>
      <w:r w:rsidRPr="00B57D6C">
        <w:rPr>
          <w:shd w:val="clear" w:color="auto" w:fill="FFFFFF"/>
        </w:rPr>
        <w:t xml:space="preserve">(1834), 20200183. </w:t>
      </w:r>
      <w:hyperlink r:id="rId24" w:history="1">
        <w:r w:rsidRPr="00B57D6C">
          <w:rPr>
            <w:rStyle w:val="Hyperlink"/>
            <w:color w:val="auto"/>
            <w:shd w:val="clear" w:color="auto" w:fill="FFFFFF"/>
          </w:rPr>
          <w:t>https://doi.org/10.1098/rstb.2020.0183</w:t>
        </w:r>
      </w:hyperlink>
    </w:p>
    <w:p w14:paraId="1479F263" w14:textId="77777777" w:rsidR="00B86BB3" w:rsidRPr="00B57D6C" w:rsidRDefault="00B86BB3" w:rsidP="00B57D6C">
      <w:pPr>
        <w:pStyle w:val="NormalWeb"/>
        <w:numPr>
          <w:ilvl w:val="0"/>
          <w:numId w:val="6"/>
        </w:numPr>
        <w:spacing w:line="276" w:lineRule="auto"/>
        <w:jc w:val="both"/>
        <w:rPr>
          <w:color w:val="1B1B1B"/>
          <w:shd w:val="clear" w:color="auto" w:fill="FFFFFF"/>
        </w:rPr>
      </w:pPr>
      <w:r w:rsidRPr="00B57D6C">
        <w:rPr>
          <w:color w:val="1B1B1B"/>
          <w:shd w:val="clear" w:color="auto" w:fill="FFFFFF"/>
        </w:rPr>
        <w:t>Tian, Q., Jiang, Y., Tang, Y., Wu, Y., Tang, Z., &amp; Liu, F. (2021). Soil pH and Organic Carbon Properties Drive Soil Bacterial Communities in Surface and Deep Layers Along an Elevational Gradient. </w:t>
      </w:r>
      <w:r w:rsidRPr="00B57D6C">
        <w:rPr>
          <w:i/>
          <w:iCs/>
          <w:color w:val="1B1B1B"/>
          <w:shd w:val="clear" w:color="auto" w:fill="FFFFFF"/>
        </w:rPr>
        <w:t>Frontiers in microbiology</w:t>
      </w:r>
      <w:r w:rsidRPr="00B57D6C">
        <w:rPr>
          <w:color w:val="1B1B1B"/>
          <w:shd w:val="clear" w:color="auto" w:fill="FFFFFF"/>
        </w:rPr>
        <w:t>, </w:t>
      </w:r>
      <w:r w:rsidRPr="00B57D6C">
        <w:rPr>
          <w:i/>
          <w:iCs/>
          <w:color w:val="1B1B1B"/>
          <w:shd w:val="clear" w:color="auto" w:fill="FFFFFF"/>
        </w:rPr>
        <w:t>12</w:t>
      </w:r>
      <w:r w:rsidRPr="00B57D6C">
        <w:rPr>
          <w:color w:val="1B1B1B"/>
          <w:shd w:val="clear" w:color="auto" w:fill="FFFFFF"/>
        </w:rPr>
        <w:t xml:space="preserve">, 646124. </w:t>
      </w:r>
      <w:hyperlink r:id="rId25" w:history="1">
        <w:r w:rsidRPr="00B57D6C">
          <w:rPr>
            <w:rStyle w:val="Hyperlink"/>
            <w:shd w:val="clear" w:color="auto" w:fill="FFFFFF"/>
          </w:rPr>
          <w:t>https://doi.org/10.3389/fmicb.2021.646124</w:t>
        </w:r>
      </w:hyperlink>
    </w:p>
    <w:p w14:paraId="25546D26" w14:textId="6C1F459D" w:rsidR="00B86BB3" w:rsidRPr="00B57D6C" w:rsidRDefault="00B86BB3" w:rsidP="00B57D6C">
      <w:pPr>
        <w:pStyle w:val="NormalWeb"/>
        <w:numPr>
          <w:ilvl w:val="0"/>
          <w:numId w:val="6"/>
        </w:numPr>
        <w:spacing w:line="276" w:lineRule="auto"/>
        <w:jc w:val="both"/>
      </w:pPr>
      <w:r w:rsidRPr="00B57D6C">
        <w:rPr>
          <w:color w:val="222222"/>
          <w:shd w:val="clear" w:color="auto" w:fill="FFFFFF"/>
        </w:rPr>
        <w:t xml:space="preserve">Trang A, </w:t>
      </w:r>
      <w:proofErr w:type="spellStart"/>
      <w:r w:rsidRPr="00B57D6C">
        <w:rPr>
          <w:color w:val="222222"/>
          <w:shd w:val="clear" w:color="auto" w:fill="FFFFFF"/>
        </w:rPr>
        <w:t>Khandhar</w:t>
      </w:r>
      <w:proofErr w:type="spellEnd"/>
      <w:r w:rsidRPr="00B57D6C">
        <w:rPr>
          <w:color w:val="222222"/>
          <w:shd w:val="clear" w:color="auto" w:fill="FFFFFF"/>
        </w:rPr>
        <w:t xml:space="preserve"> P</w:t>
      </w:r>
      <w:r w:rsidR="00E268A3" w:rsidRPr="00B57D6C">
        <w:rPr>
          <w:color w:val="222222"/>
          <w:shd w:val="clear" w:color="auto" w:fill="FFFFFF"/>
        </w:rPr>
        <w:t>.</w:t>
      </w:r>
      <w:r w:rsidRPr="00B57D6C">
        <w:rPr>
          <w:color w:val="222222"/>
          <w:shd w:val="clear" w:color="auto" w:fill="FFFFFF"/>
        </w:rPr>
        <w:t>B.</w:t>
      </w:r>
      <w:r w:rsidR="00E268A3" w:rsidRPr="00B57D6C">
        <w:rPr>
          <w:color w:val="222222"/>
          <w:shd w:val="clear" w:color="auto" w:fill="FFFFFF"/>
        </w:rPr>
        <w:t>,</w:t>
      </w:r>
      <w:r w:rsidRPr="00B57D6C">
        <w:rPr>
          <w:color w:val="222222"/>
          <w:shd w:val="clear" w:color="auto" w:fill="FFFFFF"/>
        </w:rPr>
        <w:t xml:space="preserve"> Physiology, Acetylcholinesterase. [Updated 2023 Jan 19]. In: </w:t>
      </w:r>
      <w:proofErr w:type="spellStart"/>
      <w:r w:rsidRPr="00B57D6C">
        <w:rPr>
          <w:color w:val="222222"/>
          <w:shd w:val="clear" w:color="auto" w:fill="FFFFFF"/>
        </w:rPr>
        <w:t>StatPearls</w:t>
      </w:r>
      <w:proofErr w:type="spellEnd"/>
      <w:r w:rsidRPr="00B57D6C">
        <w:rPr>
          <w:color w:val="222222"/>
          <w:shd w:val="clear" w:color="auto" w:fill="FFFFFF"/>
        </w:rPr>
        <w:t xml:space="preserve"> [Internet]. Treasure Island (FL): </w:t>
      </w:r>
      <w:proofErr w:type="spellStart"/>
      <w:r w:rsidRPr="00B57D6C">
        <w:rPr>
          <w:color w:val="222222"/>
          <w:shd w:val="clear" w:color="auto" w:fill="FFFFFF"/>
        </w:rPr>
        <w:t>StatPearls</w:t>
      </w:r>
      <w:proofErr w:type="spellEnd"/>
      <w:r w:rsidRPr="00B57D6C">
        <w:rPr>
          <w:color w:val="222222"/>
          <w:shd w:val="clear" w:color="auto" w:fill="FFFFFF"/>
        </w:rPr>
        <w:t xml:space="preserve"> Publishing; 2025 Jan-. </w:t>
      </w:r>
      <w:r w:rsidRPr="00B57D6C">
        <w:rPr>
          <w:rStyle w:val="bkciteavail"/>
          <w:color w:val="222222"/>
          <w:shd w:val="clear" w:color="auto" w:fill="FFFFFF"/>
        </w:rPr>
        <w:t>Available from: https://www.ncbi.nlm.nih.gov/books/NBK539735/</w:t>
      </w:r>
    </w:p>
    <w:p w14:paraId="32EC1296" w14:textId="77777777" w:rsidR="00B86BB3" w:rsidRPr="00B57D6C" w:rsidRDefault="00B86BB3" w:rsidP="00B57D6C">
      <w:pPr>
        <w:pStyle w:val="NormalWeb"/>
        <w:numPr>
          <w:ilvl w:val="0"/>
          <w:numId w:val="6"/>
        </w:numPr>
        <w:spacing w:line="276" w:lineRule="auto"/>
        <w:jc w:val="both"/>
        <w:rPr>
          <w:color w:val="FFFF00"/>
          <w:shd w:val="clear" w:color="auto" w:fill="FFFFFF"/>
        </w:rPr>
      </w:pPr>
      <w:r w:rsidRPr="00B57D6C">
        <w:rPr>
          <w:shd w:val="clear" w:color="auto" w:fill="FFFFFF"/>
        </w:rPr>
        <w:t>Tudi, M., Daniel Ruan, H., Wang, L., Lyu, J., Sadler, R., Connell, D., Chu, C., &amp; Phung, D. T. (2021).</w:t>
      </w:r>
      <w:r w:rsidRPr="00B57D6C">
        <w:rPr>
          <w:color w:val="FFFF00"/>
          <w:shd w:val="clear" w:color="auto" w:fill="FFFFFF"/>
        </w:rPr>
        <w:t xml:space="preserve"> </w:t>
      </w:r>
      <w:r w:rsidRPr="00B57D6C">
        <w:rPr>
          <w:shd w:val="clear" w:color="auto" w:fill="FFFFFF"/>
        </w:rPr>
        <w:t>Agriculture Development, Pesticide Application and Its Impact on the Environment. </w:t>
      </w:r>
      <w:r w:rsidRPr="00B57D6C">
        <w:rPr>
          <w:i/>
          <w:iCs/>
          <w:shd w:val="clear" w:color="auto" w:fill="FFFFFF"/>
        </w:rPr>
        <w:t>International journal of environmental research and public health</w:t>
      </w:r>
      <w:r w:rsidRPr="00B57D6C">
        <w:rPr>
          <w:shd w:val="clear" w:color="auto" w:fill="FFFFFF"/>
        </w:rPr>
        <w:t>, </w:t>
      </w:r>
      <w:r w:rsidRPr="00B57D6C">
        <w:rPr>
          <w:i/>
          <w:iCs/>
          <w:shd w:val="clear" w:color="auto" w:fill="FFFFFF"/>
        </w:rPr>
        <w:t>18</w:t>
      </w:r>
      <w:r w:rsidRPr="00B57D6C">
        <w:rPr>
          <w:shd w:val="clear" w:color="auto" w:fill="FFFFFF"/>
        </w:rPr>
        <w:t xml:space="preserve">(3), 1112. </w:t>
      </w:r>
      <w:hyperlink r:id="rId26" w:history="1">
        <w:r w:rsidRPr="00B57D6C">
          <w:rPr>
            <w:rStyle w:val="Hyperlink"/>
            <w:color w:val="auto"/>
            <w:shd w:val="clear" w:color="auto" w:fill="FFFFFF"/>
          </w:rPr>
          <w:t>https://doi.org/10.3390/ijerph18031112</w:t>
        </w:r>
      </w:hyperlink>
    </w:p>
    <w:p w14:paraId="2591DEC8" w14:textId="77777777" w:rsidR="00B86BB3" w:rsidRPr="00B57D6C" w:rsidRDefault="00B86BB3" w:rsidP="00B57D6C">
      <w:pPr>
        <w:pStyle w:val="NormalWeb"/>
        <w:numPr>
          <w:ilvl w:val="0"/>
          <w:numId w:val="6"/>
        </w:numPr>
        <w:spacing w:line="276" w:lineRule="auto"/>
        <w:jc w:val="both"/>
        <w:rPr>
          <w:color w:val="FFFF00"/>
          <w:shd w:val="clear" w:color="auto" w:fill="FFFFFF"/>
        </w:rPr>
      </w:pPr>
      <w:r w:rsidRPr="00B57D6C">
        <w:rPr>
          <w:shd w:val="clear" w:color="auto" w:fill="FFFFFF"/>
        </w:rPr>
        <w:t>Vance, E.D., Brookes, P.C. and Jenkinson, D.S. (1987) An Extraction Method for Measuring Soil</w:t>
      </w:r>
      <w:r w:rsidRPr="00B57D6C">
        <w:rPr>
          <w:color w:val="FFFF00"/>
          <w:shd w:val="clear" w:color="auto" w:fill="FFFFFF"/>
        </w:rPr>
        <w:t xml:space="preserve"> </w:t>
      </w:r>
      <w:r w:rsidRPr="00B57D6C">
        <w:rPr>
          <w:shd w:val="clear" w:color="auto" w:fill="FFFFFF"/>
        </w:rPr>
        <w:t>Microbial Biomass C. Soil Biology and Biochemistry, 19, 703-707.</w:t>
      </w:r>
      <w:r w:rsidRPr="00B57D6C">
        <w:br/>
      </w:r>
      <w:hyperlink r:id="rId27" w:history="1">
        <w:r w:rsidRPr="00B57D6C">
          <w:rPr>
            <w:rStyle w:val="Hyperlink"/>
            <w:color w:val="auto"/>
            <w:shd w:val="clear" w:color="auto" w:fill="FFFFFF"/>
          </w:rPr>
          <w:t>https://doi.org/10.1016/0038-0717(87)90052-6</w:t>
        </w:r>
      </w:hyperlink>
    </w:p>
    <w:p w14:paraId="681C73C6" w14:textId="77777777" w:rsidR="00B86BB3" w:rsidRPr="00B57D6C" w:rsidRDefault="00B86BB3" w:rsidP="00B57D6C">
      <w:pPr>
        <w:pStyle w:val="NormalWeb"/>
        <w:numPr>
          <w:ilvl w:val="0"/>
          <w:numId w:val="6"/>
        </w:numPr>
        <w:spacing w:line="276" w:lineRule="auto"/>
        <w:jc w:val="both"/>
        <w:rPr>
          <w:color w:val="1B1B1B"/>
          <w:shd w:val="clear" w:color="auto" w:fill="FFFFFF"/>
        </w:rPr>
      </w:pPr>
      <w:r w:rsidRPr="00B57D6C">
        <w:rPr>
          <w:color w:val="1B1B1B"/>
          <w:shd w:val="clear" w:color="auto" w:fill="FFFFFF"/>
        </w:rPr>
        <w:t>Zhang, H., Jiang, N., Zhang, S., Zhu, X., Wang, H., Xiu, W., Zhao, J., Liu, H., Zhang, H., &amp; Yang, D. (2024). Soil bacterial community composition is altered more by soil nutrient availability than pH following long-term nutrient addition in a temperate steppe. </w:t>
      </w:r>
      <w:r w:rsidRPr="00B57D6C">
        <w:rPr>
          <w:i/>
          <w:iCs/>
          <w:color w:val="1B1B1B"/>
          <w:shd w:val="clear" w:color="auto" w:fill="FFFFFF"/>
        </w:rPr>
        <w:t>Frontiers in microbiology</w:t>
      </w:r>
      <w:r w:rsidRPr="00B57D6C">
        <w:rPr>
          <w:color w:val="1B1B1B"/>
          <w:shd w:val="clear" w:color="auto" w:fill="FFFFFF"/>
        </w:rPr>
        <w:t>, </w:t>
      </w:r>
      <w:r w:rsidRPr="00B57D6C">
        <w:rPr>
          <w:i/>
          <w:iCs/>
          <w:color w:val="1B1B1B"/>
          <w:shd w:val="clear" w:color="auto" w:fill="FFFFFF"/>
        </w:rPr>
        <w:t>15</w:t>
      </w:r>
      <w:r w:rsidRPr="00B57D6C">
        <w:rPr>
          <w:color w:val="1B1B1B"/>
          <w:shd w:val="clear" w:color="auto" w:fill="FFFFFF"/>
        </w:rPr>
        <w:t xml:space="preserve">, 1455891. https://doi.org/10.3389/fmicb.2024.1455891 </w:t>
      </w:r>
    </w:p>
    <w:p w14:paraId="269259F5" w14:textId="77777777" w:rsidR="00C75AD4" w:rsidRPr="00B57D6C" w:rsidRDefault="00B86BB3" w:rsidP="00B57D6C">
      <w:pPr>
        <w:pStyle w:val="ListParagraph"/>
        <w:numPr>
          <w:ilvl w:val="0"/>
          <w:numId w:val="6"/>
        </w:numPr>
        <w:spacing w:line="276" w:lineRule="auto"/>
        <w:jc w:val="both"/>
        <w:rPr>
          <w:rFonts w:ascii="Times New Roman" w:hAnsi="Times New Roman" w:cs="Times New Roman"/>
          <w:sz w:val="24"/>
          <w:szCs w:val="24"/>
        </w:rPr>
      </w:pPr>
      <w:r w:rsidRPr="00B57D6C">
        <w:rPr>
          <w:rFonts w:ascii="Times New Roman" w:hAnsi="Times New Roman" w:cs="Times New Roman"/>
          <w:color w:val="464646"/>
          <w:sz w:val="24"/>
          <w:szCs w:val="24"/>
          <w:shd w:val="clear" w:color="auto" w:fill="FFFFFF"/>
        </w:rPr>
        <w:t xml:space="preserve">Zhou, X., Guo, Z., Chen, C., and Jia, Z. (2017). Soil microbial community structure and diversity are largely influenced by soil pH and nutrient quality in 78-year-old tree plantations, </w:t>
      </w:r>
      <w:proofErr w:type="spellStart"/>
      <w:r w:rsidRPr="00B57D6C">
        <w:rPr>
          <w:rFonts w:ascii="Times New Roman" w:hAnsi="Times New Roman" w:cs="Times New Roman"/>
          <w:color w:val="464646"/>
          <w:sz w:val="24"/>
          <w:szCs w:val="24"/>
          <w:shd w:val="clear" w:color="auto" w:fill="FFFFFF"/>
        </w:rPr>
        <w:t>Biogeosciences</w:t>
      </w:r>
      <w:proofErr w:type="spellEnd"/>
      <w:r w:rsidRPr="00B57D6C">
        <w:rPr>
          <w:rFonts w:ascii="Times New Roman" w:hAnsi="Times New Roman" w:cs="Times New Roman"/>
          <w:color w:val="464646"/>
          <w:sz w:val="24"/>
          <w:szCs w:val="24"/>
          <w:shd w:val="clear" w:color="auto" w:fill="FFFFFF"/>
        </w:rPr>
        <w:t>, 14, 2101–2111, https://doi.org/10.5194/bg-14-2101-2017</w:t>
      </w:r>
      <w:bookmarkEnd w:id="0"/>
    </w:p>
    <w:sectPr w:rsidR="00C75AD4" w:rsidRPr="00B57D6C" w:rsidSect="00D861EA">
      <w:headerReference w:type="even" r:id="rId28"/>
      <w:headerReference w:type="default" r:id="rId29"/>
      <w:footerReference w:type="even" r:id="rId30"/>
      <w:footerReference w:type="default" r:id="rId31"/>
      <w:headerReference w:type="first" r:id="rId32"/>
      <w:footerReference w:type="first" r:id="rId3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F23AD" w14:textId="77777777" w:rsidR="000C6A07" w:rsidRDefault="000C6A07">
      <w:pPr>
        <w:spacing w:line="240" w:lineRule="auto"/>
      </w:pPr>
      <w:r>
        <w:separator/>
      </w:r>
    </w:p>
  </w:endnote>
  <w:endnote w:type="continuationSeparator" w:id="0">
    <w:p w14:paraId="51BF83A6" w14:textId="77777777" w:rsidR="000C6A07" w:rsidRDefault="000C6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EEA3" w14:textId="77777777" w:rsidR="00AA32F9" w:rsidRDefault="00AA3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976657"/>
      <w:docPartObj>
        <w:docPartGallery w:val="AutoText"/>
      </w:docPartObj>
    </w:sdtPr>
    <w:sdtEndPr/>
    <w:sdtContent>
      <w:p w14:paraId="24980FFF" w14:textId="77777777" w:rsidR="00360E6A" w:rsidRDefault="00360E6A">
        <w:pPr>
          <w:pStyle w:val="Footer"/>
          <w:jc w:val="center"/>
        </w:pPr>
        <w:r>
          <w:fldChar w:fldCharType="begin"/>
        </w:r>
        <w:r>
          <w:instrText xml:space="preserve"> PAGE   \* MERGEFORMAT </w:instrText>
        </w:r>
        <w:r>
          <w:fldChar w:fldCharType="separate"/>
        </w:r>
        <w:r w:rsidR="007D3630">
          <w:rPr>
            <w:noProof/>
          </w:rPr>
          <w:t>1</w:t>
        </w:r>
        <w:r>
          <w:fldChar w:fldCharType="end"/>
        </w:r>
      </w:p>
    </w:sdtContent>
  </w:sdt>
  <w:p w14:paraId="78AA716A" w14:textId="77777777" w:rsidR="00360E6A" w:rsidRDefault="00360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1345" w14:textId="77777777" w:rsidR="00AA32F9" w:rsidRDefault="00AA3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71C2A" w14:textId="77777777" w:rsidR="000C6A07" w:rsidRDefault="000C6A07">
      <w:pPr>
        <w:spacing w:after="0"/>
      </w:pPr>
      <w:r>
        <w:separator/>
      </w:r>
    </w:p>
  </w:footnote>
  <w:footnote w:type="continuationSeparator" w:id="0">
    <w:p w14:paraId="017FA299" w14:textId="77777777" w:rsidR="000C6A07" w:rsidRDefault="000C6A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055B" w14:textId="5C74127F" w:rsidR="00AA32F9" w:rsidRDefault="00AA32F9">
    <w:pPr>
      <w:pStyle w:val="Header"/>
    </w:pPr>
    <w:r>
      <w:rPr>
        <w:noProof/>
      </w:rPr>
      <w:pict w14:anchorId="6EAC2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26407" o:sp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6ADFF" w14:textId="0C5ADE95" w:rsidR="00AA32F9" w:rsidRDefault="00AA32F9">
    <w:pPr>
      <w:pStyle w:val="Header"/>
    </w:pPr>
    <w:r>
      <w:rPr>
        <w:noProof/>
      </w:rPr>
      <w:pict w14:anchorId="43757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26408" o:spid="_x0000_s2051"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63273" w14:textId="0A428835" w:rsidR="00AA32F9" w:rsidRDefault="00AA32F9">
    <w:pPr>
      <w:pStyle w:val="Header"/>
    </w:pPr>
    <w:r>
      <w:rPr>
        <w:noProof/>
      </w:rPr>
      <w:pict w14:anchorId="716D5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26406"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7FC5"/>
    <w:multiLevelType w:val="hybridMultilevel"/>
    <w:tmpl w:val="0CF45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953352"/>
    <w:multiLevelType w:val="multilevel"/>
    <w:tmpl w:val="1D10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941FD"/>
    <w:multiLevelType w:val="multilevel"/>
    <w:tmpl w:val="3299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34A514D"/>
    <w:multiLevelType w:val="multilevel"/>
    <w:tmpl w:val="6C242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454DCA"/>
    <w:multiLevelType w:val="multilevel"/>
    <w:tmpl w:val="65454DC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6BE6184F"/>
    <w:multiLevelType w:val="hybridMultilevel"/>
    <w:tmpl w:val="9EB6261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3EA4"/>
    <w:rsid w:val="00014C57"/>
    <w:rsid w:val="00015894"/>
    <w:rsid w:val="0001702E"/>
    <w:rsid w:val="0002615B"/>
    <w:rsid w:val="000473A4"/>
    <w:rsid w:val="00063A64"/>
    <w:rsid w:val="00075495"/>
    <w:rsid w:val="00082EBE"/>
    <w:rsid w:val="000845B1"/>
    <w:rsid w:val="0008462E"/>
    <w:rsid w:val="00092545"/>
    <w:rsid w:val="000B2E0C"/>
    <w:rsid w:val="000B43EF"/>
    <w:rsid w:val="000B6891"/>
    <w:rsid w:val="000C6A07"/>
    <w:rsid w:val="000D25DF"/>
    <w:rsid w:val="00103789"/>
    <w:rsid w:val="00106E48"/>
    <w:rsid w:val="0011409C"/>
    <w:rsid w:val="00114678"/>
    <w:rsid w:val="001630AA"/>
    <w:rsid w:val="0017204E"/>
    <w:rsid w:val="00174FD3"/>
    <w:rsid w:val="00183473"/>
    <w:rsid w:val="001A0ADB"/>
    <w:rsid w:val="001A1C70"/>
    <w:rsid w:val="001A396E"/>
    <w:rsid w:val="001A4744"/>
    <w:rsid w:val="001A514D"/>
    <w:rsid w:val="001B6110"/>
    <w:rsid w:val="001F2BFD"/>
    <w:rsid w:val="001F504A"/>
    <w:rsid w:val="001F6ABE"/>
    <w:rsid w:val="002014B4"/>
    <w:rsid w:val="002073C5"/>
    <w:rsid w:val="00212273"/>
    <w:rsid w:val="00227A58"/>
    <w:rsid w:val="0023048C"/>
    <w:rsid w:val="00255786"/>
    <w:rsid w:val="002671D5"/>
    <w:rsid w:val="002740E5"/>
    <w:rsid w:val="00283829"/>
    <w:rsid w:val="00284E97"/>
    <w:rsid w:val="00285DE0"/>
    <w:rsid w:val="0029309C"/>
    <w:rsid w:val="002B30F6"/>
    <w:rsid w:val="002C53AF"/>
    <w:rsid w:val="002E61C8"/>
    <w:rsid w:val="002E707B"/>
    <w:rsid w:val="002F56A1"/>
    <w:rsid w:val="0030076A"/>
    <w:rsid w:val="00322B9C"/>
    <w:rsid w:val="00333EA4"/>
    <w:rsid w:val="0034201D"/>
    <w:rsid w:val="00343CB5"/>
    <w:rsid w:val="00347D40"/>
    <w:rsid w:val="00360E6A"/>
    <w:rsid w:val="003634AC"/>
    <w:rsid w:val="00371FFF"/>
    <w:rsid w:val="003A6545"/>
    <w:rsid w:val="003B4D6F"/>
    <w:rsid w:val="003C0DE1"/>
    <w:rsid w:val="003D1467"/>
    <w:rsid w:val="003D58B3"/>
    <w:rsid w:val="003F1919"/>
    <w:rsid w:val="003F473D"/>
    <w:rsid w:val="004234FA"/>
    <w:rsid w:val="00427E8A"/>
    <w:rsid w:val="00430414"/>
    <w:rsid w:val="00430C04"/>
    <w:rsid w:val="0043177D"/>
    <w:rsid w:val="00440278"/>
    <w:rsid w:val="00442D24"/>
    <w:rsid w:val="00450BD8"/>
    <w:rsid w:val="00450EE2"/>
    <w:rsid w:val="0046469E"/>
    <w:rsid w:val="00471BCB"/>
    <w:rsid w:val="00477230"/>
    <w:rsid w:val="004858D9"/>
    <w:rsid w:val="004A2D8D"/>
    <w:rsid w:val="004B5A8C"/>
    <w:rsid w:val="004C34B3"/>
    <w:rsid w:val="004C5CDE"/>
    <w:rsid w:val="004F2C60"/>
    <w:rsid w:val="0050225F"/>
    <w:rsid w:val="00506A11"/>
    <w:rsid w:val="00507CC1"/>
    <w:rsid w:val="00512307"/>
    <w:rsid w:val="00515B3E"/>
    <w:rsid w:val="00517677"/>
    <w:rsid w:val="005223EF"/>
    <w:rsid w:val="00522AF9"/>
    <w:rsid w:val="00556E6F"/>
    <w:rsid w:val="00560B8A"/>
    <w:rsid w:val="00561250"/>
    <w:rsid w:val="00581FDF"/>
    <w:rsid w:val="005A330D"/>
    <w:rsid w:val="005D1FAC"/>
    <w:rsid w:val="005D362F"/>
    <w:rsid w:val="005D55A9"/>
    <w:rsid w:val="005F03B9"/>
    <w:rsid w:val="005F65AF"/>
    <w:rsid w:val="00614390"/>
    <w:rsid w:val="0064657E"/>
    <w:rsid w:val="006912B0"/>
    <w:rsid w:val="00697908"/>
    <w:rsid w:val="006A292C"/>
    <w:rsid w:val="006A4654"/>
    <w:rsid w:val="006C55C7"/>
    <w:rsid w:val="006C7B6A"/>
    <w:rsid w:val="006F0FC6"/>
    <w:rsid w:val="00702466"/>
    <w:rsid w:val="007078EE"/>
    <w:rsid w:val="0072078F"/>
    <w:rsid w:val="00723BB2"/>
    <w:rsid w:val="00736DEE"/>
    <w:rsid w:val="00752103"/>
    <w:rsid w:val="00791475"/>
    <w:rsid w:val="007934EB"/>
    <w:rsid w:val="007964AF"/>
    <w:rsid w:val="007A7728"/>
    <w:rsid w:val="007B3149"/>
    <w:rsid w:val="007B6AB5"/>
    <w:rsid w:val="007D3630"/>
    <w:rsid w:val="007E2E2F"/>
    <w:rsid w:val="007F1D86"/>
    <w:rsid w:val="00810C95"/>
    <w:rsid w:val="00811128"/>
    <w:rsid w:val="00813D44"/>
    <w:rsid w:val="008145EA"/>
    <w:rsid w:val="00821109"/>
    <w:rsid w:val="00832E28"/>
    <w:rsid w:val="00836046"/>
    <w:rsid w:val="00857429"/>
    <w:rsid w:val="008820DF"/>
    <w:rsid w:val="00883F80"/>
    <w:rsid w:val="008B18B7"/>
    <w:rsid w:val="008B7379"/>
    <w:rsid w:val="008E5EAA"/>
    <w:rsid w:val="00901028"/>
    <w:rsid w:val="00903E6D"/>
    <w:rsid w:val="00910D2A"/>
    <w:rsid w:val="0092492A"/>
    <w:rsid w:val="00942748"/>
    <w:rsid w:val="00947CD0"/>
    <w:rsid w:val="009510AA"/>
    <w:rsid w:val="00964FD6"/>
    <w:rsid w:val="00971003"/>
    <w:rsid w:val="009766BE"/>
    <w:rsid w:val="009951EC"/>
    <w:rsid w:val="009B3547"/>
    <w:rsid w:val="009B668A"/>
    <w:rsid w:val="009C28F4"/>
    <w:rsid w:val="009D54B6"/>
    <w:rsid w:val="009E014C"/>
    <w:rsid w:val="009E0815"/>
    <w:rsid w:val="009F1E13"/>
    <w:rsid w:val="009F2FD7"/>
    <w:rsid w:val="009F3890"/>
    <w:rsid w:val="009F57C0"/>
    <w:rsid w:val="00A43866"/>
    <w:rsid w:val="00A571EB"/>
    <w:rsid w:val="00A8569F"/>
    <w:rsid w:val="00A85CD9"/>
    <w:rsid w:val="00A8755C"/>
    <w:rsid w:val="00A96616"/>
    <w:rsid w:val="00AA32F9"/>
    <w:rsid w:val="00AB77D7"/>
    <w:rsid w:val="00AC3583"/>
    <w:rsid w:val="00AD6FA5"/>
    <w:rsid w:val="00B05C29"/>
    <w:rsid w:val="00B21F89"/>
    <w:rsid w:val="00B370E2"/>
    <w:rsid w:val="00B55744"/>
    <w:rsid w:val="00B57D6C"/>
    <w:rsid w:val="00B62513"/>
    <w:rsid w:val="00B71D56"/>
    <w:rsid w:val="00B73264"/>
    <w:rsid w:val="00B763CD"/>
    <w:rsid w:val="00B86BB3"/>
    <w:rsid w:val="00B93559"/>
    <w:rsid w:val="00BB1E38"/>
    <w:rsid w:val="00BB7BA8"/>
    <w:rsid w:val="00BC31E2"/>
    <w:rsid w:val="00BC639E"/>
    <w:rsid w:val="00BD484D"/>
    <w:rsid w:val="00BD4D1B"/>
    <w:rsid w:val="00C05B0E"/>
    <w:rsid w:val="00C05F18"/>
    <w:rsid w:val="00C2533D"/>
    <w:rsid w:val="00C3371D"/>
    <w:rsid w:val="00C43689"/>
    <w:rsid w:val="00C47242"/>
    <w:rsid w:val="00C52659"/>
    <w:rsid w:val="00C617CB"/>
    <w:rsid w:val="00C75AD4"/>
    <w:rsid w:val="00C855B0"/>
    <w:rsid w:val="00C911D4"/>
    <w:rsid w:val="00C970F2"/>
    <w:rsid w:val="00CA1CB8"/>
    <w:rsid w:val="00CA42AA"/>
    <w:rsid w:val="00CA5E96"/>
    <w:rsid w:val="00CA798E"/>
    <w:rsid w:val="00CE0ADA"/>
    <w:rsid w:val="00CF0FBC"/>
    <w:rsid w:val="00CF45A1"/>
    <w:rsid w:val="00D11B1B"/>
    <w:rsid w:val="00D21E87"/>
    <w:rsid w:val="00D27935"/>
    <w:rsid w:val="00D57177"/>
    <w:rsid w:val="00D861EA"/>
    <w:rsid w:val="00D959A7"/>
    <w:rsid w:val="00D97A6B"/>
    <w:rsid w:val="00DB2677"/>
    <w:rsid w:val="00DD15F6"/>
    <w:rsid w:val="00DD3B5F"/>
    <w:rsid w:val="00DD417E"/>
    <w:rsid w:val="00DE184E"/>
    <w:rsid w:val="00DF18E7"/>
    <w:rsid w:val="00DF630D"/>
    <w:rsid w:val="00DF7906"/>
    <w:rsid w:val="00E0185A"/>
    <w:rsid w:val="00E05080"/>
    <w:rsid w:val="00E06AE6"/>
    <w:rsid w:val="00E06B74"/>
    <w:rsid w:val="00E0765F"/>
    <w:rsid w:val="00E268A3"/>
    <w:rsid w:val="00E27B4F"/>
    <w:rsid w:val="00E31001"/>
    <w:rsid w:val="00E41DD4"/>
    <w:rsid w:val="00E550B8"/>
    <w:rsid w:val="00E6301D"/>
    <w:rsid w:val="00E72ADF"/>
    <w:rsid w:val="00E942B4"/>
    <w:rsid w:val="00EA7495"/>
    <w:rsid w:val="00EC37B8"/>
    <w:rsid w:val="00EE0BFC"/>
    <w:rsid w:val="00EE2E5D"/>
    <w:rsid w:val="00EF2179"/>
    <w:rsid w:val="00F1418E"/>
    <w:rsid w:val="00F15331"/>
    <w:rsid w:val="00F236BA"/>
    <w:rsid w:val="00F47022"/>
    <w:rsid w:val="00F5745A"/>
    <w:rsid w:val="00F65116"/>
    <w:rsid w:val="00F74542"/>
    <w:rsid w:val="00F86B65"/>
    <w:rsid w:val="00F93724"/>
    <w:rsid w:val="00F93B3E"/>
    <w:rsid w:val="00FB170B"/>
    <w:rsid w:val="00FD5582"/>
    <w:rsid w:val="00FE3551"/>
    <w:rsid w:val="5B712C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092A4D"/>
  <w15:docId w15:val="{80EA50C5-94F0-4AED-8633-EC641023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1EA"/>
    <w:pPr>
      <w:spacing w:after="160" w:line="259" w:lineRule="auto"/>
    </w:pPr>
    <w:rPr>
      <w:sz w:val="22"/>
      <w:szCs w:val="22"/>
    </w:rPr>
  </w:style>
  <w:style w:type="paragraph" w:styleId="Heading1">
    <w:name w:val="heading 1"/>
    <w:basedOn w:val="Normal"/>
    <w:next w:val="Normal"/>
    <w:link w:val="Heading1Char"/>
    <w:uiPriority w:val="9"/>
    <w:qFormat/>
    <w:rsid w:val="009B35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861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61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861E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1EA"/>
    <w:pPr>
      <w:spacing w:after="0" w:line="240" w:lineRule="auto"/>
    </w:pPr>
    <w:rPr>
      <w:rFonts w:ascii="Tahoma" w:hAnsi="Tahoma" w:cs="Tahoma"/>
      <w:sz w:val="16"/>
      <w:szCs w:val="16"/>
    </w:rPr>
  </w:style>
  <w:style w:type="paragraph" w:styleId="DocumentMap">
    <w:name w:val="Document Map"/>
    <w:basedOn w:val="Normal"/>
    <w:link w:val="DocumentMapChar"/>
    <w:uiPriority w:val="99"/>
    <w:semiHidden/>
    <w:unhideWhenUsed/>
    <w:rsid w:val="00D861EA"/>
    <w:pPr>
      <w:spacing w:after="0" w:line="240" w:lineRule="auto"/>
    </w:pPr>
    <w:rPr>
      <w:rFonts w:ascii="Tahoma" w:hAnsi="Tahoma" w:cs="Tahoma"/>
      <w:sz w:val="16"/>
      <w:szCs w:val="16"/>
    </w:rPr>
  </w:style>
  <w:style w:type="character" w:styleId="Emphasis">
    <w:name w:val="Emphasis"/>
    <w:basedOn w:val="DefaultParagraphFont"/>
    <w:uiPriority w:val="20"/>
    <w:qFormat/>
    <w:rsid w:val="00D861EA"/>
    <w:rPr>
      <w:i/>
      <w:iCs/>
    </w:rPr>
  </w:style>
  <w:style w:type="paragraph" w:styleId="Footer">
    <w:name w:val="footer"/>
    <w:basedOn w:val="Normal"/>
    <w:link w:val="FooterChar"/>
    <w:uiPriority w:val="99"/>
    <w:unhideWhenUsed/>
    <w:rsid w:val="00D861EA"/>
    <w:pPr>
      <w:tabs>
        <w:tab w:val="center" w:pos="4680"/>
        <w:tab w:val="right" w:pos="9360"/>
      </w:tabs>
      <w:spacing w:after="0" w:line="240" w:lineRule="auto"/>
    </w:pPr>
  </w:style>
  <w:style w:type="paragraph" w:styleId="Header">
    <w:name w:val="header"/>
    <w:basedOn w:val="Normal"/>
    <w:link w:val="HeaderChar"/>
    <w:uiPriority w:val="99"/>
    <w:unhideWhenUsed/>
    <w:rsid w:val="00D861EA"/>
    <w:pPr>
      <w:tabs>
        <w:tab w:val="center" w:pos="4680"/>
        <w:tab w:val="right" w:pos="9360"/>
      </w:tabs>
      <w:spacing w:after="0" w:line="240" w:lineRule="auto"/>
    </w:pPr>
  </w:style>
  <w:style w:type="character" w:styleId="Hyperlink">
    <w:name w:val="Hyperlink"/>
    <w:basedOn w:val="DefaultParagraphFont"/>
    <w:uiPriority w:val="99"/>
    <w:unhideWhenUsed/>
    <w:rsid w:val="00D861EA"/>
    <w:rPr>
      <w:color w:val="0000FF"/>
      <w:u w:val="single"/>
    </w:rPr>
  </w:style>
  <w:style w:type="paragraph" w:styleId="NormalWeb">
    <w:name w:val="Normal (Web)"/>
    <w:basedOn w:val="Normal"/>
    <w:uiPriority w:val="99"/>
    <w:unhideWhenUsed/>
    <w:rsid w:val="00D861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61EA"/>
    <w:rPr>
      <w:b/>
      <w:bCs/>
    </w:rPr>
  </w:style>
  <w:style w:type="table" w:styleId="TableGrid">
    <w:name w:val="Table Grid"/>
    <w:basedOn w:val="TableNormal"/>
    <w:uiPriority w:val="39"/>
    <w:rsid w:val="00D86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61EA"/>
    <w:pPr>
      <w:autoSpaceDE w:val="0"/>
      <w:autoSpaceDN w:val="0"/>
      <w:adjustRightInd w:val="0"/>
    </w:pPr>
    <w:rPr>
      <w:rFonts w:ascii="Cambria" w:hAnsi="Cambria" w:cs="Cambria"/>
      <w:color w:val="000000"/>
      <w:sz w:val="24"/>
      <w:szCs w:val="24"/>
    </w:rPr>
  </w:style>
  <w:style w:type="paragraph" w:customStyle="1" w:styleId="AbstHead">
    <w:name w:val="Abst Head"/>
    <w:basedOn w:val="Normal"/>
    <w:rsid w:val="00D861EA"/>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D861EA"/>
    <w:pPr>
      <w:spacing w:after="240" w:line="240" w:lineRule="auto"/>
      <w:jc w:val="both"/>
    </w:pPr>
    <w:rPr>
      <w:rFonts w:ascii="Helvetica" w:eastAsia="Times New Roman" w:hAnsi="Helvetica" w:cs="Times New Roman"/>
      <w:sz w:val="20"/>
      <w:szCs w:val="20"/>
    </w:rPr>
  </w:style>
  <w:style w:type="paragraph" w:customStyle="1" w:styleId="ConcHead">
    <w:name w:val="Conc Head"/>
    <w:basedOn w:val="Normal"/>
    <w:rsid w:val="00D861EA"/>
    <w:pPr>
      <w:keepNext/>
      <w:spacing w:after="240" w:line="240" w:lineRule="auto"/>
    </w:pPr>
    <w:rPr>
      <w:rFonts w:ascii="Helvetica" w:eastAsia="Times New Roman" w:hAnsi="Helvetica" w:cs="Times New Roman"/>
      <w:b/>
      <w:caps/>
      <w:szCs w:val="20"/>
    </w:rPr>
  </w:style>
  <w:style w:type="paragraph" w:customStyle="1" w:styleId="Head1">
    <w:name w:val="Head1"/>
    <w:basedOn w:val="Normal"/>
    <w:rsid w:val="00D861EA"/>
    <w:pPr>
      <w:keepNext/>
      <w:spacing w:after="240" w:line="240" w:lineRule="auto"/>
    </w:pPr>
    <w:rPr>
      <w:rFonts w:ascii="Helvetica" w:eastAsia="Times New Roman" w:hAnsi="Helvetica" w:cs="Times New Roman"/>
      <w:b/>
      <w:caps/>
      <w:szCs w:val="20"/>
    </w:rPr>
  </w:style>
  <w:style w:type="character" w:customStyle="1" w:styleId="element-citation">
    <w:name w:val="element-citation"/>
    <w:basedOn w:val="DefaultParagraphFont"/>
    <w:rsid w:val="00D861EA"/>
  </w:style>
  <w:style w:type="character" w:customStyle="1" w:styleId="DocumentMapChar">
    <w:name w:val="Document Map Char"/>
    <w:basedOn w:val="DefaultParagraphFont"/>
    <w:link w:val="DocumentMap"/>
    <w:uiPriority w:val="99"/>
    <w:semiHidden/>
    <w:rsid w:val="00D861EA"/>
    <w:rPr>
      <w:rFonts w:ascii="Tahoma" w:hAnsi="Tahoma" w:cs="Tahoma"/>
      <w:sz w:val="16"/>
      <w:szCs w:val="16"/>
    </w:rPr>
  </w:style>
  <w:style w:type="character" w:customStyle="1" w:styleId="BalloonTextChar">
    <w:name w:val="Balloon Text Char"/>
    <w:basedOn w:val="DefaultParagraphFont"/>
    <w:link w:val="BalloonText"/>
    <w:uiPriority w:val="99"/>
    <w:semiHidden/>
    <w:rsid w:val="00D861EA"/>
    <w:rPr>
      <w:rFonts w:ascii="Tahoma" w:hAnsi="Tahoma" w:cs="Tahoma"/>
      <w:sz w:val="16"/>
      <w:szCs w:val="16"/>
    </w:rPr>
  </w:style>
  <w:style w:type="character" w:customStyle="1" w:styleId="Heading2Char">
    <w:name w:val="Heading 2 Char"/>
    <w:basedOn w:val="DefaultParagraphFont"/>
    <w:link w:val="Heading2"/>
    <w:uiPriority w:val="9"/>
    <w:rsid w:val="00D861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61E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D861EA"/>
    <w:rPr>
      <w:rFonts w:asciiTheme="majorHAnsi" w:eastAsiaTheme="majorEastAsia" w:hAnsiTheme="majorHAnsi" w:cstheme="majorBidi"/>
      <w:b/>
      <w:bCs/>
      <w:i/>
      <w:iCs/>
      <w:color w:val="5B9BD5" w:themeColor="accent1"/>
    </w:rPr>
  </w:style>
  <w:style w:type="character" w:customStyle="1" w:styleId="katex">
    <w:name w:val="katex"/>
    <w:basedOn w:val="DefaultParagraphFont"/>
    <w:rsid w:val="00D861EA"/>
  </w:style>
  <w:style w:type="character" w:customStyle="1" w:styleId="HeaderChar">
    <w:name w:val="Header Char"/>
    <w:basedOn w:val="DefaultParagraphFont"/>
    <w:link w:val="Header"/>
    <w:uiPriority w:val="99"/>
    <w:rsid w:val="00D861EA"/>
  </w:style>
  <w:style w:type="character" w:customStyle="1" w:styleId="FooterChar">
    <w:name w:val="Footer Char"/>
    <w:basedOn w:val="DefaultParagraphFont"/>
    <w:link w:val="Footer"/>
    <w:uiPriority w:val="99"/>
    <w:rsid w:val="00D861EA"/>
  </w:style>
  <w:style w:type="paragraph" w:styleId="ListParagraph">
    <w:name w:val="List Paragraph"/>
    <w:basedOn w:val="Normal"/>
    <w:uiPriority w:val="34"/>
    <w:qFormat/>
    <w:rsid w:val="00D861EA"/>
    <w:pPr>
      <w:ind w:left="720"/>
      <w:contextualSpacing/>
    </w:pPr>
  </w:style>
  <w:style w:type="character" w:customStyle="1" w:styleId="Heading1Char">
    <w:name w:val="Heading 1 Char"/>
    <w:basedOn w:val="DefaultParagraphFont"/>
    <w:link w:val="Heading1"/>
    <w:uiPriority w:val="9"/>
    <w:rsid w:val="009B3547"/>
    <w:rPr>
      <w:rFonts w:asciiTheme="majorHAnsi" w:eastAsiaTheme="majorEastAsia" w:hAnsiTheme="majorHAnsi" w:cstheme="majorBidi"/>
      <w:color w:val="2E74B5" w:themeColor="accent1" w:themeShade="BF"/>
      <w:sz w:val="32"/>
      <w:szCs w:val="32"/>
    </w:rPr>
  </w:style>
  <w:style w:type="character" w:customStyle="1" w:styleId="ms-1">
    <w:name w:val="ms-1"/>
    <w:basedOn w:val="DefaultParagraphFont"/>
    <w:rsid w:val="009F1E13"/>
  </w:style>
  <w:style w:type="character" w:customStyle="1" w:styleId="max-w-15ch">
    <w:name w:val="max-w-[15ch]"/>
    <w:basedOn w:val="DefaultParagraphFont"/>
    <w:rsid w:val="009F1E13"/>
  </w:style>
  <w:style w:type="character" w:customStyle="1" w:styleId="-me-1">
    <w:name w:val="-me-1"/>
    <w:basedOn w:val="DefaultParagraphFont"/>
    <w:rsid w:val="009F1E13"/>
  </w:style>
  <w:style w:type="character" w:customStyle="1" w:styleId="bkciteavail">
    <w:name w:val="bk_cite_avail"/>
    <w:basedOn w:val="DefaultParagraphFont"/>
    <w:rsid w:val="00B8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1512">
      <w:bodyDiv w:val="1"/>
      <w:marLeft w:val="0"/>
      <w:marRight w:val="0"/>
      <w:marTop w:val="0"/>
      <w:marBottom w:val="0"/>
      <w:divBdr>
        <w:top w:val="none" w:sz="0" w:space="0" w:color="auto"/>
        <w:left w:val="none" w:sz="0" w:space="0" w:color="auto"/>
        <w:bottom w:val="none" w:sz="0" w:space="0" w:color="auto"/>
        <w:right w:val="none" w:sz="0" w:space="0" w:color="auto"/>
      </w:divBdr>
    </w:div>
    <w:div w:id="330526132">
      <w:bodyDiv w:val="1"/>
      <w:marLeft w:val="0"/>
      <w:marRight w:val="0"/>
      <w:marTop w:val="0"/>
      <w:marBottom w:val="0"/>
      <w:divBdr>
        <w:top w:val="none" w:sz="0" w:space="0" w:color="auto"/>
        <w:left w:val="none" w:sz="0" w:space="0" w:color="auto"/>
        <w:bottom w:val="none" w:sz="0" w:space="0" w:color="auto"/>
        <w:right w:val="none" w:sz="0" w:space="0" w:color="auto"/>
      </w:divBdr>
    </w:div>
    <w:div w:id="511921887">
      <w:bodyDiv w:val="1"/>
      <w:marLeft w:val="0"/>
      <w:marRight w:val="0"/>
      <w:marTop w:val="0"/>
      <w:marBottom w:val="0"/>
      <w:divBdr>
        <w:top w:val="none" w:sz="0" w:space="0" w:color="auto"/>
        <w:left w:val="none" w:sz="0" w:space="0" w:color="auto"/>
        <w:bottom w:val="none" w:sz="0" w:space="0" w:color="auto"/>
        <w:right w:val="none" w:sz="0" w:space="0" w:color="auto"/>
      </w:divBdr>
    </w:div>
    <w:div w:id="1216504038">
      <w:bodyDiv w:val="1"/>
      <w:marLeft w:val="0"/>
      <w:marRight w:val="0"/>
      <w:marTop w:val="0"/>
      <w:marBottom w:val="0"/>
      <w:divBdr>
        <w:top w:val="none" w:sz="0" w:space="0" w:color="auto"/>
        <w:left w:val="none" w:sz="0" w:space="0" w:color="auto"/>
        <w:bottom w:val="none" w:sz="0" w:space="0" w:color="auto"/>
        <w:right w:val="none" w:sz="0" w:space="0" w:color="auto"/>
      </w:divBdr>
    </w:div>
    <w:div w:id="1688677053">
      <w:bodyDiv w:val="1"/>
      <w:marLeft w:val="0"/>
      <w:marRight w:val="0"/>
      <w:marTop w:val="0"/>
      <w:marBottom w:val="0"/>
      <w:divBdr>
        <w:top w:val="none" w:sz="0" w:space="0" w:color="auto"/>
        <w:left w:val="none" w:sz="0" w:space="0" w:color="auto"/>
        <w:bottom w:val="none" w:sz="0" w:space="0" w:color="auto"/>
        <w:right w:val="none" w:sz="0" w:space="0" w:color="auto"/>
      </w:divBdr>
    </w:div>
    <w:div w:id="1737045937">
      <w:bodyDiv w:val="1"/>
      <w:marLeft w:val="0"/>
      <w:marRight w:val="0"/>
      <w:marTop w:val="0"/>
      <w:marBottom w:val="0"/>
      <w:divBdr>
        <w:top w:val="none" w:sz="0" w:space="0" w:color="auto"/>
        <w:left w:val="none" w:sz="0" w:space="0" w:color="auto"/>
        <w:bottom w:val="none" w:sz="0" w:space="0" w:color="auto"/>
        <w:right w:val="none" w:sz="0" w:space="0" w:color="auto"/>
      </w:divBdr>
    </w:div>
    <w:div w:id="1822308242">
      <w:bodyDiv w:val="1"/>
      <w:marLeft w:val="0"/>
      <w:marRight w:val="0"/>
      <w:marTop w:val="0"/>
      <w:marBottom w:val="0"/>
      <w:divBdr>
        <w:top w:val="none" w:sz="0" w:space="0" w:color="auto"/>
        <w:left w:val="none" w:sz="0" w:space="0" w:color="auto"/>
        <w:bottom w:val="none" w:sz="0" w:space="0" w:color="auto"/>
        <w:right w:val="none" w:sz="0" w:space="0" w:color="auto"/>
      </w:divBdr>
    </w:div>
    <w:div w:id="1825049083">
      <w:bodyDiv w:val="1"/>
      <w:marLeft w:val="0"/>
      <w:marRight w:val="0"/>
      <w:marTop w:val="0"/>
      <w:marBottom w:val="0"/>
      <w:divBdr>
        <w:top w:val="none" w:sz="0" w:space="0" w:color="auto"/>
        <w:left w:val="none" w:sz="0" w:space="0" w:color="auto"/>
        <w:bottom w:val="none" w:sz="0" w:space="0" w:color="auto"/>
        <w:right w:val="none" w:sz="0" w:space="0" w:color="auto"/>
      </w:divBdr>
    </w:div>
    <w:div w:id="1913201526">
      <w:bodyDiv w:val="1"/>
      <w:marLeft w:val="0"/>
      <w:marRight w:val="0"/>
      <w:marTop w:val="0"/>
      <w:marBottom w:val="0"/>
      <w:divBdr>
        <w:top w:val="none" w:sz="0" w:space="0" w:color="auto"/>
        <w:left w:val="none" w:sz="0" w:space="0" w:color="auto"/>
        <w:bottom w:val="none" w:sz="0" w:space="0" w:color="auto"/>
        <w:right w:val="none" w:sz="0" w:space="0" w:color="auto"/>
      </w:divBdr>
    </w:div>
    <w:div w:id="1913850357">
      <w:bodyDiv w:val="1"/>
      <w:marLeft w:val="0"/>
      <w:marRight w:val="0"/>
      <w:marTop w:val="0"/>
      <w:marBottom w:val="0"/>
      <w:divBdr>
        <w:top w:val="none" w:sz="0" w:space="0" w:color="auto"/>
        <w:left w:val="none" w:sz="0" w:space="0" w:color="auto"/>
        <w:bottom w:val="none" w:sz="0" w:space="0" w:color="auto"/>
        <w:right w:val="none" w:sz="0" w:space="0" w:color="auto"/>
      </w:divBdr>
    </w:div>
    <w:div w:id="2073699971">
      <w:bodyDiv w:val="1"/>
      <w:marLeft w:val="0"/>
      <w:marRight w:val="0"/>
      <w:marTop w:val="0"/>
      <w:marBottom w:val="0"/>
      <w:divBdr>
        <w:top w:val="none" w:sz="0" w:space="0" w:color="auto"/>
        <w:left w:val="none" w:sz="0" w:space="0" w:color="auto"/>
        <w:bottom w:val="none" w:sz="0" w:space="0" w:color="auto"/>
        <w:right w:val="none" w:sz="0" w:space="0" w:color="auto"/>
      </w:divBdr>
    </w:div>
    <w:div w:id="2085250449">
      <w:bodyDiv w:val="1"/>
      <w:marLeft w:val="0"/>
      <w:marRight w:val="0"/>
      <w:marTop w:val="0"/>
      <w:marBottom w:val="0"/>
      <w:divBdr>
        <w:top w:val="none" w:sz="0" w:space="0" w:color="auto"/>
        <w:left w:val="none" w:sz="0" w:space="0" w:color="auto"/>
        <w:bottom w:val="none" w:sz="0" w:space="0" w:color="auto"/>
        <w:right w:val="none" w:sz="0" w:space="0" w:color="auto"/>
      </w:divBdr>
    </w:div>
    <w:div w:id="2134860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s://doi.org/10.3390/biology13020085" TargetMode="External"/><Relationship Id="rId26" Type="http://schemas.openxmlformats.org/officeDocument/2006/relationships/hyperlink" Target="https://doi.org/10.3390/ijerph18031112" TargetMode="External"/><Relationship Id="rId3" Type="http://schemas.openxmlformats.org/officeDocument/2006/relationships/settings" Target="settings.xml"/><Relationship Id="rId21" Type="http://schemas.openxmlformats.org/officeDocument/2006/relationships/hyperlink" Target="https://doi.org/10.3389/fmicb.2024.1444903" TargetMode="External"/><Relationship Id="rId34"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org/10.2478/v10102-009-0001-7" TargetMode="External"/><Relationship Id="rId25" Type="http://schemas.openxmlformats.org/officeDocument/2006/relationships/hyperlink" Target="https://doi.org/10.3389/fmicb.2021.646124"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s://doi.org/10.7717/peerj.12592"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1098/rstb.2020.0183"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yperlink" Target="https://doi.org/10.1038/s41598-025-09624-5" TargetMode="External"/><Relationship Id="rId28"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yperlink" Target="https://doi.org/10.1186/s12302-025-01151-4"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doi.org/10.1186/s12866-022-02452-x" TargetMode="External"/><Relationship Id="rId27" Type="http://schemas.openxmlformats.org/officeDocument/2006/relationships/hyperlink" Target="https://doi.org/10.1016/0038-0717(87)90052-6"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D:\ON-GOING%20WORKS\TEGA%20ATAIKIRU%20MCB%20PHD\TEGA%20ATAIKIRY%20MCB%20PhD%20DATA%20(Toxicity%20Test)\Tega%20Ataikiru%20MCB%20PhD%20DATA%202%20(PROBITS).xlsm"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P\Desktop\Dr%20Tega%20For%20Alfred.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ON-GOING%20WORKS\TEGA%20ATAIKIRU%20MCB%20PHD\TEGA%20ATAIKIRY%20MCB%20PhD%20DATA%20(Toxicity%20Test)\Tega%20Ataikiru%20MCB%20PhD%20DATA%202%20(PROBITS).xlsm"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Dr%20Tega%20For%20Alfr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Dr%20Tega%20For%20Alfr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Dr%20Tega%20For%20Alfr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Dr%20Tega%20For%20Alfr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Dr%20Tega%20For%20Alfr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Dr%20Tega%20For%20Alfre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Dr%20Tega%20For%20Alf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679910294076746E-2"/>
          <c:y val="0.16048996944862201"/>
          <c:w val="0.86401731499980505"/>
          <c:h val="0.67896785988822705"/>
        </c:manualLayout>
      </c:layout>
      <c:scatterChart>
        <c:scatterStyle val="smoothMarker"/>
        <c:varyColors val="0"/>
        <c:ser>
          <c:idx val="4"/>
          <c:order val="0"/>
          <c:tx>
            <c:strRef>
              <c:f>Atrazine for snails</c:f>
              <c:strCache>
                <c:ptCount val="1"/>
                <c:pt idx="0">
                  <c:v>Atrazine for snails</c:v>
                </c:pt>
              </c:strCache>
            </c:strRef>
          </c:tx>
          <c:marker>
            <c:spPr>
              <a:noFill/>
              <a:ln w="6350" cap="flat" cmpd="sng" algn="ctr">
                <a:solidFill>
                  <a:schemeClr val="accent5"/>
                </a:solidFill>
                <a:prstDash val="solid"/>
                <a:round/>
              </a:ln>
            </c:spPr>
          </c:marker>
          <c:xVal>
            <c:numRef>
              <c:f>SCA_HID!$M$1:$M$13</c:f>
              <c:numCache>
                <c:formatCode>0</c:formatCode>
                <c:ptCount val="13"/>
                <c:pt idx="0">
                  <c:v>0.77822946533303172</c:v>
                </c:pt>
                <c:pt idx="1">
                  <c:v>1.6461719144765139</c:v>
                </c:pt>
                <c:pt idx="2">
                  <c:v>2.4542986453546467</c:v>
                </c:pt>
                <c:pt idx="3">
                  <c:v>3.9807458959489797</c:v>
                </c:pt>
                <c:pt idx="4">
                  <c:v>5.6417773787929955</c:v>
                </c:pt>
                <c:pt idx="5">
                  <c:v>7.6002111551417402</c:v>
                </c:pt>
                <c:pt idx="6">
                  <c:v>10.041111855112081</c:v>
                </c:pt>
                <c:pt idx="7">
                  <c:v>13.2659376468328</c:v>
                </c:pt>
                <c:pt idx="8">
                  <c:v>17.870951035016567</c:v>
                </c:pt>
                <c:pt idx="9">
                  <c:v>25.327898319125801</c:v>
                </c:pt>
                <c:pt idx="10">
                  <c:v>41.08054554717998</c:v>
                </c:pt>
                <c:pt idx="11">
                  <c:v>61.247507869757229</c:v>
                </c:pt>
                <c:pt idx="12">
                  <c:v>129.55552543070002</c:v>
                </c:pt>
              </c:numCache>
            </c:numRef>
          </c:xVal>
          <c:yVal>
            <c:numRef>
              <c:f>SCA_HID!$N$1:$N$13</c:f>
              <c:numCache>
                <c:formatCode>0</c:formatCode>
                <c:ptCount val="13"/>
                <c:pt idx="0">
                  <c:v>1.0000000000000005E-2</c:v>
                </c:pt>
                <c:pt idx="1">
                  <c:v>0.05</c:v>
                </c:pt>
                <c:pt idx="2">
                  <c:v>0.1</c:v>
                </c:pt>
                <c:pt idx="3">
                  <c:v>0.2</c:v>
                </c:pt>
                <c:pt idx="4">
                  <c:v>0.30000000000000032</c:v>
                </c:pt>
                <c:pt idx="5">
                  <c:v>0.4</c:v>
                </c:pt>
                <c:pt idx="6">
                  <c:v>0.5</c:v>
                </c:pt>
                <c:pt idx="7">
                  <c:v>0.60000000000000164</c:v>
                </c:pt>
                <c:pt idx="8">
                  <c:v>0.70000000000000095</c:v>
                </c:pt>
                <c:pt idx="9">
                  <c:v>0.8</c:v>
                </c:pt>
                <c:pt idx="10">
                  <c:v>0.9</c:v>
                </c:pt>
                <c:pt idx="11">
                  <c:v>0.95000000000000095</c:v>
                </c:pt>
                <c:pt idx="12">
                  <c:v>0.99</c:v>
                </c:pt>
              </c:numCache>
            </c:numRef>
          </c:yVal>
          <c:smooth val="1"/>
          <c:extLst>
            <c:ext xmlns:c16="http://schemas.microsoft.com/office/drawing/2014/chart" uri="{C3380CC4-5D6E-409C-BE32-E72D297353CC}">
              <c16:uniqueId val="{00000000-4061-4342-A0F4-57F587483BDC}"/>
            </c:ext>
          </c:extLst>
        </c:ser>
        <c:dLbls>
          <c:showLegendKey val="0"/>
          <c:showVal val="0"/>
          <c:showCatName val="0"/>
          <c:showSerName val="0"/>
          <c:showPercent val="0"/>
          <c:showBubbleSize val="0"/>
        </c:dLbls>
        <c:axId val="96958720"/>
        <c:axId val="97999872"/>
      </c:scatterChart>
      <c:valAx>
        <c:axId val="96958720"/>
        <c:scaling>
          <c:logBase val="10"/>
          <c:orientation val="minMax"/>
        </c:scaling>
        <c:delete val="0"/>
        <c:axPos val="b"/>
        <c:title>
          <c:tx>
            <c:rich>
              <a:bodyPr rot="0" spcFirstLastPara="0" vertOverflow="ellipsis" vert="horz" wrap="square" anchor="ctr" anchorCtr="1"/>
              <a:lstStyle/>
              <a:p>
                <a:pPr>
                  <a:defRPr lang="en-US" sz="800" b="1" i="0" u="none" strike="noStrike" kern="1200" baseline="0">
                    <a:solidFill>
                      <a:schemeClr val="tx1"/>
                    </a:solidFill>
                    <a:latin typeface="+mn-lt"/>
                    <a:ea typeface="+mn-ea"/>
                    <a:cs typeface="+mn-cs"/>
                  </a:defRPr>
                </a:pPr>
                <a:r>
                  <a:rPr lang="en-US"/>
                  <a:t>Log</a:t>
                </a:r>
                <a:r>
                  <a:rPr lang="en-US" baseline="-25000"/>
                  <a:t>10</a:t>
                </a:r>
                <a:r>
                  <a:rPr lang="en-US"/>
                  <a:t> (concentration, mg/L)</a:t>
                </a:r>
              </a:p>
            </c:rich>
          </c:tx>
          <c:layout>
            <c:manualLayout>
              <c:xMode val="edge"/>
              <c:yMode val="edge"/>
              <c:x val="0.31711442786069793"/>
              <c:y val="0.92342994065055894"/>
            </c:manualLayout>
          </c:layout>
          <c:overlay val="0"/>
        </c:title>
        <c:numFmt formatCode="General" sourceLinked="0"/>
        <c:majorTickMark val="cross"/>
        <c:minorTickMark val="none"/>
        <c:tickLblPos val="nextTo"/>
        <c:txPr>
          <a:bodyPr rot="-60000000" spcFirstLastPara="0" vertOverflow="ellipsis" vert="horz" wrap="square" anchor="ctr" anchorCtr="1"/>
          <a:lstStyle/>
          <a:p>
            <a:pPr>
              <a:defRPr lang="en-US" sz="700" b="0" i="0" u="none" strike="noStrike" kern="1200" baseline="0">
                <a:solidFill>
                  <a:schemeClr val="tx1"/>
                </a:solidFill>
                <a:latin typeface="+mn-lt"/>
                <a:ea typeface="+mn-ea"/>
                <a:cs typeface="+mn-cs"/>
              </a:defRPr>
            </a:pPr>
            <a:endParaRPr lang="en-US"/>
          </a:p>
        </c:txPr>
        <c:crossAx val="97999872"/>
        <c:crosses val="autoZero"/>
        <c:crossBetween val="midCat"/>
      </c:valAx>
      <c:valAx>
        <c:axId val="97999872"/>
        <c:scaling>
          <c:orientation val="minMax"/>
          <c:max val="1"/>
        </c:scaling>
        <c:delete val="0"/>
        <c:axPos val="l"/>
        <c:title>
          <c:tx>
            <c:rich>
              <a:bodyPr rot="-5400000" spcFirstLastPara="0" vertOverflow="ellipsis" vert="horz" wrap="square" anchor="ctr" anchorCtr="1"/>
              <a:lstStyle/>
              <a:p>
                <a:pPr>
                  <a:defRPr lang="en-US" sz="800" b="1" i="0" u="none" strike="noStrike" kern="1200" baseline="0">
                    <a:solidFill>
                      <a:schemeClr val="tx1"/>
                    </a:solidFill>
                    <a:latin typeface="+mn-lt"/>
                    <a:ea typeface="+mn-ea"/>
                    <a:cs typeface="+mn-cs"/>
                  </a:defRPr>
                </a:pPr>
                <a:r>
                  <a:rPr lang="en-GB"/>
                  <a:t>Probit</a:t>
                </a:r>
              </a:p>
            </c:rich>
          </c:tx>
          <c:overlay val="0"/>
        </c:title>
        <c:numFmt formatCode="#,##0.0" sourceLinked="0"/>
        <c:majorTickMark val="cross"/>
        <c:minorTickMark val="none"/>
        <c:tickLblPos val="nextTo"/>
        <c:txPr>
          <a:bodyPr rot="-60000000" spcFirstLastPara="0" vertOverflow="ellipsis" vert="horz" wrap="square" anchor="ctr" anchorCtr="1"/>
          <a:lstStyle/>
          <a:p>
            <a:pPr>
              <a:defRPr lang="en-US" sz="700" b="0" i="0" u="none" strike="noStrike" kern="1200" baseline="0">
                <a:solidFill>
                  <a:schemeClr val="tx1"/>
                </a:solidFill>
                <a:latin typeface="+mn-lt"/>
                <a:ea typeface="+mn-ea"/>
                <a:cs typeface="+mn-cs"/>
              </a:defRPr>
            </a:pPr>
            <a:endParaRPr lang="en-US"/>
          </a:p>
        </c:txPr>
        <c:crossAx val="96958720"/>
        <c:crossesAt val="0.1"/>
        <c:crossBetween val="midCat"/>
      </c:valAx>
      <c:spPr>
        <a:ln>
          <a:solidFill>
            <a:srgbClr val="808080"/>
          </a:solidFill>
          <a:prstDash val="solid"/>
        </a:ln>
      </c:spPr>
    </c:plotArea>
    <c:plotVisOnly val="1"/>
    <c:dispBlanksAs val="gap"/>
    <c:showDLblsOverMax val="0"/>
    <c:extLst>
      <c:ext uri="{0b15fc19-7d7d-44ad-8c2d-2c3a37ce22c3}">
        <chartProps xmlns="https://web.wps.cn/et/2018/main" chartId="{3b73993b-33ee-4d15-bd4a-31075035c3ed}"/>
      </c:ext>
    </c:extLst>
  </c:chart>
  <c:spPr>
    <a:ln w="6350" cap="flat" cmpd="sng" algn="ctr">
      <a:noFill/>
      <a:prstDash val="solid"/>
      <a:round/>
    </a:ln>
  </c:spPr>
  <c:txPr>
    <a:bodyPr/>
    <a:lstStyle/>
    <a:p>
      <a:pPr>
        <a:defRPr lang="en-US"/>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'FUNGAL COUNTS'!$H$3</c:f>
              <c:strCache>
                <c:ptCount val="1"/>
                <c:pt idx="0">
                  <c:v>Control</c:v>
                </c:pt>
              </c:strCache>
            </c:strRef>
          </c:tx>
          <c:xVal>
            <c:numRef>
              <c:f>'FUNGAL COUNTS'!$G$4:$G$8</c:f>
              <c:numCache>
                <c:formatCode>General</c:formatCode>
                <c:ptCount val="5"/>
                <c:pt idx="0">
                  <c:v>0</c:v>
                </c:pt>
                <c:pt idx="1">
                  <c:v>7</c:v>
                </c:pt>
                <c:pt idx="2">
                  <c:v>14</c:v>
                </c:pt>
                <c:pt idx="3">
                  <c:v>21</c:v>
                </c:pt>
                <c:pt idx="4">
                  <c:v>28</c:v>
                </c:pt>
              </c:numCache>
            </c:numRef>
          </c:xVal>
          <c:yVal>
            <c:numRef>
              <c:f>'FUNGAL COUNTS'!$H$4:$H$8</c:f>
              <c:numCache>
                <c:formatCode>0.0</c:formatCode>
                <c:ptCount val="5"/>
                <c:pt idx="0">
                  <c:v>150</c:v>
                </c:pt>
                <c:pt idx="1">
                  <c:v>167.3333333333336</c:v>
                </c:pt>
                <c:pt idx="2">
                  <c:v>174.66666666666652</c:v>
                </c:pt>
                <c:pt idx="3">
                  <c:v>188</c:v>
                </c:pt>
                <c:pt idx="4">
                  <c:v>189.66666666666652</c:v>
                </c:pt>
              </c:numCache>
            </c:numRef>
          </c:yVal>
          <c:smooth val="1"/>
          <c:extLst>
            <c:ext xmlns:c16="http://schemas.microsoft.com/office/drawing/2014/chart" uri="{C3380CC4-5D6E-409C-BE32-E72D297353CC}">
              <c16:uniqueId val="{00000000-F8CB-4CEF-ABFA-4BD09DE65801}"/>
            </c:ext>
          </c:extLst>
        </c:ser>
        <c:ser>
          <c:idx val="1"/>
          <c:order val="1"/>
          <c:tx>
            <c:strRef>
              <c:f>'FUNGAL COUNTS'!$I$3</c:f>
              <c:strCache>
                <c:ptCount val="1"/>
                <c:pt idx="0">
                  <c:v>Atrazine</c:v>
                </c:pt>
              </c:strCache>
            </c:strRef>
          </c:tx>
          <c:xVal>
            <c:numRef>
              <c:f>'FUNGAL COUNTS'!$G$4:$G$8</c:f>
              <c:numCache>
                <c:formatCode>General</c:formatCode>
                <c:ptCount val="5"/>
                <c:pt idx="0">
                  <c:v>0</c:v>
                </c:pt>
                <c:pt idx="1">
                  <c:v>7</c:v>
                </c:pt>
                <c:pt idx="2">
                  <c:v>14</c:v>
                </c:pt>
                <c:pt idx="3">
                  <c:v>21</c:v>
                </c:pt>
                <c:pt idx="4">
                  <c:v>28</c:v>
                </c:pt>
              </c:numCache>
            </c:numRef>
          </c:xVal>
          <c:yVal>
            <c:numRef>
              <c:f>'FUNGAL COUNTS'!$I$4:$I$8</c:f>
              <c:numCache>
                <c:formatCode>0.0</c:formatCode>
                <c:ptCount val="5"/>
                <c:pt idx="0">
                  <c:v>150</c:v>
                </c:pt>
                <c:pt idx="1">
                  <c:v>65.333333333333258</c:v>
                </c:pt>
                <c:pt idx="2">
                  <c:v>80</c:v>
                </c:pt>
                <c:pt idx="3">
                  <c:v>117</c:v>
                </c:pt>
                <c:pt idx="4">
                  <c:v>102</c:v>
                </c:pt>
              </c:numCache>
            </c:numRef>
          </c:yVal>
          <c:smooth val="1"/>
          <c:extLst>
            <c:ext xmlns:c16="http://schemas.microsoft.com/office/drawing/2014/chart" uri="{C3380CC4-5D6E-409C-BE32-E72D297353CC}">
              <c16:uniqueId val="{00000001-F8CB-4CEF-ABFA-4BD09DE65801}"/>
            </c:ext>
          </c:extLst>
        </c:ser>
        <c:ser>
          <c:idx val="2"/>
          <c:order val="2"/>
          <c:tx>
            <c:strRef>
              <c:f>'FUNGAL COUNTS'!$J$3</c:f>
              <c:strCache>
                <c:ptCount val="1"/>
                <c:pt idx="0">
                  <c:v>Dichlorvos</c:v>
                </c:pt>
              </c:strCache>
            </c:strRef>
          </c:tx>
          <c:xVal>
            <c:numRef>
              <c:f>'FUNGAL COUNTS'!$G$4:$G$8</c:f>
              <c:numCache>
                <c:formatCode>General</c:formatCode>
                <c:ptCount val="5"/>
                <c:pt idx="0">
                  <c:v>0</c:v>
                </c:pt>
                <c:pt idx="1">
                  <c:v>7</c:v>
                </c:pt>
                <c:pt idx="2">
                  <c:v>14</c:v>
                </c:pt>
                <c:pt idx="3">
                  <c:v>21</c:v>
                </c:pt>
                <c:pt idx="4">
                  <c:v>28</c:v>
                </c:pt>
              </c:numCache>
            </c:numRef>
          </c:xVal>
          <c:yVal>
            <c:numRef>
              <c:f>'FUNGAL COUNTS'!$J$4:$J$8</c:f>
              <c:numCache>
                <c:formatCode>0.0</c:formatCode>
                <c:ptCount val="5"/>
                <c:pt idx="0">
                  <c:v>150</c:v>
                </c:pt>
                <c:pt idx="1">
                  <c:v>42.666666666666536</c:v>
                </c:pt>
                <c:pt idx="2">
                  <c:v>91.666666666666671</c:v>
                </c:pt>
                <c:pt idx="3">
                  <c:v>110.66666666666667</c:v>
                </c:pt>
                <c:pt idx="4">
                  <c:v>86.666666666666671</c:v>
                </c:pt>
              </c:numCache>
            </c:numRef>
          </c:yVal>
          <c:smooth val="1"/>
          <c:extLst>
            <c:ext xmlns:c16="http://schemas.microsoft.com/office/drawing/2014/chart" uri="{C3380CC4-5D6E-409C-BE32-E72D297353CC}">
              <c16:uniqueId val="{00000002-F8CB-4CEF-ABFA-4BD09DE65801}"/>
            </c:ext>
          </c:extLst>
        </c:ser>
        <c:dLbls>
          <c:showLegendKey val="0"/>
          <c:showVal val="0"/>
          <c:showCatName val="0"/>
          <c:showSerName val="0"/>
          <c:showPercent val="0"/>
          <c:showBubbleSize val="0"/>
        </c:dLbls>
        <c:axId val="173721472"/>
        <c:axId val="173834624"/>
      </c:scatterChart>
      <c:valAx>
        <c:axId val="173721472"/>
        <c:scaling>
          <c:orientation val="minMax"/>
        </c:scaling>
        <c:delete val="0"/>
        <c:axPos val="b"/>
        <c:title>
          <c:tx>
            <c:rich>
              <a:bodyPr/>
              <a:lstStyle/>
              <a:p>
                <a:pPr>
                  <a:defRPr/>
                </a:pPr>
                <a:r>
                  <a:rPr lang="en-US"/>
                  <a:t>Time</a:t>
                </a:r>
                <a:r>
                  <a:rPr lang="en-US" baseline="0"/>
                  <a:t> (Days)</a:t>
                </a:r>
                <a:endParaRPr lang="en-US"/>
              </a:p>
            </c:rich>
          </c:tx>
          <c:overlay val="0"/>
        </c:title>
        <c:numFmt formatCode="General" sourceLinked="1"/>
        <c:majorTickMark val="out"/>
        <c:minorTickMark val="none"/>
        <c:tickLblPos val="nextTo"/>
        <c:crossAx val="173834624"/>
        <c:crosses val="autoZero"/>
        <c:crossBetween val="midCat"/>
      </c:valAx>
      <c:valAx>
        <c:axId val="173834624"/>
        <c:scaling>
          <c:orientation val="minMax"/>
        </c:scaling>
        <c:delete val="0"/>
        <c:axPos val="l"/>
        <c:title>
          <c:tx>
            <c:rich>
              <a:bodyPr rot="-5400000" vert="horz"/>
              <a:lstStyle/>
              <a:p>
                <a:pPr>
                  <a:defRPr/>
                </a:pPr>
                <a:r>
                  <a:rPr lang="en-US"/>
                  <a:t>Fungal</a:t>
                </a:r>
                <a:r>
                  <a:rPr lang="en-US" baseline="0"/>
                  <a:t> Count (×10</a:t>
                </a:r>
                <a:r>
                  <a:rPr lang="en-US" baseline="30000"/>
                  <a:t>3</a:t>
                </a:r>
                <a:r>
                  <a:rPr lang="en-US" baseline="0"/>
                  <a:t> CFU/g)</a:t>
                </a:r>
                <a:endParaRPr lang="en-US"/>
              </a:p>
            </c:rich>
          </c:tx>
          <c:overlay val="0"/>
        </c:title>
        <c:numFmt formatCode="0.0" sourceLinked="1"/>
        <c:majorTickMark val="out"/>
        <c:minorTickMark val="none"/>
        <c:tickLblPos val="nextTo"/>
        <c:crossAx val="173721472"/>
        <c:crosses val="autoZero"/>
        <c:crossBetween val="midCat"/>
      </c:valAx>
    </c:plotArea>
    <c:legend>
      <c:legendPos val="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15236438615496"/>
          <c:y val="0.12888006619414197"/>
          <c:w val="0.86401731499980505"/>
          <c:h val="0.67896785988822705"/>
        </c:manualLayout>
      </c:layout>
      <c:scatterChart>
        <c:scatterStyle val="smoothMarker"/>
        <c:varyColors val="0"/>
        <c:ser>
          <c:idx val="5"/>
          <c:order val="0"/>
          <c:tx>
            <c:strRef>
              <c:f>DDVP</c:f>
              <c:strCache>
                <c:ptCount val="1"/>
                <c:pt idx="0">
                  <c:v>DDVP</c:v>
                </c:pt>
              </c:strCache>
            </c:strRef>
          </c:tx>
          <c:marker>
            <c:spPr>
              <a:solidFill>
                <a:schemeClr val="accent6"/>
              </a:solidFill>
              <a:ln w="6350" cap="flat" cmpd="sng" algn="ctr">
                <a:solidFill>
                  <a:schemeClr val="accent6"/>
                </a:solidFill>
                <a:prstDash val="solid"/>
                <a:round/>
              </a:ln>
            </c:spPr>
          </c:marker>
          <c:xVal>
            <c:numRef>
              <c:f>SCA_HID!$P$1:$P$13</c:f>
              <c:numCache>
                <c:formatCode>0</c:formatCode>
                <c:ptCount val="13"/>
                <c:pt idx="0">
                  <c:v>0.80099133870022798</c:v>
                </c:pt>
                <c:pt idx="1">
                  <c:v>0.88687611115879095</c:v>
                </c:pt>
                <c:pt idx="2">
                  <c:v>0.93636364757268298</c:v>
                </c:pt>
                <c:pt idx="3">
                  <c:v>1</c:v>
                </c:pt>
                <c:pt idx="4">
                  <c:v>1.04855325383</c:v>
                </c:pt>
                <c:pt idx="5">
                  <c:v>1.0919036272917999</c:v>
                </c:pt>
                <c:pt idx="6">
                  <c:v>1.1340411815780127</c:v>
                </c:pt>
                <c:pt idx="7">
                  <c:v>1.17780486241682</c:v>
                </c:pt>
                <c:pt idx="8">
                  <c:v>1.2264988896056099</c:v>
                </c:pt>
                <c:pt idx="9">
                  <c:v>1.28604940151484</c:v>
                </c:pt>
                <c:pt idx="10">
                  <c:v>1.37345080071043</c:v>
                </c:pt>
                <c:pt idx="11">
                  <c:v>1.4500891221824599</c:v>
                </c:pt>
                <c:pt idx="12">
                  <c:v>1.6055721696088827</c:v>
                </c:pt>
              </c:numCache>
            </c:numRef>
          </c:xVal>
          <c:yVal>
            <c:numRef>
              <c:f>SCA_HID!$Q$1:$Q$13</c:f>
              <c:numCache>
                <c:formatCode>0</c:formatCode>
                <c:ptCount val="13"/>
                <c:pt idx="0">
                  <c:v>1.0000000000000005E-2</c:v>
                </c:pt>
                <c:pt idx="1">
                  <c:v>0.05</c:v>
                </c:pt>
                <c:pt idx="2">
                  <c:v>0.1</c:v>
                </c:pt>
                <c:pt idx="3">
                  <c:v>0.2</c:v>
                </c:pt>
                <c:pt idx="4">
                  <c:v>0.30000000000000032</c:v>
                </c:pt>
                <c:pt idx="5">
                  <c:v>0.4</c:v>
                </c:pt>
                <c:pt idx="6">
                  <c:v>0.5</c:v>
                </c:pt>
                <c:pt idx="7">
                  <c:v>0.60000000000000164</c:v>
                </c:pt>
                <c:pt idx="8">
                  <c:v>0.70000000000000095</c:v>
                </c:pt>
                <c:pt idx="9">
                  <c:v>0.8</c:v>
                </c:pt>
                <c:pt idx="10">
                  <c:v>0.9</c:v>
                </c:pt>
                <c:pt idx="11">
                  <c:v>0.95000000000000095</c:v>
                </c:pt>
                <c:pt idx="12">
                  <c:v>0.99</c:v>
                </c:pt>
              </c:numCache>
            </c:numRef>
          </c:yVal>
          <c:smooth val="1"/>
          <c:extLst>
            <c:ext xmlns:c16="http://schemas.microsoft.com/office/drawing/2014/chart" uri="{C3380CC4-5D6E-409C-BE32-E72D297353CC}">
              <c16:uniqueId val="{00000000-07E1-4151-8118-F01EF425B27B}"/>
            </c:ext>
          </c:extLst>
        </c:ser>
        <c:dLbls>
          <c:showLegendKey val="0"/>
          <c:showVal val="0"/>
          <c:showCatName val="0"/>
          <c:showSerName val="0"/>
          <c:showPercent val="0"/>
          <c:showBubbleSize val="0"/>
        </c:dLbls>
        <c:axId val="98330496"/>
        <c:axId val="98342400"/>
      </c:scatterChart>
      <c:valAx>
        <c:axId val="98330496"/>
        <c:scaling>
          <c:logBase val="10"/>
          <c:orientation val="minMax"/>
        </c:scaling>
        <c:delete val="0"/>
        <c:axPos val="b"/>
        <c:title>
          <c:tx>
            <c:rich>
              <a:bodyPr rot="0" spcFirstLastPara="0" vertOverflow="ellipsis" vert="horz" wrap="square" anchor="ctr" anchorCtr="1"/>
              <a:lstStyle/>
              <a:p>
                <a:pPr>
                  <a:defRPr lang="en-US" sz="800" b="1" i="0" u="none" strike="noStrike" kern="1200" baseline="0">
                    <a:solidFill>
                      <a:schemeClr val="tx1"/>
                    </a:solidFill>
                    <a:latin typeface="+mn-lt"/>
                    <a:ea typeface="+mn-ea"/>
                    <a:cs typeface="+mn-cs"/>
                  </a:defRPr>
                </a:pPr>
                <a:r>
                  <a:rPr lang="en-US"/>
                  <a:t>Log</a:t>
                </a:r>
                <a:r>
                  <a:rPr lang="en-US" baseline="-25000"/>
                  <a:t>10</a:t>
                </a:r>
                <a:r>
                  <a:rPr lang="en-US"/>
                  <a:t> (concentration, mg/L)</a:t>
                </a:r>
              </a:p>
            </c:rich>
          </c:tx>
          <c:layout>
            <c:manualLayout>
              <c:xMode val="edge"/>
              <c:yMode val="edge"/>
              <c:x val="0.42003849518810232"/>
              <c:y val="0.909754700362016"/>
            </c:manualLayout>
          </c:layout>
          <c:overlay val="0"/>
        </c:title>
        <c:numFmt formatCode="General" sourceLinked="0"/>
        <c:majorTickMark val="cross"/>
        <c:minorTickMark val="none"/>
        <c:tickLblPos val="nextTo"/>
        <c:txPr>
          <a:bodyPr rot="-60000000" spcFirstLastPara="0" vertOverflow="ellipsis" vert="horz" wrap="square" anchor="ctr" anchorCtr="1"/>
          <a:lstStyle/>
          <a:p>
            <a:pPr>
              <a:defRPr lang="en-US" sz="700" b="0" i="0" u="none" strike="noStrike" kern="1200" baseline="0">
                <a:solidFill>
                  <a:schemeClr val="tx1"/>
                </a:solidFill>
                <a:latin typeface="+mn-lt"/>
                <a:ea typeface="+mn-ea"/>
                <a:cs typeface="+mn-cs"/>
              </a:defRPr>
            </a:pPr>
            <a:endParaRPr lang="en-US"/>
          </a:p>
        </c:txPr>
        <c:crossAx val="98342400"/>
        <c:crosses val="autoZero"/>
        <c:crossBetween val="midCat"/>
      </c:valAx>
      <c:valAx>
        <c:axId val="98342400"/>
        <c:scaling>
          <c:orientation val="minMax"/>
          <c:max val="1"/>
        </c:scaling>
        <c:delete val="0"/>
        <c:axPos val="l"/>
        <c:title>
          <c:tx>
            <c:rich>
              <a:bodyPr rot="-5400000" spcFirstLastPara="0" vertOverflow="ellipsis" vert="horz" wrap="square" anchor="ctr" anchorCtr="1"/>
              <a:lstStyle/>
              <a:p>
                <a:pPr>
                  <a:defRPr lang="en-US" sz="800" b="1" i="0" u="none" strike="noStrike" kern="1200" baseline="0">
                    <a:solidFill>
                      <a:schemeClr val="tx1"/>
                    </a:solidFill>
                    <a:latin typeface="+mn-lt"/>
                    <a:ea typeface="+mn-ea"/>
                    <a:cs typeface="+mn-cs"/>
                  </a:defRPr>
                </a:pPr>
                <a:r>
                  <a:rPr lang="en-GB"/>
                  <a:t>Probit</a:t>
                </a:r>
              </a:p>
            </c:rich>
          </c:tx>
          <c:overlay val="0"/>
        </c:title>
        <c:numFmt formatCode="#,##0.0" sourceLinked="0"/>
        <c:majorTickMark val="cross"/>
        <c:minorTickMark val="none"/>
        <c:tickLblPos val="nextTo"/>
        <c:txPr>
          <a:bodyPr rot="-60000000" spcFirstLastPara="0" vertOverflow="ellipsis" vert="horz" wrap="square" anchor="ctr" anchorCtr="1"/>
          <a:lstStyle/>
          <a:p>
            <a:pPr>
              <a:defRPr lang="en-US" sz="700" b="0" i="0" u="none" strike="noStrike" kern="1200" baseline="0">
                <a:solidFill>
                  <a:schemeClr val="tx1"/>
                </a:solidFill>
                <a:latin typeface="+mn-lt"/>
                <a:ea typeface="+mn-ea"/>
                <a:cs typeface="+mn-cs"/>
              </a:defRPr>
            </a:pPr>
            <a:endParaRPr lang="en-US"/>
          </a:p>
        </c:txPr>
        <c:crossAx val="98330496"/>
        <c:crossesAt val="0.1"/>
        <c:crossBetween val="midCat"/>
      </c:valAx>
      <c:spPr>
        <a:ln>
          <a:solidFill>
            <a:srgbClr val="808080"/>
          </a:solidFill>
          <a:prstDash val="solid"/>
        </a:ln>
      </c:spPr>
    </c:plotArea>
    <c:plotVisOnly val="1"/>
    <c:dispBlanksAs val="gap"/>
    <c:showDLblsOverMax val="0"/>
    <c:extLst>
      <c:ext uri="{0b15fc19-7d7d-44ad-8c2d-2c3a37ce22c3}">
        <chartProps xmlns="https://web.wps.cn/et/2018/main" chartId="{40c2baf4-f3ad-4b16-8ab1-f69942d46be9}"/>
      </c:ext>
    </c:extLst>
  </c:chart>
  <c:spPr>
    <a:ln w="6350" cap="flat" cmpd="sng" algn="ctr">
      <a:noFill/>
      <a:prstDash val="solid"/>
      <a:round/>
    </a:ln>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'Microbial biomass carbon (MB-C)'!$F$1</c:f>
              <c:strCache>
                <c:ptCount val="1"/>
                <c:pt idx="0">
                  <c:v>Control</c:v>
                </c:pt>
              </c:strCache>
            </c:strRef>
          </c:tx>
          <c:xVal>
            <c:numRef>
              <c:f>'Microbial biomass carbon (MB-C)'!$E$2:$E$5</c:f>
              <c:numCache>
                <c:formatCode>General</c:formatCode>
                <c:ptCount val="4"/>
                <c:pt idx="0">
                  <c:v>7</c:v>
                </c:pt>
                <c:pt idx="1">
                  <c:v>14</c:v>
                </c:pt>
                <c:pt idx="2">
                  <c:v>21</c:v>
                </c:pt>
                <c:pt idx="3">
                  <c:v>28</c:v>
                </c:pt>
              </c:numCache>
            </c:numRef>
          </c:xVal>
          <c:yVal>
            <c:numRef>
              <c:f>'Microbial biomass carbon (MB-C)'!$F$2:$F$5</c:f>
              <c:numCache>
                <c:formatCode>General</c:formatCode>
                <c:ptCount val="4"/>
                <c:pt idx="0">
                  <c:v>285.05500000000001</c:v>
                </c:pt>
                <c:pt idx="1">
                  <c:v>279.685</c:v>
                </c:pt>
                <c:pt idx="2">
                  <c:v>275.66500000000002</c:v>
                </c:pt>
                <c:pt idx="3">
                  <c:v>272.72499999999951</c:v>
                </c:pt>
              </c:numCache>
            </c:numRef>
          </c:yVal>
          <c:smooth val="1"/>
          <c:extLst>
            <c:ext xmlns:c16="http://schemas.microsoft.com/office/drawing/2014/chart" uri="{C3380CC4-5D6E-409C-BE32-E72D297353CC}">
              <c16:uniqueId val="{00000000-7FD9-4B0C-9872-568F072D0658}"/>
            </c:ext>
          </c:extLst>
        </c:ser>
        <c:ser>
          <c:idx val="1"/>
          <c:order val="1"/>
          <c:tx>
            <c:strRef>
              <c:f>'Microbial biomass carbon (MB-C)'!$G$1</c:f>
              <c:strCache>
                <c:ptCount val="1"/>
                <c:pt idx="0">
                  <c:v>Atrazine</c:v>
                </c:pt>
              </c:strCache>
            </c:strRef>
          </c:tx>
          <c:xVal>
            <c:numRef>
              <c:f>'Microbial biomass carbon (MB-C)'!$E$2:$E$5</c:f>
              <c:numCache>
                <c:formatCode>General</c:formatCode>
                <c:ptCount val="4"/>
                <c:pt idx="0">
                  <c:v>7</c:v>
                </c:pt>
                <c:pt idx="1">
                  <c:v>14</c:v>
                </c:pt>
                <c:pt idx="2">
                  <c:v>21</c:v>
                </c:pt>
                <c:pt idx="3">
                  <c:v>28</c:v>
                </c:pt>
              </c:numCache>
            </c:numRef>
          </c:xVal>
          <c:yVal>
            <c:numRef>
              <c:f>'Microbial biomass carbon (MB-C)'!$G$2:$G$5</c:f>
              <c:numCache>
                <c:formatCode>General</c:formatCode>
                <c:ptCount val="4"/>
                <c:pt idx="0">
                  <c:v>271.375</c:v>
                </c:pt>
                <c:pt idx="1">
                  <c:v>274.64499999999998</c:v>
                </c:pt>
                <c:pt idx="2">
                  <c:v>278.81</c:v>
                </c:pt>
                <c:pt idx="3">
                  <c:v>284.67</c:v>
                </c:pt>
              </c:numCache>
            </c:numRef>
          </c:yVal>
          <c:smooth val="1"/>
          <c:extLst>
            <c:ext xmlns:c16="http://schemas.microsoft.com/office/drawing/2014/chart" uri="{C3380CC4-5D6E-409C-BE32-E72D297353CC}">
              <c16:uniqueId val="{00000001-7FD9-4B0C-9872-568F072D0658}"/>
            </c:ext>
          </c:extLst>
        </c:ser>
        <c:ser>
          <c:idx val="2"/>
          <c:order val="2"/>
          <c:tx>
            <c:strRef>
              <c:f>'Microbial biomass carbon (MB-C)'!$H$1</c:f>
              <c:strCache>
                <c:ptCount val="1"/>
                <c:pt idx="0">
                  <c:v>Dichlorvos</c:v>
                </c:pt>
              </c:strCache>
            </c:strRef>
          </c:tx>
          <c:xVal>
            <c:numRef>
              <c:f>'Microbial biomass carbon (MB-C)'!$E$2:$E$5</c:f>
              <c:numCache>
                <c:formatCode>General</c:formatCode>
                <c:ptCount val="4"/>
                <c:pt idx="0">
                  <c:v>7</c:v>
                </c:pt>
                <c:pt idx="1">
                  <c:v>14</c:v>
                </c:pt>
                <c:pt idx="2">
                  <c:v>21</c:v>
                </c:pt>
                <c:pt idx="3">
                  <c:v>28</c:v>
                </c:pt>
              </c:numCache>
            </c:numRef>
          </c:xVal>
          <c:yVal>
            <c:numRef>
              <c:f>'Microbial biomass carbon (MB-C)'!$H$2:$H$5</c:f>
              <c:numCache>
                <c:formatCode>General</c:formatCode>
                <c:ptCount val="4"/>
                <c:pt idx="0">
                  <c:v>268.065</c:v>
                </c:pt>
                <c:pt idx="1">
                  <c:v>269.61500000000001</c:v>
                </c:pt>
                <c:pt idx="2">
                  <c:v>274.38</c:v>
                </c:pt>
                <c:pt idx="3">
                  <c:v>277.70500000000004</c:v>
                </c:pt>
              </c:numCache>
            </c:numRef>
          </c:yVal>
          <c:smooth val="1"/>
          <c:extLst>
            <c:ext xmlns:c16="http://schemas.microsoft.com/office/drawing/2014/chart" uri="{C3380CC4-5D6E-409C-BE32-E72D297353CC}">
              <c16:uniqueId val="{00000002-7FD9-4B0C-9872-568F072D0658}"/>
            </c:ext>
          </c:extLst>
        </c:ser>
        <c:dLbls>
          <c:showLegendKey val="0"/>
          <c:showVal val="0"/>
          <c:showCatName val="0"/>
          <c:showSerName val="0"/>
          <c:showPercent val="0"/>
          <c:showBubbleSize val="0"/>
        </c:dLbls>
        <c:axId val="99052544"/>
        <c:axId val="99071872"/>
      </c:scatterChart>
      <c:valAx>
        <c:axId val="99052544"/>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99071872"/>
        <c:crosses val="autoZero"/>
        <c:crossBetween val="midCat"/>
      </c:valAx>
      <c:valAx>
        <c:axId val="99071872"/>
        <c:scaling>
          <c:orientation val="minMax"/>
        </c:scaling>
        <c:delete val="0"/>
        <c:axPos val="l"/>
        <c:title>
          <c:tx>
            <c:rich>
              <a:bodyPr rot="-5400000" vert="horz"/>
              <a:lstStyle/>
              <a:p>
                <a:pPr>
                  <a:defRPr/>
                </a:pPr>
                <a:r>
                  <a:rPr lang="en-US"/>
                  <a:t>Micobial</a:t>
                </a:r>
                <a:r>
                  <a:rPr lang="en-US" baseline="0"/>
                  <a:t> Biomass Carbon (µg/g)</a:t>
                </a:r>
                <a:endParaRPr lang="en-US"/>
              </a:p>
            </c:rich>
          </c:tx>
          <c:layout>
            <c:manualLayout>
              <c:xMode val="edge"/>
              <c:yMode val="edge"/>
              <c:x val="3.333333333333334E-2"/>
              <c:y val="0.10733996792067656"/>
            </c:manualLayout>
          </c:layout>
          <c:overlay val="0"/>
        </c:title>
        <c:numFmt formatCode="General" sourceLinked="1"/>
        <c:majorTickMark val="out"/>
        <c:minorTickMark val="none"/>
        <c:tickLblPos val="nextTo"/>
        <c:crossAx val="99052544"/>
        <c:crosses val="autoZero"/>
        <c:crossBetween val="midCat"/>
      </c:valAx>
    </c:plotArea>
    <c:legend>
      <c:legendPos val="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'Microbial biomass carbon (MB-N)'!$G$2</c:f>
              <c:strCache>
                <c:ptCount val="1"/>
                <c:pt idx="0">
                  <c:v>Control</c:v>
                </c:pt>
              </c:strCache>
            </c:strRef>
          </c:tx>
          <c:xVal>
            <c:numRef>
              <c:f>'Microbial biomass carbon (MB-N)'!$F$3:$F$6</c:f>
              <c:numCache>
                <c:formatCode>General</c:formatCode>
                <c:ptCount val="4"/>
                <c:pt idx="0">
                  <c:v>7</c:v>
                </c:pt>
                <c:pt idx="1">
                  <c:v>14</c:v>
                </c:pt>
                <c:pt idx="2">
                  <c:v>21</c:v>
                </c:pt>
                <c:pt idx="3">
                  <c:v>28</c:v>
                </c:pt>
              </c:numCache>
            </c:numRef>
          </c:xVal>
          <c:yVal>
            <c:numRef>
              <c:f>'Microbial biomass carbon (MB-N)'!$G$3:$G$6</c:f>
              <c:numCache>
                <c:formatCode>General</c:formatCode>
                <c:ptCount val="4"/>
                <c:pt idx="0">
                  <c:v>18.004999999999999</c:v>
                </c:pt>
                <c:pt idx="1">
                  <c:v>17.670000000000005</c:v>
                </c:pt>
                <c:pt idx="2">
                  <c:v>17.414999999999999</c:v>
                </c:pt>
                <c:pt idx="3">
                  <c:v>17.23</c:v>
                </c:pt>
              </c:numCache>
            </c:numRef>
          </c:yVal>
          <c:smooth val="1"/>
          <c:extLst>
            <c:ext xmlns:c16="http://schemas.microsoft.com/office/drawing/2014/chart" uri="{C3380CC4-5D6E-409C-BE32-E72D297353CC}">
              <c16:uniqueId val="{00000000-DEB4-4E65-A674-4CE08208E24B}"/>
            </c:ext>
          </c:extLst>
        </c:ser>
        <c:ser>
          <c:idx val="1"/>
          <c:order val="1"/>
          <c:tx>
            <c:strRef>
              <c:f>'Microbial biomass carbon (MB-N)'!$H$2</c:f>
              <c:strCache>
                <c:ptCount val="1"/>
                <c:pt idx="0">
                  <c:v>Atrazine</c:v>
                </c:pt>
              </c:strCache>
            </c:strRef>
          </c:tx>
          <c:xVal>
            <c:numRef>
              <c:f>'Microbial biomass carbon (MB-N)'!$F$3:$F$6</c:f>
              <c:numCache>
                <c:formatCode>General</c:formatCode>
                <c:ptCount val="4"/>
                <c:pt idx="0">
                  <c:v>7</c:v>
                </c:pt>
                <c:pt idx="1">
                  <c:v>14</c:v>
                </c:pt>
                <c:pt idx="2">
                  <c:v>21</c:v>
                </c:pt>
                <c:pt idx="3">
                  <c:v>28</c:v>
                </c:pt>
              </c:numCache>
            </c:numRef>
          </c:xVal>
          <c:yVal>
            <c:numRef>
              <c:f>'Microbial biomass carbon (MB-N)'!$H$3:$H$6</c:f>
              <c:numCache>
                <c:formatCode>General</c:formatCode>
                <c:ptCount val="4"/>
                <c:pt idx="0">
                  <c:v>17.14</c:v>
                </c:pt>
                <c:pt idx="1">
                  <c:v>17.355</c:v>
                </c:pt>
                <c:pt idx="2">
                  <c:v>17.61500000000003</c:v>
                </c:pt>
                <c:pt idx="3">
                  <c:v>17.984999999999989</c:v>
                </c:pt>
              </c:numCache>
            </c:numRef>
          </c:yVal>
          <c:smooth val="1"/>
          <c:extLst>
            <c:ext xmlns:c16="http://schemas.microsoft.com/office/drawing/2014/chart" uri="{C3380CC4-5D6E-409C-BE32-E72D297353CC}">
              <c16:uniqueId val="{00000001-DEB4-4E65-A674-4CE08208E24B}"/>
            </c:ext>
          </c:extLst>
        </c:ser>
        <c:ser>
          <c:idx val="2"/>
          <c:order val="2"/>
          <c:tx>
            <c:strRef>
              <c:f>'Microbial biomass carbon (MB-N)'!$I$2</c:f>
              <c:strCache>
                <c:ptCount val="1"/>
                <c:pt idx="0">
                  <c:v>Dichlorvos</c:v>
                </c:pt>
              </c:strCache>
            </c:strRef>
          </c:tx>
          <c:xVal>
            <c:numRef>
              <c:f>'Microbial biomass carbon (MB-N)'!$F$3:$F$6</c:f>
              <c:numCache>
                <c:formatCode>General</c:formatCode>
                <c:ptCount val="4"/>
                <c:pt idx="0">
                  <c:v>7</c:v>
                </c:pt>
                <c:pt idx="1">
                  <c:v>14</c:v>
                </c:pt>
                <c:pt idx="2">
                  <c:v>21</c:v>
                </c:pt>
                <c:pt idx="3">
                  <c:v>28</c:v>
                </c:pt>
              </c:numCache>
            </c:numRef>
          </c:xVal>
          <c:yVal>
            <c:numRef>
              <c:f>'Microbial biomass carbon (MB-N)'!$I$3:$I$6</c:f>
              <c:numCache>
                <c:formatCode>General</c:formatCode>
                <c:ptCount val="4"/>
                <c:pt idx="0">
                  <c:v>16.935000000000002</c:v>
                </c:pt>
                <c:pt idx="1">
                  <c:v>17.03</c:v>
                </c:pt>
                <c:pt idx="2">
                  <c:v>17.335000000000001</c:v>
                </c:pt>
                <c:pt idx="3">
                  <c:v>17.545000000000002</c:v>
                </c:pt>
              </c:numCache>
            </c:numRef>
          </c:yVal>
          <c:smooth val="1"/>
          <c:extLst>
            <c:ext xmlns:c16="http://schemas.microsoft.com/office/drawing/2014/chart" uri="{C3380CC4-5D6E-409C-BE32-E72D297353CC}">
              <c16:uniqueId val="{00000002-DEB4-4E65-A674-4CE08208E24B}"/>
            </c:ext>
          </c:extLst>
        </c:ser>
        <c:dLbls>
          <c:showLegendKey val="0"/>
          <c:showVal val="0"/>
          <c:showCatName val="0"/>
          <c:showSerName val="0"/>
          <c:showPercent val="0"/>
          <c:showBubbleSize val="0"/>
        </c:dLbls>
        <c:axId val="118351360"/>
        <c:axId val="118355456"/>
      </c:scatterChart>
      <c:valAx>
        <c:axId val="118351360"/>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118355456"/>
        <c:crosses val="autoZero"/>
        <c:crossBetween val="midCat"/>
      </c:valAx>
      <c:valAx>
        <c:axId val="118355456"/>
        <c:scaling>
          <c:orientation val="minMax"/>
        </c:scaling>
        <c:delete val="0"/>
        <c:axPos val="l"/>
        <c:title>
          <c:tx>
            <c:rich>
              <a:bodyPr rot="-5400000" vert="horz"/>
              <a:lstStyle/>
              <a:p>
                <a:pPr>
                  <a:defRPr/>
                </a:pPr>
                <a:r>
                  <a:rPr lang="en-US"/>
                  <a:t>Microbial biomass Nitrogen (</a:t>
                </a:r>
                <a:r>
                  <a:rPr lang="en-US">
                    <a:latin typeface="Times New Roman"/>
                    <a:cs typeface="Times New Roman"/>
                  </a:rPr>
                  <a:t>µg/g)</a:t>
                </a:r>
                <a:endParaRPr lang="en-US"/>
              </a:p>
            </c:rich>
          </c:tx>
          <c:overlay val="0"/>
        </c:title>
        <c:numFmt formatCode="General" sourceLinked="1"/>
        <c:majorTickMark val="out"/>
        <c:minorTickMark val="none"/>
        <c:tickLblPos val="nextTo"/>
        <c:crossAx val="118351360"/>
        <c:crosses val="autoZero"/>
        <c:crossBetween val="midCat"/>
      </c:valAx>
    </c:plotArea>
    <c:legend>
      <c:legendPos val="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'Microbial biomass carbon (MB-P)'!$G$3</c:f>
              <c:strCache>
                <c:ptCount val="1"/>
                <c:pt idx="0">
                  <c:v>Control</c:v>
                </c:pt>
              </c:strCache>
            </c:strRef>
          </c:tx>
          <c:xVal>
            <c:numRef>
              <c:f>'Microbial biomass carbon (MB-P)'!$F$4:$F$7</c:f>
              <c:numCache>
                <c:formatCode>General</c:formatCode>
                <c:ptCount val="4"/>
                <c:pt idx="0">
                  <c:v>7</c:v>
                </c:pt>
                <c:pt idx="1">
                  <c:v>14</c:v>
                </c:pt>
                <c:pt idx="2">
                  <c:v>21</c:v>
                </c:pt>
                <c:pt idx="3">
                  <c:v>28</c:v>
                </c:pt>
              </c:numCache>
            </c:numRef>
          </c:xVal>
          <c:yVal>
            <c:numRef>
              <c:f>'Microbial biomass carbon (MB-P)'!$G$4:$G$7</c:f>
              <c:numCache>
                <c:formatCode>General</c:formatCode>
                <c:ptCount val="4"/>
                <c:pt idx="0">
                  <c:v>11.05</c:v>
                </c:pt>
                <c:pt idx="1">
                  <c:v>10.845000000000002</c:v>
                </c:pt>
                <c:pt idx="2">
                  <c:v>10.690000000000001</c:v>
                </c:pt>
                <c:pt idx="3">
                  <c:v>10.575000000000006</c:v>
                </c:pt>
              </c:numCache>
            </c:numRef>
          </c:yVal>
          <c:smooth val="1"/>
          <c:extLst>
            <c:ext xmlns:c16="http://schemas.microsoft.com/office/drawing/2014/chart" uri="{C3380CC4-5D6E-409C-BE32-E72D297353CC}">
              <c16:uniqueId val="{00000000-CB13-4CEE-AA6C-CD725B938875}"/>
            </c:ext>
          </c:extLst>
        </c:ser>
        <c:ser>
          <c:idx val="1"/>
          <c:order val="1"/>
          <c:tx>
            <c:strRef>
              <c:f>'Microbial biomass carbon (MB-P)'!$H$3</c:f>
              <c:strCache>
                <c:ptCount val="1"/>
                <c:pt idx="0">
                  <c:v>Atrazine</c:v>
                </c:pt>
              </c:strCache>
            </c:strRef>
          </c:tx>
          <c:xVal>
            <c:numRef>
              <c:f>'Microbial biomass carbon (MB-P)'!$F$4:$F$7</c:f>
              <c:numCache>
                <c:formatCode>General</c:formatCode>
                <c:ptCount val="4"/>
                <c:pt idx="0">
                  <c:v>7</c:v>
                </c:pt>
                <c:pt idx="1">
                  <c:v>14</c:v>
                </c:pt>
                <c:pt idx="2">
                  <c:v>21</c:v>
                </c:pt>
                <c:pt idx="3">
                  <c:v>28</c:v>
                </c:pt>
              </c:numCache>
            </c:numRef>
          </c:xVal>
          <c:yVal>
            <c:numRef>
              <c:f>'Microbial biomass carbon (MB-P)'!$H$4:$H$7</c:f>
              <c:numCache>
                <c:formatCode>General</c:formatCode>
                <c:ptCount val="4"/>
                <c:pt idx="0">
                  <c:v>10.52</c:v>
                </c:pt>
                <c:pt idx="1">
                  <c:v>10.65</c:v>
                </c:pt>
                <c:pt idx="2">
                  <c:v>10.810000000000002</c:v>
                </c:pt>
                <c:pt idx="3">
                  <c:v>11.04</c:v>
                </c:pt>
              </c:numCache>
            </c:numRef>
          </c:yVal>
          <c:smooth val="1"/>
          <c:extLst>
            <c:ext xmlns:c16="http://schemas.microsoft.com/office/drawing/2014/chart" uri="{C3380CC4-5D6E-409C-BE32-E72D297353CC}">
              <c16:uniqueId val="{00000001-CB13-4CEE-AA6C-CD725B938875}"/>
            </c:ext>
          </c:extLst>
        </c:ser>
        <c:ser>
          <c:idx val="2"/>
          <c:order val="2"/>
          <c:tx>
            <c:strRef>
              <c:f>'Microbial biomass carbon (MB-P)'!$I$3</c:f>
              <c:strCache>
                <c:ptCount val="1"/>
                <c:pt idx="0">
                  <c:v>Dichlorvos</c:v>
                </c:pt>
              </c:strCache>
            </c:strRef>
          </c:tx>
          <c:xVal>
            <c:numRef>
              <c:f>'Microbial biomass carbon (MB-P)'!$F$4:$F$7</c:f>
              <c:numCache>
                <c:formatCode>General</c:formatCode>
                <c:ptCount val="4"/>
                <c:pt idx="0">
                  <c:v>7</c:v>
                </c:pt>
                <c:pt idx="1">
                  <c:v>14</c:v>
                </c:pt>
                <c:pt idx="2">
                  <c:v>21</c:v>
                </c:pt>
                <c:pt idx="3">
                  <c:v>28</c:v>
                </c:pt>
              </c:numCache>
            </c:numRef>
          </c:xVal>
          <c:yVal>
            <c:numRef>
              <c:f>'Microbial biomass carbon (MB-P)'!$I$4:$I$7</c:f>
              <c:numCache>
                <c:formatCode>General</c:formatCode>
                <c:ptCount val="4"/>
                <c:pt idx="0">
                  <c:v>10.39</c:v>
                </c:pt>
                <c:pt idx="1">
                  <c:v>10.450000000000006</c:v>
                </c:pt>
                <c:pt idx="2">
                  <c:v>10.639999999999999</c:v>
                </c:pt>
                <c:pt idx="3">
                  <c:v>10.765000000000002</c:v>
                </c:pt>
              </c:numCache>
            </c:numRef>
          </c:yVal>
          <c:smooth val="1"/>
          <c:extLst>
            <c:ext xmlns:c16="http://schemas.microsoft.com/office/drawing/2014/chart" uri="{C3380CC4-5D6E-409C-BE32-E72D297353CC}">
              <c16:uniqueId val="{00000002-CB13-4CEE-AA6C-CD725B938875}"/>
            </c:ext>
          </c:extLst>
        </c:ser>
        <c:dLbls>
          <c:showLegendKey val="0"/>
          <c:showVal val="0"/>
          <c:showCatName val="0"/>
          <c:showSerName val="0"/>
          <c:showPercent val="0"/>
          <c:showBubbleSize val="0"/>
        </c:dLbls>
        <c:axId val="118482816"/>
        <c:axId val="118627328"/>
      </c:scatterChart>
      <c:valAx>
        <c:axId val="118482816"/>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118627328"/>
        <c:crosses val="autoZero"/>
        <c:crossBetween val="midCat"/>
      </c:valAx>
      <c:valAx>
        <c:axId val="118627328"/>
        <c:scaling>
          <c:orientation val="minMax"/>
        </c:scaling>
        <c:delete val="0"/>
        <c:axPos val="l"/>
        <c:title>
          <c:tx>
            <c:rich>
              <a:bodyPr rot="-5400000" vert="horz"/>
              <a:lstStyle/>
              <a:p>
                <a:pPr>
                  <a:defRPr/>
                </a:pPr>
                <a:r>
                  <a:rPr lang="en-US"/>
                  <a:t>Microbial biomass phosphate</a:t>
                </a:r>
                <a:r>
                  <a:rPr lang="en-US" baseline="0"/>
                  <a:t> (</a:t>
                </a:r>
                <a:r>
                  <a:rPr lang="en-US" baseline="0">
                    <a:latin typeface="Times New Roman"/>
                    <a:cs typeface="Times New Roman"/>
                  </a:rPr>
                  <a:t>µg/g)</a:t>
                </a:r>
                <a:endParaRPr lang="en-US"/>
              </a:p>
            </c:rich>
          </c:tx>
          <c:layout>
            <c:manualLayout>
              <c:xMode val="edge"/>
              <c:yMode val="edge"/>
              <c:x val="3.333333333333334E-2"/>
              <c:y val="0.10271033829104691"/>
            </c:manualLayout>
          </c:layout>
          <c:overlay val="0"/>
        </c:title>
        <c:numFmt formatCode="General" sourceLinked="1"/>
        <c:majorTickMark val="out"/>
        <c:minorTickMark val="none"/>
        <c:tickLblPos val="nextTo"/>
        <c:crossAx val="118482816"/>
        <c:crosses val="autoZero"/>
        <c:crossBetween val="midCat"/>
      </c:valAx>
    </c:plotArea>
    <c:legend>
      <c:legendPos val="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'BACTERIAL COUNTS (x 104)'!$H$2</c:f>
              <c:strCache>
                <c:ptCount val="1"/>
                <c:pt idx="0">
                  <c:v>Control</c:v>
                </c:pt>
              </c:strCache>
            </c:strRef>
          </c:tx>
          <c:xVal>
            <c:numRef>
              <c:f>'BACTERIAL COUNTS (x 104)'!$G$3:$G$7</c:f>
              <c:numCache>
                <c:formatCode>General</c:formatCode>
                <c:ptCount val="5"/>
                <c:pt idx="0">
                  <c:v>0</c:v>
                </c:pt>
                <c:pt idx="1">
                  <c:v>7</c:v>
                </c:pt>
                <c:pt idx="2">
                  <c:v>14</c:v>
                </c:pt>
                <c:pt idx="3">
                  <c:v>21</c:v>
                </c:pt>
                <c:pt idx="4">
                  <c:v>28</c:v>
                </c:pt>
              </c:numCache>
            </c:numRef>
          </c:xVal>
          <c:yVal>
            <c:numRef>
              <c:f>'BACTERIAL COUNTS (x 104)'!$H$3:$H$7</c:f>
              <c:numCache>
                <c:formatCode>0.0</c:formatCode>
                <c:ptCount val="5"/>
                <c:pt idx="0">
                  <c:v>254.3333333333336</c:v>
                </c:pt>
                <c:pt idx="1">
                  <c:v>251</c:v>
                </c:pt>
                <c:pt idx="2">
                  <c:v>233.3333333333336</c:v>
                </c:pt>
                <c:pt idx="3">
                  <c:v>201.66666666666652</c:v>
                </c:pt>
                <c:pt idx="4">
                  <c:v>195</c:v>
                </c:pt>
              </c:numCache>
            </c:numRef>
          </c:yVal>
          <c:smooth val="1"/>
          <c:extLst>
            <c:ext xmlns:c16="http://schemas.microsoft.com/office/drawing/2014/chart" uri="{C3380CC4-5D6E-409C-BE32-E72D297353CC}">
              <c16:uniqueId val="{00000000-5BDF-4F20-947C-DB0B31E83885}"/>
            </c:ext>
          </c:extLst>
        </c:ser>
        <c:ser>
          <c:idx val="1"/>
          <c:order val="1"/>
          <c:tx>
            <c:strRef>
              <c:f>'BACTERIAL COUNTS (x 104)'!$I$2</c:f>
              <c:strCache>
                <c:ptCount val="1"/>
                <c:pt idx="0">
                  <c:v>Atrazine</c:v>
                </c:pt>
              </c:strCache>
            </c:strRef>
          </c:tx>
          <c:xVal>
            <c:numRef>
              <c:f>'BACTERIAL COUNTS (x 104)'!$G$3:$G$7</c:f>
              <c:numCache>
                <c:formatCode>General</c:formatCode>
                <c:ptCount val="5"/>
                <c:pt idx="0">
                  <c:v>0</c:v>
                </c:pt>
                <c:pt idx="1">
                  <c:v>7</c:v>
                </c:pt>
                <c:pt idx="2">
                  <c:v>14</c:v>
                </c:pt>
                <c:pt idx="3">
                  <c:v>21</c:v>
                </c:pt>
                <c:pt idx="4">
                  <c:v>28</c:v>
                </c:pt>
              </c:numCache>
            </c:numRef>
          </c:xVal>
          <c:yVal>
            <c:numRef>
              <c:f>'BACTERIAL COUNTS (x 104)'!$I$3:$I$7</c:f>
              <c:numCache>
                <c:formatCode>0.0</c:formatCode>
                <c:ptCount val="5"/>
                <c:pt idx="0">
                  <c:v>254.3333333333336</c:v>
                </c:pt>
                <c:pt idx="1">
                  <c:v>159</c:v>
                </c:pt>
                <c:pt idx="2">
                  <c:v>190.3333333333336</c:v>
                </c:pt>
                <c:pt idx="3">
                  <c:v>245</c:v>
                </c:pt>
                <c:pt idx="4">
                  <c:v>214</c:v>
                </c:pt>
              </c:numCache>
            </c:numRef>
          </c:yVal>
          <c:smooth val="1"/>
          <c:extLst>
            <c:ext xmlns:c16="http://schemas.microsoft.com/office/drawing/2014/chart" uri="{C3380CC4-5D6E-409C-BE32-E72D297353CC}">
              <c16:uniqueId val="{00000001-5BDF-4F20-947C-DB0B31E83885}"/>
            </c:ext>
          </c:extLst>
        </c:ser>
        <c:ser>
          <c:idx val="2"/>
          <c:order val="2"/>
          <c:tx>
            <c:strRef>
              <c:f>'BACTERIAL COUNTS (x 104)'!$J$2</c:f>
              <c:strCache>
                <c:ptCount val="1"/>
                <c:pt idx="0">
                  <c:v>Dichlorvos</c:v>
                </c:pt>
              </c:strCache>
            </c:strRef>
          </c:tx>
          <c:xVal>
            <c:numRef>
              <c:f>'BACTERIAL COUNTS (x 104)'!$G$3:$G$7</c:f>
              <c:numCache>
                <c:formatCode>General</c:formatCode>
                <c:ptCount val="5"/>
                <c:pt idx="0">
                  <c:v>0</c:v>
                </c:pt>
                <c:pt idx="1">
                  <c:v>7</c:v>
                </c:pt>
                <c:pt idx="2">
                  <c:v>14</c:v>
                </c:pt>
                <c:pt idx="3">
                  <c:v>21</c:v>
                </c:pt>
                <c:pt idx="4">
                  <c:v>28</c:v>
                </c:pt>
              </c:numCache>
            </c:numRef>
          </c:xVal>
          <c:yVal>
            <c:numRef>
              <c:f>'BACTERIAL COUNTS (x 104)'!$J$3:$J$7</c:f>
              <c:numCache>
                <c:formatCode>0.0</c:formatCode>
                <c:ptCount val="5"/>
                <c:pt idx="0">
                  <c:v>254.3333333333336</c:v>
                </c:pt>
                <c:pt idx="1">
                  <c:v>143</c:v>
                </c:pt>
                <c:pt idx="2">
                  <c:v>179</c:v>
                </c:pt>
                <c:pt idx="3">
                  <c:v>205</c:v>
                </c:pt>
                <c:pt idx="4">
                  <c:v>196.3333333333336</c:v>
                </c:pt>
              </c:numCache>
            </c:numRef>
          </c:yVal>
          <c:smooth val="1"/>
          <c:extLst>
            <c:ext xmlns:c16="http://schemas.microsoft.com/office/drawing/2014/chart" uri="{C3380CC4-5D6E-409C-BE32-E72D297353CC}">
              <c16:uniqueId val="{00000002-5BDF-4F20-947C-DB0B31E83885}"/>
            </c:ext>
          </c:extLst>
        </c:ser>
        <c:dLbls>
          <c:showLegendKey val="0"/>
          <c:showVal val="0"/>
          <c:showCatName val="0"/>
          <c:showSerName val="0"/>
          <c:showPercent val="0"/>
          <c:showBubbleSize val="0"/>
        </c:dLbls>
        <c:axId val="131401984"/>
        <c:axId val="131568384"/>
      </c:scatterChart>
      <c:valAx>
        <c:axId val="131401984"/>
        <c:scaling>
          <c:orientation val="minMax"/>
        </c:scaling>
        <c:delete val="0"/>
        <c:axPos val="b"/>
        <c:title>
          <c:tx>
            <c:rich>
              <a:bodyPr/>
              <a:lstStyle/>
              <a:p>
                <a:pPr>
                  <a:defRPr/>
                </a:pPr>
                <a:r>
                  <a:rPr lang="en-US"/>
                  <a:t>Time</a:t>
                </a:r>
                <a:r>
                  <a:rPr lang="en-US" baseline="0"/>
                  <a:t> (Days)</a:t>
                </a:r>
                <a:endParaRPr lang="en-US"/>
              </a:p>
            </c:rich>
          </c:tx>
          <c:overlay val="0"/>
          <c:spPr>
            <a:ln>
              <a:noFill/>
            </a:ln>
          </c:spPr>
        </c:title>
        <c:numFmt formatCode="General" sourceLinked="1"/>
        <c:majorTickMark val="out"/>
        <c:minorTickMark val="none"/>
        <c:tickLblPos val="nextTo"/>
        <c:crossAx val="131568384"/>
        <c:crosses val="autoZero"/>
        <c:crossBetween val="midCat"/>
      </c:valAx>
      <c:valAx>
        <c:axId val="131568384"/>
        <c:scaling>
          <c:orientation val="minMax"/>
        </c:scaling>
        <c:delete val="0"/>
        <c:axPos val="l"/>
        <c:title>
          <c:tx>
            <c:rich>
              <a:bodyPr rot="-5400000" vert="horz"/>
              <a:lstStyle/>
              <a:p>
                <a:pPr>
                  <a:defRPr/>
                </a:pPr>
                <a:r>
                  <a:rPr lang="en-US"/>
                  <a:t>Bacterial Counts </a:t>
                </a:r>
                <a:r>
                  <a:rPr lang="en-US" sz="1000" b="1" i="0" u="none" strike="noStrike" baseline="0"/>
                  <a:t>(×10</a:t>
                </a:r>
                <a:r>
                  <a:rPr lang="en-US" sz="1000" b="1" i="0" u="none" strike="noStrike" baseline="30000"/>
                  <a:t>4</a:t>
                </a:r>
                <a:r>
                  <a:rPr lang="en-US" sz="1000" b="1" i="0" u="none" strike="noStrike" baseline="0"/>
                  <a:t> CFU/g)</a:t>
                </a:r>
                <a:endParaRPr lang="en-US"/>
              </a:p>
            </c:rich>
          </c:tx>
          <c:overlay val="0"/>
        </c:title>
        <c:numFmt formatCode="0.0" sourceLinked="1"/>
        <c:majorTickMark val="out"/>
        <c:minorTickMark val="none"/>
        <c:tickLblPos val="nextTo"/>
        <c:crossAx val="131401984"/>
        <c:crosses val="autoZero"/>
        <c:crossBetween val="midCat"/>
      </c:valAx>
    </c:plotArea>
    <c:legend>
      <c:legendPos val="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'NITRIFIERS COUNTS (x 103)'!$I$3</c:f>
              <c:strCache>
                <c:ptCount val="1"/>
                <c:pt idx="0">
                  <c:v>Control</c:v>
                </c:pt>
              </c:strCache>
            </c:strRef>
          </c:tx>
          <c:xVal>
            <c:numRef>
              <c:f>'NITRIFIERS COUNTS (x 103)'!$H$4:$H$8</c:f>
              <c:numCache>
                <c:formatCode>General</c:formatCode>
                <c:ptCount val="5"/>
                <c:pt idx="0">
                  <c:v>0</c:v>
                </c:pt>
                <c:pt idx="1">
                  <c:v>7</c:v>
                </c:pt>
                <c:pt idx="2">
                  <c:v>14</c:v>
                </c:pt>
                <c:pt idx="3">
                  <c:v>21</c:v>
                </c:pt>
                <c:pt idx="4">
                  <c:v>28</c:v>
                </c:pt>
              </c:numCache>
            </c:numRef>
          </c:xVal>
          <c:yVal>
            <c:numRef>
              <c:f>'NITRIFIERS COUNTS (x 103)'!$I$4:$I$8</c:f>
              <c:numCache>
                <c:formatCode>0.0</c:formatCode>
                <c:ptCount val="5"/>
                <c:pt idx="0">
                  <c:v>182.3333333333336</c:v>
                </c:pt>
                <c:pt idx="1">
                  <c:v>179.3333333333336</c:v>
                </c:pt>
                <c:pt idx="2">
                  <c:v>175.66666666666652</c:v>
                </c:pt>
                <c:pt idx="3">
                  <c:v>155.3333333333336</c:v>
                </c:pt>
                <c:pt idx="4">
                  <c:v>137.66666666666652</c:v>
                </c:pt>
              </c:numCache>
            </c:numRef>
          </c:yVal>
          <c:smooth val="1"/>
          <c:extLst>
            <c:ext xmlns:c16="http://schemas.microsoft.com/office/drawing/2014/chart" uri="{C3380CC4-5D6E-409C-BE32-E72D297353CC}">
              <c16:uniqueId val="{00000000-E973-45D3-A6BF-88A6A92D6BD2}"/>
            </c:ext>
          </c:extLst>
        </c:ser>
        <c:ser>
          <c:idx val="1"/>
          <c:order val="1"/>
          <c:tx>
            <c:strRef>
              <c:f>'NITRIFIERS COUNTS (x 103)'!$J$3</c:f>
              <c:strCache>
                <c:ptCount val="1"/>
                <c:pt idx="0">
                  <c:v>Atrazine</c:v>
                </c:pt>
              </c:strCache>
            </c:strRef>
          </c:tx>
          <c:xVal>
            <c:numRef>
              <c:f>'NITRIFIERS COUNTS (x 103)'!$H$4:$H$8</c:f>
              <c:numCache>
                <c:formatCode>General</c:formatCode>
                <c:ptCount val="5"/>
                <c:pt idx="0">
                  <c:v>0</c:v>
                </c:pt>
                <c:pt idx="1">
                  <c:v>7</c:v>
                </c:pt>
                <c:pt idx="2">
                  <c:v>14</c:v>
                </c:pt>
                <c:pt idx="3">
                  <c:v>21</c:v>
                </c:pt>
                <c:pt idx="4">
                  <c:v>28</c:v>
                </c:pt>
              </c:numCache>
            </c:numRef>
          </c:xVal>
          <c:yVal>
            <c:numRef>
              <c:f>'NITRIFIERS COUNTS (x 103)'!$J$4:$J$8</c:f>
              <c:numCache>
                <c:formatCode>0.0</c:formatCode>
                <c:ptCount val="5"/>
                <c:pt idx="0">
                  <c:v>182.3333333333336</c:v>
                </c:pt>
                <c:pt idx="1">
                  <c:v>121</c:v>
                </c:pt>
                <c:pt idx="2">
                  <c:v>145.66666666666652</c:v>
                </c:pt>
                <c:pt idx="3">
                  <c:v>184.3333333333336</c:v>
                </c:pt>
                <c:pt idx="4">
                  <c:v>145.66666666666652</c:v>
                </c:pt>
              </c:numCache>
            </c:numRef>
          </c:yVal>
          <c:smooth val="1"/>
          <c:extLst>
            <c:ext xmlns:c16="http://schemas.microsoft.com/office/drawing/2014/chart" uri="{C3380CC4-5D6E-409C-BE32-E72D297353CC}">
              <c16:uniqueId val="{00000001-E973-45D3-A6BF-88A6A92D6BD2}"/>
            </c:ext>
          </c:extLst>
        </c:ser>
        <c:ser>
          <c:idx val="2"/>
          <c:order val="2"/>
          <c:tx>
            <c:strRef>
              <c:f>'NITRIFIERS COUNTS (x 103)'!$K$3</c:f>
              <c:strCache>
                <c:ptCount val="1"/>
                <c:pt idx="0">
                  <c:v>Dichlorvos</c:v>
                </c:pt>
              </c:strCache>
            </c:strRef>
          </c:tx>
          <c:xVal>
            <c:numRef>
              <c:f>'NITRIFIERS COUNTS (x 103)'!$H$4:$H$8</c:f>
              <c:numCache>
                <c:formatCode>General</c:formatCode>
                <c:ptCount val="5"/>
                <c:pt idx="0">
                  <c:v>0</c:v>
                </c:pt>
                <c:pt idx="1">
                  <c:v>7</c:v>
                </c:pt>
                <c:pt idx="2">
                  <c:v>14</c:v>
                </c:pt>
                <c:pt idx="3">
                  <c:v>21</c:v>
                </c:pt>
                <c:pt idx="4">
                  <c:v>28</c:v>
                </c:pt>
              </c:numCache>
            </c:numRef>
          </c:xVal>
          <c:yVal>
            <c:numRef>
              <c:f>'NITRIFIERS COUNTS (x 103)'!$K$4:$K$8</c:f>
              <c:numCache>
                <c:formatCode>0.0</c:formatCode>
                <c:ptCount val="5"/>
                <c:pt idx="0">
                  <c:v>182.3333333333336</c:v>
                </c:pt>
                <c:pt idx="1">
                  <c:v>79.666666666666671</c:v>
                </c:pt>
                <c:pt idx="2">
                  <c:v>115.66666666666667</c:v>
                </c:pt>
                <c:pt idx="3">
                  <c:v>160</c:v>
                </c:pt>
                <c:pt idx="4">
                  <c:v>80.333333333333258</c:v>
                </c:pt>
              </c:numCache>
            </c:numRef>
          </c:yVal>
          <c:smooth val="1"/>
          <c:extLst>
            <c:ext xmlns:c16="http://schemas.microsoft.com/office/drawing/2014/chart" uri="{C3380CC4-5D6E-409C-BE32-E72D297353CC}">
              <c16:uniqueId val="{00000002-E973-45D3-A6BF-88A6A92D6BD2}"/>
            </c:ext>
          </c:extLst>
        </c:ser>
        <c:dLbls>
          <c:showLegendKey val="0"/>
          <c:showVal val="0"/>
          <c:showCatName val="0"/>
          <c:showSerName val="0"/>
          <c:showPercent val="0"/>
          <c:showBubbleSize val="0"/>
        </c:dLbls>
        <c:axId val="141505280"/>
        <c:axId val="142958592"/>
      </c:scatterChart>
      <c:valAx>
        <c:axId val="141505280"/>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142958592"/>
        <c:crosses val="autoZero"/>
        <c:crossBetween val="midCat"/>
      </c:valAx>
      <c:valAx>
        <c:axId val="142958592"/>
        <c:scaling>
          <c:orientation val="minMax"/>
        </c:scaling>
        <c:delete val="0"/>
        <c:axPos val="l"/>
        <c:title>
          <c:tx>
            <c:rich>
              <a:bodyPr rot="-5400000" vert="horz"/>
              <a:lstStyle/>
              <a:p>
                <a:pPr>
                  <a:defRPr/>
                </a:pPr>
                <a:r>
                  <a:rPr lang="en-US"/>
                  <a:t>Nitrifiers Count </a:t>
                </a:r>
                <a:r>
                  <a:rPr lang="en-US" sz="1000" b="1" i="0" u="none" strike="noStrike" baseline="0"/>
                  <a:t>(×10</a:t>
                </a:r>
                <a:r>
                  <a:rPr lang="en-US" sz="1000" b="1" i="0" u="none" strike="noStrike" baseline="30000"/>
                  <a:t>3</a:t>
                </a:r>
                <a:r>
                  <a:rPr lang="en-US" sz="1000" b="1" i="0" u="none" strike="noStrike" baseline="0"/>
                  <a:t> CFU/g)</a:t>
                </a:r>
                <a:endParaRPr lang="en-US"/>
              </a:p>
            </c:rich>
          </c:tx>
          <c:overlay val="0"/>
        </c:title>
        <c:numFmt formatCode="0.0" sourceLinked="1"/>
        <c:majorTickMark val="out"/>
        <c:minorTickMark val="none"/>
        <c:tickLblPos val="nextTo"/>
        <c:crossAx val="141505280"/>
        <c:crosses val="autoZero"/>
        <c:crossBetween val="midCat"/>
      </c:valAx>
    </c:plotArea>
    <c:legend>
      <c:legendPos val="t"/>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'PHOSPHATE SOLUBILIZERS COUNTS'!$I$4</c:f>
              <c:strCache>
                <c:ptCount val="1"/>
                <c:pt idx="0">
                  <c:v>Control</c:v>
                </c:pt>
              </c:strCache>
            </c:strRef>
          </c:tx>
          <c:xVal>
            <c:numRef>
              <c:f>'PHOSPHATE SOLUBILIZERS COUNTS'!$H$5:$H$9</c:f>
              <c:numCache>
                <c:formatCode>General</c:formatCode>
                <c:ptCount val="5"/>
                <c:pt idx="0">
                  <c:v>0</c:v>
                </c:pt>
                <c:pt idx="1">
                  <c:v>7</c:v>
                </c:pt>
                <c:pt idx="2">
                  <c:v>14</c:v>
                </c:pt>
                <c:pt idx="3">
                  <c:v>21</c:v>
                </c:pt>
                <c:pt idx="4">
                  <c:v>28</c:v>
                </c:pt>
              </c:numCache>
            </c:numRef>
          </c:xVal>
          <c:yVal>
            <c:numRef>
              <c:f>'PHOSPHATE SOLUBILIZERS COUNTS'!$I$5:$I$9</c:f>
              <c:numCache>
                <c:formatCode>0.0</c:formatCode>
                <c:ptCount val="5"/>
                <c:pt idx="0">
                  <c:v>217.3333333333336</c:v>
                </c:pt>
                <c:pt idx="1">
                  <c:v>201.3333333333336</c:v>
                </c:pt>
                <c:pt idx="2">
                  <c:v>175</c:v>
                </c:pt>
                <c:pt idx="3">
                  <c:v>174</c:v>
                </c:pt>
                <c:pt idx="4">
                  <c:v>167.66666666666652</c:v>
                </c:pt>
              </c:numCache>
            </c:numRef>
          </c:yVal>
          <c:smooth val="1"/>
          <c:extLst>
            <c:ext xmlns:c16="http://schemas.microsoft.com/office/drawing/2014/chart" uri="{C3380CC4-5D6E-409C-BE32-E72D297353CC}">
              <c16:uniqueId val="{00000000-6544-43A4-9B9A-DA9151B02C68}"/>
            </c:ext>
          </c:extLst>
        </c:ser>
        <c:ser>
          <c:idx val="1"/>
          <c:order val="1"/>
          <c:tx>
            <c:strRef>
              <c:f>'PHOSPHATE SOLUBILIZERS COUNTS'!$J$4</c:f>
              <c:strCache>
                <c:ptCount val="1"/>
                <c:pt idx="0">
                  <c:v>Atrazine</c:v>
                </c:pt>
              </c:strCache>
            </c:strRef>
          </c:tx>
          <c:xVal>
            <c:numRef>
              <c:f>'PHOSPHATE SOLUBILIZERS COUNTS'!$H$5:$H$9</c:f>
              <c:numCache>
                <c:formatCode>General</c:formatCode>
                <c:ptCount val="5"/>
                <c:pt idx="0">
                  <c:v>0</c:v>
                </c:pt>
                <c:pt idx="1">
                  <c:v>7</c:v>
                </c:pt>
                <c:pt idx="2">
                  <c:v>14</c:v>
                </c:pt>
                <c:pt idx="3">
                  <c:v>21</c:v>
                </c:pt>
                <c:pt idx="4">
                  <c:v>28</c:v>
                </c:pt>
              </c:numCache>
            </c:numRef>
          </c:xVal>
          <c:yVal>
            <c:numRef>
              <c:f>'PHOSPHATE SOLUBILIZERS COUNTS'!$J$5:$J$9</c:f>
              <c:numCache>
                <c:formatCode>0.0</c:formatCode>
                <c:ptCount val="5"/>
                <c:pt idx="0">
                  <c:v>217.3333333333336</c:v>
                </c:pt>
                <c:pt idx="1">
                  <c:v>88.333333333333258</c:v>
                </c:pt>
                <c:pt idx="2">
                  <c:v>140.66666666666652</c:v>
                </c:pt>
                <c:pt idx="3">
                  <c:v>233.3333333333336</c:v>
                </c:pt>
                <c:pt idx="4">
                  <c:v>160.3333333333336</c:v>
                </c:pt>
              </c:numCache>
            </c:numRef>
          </c:yVal>
          <c:smooth val="1"/>
          <c:extLst>
            <c:ext xmlns:c16="http://schemas.microsoft.com/office/drawing/2014/chart" uri="{C3380CC4-5D6E-409C-BE32-E72D297353CC}">
              <c16:uniqueId val="{00000001-6544-43A4-9B9A-DA9151B02C68}"/>
            </c:ext>
          </c:extLst>
        </c:ser>
        <c:ser>
          <c:idx val="2"/>
          <c:order val="2"/>
          <c:tx>
            <c:strRef>
              <c:f>'PHOSPHATE SOLUBILIZERS COUNTS'!$K$4</c:f>
              <c:strCache>
                <c:ptCount val="1"/>
                <c:pt idx="0">
                  <c:v>Dichlorvos</c:v>
                </c:pt>
              </c:strCache>
            </c:strRef>
          </c:tx>
          <c:xVal>
            <c:numRef>
              <c:f>'PHOSPHATE SOLUBILIZERS COUNTS'!$H$5:$H$9</c:f>
              <c:numCache>
                <c:formatCode>General</c:formatCode>
                <c:ptCount val="5"/>
                <c:pt idx="0">
                  <c:v>0</c:v>
                </c:pt>
                <c:pt idx="1">
                  <c:v>7</c:v>
                </c:pt>
                <c:pt idx="2">
                  <c:v>14</c:v>
                </c:pt>
                <c:pt idx="3">
                  <c:v>21</c:v>
                </c:pt>
                <c:pt idx="4">
                  <c:v>28</c:v>
                </c:pt>
              </c:numCache>
            </c:numRef>
          </c:xVal>
          <c:yVal>
            <c:numRef>
              <c:f>'PHOSPHATE SOLUBILIZERS COUNTS'!$K$5:$K$9</c:f>
              <c:numCache>
                <c:formatCode>0.0</c:formatCode>
                <c:ptCount val="5"/>
                <c:pt idx="0">
                  <c:v>217.3333333333336</c:v>
                </c:pt>
                <c:pt idx="1">
                  <c:v>78.666666666666671</c:v>
                </c:pt>
                <c:pt idx="2">
                  <c:v>111.66666666666667</c:v>
                </c:pt>
                <c:pt idx="3">
                  <c:v>153.3333333333336</c:v>
                </c:pt>
                <c:pt idx="4">
                  <c:v>117.3333333333332</c:v>
                </c:pt>
              </c:numCache>
            </c:numRef>
          </c:yVal>
          <c:smooth val="1"/>
          <c:extLst>
            <c:ext xmlns:c16="http://schemas.microsoft.com/office/drawing/2014/chart" uri="{C3380CC4-5D6E-409C-BE32-E72D297353CC}">
              <c16:uniqueId val="{00000002-6544-43A4-9B9A-DA9151B02C68}"/>
            </c:ext>
          </c:extLst>
        </c:ser>
        <c:dLbls>
          <c:showLegendKey val="0"/>
          <c:showVal val="0"/>
          <c:showCatName val="0"/>
          <c:showSerName val="0"/>
          <c:showPercent val="0"/>
          <c:showBubbleSize val="0"/>
        </c:dLbls>
        <c:axId val="145348480"/>
        <c:axId val="145355136"/>
      </c:scatterChart>
      <c:valAx>
        <c:axId val="145348480"/>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145355136"/>
        <c:crosses val="autoZero"/>
        <c:crossBetween val="midCat"/>
      </c:valAx>
      <c:valAx>
        <c:axId val="145355136"/>
        <c:scaling>
          <c:orientation val="minMax"/>
        </c:scaling>
        <c:delete val="0"/>
        <c:axPos val="l"/>
        <c:title>
          <c:tx>
            <c:rich>
              <a:bodyPr rot="-5400000" vert="horz"/>
              <a:lstStyle/>
              <a:p>
                <a:pPr>
                  <a:defRPr/>
                </a:pPr>
                <a:r>
                  <a:rPr lang="en-US"/>
                  <a:t>Phosphate Solubilizers Count </a:t>
                </a:r>
                <a:r>
                  <a:rPr lang="en-US" sz="1000" b="1" i="0" u="none" strike="noStrike" baseline="0"/>
                  <a:t>(×10</a:t>
                </a:r>
                <a:r>
                  <a:rPr lang="en-US" sz="1000" b="1" i="0" u="none" strike="noStrike" baseline="30000"/>
                  <a:t>3</a:t>
                </a:r>
                <a:r>
                  <a:rPr lang="en-US" sz="1000" b="1" i="0" u="none" strike="noStrike" baseline="0"/>
                  <a:t> CFU/g)</a:t>
                </a:r>
                <a:endParaRPr lang="en-US"/>
              </a:p>
            </c:rich>
          </c:tx>
          <c:overlay val="0"/>
        </c:title>
        <c:numFmt formatCode="0.0" sourceLinked="1"/>
        <c:majorTickMark val="out"/>
        <c:minorTickMark val="none"/>
        <c:tickLblPos val="nextTo"/>
        <c:crossAx val="145348480"/>
        <c:crosses val="autoZero"/>
        <c:crossBetween val="midCat"/>
      </c:valAx>
    </c:plotArea>
    <c:legend>
      <c:legendPos val="t"/>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'ACTINOMYCETES COUNTS'!$H$2</c:f>
              <c:strCache>
                <c:ptCount val="1"/>
                <c:pt idx="0">
                  <c:v>Control</c:v>
                </c:pt>
              </c:strCache>
            </c:strRef>
          </c:tx>
          <c:xVal>
            <c:numRef>
              <c:f>'ACTINOMYCETES COUNTS'!$G$3:$G$7</c:f>
              <c:numCache>
                <c:formatCode>General</c:formatCode>
                <c:ptCount val="5"/>
                <c:pt idx="0">
                  <c:v>0</c:v>
                </c:pt>
                <c:pt idx="1">
                  <c:v>7</c:v>
                </c:pt>
                <c:pt idx="2">
                  <c:v>14</c:v>
                </c:pt>
                <c:pt idx="3">
                  <c:v>21</c:v>
                </c:pt>
                <c:pt idx="4">
                  <c:v>28</c:v>
                </c:pt>
              </c:numCache>
            </c:numRef>
          </c:xVal>
          <c:yVal>
            <c:numRef>
              <c:f>'ACTINOMYCETES COUNTS'!$H$3:$H$7</c:f>
              <c:numCache>
                <c:formatCode>0.0</c:formatCode>
                <c:ptCount val="5"/>
                <c:pt idx="0">
                  <c:v>199</c:v>
                </c:pt>
                <c:pt idx="1">
                  <c:v>147</c:v>
                </c:pt>
                <c:pt idx="2">
                  <c:v>133</c:v>
                </c:pt>
                <c:pt idx="3">
                  <c:v>131</c:v>
                </c:pt>
                <c:pt idx="4">
                  <c:v>127.3333333333332</c:v>
                </c:pt>
              </c:numCache>
            </c:numRef>
          </c:yVal>
          <c:smooth val="1"/>
          <c:extLst>
            <c:ext xmlns:c16="http://schemas.microsoft.com/office/drawing/2014/chart" uri="{C3380CC4-5D6E-409C-BE32-E72D297353CC}">
              <c16:uniqueId val="{00000000-FCAB-4469-9AA9-DAE5EF2953AA}"/>
            </c:ext>
          </c:extLst>
        </c:ser>
        <c:ser>
          <c:idx val="1"/>
          <c:order val="1"/>
          <c:tx>
            <c:strRef>
              <c:f>'ACTINOMYCETES COUNTS'!$I$2</c:f>
              <c:strCache>
                <c:ptCount val="1"/>
                <c:pt idx="0">
                  <c:v>Atrazine</c:v>
                </c:pt>
              </c:strCache>
            </c:strRef>
          </c:tx>
          <c:xVal>
            <c:numRef>
              <c:f>'ACTINOMYCETES COUNTS'!$G$3:$G$7</c:f>
              <c:numCache>
                <c:formatCode>General</c:formatCode>
                <c:ptCount val="5"/>
                <c:pt idx="0">
                  <c:v>0</c:v>
                </c:pt>
                <c:pt idx="1">
                  <c:v>7</c:v>
                </c:pt>
                <c:pt idx="2">
                  <c:v>14</c:v>
                </c:pt>
                <c:pt idx="3">
                  <c:v>21</c:v>
                </c:pt>
                <c:pt idx="4">
                  <c:v>28</c:v>
                </c:pt>
              </c:numCache>
            </c:numRef>
          </c:xVal>
          <c:yVal>
            <c:numRef>
              <c:f>'ACTINOMYCETES COUNTS'!$I$3:$I$7</c:f>
              <c:numCache>
                <c:formatCode>0.0</c:formatCode>
                <c:ptCount val="5"/>
                <c:pt idx="0">
                  <c:v>199</c:v>
                </c:pt>
                <c:pt idx="1">
                  <c:v>97</c:v>
                </c:pt>
                <c:pt idx="2">
                  <c:v>107</c:v>
                </c:pt>
                <c:pt idx="3">
                  <c:v>151.66666666666652</c:v>
                </c:pt>
                <c:pt idx="4">
                  <c:v>147.66666666666652</c:v>
                </c:pt>
              </c:numCache>
            </c:numRef>
          </c:yVal>
          <c:smooth val="1"/>
          <c:extLst>
            <c:ext xmlns:c16="http://schemas.microsoft.com/office/drawing/2014/chart" uri="{C3380CC4-5D6E-409C-BE32-E72D297353CC}">
              <c16:uniqueId val="{00000001-FCAB-4469-9AA9-DAE5EF2953AA}"/>
            </c:ext>
          </c:extLst>
        </c:ser>
        <c:ser>
          <c:idx val="2"/>
          <c:order val="2"/>
          <c:tx>
            <c:strRef>
              <c:f>'ACTINOMYCETES COUNTS'!$J$2</c:f>
              <c:strCache>
                <c:ptCount val="1"/>
                <c:pt idx="0">
                  <c:v>Dichlorvos</c:v>
                </c:pt>
              </c:strCache>
            </c:strRef>
          </c:tx>
          <c:xVal>
            <c:numRef>
              <c:f>'ACTINOMYCETES COUNTS'!$G$3:$G$7</c:f>
              <c:numCache>
                <c:formatCode>General</c:formatCode>
                <c:ptCount val="5"/>
                <c:pt idx="0">
                  <c:v>0</c:v>
                </c:pt>
                <c:pt idx="1">
                  <c:v>7</c:v>
                </c:pt>
                <c:pt idx="2">
                  <c:v>14</c:v>
                </c:pt>
                <c:pt idx="3">
                  <c:v>21</c:v>
                </c:pt>
                <c:pt idx="4">
                  <c:v>28</c:v>
                </c:pt>
              </c:numCache>
            </c:numRef>
          </c:xVal>
          <c:yVal>
            <c:numRef>
              <c:f>'ACTINOMYCETES COUNTS'!$J$3:$J$7</c:f>
              <c:numCache>
                <c:formatCode>0.0</c:formatCode>
                <c:ptCount val="5"/>
                <c:pt idx="0">
                  <c:v>199</c:v>
                </c:pt>
                <c:pt idx="1">
                  <c:v>86</c:v>
                </c:pt>
                <c:pt idx="2">
                  <c:v>110</c:v>
                </c:pt>
                <c:pt idx="3">
                  <c:v>133.66666666666652</c:v>
                </c:pt>
                <c:pt idx="4">
                  <c:v>128</c:v>
                </c:pt>
              </c:numCache>
            </c:numRef>
          </c:yVal>
          <c:smooth val="1"/>
          <c:extLst>
            <c:ext xmlns:c16="http://schemas.microsoft.com/office/drawing/2014/chart" uri="{C3380CC4-5D6E-409C-BE32-E72D297353CC}">
              <c16:uniqueId val="{00000002-FCAB-4469-9AA9-DAE5EF2953AA}"/>
            </c:ext>
          </c:extLst>
        </c:ser>
        <c:dLbls>
          <c:showLegendKey val="0"/>
          <c:showVal val="0"/>
          <c:showCatName val="0"/>
          <c:showSerName val="0"/>
          <c:showPercent val="0"/>
          <c:showBubbleSize val="0"/>
        </c:dLbls>
        <c:axId val="147534592"/>
        <c:axId val="169935232"/>
      </c:scatterChart>
      <c:valAx>
        <c:axId val="147534592"/>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169935232"/>
        <c:crosses val="autoZero"/>
        <c:crossBetween val="midCat"/>
      </c:valAx>
      <c:valAx>
        <c:axId val="169935232"/>
        <c:scaling>
          <c:orientation val="minMax"/>
        </c:scaling>
        <c:delete val="0"/>
        <c:axPos val="l"/>
        <c:title>
          <c:tx>
            <c:rich>
              <a:bodyPr rot="-5400000" vert="horz"/>
              <a:lstStyle/>
              <a:p>
                <a:pPr>
                  <a:defRPr/>
                </a:pPr>
                <a:r>
                  <a:rPr lang="en-US"/>
                  <a:t>Actinomycetes Count (</a:t>
                </a:r>
                <a:r>
                  <a:rPr lang="en-US" sz="1000" b="1" i="0" u="none" strike="noStrike" baseline="0"/>
                  <a:t>×10</a:t>
                </a:r>
                <a:r>
                  <a:rPr lang="en-US" sz="1000" b="1" i="0" u="none" strike="noStrike" baseline="30000"/>
                  <a:t>2</a:t>
                </a:r>
                <a:r>
                  <a:rPr lang="en-US" sz="1000" b="1" i="0" u="none" strike="noStrike" baseline="0"/>
                  <a:t> CFU/g)</a:t>
                </a:r>
                <a:endParaRPr lang="en-US"/>
              </a:p>
            </c:rich>
          </c:tx>
          <c:overlay val="0"/>
          <c:spPr>
            <a:ln>
              <a:noFill/>
            </a:ln>
          </c:spPr>
        </c:title>
        <c:numFmt formatCode="0.0" sourceLinked="1"/>
        <c:majorTickMark val="out"/>
        <c:minorTickMark val="none"/>
        <c:tickLblPos val="nextTo"/>
        <c:crossAx val="147534592"/>
        <c:crosses val="autoZero"/>
        <c:crossBetween val="midCat"/>
      </c:valAx>
    </c:plotArea>
    <c:legend>
      <c:legendPos val="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567</TotalTime>
  <Pages>22</Pages>
  <Words>7665</Words>
  <Characters>43691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Tega</dc:creator>
  <cp:lastModifiedBy>SDI 1084</cp:lastModifiedBy>
  <cp:revision>14</cp:revision>
  <dcterms:created xsi:type="dcterms:W3CDTF">2025-11-19T13:36:00Z</dcterms:created>
  <dcterms:modified xsi:type="dcterms:W3CDTF">2026-05-01T08:05:00Z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7631A59496834A9D9B638BA18166FB59_12</vt:lpwstr>
  </property>
</Properties>
</file>