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889BF" w14:textId="77777777" w:rsidR="00084BE7" w:rsidRDefault="00084BE7" w:rsidP="00084BE7">
      <w:pPr>
        <w:spacing w:line="360" w:lineRule="auto"/>
        <w:jc w:val="center"/>
        <w:rPr>
          <w:rFonts w:ascii="Times New Roman" w:hAnsi="Times New Roman" w:cs="Times New Roman"/>
          <w:b/>
          <w:bCs/>
          <w:sz w:val="28"/>
          <w:szCs w:val="28"/>
        </w:rPr>
      </w:pPr>
      <w:r w:rsidRPr="00084BE7">
        <w:rPr>
          <w:rFonts w:ascii="Times New Roman" w:hAnsi="Times New Roman" w:cs="Times New Roman"/>
          <w:b/>
          <w:bCs/>
          <w:sz w:val="28"/>
          <w:szCs w:val="28"/>
        </w:rPr>
        <w:t xml:space="preserve">Long-Term </w:t>
      </w:r>
      <w:proofErr w:type="spellStart"/>
      <w:r w:rsidRPr="00084BE7">
        <w:rPr>
          <w:rFonts w:ascii="Times New Roman" w:hAnsi="Times New Roman" w:cs="Times New Roman"/>
          <w:b/>
          <w:bCs/>
          <w:sz w:val="28"/>
          <w:szCs w:val="28"/>
        </w:rPr>
        <w:t>Spatio</w:t>
      </w:r>
      <w:proofErr w:type="spellEnd"/>
      <w:r w:rsidRPr="00084BE7">
        <w:rPr>
          <w:rFonts w:ascii="Times New Roman" w:hAnsi="Times New Roman" w:cs="Times New Roman"/>
          <w:b/>
          <w:bCs/>
          <w:sz w:val="28"/>
          <w:szCs w:val="28"/>
        </w:rPr>
        <w:t>-Temporal Analysis of Groundwater Recharge, Storage Anomalies, and Aquifer Variability Under Diverse Geological Units of the Wainganga River Basin</w:t>
      </w:r>
    </w:p>
    <w:p w14:paraId="7AFF1ED2" w14:textId="62DB572D" w:rsidR="004255DB" w:rsidRDefault="004255DB" w:rsidP="004610C5">
      <w:pPr>
        <w:spacing w:line="360" w:lineRule="auto"/>
        <w:jc w:val="center"/>
        <w:rPr>
          <w:rFonts w:ascii="Times New Roman" w:eastAsia="Times New Roman" w:hAnsi="Times New Roman" w:cs="Times New Roman"/>
          <w:b/>
          <w:bCs/>
          <w:sz w:val="24"/>
          <w:szCs w:val="24"/>
          <w:lang w:val="en-GB"/>
        </w:rPr>
      </w:pPr>
    </w:p>
    <w:p w14:paraId="13AC32E4" w14:textId="50290AA0" w:rsidR="003E719A" w:rsidRDefault="003E719A" w:rsidP="004610C5">
      <w:pPr>
        <w:spacing w:line="360" w:lineRule="auto"/>
        <w:jc w:val="center"/>
        <w:rPr>
          <w:rFonts w:ascii="Times New Roman" w:hAnsi="Times New Roman" w:cs="Times New Roman"/>
          <w:b/>
          <w:bCs/>
          <w:sz w:val="24"/>
          <w:szCs w:val="24"/>
        </w:rPr>
      </w:pPr>
    </w:p>
    <w:p w14:paraId="518985FF" w14:textId="23E67ABB" w:rsidR="003E719A" w:rsidRDefault="003E719A" w:rsidP="004610C5">
      <w:pPr>
        <w:spacing w:line="360" w:lineRule="auto"/>
        <w:jc w:val="center"/>
        <w:rPr>
          <w:rFonts w:ascii="Times New Roman" w:hAnsi="Times New Roman" w:cs="Times New Roman"/>
          <w:b/>
          <w:bCs/>
          <w:sz w:val="24"/>
          <w:szCs w:val="24"/>
        </w:rPr>
      </w:pPr>
    </w:p>
    <w:p w14:paraId="5BFF0B68" w14:textId="77777777" w:rsidR="003E719A" w:rsidRPr="004610C5" w:rsidRDefault="003E719A" w:rsidP="004610C5">
      <w:pPr>
        <w:spacing w:line="360" w:lineRule="auto"/>
        <w:jc w:val="center"/>
        <w:rPr>
          <w:rFonts w:ascii="Times New Roman" w:hAnsi="Times New Roman" w:cs="Times New Roman"/>
          <w:b/>
          <w:bCs/>
          <w:sz w:val="24"/>
          <w:szCs w:val="24"/>
        </w:rPr>
      </w:pPr>
    </w:p>
    <w:p w14:paraId="284E4E75" w14:textId="77777777" w:rsidR="00432C71" w:rsidRDefault="00432C71" w:rsidP="00432C71">
      <w:pPr>
        <w:spacing w:line="36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5F24B532" w14:textId="77777777" w:rsidR="00432C71" w:rsidRDefault="00072ECC" w:rsidP="00072ECC">
      <w:pPr>
        <w:spacing w:line="360" w:lineRule="auto"/>
        <w:jc w:val="both"/>
        <w:rPr>
          <w:rFonts w:ascii="Times New Roman" w:hAnsi="Times New Roman" w:cs="Times New Roman"/>
          <w:sz w:val="24"/>
          <w:szCs w:val="24"/>
        </w:rPr>
      </w:pPr>
      <w:r w:rsidRPr="00072ECC">
        <w:rPr>
          <w:rFonts w:ascii="Times New Roman" w:hAnsi="Times New Roman" w:cs="Times New Roman"/>
          <w:sz w:val="24"/>
          <w:szCs w:val="24"/>
        </w:rPr>
        <w:t xml:space="preserve">Groundwater is a major freshwater resource supporting agricultural, domestic, and industrial activities in central India. However, increasing groundwater extraction and climatic variability have intensified groundwater stress in hard-rock aquifer systems. The present study aimed to evaluate long-term groundwater recharge dynamics, groundwater storage anomalies (GWSA), and spatial variability across diverse geological formations of the Wainganga River basin using groundwater level observations from 2000–2020. A total of 249 observation wells distributed across major geological formations including Deccan Trap, Betul Gneiss, Lower Gondwana, </w:t>
      </w:r>
      <w:proofErr w:type="spellStart"/>
      <w:r w:rsidRPr="00072ECC">
        <w:rPr>
          <w:rFonts w:ascii="Times New Roman" w:hAnsi="Times New Roman" w:cs="Times New Roman"/>
          <w:sz w:val="24"/>
          <w:szCs w:val="24"/>
        </w:rPr>
        <w:t>Sausar</w:t>
      </w:r>
      <w:proofErr w:type="spellEnd"/>
      <w:r w:rsidRPr="00072ECC">
        <w:rPr>
          <w:rFonts w:ascii="Times New Roman" w:hAnsi="Times New Roman" w:cs="Times New Roman"/>
          <w:sz w:val="24"/>
          <w:szCs w:val="24"/>
        </w:rPr>
        <w:t xml:space="preserve"> Group, </w:t>
      </w:r>
      <w:proofErr w:type="spellStart"/>
      <w:r w:rsidRPr="00072ECC">
        <w:rPr>
          <w:rFonts w:ascii="Times New Roman" w:hAnsi="Times New Roman" w:cs="Times New Roman"/>
          <w:sz w:val="24"/>
          <w:szCs w:val="24"/>
        </w:rPr>
        <w:t>Khairagarh</w:t>
      </w:r>
      <w:proofErr w:type="spellEnd"/>
      <w:r w:rsidRPr="00072ECC">
        <w:rPr>
          <w:rFonts w:ascii="Times New Roman" w:hAnsi="Times New Roman" w:cs="Times New Roman"/>
          <w:sz w:val="24"/>
          <w:szCs w:val="24"/>
        </w:rPr>
        <w:t xml:space="preserve"> Group, Acid Intrusive/Granite, and Laterite/Bauxite were analysed. Groundwater recharge was estimated using the Water Table Fluctuation (WTF) method based on pre- and post-monsoon groundwater level fluctuations and aquifer-specific yield values. Groundwater storage anomalies were calculated using long-term mean groundwater storage, while spatial variability was assessed through standard deviation analysis.</w:t>
      </w:r>
      <w:r>
        <w:rPr>
          <w:rFonts w:ascii="Times New Roman" w:hAnsi="Times New Roman" w:cs="Times New Roman"/>
          <w:sz w:val="24"/>
          <w:szCs w:val="24"/>
        </w:rPr>
        <w:t xml:space="preserve"> </w:t>
      </w:r>
      <w:r w:rsidRPr="00072ECC">
        <w:rPr>
          <w:rFonts w:ascii="Times New Roman" w:hAnsi="Times New Roman" w:cs="Times New Roman"/>
          <w:sz w:val="24"/>
          <w:szCs w:val="24"/>
        </w:rPr>
        <w:t xml:space="preserve">The results revealed considerable temporal and spatial variability in groundwater behaviour across different geological formations. Pre-monsoon groundwater depth reached a maximum of 21.35 m, indicating severe groundwater depletion during drought years. Post-monsoon groundwater levels showed substantial recharge variability controlled by geological characteristics and monsoonal rainfall. Groundwater recharge estimation indicated that the Deccan Trap formation contributed the highest recharge, varying from 1048 MCM in 2014 to 1790 MCM in 2019, whereas total basin recharge ranged from 1907 MCM to 3015.97 MCM during the study period. Groundwater storage anomaly analysis revealed severe groundwater stress during 2014 and 2020, with the </w:t>
      </w:r>
      <w:proofErr w:type="spellStart"/>
      <w:r w:rsidRPr="00072ECC">
        <w:rPr>
          <w:rFonts w:ascii="Times New Roman" w:hAnsi="Times New Roman" w:cs="Times New Roman"/>
          <w:sz w:val="24"/>
          <w:szCs w:val="24"/>
        </w:rPr>
        <w:t>Khairagarh</w:t>
      </w:r>
      <w:proofErr w:type="spellEnd"/>
      <w:r w:rsidRPr="00072ECC">
        <w:rPr>
          <w:rFonts w:ascii="Times New Roman" w:hAnsi="Times New Roman" w:cs="Times New Roman"/>
          <w:sz w:val="24"/>
          <w:szCs w:val="24"/>
        </w:rPr>
        <w:t xml:space="preserve"> Group exhibiting the highest depletion (−14.7 MCM). In contrast, significant groundwater recovery was observed during 2010 due to high monsoonal recharge. Spatial variability analysis demonstrated strong heterogeneity in groundwater storage </w:t>
      </w:r>
      <w:r w:rsidRPr="00072ECC">
        <w:rPr>
          <w:rFonts w:ascii="Times New Roman" w:hAnsi="Times New Roman" w:cs="Times New Roman"/>
          <w:sz w:val="24"/>
          <w:szCs w:val="24"/>
        </w:rPr>
        <w:lastRenderedPageBreak/>
        <w:t xml:space="preserve">distribution, with the </w:t>
      </w:r>
      <w:proofErr w:type="spellStart"/>
      <w:r w:rsidRPr="00072ECC">
        <w:rPr>
          <w:rFonts w:ascii="Times New Roman" w:hAnsi="Times New Roman" w:cs="Times New Roman"/>
          <w:sz w:val="24"/>
          <w:szCs w:val="24"/>
        </w:rPr>
        <w:t>Khairagarh</w:t>
      </w:r>
      <w:proofErr w:type="spellEnd"/>
      <w:r w:rsidRPr="00072ECC">
        <w:rPr>
          <w:rFonts w:ascii="Times New Roman" w:hAnsi="Times New Roman" w:cs="Times New Roman"/>
          <w:sz w:val="24"/>
          <w:szCs w:val="24"/>
        </w:rPr>
        <w:t xml:space="preserve"> Group showing the highest spatial variability (20.01 MCM), while Acid Intrusive/Granite and </w:t>
      </w:r>
      <w:proofErr w:type="spellStart"/>
      <w:r w:rsidRPr="00072ECC">
        <w:rPr>
          <w:rFonts w:ascii="Times New Roman" w:hAnsi="Times New Roman" w:cs="Times New Roman"/>
          <w:sz w:val="24"/>
          <w:szCs w:val="24"/>
        </w:rPr>
        <w:t>Sausar</w:t>
      </w:r>
      <w:proofErr w:type="spellEnd"/>
      <w:r w:rsidRPr="00072ECC">
        <w:rPr>
          <w:rFonts w:ascii="Times New Roman" w:hAnsi="Times New Roman" w:cs="Times New Roman"/>
          <w:sz w:val="24"/>
          <w:szCs w:val="24"/>
        </w:rPr>
        <w:t xml:space="preserve"> Group formations maintained relatively stable groundwater conditions.</w:t>
      </w:r>
      <w:r>
        <w:rPr>
          <w:rFonts w:ascii="Times New Roman" w:hAnsi="Times New Roman" w:cs="Times New Roman"/>
          <w:sz w:val="24"/>
          <w:szCs w:val="24"/>
        </w:rPr>
        <w:t xml:space="preserve"> </w:t>
      </w:r>
      <w:r w:rsidRPr="00072ECC">
        <w:rPr>
          <w:rFonts w:ascii="Times New Roman" w:hAnsi="Times New Roman" w:cs="Times New Roman"/>
          <w:sz w:val="24"/>
          <w:szCs w:val="24"/>
        </w:rPr>
        <w:t>The study highlights the strong influence of geological formations and monsoonal variability on groundwater recharge and storage dynamics within the Wainganga River basin. The findings provide important scientific information for sustainable groundwater management, artificial recharge planning, and identification of groundwater-stressed regions in hard-rock terrains of central India.</w:t>
      </w:r>
    </w:p>
    <w:p w14:paraId="1E481F13" w14:textId="77777777" w:rsidR="00EA37CE" w:rsidRDefault="00EA37CE" w:rsidP="00EA37CE">
      <w:pPr>
        <w:pStyle w:val="NormalWeb"/>
        <w:spacing w:line="360" w:lineRule="auto"/>
        <w:ind w:left="1134" w:hanging="1134"/>
        <w:jc w:val="both"/>
      </w:pPr>
      <w:r w:rsidRPr="00EA37CE">
        <w:rPr>
          <w:b/>
          <w:bCs/>
        </w:rPr>
        <w:t>Keyword:</w:t>
      </w:r>
      <w:r>
        <w:tab/>
      </w:r>
      <w:r w:rsidRPr="00EA37CE">
        <w:rPr>
          <w:b/>
          <w:bCs/>
        </w:rPr>
        <w:t>Groundwater management; Groundwater recharge; Groundwater storage anomaly; Hard-rock aquifers; Hydrogeology; Spatial var</w:t>
      </w:r>
      <w:r w:rsidR="003E1252">
        <w:rPr>
          <w:b/>
          <w:bCs/>
        </w:rPr>
        <w:t xml:space="preserve">iability; Wainganga River basin and </w:t>
      </w:r>
      <w:r w:rsidRPr="00EA37CE">
        <w:rPr>
          <w:b/>
          <w:bCs/>
        </w:rPr>
        <w:t xml:space="preserve">Water Table Fluctuation </w:t>
      </w:r>
    </w:p>
    <w:p w14:paraId="4FDCE28F" w14:textId="77777777" w:rsidR="00F03FE5" w:rsidRPr="00072ECC" w:rsidRDefault="00F03FE5" w:rsidP="00072ECC">
      <w:pPr>
        <w:spacing w:line="360" w:lineRule="auto"/>
        <w:jc w:val="both"/>
        <w:rPr>
          <w:rFonts w:ascii="Times New Roman" w:hAnsi="Times New Roman" w:cs="Times New Roman"/>
          <w:sz w:val="24"/>
          <w:szCs w:val="24"/>
        </w:rPr>
      </w:pPr>
    </w:p>
    <w:p w14:paraId="67EC6CCD" w14:textId="77777777" w:rsidR="00972B8F" w:rsidRDefault="00972B8F" w:rsidP="009C0874">
      <w:pPr>
        <w:spacing w:line="360" w:lineRule="auto"/>
        <w:jc w:val="both"/>
        <w:rPr>
          <w:rFonts w:ascii="Times New Roman" w:hAnsi="Times New Roman" w:cs="Times New Roman"/>
          <w:sz w:val="24"/>
          <w:szCs w:val="24"/>
        </w:rPr>
      </w:pPr>
      <w:r w:rsidRPr="00972B8F">
        <w:rPr>
          <w:rFonts w:ascii="Times New Roman" w:hAnsi="Times New Roman" w:cs="Times New Roman"/>
          <w:b/>
          <w:bCs/>
          <w:sz w:val="24"/>
          <w:szCs w:val="24"/>
        </w:rPr>
        <w:t>INTRODUCTION</w:t>
      </w:r>
    </w:p>
    <w:p w14:paraId="7416E10A" w14:textId="77777777"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Groundwater is one of the most important freshwater resources supporting domestic, agricultural, and industrial activities across the world. In semi-arid and tropical regions, groundwater serves as the primary source of irrigation and drinking water because of uneven surface water distribution and increasing climatic variability. Rapid population growth, urbanization, industrialization, and agricultural intensification have substantially increased pressure on groundwater resources over recent decades. As a result, groundwater depletion, declining water tables, and hydrological stress have emerged as major environmental concerns affecting water security and sustainable development globally.</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India is recognized as the largest user of groundwater in the world, accounting for nearly one-fourth of global groundwater extraction. Groundwater plays a vital role in Indian agriculture and significantly contributes to food security, rural livelihoods, and economic development. Approximately 89% of extracted groundwater in India is utilized for irrigation, while the remaining portion is used for domestic and industrial purposes (CGWB, 2020). After the Green Revolution, groundwater-based irrigation expanded rapidly and greatly enhanced agricultural productivity; however, excessive abstraction has caused severe groundwater depletion in many river basins of the country (Rodell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xml:space="preserve">., 2009). Several studies based on field observations and satellite-derived datasets have highlighted alarming declines in groundwater storage across different regions of India (Tiwari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2009; Panda and Wahr, 2016).</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Groundwater recharge is a fundamental hydrological process responsible for replenishing aquifers and maintaining groundwater sustainability. Recharge occurs when water infiltrates through the soil surface and percolates </w:t>
      </w:r>
      <w:r w:rsidRPr="0068186D">
        <w:rPr>
          <w:rFonts w:ascii="Times New Roman" w:hAnsi="Times New Roman" w:cs="Times New Roman"/>
          <w:sz w:val="24"/>
          <w:szCs w:val="24"/>
        </w:rPr>
        <w:lastRenderedPageBreak/>
        <w:t xml:space="preserve">downward into the saturated zone. The quantity of groundwater recharge depends on several factors including rainfall intensity, land use, soil characteristics, topography, vegetation cover, geology, and hydrogeological conditions (Healy, 2010). In monsoon-dominated regions such as central India, groundwater recharge is highly dependent on seasonal rainfall variability. Variations in monsoon rainfall directly influence groundwater levels, recharge rates, and aquifer storage conditions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w:t>
      </w:r>
      <w:r>
        <w:rPr>
          <w:rFonts w:ascii="Times New Roman" w:hAnsi="Times New Roman" w:cs="Times New Roman"/>
          <w:sz w:val="24"/>
          <w:szCs w:val="24"/>
        </w:rPr>
        <w:t xml:space="preserve"> </w:t>
      </w:r>
      <w:r w:rsidRPr="0068186D">
        <w:rPr>
          <w:rFonts w:ascii="Times New Roman" w:hAnsi="Times New Roman" w:cs="Times New Roman"/>
          <w:sz w:val="24"/>
          <w:szCs w:val="24"/>
        </w:rPr>
        <w:t>Hard-rock aquifers, which dominate large parts of peninsular India, exhibit highly heterogeneous groundwater occurrence and recharge behaviour due to variations in lithology, fracture systems, weathering thickness, and structural discontinuities. These aquifers generally possess low primary porosity, and groundwater movement mainly occurs through secondary structures such as fractures and joints (Todd and Mays, 2005). Therefore, understanding groundwater recharge dynamics and storage variability in hard-rock terrains is essential for sustainable groundwater management and artificial recharge planning.</w:t>
      </w:r>
    </w:p>
    <w:p w14:paraId="2CC44468" w14:textId="77777777"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Groundwater resources in India are increasingly vulnerable to climatic variability and anthropogenic stress. Rodell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(2009) used GRACE satellite observations to demonstrate significant groundwater depletion in north</w:t>
      </w:r>
      <w:r>
        <w:rPr>
          <w:rFonts w:ascii="Times New Roman" w:hAnsi="Times New Roman" w:cs="Times New Roman"/>
          <w:sz w:val="24"/>
          <w:szCs w:val="24"/>
        </w:rPr>
        <w:t>-</w:t>
      </w:r>
      <w:r w:rsidRPr="0068186D">
        <w:rPr>
          <w:rFonts w:ascii="Times New Roman" w:hAnsi="Times New Roman" w:cs="Times New Roman"/>
          <w:sz w:val="24"/>
          <w:szCs w:val="24"/>
        </w:rPr>
        <w:t xml:space="preserve">western India caused primarily by excessive irrigation pumping. Similarly, Tiwari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(2009) identified substantial groundwater loss in northern India and emphasized the combined role of climate variability and groundwater extraction. Panda and Wahr (2016) further confirmed groundwater depletion trends across India using GRACE-derived groundwater storage analysis. These studies clearly indicate that unsustainable groundwater abstraction, coupled with irregular rainfall patterns, has intensified groundwater stress in many parts of the country.</w:t>
      </w:r>
      <w:r>
        <w:rPr>
          <w:rFonts w:ascii="Times New Roman" w:hAnsi="Times New Roman" w:cs="Times New Roman"/>
          <w:sz w:val="24"/>
          <w:szCs w:val="24"/>
        </w:rPr>
        <w:t xml:space="preserve"> </w:t>
      </w:r>
      <w:r w:rsidRPr="0068186D">
        <w:rPr>
          <w:rFonts w:ascii="Times New Roman" w:hAnsi="Times New Roman" w:cs="Times New Roman"/>
          <w:sz w:val="24"/>
          <w:szCs w:val="24"/>
        </w:rPr>
        <w:t xml:space="preserve">Groundwater Storage Anomalies (GWSA) have emerged as an important indicator for evaluating temporal variations in groundwater availability and identifying periods of hydrological stress. Groundwater storage anomalies represent deviations of groundwater storage from long-term mean conditions and provide valuable insights into depletion and recharge trends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 Negative groundwater storage anomalies generally indicate groundwater depletion and drought conditions, whereas positive anomalies reflect aquifer replenishment and recharge recovery. The integration of groundwater storage anomaly analysis with recharge estimation provides a comprehensive understanding of aquifer dynamics and groundwater sustainability.</w:t>
      </w:r>
    </w:p>
    <w:p w14:paraId="0081025B" w14:textId="77777777" w:rsidR="0068186D" w:rsidRP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Recent advancements in satellite hydrology, particularly the Gravity Recovery and Climate Experiment (GRACE), have improved the capability to monitor groundwater storage changes over large spatial scales (Rodell and Famiglietti, 2002). However, regional-scale groundwater assessments based on field observations remain highly important because they </w:t>
      </w:r>
      <w:r w:rsidRPr="0068186D">
        <w:rPr>
          <w:rFonts w:ascii="Times New Roman" w:hAnsi="Times New Roman" w:cs="Times New Roman"/>
          <w:sz w:val="24"/>
          <w:szCs w:val="24"/>
        </w:rPr>
        <w:lastRenderedPageBreak/>
        <w:t xml:space="preserve">provide better spatial resolution and direct representation of aquifer conditions. Bhanja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(2017) successfully validated groundwater storage anomalies derived from in-situ groundwater level observations across India and demonstrated the effectiveness of groundwater fluctuation methods combined with aquifer-specific yield values for groundwater storage estimation.</w:t>
      </w:r>
      <w:r>
        <w:rPr>
          <w:rFonts w:ascii="Times New Roman" w:hAnsi="Times New Roman" w:cs="Times New Roman"/>
          <w:sz w:val="24"/>
          <w:szCs w:val="24"/>
        </w:rPr>
        <w:t xml:space="preserve"> </w:t>
      </w:r>
      <w:r w:rsidRPr="0068186D">
        <w:rPr>
          <w:rFonts w:ascii="Times New Roman" w:hAnsi="Times New Roman" w:cs="Times New Roman"/>
          <w:sz w:val="24"/>
          <w:szCs w:val="24"/>
        </w:rPr>
        <w:t>Apart from temporal groundwater variations, spatial variability of groundwater storage is another critical aspect influencing groundwater management. Spatial variability refers to the uneven distribution of groundwater storage and recharge across different hydrogeological and geological settings. Geological formations strongly control aquifer properties such as porosity, permeability, transmissivity, storage coefficient, and recharge potential (Fetter, 2001). Therefore, different geological units exhibit contrasting groundwater behaviour and recharge characteristics. Understanding spatial variability is essential for identifying groundwater-stressed regions, prioritizing artificial recharge sites, and implementing effective groundwater conservation measures.</w:t>
      </w:r>
    </w:p>
    <w:p w14:paraId="704415DA" w14:textId="77777777" w:rsidR="0068186D"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The Wainganga River basin, located in central India, represents an important hydrological region characterized by diverse geological formations including Deccan Trap, Betul Gneiss, Lower Gondwana, </w:t>
      </w:r>
      <w:proofErr w:type="spellStart"/>
      <w:r w:rsidRPr="0068186D">
        <w:rPr>
          <w:rFonts w:ascii="Times New Roman" w:hAnsi="Times New Roman" w:cs="Times New Roman"/>
          <w:sz w:val="24"/>
          <w:szCs w:val="24"/>
        </w:rPr>
        <w:t>Sausar</w:t>
      </w:r>
      <w:proofErr w:type="spellEnd"/>
      <w:r w:rsidRPr="0068186D">
        <w:rPr>
          <w:rFonts w:ascii="Times New Roman" w:hAnsi="Times New Roman" w:cs="Times New Roman"/>
          <w:sz w:val="24"/>
          <w:szCs w:val="24"/>
        </w:rPr>
        <w:t xml:space="preserve"> Group, </w:t>
      </w:r>
      <w:proofErr w:type="spellStart"/>
      <w:r w:rsidRPr="0068186D">
        <w:rPr>
          <w:rFonts w:ascii="Times New Roman" w:hAnsi="Times New Roman" w:cs="Times New Roman"/>
          <w:sz w:val="24"/>
          <w:szCs w:val="24"/>
        </w:rPr>
        <w:t>Khairagarh</w:t>
      </w:r>
      <w:proofErr w:type="spellEnd"/>
      <w:r w:rsidRPr="0068186D">
        <w:rPr>
          <w:rFonts w:ascii="Times New Roman" w:hAnsi="Times New Roman" w:cs="Times New Roman"/>
          <w:sz w:val="24"/>
          <w:szCs w:val="24"/>
        </w:rPr>
        <w:t xml:space="preserve"> Group, Acid Intrusive/Granite, and Laterite/Bauxite formations. The basin receives most of its annual rainfall during the southwest monsoon season, making groundwater recharge highly dependent on monsoonal precipitation. Agriculture is the dominant land use activity within the basin, resulting in substantial groundwater extraction for irrigation purposes. Increasing water demand and irregular rainfall patterns have raised serious concerns regarding groundwater depletion and aquifer sustainability in the region.</w:t>
      </w:r>
      <w:r>
        <w:rPr>
          <w:rFonts w:ascii="Times New Roman" w:hAnsi="Times New Roman" w:cs="Times New Roman"/>
          <w:sz w:val="24"/>
          <w:szCs w:val="24"/>
        </w:rPr>
        <w:t xml:space="preserve"> In </w:t>
      </w:r>
      <w:r w:rsidRPr="0068186D">
        <w:rPr>
          <w:rFonts w:ascii="Times New Roman" w:hAnsi="Times New Roman" w:cs="Times New Roman"/>
          <w:sz w:val="24"/>
          <w:szCs w:val="24"/>
        </w:rPr>
        <w:t xml:space="preserve">central India mainly focused on groundwater potential zonation, hydrogeological mapping, and remote sensing-based groundwater assessment (Magesh </w:t>
      </w:r>
      <w:r w:rsidR="00A1135E" w:rsidRPr="00A1135E">
        <w:rPr>
          <w:rFonts w:ascii="Times New Roman" w:hAnsi="Times New Roman" w:cs="Times New Roman"/>
          <w:i/>
          <w:sz w:val="24"/>
          <w:szCs w:val="24"/>
        </w:rPr>
        <w:t>et al</w:t>
      </w:r>
      <w:r w:rsidRPr="0068186D">
        <w:rPr>
          <w:rFonts w:ascii="Times New Roman" w:hAnsi="Times New Roman" w:cs="Times New Roman"/>
          <w:sz w:val="24"/>
          <w:szCs w:val="24"/>
        </w:rPr>
        <w:t>., 2012; Agarwal and Garg, 2016). Although these investigations provided valuable information regarding groundwater occurrence and groundwater potential zones, limited studies have comprehensively evaluated groundwater recharge, groundwater storage anomalies, and spatial variability across different geological formations within the Wainganga River basin. In particular, long-term assessments integrating groundwater recharge estimation with groundwater storage anomaly analysis remain scarce for this region.</w:t>
      </w:r>
      <w:r>
        <w:rPr>
          <w:rFonts w:ascii="Times New Roman" w:hAnsi="Times New Roman" w:cs="Times New Roman"/>
          <w:sz w:val="24"/>
          <w:szCs w:val="24"/>
        </w:rPr>
        <w:t xml:space="preserve"> </w:t>
      </w:r>
    </w:p>
    <w:p w14:paraId="7F074042" w14:textId="77777777" w:rsidR="00212913" w:rsidRDefault="0068186D" w:rsidP="0068186D">
      <w:pPr>
        <w:spacing w:line="360" w:lineRule="auto"/>
        <w:ind w:firstLine="851"/>
        <w:jc w:val="both"/>
        <w:rPr>
          <w:rFonts w:ascii="Times New Roman" w:hAnsi="Times New Roman" w:cs="Times New Roman"/>
          <w:sz w:val="24"/>
          <w:szCs w:val="24"/>
        </w:rPr>
      </w:pPr>
      <w:r w:rsidRPr="0068186D">
        <w:rPr>
          <w:rFonts w:ascii="Times New Roman" w:hAnsi="Times New Roman" w:cs="Times New Roman"/>
          <w:sz w:val="24"/>
          <w:szCs w:val="24"/>
        </w:rPr>
        <w:t xml:space="preserve">Therefore, the present study was undertaken to </w:t>
      </w:r>
      <w:r w:rsidR="004A6BFE" w:rsidRPr="0068186D">
        <w:rPr>
          <w:rFonts w:ascii="Times New Roman" w:hAnsi="Times New Roman" w:cs="Times New Roman"/>
          <w:sz w:val="24"/>
          <w:szCs w:val="24"/>
        </w:rPr>
        <w:t>analyse</w:t>
      </w:r>
      <w:r w:rsidRPr="0068186D">
        <w:rPr>
          <w:rFonts w:ascii="Times New Roman" w:hAnsi="Times New Roman" w:cs="Times New Roman"/>
          <w:sz w:val="24"/>
          <w:szCs w:val="24"/>
        </w:rPr>
        <w:t xml:space="preserve"> groundwater recharge dynamics and groundwater storage variability across the major geological formations of the Wainganga River basin using long-term groundwater level observations from 2000 to 2020. Groundwater recharge was estimated using groundwater level fluctuation methods combined with aquifer-specific yield values following standard hydrogeological procedures (Healy and </w:t>
      </w:r>
      <w:r w:rsidRPr="0068186D">
        <w:rPr>
          <w:rFonts w:ascii="Times New Roman" w:hAnsi="Times New Roman" w:cs="Times New Roman"/>
          <w:sz w:val="24"/>
          <w:szCs w:val="24"/>
        </w:rPr>
        <w:lastRenderedPageBreak/>
        <w:t>Cook, 2002). Furthermore, groundwater storage anomalies were calculated by subtracting long-term mean groundwater storage from annual storage estimates following the methodology adopted</w:t>
      </w:r>
      <w:r w:rsidR="004A6BFE">
        <w:rPr>
          <w:rFonts w:ascii="Times New Roman" w:hAnsi="Times New Roman" w:cs="Times New Roman"/>
          <w:sz w:val="24"/>
          <w:szCs w:val="24"/>
        </w:rPr>
        <w:t xml:space="preserve"> (</w:t>
      </w:r>
      <w:r w:rsidRPr="0068186D">
        <w:rPr>
          <w:rFonts w:ascii="Times New Roman" w:hAnsi="Times New Roman" w:cs="Times New Roman"/>
          <w:sz w:val="24"/>
          <w:szCs w:val="24"/>
        </w:rPr>
        <w:t xml:space="preserve">Bhanja </w:t>
      </w:r>
      <w:r w:rsidR="00A1135E" w:rsidRPr="00A1135E">
        <w:rPr>
          <w:rFonts w:ascii="Times New Roman" w:hAnsi="Times New Roman" w:cs="Times New Roman"/>
          <w:i/>
          <w:sz w:val="24"/>
          <w:szCs w:val="24"/>
        </w:rPr>
        <w:t>et al</w:t>
      </w:r>
      <w:r w:rsidR="003E4C92">
        <w:rPr>
          <w:rFonts w:ascii="Times New Roman" w:hAnsi="Times New Roman" w:cs="Times New Roman"/>
          <w:sz w:val="24"/>
          <w:szCs w:val="24"/>
        </w:rPr>
        <w:t xml:space="preserve">. </w:t>
      </w:r>
      <w:r w:rsidRPr="0068186D">
        <w:rPr>
          <w:rFonts w:ascii="Times New Roman" w:hAnsi="Times New Roman" w:cs="Times New Roman"/>
          <w:sz w:val="24"/>
          <w:szCs w:val="24"/>
        </w:rPr>
        <w:t>2017). Spatial variability of groundwater storage anomalies was quantified using standard deviation analysis to assess the degree of heterogeneity within different geological formations. The study is expected to provide valuable insights into hydrogeological controls governing groundwater recharge and storage variability in hard-rock terrains of central India and to support sustainable groundwater management and artificial recharge planning within the Wainganga River basin.</w:t>
      </w:r>
    </w:p>
    <w:p w14:paraId="5439174A" w14:textId="77777777" w:rsidR="0068186D" w:rsidRDefault="0068186D" w:rsidP="006818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2D3F60B4" w14:textId="77777777" w:rsidR="005C5E56" w:rsidRDefault="005C5E56" w:rsidP="005C5E56">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The present study was carried out in the Wainganga River basin located in central India, which is characterized by diverse geological formations and strong dependence on monsoonal rainfall for groundwater recharge. The basin comprises major geological units including Deccan Trap, Betul Gneiss, Lower Gondwana, </w:t>
      </w:r>
      <w:proofErr w:type="spellStart"/>
      <w:r w:rsidRPr="005C5E56">
        <w:rPr>
          <w:rFonts w:ascii="Times New Roman" w:hAnsi="Times New Roman" w:cs="Times New Roman"/>
          <w:sz w:val="24"/>
          <w:szCs w:val="24"/>
        </w:rPr>
        <w:t>Sausar</w:t>
      </w:r>
      <w:proofErr w:type="spellEnd"/>
      <w:r w:rsidRPr="005C5E56">
        <w:rPr>
          <w:rFonts w:ascii="Times New Roman" w:hAnsi="Times New Roman" w:cs="Times New Roman"/>
          <w:sz w:val="24"/>
          <w:szCs w:val="24"/>
        </w:rPr>
        <w:t xml:space="preserve"> Group, </w:t>
      </w:r>
      <w:proofErr w:type="spellStart"/>
      <w:r w:rsidRPr="005C5E56">
        <w:rPr>
          <w:rFonts w:ascii="Times New Roman" w:hAnsi="Times New Roman" w:cs="Times New Roman"/>
          <w:sz w:val="24"/>
          <w:szCs w:val="24"/>
        </w:rPr>
        <w:t>Khairagarh</w:t>
      </w:r>
      <w:proofErr w:type="spellEnd"/>
      <w:r w:rsidRPr="005C5E56">
        <w:rPr>
          <w:rFonts w:ascii="Times New Roman" w:hAnsi="Times New Roman" w:cs="Times New Roman"/>
          <w:sz w:val="24"/>
          <w:szCs w:val="24"/>
        </w:rPr>
        <w:t xml:space="preserve"> Group, Acid Intrusive/Granite, and Laterite/Bauxite formations. These formations exhibit considerable variation in lithology, permeability, weathering characteristics, fracture density, and groundwater storage behaviour. The climate of the basin is tropical monsoonal, where the majority of annual rainfall is received during the southwest monsoon season. Agriculture is the dominant land-use activity within the basin, resulting in substantial dependence on groundwater resources for irrigation and domestic purposes. Due to increasing groundwater extraction and climatic variability, the basin has become highly vulnerable to groundwater stress and declining aquifer conditions.</w:t>
      </w:r>
      <w:r>
        <w:rPr>
          <w:rFonts w:ascii="Times New Roman" w:hAnsi="Times New Roman" w:cs="Times New Roman"/>
          <w:sz w:val="24"/>
          <w:szCs w:val="24"/>
        </w:rPr>
        <w:t xml:space="preserve"> </w:t>
      </w:r>
      <w:r w:rsidRPr="005C5E56">
        <w:rPr>
          <w:rFonts w:ascii="Times New Roman" w:hAnsi="Times New Roman" w:cs="Times New Roman"/>
          <w:sz w:val="24"/>
          <w:szCs w:val="24"/>
        </w:rPr>
        <w:t>To evaluate groundwater recharge dynamics, groundwater storage anomalies, and spatial variability, long-term groundwater level data from 249 observation wells distributed across the Wainganga River basin were collected for the period 2000–2020. The groundwater level data were obtained from the Central Ground Water Board (CGWB) and related state groundwater agencies. Both pre-monsoon and post-monsoon groundwater levels were utilized in the present investigation. Pre-monsoon groundwater levels represent the depleted groundwater condition before the onset of monsoon recharge, whereas post-monsoon groundwater levels indicate groundwater replenishment after monsoon rainfall. The observation wells were selected to ensure adequate spatial representation of all major geological formations within the basin.</w:t>
      </w:r>
    </w:p>
    <w:p w14:paraId="736DA5AA" w14:textId="77777777" w:rsidR="005C5E56" w:rsidRPr="005C5E56" w:rsidRDefault="005C5E56" w:rsidP="005C5E56">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Geological and hydrogeological data including lithological maps, geological boundaries, and aquifer characteristics were collected from published geological reports, hydrogeological atlases, and CGWB records. Specific yield values for different geological </w:t>
      </w:r>
      <w:r w:rsidRPr="005C5E56">
        <w:rPr>
          <w:rFonts w:ascii="Times New Roman" w:hAnsi="Times New Roman" w:cs="Times New Roman"/>
          <w:sz w:val="24"/>
          <w:szCs w:val="24"/>
        </w:rPr>
        <w:lastRenderedPageBreak/>
        <w:t xml:space="preserve">formations were adopted based on standard hydrogeological classifications and previous groundwater studies conducted in hard-rock terrains (Todd and Mays, 2005; CGWB, 2020). Rainfall and climatic data for the study period were also </w:t>
      </w:r>
      <w:proofErr w:type="spellStart"/>
      <w:r w:rsidRPr="005C5E56">
        <w:rPr>
          <w:rFonts w:ascii="Times New Roman" w:hAnsi="Times New Roman" w:cs="Times New Roman"/>
          <w:sz w:val="24"/>
          <w:szCs w:val="24"/>
        </w:rPr>
        <w:t>analyzed</w:t>
      </w:r>
      <w:proofErr w:type="spellEnd"/>
      <w:r w:rsidRPr="005C5E56">
        <w:rPr>
          <w:rFonts w:ascii="Times New Roman" w:hAnsi="Times New Roman" w:cs="Times New Roman"/>
          <w:sz w:val="24"/>
          <w:szCs w:val="24"/>
        </w:rPr>
        <w:t xml:space="preserve"> to understand the influence of monsoonal variability on groundwater recharge and storage fluctuations.</w:t>
      </w:r>
      <w:r>
        <w:rPr>
          <w:rFonts w:ascii="Times New Roman" w:hAnsi="Times New Roman" w:cs="Times New Roman"/>
          <w:sz w:val="24"/>
          <w:szCs w:val="24"/>
        </w:rPr>
        <w:t xml:space="preserve"> </w:t>
      </w:r>
      <w:r w:rsidRPr="005C5E56">
        <w:rPr>
          <w:rFonts w:ascii="Times New Roman" w:hAnsi="Times New Roman" w:cs="Times New Roman"/>
          <w:sz w:val="24"/>
          <w:szCs w:val="24"/>
        </w:rPr>
        <w:t xml:space="preserve">The groundwater level analysis was carried out separately for pre-monsoon and post-monsoon seasons to examine temporal groundwater behaviour across different geological formations. The maximum and minimum groundwater depths for individual wells were identified to evaluate groundwater depletion and recovery conditions over the 20-year period. Long-term groundwater trends were also </w:t>
      </w:r>
      <w:proofErr w:type="spellStart"/>
      <w:r w:rsidRPr="005C5E56">
        <w:rPr>
          <w:rFonts w:ascii="Times New Roman" w:hAnsi="Times New Roman" w:cs="Times New Roman"/>
          <w:sz w:val="24"/>
          <w:szCs w:val="24"/>
        </w:rPr>
        <w:t>analyzed</w:t>
      </w:r>
      <w:proofErr w:type="spellEnd"/>
      <w:r w:rsidRPr="005C5E56">
        <w:rPr>
          <w:rFonts w:ascii="Times New Roman" w:hAnsi="Times New Roman" w:cs="Times New Roman"/>
          <w:sz w:val="24"/>
          <w:szCs w:val="24"/>
        </w:rPr>
        <w:t xml:space="preserve"> to assess aquifer response under varying climatic and hydrological conditions.</w:t>
      </w:r>
      <w:r>
        <w:rPr>
          <w:rFonts w:ascii="Times New Roman" w:hAnsi="Times New Roman" w:cs="Times New Roman"/>
          <w:sz w:val="24"/>
          <w:szCs w:val="24"/>
        </w:rPr>
        <w:t xml:space="preserve"> </w:t>
      </w:r>
      <w:r w:rsidRPr="005C5E56">
        <w:rPr>
          <w:rFonts w:ascii="Times New Roman" w:hAnsi="Times New Roman" w:cs="Times New Roman"/>
          <w:sz w:val="24"/>
          <w:szCs w:val="24"/>
        </w:rPr>
        <w:t>Groundwater level fluctuation was estimated by calculating the difference between pre-monsoon and post-monsoon groundwater levels for each observation well following the Water Table Fluctuation (WTF) approach (Healy and Cook, 2002). Groundwater fluctuation serves as an important indicator of seasonal recharge and aquifer response to monsoon rainfall. The temporal variability of groundwater fluctuations was analysed for different geological formations to identify recharge-sensitive and recharge-deficient zones within the basin.</w:t>
      </w:r>
      <w:r>
        <w:rPr>
          <w:rFonts w:ascii="Times New Roman" w:hAnsi="Times New Roman" w:cs="Times New Roman"/>
          <w:sz w:val="24"/>
          <w:szCs w:val="24"/>
        </w:rPr>
        <w:t xml:space="preserve"> </w:t>
      </w:r>
      <w:r w:rsidRPr="005C5E56">
        <w:rPr>
          <w:rFonts w:ascii="Times New Roman" w:hAnsi="Times New Roman" w:cs="Times New Roman"/>
          <w:sz w:val="24"/>
          <w:szCs w:val="24"/>
        </w:rPr>
        <w:t>Groundwater recharge was estimated using the Water Table Fluctuation (WTF) method, which is one of the most widely accepted approaches for recharge estimation in hard-rock aquifers (Healy and Cook, 2002). The method assumes that rises in groundwater levels during the monsoon period primarily represent recharge to the aquifer system. Groundwater recharge was estimated using the following equation:</w:t>
      </w:r>
    </w:p>
    <w:p w14:paraId="50796783" w14:textId="77777777" w:rsidR="005C5E56" w:rsidRPr="005C5E56" w:rsidRDefault="00484458" w:rsidP="005C5E56">
      <w:pPr>
        <w:spacing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R</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S</m:t>
          </m:r>
          <m:r>
            <m:rPr>
              <m:sty m:val="p"/>
            </m:rPr>
            <w:rPr>
              <w:rFonts w:ascii="Cambria Math" w:hAnsi="Cambria Math" w:cs="Times New Roman"/>
              <w:color w:val="000000" w:themeColor="text1"/>
              <w:sz w:val="24"/>
              <w:szCs w:val="24"/>
            </w:rPr>
            <m:t>y​×Δ</m:t>
          </m:r>
          <m:r>
            <w:rPr>
              <w:rFonts w:ascii="Cambria Math" w:hAnsi="Cambria Math" w:cs="Times New Roman"/>
              <w:color w:val="000000" w:themeColor="text1"/>
              <w:sz w:val="24"/>
              <w:szCs w:val="24"/>
            </w:rPr>
            <m:t>h</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A</m:t>
          </m:r>
        </m:oMath>
      </m:oMathPara>
    </w:p>
    <w:p w14:paraId="5C84F710" w14:textId="77777777" w:rsidR="008B7293" w:rsidRDefault="008B7293" w:rsidP="005C5E56">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406FEEB" w14:textId="77777777" w:rsidR="008B7293" w:rsidRDefault="005C5E56" w:rsidP="008B7293">
      <w:pPr>
        <w:spacing w:line="360" w:lineRule="auto"/>
        <w:ind w:firstLine="851"/>
        <w:jc w:val="both"/>
        <w:rPr>
          <w:rFonts w:ascii="Times New Roman" w:hAnsi="Times New Roman" w:cs="Times New Roman"/>
          <w:sz w:val="24"/>
          <w:szCs w:val="24"/>
        </w:rPr>
      </w:pPr>
      <w:r w:rsidRPr="00484458">
        <w:rPr>
          <w:rFonts w:ascii="Times New Roman" w:hAnsi="Times New Roman" w:cs="Times New Roman"/>
          <w:i/>
          <w:iCs/>
          <w:sz w:val="24"/>
          <w:szCs w:val="24"/>
        </w:rPr>
        <w:t>R</w:t>
      </w:r>
      <w:r w:rsidRPr="005C5E56">
        <w:rPr>
          <w:rFonts w:ascii="Times New Roman" w:hAnsi="Times New Roman" w:cs="Times New Roman"/>
          <w:sz w:val="24"/>
          <w:szCs w:val="24"/>
        </w:rPr>
        <w:t xml:space="preserve"> represents groundwater recharge, </w:t>
      </w:r>
      <w:r w:rsidRPr="00484458">
        <w:rPr>
          <w:rFonts w:ascii="Times New Roman" w:hAnsi="Times New Roman" w:cs="Times New Roman"/>
          <w:i/>
          <w:iCs/>
          <w:sz w:val="24"/>
          <w:szCs w:val="24"/>
        </w:rPr>
        <w:t>S</w:t>
      </w:r>
      <w:r w:rsidRPr="005C5E56">
        <w:rPr>
          <w:rFonts w:ascii="Times New Roman" w:hAnsi="Times New Roman" w:cs="Times New Roman"/>
          <w:sz w:val="24"/>
          <w:szCs w:val="24"/>
        </w:rPr>
        <w:t>y</w:t>
      </w:r>
      <w:r>
        <w:rPr>
          <w:rFonts w:ascii="Times New Roman" w:hAnsi="Times New Roman" w:cs="Times New Roman"/>
          <w:sz w:val="24"/>
          <w:szCs w:val="24"/>
        </w:rPr>
        <w:t xml:space="preserve"> </w:t>
      </w:r>
      <w:r w:rsidRPr="005C5E56">
        <w:rPr>
          <w:rFonts w:ascii="Times New Roman" w:hAnsi="Times New Roman" w:cs="Times New Roman"/>
          <w:sz w:val="24"/>
          <w:szCs w:val="24"/>
        </w:rPr>
        <w:t xml:space="preserve">is the specific yield of the aquifer, </w:t>
      </w:r>
      <w:proofErr w:type="spellStart"/>
      <w:r w:rsidRPr="005C5E56">
        <w:rPr>
          <w:rFonts w:ascii="Times New Roman" w:hAnsi="Times New Roman" w:cs="Times New Roman"/>
          <w:sz w:val="24"/>
          <w:szCs w:val="24"/>
        </w:rPr>
        <w:t>Δ</w:t>
      </w:r>
      <w:r w:rsidRPr="00484458">
        <w:rPr>
          <w:rFonts w:ascii="Times New Roman" w:hAnsi="Times New Roman" w:cs="Times New Roman"/>
          <w:i/>
          <w:iCs/>
          <w:sz w:val="24"/>
          <w:szCs w:val="24"/>
        </w:rPr>
        <w:t>h</w:t>
      </w:r>
      <w:proofErr w:type="spellEnd"/>
      <w:r w:rsidRPr="005C5E56">
        <w:rPr>
          <w:rFonts w:ascii="Times New Roman" w:hAnsi="Times New Roman" w:cs="Times New Roman"/>
          <w:sz w:val="24"/>
          <w:szCs w:val="24"/>
        </w:rPr>
        <w:t xml:space="preserve"> denotes groundwater level fluctuation, and </w:t>
      </w:r>
      <w:r w:rsidRPr="00484458">
        <w:rPr>
          <w:rFonts w:ascii="Times New Roman" w:hAnsi="Times New Roman" w:cs="Times New Roman"/>
          <w:i/>
          <w:iCs/>
          <w:sz w:val="24"/>
          <w:szCs w:val="24"/>
        </w:rPr>
        <w:t>A</w:t>
      </w:r>
      <w:r w:rsidRPr="005C5E56">
        <w:rPr>
          <w:rFonts w:ascii="Times New Roman" w:hAnsi="Times New Roman" w:cs="Times New Roman"/>
          <w:sz w:val="24"/>
          <w:szCs w:val="24"/>
        </w:rPr>
        <w:t xml:space="preserve"> represents the areal extent of the geological formation. Formation-wise groundwater recharge was estimated annually for the period 2000–2020 to assess temporal and spatial recharge variability across different geological units.</w:t>
      </w:r>
    </w:p>
    <w:p w14:paraId="4B6E82F8" w14:textId="77777777" w:rsidR="005C5E56" w:rsidRDefault="005C5E56" w:rsidP="008B7293">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 xml:space="preserve">Groundwater storage anomalies (GWSA) were computed to evaluate temporal groundwater stress and aquifer recovery conditions. Prior to anomaly estimation, the sign of groundwater depth values was reversed to represent groundwater storage conditions. Groundwater storage anomalies were calculated by subtracting the long-term mean groundwater storage from annual groundwater storage values following the methodology adopted by Bhanja </w:t>
      </w:r>
      <w:r w:rsidR="00A1135E" w:rsidRPr="00A1135E">
        <w:rPr>
          <w:rFonts w:ascii="Times New Roman" w:hAnsi="Times New Roman" w:cs="Times New Roman"/>
          <w:i/>
          <w:sz w:val="24"/>
          <w:szCs w:val="24"/>
        </w:rPr>
        <w:t>et al</w:t>
      </w:r>
      <w:r w:rsidRPr="005C5E56">
        <w:rPr>
          <w:rFonts w:ascii="Times New Roman" w:hAnsi="Times New Roman" w:cs="Times New Roman"/>
          <w:sz w:val="24"/>
          <w:szCs w:val="24"/>
        </w:rPr>
        <w:t>. (2017). The groundwater storage anomaly was estimated using the following equation:</w:t>
      </w:r>
    </w:p>
    <w:p w14:paraId="69A338D6" w14:textId="77777777" w:rsidR="004352A6" w:rsidRPr="004352A6" w:rsidRDefault="004352A6" w:rsidP="008B7293">
      <w:pPr>
        <w:spacing w:line="360" w:lineRule="auto"/>
        <w:ind w:firstLine="851"/>
        <w:jc w:val="both"/>
        <w:rPr>
          <w:rStyle w:val="mord"/>
          <w:i/>
          <w:iCs/>
        </w:rPr>
      </w:pPr>
      <m:oMathPara>
        <m:oMath>
          <m:r>
            <w:rPr>
              <w:rStyle w:val="mord"/>
              <w:rFonts w:ascii="Cambria Math" w:hAnsi="Cambria Math"/>
            </w:rPr>
            <w:lastRenderedPageBreak/>
            <m:t>GWSAi</m:t>
          </m:r>
          <m:r>
            <w:rPr>
              <w:rStyle w:val="vlist-s"/>
              <w:rFonts w:ascii="Cambria Math" w:hAnsi="Cambria Math"/>
            </w:rPr>
            <m:t>​</m:t>
          </m:r>
          <m:r>
            <w:rPr>
              <w:rStyle w:val="mrel"/>
              <w:rFonts w:ascii="Cambria Math" w:hAnsi="Cambria Math"/>
            </w:rPr>
            <m:t>=</m:t>
          </m:r>
          <m:r>
            <w:rPr>
              <w:rStyle w:val="mord"/>
              <w:rFonts w:ascii="Cambria Math" w:hAnsi="Cambria Math"/>
            </w:rPr>
            <m:t>GWSi</m:t>
          </m:r>
          <m:r>
            <w:rPr>
              <w:rStyle w:val="vlist-s"/>
              <w:rFonts w:ascii="Cambria Math" w:hAnsi="Cambria Math"/>
            </w:rPr>
            <m:t>​</m:t>
          </m:r>
          <m:r>
            <w:rPr>
              <w:rStyle w:val="mbin"/>
              <w:rFonts w:ascii="Cambria Math" w:hAnsi="Cambria Math"/>
            </w:rPr>
            <m:t>-</m:t>
          </m:r>
          <m:acc>
            <m:accPr>
              <m:chr m:val="̅"/>
              <m:ctrlPr>
                <w:rPr>
                  <w:rStyle w:val="mord"/>
                  <w:rFonts w:ascii="Cambria Math" w:hAnsi="Cambria Math"/>
                  <w:i/>
                  <w:iCs/>
                </w:rPr>
              </m:ctrlPr>
            </m:accPr>
            <m:e>
              <m:r>
                <w:rPr>
                  <w:rStyle w:val="mord"/>
                  <w:rFonts w:ascii="Cambria Math" w:hAnsi="Cambria Math"/>
                </w:rPr>
                <m:t>GWS</m:t>
              </m:r>
            </m:e>
          </m:acc>
        </m:oMath>
      </m:oMathPara>
    </w:p>
    <w:p w14:paraId="35C8544B" w14:textId="77777777" w:rsidR="005C5E56" w:rsidRPr="005C5E56" w:rsidRDefault="005C5E56" w:rsidP="005C5E56">
      <w:pPr>
        <w:spacing w:line="360" w:lineRule="auto"/>
        <w:jc w:val="both"/>
        <w:rPr>
          <w:rFonts w:ascii="Times New Roman" w:hAnsi="Times New Roman" w:cs="Times New Roman"/>
          <w:sz w:val="24"/>
          <w:szCs w:val="24"/>
        </w:rPr>
      </w:pPr>
      <w:r w:rsidRPr="005C5E56">
        <w:rPr>
          <w:rFonts w:ascii="Times New Roman" w:hAnsi="Times New Roman" w:cs="Times New Roman"/>
          <w:sz w:val="24"/>
          <w:szCs w:val="24"/>
        </w:rPr>
        <w:t xml:space="preserve">Where, </w:t>
      </w:r>
      <w:proofErr w:type="spellStart"/>
      <w:r w:rsidRPr="007A7534">
        <w:rPr>
          <w:rFonts w:ascii="Times New Roman" w:hAnsi="Times New Roman" w:cs="Times New Roman"/>
          <w:i/>
          <w:iCs/>
          <w:sz w:val="24"/>
          <w:szCs w:val="24"/>
        </w:rPr>
        <w:t>GWSAi</w:t>
      </w:r>
      <w:proofErr w:type="spellEnd"/>
      <w:r w:rsidR="007A7534">
        <w:rPr>
          <w:rFonts w:ascii="Times New Roman" w:hAnsi="Times New Roman" w:cs="Times New Roman"/>
          <w:sz w:val="24"/>
          <w:szCs w:val="24"/>
        </w:rPr>
        <w:t xml:space="preserve"> </w:t>
      </w:r>
      <w:r w:rsidRPr="005C5E56">
        <w:rPr>
          <w:rFonts w:ascii="Times New Roman" w:hAnsi="Times New Roman" w:cs="Times New Roman"/>
          <w:sz w:val="24"/>
          <w:szCs w:val="24"/>
        </w:rPr>
        <w:t xml:space="preserve">is the groundwater storage anomaly for year </w:t>
      </w:r>
      <w:proofErr w:type="spellStart"/>
      <w:r w:rsidRPr="007A7534">
        <w:rPr>
          <w:rFonts w:ascii="Times New Roman" w:hAnsi="Times New Roman" w:cs="Times New Roman"/>
          <w:i/>
          <w:iCs/>
          <w:sz w:val="24"/>
          <w:szCs w:val="24"/>
        </w:rPr>
        <w:t>i</w:t>
      </w:r>
      <w:proofErr w:type="spellEnd"/>
      <w:r w:rsidRPr="005C5E56">
        <w:rPr>
          <w:rFonts w:ascii="Times New Roman" w:hAnsi="Times New Roman" w:cs="Times New Roman"/>
          <w:sz w:val="24"/>
          <w:szCs w:val="24"/>
        </w:rPr>
        <w:t xml:space="preserve">, </w:t>
      </w:r>
      <w:proofErr w:type="spellStart"/>
      <w:r w:rsidRPr="007A7534">
        <w:rPr>
          <w:rFonts w:ascii="Times New Roman" w:hAnsi="Times New Roman" w:cs="Times New Roman"/>
          <w:i/>
          <w:iCs/>
          <w:sz w:val="24"/>
          <w:szCs w:val="24"/>
        </w:rPr>
        <w:t>GWSi</w:t>
      </w:r>
      <w:proofErr w:type="spellEnd"/>
      <w:r w:rsidR="007A7534">
        <w:rPr>
          <w:rFonts w:ascii="Times New Roman" w:hAnsi="Times New Roman" w:cs="Times New Roman"/>
          <w:sz w:val="24"/>
          <w:szCs w:val="24"/>
        </w:rPr>
        <w:t xml:space="preserve"> </w:t>
      </w:r>
      <w:r w:rsidRPr="005C5E56">
        <w:rPr>
          <w:rFonts w:ascii="Times New Roman" w:hAnsi="Times New Roman" w:cs="Times New Roman"/>
          <w:sz w:val="24"/>
          <w:szCs w:val="24"/>
        </w:rPr>
        <w:t xml:space="preserve">is groundwater storage during year </w:t>
      </w:r>
      <w:proofErr w:type="spellStart"/>
      <w:r w:rsidRPr="007A7534">
        <w:rPr>
          <w:rFonts w:ascii="Times New Roman" w:hAnsi="Times New Roman" w:cs="Times New Roman"/>
          <w:i/>
          <w:iCs/>
          <w:sz w:val="24"/>
          <w:szCs w:val="24"/>
        </w:rPr>
        <w:t>i</w:t>
      </w:r>
      <w:proofErr w:type="spellEnd"/>
      <w:r w:rsidR="007A7534">
        <w:rPr>
          <w:rFonts w:ascii="Times New Roman" w:hAnsi="Times New Roman" w:cs="Times New Roman"/>
          <w:sz w:val="24"/>
          <w:szCs w:val="24"/>
        </w:rPr>
        <w:t xml:space="preserve">, and </w:t>
      </w:r>
      <w:r w:rsidRPr="005C5E56">
        <w:rPr>
          <w:rFonts w:ascii="Times New Roman" w:hAnsi="Times New Roman" w:cs="Times New Roman"/>
          <w:sz w:val="24"/>
          <w:szCs w:val="24"/>
        </w:rPr>
        <w:t>GWS</w:t>
      </w:r>
      <w:r w:rsidR="007A7534">
        <w:rPr>
          <w:rFonts w:ascii="Times New Roman" w:hAnsi="Times New Roman" w:cs="Times New Roman"/>
          <w:sz w:val="24"/>
          <w:szCs w:val="24"/>
        </w:rPr>
        <w:t xml:space="preserve"> </w:t>
      </w:r>
      <w:r w:rsidRPr="005C5E56">
        <w:rPr>
          <w:rFonts w:ascii="Times New Roman" w:hAnsi="Times New Roman" w:cs="Times New Roman"/>
          <w:sz w:val="24"/>
          <w:szCs w:val="24"/>
        </w:rPr>
        <w:t>represents long-term mean groundwater storage. Negative groundwater storage anomalies indicate groundwater depletion and hydrological stress, whereas positive anomalies represent groundwater replenishment and aquifer recovery.</w:t>
      </w:r>
      <w:r w:rsidR="007A7534">
        <w:rPr>
          <w:rFonts w:ascii="Times New Roman" w:hAnsi="Times New Roman" w:cs="Times New Roman"/>
          <w:sz w:val="24"/>
          <w:szCs w:val="24"/>
        </w:rPr>
        <w:t xml:space="preserve"> </w:t>
      </w:r>
      <w:r w:rsidRPr="005C5E56">
        <w:rPr>
          <w:rFonts w:ascii="Times New Roman" w:hAnsi="Times New Roman" w:cs="Times New Roman"/>
          <w:sz w:val="24"/>
          <w:szCs w:val="24"/>
        </w:rPr>
        <w:t>Spatial variability of groundwater storage anomalies was assessed using spatial standard deviation analysis. Standard deviation was calculated to quantify the dispersion of groundwater storage anomalies from their spatial mean within each geological formation. High standard deviation values indicate strong spatial heterogeneity and uneven groundwater distribution, whereas low values indicate relatively uniform groundwater conditions. Spatial variability was estimated using the following standard deviation equation:</w:t>
      </w:r>
    </w:p>
    <w:p w14:paraId="61567FF6" w14:textId="77777777" w:rsidR="00113357" w:rsidRDefault="00113357" w:rsidP="005C5E56">
      <w:pPr>
        <w:spacing w:line="360" w:lineRule="auto"/>
        <w:jc w:val="both"/>
        <w:rPr>
          <w:rFonts w:ascii="Times New Roman" w:hAnsi="Times New Roman" w:cs="Times New Roman"/>
          <w:sz w:val="24"/>
          <w:szCs w:val="24"/>
        </w:rPr>
      </w:pPr>
      <m:oMathPara>
        <m:oMath>
          <m:r>
            <w:rPr>
              <w:rFonts w:ascii="Cambria Math" w:hAnsi="Cambria Math" w:cs="Cambria Math"/>
              <w:sz w:val="24"/>
              <w:szCs w:val="24"/>
            </w:rPr>
            <m:t>x</m:t>
          </m:r>
          <m:r>
            <m:rPr>
              <m:sty m:val="p"/>
            </m:rPr>
            <w:rPr>
              <w:rFonts w:ascii="Cambria Math" w:hAnsi="Cambria Math" w:cs="Cambria Math"/>
              <w:sz w:val="24"/>
              <w:szCs w:val="24"/>
            </w:rPr>
            <m:t>=</m:t>
          </m:r>
          <m:rad>
            <m:radPr>
              <m:degHide m:val="1"/>
              <m:ctrlPr>
                <w:rPr>
                  <w:rFonts w:ascii="Cambria Math" w:hAnsi="Cambria Math" w:cs="Cambria Math"/>
                  <w:sz w:val="24"/>
                  <w:szCs w:val="24"/>
                </w:rPr>
              </m:ctrlPr>
            </m:radPr>
            <m:deg/>
            <m:e>
              <m:f>
                <m:fPr>
                  <m:ctrlPr>
                    <w:rPr>
                      <w:rFonts w:ascii="Cambria Math" w:hAnsi="Cambria Math" w:cs="Cambria Math"/>
                      <w:sz w:val="24"/>
                      <w:szCs w:val="24"/>
                    </w:rPr>
                  </m:ctrlPr>
                </m:fPr>
                <m:num>
                  <m:sSubSup>
                    <m:sSubSupPr>
                      <m:ctrlPr>
                        <w:rPr>
                          <w:rFonts w:ascii="Cambria Math" w:hAnsi="Cambria Math" w:cs="Cambria Math"/>
                          <w:sz w:val="24"/>
                          <w:szCs w:val="24"/>
                        </w:rPr>
                      </m:ctrlPr>
                    </m:sSubSupPr>
                    <m:e>
                      <m:r>
                        <m:rPr>
                          <m:sty m:val="p"/>
                        </m:rPr>
                        <w:rPr>
                          <w:rFonts w:ascii="Cambria Math" w:hAnsi="Cambria Math" w:cs="Cambria Math"/>
                          <w:sz w:val="24"/>
                          <w:szCs w:val="24"/>
                        </w:rPr>
                        <m:t>Σ</m:t>
                      </m:r>
                    </m:e>
                    <m:sub>
                      <m:r>
                        <m:rPr>
                          <m:sty m:val="p"/>
                        </m:rPr>
                        <w:rPr>
                          <w:rFonts w:ascii="Cambria Math" w:hAnsi="Cambria Math" w:cs="Cambria Math"/>
                          <w:sz w:val="24"/>
                          <w:szCs w:val="24"/>
                        </w:rPr>
                        <m:t>i =1</m:t>
                      </m:r>
                    </m:sub>
                    <m:sup>
                      <m:r>
                        <m:rPr>
                          <m:sty m:val="p"/>
                        </m:rPr>
                        <w:rPr>
                          <w:rFonts w:ascii="Cambria Math" w:hAnsi="Cambria Math" w:cs="Cambria Math"/>
                          <w:sz w:val="24"/>
                          <w:szCs w:val="24"/>
                        </w:rPr>
                        <m:t>n</m:t>
                      </m:r>
                    </m:sup>
                  </m:sSubSup>
                  <m:sSup>
                    <m:sSupPr>
                      <m:ctrlPr>
                        <w:rPr>
                          <w:rFonts w:ascii="Cambria Math" w:hAnsi="Cambria Math" w:cs="Cambria Math"/>
                          <w:sz w:val="24"/>
                          <w:szCs w:val="24"/>
                        </w:rPr>
                      </m:ctrlPr>
                    </m:sSupPr>
                    <m:e>
                      <m:r>
                        <m:rPr>
                          <m:sty m:val="p"/>
                        </m:rPr>
                        <w:rPr>
                          <w:rFonts w:ascii="Cambria Math" w:hAnsi="Cambria Math" w:cs="Cambria Math"/>
                          <w:sz w:val="24"/>
                          <w:szCs w:val="24"/>
                        </w:rPr>
                        <m:t>(</m:t>
                      </m:r>
                      <m:r>
                        <w:rPr>
                          <w:rFonts w:ascii="Cambria Math" w:hAnsi="Cambria Math" w:cs="Times New Roman"/>
                          <w:sz w:val="24"/>
                          <w:szCs w:val="24"/>
                        </w:rPr>
                        <m:t>x</m:t>
                      </m:r>
                      <m:r>
                        <w:rPr>
                          <w:rFonts w:ascii="Cambria Math" w:hAnsi="Cambria Math" w:cs="Times New Roman"/>
                          <w:sz w:val="24"/>
                          <w:szCs w:val="24"/>
                          <w:vertAlign w:val="subscript"/>
                        </w:rPr>
                        <m:t>i</m:t>
                      </m:r>
                      <m:r>
                        <m:rPr>
                          <m:sty m:val="p"/>
                        </m:rPr>
                        <w:rPr>
                          <w:rFonts w:ascii="Cambria Math" w:hAnsi="Cambria Math" w:cs="Cambria Math"/>
                          <w:sz w:val="24"/>
                          <w:szCs w:val="24"/>
                        </w:rPr>
                        <m:t>-</m:t>
                      </m:r>
                      <m:acc>
                        <m:accPr>
                          <m:chr m:val="̅"/>
                          <m:ctrlPr>
                            <w:rPr>
                              <w:rFonts w:ascii="Cambria Math" w:hAnsi="Cambria Math" w:cs="Cambria Math"/>
                              <w:sz w:val="24"/>
                              <w:szCs w:val="24"/>
                            </w:rPr>
                          </m:ctrlPr>
                        </m:accPr>
                        <m:e>
                          <m:r>
                            <w:rPr>
                              <w:rFonts w:ascii="Cambria Math" w:hAnsi="Cambria Math" w:cs="Times New Roman"/>
                              <w:sz w:val="24"/>
                              <w:szCs w:val="24"/>
                            </w:rPr>
                            <m:t>x</m:t>
                          </m:r>
                        </m:e>
                      </m:acc>
                      <m:r>
                        <m:rPr>
                          <m:sty m:val="p"/>
                        </m:rPr>
                        <w:rPr>
                          <w:rFonts w:ascii="Cambria Math" w:hAnsi="Cambria Math" w:cs="Cambria Math"/>
                          <w:sz w:val="24"/>
                          <w:szCs w:val="24"/>
                        </w:rPr>
                        <m:t xml:space="preserve"> )</m:t>
                      </m:r>
                    </m:e>
                    <m:sup>
                      <m:r>
                        <w:rPr>
                          <w:rFonts w:ascii="Cambria Math" w:hAnsi="Cambria Math" w:cs="Cambria Math"/>
                          <w:sz w:val="24"/>
                          <w:szCs w:val="24"/>
                        </w:rPr>
                        <m:t>2</m:t>
                      </m:r>
                    </m:sup>
                  </m:sSup>
                </m:num>
                <m:den>
                  <m:r>
                    <m:rPr>
                      <m:sty m:val="p"/>
                    </m:rPr>
                    <w:rPr>
                      <w:rFonts w:ascii="Cambria Math" w:hAnsi="Cambria Math" w:cs="Cambria Math"/>
                      <w:sz w:val="24"/>
                      <w:szCs w:val="24"/>
                    </w:rPr>
                    <m:t>n</m:t>
                  </m:r>
                </m:den>
              </m:f>
            </m:e>
          </m:rad>
        </m:oMath>
      </m:oMathPara>
    </w:p>
    <w:p w14:paraId="4E77DB7B" w14:textId="77777777" w:rsidR="00E45AA2" w:rsidRDefault="005C5E56" w:rsidP="004A6BFE">
      <w:pPr>
        <w:spacing w:line="360" w:lineRule="auto"/>
        <w:jc w:val="both"/>
        <w:rPr>
          <w:rFonts w:ascii="Times New Roman" w:hAnsi="Times New Roman" w:cs="Times New Roman"/>
          <w:sz w:val="24"/>
          <w:szCs w:val="24"/>
        </w:rPr>
      </w:pPr>
      <w:r w:rsidRPr="005C5E56">
        <w:rPr>
          <w:rFonts w:ascii="Times New Roman" w:hAnsi="Times New Roman" w:cs="Times New Roman"/>
          <w:sz w:val="24"/>
          <w:szCs w:val="24"/>
        </w:rPr>
        <w:t xml:space="preserve">Where, SD represents spatial standard deviation, </w:t>
      </w:r>
      <w:r w:rsidRPr="004A6BFE">
        <w:rPr>
          <w:rFonts w:ascii="Times New Roman" w:hAnsi="Times New Roman" w:cs="Times New Roman"/>
          <w:i/>
          <w:iCs/>
          <w:sz w:val="24"/>
          <w:szCs w:val="24"/>
        </w:rPr>
        <w:t>x</w:t>
      </w:r>
      <w:r w:rsidRPr="004A6BFE">
        <w:rPr>
          <w:rFonts w:ascii="Times New Roman" w:hAnsi="Times New Roman" w:cs="Times New Roman"/>
          <w:i/>
          <w:iCs/>
          <w:sz w:val="24"/>
          <w:szCs w:val="24"/>
          <w:vertAlign w:val="subscript"/>
        </w:rPr>
        <w:t>i</w:t>
      </w:r>
      <w:r w:rsidRPr="005C5E56">
        <w:rPr>
          <w:rFonts w:ascii="Times New Roman" w:hAnsi="Times New Roman" w:cs="Times New Roman"/>
          <w:sz w:val="24"/>
          <w:szCs w:val="24"/>
        </w:rPr>
        <w:t xml:space="preserve"> is the</w:t>
      </w:r>
      <w:r w:rsidR="004A6BFE">
        <w:rPr>
          <w:rFonts w:ascii="Times New Roman" w:hAnsi="Times New Roman" w:cs="Times New Roman"/>
          <w:sz w:val="24"/>
          <w:szCs w:val="24"/>
        </w:rPr>
        <w:t xml:space="preserve"> groundwater storage anomaly at </w:t>
      </w:r>
      <w:r w:rsidRPr="005C5E56">
        <w:rPr>
          <w:rFonts w:ascii="Times New Roman" w:hAnsi="Times New Roman" w:cs="Times New Roman"/>
          <w:sz w:val="24"/>
          <w:szCs w:val="24"/>
        </w:rPr>
        <w:t xml:space="preserve">observation point </w:t>
      </w:r>
      <w:proofErr w:type="spellStart"/>
      <w:r w:rsidRPr="004A6BFE">
        <w:rPr>
          <w:rFonts w:ascii="Times New Roman" w:hAnsi="Times New Roman" w:cs="Times New Roman"/>
          <w:i/>
          <w:iCs/>
          <w:sz w:val="24"/>
          <w:szCs w:val="24"/>
        </w:rPr>
        <w:t>i</w:t>
      </w:r>
      <w:proofErr w:type="spellEnd"/>
      <w:r w:rsidRPr="005C5E56">
        <w:rPr>
          <w:rFonts w:ascii="Times New Roman" w:hAnsi="Times New Roman" w:cs="Times New Roman"/>
          <w:sz w:val="24"/>
          <w:szCs w:val="24"/>
        </w:rPr>
        <w:t>,</w:t>
      </w:r>
      <w:r w:rsidR="004A6BFE">
        <w:rPr>
          <w:rFonts w:ascii="Times New Roman" w:hAnsi="Times New Roman" w:cs="Times New Roman"/>
          <w:sz w:val="24"/>
          <w:szCs w:val="24"/>
        </w:rPr>
        <w:t xml:space="preserve"> </w:t>
      </w:r>
      <m:oMath>
        <m:acc>
          <m:accPr>
            <m:chr m:val="̅"/>
            <m:ctrlPr>
              <w:rPr>
                <w:rFonts w:ascii="Cambria Math" w:hAnsi="Cambria Math" w:cs="Cambria Math"/>
                <w:sz w:val="24"/>
                <w:szCs w:val="24"/>
              </w:rPr>
            </m:ctrlPr>
          </m:accPr>
          <m:e>
            <m:r>
              <w:rPr>
                <w:rFonts w:ascii="Cambria Math" w:hAnsi="Cambria Math" w:cs="Times New Roman"/>
                <w:sz w:val="24"/>
                <w:szCs w:val="24"/>
              </w:rPr>
              <m:t>x</m:t>
            </m:r>
          </m:e>
        </m:acc>
        <m:r>
          <w:rPr>
            <w:rFonts w:ascii="Cambria Math" w:hAnsi="Cambria Math" w:cs="Cambria Math"/>
            <w:sz w:val="24"/>
            <w:szCs w:val="24"/>
          </w:rPr>
          <m:t xml:space="preserve"> </m:t>
        </m:r>
      </m:oMath>
      <w:r w:rsidRPr="005C5E56">
        <w:rPr>
          <w:rFonts w:ascii="Times New Roman" w:hAnsi="Times New Roman" w:cs="Times New Roman"/>
          <w:sz w:val="24"/>
          <w:szCs w:val="24"/>
        </w:rPr>
        <w:t xml:space="preserve">is the mean groundwater storage anomaly, and </w:t>
      </w:r>
      <w:r w:rsidRPr="004A6BFE">
        <w:rPr>
          <w:rFonts w:ascii="Times New Roman" w:hAnsi="Times New Roman" w:cs="Times New Roman"/>
          <w:i/>
          <w:iCs/>
          <w:sz w:val="24"/>
          <w:szCs w:val="24"/>
        </w:rPr>
        <w:t>n</w:t>
      </w:r>
      <w:r w:rsidRPr="005C5E56">
        <w:rPr>
          <w:rFonts w:ascii="Times New Roman" w:hAnsi="Times New Roman" w:cs="Times New Roman"/>
          <w:sz w:val="24"/>
          <w:szCs w:val="24"/>
        </w:rPr>
        <w:t xml:space="preserve"> is the number of observation wells. The spatial variability analysis was particularly useful for identifying heterogeneous groundwater conditions and hydrologically stressed regions within different geological formations.</w:t>
      </w:r>
      <w:r w:rsidR="004A6BFE">
        <w:rPr>
          <w:rFonts w:ascii="Times New Roman" w:hAnsi="Times New Roman" w:cs="Times New Roman"/>
          <w:sz w:val="24"/>
          <w:szCs w:val="24"/>
        </w:rPr>
        <w:t xml:space="preserve"> </w:t>
      </w:r>
      <w:r w:rsidRPr="005C5E56">
        <w:rPr>
          <w:rFonts w:ascii="Times New Roman" w:hAnsi="Times New Roman" w:cs="Times New Roman"/>
          <w:sz w:val="24"/>
          <w:szCs w:val="24"/>
        </w:rPr>
        <w:t>Temporal relationships among groundwater recharge, groundwater storage anomalies, and spatial variability were further examined to understand aquifer response under v</w:t>
      </w:r>
      <w:r w:rsidR="00E45AA2">
        <w:rPr>
          <w:rFonts w:ascii="Times New Roman" w:hAnsi="Times New Roman" w:cs="Times New Roman"/>
          <w:sz w:val="24"/>
          <w:szCs w:val="24"/>
        </w:rPr>
        <w:t>arying hydrological conditions.</w:t>
      </w:r>
    </w:p>
    <w:p w14:paraId="672BD2BA" w14:textId="77777777" w:rsidR="004A6BFE" w:rsidRDefault="005C5E56" w:rsidP="00E45AA2">
      <w:pPr>
        <w:spacing w:line="360" w:lineRule="auto"/>
        <w:ind w:firstLine="851"/>
        <w:jc w:val="both"/>
        <w:rPr>
          <w:rFonts w:ascii="Times New Roman" w:hAnsi="Times New Roman" w:cs="Times New Roman"/>
          <w:sz w:val="24"/>
          <w:szCs w:val="24"/>
        </w:rPr>
      </w:pPr>
      <w:r w:rsidRPr="005C5E56">
        <w:rPr>
          <w:rFonts w:ascii="Times New Roman" w:hAnsi="Times New Roman" w:cs="Times New Roman"/>
          <w:sz w:val="24"/>
          <w:szCs w:val="24"/>
        </w:rPr>
        <w:t>The study particularly focused on identifying drought years, recharge recovery periods, and geological controls governing groundwater storage behaviour. Statistical analyses including mean, standard deviation, temporal trend analysis, and formation-wise comparison were performed using Microsoft Excel and R statistical software. Spatial interpretation and thematic map preparation were carried out using Geographic Information System (GIS) techniques in ArcGIS/QGIS environments.</w:t>
      </w:r>
      <w:r w:rsidR="004A6BFE">
        <w:rPr>
          <w:rFonts w:ascii="Times New Roman" w:hAnsi="Times New Roman" w:cs="Times New Roman"/>
          <w:sz w:val="24"/>
          <w:szCs w:val="24"/>
        </w:rPr>
        <w:t xml:space="preserve"> </w:t>
      </w:r>
      <w:r w:rsidRPr="005C5E56">
        <w:rPr>
          <w:rFonts w:ascii="Times New Roman" w:hAnsi="Times New Roman" w:cs="Times New Roman"/>
          <w:sz w:val="24"/>
          <w:szCs w:val="24"/>
        </w:rPr>
        <w:t>The overall methodological framework integrated groundwater fluctuation analysis, recharge estimation, groundwater storage anomaly assessment, and spatial variability analysis to evaluate groundwater dynamics within the Wainganga River basin. The adopted methodology provides a comprehensive hydrogeological approach for understanding groundwater recharge behaviour, identifying groundwater stress zones, and supporting sustainable groundwater management and artificial recharge planning in hard-rock terrains of central India.</w:t>
      </w:r>
    </w:p>
    <w:p w14:paraId="35E6E5B5" w14:textId="77777777" w:rsidR="007A0ACE" w:rsidRDefault="007A0ACE" w:rsidP="00E45AA2">
      <w:pPr>
        <w:spacing w:line="360" w:lineRule="auto"/>
        <w:ind w:firstLine="851"/>
        <w:jc w:val="both"/>
        <w:rPr>
          <w:rFonts w:ascii="Times New Roman" w:hAnsi="Times New Roman" w:cs="Times New Roman"/>
          <w:sz w:val="24"/>
          <w:szCs w:val="24"/>
        </w:rPr>
      </w:pPr>
    </w:p>
    <w:p w14:paraId="0BD75C72" w14:textId="77777777" w:rsidR="007A0ACE" w:rsidRPr="007A0ACE" w:rsidRDefault="007A0ACE" w:rsidP="00E45AA2">
      <w:pPr>
        <w:spacing w:line="360" w:lineRule="auto"/>
        <w:ind w:firstLine="851"/>
        <w:jc w:val="both"/>
        <w:rPr>
          <w:rFonts w:ascii="Times New Roman" w:hAnsi="Times New Roman" w:cs="Times New Roman"/>
          <w:b/>
          <w:bCs/>
          <w:sz w:val="24"/>
          <w:szCs w:val="24"/>
        </w:rPr>
      </w:pPr>
    </w:p>
    <w:p w14:paraId="5151CDE0" w14:textId="73C99761" w:rsidR="007A0ACE" w:rsidRPr="007A0ACE" w:rsidRDefault="007A0ACE" w:rsidP="007A0ACE">
      <w:pPr>
        <w:spacing w:line="360" w:lineRule="auto"/>
        <w:jc w:val="both"/>
        <w:rPr>
          <w:rFonts w:ascii="Times New Roman" w:hAnsi="Times New Roman" w:cs="Times New Roman"/>
          <w:b/>
          <w:bCs/>
          <w:sz w:val="24"/>
          <w:szCs w:val="24"/>
        </w:rPr>
      </w:pPr>
      <w:r w:rsidRPr="007A0ACE">
        <w:rPr>
          <w:rFonts w:ascii="Times New Roman" w:hAnsi="Times New Roman" w:cs="Times New Roman"/>
          <w:b/>
          <w:bCs/>
          <w:sz w:val="24"/>
          <w:szCs w:val="24"/>
        </w:rPr>
        <w:t>Result &amp; Discussion</w:t>
      </w:r>
    </w:p>
    <w:p w14:paraId="174009A2" w14:textId="77777777" w:rsidR="00B9501C" w:rsidRPr="00B9501C" w:rsidRDefault="00B9501C" w:rsidP="00B9501C">
      <w:pPr>
        <w:spacing w:line="360" w:lineRule="auto"/>
        <w:jc w:val="both"/>
        <w:rPr>
          <w:rFonts w:ascii="Times New Roman" w:hAnsi="Times New Roman" w:cs="Times New Roman"/>
          <w:b/>
          <w:bCs/>
          <w:sz w:val="24"/>
          <w:szCs w:val="24"/>
        </w:rPr>
      </w:pPr>
      <w:r w:rsidRPr="00B9501C">
        <w:rPr>
          <w:rFonts w:ascii="Times New Roman" w:hAnsi="Times New Roman" w:cs="Times New Roman"/>
          <w:b/>
          <w:bCs/>
          <w:sz w:val="24"/>
          <w:szCs w:val="24"/>
        </w:rPr>
        <w:t>Groundwater Recharge Dynamics and Spatial Variability of Groundwater Storage in the Wainganga River Basin</w:t>
      </w:r>
    </w:p>
    <w:p w14:paraId="0EBE3A16" w14:textId="77777777" w:rsidR="00B9501C" w:rsidRPr="00B9501C" w:rsidRDefault="00B9501C" w:rsidP="00B9501C">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Following the successful delineation and validation of groundwater potential zones within the Wainganga River basin, the present investigation focused on evaluating the spatial variability of groundwater storage and recharge characteristics across different geological formations. The major objective of this analysis was to understand the hydrogeological behaviour of aquifers and identify regions vulnerable to groundwater stress for sustainable groundwater management and artificial recharge planning. The study integrated long-term groundwater level observations, groundwater recharge estimation, groundwater storage anomaly (GWSA) analysis, and spatial variability assessment to examine the response of aquifers under varying hydrological conditions.</w:t>
      </w:r>
    </w:p>
    <w:p w14:paraId="32C7143E" w14:textId="77777777" w:rsidR="00B9501C" w:rsidRPr="00B9501C" w:rsidRDefault="00B9501C" w:rsidP="00B9501C">
      <w:pPr>
        <w:spacing w:line="360" w:lineRule="auto"/>
        <w:jc w:val="both"/>
        <w:rPr>
          <w:rFonts w:ascii="Times New Roman" w:hAnsi="Times New Roman" w:cs="Times New Roman"/>
          <w:b/>
          <w:bCs/>
          <w:sz w:val="24"/>
          <w:szCs w:val="24"/>
        </w:rPr>
      </w:pPr>
      <w:r w:rsidRPr="00B9501C">
        <w:rPr>
          <w:rFonts w:ascii="Times New Roman" w:hAnsi="Times New Roman" w:cs="Times New Roman"/>
          <w:b/>
          <w:bCs/>
          <w:sz w:val="24"/>
          <w:szCs w:val="24"/>
        </w:rPr>
        <w:t>Pre-Monsoon Groundwater Level</w:t>
      </w:r>
    </w:p>
    <w:p w14:paraId="1A60557C" w14:textId="77777777" w:rsidR="00B9501C" w:rsidRPr="00B9501C" w:rsidRDefault="00B9501C" w:rsidP="007E6FB8">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Pre-monsoon groundwater levels represent the depleted condition of aquifers prior to monsoonal recharge and therefore provide valuable information regarding groundwater stress conditions. Analysis of pre-monsoon groundwater levels for 249 observation wells during the period 2000–2020 revealed considerable temporal and spatial variability among different geological formations. The highest pre-monsoon groundwater depth recorded during 2000–2010 was 21.35 m at observation well CWD-067-OW in 2002, whereas during 2011–2020 the maximum groundwater depth reached 20.60 m at well CWD-015-OW-A in 2011. Another significant groundwater depletion event was observed at well CWD-059-OW, where groundwater depth reached 20.34 m during 2014. These observations indicate that severe groundwater depletion occurred during low rainfall years and drought periods.</w:t>
      </w:r>
      <w:r w:rsidR="007E6FB8">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Deccan Trap formation exhibited comparatively deeper groundwater levels than other geological formations throughout the study period. This behaviour may be attributed to variations in fracture connectivity, weathered zone thickness, and groundwater abstraction intensity within basaltic terrains. Similar groundwater depletion patterns in hard-rock aquifers of peninsular India have also been reported by Rodell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xml:space="preserve">. (2009), Tiwari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(2009), and Panda and Wahr (2016), who emphasized that excessive groundwater extraction coupled with irregular monsoon rainfall significantly influences groundwater decline in semi-arid regions. The long-</w:t>
      </w:r>
      <w:r w:rsidRPr="00B9501C">
        <w:rPr>
          <w:rFonts w:ascii="Times New Roman" w:hAnsi="Times New Roman" w:cs="Times New Roman"/>
          <w:sz w:val="24"/>
          <w:szCs w:val="24"/>
        </w:rPr>
        <w:lastRenderedPageBreak/>
        <w:t>term trend analysis of groundwater levels further indicated progressive groundwater stress in certain parts of the basin, highlighting the increasing vulnerability of hard-rock aquifers to climatic variability and anthropogenic pressure.</w:t>
      </w:r>
    </w:p>
    <w:p w14:paraId="7CBC2A0B" w14:textId="77777777" w:rsidR="00B9501C" w:rsidRPr="007E6FB8" w:rsidRDefault="00B9501C" w:rsidP="00B9501C">
      <w:pPr>
        <w:spacing w:line="360" w:lineRule="auto"/>
        <w:jc w:val="both"/>
        <w:rPr>
          <w:rFonts w:ascii="Times New Roman" w:hAnsi="Times New Roman" w:cs="Times New Roman"/>
          <w:b/>
          <w:bCs/>
          <w:sz w:val="24"/>
          <w:szCs w:val="24"/>
        </w:rPr>
      </w:pPr>
      <w:r w:rsidRPr="007E6FB8">
        <w:rPr>
          <w:rFonts w:ascii="Times New Roman" w:hAnsi="Times New Roman" w:cs="Times New Roman"/>
          <w:b/>
          <w:bCs/>
          <w:sz w:val="24"/>
          <w:szCs w:val="24"/>
        </w:rPr>
        <w:t>Post-Monsoon Groundwater Level</w:t>
      </w:r>
    </w:p>
    <w:p w14:paraId="59A5EA72"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Post-monsoon groundwater levels represent aquifer replenishment conditions after monsoonal rainfall recharge. Analysis of post-monsoon groundwater levels indicated substantial improvement in groundwater conditions across most geological formations; however, significant variability was observed among different lithological units. The maximum depth to post-monsoon groundwater level was recorded as 15.50 m at well BGT-092-OW in 2019 within the Betul Gneiss formation, whereas the minimum groundwater depth was observed as 0.55 m at well SEO-061-OW during both 2003 and 2013 within the Acid Intrusive/Granite formation.</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The consistently deeper groundwater levels within the Betul Gneiss formation suggest comparatively lower recharge efficiency and reduced groundwater retention characteristics. In contrast, shallower groundwater levels in the Acid Intrusive/Granite formation indicate relatively better groundwater replenishment conditions. Such differences among geological formations are primarily controlled by lithological characteristics, fracture density, permeability, and weathering conditions of the aquifers (Todd and Mays, 2005). Similar findings were reported by Healy (2010), who demonstrated that geological heterogeneity strongly governs recharge efficiency and groundwater storage distribution in hard-rock terrains.</w:t>
      </w:r>
    </w:p>
    <w:p w14:paraId="4D1FFA65"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Level Fluctuation</w:t>
      </w:r>
    </w:p>
    <w:p w14:paraId="5ED5CC81"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Groundwater level fluctuation analysis was carried out by calculating the difference between pre-monsoon and post-monsoon groundwater levels for all observation wells. The results revealed considerable variability in groundwater recharge patterns across the Wainganga River basin during 2000–2020. The maximum groundwater fluctuation was observed at well CWD-015-OW-A during 2011, where fluctuation reached 13.82 m, indicating substantial monsoonal recharge and rapid aquifer recovery. Conversely, minimum groundwater fluctuations were observed at wells BGT-013-OW in 2015 (0.10 m) and CWD-011-OW-A in 2013 (0.20 m), suggesting poor recharge conditions during deficient rainfall years.</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Acid Intrusive/Granite formations generally exhibited higher groundwater fluctuation peaks, whereas the Betul Gneiss formation displayed relatively moderate but stable groundwater fluctuations. This indicates that granite formations may possess comparatively higher recharge sensitivity, while gneissic formations exhibit more gradual aquifer response. The observed </w:t>
      </w:r>
      <w:r w:rsidRPr="00B9501C">
        <w:rPr>
          <w:rFonts w:ascii="Times New Roman" w:hAnsi="Times New Roman" w:cs="Times New Roman"/>
          <w:sz w:val="24"/>
          <w:szCs w:val="24"/>
        </w:rPr>
        <w:lastRenderedPageBreak/>
        <w:t xml:space="preserve">variability in groundwater fluctuations confirms that geological characteristics significantly influence aquifer recharge dynamics and groundwater storage behaviour. Similar hydrogeological responses in fractured hard-rock aquifers have also been documented by Healy and Cook (2002) and 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p>
    <w:p w14:paraId="4B136C92"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Recharge Estimation</w:t>
      </w:r>
    </w:p>
    <w:p w14:paraId="4338F29B" w14:textId="77777777" w:rsidR="00B9501C" w:rsidRPr="00B9501C" w:rsidRDefault="00B9501C" w:rsidP="00A1135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Groundwater recharge estimated using the Water Table Fluctuation (WTF) method revealed significant differences among geological formations and years. Recharge estimation showed that the Deccan Trap formation contributed the largest share of groundwater recharge due to its extensive areal coverage within the basin. The maximum recharge in the Deccan Trap reached 1790 MCM during 2019, whereas the minimum recharge declined to 1048 MCM during the drought year 2014. Similarly, Betul Gneiss exhibited recharge values ranging from 542.7 MCM in 2014 to 754.4 MCM in 2019.</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Among other formations, maximum recharge values reached 149.24 MCM for Acid Intrusive formations, 135.4 MCM for Lower Gondwana, 121.55 MCM for </w:t>
      </w:r>
      <w:proofErr w:type="spellStart"/>
      <w:r w:rsidRPr="00B9501C">
        <w:rPr>
          <w:rFonts w:ascii="Times New Roman" w:hAnsi="Times New Roman" w:cs="Times New Roman"/>
          <w:sz w:val="24"/>
          <w:szCs w:val="24"/>
        </w:rPr>
        <w:t>Sausar</w:t>
      </w:r>
      <w:proofErr w:type="spellEnd"/>
      <w:r w:rsidRPr="00B9501C">
        <w:rPr>
          <w:rFonts w:ascii="Times New Roman" w:hAnsi="Times New Roman" w:cs="Times New Roman"/>
          <w:sz w:val="24"/>
          <w:szCs w:val="24"/>
        </w:rPr>
        <w:t xml:space="preserve"> Group, 101.4 MCM for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and 60.5 MCM for Laterite/Bauxite formations. Most formations recorded minimum recharge values during 2014, indicating the strong influence of deficient monsoon rainfall on groundwater replenishment. Overall, total basin recharge varied from 1907 MCM in 2014 to 3015.97 MCM in 2019.</w:t>
      </w:r>
      <w:r w:rsidR="00A1135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observed recharge variability demonstrates that monsoonal rainfall patterns and geological controls jointly regulate groundwater recharge processes within the basin. Higher recharge during wet years indicates effective aquifer replenishment, whereas reduced recharge during drought years reflects declining infiltration and groundwater recovery. Similar rainfall-driven recharge variability in Indian hard-rock aquifers has been reported by Rodell </w:t>
      </w:r>
      <w:r w:rsidR="00A1135E" w:rsidRPr="00A1135E">
        <w:rPr>
          <w:rFonts w:ascii="Times New Roman" w:hAnsi="Times New Roman" w:cs="Times New Roman"/>
          <w:i/>
          <w:sz w:val="24"/>
          <w:szCs w:val="24"/>
        </w:rPr>
        <w:t>et al</w:t>
      </w:r>
      <w:r w:rsidR="00763D0A">
        <w:rPr>
          <w:rFonts w:ascii="Times New Roman" w:hAnsi="Times New Roman" w:cs="Times New Roman"/>
          <w:sz w:val="24"/>
          <w:szCs w:val="24"/>
        </w:rPr>
        <w:t xml:space="preserve">. (2009) and </w:t>
      </w:r>
      <w:r w:rsidRPr="00B9501C">
        <w:rPr>
          <w:rFonts w:ascii="Times New Roman" w:hAnsi="Times New Roman" w:cs="Times New Roman"/>
          <w:sz w:val="24"/>
          <w:szCs w:val="24"/>
        </w:rPr>
        <w:t xml:space="preserve">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p>
    <w:p w14:paraId="7AC00EC7" w14:textId="77777777" w:rsidR="00B9501C" w:rsidRPr="00A1135E" w:rsidRDefault="00B9501C" w:rsidP="00B9501C">
      <w:pPr>
        <w:spacing w:line="360" w:lineRule="auto"/>
        <w:jc w:val="both"/>
        <w:rPr>
          <w:rFonts w:ascii="Times New Roman" w:hAnsi="Times New Roman" w:cs="Times New Roman"/>
          <w:b/>
          <w:bCs/>
          <w:sz w:val="24"/>
          <w:szCs w:val="24"/>
        </w:rPr>
      </w:pPr>
      <w:r w:rsidRPr="00A1135E">
        <w:rPr>
          <w:rFonts w:ascii="Times New Roman" w:hAnsi="Times New Roman" w:cs="Times New Roman"/>
          <w:b/>
          <w:bCs/>
          <w:sz w:val="24"/>
          <w:szCs w:val="24"/>
        </w:rPr>
        <w:t>Groundwater Storage Anomaly (GWSA)</w:t>
      </w:r>
    </w:p>
    <w:p w14:paraId="3503ECC4" w14:textId="77777777" w:rsidR="00B9501C" w:rsidRPr="00B9501C" w:rsidRDefault="00B9501C" w:rsidP="003C09DC">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 xml:space="preserve">Groundwater storage anomalies were computed to assess temporal groundwater depletion and recovery conditions across different geological formations. The results revealed that severe groundwater stress occurred during the years 2014 and 2020, when most geological formations exhibited strongly negative groundwater storage anomalies.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showed the most extreme depletion, reaching a minimum anomaly of −14.7 MCM during 2020. Other formations including Lower Gondwana (−6.46 MCM), Deccan Trap (−3.39 MCM), Laterite/Bauxite (−2.25 MCM), </w:t>
      </w:r>
      <w:proofErr w:type="spellStart"/>
      <w:r w:rsidRPr="00B9501C">
        <w:rPr>
          <w:rFonts w:ascii="Times New Roman" w:hAnsi="Times New Roman" w:cs="Times New Roman"/>
          <w:sz w:val="24"/>
          <w:szCs w:val="24"/>
        </w:rPr>
        <w:t>Sausar</w:t>
      </w:r>
      <w:proofErr w:type="spellEnd"/>
      <w:r w:rsidRPr="00B9501C">
        <w:rPr>
          <w:rFonts w:ascii="Times New Roman" w:hAnsi="Times New Roman" w:cs="Times New Roman"/>
          <w:sz w:val="24"/>
          <w:szCs w:val="24"/>
        </w:rPr>
        <w:t xml:space="preserve"> Group (−1.97 MCM), Betul Gneiss (−1.62 MCM), and Acid Intrusive/Granite (−1.59 MCM) also experienced significant groundwater depletion.</w:t>
      </w:r>
      <w:r w:rsidR="003C09DC">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occurrence of strong negative groundwater storage anomalies during drought years clearly </w:t>
      </w:r>
      <w:r w:rsidRPr="00B9501C">
        <w:rPr>
          <w:rFonts w:ascii="Times New Roman" w:hAnsi="Times New Roman" w:cs="Times New Roman"/>
          <w:sz w:val="24"/>
          <w:szCs w:val="24"/>
        </w:rPr>
        <w:lastRenderedPageBreak/>
        <w:t xml:space="preserve">indicates the sensitivity of hard-rock aquifers to rainfall variability and groundwater abstraction. Geological formations with lower storage capacity and poor recharge efficiency experienced greater depletion during stress periods. Similar groundwater depletion patterns across India have been reported using GRACE satellite observations by Rodell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xml:space="preserve">. (2009), Tiwari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(2009), and Panda and Wahr (2016).</w:t>
      </w:r>
      <w:r w:rsidR="003C09DC">
        <w:rPr>
          <w:rFonts w:ascii="Times New Roman" w:hAnsi="Times New Roman" w:cs="Times New Roman"/>
          <w:sz w:val="24"/>
          <w:szCs w:val="24"/>
        </w:rPr>
        <w:t xml:space="preserve"> </w:t>
      </w:r>
      <w:r w:rsidRPr="00B9501C">
        <w:rPr>
          <w:rFonts w:ascii="Times New Roman" w:hAnsi="Times New Roman" w:cs="Times New Roman"/>
          <w:sz w:val="24"/>
          <w:szCs w:val="24"/>
        </w:rPr>
        <w:t xml:space="preserve">In contrast, substantial groundwater recovery was observed during 2010, when most formations exhibited positive groundwater storage anomalies due to high monsoonal recharge.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recorded the highest positive anomaly of +13.9 MCM, followed by Lower Gondwana (+2.33 MCM), Laterite/Bauxite (+1.09 MCM), Betul Gneiss (+0.95 MCM), Acid Intrusive/Granite (+0.93 MCM), </w:t>
      </w:r>
      <w:proofErr w:type="spellStart"/>
      <w:r w:rsidRPr="00B9501C">
        <w:rPr>
          <w:rFonts w:ascii="Times New Roman" w:hAnsi="Times New Roman" w:cs="Times New Roman"/>
          <w:sz w:val="24"/>
          <w:szCs w:val="24"/>
        </w:rPr>
        <w:t>Sausar</w:t>
      </w:r>
      <w:proofErr w:type="spellEnd"/>
      <w:r w:rsidRPr="00B9501C">
        <w:rPr>
          <w:rFonts w:ascii="Times New Roman" w:hAnsi="Times New Roman" w:cs="Times New Roman"/>
          <w:sz w:val="24"/>
          <w:szCs w:val="24"/>
        </w:rPr>
        <w:t xml:space="preserve"> Group (+0.35 MCM), and Deccan Trap (+0.23 MCM). These results demonstrate that heavy monsoonal rainfall can significantly restore groundwater storage; however, recharge efficiency and storage response vary considerably depending on geological conditions and aquifer properties.</w:t>
      </w:r>
    </w:p>
    <w:p w14:paraId="729EFA6F" w14:textId="77777777" w:rsidR="00B9501C" w:rsidRPr="003C09DC" w:rsidRDefault="00B9501C" w:rsidP="00B9501C">
      <w:pPr>
        <w:spacing w:line="360" w:lineRule="auto"/>
        <w:jc w:val="both"/>
        <w:rPr>
          <w:rFonts w:ascii="Times New Roman" w:hAnsi="Times New Roman" w:cs="Times New Roman"/>
          <w:b/>
          <w:bCs/>
          <w:sz w:val="24"/>
          <w:szCs w:val="24"/>
        </w:rPr>
      </w:pPr>
      <w:r w:rsidRPr="003C09DC">
        <w:rPr>
          <w:rFonts w:ascii="Times New Roman" w:hAnsi="Times New Roman" w:cs="Times New Roman"/>
          <w:b/>
          <w:bCs/>
          <w:sz w:val="24"/>
          <w:szCs w:val="24"/>
        </w:rPr>
        <w:t>Spatial Variability of Groundwater Storage</w:t>
      </w:r>
    </w:p>
    <w:p w14:paraId="57FA6F5B" w14:textId="77777777" w:rsidR="00FE1B8A" w:rsidRDefault="00B9501C" w:rsidP="00C46DBE">
      <w:pPr>
        <w:spacing w:line="360" w:lineRule="auto"/>
        <w:ind w:firstLine="851"/>
        <w:jc w:val="both"/>
        <w:rPr>
          <w:rFonts w:ascii="Times New Roman" w:hAnsi="Times New Roman" w:cs="Times New Roman"/>
          <w:sz w:val="24"/>
          <w:szCs w:val="24"/>
        </w:rPr>
      </w:pPr>
      <w:r w:rsidRPr="00B9501C">
        <w:rPr>
          <w:rFonts w:ascii="Times New Roman" w:hAnsi="Times New Roman" w:cs="Times New Roman"/>
          <w:sz w:val="24"/>
          <w:szCs w:val="24"/>
        </w:rPr>
        <w:t xml:space="preserve">Spatial variability analysis using standard deviation highlighted substantial heterogeneity in groundwater storage distribution among geological formations. The </w:t>
      </w:r>
      <w:proofErr w:type="spellStart"/>
      <w:r w:rsidRPr="00B9501C">
        <w:rPr>
          <w:rFonts w:ascii="Times New Roman" w:hAnsi="Times New Roman" w:cs="Times New Roman"/>
          <w:sz w:val="24"/>
          <w:szCs w:val="24"/>
        </w:rPr>
        <w:t>Khairagarh</w:t>
      </w:r>
      <w:proofErr w:type="spellEnd"/>
      <w:r w:rsidRPr="00B9501C">
        <w:rPr>
          <w:rFonts w:ascii="Times New Roman" w:hAnsi="Times New Roman" w:cs="Times New Roman"/>
          <w:sz w:val="24"/>
          <w:szCs w:val="24"/>
        </w:rPr>
        <w:t xml:space="preserve"> Group exhibited the highest spatial variability, particularly during the drought year 2014, when standard deviation reached 20.01 MCM. This indicates highly uneven groundwater distribution within the formation, where certain areas retained groundwater while others experienced severe depletion.</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 xml:space="preserve">Similarly, Deccan Trap and Lower Gondwana formations showed increasing spatial variability during the last decade, reaching values of 7.79 MCM and 7.80 MCM, respectively. Increasing variability suggests growing hydrological complexity and non-uniform groundwater behaviour within these formations. In contrast, Acid Intrusive/Granite and </w:t>
      </w:r>
      <w:proofErr w:type="spellStart"/>
      <w:r w:rsidRPr="00B9501C">
        <w:rPr>
          <w:rFonts w:ascii="Times New Roman" w:hAnsi="Times New Roman" w:cs="Times New Roman"/>
          <w:sz w:val="24"/>
          <w:szCs w:val="24"/>
        </w:rPr>
        <w:t>Sausar</w:t>
      </w:r>
      <w:proofErr w:type="spellEnd"/>
      <w:r w:rsidRPr="00B9501C">
        <w:rPr>
          <w:rFonts w:ascii="Times New Roman" w:hAnsi="Times New Roman" w:cs="Times New Roman"/>
          <w:sz w:val="24"/>
          <w:szCs w:val="24"/>
        </w:rPr>
        <w:t xml:space="preserve"> Group formations maintained relatively low and stable spatial variability ranging between 1.9 and 3.4 MCM, indicating comparatively uniform groundwater distribution and aquifer behaviour.</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 xml:space="preserve">The relationship between groundwater storage anomalies, recharge magnitude, and spatial variability revealed strong hydrogeological coupling within the basin. Spatial variability generally increased during periods of groundwater depletion and hydrological stress, indicating uneven aquifer response to declining recharge conditions. Similar relationships between geological heterogeneity and groundwater storage variability have been reported by Fetter (2001) and Bhanja </w:t>
      </w:r>
      <w:r w:rsidR="00A1135E" w:rsidRPr="00A1135E">
        <w:rPr>
          <w:rFonts w:ascii="Times New Roman" w:hAnsi="Times New Roman" w:cs="Times New Roman"/>
          <w:i/>
          <w:sz w:val="24"/>
          <w:szCs w:val="24"/>
        </w:rPr>
        <w:t>et al</w:t>
      </w:r>
      <w:r w:rsidRPr="00B9501C">
        <w:rPr>
          <w:rFonts w:ascii="Times New Roman" w:hAnsi="Times New Roman" w:cs="Times New Roman"/>
          <w:sz w:val="24"/>
          <w:szCs w:val="24"/>
        </w:rPr>
        <w:t>. (2017).</w:t>
      </w:r>
      <w:r w:rsidR="00C46DBE">
        <w:rPr>
          <w:rFonts w:ascii="Times New Roman" w:hAnsi="Times New Roman" w:cs="Times New Roman"/>
          <w:sz w:val="24"/>
          <w:szCs w:val="24"/>
        </w:rPr>
        <w:t xml:space="preserve"> </w:t>
      </w:r>
      <w:r w:rsidRPr="00B9501C">
        <w:rPr>
          <w:rFonts w:ascii="Times New Roman" w:hAnsi="Times New Roman" w:cs="Times New Roman"/>
          <w:sz w:val="24"/>
          <w:szCs w:val="24"/>
        </w:rPr>
        <w:t xml:space="preserve">Overall, the results indicate that groundwater recharge, storage anomalies, and spatial variability within the Wainganga River basin are strongly controlled by geological characteristics, monsoonal rainfall variability, and aquifer properties. The findings emphasize the importance of geological considerations in </w:t>
      </w:r>
      <w:r w:rsidRPr="00B9501C">
        <w:rPr>
          <w:rFonts w:ascii="Times New Roman" w:hAnsi="Times New Roman" w:cs="Times New Roman"/>
          <w:sz w:val="24"/>
          <w:szCs w:val="24"/>
        </w:rPr>
        <w:lastRenderedPageBreak/>
        <w:t>groundwater management and artificial recharge planning for sustainable utilization of groundwater resources in hard-rock terrains of central India.</w:t>
      </w:r>
    </w:p>
    <w:p w14:paraId="3D8ED9CA" w14:textId="77777777" w:rsidR="00961921" w:rsidRPr="00961921" w:rsidRDefault="00961921" w:rsidP="00961921">
      <w:pPr>
        <w:spacing w:line="360" w:lineRule="auto"/>
        <w:jc w:val="both"/>
        <w:rPr>
          <w:rFonts w:ascii="Times New Roman" w:hAnsi="Times New Roman" w:cs="Times New Roman"/>
          <w:sz w:val="24"/>
          <w:szCs w:val="24"/>
        </w:rPr>
      </w:pPr>
      <w:r w:rsidRPr="00961921">
        <w:rPr>
          <w:rFonts w:ascii="Times New Roman" w:hAnsi="Times New Roman" w:cs="Times New Roman"/>
          <w:b/>
          <w:bCs/>
          <w:sz w:val="24"/>
          <w:szCs w:val="24"/>
        </w:rPr>
        <w:t>CONCLUSION</w:t>
      </w:r>
    </w:p>
    <w:p w14:paraId="2C45EB28" w14:textId="4637B050" w:rsidR="00961921" w:rsidRDefault="00961921" w:rsidP="00961921">
      <w:pPr>
        <w:spacing w:line="360" w:lineRule="auto"/>
        <w:ind w:firstLine="851"/>
        <w:jc w:val="both"/>
        <w:rPr>
          <w:rFonts w:ascii="Times New Roman" w:hAnsi="Times New Roman" w:cs="Times New Roman"/>
          <w:sz w:val="24"/>
          <w:szCs w:val="24"/>
        </w:rPr>
      </w:pPr>
      <w:r w:rsidRPr="00961921">
        <w:rPr>
          <w:rFonts w:ascii="Times New Roman" w:hAnsi="Times New Roman" w:cs="Times New Roman"/>
          <w:sz w:val="24"/>
          <w:szCs w:val="24"/>
        </w:rPr>
        <w:t>The present study comprehensively evaluated groundwater recharge dynamics, groundwater storage anomalies (GWSA), and spatial variability across different geological formations of the Wainganga River basin using long-term groundwater level observations from 2000–2020. The findings revealed considerable temporal and spatial variability in groundwater behaviour, strongly influenced by geological characteristics, monsoonal rainfall variability, and aquifer properties. Pre- and post-monsoon groundwater level analyses indicated that deeper groundwater levels were predominantly associated with the Deccan Trap and Betul Gneiss formations, whereas comparatively shallow groundwater conditions were observed within the Acid Intrusive/Granite formations. These variations demonstrate the important role of lithology, fracture connectivity, and aquifer permeability in controlling groundwater occurrence and recharge processes.</w:t>
      </w:r>
      <w:r>
        <w:rPr>
          <w:rFonts w:ascii="Times New Roman" w:hAnsi="Times New Roman" w:cs="Times New Roman"/>
          <w:sz w:val="24"/>
          <w:szCs w:val="24"/>
        </w:rPr>
        <w:t xml:space="preserve"> </w:t>
      </w:r>
      <w:r w:rsidRPr="00961921">
        <w:rPr>
          <w:rFonts w:ascii="Times New Roman" w:hAnsi="Times New Roman" w:cs="Times New Roman"/>
          <w:sz w:val="24"/>
          <w:szCs w:val="24"/>
        </w:rPr>
        <w:t xml:space="preserve">Groundwater recharge estimation using the Water Table Fluctuation (WTF) method showed that the Deccan Trap formation contributed the highest recharge due to its extensive areal coverage, while recharge values significantly declined during drought years, particularly in 2014. The basin-wide recharge variability clearly reflected the influence of monsoonal rainfall on aquifer replenishment. Groundwater storage anomaly analysis further demonstrated that severe hydrological stress occurred during 2014 and 2020, when most geological formations exhibited strong negative anomalies. The </w:t>
      </w:r>
      <w:proofErr w:type="spellStart"/>
      <w:r w:rsidRPr="00961921">
        <w:rPr>
          <w:rFonts w:ascii="Times New Roman" w:hAnsi="Times New Roman" w:cs="Times New Roman"/>
          <w:sz w:val="24"/>
          <w:szCs w:val="24"/>
        </w:rPr>
        <w:t>Khairagarh</w:t>
      </w:r>
      <w:proofErr w:type="spellEnd"/>
      <w:r w:rsidRPr="00961921">
        <w:rPr>
          <w:rFonts w:ascii="Times New Roman" w:hAnsi="Times New Roman" w:cs="Times New Roman"/>
          <w:sz w:val="24"/>
          <w:szCs w:val="24"/>
        </w:rPr>
        <w:t xml:space="preserve"> Group experienced the highest depletion, indicating greater aquifer vulnerability under deficient rainfall conditions. In contrast, substantial groundwater recovery was observed during high rainfall years such as 2010, emphasizing the importance of monsoon recharge in restoring groundwater storage.</w:t>
      </w:r>
      <w:r>
        <w:rPr>
          <w:rFonts w:ascii="Times New Roman" w:hAnsi="Times New Roman" w:cs="Times New Roman"/>
          <w:sz w:val="24"/>
          <w:szCs w:val="24"/>
        </w:rPr>
        <w:t xml:space="preserve"> </w:t>
      </w:r>
      <w:r w:rsidRPr="00961921">
        <w:rPr>
          <w:rFonts w:ascii="Times New Roman" w:hAnsi="Times New Roman" w:cs="Times New Roman"/>
          <w:sz w:val="24"/>
          <w:szCs w:val="24"/>
        </w:rPr>
        <w:t xml:space="preserve">Spatial variability analysis revealed significant heterogeneity in groundwater storage distribution across geological formations. The </w:t>
      </w:r>
      <w:proofErr w:type="spellStart"/>
      <w:r w:rsidRPr="00961921">
        <w:rPr>
          <w:rFonts w:ascii="Times New Roman" w:hAnsi="Times New Roman" w:cs="Times New Roman"/>
          <w:sz w:val="24"/>
          <w:szCs w:val="24"/>
        </w:rPr>
        <w:t>Khairagarh</w:t>
      </w:r>
      <w:proofErr w:type="spellEnd"/>
      <w:r w:rsidRPr="00961921">
        <w:rPr>
          <w:rFonts w:ascii="Times New Roman" w:hAnsi="Times New Roman" w:cs="Times New Roman"/>
          <w:sz w:val="24"/>
          <w:szCs w:val="24"/>
        </w:rPr>
        <w:t xml:space="preserve"> Group exhibited the highest spatial variability, while Acid Intrusive/Granite and </w:t>
      </w:r>
      <w:proofErr w:type="spellStart"/>
      <w:r w:rsidRPr="00961921">
        <w:rPr>
          <w:rFonts w:ascii="Times New Roman" w:hAnsi="Times New Roman" w:cs="Times New Roman"/>
          <w:sz w:val="24"/>
          <w:szCs w:val="24"/>
        </w:rPr>
        <w:t>Sausar</w:t>
      </w:r>
      <w:proofErr w:type="spellEnd"/>
      <w:r w:rsidRPr="00961921">
        <w:rPr>
          <w:rFonts w:ascii="Times New Roman" w:hAnsi="Times New Roman" w:cs="Times New Roman"/>
          <w:sz w:val="24"/>
          <w:szCs w:val="24"/>
        </w:rPr>
        <w:t xml:space="preserve"> Group formations showed relatively stable groundwater conditions. Overall, the study highlights a strong coupling between geology, recharge magnitude, and groundwater storage behaviour. These findings provide valuable scientific information for sustainable groundwater management, artificial recharge planning, and identification of groundwater-stressed zones in hard-rock terrains of central India.</w:t>
      </w:r>
    </w:p>
    <w:p w14:paraId="6173BD89" w14:textId="303B0DC2" w:rsidR="004453DF" w:rsidRDefault="004453DF" w:rsidP="00961921">
      <w:pPr>
        <w:spacing w:line="360" w:lineRule="auto"/>
        <w:ind w:firstLine="851"/>
        <w:jc w:val="both"/>
        <w:rPr>
          <w:rFonts w:ascii="Times New Roman" w:hAnsi="Times New Roman" w:cs="Times New Roman"/>
          <w:sz w:val="24"/>
          <w:szCs w:val="24"/>
        </w:rPr>
      </w:pPr>
    </w:p>
    <w:p w14:paraId="648B8EE9" w14:textId="77777777" w:rsidR="004453DF" w:rsidRDefault="004453DF" w:rsidP="00961921">
      <w:pPr>
        <w:spacing w:line="360" w:lineRule="auto"/>
        <w:ind w:firstLine="851"/>
        <w:jc w:val="both"/>
        <w:rPr>
          <w:rFonts w:ascii="Times New Roman" w:hAnsi="Times New Roman" w:cs="Times New Roman"/>
          <w:sz w:val="24"/>
          <w:szCs w:val="24"/>
        </w:rPr>
      </w:pPr>
      <w:bookmarkStart w:id="0" w:name="_GoBack"/>
      <w:bookmarkEnd w:id="0"/>
    </w:p>
    <w:p w14:paraId="115B3008" w14:textId="77777777" w:rsidR="00961921" w:rsidRDefault="00961921" w:rsidP="00961921">
      <w:pPr>
        <w:spacing w:line="360" w:lineRule="auto"/>
        <w:jc w:val="both"/>
        <w:rPr>
          <w:rFonts w:ascii="Times New Roman" w:hAnsi="Times New Roman" w:cs="Times New Roman"/>
          <w:b/>
          <w:bCs/>
          <w:sz w:val="24"/>
          <w:szCs w:val="24"/>
        </w:rPr>
      </w:pPr>
      <w:r w:rsidRPr="00961921">
        <w:rPr>
          <w:rFonts w:ascii="Times New Roman" w:hAnsi="Times New Roman" w:cs="Times New Roman"/>
          <w:b/>
          <w:bCs/>
          <w:sz w:val="24"/>
          <w:szCs w:val="24"/>
        </w:rPr>
        <w:lastRenderedPageBreak/>
        <w:t>REFERENCES</w:t>
      </w:r>
    </w:p>
    <w:p w14:paraId="724E55DB"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Agarwal, E., &amp; Garg, R. D. (2016). Remote sensing and GIS based groundwater potential &amp; recharge zones mapping using multi-criteria decision making technique. Water Resources Management, 30, 243–260.</w:t>
      </w:r>
    </w:p>
    <w:p w14:paraId="4240A02E"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 xml:space="preserve">Bhanja, S. N., Mukherjee, A., Saha, D., </w:t>
      </w:r>
      <w:proofErr w:type="spellStart"/>
      <w:r w:rsidRPr="00D93D98">
        <w:rPr>
          <w:rFonts w:ascii="Times New Roman" w:hAnsi="Times New Roman" w:cs="Times New Roman"/>
          <w:sz w:val="24"/>
          <w:szCs w:val="24"/>
        </w:rPr>
        <w:t>Velicogna</w:t>
      </w:r>
      <w:proofErr w:type="spellEnd"/>
      <w:r w:rsidRPr="00D93D98">
        <w:rPr>
          <w:rFonts w:ascii="Times New Roman" w:hAnsi="Times New Roman" w:cs="Times New Roman"/>
          <w:sz w:val="24"/>
          <w:szCs w:val="24"/>
        </w:rPr>
        <w:t>, I., &amp; Famiglietti, J. S. (2017). Validation of GRACE based groundwater storage anomaly using in-situ groundwater level measurements in India. Journal of Hydrology, 543, 729–738.</w:t>
      </w:r>
    </w:p>
    <w:p w14:paraId="444DD4A9"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Central Ground Water Board (CGWB). (2020). Dynamic Ground Water Resources of India. Ministry of Jal Shakti, Government of India.</w:t>
      </w:r>
    </w:p>
    <w:p w14:paraId="78E429F6"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Fetter, C. W. (2001). Applied Hydrogeology (4th ed.). Prentice Hall.</w:t>
      </w:r>
    </w:p>
    <w:p w14:paraId="642AC903" w14:textId="77777777" w:rsidR="0049098C" w:rsidRPr="00C84EBA" w:rsidRDefault="0049098C" w:rsidP="00356AF8">
      <w:pPr>
        <w:spacing w:line="360" w:lineRule="auto"/>
        <w:ind w:left="567" w:hanging="567"/>
        <w:jc w:val="both"/>
        <w:rPr>
          <w:rFonts w:ascii="Times New Roman" w:hAnsi="Times New Roman" w:cs="Times New Roman"/>
          <w:sz w:val="24"/>
          <w:szCs w:val="24"/>
        </w:rPr>
      </w:pPr>
      <w:r w:rsidRPr="00C84EBA">
        <w:rPr>
          <w:rFonts w:ascii="Times New Roman" w:hAnsi="Times New Roman" w:cs="Times New Roman"/>
          <w:sz w:val="24"/>
          <w:szCs w:val="24"/>
        </w:rPr>
        <w:t>Healy, R. W. (2010). Estimating Groundwater Recharge. Cambridge University Press.</w:t>
      </w:r>
    </w:p>
    <w:p w14:paraId="586E61AA"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Healy, R. W., &amp; Cook, P. G. (2002). Using groundwater levels to estimate recharge. Hydrogeology Journal, 10, 91–109.</w:t>
      </w:r>
    </w:p>
    <w:p w14:paraId="1DA58DFA"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 xml:space="preserve">Magesh, N. S., Chandrasekar, N., &amp; </w:t>
      </w:r>
      <w:proofErr w:type="spellStart"/>
      <w:r w:rsidRPr="00D93D98">
        <w:rPr>
          <w:rFonts w:ascii="Times New Roman" w:hAnsi="Times New Roman" w:cs="Times New Roman"/>
          <w:sz w:val="24"/>
          <w:szCs w:val="24"/>
        </w:rPr>
        <w:t>Soundranayagam</w:t>
      </w:r>
      <w:proofErr w:type="spellEnd"/>
      <w:r w:rsidRPr="00D93D98">
        <w:rPr>
          <w:rFonts w:ascii="Times New Roman" w:hAnsi="Times New Roman" w:cs="Times New Roman"/>
          <w:sz w:val="24"/>
          <w:szCs w:val="24"/>
        </w:rPr>
        <w:t>, J. P. (2012). Delineation of groundwater potential zones in Theni district, Tamil Nadu, using remote sensing, GIS and MIF techniques. Geoscience Frontiers, 3(2), 189–196.</w:t>
      </w:r>
    </w:p>
    <w:p w14:paraId="734473C7"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Panda, D. K., &amp; Wahr, J. (2016). Spatiotemporal evolution of water storage changes in India from the updated GRACE-derived gravity records. Water Resources Research, 52, 135–149.</w:t>
      </w:r>
    </w:p>
    <w:p w14:paraId="241A8FD5"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 xml:space="preserve">Rodell, M., </w:t>
      </w:r>
      <w:proofErr w:type="spellStart"/>
      <w:r w:rsidRPr="00D93D98">
        <w:rPr>
          <w:rFonts w:ascii="Times New Roman" w:hAnsi="Times New Roman" w:cs="Times New Roman"/>
          <w:sz w:val="24"/>
          <w:szCs w:val="24"/>
        </w:rPr>
        <w:t>Velicogna</w:t>
      </w:r>
      <w:proofErr w:type="spellEnd"/>
      <w:r w:rsidRPr="00D93D98">
        <w:rPr>
          <w:rFonts w:ascii="Times New Roman" w:hAnsi="Times New Roman" w:cs="Times New Roman"/>
          <w:sz w:val="24"/>
          <w:szCs w:val="24"/>
        </w:rPr>
        <w:t>, I., &amp; Famiglietti, J. S. (2009). Satellite-based estimates of groundwater depletion in India. Nature, 460, 999–1002.</w:t>
      </w:r>
    </w:p>
    <w:p w14:paraId="2A0C9FA5" w14:textId="77777777" w:rsidR="0049098C" w:rsidRPr="00C84EBA" w:rsidRDefault="0049098C" w:rsidP="00356AF8">
      <w:pPr>
        <w:spacing w:line="360" w:lineRule="auto"/>
        <w:ind w:left="567" w:hanging="567"/>
        <w:jc w:val="both"/>
        <w:rPr>
          <w:rFonts w:ascii="Times New Roman" w:hAnsi="Times New Roman" w:cs="Times New Roman"/>
          <w:sz w:val="24"/>
          <w:szCs w:val="24"/>
        </w:rPr>
      </w:pPr>
      <w:r w:rsidRPr="00C84EBA">
        <w:rPr>
          <w:rFonts w:ascii="Times New Roman" w:hAnsi="Times New Roman" w:cs="Times New Roman"/>
          <w:sz w:val="24"/>
          <w:szCs w:val="24"/>
        </w:rPr>
        <w:t xml:space="preserve">Rodell, M., </w:t>
      </w:r>
      <w:proofErr w:type="spellStart"/>
      <w:r w:rsidRPr="00C84EBA">
        <w:rPr>
          <w:rFonts w:ascii="Times New Roman" w:hAnsi="Times New Roman" w:cs="Times New Roman"/>
          <w:sz w:val="24"/>
          <w:szCs w:val="24"/>
        </w:rPr>
        <w:t>Velicogna</w:t>
      </w:r>
      <w:proofErr w:type="spellEnd"/>
      <w:r w:rsidRPr="00C84EBA">
        <w:rPr>
          <w:rFonts w:ascii="Times New Roman" w:hAnsi="Times New Roman" w:cs="Times New Roman"/>
          <w:sz w:val="24"/>
          <w:szCs w:val="24"/>
        </w:rPr>
        <w:t>, I., &amp; Famiglietti, J. S. (2009). Satellite-based estimates of groundwater depletion in India. Nature, 460, 999–1002.</w:t>
      </w:r>
    </w:p>
    <w:p w14:paraId="4155386F" w14:textId="77777777" w:rsidR="0049098C" w:rsidRPr="00D93D98"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Tiwari, V. M., Wahr, J., &amp; Swenson, S. (2009). Dwindling groundwater resources in northern India from satellite gravity observations. Geophysical Research Letters, 36, L18401.</w:t>
      </w:r>
    </w:p>
    <w:p w14:paraId="7D62DCB4" w14:textId="77777777" w:rsidR="00961921" w:rsidRPr="00C46DBE" w:rsidRDefault="0049098C" w:rsidP="00356AF8">
      <w:pPr>
        <w:spacing w:line="360" w:lineRule="auto"/>
        <w:ind w:left="567" w:hanging="567"/>
        <w:jc w:val="both"/>
        <w:rPr>
          <w:rFonts w:ascii="Times New Roman" w:hAnsi="Times New Roman" w:cs="Times New Roman"/>
          <w:sz w:val="24"/>
          <w:szCs w:val="24"/>
        </w:rPr>
      </w:pPr>
      <w:r w:rsidRPr="00D93D98">
        <w:rPr>
          <w:rFonts w:ascii="Times New Roman" w:hAnsi="Times New Roman" w:cs="Times New Roman"/>
          <w:sz w:val="24"/>
          <w:szCs w:val="24"/>
        </w:rPr>
        <w:t>Todd, D. K., &amp; Mays, L. W. (2005). Groundwater Hydrology (3</w:t>
      </w:r>
      <w:r w:rsidRPr="00763D0A">
        <w:rPr>
          <w:rFonts w:ascii="Times New Roman" w:hAnsi="Times New Roman" w:cs="Times New Roman"/>
          <w:sz w:val="24"/>
          <w:szCs w:val="24"/>
          <w:vertAlign w:val="superscript"/>
        </w:rPr>
        <w:t>rd</w:t>
      </w:r>
      <w:r w:rsidRPr="00D93D98">
        <w:rPr>
          <w:rFonts w:ascii="Times New Roman" w:hAnsi="Times New Roman" w:cs="Times New Roman"/>
          <w:sz w:val="24"/>
          <w:szCs w:val="24"/>
        </w:rPr>
        <w:t xml:space="preserve"> ed.). Wiley.</w:t>
      </w:r>
    </w:p>
    <w:sectPr w:rsidR="00961921" w:rsidRPr="00C46DBE" w:rsidSect="00356AF8">
      <w:headerReference w:type="even" r:id="rId6"/>
      <w:headerReference w:type="default" r:id="rId7"/>
      <w:footerReference w:type="even" r:id="rId8"/>
      <w:footerReference w:type="default" r:id="rId9"/>
      <w:headerReference w:type="first" r:id="rId10"/>
      <w:footerReference w:type="firs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3BD38" w14:textId="77777777" w:rsidR="00A82359" w:rsidRDefault="00A82359" w:rsidP="00C14558">
      <w:pPr>
        <w:spacing w:after="0" w:line="240" w:lineRule="auto"/>
      </w:pPr>
      <w:r>
        <w:separator/>
      </w:r>
    </w:p>
  </w:endnote>
  <w:endnote w:type="continuationSeparator" w:id="0">
    <w:p w14:paraId="55C78147" w14:textId="77777777" w:rsidR="00A82359" w:rsidRDefault="00A82359" w:rsidP="00C1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CFD1" w14:textId="77777777" w:rsidR="00C14558" w:rsidRDefault="00C14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AEFD" w14:textId="77777777" w:rsidR="00C14558" w:rsidRDefault="00C14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E1F3" w14:textId="77777777" w:rsidR="00C14558" w:rsidRDefault="00C14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24239" w14:textId="77777777" w:rsidR="00A82359" w:rsidRDefault="00A82359" w:rsidP="00C14558">
      <w:pPr>
        <w:spacing w:after="0" w:line="240" w:lineRule="auto"/>
      </w:pPr>
      <w:r>
        <w:separator/>
      </w:r>
    </w:p>
  </w:footnote>
  <w:footnote w:type="continuationSeparator" w:id="0">
    <w:p w14:paraId="31474147" w14:textId="77777777" w:rsidR="00A82359" w:rsidRDefault="00A82359" w:rsidP="00C1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EAE1" w14:textId="1CB40D2E" w:rsidR="00C14558" w:rsidRDefault="00C14558">
    <w:pPr>
      <w:pStyle w:val="Header"/>
    </w:pPr>
    <w:r>
      <w:rPr>
        <w:noProof/>
      </w:rPr>
      <w:pict w14:anchorId="3893E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2BAD" w14:textId="0339A3F7" w:rsidR="00C14558" w:rsidRDefault="00C14558">
    <w:pPr>
      <w:pStyle w:val="Header"/>
    </w:pPr>
    <w:r>
      <w:rPr>
        <w:noProof/>
      </w:rPr>
      <w:pict w14:anchorId="5B59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31AB" w14:textId="4E224AA5" w:rsidR="00C14558" w:rsidRDefault="00C14558">
    <w:pPr>
      <w:pStyle w:val="Header"/>
    </w:pPr>
    <w:r>
      <w:rPr>
        <w:noProof/>
      </w:rPr>
      <w:pict w14:anchorId="2BBB5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6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A3"/>
    <w:rsid w:val="00072ECC"/>
    <w:rsid w:val="00084BE7"/>
    <w:rsid w:val="00113357"/>
    <w:rsid w:val="00212913"/>
    <w:rsid w:val="002205DF"/>
    <w:rsid w:val="002B29F3"/>
    <w:rsid w:val="002D13A3"/>
    <w:rsid w:val="00356AF8"/>
    <w:rsid w:val="003C09DC"/>
    <w:rsid w:val="003E1252"/>
    <w:rsid w:val="003E4C92"/>
    <w:rsid w:val="003E719A"/>
    <w:rsid w:val="004255DB"/>
    <w:rsid w:val="00432C71"/>
    <w:rsid w:val="004352A6"/>
    <w:rsid w:val="004453DF"/>
    <w:rsid w:val="004610C5"/>
    <w:rsid w:val="00484458"/>
    <w:rsid w:val="0049098C"/>
    <w:rsid w:val="004A6BFE"/>
    <w:rsid w:val="005C5E56"/>
    <w:rsid w:val="005D5598"/>
    <w:rsid w:val="0068186D"/>
    <w:rsid w:val="006A4ABA"/>
    <w:rsid w:val="00763D0A"/>
    <w:rsid w:val="007A0ACE"/>
    <w:rsid w:val="007A7534"/>
    <w:rsid w:val="007E6FB8"/>
    <w:rsid w:val="008B7293"/>
    <w:rsid w:val="00961921"/>
    <w:rsid w:val="00972B8F"/>
    <w:rsid w:val="009C0874"/>
    <w:rsid w:val="00A1135E"/>
    <w:rsid w:val="00A2179C"/>
    <w:rsid w:val="00A82359"/>
    <w:rsid w:val="00B12642"/>
    <w:rsid w:val="00B9501C"/>
    <w:rsid w:val="00C14558"/>
    <w:rsid w:val="00C33A17"/>
    <w:rsid w:val="00C46DBE"/>
    <w:rsid w:val="00C84EBA"/>
    <w:rsid w:val="00C96ED7"/>
    <w:rsid w:val="00D26E9F"/>
    <w:rsid w:val="00D93D98"/>
    <w:rsid w:val="00E45AA2"/>
    <w:rsid w:val="00EA37CE"/>
    <w:rsid w:val="00F03FE5"/>
    <w:rsid w:val="00F36BEF"/>
    <w:rsid w:val="00FB4673"/>
    <w:rsid w:val="00FE1B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05334"/>
  <w15:chartTrackingRefBased/>
  <w15:docId w15:val="{7346C74F-455D-4214-8C97-3FBAA518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3A3"/>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56"/>
    <w:rPr>
      <w:color w:val="808080"/>
    </w:rPr>
  </w:style>
  <w:style w:type="character" w:customStyle="1" w:styleId="mord">
    <w:name w:val="mord"/>
    <w:basedOn w:val="DefaultParagraphFont"/>
    <w:rsid w:val="004352A6"/>
  </w:style>
  <w:style w:type="character" w:customStyle="1" w:styleId="vlist-s">
    <w:name w:val="vlist-s"/>
    <w:basedOn w:val="DefaultParagraphFont"/>
    <w:rsid w:val="004352A6"/>
  </w:style>
  <w:style w:type="character" w:customStyle="1" w:styleId="mrel">
    <w:name w:val="mrel"/>
    <w:basedOn w:val="DefaultParagraphFont"/>
    <w:rsid w:val="004352A6"/>
  </w:style>
  <w:style w:type="character" w:customStyle="1" w:styleId="mbin">
    <w:name w:val="mbin"/>
    <w:basedOn w:val="DefaultParagraphFont"/>
    <w:rsid w:val="004352A6"/>
  </w:style>
  <w:style w:type="paragraph" w:styleId="NormalWeb">
    <w:name w:val="Normal (Web)"/>
    <w:basedOn w:val="Normal"/>
    <w:uiPriority w:val="99"/>
    <w:semiHidden/>
    <w:unhideWhenUsed/>
    <w:rsid w:val="00EA37C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Hyperlink">
    <w:name w:val="Hyperlink"/>
    <w:basedOn w:val="DefaultParagraphFont"/>
    <w:uiPriority w:val="99"/>
    <w:unhideWhenUsed/>
    <w:rsid w:val="006A4ABA"/>
    <w:rPr>
      <w:color w:val="0563C1" w:themeColor="hyperlink"/>
      <w:u w:val="single"/>
    </w:rPr>
  </w:style>
  <w:style w:type="character" w:styleId="UnresolvedMention">
    <w:name w:val="Unresolved Mention"/>
    <w:basedOn w:val="DefaultParagraphFont"/>
    <w:uiPriority w:val="99"/>
    <w:semiHidden/>
    <w:unhideWhenUsed/>
    <w:rsid w:val="006A4ABA"/>
    <w:rPr>
      <w:color w:val="605E5C"/>
      <w:shd w:val="clear" w:color="auto" w:fill="E1DFDD"/>
    </w:rPr>
  </w:style>
  <w:style w:type="paragraph" w:styleId="Header">
    <w:name w:val="header"/>
    <w:basedOn w:val="Normal"/>
    <w:link w:val="HeaderChar"/>
    <w:uiPriority w:val="99"/>
    <w:unhideWhenUsed/>
    <w:rsid w:val="00C1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558"/>
    <w:rPr>
      <w:kern w:val="2"/>
      <w:szCs w:val="22"/>
      <w:lang w:bidi="ar-SA"/>
      <w14:ligatures w14:val="standardContextual"/>
    </w:rPr>
  </w:style>
  <w:style w:type="paragraph" w:styleId="Footer">
    <w:name w:val="footer"/>
    <w:basedOn w:val="Normal"/>
    <w:link w:val="FooterChar"/>
    <w:uiPriority w:val="99"/>
    <w:unhideWhenUsed/>
    <w:rsid w:val="00C1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58"/>
    <w:rPr>
      <w:kern w:val="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421">
      <w:bodyDiv w:val="1"/>
      <w:marLeft w:val="0"/>
      <w:marRight w:val="0"/>
      <w:marTop w:val="0"/>
      <w:marBottom w:val="0"/>
      <w:divBdr>
        <w:top w:val="none" w:sz="0" w:space="0" w:color="auto"/>
        <w:left w:val="none" w:sz="0" w:space="0" w:color="auto"/>
        <w:bottom w:val="none" w:sz="0" w:space="0" w:color="auto"/>
        <w:right w:val="none" w:sz="0" w:space="0" w:color="auto"/>
      </w:divBdr>
    </w:div>
    <w:div w:id="199130756">
      <w:bodyDiv w:val="1"/>
      <w:marLeft w:val="0"/>
      <w:marRight w:val="0"/>
      <w:marTop w:val="0"/>
      <w:marBottom w:val="0"/>
      <w:divBdr>
        <w:top w:val="none" w:sz="0" w:space="0" w:color="auto"/>
        <w:left w:val="none" w:sz="0" w:space="0" w:color="auto"/>
        <w:bottom w:val="none" w:sz="0" w:space="0" w:color="auto"/>
        <w:right w:val="none" w:sz="0" w:space="0" w:color="auto"/>
      </w:divBdr>
      <w:divsChild>
        <w:div w:id="1455636742">
          <w:marLeft w:val="0"/>
          <w:marRight w:val="0"/>
          <w:marTop w:val="0"/>
          <w:marBottom w:val="0"/>
          <w:divBdr>
            <w:top w:val="none" w:sz="0" w:space="0" w:color="auto"/>
            <w:left w:val="none" w:sz="0" w:space="0" w:color="auto"/>
            <w:bottom w:val="none" w:sz="0" w:space="0" w:color="auto"/>
            <w:right w:val="none" w:sz="0" w:space="0" w:color="auto"/>
          </w:divBdr>
          <w:divsChild>
            <w:div w:id="1335064179">
              <w:marLeft w:val="0"/>
              <w:marRight w:val="0"/>
              <w:marTop w:val="0"/>
              <w:marBottom w:val="0"/>
              <w:divBdr>
                <w:top w:val="none" w:sz="0" w:space="0" w:color="auto"/>
                <w:left w:val="none" w:sz="0" w:space="0" w:color="auto"/>
                <w:bottom w:val="none" w:sz="0" w:space="0" w:color="auto"/>
                <w:right w:val="none" w:sz="0" w:space="0" w:color="auto"/>
              </w:divBdr>
              <w:divsChild>
                <w:div w:id="2006933910">
                  <w:marLeft w:val="0"/>
                  <w:marRight w:val="0"/>
                  <w:marTop w:val="0"/>
                  <w:marBottom w:val="0"/>
                  <w:divBdr>
                    <w:top w:val="none" w:sz="0" w:space="0" w:color="auto"/>
                    <w:left w:val="none" w:sz="0" w:space="0" w:color="auto"/>
                    <w:bottom w:val="none" w:sz="0" w:space="0" w:color="auto"/>
                    <w:right w:val="none" w:sz="0" w:space="0" w:color="auto"/>
                  </w:divBdr>
                  <w:divsChild>
                    <w:div w:id="2110657013">
                      <w:marLeft w:val="0"/>
                      <w:marRight w:val="0"/>
                      <w:marTop w:val="0"/>
                      <w:marBottom w:val="0"/>
                      <w:divBdr>
                        <w:top w:val="none" w:sz="0" w:space="0" w:color="auto"/>
                        <w:left w:val="none" w:sz="0" w:space="0" w:color="auto"/>
                        <w:bottom w:val="none" w:sz="0" w:space="0" w:color="auto"/>
                        <w:right w:val="none" w:sz="0" w:space="0" w:color="auto"/>
                      </w:divBdr>
                      <w:divsChild>
                        <w:div w:id="1351640484">
                          <w:marLeft w:val="0"/>
                          <w:marRight w:val="0"/>
                          <w:marTop w:val="0"/>
                          <w:marBottom w:val="0"/>
                          <w:divBdr>
                            <w:top w:val="none" w:sz="0" w:space="0" w:color="auto"/>
                            <w:left w:val="none" w:sz="0" w:space="0" w:color="auto"/>
                            <w:bottom w:val="none" w:sz="0" w:space="0" w:color="auto"/>
                            <w:right w:val="none" w:sz="0" w:space="0" w:color="auto"/>
                          </w:divBdr>
                          <w:divsChild>
                            <w:div w:id="1073818522">
                              <w:marLeft w:val="0"/>
                              <w:marRight w:val="0"/>
                              <w:marTop w:val="0"/>
                              <w:marBottom w:val="0"/>
                              <w:divBdr>
                                <w:top w:val="none" w:sz="0" w:space="0" w:color="auto"/>
                                <w:left w:val="none" w:sz="0" w:space="0" w:color="auto"/>
                                <w:bottom w:val="none" w:sz="0" w:space="0" w:color="auto"/>
                                <w:right w:val="none" w:sz="0" w:space="0" w:color="auto"/>
                              </w:divBdr>
                              <w:divsChild>
                                <w:div w:id="454640940">
                                  <w:marLeft w:val="0"/>
                                  <w:marRight w:val="0"/>
                                  <w:marTop w:val="0"/>
                                  <w:marBottom w:val="0"/>
                                  <w:divBdr>
                                    <w:top w:val="none" w:sz="0" w:space="0" w:color="auto"/>
                                    <w:left w:val="none" w:sz="0" w:space="0" w:color="auto"/>
                                    <w:bottom w:val="none" w:sz="0" w:space="0" w:color="auto"/>
                                    <w:right w:val="none" w:sz="0" w:space="0" w:color="auto"/>
                                  </w:divBdr>
                                  <w:divsChild>
                                    <w:div w:id="1294099574">
                                      <w:marLeft w:val="0"/>
                                      <w:marRight w:val="0"/>
                                      <w:marTop w:val="0"/>
                                      <w:marBottom w:val="0"/>
                                      <w:divBdr>
                                        <w:top w:val="none" w:sz="0" w:space="0" w:color="auto"/>
                                        <w:left w:val="none" w:sz="0" w:space="0" w:color="auto"/>
                                        <w:bottom w:val="none" w:sz="0" w:space="0" w:color="auto"/>
                                        <w:right w:val="none" w:sz="0" w:space="0" w:color="auto"/>
                                      </w:divBdr>
                                      <w:divsChild>
                                        <w:div w:id="12684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5667">
      <w:bodyDiv w:val="1"/>
      <w:marLeft w:val="0"/>
      <w:marRight w:val="0"/>
      <w:marTop w:val="0"/>
      <w:marBottom w:val="0"/>
      <w:divBdr>
        <w:top w:val="none" w:sz="0" w:space="0" w:color="auto"/>
        <w:left w:val="none" w:sz="0" w:space="0" w:color="auto"/>
        <w:bottom w:val="none" w:sz="0" w:space="0" w:color="auto"/>
        <w:right w:val="none" w:sz="0" w:space="0" w:color="auto"/>
      </w:divBdr>
      <w:divsChild>
        <w:div w:id="85926010">
          <w:marLeft w:val="0"/>
          <w:marRight w:val="0"/>
          <w:marTop w:val="0"/>
          <w:marBottom w:val="0"/>
          <w:divBdr>
            <w:top w:val="none" w:sz="0" w:space="0" w:color="auto"/>
            <w:left w:val="none" w:sz="0" w:space="0" w:color="auto"/>
            <w:bottom w:val="none" w:sz="0" w:space="0" w:color="auto"/>
            <w:right w:val="none" w:sz="0" w:space="0" w:color="auto"/>
          </w:divBdr>
          <w:divsChild>
            <w:div w:id="2142843514">
              <w:marLeft w:val="0"/>
              <w:marRight w:val="0"/>
              <w:marTop w:val="0"/>
              <w:marBottom w:val="0"/>
              <w:divBdr>
                <w:top w:val="none" w:sz="0" w:space="0" w:color="auto"/>
                <w:left w:val="none" w:sz="0" w:space="0" w:color="auto"/>
                <w:bottom w:val="none" w:sz="0" w:space="0" w:color="auto"/>
                <w:right w:val="none" w:sz="0" w:space="0" w:color="auto"/>
              </w:divBdr>
              <w:divsChild>
                <w:div w:id="1921481103">
                  <w:marLeft w:val="0"/>
                  <w:marRight w:val="0"/>
                  <w:marTop w:val="0"/>
                  <w:marBottom w:val="0"/>
                  <w:divBdr>
                    <w:top w:val="none" w:sz="0" w:space="0" w:color="auto"/>
                    <w:left w:val="none" w:sz="0" w:space="0" w:color="auto"/>
                    <w:bottom w:val="none" w:sz="0" w:space="0" w:color="auto"/>
                    <w:right w:val="none" w:sz="0" w:space="0" w:color="auto"/>
                  </w:divBdr>
                  <w:divsChild>
                    <w:div w:id="1334918261">
                      <w:marLeft w:val="0"/>
                      <w:marRight w:val="0"/>
                      <w:marTop w:val="0"/>
                      <w:marBottom w:val="0"/>
                      <w:divBdr>
                        <w:top w:val="none" w:sz="0" w:space="0" w:color="auto"/>
                        <w:left w:val="none" w:sz="0" w:space="0" w:color="auto"/>
                        <w:bottom w:val="none" w:sz="0" w:space="0" w:color="auto"/>
                        <w:right w:val="none" w:sz="0" w:space="0" w:color="auto"/>
                      </w:divBdr>
                      <w:divsChild>
                        <w:div w:id="328795005">
                          <w:marLeft w:val="0"/>
                          <w:marRight w:val="0"/>
                          <w:marTop w:val="0"/>
                          <w:marBottom w:val="0"/>
                          <w:divBdr>
                            <w:top w:val="none" w:sz="0" w:space="0" w:color="auto"/>
                            <w:left w:val="none" w:sz="0" w:space="0" w:color="auto"/>
                            <w:bottom w:val="none" w:sz="0" w:space="0" w:color="auto"/>
                            <w:right w:val="none" w:sz="0" w:space="0" w:color="auto"/>
                          </w:divBdr>
                          <w:divsChild>
                            <w:div w:id="549725504">
                              <w:marLeft w:val="0"/>
                              <w:marRight w:val="0"/>
                              <w:marTop w:val="0"/>
                              <w:marBottom w:val="0"/>
                              <w:divBdr>
                                <w:top w:val="none" w:sz="0" w:space="0" w:color="auto"/>
                                <w:left w:val="none" w:sz="0" w:space="0" w:color="auto"/>
                                <w:bottom w:val="none" w:sz="0" w:space="0" w:color="auto"/>
                                <w:right w:val="none" w:sz="0" w:space="0" w:color="auto"/>
                              </w:divBdr>
                              <w:divsChild>
                                <w:div w:id="1373461815">
                                  <w:marLeft w:val="0"/>
                                  <w:marRight w:val="0"/>
                                  <w:marTop w:val="0"/>
                                  <w:marBottom w:val="0"/>
                                  <w:divBdr>
                                    <w:top w:val="none" w:sz="0" w:space="0" w:color="auto"/>
                                    <w:left w:val="none" w:sz="0" w:space="0" w:color="auto"/>
                                    <w:bottom w:val="none" w:sz="0" w:space="0" w:color="auto"/>
                                    <w:right w:val="none" w:sz="0" w:space="0" w:color="auto"/>
                                  </w:divBdr>
                                  <w:divsChild>
                                    <w:div w:id="1924143421">
                                      <w:marLeft w:val="0"/>
                                      <w:marRight w:val="0"/>
                                      <w:marTop w:val="0"/>
                                      <w:marBottom w:val="0"/>
                                      <w:divBdr>
                                        <w:top w:val="none" w:sz="0" w:space="0" w:color="auto"/>
                                        <w:left w:val="none" w:sz="0" w:space="0" w:color="auto"/>
                                        <w:bottom w:val="none" w:sz="0" w:space="0" w:color="auto"/>
                                        <w:right w:val="none" w:sz="0" w:space="0" w:color="auto"/>
                                      </w:divBdr>
                                      <w:divsChild>
                                        <w:div w:id="5011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357871">
      <w:bodyDiv w:val="1"/>
      <w:marLeft w:val="0"/>
      <w:marRight w:val="0"/>
      <w:marTop w:val="0"/>
      <w:marBottom w:val="0"/>
      <w:divBdr>
        <w:top w:val="none" w:sz="0" w:space="0" w:color="auto"/>
        <w:left w:val="none" w:sz="0" w:space="0" w:color="auto"/>
        <w:bottom w:val="none" w:sz="0" w:space="0" w:color="auto"/>
        <w:right w:val="none" w:sz="0" w:space="0" w:color="auto"/>
      </w:divBdr>
    </w:div>
    <w:div w:id="819422754">
      <w:bodyDiv w:val="1"/>
      <w:marLeft w:val="0"/>
      <w:marRight w:val="0"/>
      <w:marTop w:val="0"/>
      <w:marBottom w:val="0"/>
      <w:divBdr>
        <w:top w:val="none" w:sz="0" w:space="0" w:color="auto"/>
        <w:left w:val="none" w:sz="0" w:space="0" w:color="auto"/>
        <w:bottom w:val="none" w:sz="0" w:space="0" w:color="auto"/>
        <w:right w:val="none" w:sz="0" w:space="0" w:color="auto"/>
      </w:divBdr>
    </w:div>
    <w:div w:id="901521913">
      <w:bodyDiv w:val="1"/>
      <w:marLeft w:val="0"/>
      <w:marRight w:val="0"/>
      <w:marTop w:val="0"/>
      <w:marBottom w:val="0"/>
      <w:divBdr>
        <w:top w:val="none" w:sz="0" w:space="0" w:color="auto"/>
        <w:left w:val="none" w:sz="0" w:space="0" w:color="auto"/>
        <w:bottom w:val="none" w:sz="0" w:space="0" w:color="auto"/>
        <w:right w:val="none" w:sz="0" w:space="0" w:color="auto"/>
      </w:divBdr>
    </w:div>
    <w:div w:id="931233460">
      <w:bodyDiv w:val="1"/>
      <w:marLeft w:val="0"/>
      <w:marRight w:val="0"/>
      <w:marTop w:val="0"/>
      <w:marBottom w:val="0"/>
      <w:divBdr>
        <w:top w:val="none" w:sz="0" w:space="0" w:color="auto"/>
        <w:left w:val="none" w:sz="0" w:space="0" w:color="auto"/>
        <w:bottom w:val="none" w:sz="0" w:space="0" w:color="auto"/>
        <w:right w:val="none" w:sz="0" w:space="0" w:color="auto"/>
      </w:divBdr>
    </w:div>
    <w:div w:id="1042050372">
      <w:bodyDiv w:val="1"/>
      <w:marLeft w:val="0"/>
      <w:marRight w:val="0"/>
      <w:marTop w:val="0"/>
      <w:marBottom w:val="0"/>
      <w:divBdr>
        <w:top w:val="none" w:sz="0" w:space="0" w:color="auto"/>
        <w:left w:val="none" w:sz="0" w:space="0" w:color="auto"/>
        <w:bottom w:val="none" w:sz="0" w:space="0" w:color="auto"/>
        <w:right w:val="none" w:sz="0" w:space="0" w:color="auto"/>
      </w:divBdr>
    </w:div>
    <w:div w:id="1059282197">
      <w:bodyDiv w:val="1"/>
      <w:marLeft w:val="0"/>
      <w:marRight w:val="0"/>
      <w:marTop w:val="0"/>
      <w:marBottom w:val="0"/>
      <w:divBdr>
        <w:top w:val="none" w:sz="0" w:space="0" w:color="auto"/>
        <w:left w:val="none" w:sz="0" w:space="0" w:color="auto"/>
        <w:bottom w:val="none" w:sz="0" w:space="0" w:color="auto"/>
        <w:right w:val="none" w:sz="0" w:space="0" w:color="auto"/>
      </w:divBdr>
    </w:div>
    <w:div w:id="1269893223">
      <w:bodyDiv w:val="1"/>
      <w:marLeft w:val="0"/>
      <w:marRight w:val="0"/>
      <w:marTop w:val="0"/>
      <w:marBottom w:val="0"/>
      <w:divBdr>
        <w:top w:val="none" w:sz="0" w:space="0" w:color="auto"/>
        <w:left w:val="none" w:sz="0" w:space="0" w:color="auto"/>
        <w:bottom w:val="none" w:sz="0" w:space="0" w:color="auto"/>
        <w:right w:val="none" w:sz="0" w:space="0" w:color="auto"/>
      </w:divBdr>
    </w:div>
    <w:div w:id="1982347715">
      <w:bodyDiv w:val="1"/>
      <w:marLeft w:val="0"/>
      <w:marRight w:val="0"/>
      <w:marTop w:val="0"/>
      <w:marBottom w:val="0"/>
      <w:divBdr>
        <w:top w:val="none" w:sz="0" w:space="0" w:color="auto"/>
        <w:left w:val="none" w:sz="0" w:space="0" w:color="auto"/>
        <w:bottom w:val="none" w:sz="0" w:space="0" w:color="auto"/>
        <w:right w:val="none" w:sz="0" w:space="0" w:color="auto"/>
      </w:divBdr>
      <w:divsChild>
        <w:div w:id="1621306030">
          <w:marLeft w:val="0"/>
          <w:marRight w:val="0"/>
          <w:marTop w:val="0"/>
          <w:marBottom w:val="0"/>
          <w:divBdr>
            <w:top w:val="none" w:sz="0" w:space="0" w:color="auto"/>
            <w:left w:val="none" w:sz="0" w:space="0" w:color="auto"/>
            <w:bottom w:val="none" w:sz="0" w:space="0" w:color="auto"/>
            <w:right w:val="none" w:sz="0" w:space="0" w:color="auto"/>
          </w:divBdr>
          <w:divsChild>
            <w:div w:id="160975770">
              <w:marLeft w:val="0"/>
              <w:marRight w:val="0"/>
              <w:marTop w:val="0"/>
              <w:marBottom w:val="0"/>
              <w:divBdr>
                <w:top w:val="none" w:sz="0" w:space="0" w:color="auto"/>
                <w:left w:val="none" w:sz="0" w:space="0" w:color="auto"/>
                <w:bottom w:val="none" w:sz="0" w:space="0" w:color="auto"/>
                <w:right w:val="none" w:sz="0" w:space="0" w:color="auto"/>
              </w:divBdr>
              <w:divsChild>
                <w:div w:id="322783567">
                  <w:marLeft w:val="0"/>
                  <w:marRight w:val="0"/>
                  <w:marTop w:val="0"/>
                  <w:marBottom w:val="0"/>
                  <w:divBdr>
                    <w:top w:val="none" w:sz="0" w:space="0" w:color="auto"/>
                    <w:left w:val="none" w:sz="0" w:space="0" w:color="auto"/>
                    <w:bottom w:val="none" w:sz="0" w:space="0" w:color="auto"/>
                    <w:right w:val="none" w:sz="0" w:space="0" w:color="auto"/>
                  </w:divBdr>
                  <w:divsChild>
                    <w:div w:id="532159457">
                      <w:marLeft w:val="0"/>
                      <w:marRight w:val="0"/>
                      <w:marTop w:val="0"/>
                      <w:marBottom w:val="0"/>
                      <w:divBdr>
                        <w:top w:val="none" w:sz="0" w:space="0" w:color="auto"/>
                        <w:left w:val="none" w:sz="0" w:space="0" w:color="auto"/>
                        <w:bottom w:val="none" w:sz="0" w:space="0" w:color="auto"/>
                        <w:right w:val="none" w:sz="0" w:space="0" w:color="auto"/>
                      </w:divBdr>
                      <w:divsChild>
                        <w:div w:id="234364841">
                          <w:marLeft w:val="0"/>
                          <w:marRight w:val="0"/>
                          <w:marTop w:val="0"/>
                          <w:marBottom w:val="0"/>
                          <w:divBdr>
                            <w:top w:val="none" w:sz="0" w:space="0" w:color="auto"/>
                            <w:left w:val="none" w:sz="0" w:space="0" w:color="auto"/>
                            <w:bottom w:val="none" w:sz="0" w:space="0" w:color="auto"/>
                            <w:right w:val="none" w:sz="0" w:space="0" w:color="auto"/>
                          </w:divBdr>
                          <w:divsChild>
                            <w:div w:id="10919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7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5058</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PC 1170</cp:lastModifiedBy>
  <cp:revision>54</cp:revision>
  <dcterms:created xsi:type="dcterms:W3CDTF">2026-05-13T04:48:00Z</dcterms:created>
  <dcterms:modified xsi:type="dcterms:W3CDTF">2026-05-14T10:00:00Z</dcterms:modified>
</cp:coreProperties>
</file>