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94C99" w14:textId="77777777" w:rsidR="00F3427C" w:rsidRPr="00260A8D" w:rsidRDefault="00F3427C" w:rsidP="0031081B">
      <w:pPr>
        <w:pStyle w:val="NormalWeb"/>
        <w:ind w:left="720"/>
        <w:jc w:val="center"/>
        <w:rPr>
          <w:b/>
        </w:rPr>
      </w:pPr>
      <w:r w:rsidRPr="00260A8D">
        <w:rPr>
          <w:b/>
        </w:rPr>
        <w:t>Genetic and Parental Environmental Influences on Callous-Unemotional Traits of Twins</w:t>
      </w:r>
      <w:r w:rsidR="00BE7D79" w:rsidRPr="00260A8D">
        <w:rPr>
          <w:b/>
        </w:rPr>
        <w:t xml:space="preserve"> in </w:t>
      </w:r>
      <w:r w:rsidRPr="00260A8D">
        <w:rPr>
          <w:b/>
        </w:rPr>
        <w:t xml:space="preserve">Childhood </w:t>
      </w:r>
    </w:p>
    <w:p w14:paraId="4F38873B" w14:textId="680AD8CF" w:rsidR="00912509" w:rsidRDefault="00912509" w:rsidP="00912509">
      <w:pPr>
        <w:jc w:val="both"/>
        <w:rPr>
          <w:color w:val="1F1F1F"/>
          <w:sz w:val="24"/>
          <w:szCs w:val="24"/>
        </w:rPr>
      </w:pPr>
    </w:p>
    <w:p w14:paraId="032C6A99" w14:textId="77777777" w:rsidR="00844FEF" w:rsidRPr="00912509" w:rsidRDefault="00844FEF" w:rsidP="00912509">
      <w:pPr>
        <w:jc w:val="both"/>
        <w:rPr>
          <w:color w:val="1F1F1F"/>
          <w:sz w:val="24"/>
          <w:szCs w:val="24"/>
        </w:rPr>
      </w:pPr>
      <w:bookmarkStart w:id="0" w:name="_GoBack"/>
      <w:bookmarkEnd w:id="0"/>
    </w:p>
    <w:p w14:paraId="46A8C08B" w14:textId="77777777" w:rsidR="005A2068" w:rsidRPr="005A2068" w:rsidRDefault="005A2068" w:rsidP="005A2068">
      <w:pPr>
        <w:pStyle w:val="Heading2"/>
        <w:spacing w:line="360" w:lineRule="auto"/>
        <w:jc w:val="both"/>
        <w:rPr>
          <w:rFonts w:ascii="Times New Roman" w:hAnsi="Times New Roman" w:cs="Times New Roman"/>
          <w:color w:val="auto"/>
          <w:sz w:val="24"/>
          <w:szCs w:val="24"/>
        </w:rPr>
      </w:pPr>
      <w:r w:rsidRPr="005A2068">
        <w:rPr>
          <w:rStyle w:val="Strong"/>
          <w:rFonts w:ascii="Times New Roman" w:hAnsi="Times New Roman" w:cs="Times New Roman"/>
          <w:bCs w:val="0"/>
          <w:color w:val="auto"/>
          <w:sz w:val="24"/>
          <w:szCs w:val="24"/>
        </w:rPr>
        <w:t>Abstract</w:t>
      </w:r>
    </w:p>
    <w:p w14:paraId="52EF73BB" w14:textId="77777777" w:rsidR="005A2068" w:rsidRDefault="005A2068" w:rsidP="005A2068">
      <w:pPr>
        <w:pStyle w:val="NormalWeb"/>
        <w:spacing w:line="360" w:lineRule="auto"/>
        <w:ind w:firstLine="720"/>
        <w:jc w:val="both"/>
      </w:pPr>
      <w:r w:rsidRPr="005A2068">
        <w:t xml:space="preserve">Despite growing interest in the developmental origins of callous-unemotional (CU) traits, limited evidence exists from non-Western contexts on the relative contributions of genetic and parental environmental factors. The present study addresses this gap by examining the genetic and environmental architecture of CU traits among twins during early childhood. A descriptive and analytical twin research design was employed in </w:t>
      </w:r>
      <w:r>
        <w:t>Hisar district of Haryana state</w:t>
      </w:r>
      <w:r w:rsidRPr="005A2068">
        <w:t>. The sa</w:t>
      </w:r>
      <w:r w:rsidR="00D20C5A">
        <w:t>mple comprised 50 twin pairs (N=</w:t>
      </w:r>
      <w:r w:rsidRPr="005A2068">
        <w:t>100) aged 6–9 years, including monozygoti</w:t>
      </w:r>
      <w:r w:rsidR="009C53B9">
        <w:t>c (MZ) and dizygotic (DZ) twins</w:t>
      </w:r>
      <w:r w:rsidRPr="005A2068">
        <w:t xml:space="preserve"> identified through snowball sampling. Data were collected from parents using the Inventory of Callous-Unemotional Traits (ICU; Frick, 2004) and the Alabama Parenting Questionnaire (APQ; Frick, 1991). Statistical analyses included descriptive measures, z-test, chi-square test, and heritability estimation using Falconer’s formula.</w:t>
      </w:r>
      <w:r>
        <w:t xml:space="preserve"> </w:t>
      </w:r>
      <w:r w:rsidRPr="005A2068">
        <w:t>The results revealed significant mean differences between MZ and DZ twins in callousness (Z = 2.28*) and overall CU traits (Z = 2.59*), indicating higher levels among monozygotic twins, whereas differences in uncaring (Z = 1.21) and unemotional (Z = 0.06) traits were non-significant. The heritability estimate (h² = 78.0%) suggests a strong genetic basis for CU traits, with environmental factors accounting for 22.0% of the variance. Furthermore, significant associations were observed between CU traits and inconsistent discipline (χ² = 9.95*), c</w:t>
      </w:r>
      <w:r>
        <w:t>orporal punishment (χ² = 7.89*)</w:t>
      </w:r>
      <w:r w:rsidRPr="005A2068">
        <w:t xml:space="preserve"> and overall pa</w:t>
      </w:r>
      <w:r>
        <w:t>rental environment (χ² = 5.61*) and</w:t>
      </w:r>
      <w:r w:rsidRPr="005A2068">
        <w:t xml:space="preserve"> </w:t>
      </w:r>
      <w:r>
        <w:t>found</w:t>
      </w:r>
      <w:r w:rsidRPr="005A2068">
        <w:t xml:space="preserve"> the role of adverse parenting practices.</w:t>
      </w:r>
      <w:r>
        <w:t xml:space="preserve"> </w:t>
      </w:r>
      <w:r w:rsidRPr="005A2068">
        <w:t>The study contributes novel empirical evidence from a rural Indian context, emphasizing the interaction of genetic predispositions and modifiable environmental factors. The findings underscore the need for targeted, family-based interventions aimed at reducing harsh and inconsistent parenting to mitigate CU traits during early childhood.</w:t>
      </w:r>
    </w:p>
    <w:p w14:paraId="4737A19A" w14:textId="77777777" w:rsidR="005A2068" w:rsidRPr="005A2068" w:rsidRDefault="005A2068" w:rsidP="005A2068">
      <w:pPr>
        <w:pStyle w:val="NormalWeb"/>
        <w:jc w:val="both"/>
      </w:pPr>
      <w:r>
        <w:t>______________________________________________________________________________</w:t>
      </w:r>
    </w:p>
    <w:p w14:paraId="3C3F7487" w14:textId="77777777" w:rsidR="005A2068" w:rsidRPr="005A2068" w:rsidRDefault="005A2068" w:rsidP="005A2068">
      <w:pPr>
        <w:pStyle w:val="NormalWeb"/>
        <w:jc w:val="both"/>
      </w:pPr>
      <w:r w:rsidRPr="005A2068">
        <w:rPr>
          <w:rStyle w:val="Strong"/>
        </w:rPr>
        <w:t>Keywords:</w:t>
      </w:r>
      <w:r w:rsidRPr="005A2068">
        <w:t xml:space="preserve"> Callous-unemotional traits, twin study, heritability, parental environment, behavioral genetics, childhood development</w:t>
      </w:r>
    </w:p>
    <w:p w14:paraId="696621E0" w14:textId="77777777" w:rsidR="005A2068" w:rsidRDefault="005A2068" w:rsidP="00A61D4C">
      <w:pPr>
        <w:widowControl/>
        <w:autoSpaceDE/>
        <w:autoSpaceDN/>
        <w:spacing w:before="100" w:beforeAutospacing="1" w:after="100" w:afterAutospacing="1" w:line="360" w:lineRule="auto"/>
        <w:jc w:val="both"/>
        <w:outlineLvl w:val="2"/>
        <w:rPr>
          <w:b/>
          <w:bCs/>
          <w:sz w:val="24"/>
          <w:szCs w:val="24"/>
        </w:rPr>
      </w:pPr>
    </w:p>
    <w:p w14:paraId="0E2E8F7B" w14:textId="77777777" w:rsidR="00912509" w:rsidRDefault="00912509">
      <w:pPr>
        <w:widowControl/>
        <w:autoSpaceDE/>
        <w:autoSpaceDN/>
        <w:spacing w:after="160" w:line="259" w:lineRule="auto"/>
        <w:rPr>
          <w:b/>
          <w:bCs/>
          <w:sz w:val="24"/>
          <w:szCs w:val="24"/>
        </w:rPr>
      </w:pPr>
      <w:r>
        <w:rPr>
          <w:b/>
          <w:bCs/>
          <w:sz w:val="24"/>
          <w:szCs w:val="24"/>
        </w:rPr>
        <w:lastRenderedPageBreak/>
        <w:br w:type="page"/>
      </w:r>
    </w:p>
    <w:p w14:paraId="2B4313E3" w14:textId="77777777" w:rsidR="005A2068" w:rsidRDefault="005A2068" w:rsidP="00A61D4C">
      <w:pPr>
        <w:widowControl/>
        <w:autoSpaceDE/>
        <w:autoSpaceDN/>
        <w:spacing w:before="100" w:beforeAutospacing="1" w:after="100" w:afterAutospacing="1" w:line="360" w:lineRule="auto"/>
        <w:jc w:val="both"/>
        <w:outlineLvl w:val="2"/>
        <w:rPr>
          <w:b/>
          <w:bCs/>
          <w:sz w:val="24"/>
          <w:szCs w:val="24"/>
        </w:rPr>
      </w:pPr>
      <w:r>
        <w:rPr>
          <w:b/>
          <w:bCs/>
          <w:sz w:val="24"/>
          <w:szCs w:val="24"/>
        </w:rPr>
        <w:lastRenderedPageBreak/>
        <w:t>Introduction</w:t>
      </w:r>
    </w:p>
    <w:p w14:paraId="475EB9C4" w14:textId="77777777" w:rsidR="00B85482" w:rsidRPr="00B85482" w:rsidRDefault="00B85482" w:rsidP="00B85482">
      <w:pPr>
        <w:widowControl/>
        <w:autoSpaceDE/>
        <w:autoSpaceDN/>
        <w:spacing w:before="100" w:beforeAutospacing="1" w:after="100" w:afterAutospacing="1" w:line="360" w:lineRule="auto"/>
        <w:ind w:firstLine="720"/>
        <w:jc w:val="both"/>
        <w:rPr>
          <w:sz w:val="24"/>
          <w:szCs w:val="24"/>
        </w:rPr>
      </w:pPr>
      <w:r w:rsidRPr="00B85482">
        <w:rPr>
          <w:sz w:val="24"/>
          <w:szCs w:val="24"/>
        </w:rPr>
        <w:t>In recent years, researchers have shown growing interest in understanding the early causes of behavioral problems in children. One important factor that has gained attention is callous-unemotional (CU) traits. These traits include behaviors such as not caring about others’ feelings, showing lit</w:t>
      </w:r>
      <w:r>
        <w:rPr>
          <w:sz w:val="24"/>
          <w:szCs w:val="24"/>
        </w:rPr>
        <w:t>tle emotion</w:t>
      </w:r>
      <w:r w:rsidRPr="00B85482">
        <w:rPr>
          <w:sz w:val="24"/>
          <w:szCs w:val="24"/>
        </w:rPr>
        <w:t xml:space="preserve"> and not feeling guilty after doing something wrong. Children who show these traits are more likely to develop </w:t>
      </w:r>
      <w:r>
        <w:rPr>
          <w:sz w:val="24"/>
          <w:szCs w:val="24"/>
        </w:rPr>
        <w:t>serious behavior problems later</w:t>
      </w:r>
      <w:r w:rsidRPr="00B85482">
        <w:rPr>
          <w:sz w:val="24"/>
          <w:szCs w:val="24"/>
        </w:rPr>
        <w:t xml:space="preserve"> such as aggression and conduct-related difficulties (Frick &amp; White, 2008; Frick et al., 2014).</w:t>
      </w:r>
    </w:p>
    <w:p w14:paraId="180966ED" w14:textId="77777777" w:rsidR="00B85482" w:rsidRPr="00B85482" w:rsidRDefault="00B85482" w:rsidP="00B85482">
      <w:pPr>
        <w:widowControl/>
        <w:autoSpaceDE/>
        <w:autoSpaceDN/>
        <w:spacing w:before="100" w:beforeAutospacing="1" w:after="100" w:afterAutospacing="1" w:line="360" w:lineRule="auto"/>
        <w:ind w:firstLine="720"/>
        <w:jc w:val="both"/>
        <w:rPr>
          <w:sz w:val="24"/>
          <w:szCs w:val="24"/>
        </w:rPr>
      </w:pPr>
      <w:r w:rsidRPr="00B85482">
        <w:rPr>
          <w:sz w:val="24"/>
          <w:szCs w:val="24"/>
        </w:rPr>
        <w:t>Studies have found that CU traits can be noticed at an early age and may continue as the child grows. Children with higher levels of these traits often face problems in making r</w:t>
      </w:r>
      <w:r>
        <w:rPr>
          <w:sz w:val="24"/>
          <w:szCs w:val="24"/>
        </w:rPr>
        <w:t>elationships, managing emotions</w:t>
      </w:r>
      <w:r w:rsidRPr="00B85482">
        <w:rPr>
          <w:sz w:val="24"/>
          <w:szCs w:val="24"/>
        </w:rPr>
        <w:t xml:space="preserve"> and understanding right and wrong. It is also important to note that these traits are not found only in children with clinical disorders. Instead, they are seen in all children at different levels, with only a small number showing very high levels (</w:t>
      </w:r>
      <w:proofErr w:type="spellStart"/>
      <w:r w:rsidRPr="00B85482">
        <w:rPr>
          <w:sz w:val="24"/>
          <w:szCs w:val="24"/>
        </w:rPr>
        <w:t>Kimonis</w:t>
      </w:r>
      <w:proofErr w:type="spellEnd"/>
      <w:r w:rsidRPr="00B85482">
        <w:rPr>
          <w:sz w:val="24"/>
          <w:szCs w:val="24"/>
        </w:rPr>
        <w:t xml:space="preserve"> et al., 2015; Craig et al., 2024). This makes it important to study thes</w:t>
      </w:r>
      <w:r>
        <w:rPr>
          <w:sz w:val="24"/>
          <w:szCs w:val="24"/>
        </w:rPr>
        <w:t>e traits in general populations</w:t>
      </w:r>
      <w:r w:rsidRPr="00B85482">
        <w:rPr>
          <w:sz w:val="24"/>
          <w:szCs w:val="24"/>
        </w:rPr>
        <w:t xml:space="preserve"> especially during early childhood when timely support can make a difference.</w:t>
      </w:r>
    </w:p>
    <w:p w14:paraId="3BBE59F4" w14:textId="77777777" w:rsidR="00B85482" w:rsidRPr="00B85482" w:rsidRDefault="00B85482" w:rsidP="00B85482">
      <w:pPr>
        <w:widowControl/>
        <w:autoSpaceDE/>
        <w:autoSpaceDN/>
        <w:spacing w:before="100" w:beforeAutospacing="1" w:after="100" w:afterAutospacing="1" w:line="360" w:lineRule="auto"/>
        <w:ind w:firstLine="720"/>
        <w:jc w:val="both"/>
        <w:rPr>
          <w:sz w:val="24"/>
          <w:szCs w:val="24"/>
        </w:rPr>
      </w:pPr>
      <w:r w:rsidRPr="00B85482">
        <w:rPr>
          <w:sz w:val="24"/>
          <w:szCs w:val="24"/>
        </w:rPr>
        <w:t>The development of CU traits does not depend on one single factor. Both genetic and environmental influences play a role. Twin studies, in particular, have shown that genes contribute significantly to these traits. By comparing identical (monozygotic) and non-identical (dizygotic) twins, researchers can better understand how much of these traits are inherited (Viding et al., 2005; Moore et al., 2019). However, genetics alone cannot fully explain why these traits develop.</w:t>
      </w:r>
    </w:p>
    <w:p w14:paraId="108DC6E7" w14:textId="77777777" w:rsidR="00B85482" w:rsidRPr="00B85482" w:rsidRDefault="001B158E" w:rsidP="00B85482">
      <w:pPr>
        <w:widowControl/>
        <w:autoSpaceDE/>
        <w:autoSpaceDN/>
        <w:spacing w:before="100" w:beforeAutospacing="1" w:after="100" w:afterAutospacing="1" w:line="360" w:lineRule="auto"/>
        <w:ind w:firstLine="720"/>
        <w:jc w:val="both"/>
        <w:rPr>
          <w:sz w:val="24"/>
          <w:szCs w:val="24"/>
        </w:rPr>
      </w:pPr>
      <w:r>
        <w:rPr>
          <w:sz w:val="24"/>
          <w:szCs w:val="24"/>
        </w:rPr>
        <w:t>The child’s environment</w:t>
      </w:r>
      <w:r w:rsidR="00B85482" w:rsidRPr="00B85482">
        <w:rPr>
          <w:sz w:val="24"/>
          <w:szCs w:val="24"/>
        </w:rPr>
        <w:t xml:space="preserve"> es</w:t>
      </w:r>
      <w:r w:rsidR="00B85482">
        <w:rPr>
          <w:sz w:val="24"/>
          <w:szCs w:val="24"/>
        </w:rPr>
        <w:t>pecially the family environment</w:t>
      </w:r>
      <w:r w:rsidR="00B85482" w:rsidRPr="00B85482">
        <w:rPr>
          <w:sz w:val="24"/>
          <w:szCs w:val="24"/>
        </w:rPr>
        <w:t xml:space="preserve"> is also very important. Parenting practices such as showing warmth, giving proper guidance, maintain</w:t>
      </w:r>
      <w:r w:rsidR="00B85482">
        <w:rPr>
          <w:sz w:val="24"/>
          <w:szCs w:val="24"/>
        </w:rPr>
        <w:t>ing discipline</w:t>
      </w:r>
      <w:r w:rsidR="00B85482" w:rsidRPr="00B85482">
        <w:rPr>
          <w:sz w:val="24"/>
          <w:szCs w:val="24"/>
        </w:rPr>
        <w:t xml:space="preserve"> and being consistent in behavior can strongly influence a child’s development. Positive and supportive parenting can help reduce problematic behaviors, while harsh or inconsistent parenting may increase the chances of CU traits developing (Waller et al., 2013; Hawes et al., 2014). This shows that both genes and environment work together in shaping children’s behavior.</w:t>
      </w:r>
    </w:p>
    <w:p w14:paraId="2A14368E" w14:textId="77777777" w:rsidR="00B85482" w:rsidRPr="00B85482" w:rsidRDefault="00B85482" w:rsidP="00B85482">
      <w:pPr>
        <w:widowControl/>
        <w:autoSpaceDE/>
        <w:autoSpaceDN/>
        <w:spacing w:before="100" w:beforeAutospacing="1" w:after="100" w:afterAutospacing="1" w:line="360" w:lineRule="auto"/>
        <w:ind w:firstLine="720"/>
        <w:jc w:val="both"/>
        <w:rPr>
          <w:sz w:val="24"/>
          <w:szCs w:val="24"/>
        </w:rPr>
      </w:pPr>
      <w:r w:rsidRPr="00B85482">
        <w:rPr>
          <w:sz w:val="24"/>
          <w:szCs w:val="24"/>
        </w:rPr>
        <w:t xml:space="preserve">Recent research also suggests that the relationship between genetic and environmental factors is interactive. For example, some children may be more affected by parenting styles because of their genetic makeup. At the same time, children’s behavior can also influence how </w:t>
      </w:r>
      <w:r w:rsidRPr="00B85482">
        <w:rPr>
          <w:sz w:val="24"/>
          <w:szCs w:val="24"/>
        </w:rPr>
        <w:lastRenderedPageBreak/>
        <w:t>parents respond to them, creating a two-way relationship over time (Hyde et al., 2022). Understanding this interaction is important for planning effective interventions.</w:t>
      </w:r>
    </w:p>
    <w:p w14:paraId="647DA69F" w14:textId="77777777" w:rsidR="005A2068" w:rsidRPr="00B85482" w:rsidRDefault="00B85482" w:rsidP="00B85482">
      <w:pPr>
        <w:widowControl/>
        <w:autoSpaceDE/>
        <w:autoSpaceDN/>
        <w:spacing w:before="100" w:beforeAutospacing="1" w:after="100" w:afterAutospacing="1" w:line="360" w:lineRule="auto"/>
        <w:ind w:firstLine="720"/>
        <w:jc w:val="both"/>
        <w:rPr>
          <w:sz w:val="24"/>
          <w:szCs w:val="24"/>
        </w:rPr>
      </w:pPr>
      <w:r w:rsidRPr="00B85482">
        <w:rPr>
          <w:sz w:val="24"/>
          <w:szCs w:val="24"/>
        </w:rPr>
        <w:t>Although many studies on CU traits have been conducted in other countries, there is limited research in India, especially in rural areas. Cultural differences, family systems, and parenting styles in India may affect how these traits develop. Therefore, it is important to study CU traits in this context.</w:t>
      </w:r>
      <w:r>
        <w:rPr>
          <w:sz w:val="24"/>
          <w:szCs w:val="24"/>
        </w:rPr>
        <w:t xml:space="preserve"> </w:t>
      </w:r>
      <w:r w:rsidRPr="00B85482">
        <w:rPr>
          <w:sz w:val="24"/>
          <w:szCs w:val="24"/>
        </w:rPr>
        <w:t>Keeping this in mind, the present study examines callous-unemotional traits among monozygotic and dizygotic twins during early childhood. It aims to estimate the heritability of these traits and to understand how different aspects of the parental environment influence their development. The study hopes to provide useful information for early identification and better intervention strategies.</w:t>
      </w:r>
    </w:p>
    <w:p w14:paraId="436E1514" w14:textId="77777777" w:rsidR="00A61D4C" w:rsidRDefault="00A61D4C" w:rsidP="00A61D4C">
      <w:pPr>
        <w:widowControl/>
        <w:autoSpaceDE/>
        <w:autoSpaceDN/>
        <w:spacing w:before="100" w:beforeAutospacing="1" w:after="100" w:afterAutospacing="1" w:line="360" w:lineRule="auto"/>
        <w:jc w:val="both"/>
        <w:outlineLvl w:val="2"/>
        <w:rPr>
          <w:b/>
          <w:bCs/>
          <w:sz w:val="24"/>
          <w:szCs w:val="24"/>
        </w:rPr>
      </w:pPr>
      <w:r>
        <w:rPr>
          <w:b/>
          <w:bCs/>
          <w:sz w:val="24"/>
          <w:szCs w:val="24"/>
        </w:rPr>
        <w:t>Research Methodology</w:t>
      </w:r>
    </w:p>
    <w:p w14:paraId="712B68A5" w14:textId="77777777" w:rsidR="00A61D4C" w:rsidRPr="00A61D4C" w:rsidRDefault="00A61D4C" w:rsidP="00A61D4C">
      <w:pPr>
        <w:widowControl/>
        <w:autoSpaceDE/>
        <w:autoSpaceDN/>
        <w:spacing w:before="100" w:beforeAutospacing="1" w:after="100" w:afterAutospacing="1" w:line="360" w:lineRule="auto"/>
        <w:jc w:val="both"/>
        <w:outlineLvl w:val="2"/>
        <w:rPr>
          <w:b/>
          <w:bCs/>
          <w:sz w:val="24"/>
          <w:szCs w:val="24"/>
        </w:rPr>
      </w:pPr>
      <w:r w:rsidRPr="00A61D4C">
        <w:rPr>
          <w:b/>
          <w:bCs/>
          <w:sz w:val="24"/>
          <w:szCs w:val="24"/>
        </w:rPr>
        <w:t>2.1 Study Design</w:t>
      </w:r>
    </w:p>
    <w:p w14:paraId="295A6D9D" w14:textId="77777777" w:rsidR="00A61D4C" w:rsidRPr="00A61D4C" w:rsidRDefault="00A61D4C" w:rsidP="00DD6623">
      <w:pPr>
        <w:widowControl/>
        <w:autoSpaceDE/>
        <w:autoSpaceDN/>
        <w:spacing w:before="100" w:beforeAutospacing="1" w:after="100" w:afterAutospacing="1" w:line="360" w:lineRule="auto"/>
        <w:ind w:firstLine="720"/>
        <w:jc w:val="both"/>
        <w:rPr>
          <w:sz w:val="24"/>
          <w:szCs w:val="24"/>
        </w:rPr>
      </w:pPr>
      <w:r w:rsidRPr="00A61D4C">
        <w:rPr>
          <w:sz w:val="24"/>
          <w:szCs w:val="24"/>
        </w:rPr>
        <w:t xml:space="preserve">The present study adopted a descriptive and analytical twin research design to examine callous-unemotional traits among monozygotic (MZ) and dizygotic (DZ) twins, and to explore their relationship with the parental environment, along with estimating heritability. The study was </w:t>
      </w:r>
      <w:r w:rsidR="00DD6623">
        <w:rPr>
          <w:sz w:val="24"/>
          <w:szCs w:val="24"/>
        </w:rPr>
        <w:t>conducted in Haryana state. From Haryana state,</w:t>
      </w:r>
      <w:r w:rsidRPr="00A61D4C">
        <w:rPr>
          <w:sz w:val="24"/>
          <w:szCs w:val="24"/>
        </w:rPr>
        <w:t xml:space="preserve"> </w:t>
      </w:r>
      <w:r w:rsidR="00DD6623">
        <w:rPr>
          <w:sz w:val="24"/>
          <w:szCs w:val="24"/>
        </w:rPr>
        <w:t xml:space="preserve">Hisar district was </w:t>
      </w:r>
      <w:r w:rsidRPr="00A61D4C">
        <w:rPr>
          <w:sz w:val="24"/>
          <w:szCs w:val="24"/>
        </w:rPr>
        <w:t>selected randomly. A total of 22 villages from the district were identified to meet the sample requirements.</w:t>
      </w:r>
    </w:p>
    <w:p w14:paraId="0D2BFAA0" w14:textId="77777777" w:rsidR="00A61D4C" w:rsidRPr="00A61D4C" w:rsidRDefault="00A61D4C" w:rsidP="00A61D4C">
      <w:pPr>
        <w:widowControl/>
        <w:autoSpaceDE/>
        <w:autoSpaceDN/>
        <w:spacing w:before="100" w:beforeAutospacing="1" w:after="100" w:afterAutospacing="1" w:line="360" w:lineRule="auto"/>
        <w:jc w:val="both"/>
        <w:outlineLvl w:val="2"/>
        <w:rPr>
          <w:b/>
          <w:bCs/>
          <w:sz w:val="24"/>
          <w:szCs w:val="24"/>
        </w:rPr>
      </w:pPr>
      <w:r w:rsidRPr="00A61D4C">
        <w:rPr>
          <w:b/>
          <w:bCs/>
          <w:sz w:val="24"/>
          <w:szCs w:val="24"/>
        </w:rPr>
        <w:t>2.2 Participants and Sampling</w:t>
      </w:r>
    </w:p>
    <w:p w14:paraId="6B3A96C0" w14:textId="77777777" w:rsidR="00B85482" w:rsidRPr="00A61D4C" w:rsidRDefault="00A61D4C" w:rsidP="00912509">
      <w:pPr>
        <w:widowControl/>
        <w:autoSpaceDE/>
        <w:autoSpaceDN/>
        <w:spacing w:before="100" w:beforeAutospacing="1" w:after="100" w:afterAutospacing="1" w:line="360" w:lineRule="auto"/>
        <w:ind w:firstLine="720"/>
        <w:jc w:val="both"/>
        <w:rPr>
          <w:sz w:val="24"/>
          <w:szCs w:val="24"/>
        </w:rPr>
      </w:pPr>
      <w:r w:rsidRPr="00A61D4C">
        <w:rPr>
          <w:sz w:val="24"/>
          <w:szCs w:val="24"/>
        </w:rPr>
        <w:t>The sample consisted of 50 twin pairs (N = 100 children) in the age group of 6 to 9 years. Both monozygotic (MZ) and dizygotic (DZ) twins were included in the study. The snowball sampling technique was employed to identify and recruit twin pairs due to their limited availability and the difficulty in locating them in rural settings.</w:t>
      </w:r>
    </w:p>
    <w:p w14:paraId="41B640A8" w14:textId="77777777" w:rsidR="00A61D4C" w:rsidRPr="00A61D4C" w:rsidRDefault="00A61D4C" w:rsidP="00A61D4C">
      <w:pPr>
        <w:widowControl/>
        <w:autoSpaceDE/>
        <w:autoSpaceDN/>
        <w:spacing w:before="100" w:beforeAutospacing="1" w:after="100" w:afterAutospacing="1" w:line="360" w:lineRule="auto"/>
        <w:jc w:val="both"/>
        <w:outlineLvl w:val="2"/>
        <w:rPr>
          <w:b/>
          <w:bCs/>
          <w:sz w:val="24"/>
          <w:szCs w:val="24"/>
        </w:rPr>
      </w:pPr>
      <w:r w:rsidRPr="00A61D4C">
        <w:rPr>
          <w:b/>
          <w:bCs/>
          <w:sz w:val="24"/>
          <w:szCs w:val="24"/>
        </w:rPr>
        <w:t>2.3 Data Collection</w:t>
      </w:r>
    </w:p>
    <w:p w14:paraId="07DB3F15" w14:textId="77777777" w:rsidR="00364A82" w:rsidRPr="00912509" w:rsidRDefault="00A61D4C" w:rsidP="00912509">
      <w:pPr>
        <w:widowControl/>
        <w:autoSpaceDE/>
        <w:autoSpaceDN/>
        <w:spacing w:before="100" w:beforeAutospacing="1" w:after="100" w:afterAutospacing="1" w:line="360" w:lineRule="auto"/>
        <w:ind w:firstLine="720"/>
        <w:jc w:val="both"/>
        <w:rPr>
          <w:sz w:val="24"/>
          <w:szCs w:val="24"/>
        </w:rPr>
      </w:pPr>
      <w:r w:rsidRPr="00A61D4C">
        <w:rPr>
          <w:sz w:val="24"/>
          <w:szCs w:val="24"/>
        </w:rPr>
        <w:t xml:space="preserve">Data were collected from the parents of twins using standardized instruments. Callous-unemotional traits were assessed using the Inventory of Callous-Unemotional Traits (ICU) – Parent Report Version </w:t>
      </w:r>
      <w:r w:rsidR="00C52260">
        <w:rPr>
          <w:sz w:val="24"/>
          <w:szCs w:val="24"/>
        </w:rPr>
        <w:t>developed by Frick (2004)</w:t>
      </w:r>
      <w:r w:rsidRPr="00A61D4C">
        <w:rPr>
          <w:sz w:val="24"/>
          <w:szCs w:val="24"/>
        </w:rPr>
        <w:t xml:space="preserve"> which evaluates three dimensions: uncaring, </w:t>
      </w:r>
      <w:r w:rsidRPr="00A61D4C">
        <w:rPr>
          <w:sz w:val="24"/>
          <w:szCs w:val="24"/>
        </w:rPr>
        <w:lastRenderedPageBreak/>
        <w:t>unemotional, and callousness. The parental environment of twins was measured using the Alabama Parenting Questionnaire (APQ) developed by Frick (1991), covering dimensions such as parental involvement, positive parenting, poor monitoring, inconsistent disc</w:t>
      </w:r>
      <w:r w:rsidR="00912509">
        <w:rPr>
          <w:sz w:val="24"/>
          <w:szCs w:val="24"/>
        </w:rPr>
        <w:t>ipline, and corporal punishment.</w:t>
      </w:r>
    </w:p>
    <w:p w14:paraId="010FB823" w14:textId="77777777" w:rsidR="00A61D4C" w:rsidRPr="00A61D4C" w:rsidRDefault="009623F3" w:rsidP="00A61D4C">
      <w:pPr>
        <w:widowControl/>
        <w:autoSpaceDE/>
        <w:autoSpaceDN/>
        <w:spacing w:before="100" w:beforeAutospacing="1" w:after="100" w:afterAutospacing="1" w:line="360" w:lineRule="auto"/>
        <w:jc w:val="both"/>
        <w:outlineLvl w:val="2"/>
        <w:rPr>
          <w:b/>
          <w:bCs/>
          <w:sz w:val="24"/>
          <w:szCs w:val="24"/>
        </w:rPr>
      </w:pPr>
      <w:r>
        <w:rPr>
          <w:b/>
          <w:bCs/>
          <w:sz w:val="24"/>
          <w:szCs w:val="24"/>
        </w:rPr>
        <w:t xml:space="preserve">      </w:t>
      </w:r>
      <w:r w:rsidR="00A61D4C" w:rsidRPr="00A61D4C">
        <w:rPr>
          <w:b/>
          <w:bCs/>
          <w:sz w:val="24"/>
          <w:szCs w:val="24"/>
        </w:rPr>
        <w:t>2.4 Statistical Analysis</w:t>
      </w:r>
    </w:p>
    <w:p w14:paraId="5317D055" w14:textId="77777777" w:rsidR="0031081B" w:rsidRPr="00A61D4C" w:rsidRDefault="00A61D4C" w:rsidP="00DD6623">
      <w:pPr>
        <w:widowControl/>
        <w:autoSpaceDE/>
        <w:autoSpaceDN/>
        <w:spacing w:before="100" w:beforeAutospacing="1" w:after="100" w:afterAutospacing="1" w:line="360" w:lineRule="auto"/>
        <w:ind w:firstLine="720"/>
        <w:jc w:val="both"/>
        <w:rPr>
          <w:sz w:val="24"/>
          <w:szCs w:val="24"/>
        </w:rPr>
      </w:pPr>
      <w:r w:rsidRPr="00A61D4C">
        <w:rPr>
          <w:sz w:val="24"/>
          <w:szCs w:val="24"/>
        </w:rPr>
        <w:t>The collected data were coded, organized, and analyzed using appropriate statistical methods. Descriptive statistics, including frequency and percentage, were used to summarize the sample characteristics. Inferential statistics such as z-test and chi-square test were applied to examine differences and associations among variables. Heritability estimates (h²) of callous-unemotional traits were computed using Falconer’s formula (1960):</w:t>
      </w:r>
      <w:r w:rsidR="00DD6623">
        <w:rPr>
          <w:sz w:val="24"/>
          <w:szCs w:val="24"/>
        </w:rPr>
        <w:t xml:space="preserve"> h2=2(</w:t>
      </w:r>
      <w:proofErr w:type="spellStart"/>
      <w:r w:rsidR="00DD6623">
        <w:rPr>
          <w:sz w:val="24"/>
          <w:szCs w:val="24"/>
        </w:rPr>
        <w:t>rMZ−rDZ</w:t>
      </w:r>
      <w:proofErr w:type="spellEnd"/>
      <w:r w:rsidR="00DD6623">
        <w:rPr>
          <w:sz w:val="24"/>
          <w:szCs w:val="24"/>
        </w:rPr>
        <w:t xml:space="preserve">), </w:t>
      </w:r>
      <w:r w:rsidRPr="00A61D4C">
        <w:rPr>
          <w:sz w:val="24"/>
          <w:szCs w:val="24"/>
        </w:rPr>
        <w:t xml:space="preserve">where </w:t>
      </w:r>
      <w:r w:rsidRPr="00A61D4C">
        <w:rPr>
          <w:i/>
          <w:iCs/>
          <w:sz w:val="24"/>
          <w:szCs w:val="24"/>
        </w:rPr>
        <w:t>h²</w:t>
      </w:r>
      <w:r w:rsidRPr="00A61D4C">
        <w:rPr>
          <w:sz w:val="24"/>
          <w:szCs w:val="24"/>
        </w:rPr>
        <w:t xml:space="preserve"> denotes the heritability estimate, </w:t>
      </w:r>
      <w:proofErr w:type="spellStart"/>
      <w:r w:rsidRPr="00A61D4C">
        <w:rPr>
          <w:sz w:val="24"/>
          <w:szCs w:val="24"/>
        </w:rPr>
        <w:t>rMZ</w:t>
      </w:r>
      <w:proofErr w:type="spellEnd"/>
      <w:r w:rsidRPr="00A61D4C">
        <w:rPr>
          <w:sz w:val="24"/>
          <w:szCs w:val="24"/>
        </w:rPr>
        <w:t xml:space="preserve"> represents the correlation coefficient for monozygotic twin pairs and </w:t>
      </w:r>
      <w:proofErr w:type="spellStart"/>
      <w:r w:rsidRPr="00A61D4C">
        <w:rPr>
          <w:sz w:val="24"/>
          <w:szCs w:val="24"/>
        </w:rPr>
        <w:t>rDZ</w:t>
      </w:r>
      <w:proofErr w:type="spellEnd"/>
      <w:r w:rsidRPr="00A61D4C">
        <w:rPr>
          <w:sz w:val="24"/>
          <w:szCs w:val="24"/>
        </w:rPr>
        <w:t xml:space="preserve"> represents the correlation coefficient for dizygotic twin pairs. This formula helps in estimating the proportion of variance attributable to genetic factors.</w:t>
      </w:r>
    </w:p>
    <w:p w14:paraId="53A040DE" w14:textId="77777777" w:rsidR="0031081B" w:rsidRPr="00A61D4C" w:rsidRDefault="0031081B" w:rsidP="00A61D4C">
      <w:pPr>
        <w:rPr>
          <w:b/>
          <w:color w:val="000000"/>
          <w:sz w:val="24"/>
          <w:szCs w:val="24"/>
        </w:rPr>
      </w:pPr>
      <w:r w:rsidRPr="00A61D4C">
        <w:rPr>
          <w:b/>
          <w:color w:val="000000"/>
          <w:sz w:val="24"/>
          <w:szCs w:val="24"/>
        </w:rPr>
        <w:t>Research Findings</w:t>
      </w:r>
    </w:p>
    <w:p w14:paraId="45E570D8" w14:textId="77777777" w:rsidR="0031081B" w:rsidRPr="00A61D4C" w:rsidRDefault="0031081B" w:rsidP="0031081B">
      <w:pPr>
        <w:ind w:left="720"/>
        <w:rPr>
          <w:b/>
          <w:color w:val="000000"/>
          <w:sz w:val="24"/>
          <w:szCs w:val="24"/>
        </w:rPr>
      </w:pPr>
    </w:p>
    <w:p w14:paraId="0E26F367" w14:textId="77777777" w:rsidR="0031081B" w:rsidRPr="00A61D4C" w:rsidRDefault="0031081B" w:rsidP="00A61D4C">
      <w:pPr>
        <w:spacing w:after="160" w:line="360" w:lineRule="auto"/>
        <w:rPr>
          <w:b/>
          <w:sz w:val="24"/>
          <w:szCs w:val="24"/>
        </w:rPr>
      </w:pPr>
      <w:r w:rsidRPr="00A61D4C">
        <w:rPr>
          <w:b/>
          <w:color w:val="000000"/>
          <w:sz w:val="24"/>
          <w:szCs w:val="24"/>
        </w:rPr>
        <w:t xml:space="preserve">Mean difference between callous-unemotional traits of twins  </w:t>
      </w:r>
    </w:p>
    <w:p w14:paraId="07545D3C" w14:textId="77777777" w:rsidR="0031081B" w:rsidRPr="00A61D4C" w:rsidRDefault="0031081B" w:rsidP="00A61D4C">
      <w:pPr>
        <w:spacing w:line="360" w:lineRule="auto"/>
        <w:ind w:firstLine="720"/>
        <w:jc w:val="both"/>
        <w:rPr>
          <w:color w:val="000000"/>
          <w:sz w:val="24"/>
          <w:szCs w:val="24"/>
        </w:rPr>
      </w:pPr>
      <w:r w:rsidRPr="00A61D4C">
        <w:rPr>
          <w:color w:val="000000"/>
          <w:sz w:val="24"/>
          <w:szCs w:val="24"/>
        </w:rPr>
        <w:t xml:space="preserve">The data in table 1 indicates </w:t>
      </w:r>
      <w:r w:rsidRPr="00A61D4C">
        <w:rPr>
          <w:sz w:val="24"/>
          <w:szCs w:val="24"/>
        </w:rPr>
        <w:t xml:space="preserve">mean differences in callous-unemotional traits between monozygotic and dizygotic twins across the </w:t>
      </w:r>
      <w:r w:rsidRPr="00A61D4C">
        <w:rPr>
          <w:rStyle w:val="Strong"/>
          <w:b w:val="0"/>
          <w:sz w:val="24"/>
          <w:szCs w:val="24"/>
        </w:rPr>
        <w:t>uncaring</w:t>
      </w:r>
      <w:r w:rsidRPr="00A61D4C">
        <w:rPr>
          <w:b/>
          <w:sz w:val="24"/>
          <w:szCs w:val="24"/>
        </w:rPr>
        <w:t xml:space="preserve">, </w:t>
      </w:r>
      <w:r w:rsidRPr="00A61D4C">
        <w:rPr>
          <w:rStyle w:val="Strong"/>
          <w:b w:val="0"/>
          <w:sz w:val="24"/>
          <w:szCs w:val="24"/>
        </w:rPr>
        <w:t>unemotional</w:t>
      </w:r>
      <w:r w:rsidRPr="00A61D4C">
        <w:rPr>
          <w:b/>
          <w:sz w:val="24"/>
          <w:szCs w:val="24"/>
        </w:rPr>
        <w:t xml:space="preserve">, </w:t>
      </w:r>
      <w:r w:rsidRPr="00A61D4C">
        <w:rPr>
          <w:rStyle w:val="Strong"/>
          <w:b w:val="0"/>
          <w:sz w:val="24"/>
          <w:szCs w:val="24"/>
        </w:rPr>
        <w:t>callousness trait</w:t>
      </w:r>
      <w:r w:rsidRPr="00A61D4C">
        <w:rPr>
          <w:sz w:val="24"/>
          <w:szCs w:val="24"/>
        </w:rPr>
        <w:t xml:space="preserve"> and the overall callous-unemotional traits. The </w:t>
      </w:r>
      <w:r w:rsidRPr="00A61D4C">
        <w:rPr>
          <w:color w:val="000000"/>
          <w:sz w:val="24"/>
          <w:szCs w:val="24"/>
        </w:rPr>
        <w:t xml:space="preserve">significant differences in mean values were observed in callousness trait (Z= 2.28*) and overall callous-unemotional traits (Z= 2.59*) of twins, but no significant differences were observed in uncaring trait (Z=1.21) and unemotional trait (Z=0.06) of twins. </w:t>
      </w:r>
      <w:r w:rsidRPr="00A61D4C">
        <w:rPr>
          <w:sz w:val="24"/>
          <w:szCs w:val="24"/>
        </w:rPr>
        <w:t xml:space="preserve">These findings suggest that monozygotic twins tend to show higher level of certain callous-unemotional traits, particularly in the dimensions of </w:t>
      </w:r>
      <w:r w:rsidRPr="00A61D4C">
        <w:rPr>
          <w:rStyle w:val="Strong"/>
          <w:b w:val="0"/>
          <w:sz w:val="24"/>
          <w:szCs w:val="24"/>
        </w:rPr>
        <w:t>callousness</w:t>
      </w:r>
      <w:r w:rsidRPr="00A61D4C">
        <w:rPr>
          <w:b/>
          <w:sz w:val="24"/>
          <w:szCs w:val="24"/>
        </w:rPr>
        <w:t xml:space="preserve"> </w:t>
      </w:r>
      <w:r w:rsidRPr="00A61D4C">
        <w:rPr>
          <w:sz w:val="24"/>
          <w:szCs w:val="24"/>
        </w:rPr>
        <w:t>and</w:t>
      </w:r>
      <w:r w:rsidRPr="00A61D4C">
        <w:rPr>
          <w:b/>
          <w:sz w:val="24"/>
          <w:szCs w:val="24"/>
        </w:rPr>
        <w:t xml:space="preserve"> </w:t>
      </w:r>
      <w:r w:rsidRPr="00A61D4C">
        <w:rPr>
          <w:rStyle w:val="Strong"/>
          <w:b w:val="0"/>
          <w:sz w:val="24"/>
          <w:szCs w:val="24"/>
        </w:rPr>
        <w:t>overall callous-unemotional traits</w:t>
      </w:r>
      <w:r w:rsidRPr="00A61D4C">
        <w:rPr>
          <w:sz w:val="24"/>
          <w:szCs w:val="24"/>
        </w:rPr>
        <w:t xml:space="preserve"> as compared to dizygotic twins.</w:t>
      </w:r>
    </w:p>
    <w:p w14:paraId="4A897DB8" w14:textId="77777777" w:rsidR="0031081B" w:rsidRPr="00A61D4C" w:rsidRDefault="0031081B" w:rsidP="00A61D4C">
      <w:pPr>
        <w:spacing w:line="360" w:lineRule="auto"/>
        <w:jc w:val="both"/>
        <w:rPr>
          <w:b/>
          <w:color w:val="000000"/>
          <w:sz w:val="24"/>
          <w:szCs w:val="24"/>
        </w:rPr>
      </w:pPr>
      <w:r w:rsidRPr="00A61D4C">
        <w:rPr>
          <w:b/>
          <w:color w:val="000000"/>
          <w:sz w:val="24"/>
          <w:szCs w:val="24"/>
        </w:rPr>
        <w:t>Table 1: Mean difference between callous-unemotional traits of twins                        (n=100)</w:t>
      </w:r>
      <w:r w:rsidRPr="00A61D4C">
        <w:rPr>
          <w:b/>
          <w:color w:val="000000"/>
          <w:sz w:val="24"/>
          <w:szCs w:val="24"/>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2231"/>
        <w:gridCol w:w="2517"/>
        <w:gridCol w:w="2410"/>
      </w:tblGrid>
      <w:tr w:rsidR="0031081B" w:rsidRPr="00A61D4C" w14:paraId="2AB30526" w14:textId="77777777" w:rsidTr="00A61D4C">
        <w:tc>
          <w:tcPr>
            <w:tcW w:w="1172" w:type="pct"/>
          </w:tcPr>
          <w:p w14:paraId="17A8DB28" w14:textId="77777777" w:rsidR="0031081B" w:rsidRPr="00A61D4C" w:rsidRDefault="0031081B" w:rsidP="003F7DA9">
            <w:pPr>
              <w:spacing w:before="20" w:after="20"/>
              <w:jc w:val="both"/>
              <w:rPr>
                <w:b/>
                <w:color w:val="000000"/>
                <w:sz w:val="24"/>
                <w:szCs w:val="24"/>
              </w:rPr>
            </w:pPr>
            <w:r w:rsidRPr="00A61D4C">
              <w:rPr>
                <w:b/>
                <w:color w:val="000000"/>
                <w:sz w:val="24"/>
                <w:szCs w:val="24"/>
              </w:rPr>
              <w:t>Callous-unemotional traits Dimensions</w:t>
            </w:r>
          </w:p>
        </w:tc>
        <w:tc>
          <w:tcPr>
            <w:tcW w:w="1193" w:type="pct"/>
          </w:tcPr>
          <w:p w14:paraId="43EC42CE" w14:textId="77777777" w:rsidR="0031081B" w:rsidRPr="00A61D4C" w:rsidRDefault="0031081B" w:rsidP="003F7DA9">
            <w:pPr>
              <w:spacing w:before="20" w:after="20"/>
              <w:jc w:val="center"/>
              <w:rPr>
                <w:b/>
                <w:color w:val="000000"/>
                <w:sz w:val="24"/>
                <w:szCs w:val="24"/>
              </w:rPr>
            </w:pPr>
            <w:r w:rsidRPr="00A61D4C">
              <w:rPr>
                <w:b/>
                <w:color w:val="000000"/>
                <w:sz w:val="24"/>
                <w:szCs w:val="24"/>
              </w:rPr>
              <w:t>Monozygotic twins (n</w:t>
            </w:r>
            <w:r w:rsidRPr="00A61D4C">
              <w:rPr>
                <w:b/>
                <w:color w:val="000000"/>
                <w:sz w:val="24"/>
                <w:szCs w:val="24"/>
                <w:vertAlign w:val="subscript"/>
              </w:rPr>
              <w:t>1</w:t>
            </w:r>
            <w:r w:rsidRPr="00A61D4C">
              <w:rPr>
                <w:b/>
                <w:color w:val="000000"/>
                <w:sz w:val="24"/>
                <w:szCs w:val="24"/>
              </w:rPr>
              <w:t>=60)</w:t>
            </w:r>
          </w:p>
          <w:p w14:paraId="59CBB84B" w14:textId="77777777" w:rsidR="0031081B" w:rsidRPr="00A61D4C" w:rsidRDefault="0031081B" w:rsidP="003F7DA9">
            <w:pPr>
              <w:spacing w:before="20" w:after="20"/>
              <w:jc w:val="center"/>
              <w:rPr>
                <w:b/>
                <w:color w:val="000000"/>
                <w:sz w:val="24"/>
                <w:szCs w:val="24"/>
              </w:rPr>
            </w:pPr>
            <w:proofErr w:type="spellStart"/>
            <w:r w:rsidRPr="00A61D4C">
              <w:rPr>
                <w:b/>
                <w:color w:val="000000"/>
                <w:sz w:val="24"/>
                <w:szCs w:val="24"/>
              </w:rPr>
              <w:t>Mean±SD</w:t>
            </w:r>
            <w:proofErr w:type="spellEnd"/>
          </w:p>
        </w:tc>
        <w:tc>
          <w:tcPr>
            <w:tcW w:w="1346" w:type="pct"/>
          </w:tcPr>
          <w:p w14:paraId="7769FED1" w14:textId="77777777" w:rsidR="0031081B" w:rsidRPr="00A61D4C" w:rsidRDefault="0031081B" w:rsidP="003F7DA9">
            <w:pPr>
              <w:spacing w:before="20" w:after="20"/>
              <w:jc w:val="center"/>
              <w:rPr>
                <w:b/>
                <w:color w:val="000000"/>
                <w:sz w:val="24"/>
                <w:szCs w:val="24"/>
              </w:rPr>
            </w:pPr>
            <w:r w:rsidRPr="00A61D4C">
              <w:rPr>
                <w:b/>
                <w:color w:val="000000"/>
                <w:sz w:val="24"/>
                <w:szCs w:val="24"/>
              </w:rPr>
              <w:t xml:space="preserve">Dizygotic twins </w:t>
            </w:r>
          </w:p>
          <w:p w14:paraId="38619582" w14:textId="77777777" w:rsidR="0031081B" w:rsidRPr="00A61D4C" w:rsidRDefault="0031081B" w:rsidP="003F7DA9">
            <w:pPr>
              <w:spacing w:before="20" w:after="20"/>
              <w:jc w:val="center"/>
              <w:rPr>
                <w:b/>
                <w:color w:val="000000"/>
                <w:sz w:val="24"/>
                <w:szCs w:val="24"/>
              </w:rPr>
            </w:pPr>
            <w:r w:rsidRPr="00A61D4C">
              <w:rPr>
                <w:b/>
                <w:color w:val="000000"/>
                <w:sz w:val="24"/>
                <w:szCs w:val="24"/>
              </w:rPr>
              <w:t>(n</w:t>
            </w:r>
            <w:r w:rsidRPr="00A61D4C">
              <w:rPr>
                <w:b/>
                <w:color w:val="000000"/>
                <w:sz w:val="24"/>
                <w:szCs w:val="24"/>
                <w:vertAlign w:val="subscript"/>
              </w:rPr>
              <w:t>2</w:t>
            </w:r>
            <w:r w:rsidRPr="00A61D4C">
              <w:rPr>
                <w:b/>
                <w:color w:val="000000"/>
                <w:sz w:val="24"/>
                <w:szCs w:val="24"/>
              </w:rPr>
              <w:t>=40)</w:t>
            </w:r>
          </w:p>
          <w:p w14:paraId="12B16031" w14:textId="77777777" w:rsidR="0031081B" w:rsidRPr="00A61D4C" w:rsidRDefault="0031081B" w:rsidP="003F7DA9">
            <w:pPr>
              <w:spacing w:before="20" w:after="20"/>
              <w:jc w:val="center"/>
              <w:rPr>
                <w:b/>
                <w:color w:val="000000"/>
                <w:sz w:val="24"/>
                <w:szCs w:val="24"/>
              </w:rPr>
            </w:pPr>
            <w:proofErr w:type="spellStart"/>
            <w:r w:rsidRPr="00A61D4C">
              <w:rPr>
                <w:b/>
                <w:color w:val="000000"/>
                <w:sz w:val="24"/>
                <w:szCs w:val="24"/>
              </w:rPr>
              <w:t>Mean±SD</w:t>
            </w:r>
            <w:proofErr w:type="spellEnd"/>
          </w:p>
        </w:tc>
        <w:tc>
          <w:tcPr>
            <w:tcW w:w="1289" w:type="pct"/>
          </w:tcPr>
          <w:p w14:paraId="39C3E19D" w14:textId="77777777" w:rsidR="0031081B" w:rsidRPr="00A61D4C" w:rsidRDefault="0031081B" w:rsidP="003F7DA9">
            <w:pPr>
              <w:spacing w:before="20" w:after="20"/>
              <w:jc w:val="center"/>
              <w:rPr>
                <w:b/>
                <w:color w:val="000000"/>
                <w:sz w:val="24"/>
                <w:szCs w:val="24"/>
              </w:rPr>
            </w:pPr>
            <w:r w:rsidRPr="00A61D4C">
              <w:rPr>
                <w:b/>
                <w:color w:val="000000"/>
                <w:sz w:val="24"/>
                <w:szCs w:val="24"/>
              </w:rPr>
              <w:t>Z-Value</w:t>
            </w:r>
          </w:p>
        </w:tc>
      </w:tr>
      <w:tr w:rsidR="0031081B" w:rsidRPr="00A61D4C" w14:paraId="498CDE54" w14:textId="77777777" w:rsidTr="00A61D4C">
        <w:tc>
          <w:tcPr>
            <w:tcW w:w="1172" w:type="pct"/>
          </w:tcPr>
          <w:p w14:paraId="30D956BA" w14:textId="77777777" w:rsidR="0031081B" w:rsidRPr="00A61D4C" w:rsidRDefault="0031081B" w:rsidP="003F7DA9">
            <w:pPr>
              <w:spacing w:before="20" w:after="20"/>
              <w:jc w:val="both"/>
              <w:rPr>
                <w:color w:val="000000"/>
                <w:sz w:val="24"/>
                <w:szCs w:val="24"/>
              </w:rPr>
            </w:pPr>
            <w:r w:rsidRPr="00A61D4C">
              <w:rPr>
                <w:color w:val="000000"/>
                <w:sz w:val="24"/>
                <w:szCs w:val="24"/>
              </w:rPr>
              <w:t>Uncaring</w:t>
            </w:r>
          </w:p>
        </w:tc>
        <w:tc>
          <w:tcPr>
            <w:tcW w:w="1193" w:type="pct"/>
            <w:vAlign w:val="bottom"/>
          </w:tcPr>
          <w:p w14:paraId="1CE0E1D5"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10.87±4.94</w:t>
            </w:r>
          </w:p>
        </w:tc>
        <w:tc>
          <w:tcPr>
            <w:tcW w:w="1346" w:type="pct"/>
            <w:vAlign w:val="bottom"/>
          </w:tcPr>
          <w:p w14:paraId="7A446E0F"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9.55±5.54</w:t>
            </w:r>
          </w:p>
        </w:tc>
        <w:tc>
          <w:tcPr>
            <w:tcW w:w="1289" w:type="pct"/>
            <w:vAlign w:val="bottom"/>
          </w:tcPr>
          <w:p w14:paraId="2E3F32CE"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1.21</w:t>
            </w:r>
          </w:p>
        </w:tc>
      </w:tr>
      <w:tr w:rsidR="0031081B" w:rsidRPr="00A61D4C" w14:paraId="02ABB298" w14:textId="77777777" w:rsidTr="00A61D4C">
        <w:tc>
          <w:tcPr>
            <w:tcW w:w="1172" w:type="pct"/>
          </w:tcPr>
          <w:p w14:paraId="3C3A2005" w14:textId="77777777" w:rsidR="0031081B" w:rsidRPr="00A61D4C" w:rsidRDefault="0031081B" w:rsidP="003F7DA9">
            <w:pPr>
              <w:spacing w:before="20" w:after="20"/>
              <w:jc w:val="both"/>
              <w:rPr>
                <w:color w:val="000000"/>
                <w:sz w:val="24"/>
                <w:szCs w:val="24"/>
              </w:rPr>
            </w:pPr>
            <w:r w:rsidRPr="00A61D4C">
              <w:rPr>
                <w:color w:val="000000"/>
                <w:sz w:val="24"/>
                <w:szCs w:val="24"/>
              </w:rPr>
              <w:t>Unemotional</w:t>
            </w:r>
          </w:p>
        </w:tc>
        <w:tc>
          <w:tcPr>
            <w:tcW w:w="1193" w:type="pct"/>
            <w:vAlign w:val="bottom"/>
          </w:tcPr>
          <w:p w14:paraId="1CEB420D"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5.10±3.77</w:t>
            </w:r>
          </w:p>
        </w:tc>
        <w:tc>
          <w:tcPr>
            <w:tcW w:w="1346" w:type="pct"/>
            <w:vAlign w:val="bottom"/>
          </w:tcPr>
          <w:p w14:paraId="0851A539"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5.05±3.75</w:t>
            </w:r>
          </w:p>
        </w:tc>
        <w:tc>
          <w:tcPr>
            <w:tcW w:w="1289" w:type="pct"/>
            <w:vAlign w:val="bottom"/>
          </w:tcPr>
          <w:p w14:paraId="3F3C2D89"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0.06</w:t>
            </w:r>
          </w:p>
        </w:tc>
      </w:tr>
      <w:tr w:rsidR="0031081B" w:rsidRPr="00A61D4C" w14:paraId="611D4CDF" w14:textId="77777777" w:rsidTr="00A61D4C">
        <w:tc>
          <w:tcPr>
            <w:tcW w:w="1172" w:type="pct"/>
          </w:tcPr>
          <w:p w14:paraId="0FEF322F" w14:textId="77777777" w:rsidR="0031081B" w:rsidRPr="00A61D4C" w:rsidRDefault="0031081B" w:rsidP="003F7DA9">
            <w:pPr>
              <w:spacing w:before="20" w:after="20"/>
              <w:jc w:val="both"/>
              <w:rPr>
                <w:color w:val="000000"/>
                <w:sz w:val="24"/>
                <w:szCs w:val="24"/>
              </w:rPr>
            </w:pPr>
            <w:r w:rsidRPr="00A61D4C">
              <w:rPr>
                <w:color w:val="000000"/>
                <w:sz w:val="24"/>
                <w:szCs w:val="24"/>
              </w:rPr>
              <w:lastRenderedPageBreak/>
              <w:t>Callousness</w:t>
            </w:r>
          </w:p>
        </w:tc>
        <w:tc>
          <w:tcPr>
            <w:tcW w:w="1193" w:type="pct"/>
            <w:vAlign w:val="bottom"/>
          </w:tcPr>
          <w:p w14:paraId="6664FB0F"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10.62±6.00</w:t>
            </w:r>
          </w:p>
        </w:tc>
        <w:tc>
          <w:tcPr>
            <w:tcW w:w="1346" w:type="pct"/>
            <w:vAlign w:val="bottom"/>
          </w:tcPr>
          <w:p w14:paraId="4B0051F4"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8.1±4.97</w:t>
            </w:r>
          </w:p>
        </w:tc>
        <w:tc>
          <w:tcPr>
            <w:tcW w:w="1289" w:type="pct"/>
            <w:vAlign w:val="bottom"/>
          </w:tcPr>
          <w:p w14:paraId="6654DFDF"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2.28*</w:t>
            </w:r>
          </w:p>
        </w:tc>
      </w:tr>
      <w:tr w:rsidR="0031081B" w:rsidRPr="00A61D4C" w14:paraId="692DF46D" w14:textId="77777777" w:rsidTr="00A61D4C">
        <w:tc>
          <w:tcPr>
            <w:tcW w:w="1172" w:type="pct"/>
          </w:tcPr>
          <w:p w14:paraId="3C1ADF34" w14:textId="77777777" w:rsidR="0031081B" w:rsidRPr="00A61D4C" w:rsidRDefault="0031081B" w:rsidP="003F7DA9">
            <w:pPr>
              <w:spacing w:before="20" w:after="20"/>
              <w:jc w:val="both"/>
              <w:rPr>
                <w:color w:val="000000"/>
                <w:sz w:val="24"/>
                <w:szCs w:val="24"/>
              </w:rPr>
            </w:pPr>
            <w:r w:rsidRPr="00A61D4C">
              <w:rPr>
                <w:color w:val="000000"/>
                <w:sz w:val="24"/>
                <w:szCs w:val="24"/>
              </w:rPr>
              <w:t>Total</w:t>
            </w:r>
          </w:p>
        </w:tc>
        <w:tc>
          <w:tcPr>
            <w:tcW w:w="1193" w:type="pct"/>
            <w:vAlign w:val="bottom"/>
          </w:tcPr>
          <w:p w14:paraId="6DF19FB6"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26.58±10.38</w:t>
            </w:r>
          </w:p>
        </w:tc>
        <w:tc>
          <w:tcPr>
            <w:tcW w:w="1346" w:type="pct"/>
            <w:vAlign w:val="bottom"/>
          </w:tcPr>
          <w:p w14:paraId="6988F071"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22.72±10.68</w:t>
            </w:r>
          </w:p>
        </w:tc>
        <w:tc>
          <w:tcPr>
            <w:tcW w:w="1289" w:type="pct"/>
            <w:vAlign w:val="bottom"/>
          </w:tcPr>
          <w:p w14:paraId="457D0B79"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2.59*</w:t>
            </w:r>
          </w:p>
        </w:tc>
      </w:tr>
    </w:tbl>
    <w:p w14:paraId="2306E0C7" w14:textId="77777777" w:rsidR="00DD6623" w:rsidRPr="00B85482" w:rsidRDefault="00A61D4C" w:rsidP="00B85482">
      <w:pPr>
        <w:spacing w:line="360" w:lineRule="auto"/>
        <w:jc w:val="both"/>
        <w:rPr>
          <w:color w:val="000000"/>
          <w:sz w:val="24"/>
          <w:szCs w:val="24"/>
        </w:rPr>
      </w:pPr>
      <w:r w:rsidRPr="00A61D4C">
        <w:rPr>
          <w:color w:val="000000"/>
          <w:sz w:val="24"/>
          <w:szCs w:val="24"/>
        </w:rPr>
        <w:t xml:space="preserve"> </w:t>
      </w:r>
      <w:r w:rsidR="0031081B" w:rsidRPr="00A61D4C">
        <w:rPr>
          <w:color w:val="000000"/>
          <w:sz w:val="24"/>
          <w:szCs w:val="24"/>
        </w:rPr>
        <w:t xml:space="preserve">*: Significant at 0.05% </w:t>
      </w:r>
    </w:p>
    <w:p w14:paraId="59E9EA57" w14:textId="77777777" w:rsidR="00DD6623" w:rsidRDefault="00DD6623" w:rsidP="00A61D4C">
      <w:pPr>
        <w:rPr>
          <w:b/>
          <w:color w:val="000000"/>
          <w:sz w:val="24"/>
          <w:szCs w:val="24"/>
        </w:rPr>
      </w:pPr>
    </w:p>
    <w:p w14:paraId="7DCFE059" w14:textId="77777777" w:rsidR="0031081B" w:rsidRPr="00A61D4C" w:rsidRDefault="0031081B" w:rsidP="00A61D4C">
      <w:pPr>
        <w:rPr>
          <w:sz w:val="24"/>
          <w:szCs w:val="24"/>
        </w:rPr>
      </w:pPr>
      <w:r w:rsidRPr="00A61D4C">
        <w:rPr>
          <w:b/>
          <w:color w:val="000000"/>
          <w:sz w:val="24"/>
          <w:szCs w:val="24"/>
        </w:rPr>
        <w:t>Heritability estimate for callous-unemotional traits of twins</w:t>
      </w:r>
    </w:p>
    <w:p w14:paraId="2ADEA0E2" w14:textId="77777777" w:rsidR="0031081B" w:rsidRPr="00A61D4C" w:rsidRDefault="0031081B" w:rsidP="00A61D4C">
      <w:pPr>
        <w:spacing w:line="360" w:lineRule="auto"/>
        <w:ind w:firstLine="720"/>
        <w:jc w:val="both"/>
        <w:rPr>
          <w:color w:val="000000"/>
          <w:sz w:val="24"/>
          <w:szCs w:val="24"/>
        </w:rPr>
      </w:pPr>
      <w:r w:rsidRPr="00A61D4C">
        <w:rPr>
          <w:color w:val="000000"/>
          <w:sz w:val="24"/>
          <w:szCs w:val="24"/>
        </w:rPr>
        <w:t xml:space="preserve">The table 2 presents the heritability estimate for callous-unemotional traits of twins in the age group 6-9 years. As per the findings, the heritability estimate was 78.0 percent and the remaining 22.0 per cent variance in callous-unemotional traits of twins was due to environmental factors. The finding reveals that </w:t>
      </w:r>
      <w:r w:rsidRPr="00A61D4C">
        <w:rPr>
          <w:sz w:val="24"/>
          <w:szCs w:val="24"/>
        </w:rPr>
        <w:t xml:space="preserve">a </w:t>
      </w:r>
      <w:r w:rsidRPr="00A61D4C">
        <w:rPr>
          <w:rStyle w:val="Strong"/>
          <w:b w:val="0"/>
          <w:sz w:val="24"/>
          <w:szCs w:val="24"/>
        </w:rPr>
        <w:t>high genetic contribution</w:t>
      </w:r>
      <w:r w:rsidRPr="00A61D4C">
        <w:rPr>
          <w:sz w:val="24"/>
          <w:szCs w:val="24"/>
        </w:rPr>
        <w:t xml:space="preserve"> to the development of callous-unemotional traits among twins in the age group 6-9 years.</w:t>
      </w:r>
    </w:p>
    <w:p w14:paraId="39CEBCF8" w14:textId="77777777" w:rsidR="0031081B" w:rsidRPr="00A61D4C" w:rsidRDefault="0031081B" w:rsidP="00A61D4C">
      <w:pPr>
        <w:rPr>
          <w:sz w:val="24"/>
          <w:szCs w:val="24"/>
        </w:rPr>
      </w:pPr>
      <w:r w:rsidRPr="00A61D4C">
        <w:rPr>
          <w:b/>
          <w:color w:val="000000"/>
          <w:sz w:val="24"/>
          <w:szCs w:val="24"/>
        </w:rPr>
        <w:t>Table 2: Heritability estimate for callous-unemotional traits of twins</w:t>
      </w:r>
    </w:p>
    <w:tbl>
      <w:tblPr>
        <w:tblStyle w:val="TableGrid"/>
        <w:tblW w:w="5000" w:type="pct"/>
        <w:tblLook w:val="04A0" w:firstRow="1" w:lastRow="0" w:firstColumn="1" w:lastColumn="0" w:noHBand="0" w:noVBand="1"/>
      </w:tblPr>
      <w:tblGrid>
        <w:gridCol w:w="2880"/>
        <w:gridCol w:w="6470"/>
      </w:tblGrid>
      <w:tr w:rsidR="0031081B" w:rsidRPr="00A61D4C" w14:paraId="343DF250" w14:textId="77777777" w:rsidTr="00A61D4C">
        <w:tc>
          <w:tcPr>
            <w:tcW w:w="1540" w:type="pct"/>
          </w:tcPr>
          <w:p w14:paraId="4B3438C8" w14:textId="77777777" w:rsidR="0031081B" w:rsidRPr="00A61D4C" w:rsidRDefault="0031081B" w:rsidP="003F7DA9">
            <w:pPr>
              <w:rPr>
                <w:b/>
                <w:sz w:val="24"/>
                <w:szCs w:val="24"/>
              </w:rPr>
            </w:pPr>
            <w:r w:rsidRPr="00A61D4C">
              <w:rPr>
                <w:b/>
                <w:sz w:val="24"/>
                <w:szCs w:val="24"/>
              </w:rPr>
              <w:t>Age (years)</w:t>
            </w:r>
          </w:p>
        </w:tc>
        <w:tc>
          <w:tcPr>
            <w:tcW w:w="3460" w:type="pct"/>
          </w:tcPr>
          <w:p w14:paraId="2D731D76" w14:textId="77777777" w:rsidR="0031081B" w:rsidRPr="00A61D4C" w:rsidRDefault="0031081B" w:rsidP="003F7DA9">
            <w:pPr>
              <w:jc w:val="center"/>
              <w:rPr>
                <w:b/>
                <w:sz w:val="24"/>
                <w:szCs w:val="24"/>
              </w:rPr>
            </w:pPr>
            <w:r w:rsidRPr="00A61D4C">
              <w:rPr>
                <w:b/>
                <w:sz w:val="24"/>
                <w:szCs w:val="24"/>
              </w:rPr>
              <w:t>Heritability Estimate (%)</w:t>
            </w:r>
          </w:p>
        </w:tc>
      </w:tr>
      <w:tr w:rsidR="0031081B" w:rsidRPr="00A61D4C" w14:paraId="0780B72E" w14:textId="77777777" w:rsidTr="00A61D4C">
        <w:tc>
          <w:tcPr>
            <w:tcW w:w="1540" w:type="pct"/>
          </w:tcPr>
          <w:p w14:paraId="4785B49D" w14:textId="77777777" w:rsidR="0031081B" w:rsidRPr="00A61D4C" w:rsidRDefault="0031081B" w:rsidP="003F7DA9">
            <w:pPr>
              <w:rPr>
                <w:b/>
                <w:sz w:val="24"/>
                <w:szCs w:val="24"/>
              </w:rPr>
            </w:pPr>
            <w:r w:rsidRPr="00A61D4C">
              <w:rPr>
                <w:b/>
                <w:sz w:val="24"/>
                <w:szCs w:val="24"/>
              </w:rPr>
              <w:t>6-9</w:t>
            </w:r>
          </w:p>
        </w:tc>
        <w:tc>
          <w:tcPr>
            <w:tcW w:w="3460" w:type="pct"/>
          </w:tcPr>
          <w:p w14:paraId="6F6EC4CC" w14:textId="77777777" w:rsidR="0031081B" w:rsidRPr="00A61D4C" w:rsidRDefault="0031081B" w:rsidP="003F7DA9">
            <w:pPr>
              <w:jc w:val="center"/>
              <w:rPr>
                <w:sz w:val="24"/>
                <w:szCs w:val="24"/>
              </w:rPr>
            </w:pPr>
            <w:r w:rsidRPr="00A61D4C">
              <w:rPr>
                <w:sz w:val="24"/>
                <w:szCs w:val="24"/>
              </w:rPr>
              <w:t>78.00</w:t>
            </w:r>
          </w:p>
        </w:tc>
      </w:tr>
    </w:tbl>
    <w:p w14:paraId="700016EE" w14:textId="77777777" w:rsidR="0031081B" w:rsidRPr="00A61D4C" w:rsidRDefault="0031081B" w:rsidP="0031081B">
      <w:pPr>
        <w:widowControl/>
        <w:autoSpaceDE/>
        <w:autoSpaceDN/>
        <w:spacing w:after="200" w:line="276" w:lineRule="auto"/>
        <w:rPr>
          <w:b/>
          <w:bCs/>
          <w:color w:val="000000"/>
          <w:sz w:val="24"/>
          <w:szCs w:val="24"/>
        </w:rPr>
      </w:pPr>
    </w:p>
    <w:p w14:paraId="4E7CA3A4" w14:textId="77777777" w:rsidR="0031081B" w:rsidRPr="00A61D4C" w:rsidRDefault="0031081B" w:rsidP="00A61D4C">
      <w:pPr>
        <w:widowControl/>
        <w:autoSpaceDE/>
        <w:autoSpaceDN/>
        <w:spacing w:after="200" w:line="276" w:lineRule="auto"/>
        <w:rPr>
          <w:b/>
          <w:bCs/>
          <w:color w:val="000000"/>
          <w:sz w:val="24"/>
          <w:szCs w:val="24"/>
        </w:rPr>
      </w:pPr>
      <w:r w:rsidRPr="00A61D4C">
        <w:rPr>
          <w:b/>
          <w:bCs/>
          <w:color w:val="000000"/>
          <w:sz w:val="24"/>
          <w:szCs w:val="24"/>
        </w:rPr>
        <w:t>Associations between callous-unemotional traits and parental environment of twins</w:t>
      </w:r>
      <w:r w:rsidRPr="00A61D4C">
        <w:rPr>
          <w:b/>
          <w:bCs/>
          <w:color w:val="000000"/>
          <w:sz w:val="24"/>
          <w:szCs w:val="24"/>
        </w:rPr>
        <w:tab/>
      </w:r>
    </w:p>
    <w:p w14:paraId="1E9EBC19" w14:textId="77777777" w:rsidR="0031081B" w:rsidRPr="00A61D4C" w:rsidRDefault="0031081B" w:rsidP="00A61D4C">
      <w:pPr>
        <w:spacing w:line="360" w:lineRule="auto"/>
        <w:ind w:firstLine="720"/>
        <w:jc w:val="both"/>
        <w:rPr>
          <w:b/>
          <w:bCs/>
          <w:color w:val="000000"/>
          <w:sz w:val="24"/>
          <w:szCs w:val="24"/>
        </w:rPr>
      </w:pPr>
      <w:r w:rsidRPr="00A61D4C">
        <w:rPr>
          <w:sz w:val="24"/>
          <w:szCs w:val="24"/>
        </w:rPr>
        <w:t xml:space="preserve">Table 3 reveals the association between </w:t>
      </w:r>
      <w:r w:rsidRPr="00A61D4C">
        <w:rPr>
          <w:rStyle w:val="Strong"/>
          <w:b w:val="0"/>
          <w:sz w:val="24"/>
          <w:szCs w:val="24"/>
        </w:rPr>
        <w:t>callous-unemotional traits</w:t>
      </w:r>
      <w:r w:rsidRPr="00A61D4C">
        <w:rPr>
          <w:sz w:val="24"/>
          <w:szCs w:val="24"/>
        </w:rPr>
        <w:t xml:space="preserve"> of twins and various aspects of the </w:t>
      </w:r>
      <w:r w:rsidRPr="00A61D4C">
        <w:rPr>
          <w:rStyle w:val="Strong"/>
          <w:b w:val="0"/>
          <w:sz w:val="24"/>
          <w:szCs w:val="24"/>
        </w:rPr>
        <w:t>parental environment</w:t>
      </w:r>
      <w:r w:rsidRPr="00A61D4C">
        <w:rPr>
          <w:sz w:val="24"/>
          <w:szCs w:val="24"/>
        </w:rPr>
        <w:t xml:space="preserve"> and it was found that there were significant association of callous-unemotional traits of twins with inconsistent discipline (χ2=9.95), corporal punishment (χ2=7.89*) and overall parental environment (χ2=5.61*). These findings suggest that aspects such as </w:t>
      </w:r>
      <w:r w:rsidRPr="00A61D4C">
        <w:rPr>
          <w:rStyle w:val="Strong"/>
          <w:b w:val="0"/>
          <w:sz w:val="24"/>
          <w:szCs w:val="24"/>
        </w:rPr>
        <w:t>inconsistent discipline and corporal punishment</w:t>
      </w:r>
      <w:r w:rsidRPr="00A61D4C">
        <w:rPr>
          <w:b/>
          <w:sz w:val="24"/>
          <w:szCs w:val="24"/>
        </w:rPr>
        <w:t xml:space="preserve"> </w:t>
      </w:r>
      <w:r w:rsidRPr="00A61D4C">
        <w:rPr>
          <w:sz w:val="24"/>
          <w:szCs w:val="24"/>
        </w:rPr>
        <w:t>are significantly associated with higher level of callous-unemotional traits in twins and emphasizing the importance of a supportive and structured parental environment in the development of callous-unemotional traits.</w:t>
      </w:r>
    </w:p>
    <w:p w14:paraId="4AA2C5AD" w14:textId="77777777" w:rsidR="0031081B" w:rsidRPr="00A61D4C" w:rsidRDefault="0031081B" w:rsidP="00A61D4C">
      <w:pPr>
        <w:rPr>
          <w:b/>
          <w:bCs/>
          <w:color w:val="000000"/>
          <w:sz w:val="24"/>
          <w:szCs w:val="24"/>
        </w:rPr>
      </w:pPr>
      <w:r w:rsidRPr="00A61D4C">
        <w:rPr>
          <w:b/>
          <w:bCs/>
          <w:color w:val="000000"/>
          <w:sz w:val="24"/>
          <w:szCs w:val="24"/>
        </w:rPr>
        <w:t>Table 3: Associations between callous-unemotional traits and parental environment of twins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0"/>
        <w:gridCol w:w="1492"/>
        <w:gridCol w:w="1189"/>
        <w:gridCol w:w="1747"/>
        <w:gridCol w:w="2532"/>
      </w:tblGrid>
      <w:tr w:rsidR="0031081B" w:rsidRPr="00A61D4C" w14:paraId="6D696FA7" w14:textId="77777777" w:rsidTr="00A61D4C">
        <w:tc>
          <w:tcPr>
            <w:tcW w:w="1278" w:type="pct"/>
            <w:vMerge w:val="restart"/>
          </w:tcPr>
          <w:p w14:paraId="61865955" w14:textId="77777777" w:rsidR="0031081B" w:rsidRPr="00A61D4C" w:rsidRDefault="0031081B" w:rsidP="003F7DA9">
            <w:pPr>
              <w:tabs>
                <w:tab w:val="left" w:pos="2601"/>
              </w:tabs>
              <w:spacing w:before="20" w:after="20"/>
              <w:jc w:val="both"/>
              <w:rPr>
                <w:color w:val="000000"/>
                <w:sz w:val="24"/>
                <w:szCs w:val="24"/>
              </w:rPr>
            </w:pPr>
            <w:r w:rsidRPr="00A61D4C">
              <w:rPr>
                <w:b/>
                <w:color w:val="000000"/>
                <w:sz w:val="24"/>
                <w:szCs w:val="24"/>
              </w:rPr>
              <w:t>Parental Environment</w:t>
            </w:r>
          </w:p>
        </w:tc>
        <w:tc>
          <w:tcPr>
            <w:tcW w:w="3722" w:type="pct"/>
            <w:gridSpan w:val="4"/>
            <w:tcBorders>
              <w:right w:val="single" w:sz="4" w:space="0" w:color="auto"/>
            </w:tcBorders>
          </w:tcPr>
          <w:p w14:paraId="7A1E09C3"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Callous-unemotional traits</w:t>
            </w:r>
          </w:p>
        </w:tc>
      </w:tr>
      <w:tr w:rsidR="0031081B" w:rsidRPr="00A61D4C" w14:paraId="6FF13217" w14:textId="77777777" w:rsidTr="00A61D4C">
        <w:tc>
          <w:tcPr>
            <w:tcW w:w="1278" w:type="pct"/>
            <w:vMerge/>
          </w:tcPr>
          <w:p w14:paraId="00ED5694" w14:textId="77777777" w:rsidR="0031081B" w:rsidRPr="00A61D4C" w:rsidRDefault="0031081B" w:rsidP="003F7DA9">
            <w:pPr>
              <w:tabs>
                <w:tab w:val="left" w:pos="2601"/>
              </w:tabs>
              <w:spacing w:before="20" w:after="20"/>
              <w:jc w:val="both"/>
              <w:rPr>
                <w:b/>
                <w:color w:val="000000"/>
                <w:sz w:val="24"/>
                <w:szCs w:val="24"/>
              </w:rPr>
            </w:pPr>
          </w:p>
        </w:tc>
        <w:tc>
          <w:tcPr>
            <w:tcW w:w="798" w:type="pct"/>
          </w:tcPr>
          <w:p w14:paraId="2C1F1773"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Low</w:t>
            </w:r>
          </w:p>
        </w:tc>
        <w:tc>
          <w:tcPr>
            <w:tcW w:w="636" w:type="pct"/>
          </w:tcPr>
          <w:p w14:paraId="3FD36CA6"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High</w:t>
            </w:r>
          </w:p>
        </w:tc>
        <w:tc>
          <w:tcPr>
            <w:tcW w:w="934" w:type="pct"/>
            <w:tcBorders>
              <w:right w:val="single" w:sz="4" w:space="0" w:color="auto"/>
            </w:tcBorders>
          </w:tcPr>
          <w:p w14:paraId="2CFBE16D"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Total</w:t>
            </w:r>
          </w:p>
        </w:tc>
        <w:tc>
          <w:tcPr>
            <w:tcW w:w="1354" w:type="pct"/>
            <w:tcBorders>
              <w:left w:val="single" w:sz="4" w:space="0" w:color="auto"/>
            </w:tcBorders>
          </w:tcPr>
          <w:p w14:paraId="5603EEE9"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sym w:font="Symbol" w:char="F063"/>
            </w:r>
            <w:r w:rsidRPr="00A61D4C">
              <w:rPr>
                <w:b/>
                <w:color w:val="000000"/>
                <w:sz w:val="24"/>
                <w:szCs w:val="24"/>
              </w:rPr>
              <w:t xml:space="preserve">² </w:t>
            </w:r>
          </w:p>
        </w:tc>
      </w:tr>
      <w:tr w:rsidR="0031081B" w:rsidRPr="00A61D4C" w14:paraId="221EB0A2" w14:textId="77777777" w:rsidTr="00A61D4C">
        <w:tc>
          <w:tcPr>
            <w:tcW w:w="5000" w:type="pct"/>
            <w:gridSpan w:val="5"/>
            <w:tcBorders>
              <w:right w:val="single" w:sz="4" w:space="0" w:color="auto"/>
            </w:tcBorders>
          </w:tcPr>
          <w:p w14:paraId="131B8735" w14:textId="77777777" w:rsidR="0031081B" w:rsidRPr="00A61D4C" w:rsidRDefault="0031081B" w:rsidP="003F7DA9">
            <w:pPr>
              <w:tabs>
                <w:tab w:val="left" w:pos="2601"/>
              </w:tabs>
              <w:spacing w:before="20" w:after="20"/>
              <w:rPr>
                <w:b/>
                <w:color w:val="000000"/>
                <w:sz w:val="24"/>
                <w:szCs w:val="24"/>
              </w:rPr>
            </w:pPr>
            <w:r w:rsidRPr="00A61D4C">
              <w:rPr>
                <w:b/>
                <w:color w:val="000000"/>
                <w:sz w:val="24"/>
                <w:szCs w:val="24"/>
              </w:rPr>
              <w:t>Inconsistent discipline</w:t>
            </w:r>
          </w:p>
        </w:tc>
      </w:tr>
      <w:tr w:rsidR="0031081B" w:rsidRPr="00A61D4C" w14:paraId="04BA235E" w14:textId="77777777" w:rsidTr="00A61D4C">
        <w:tc>
          <w:tcPr>
            <w:tcW w:w="1278" w:type="pct"/>
          </w:tcPr>
          <w:p w14:paraId="0E6AE90F" w14:textId="77777777" w:rsidR="0031081B" w:rsidRPr="00A61D4C" w:rsidRDefault="0031081B" w:rsidP="003F7DA9">
            <w:pPr>
              <w:tabs>
                <w:tab w:val="left" w:pos="2601"/>
              </w:tabs>
              <w:spacing w:before="20" w:after="20"/>
              <w:jc w:val="both"/>
              <w:rPr>
                <w:bCs/>
                <w:color w:val="000000"/>
                <w:sz w:val="24"/>
                <w:szCs w:val="24"/>
              </w:rPr>
            </w:pPr>
            <w:r w:rsidRPr="00A61D4C">
              <w:rPr>
                <w:bCs/>
                <w:color w:val="000000"/>
                <w:sz w:val="24"/>
                <w:szCs w:val="24"/>
              </w:rPr>
              <w:t>Below average</w:t>
            </w:r>
          </w:p>
        </w:tc>
        <w:tc>
          <w:tcPr>
            <w:tcW w:w="798" w:type="pct"/>
          </w:tcPr>
          <w:p w14:paraId="367B8C63"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20</w:t>
            </w:r>
          </w:p>
        </w:tc>
        <w:tc>
          <w:tcPr>
            <w:tcW w:w="636" w:type="pct"/>
          </w:tcPr>
          <w:p w14:paraId="3CC584B0"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16</w:t>
            </w:r>
          </w:p>
        </w:tc>
        <w:tc>
          <w:tcPr>
            <w:tcW w:w="934" w:type="pct"/>
            <w:tcBorders>
              <w:right w:val="single" w:sz="4" w:space="0" w:color="auto"/>
            </w:tcBorders>
          </w:tcPr>
          <w:p w14:paraId="00801BCC"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36</w:t>
            </w:r>
          </w:p>
        </w:tc>
        <w:tc>
          <w:tcPr>
            <w:tcW w:w="1354" w:type="pct"/>
            <w:vMerge w:val="restart"/>
            <w:tcBorders>
              <w:right w:val="single" w:sz="4" w:space="0" w:color="auto"/>
            </w:tcBorders>
          </w:tcPr>
          <w:p w14:paraId="4DB71C01"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9.95*</w:t>
            </w:r>
          </w:p>
        </w:tc>
      </w:tr>
      <w:tr w:rsidR="0031081B" w:rsidRPr="00A61D4C" w14:paraId="567D03C8" w14:textId="77777777" w:rsidTr="00A61D4C">
        <w:tc>
          <w:tcPr>
            <w:tcW w:w="1278" w:type="pct"/>
          </w:tcPr>
          <w:p w14:paraId="73EB7349" w14:textId="77777777" w:rsidR="0031081B" w:rsidRPr="00A61D4C" w:rsidRDefault="0031081B" w:rsidP="003F7DA9">
            <w:pPr>
              <w:tabs>
                <w:tab w:val="left" w:pos="2601"/>
              </w:tabs>
              <w:spacing w:before="20" w:after="20"/>
              <w:jc w:val="both"/>
              <w:rPr>
                <w:bCs/>
                <w:color w:val="000000"/>
                <w:sz w:val="24"/>
                <w:szCs w:val="24"/>
              </w:rPr>
            </w:pPr>
            <w:r w:rsidRPr="00A61D4C">
              <w:rPr>
                <w:color w:val="000000"/>
                <w:sz w:val="24"/>
                <w:szCs w:val="24"/>
              </w:rPr>
              <w:t>Above average</w:t>
            </w:r>
          </w:p>
        </w:tc>
        <w:tc>
          <w:tcPr>
            <w:tcW w:w="798" w:type="pct"/>
          </w:tcPr>
          <w:p w14:paraId="2AB2A2D2"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54</w:t>
            </w:r>
          </w:p>
        </w:tc>
        <w:tc>
          <w:tcPr>
            <w:tcW w:w="636" w:type="pct"/>
          </w:tcPr>
          <w:p w14:paraId="221D09F7"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10</w:t>
            </w:r>
          </w:p>
        </w:tc>
        <w:tc>
          <w:tcPr>
            <w:tcW w:w="934" w:type="pct"/>
          </w:tcPr>
          <w:p w14:paraId="4F13FAA2"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64</w:t>
            </w:r>
          </w:p>
        </w:tc>
        <w:tc>
          <w:tcPr>
            <w:tcW w:w="1354" w:type="pct"/>
            <w:vMerge/>
            <w:tcBorders>
              <w:right w:val="single" w:sz="4" w:space="0" w:color="auto"/>
            </w:tcBorders>
          </w:tcPr>
          <w:p w14:paraId="4C82F1A4" w14:textId="77777777" w:rsidR="0031081B" w:rsidRPr="00A61D4C" w:rsidRDefault="0031081B" w:rsidP="003F7DA9">
            <w:pPr>
              <w:tabs>
                <w:tab w:val="left" w:pos="2601"/>
              </w:tabs>
              <w:spacing w:before="20" w:after="20"/>
              <w:jc w:val="center"/>
              <w:rPr>
                <w:color w:val="000000"/>
                <w:sz w:val="24"/>
                <w:szCs w:val="24"/>
              </w:rPr>
            </w:pPr>
          </w:p>
        </w:tc>
      </w:tr>
      <w:tr w:rsidR="0031081B" w:rsidRPr="00A61D4C" w14:paraId="20374001" w14:textId="77777777" w:rsidTr="00A61D4C">
        <w:tc>
          <w:tcPr>
            <w:tcW w:w="1278" w:type="pct"/>
          </w:tcPr>
          <w:p w14:paraId="1506FC61" w14:textId="77777777" w:rsidR="0031081B" w:rsidRPr="00A61D4C" w:rsidRDefault="0031081B" w:rsidP="003F7DA9">
            <w:pPr>
              <w:tabs>
                <w:tab w:val="left" w:pos="2601"/>
              </w:tabs>
              <w:spacing w:before="20" w:after="20"/>
              <w:jc w:val="both"/>
              <w:rPr>
                <w:bCs/>
                <w:color w:val="000000"/>
                <w:sz w:val="24"/>
                <w:szCs w:val="24"/>
              </w:rPr>
            </w:pPr>
            <w:r w:rsidRPr="00A61D4C">
              <w:rPr>
                <w:bCs/>
                <w:color w:val="000000"/>
                <w:sz w:val="24"/>
                <w:szCs w:val="24"/>
              </w:rPr>
              <w:t>Total</w:t>
            </w:r>
          </w:p>
        </w:tc>
        <w:tc>
          <w:tcPr>
            <w:tcW w:w="798" w:type="pct"/>
          </w:tcPr>
          <w:p w14:paraId="480CDE38"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74</w:t>
            </w:r>
          </w:p>
        </w:tc>
        <w:tc>
          <w:tcPr>
            <w:tcW w:w="636" w:type="pct"/>
          </w:tcPr>
          <w:p w14:paraId="30B5E109"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26</w:t>
            </w:r>
          </w:p>
        </w:tc>
        <w:tc>
          <w:tcPr>
            <w:tcW w:w="934" w:type="pct"/>
            <w:tcBorders>
              <w:right w:val="single" w:sz="4" w:space="0" w:color="auto"/>
            </w:tcBorders>
          </w:tcPr>
          <w:p w14:paraId="4C86F62D"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100</w:t>
            </w:r>
          </w:p>
        </w:tc>
        <w:tc>
          <w:tcPr>
            <w:tcW w:w="1354" w:type="pct"/>
            <w:vMerge/>
            <w:tcBorders>
              <w:right w:val="single" w:sz="4" w:space="0" w:color="auto"/>
            </w:tcBorders>
          </w:tcPr>
          <w:p w14:paraId="709F095E" w14:textId="77777777" w:rsidR="0031081B" w:rsidRPr="00A61D4C" w:rsidRDefault="0031081B" w:rsidP="003F7DA9">
            <w:pPr>
              <w:tabs>
                <w:tab w:val="left" w:pos="2601"/>
              </w:tabs>
              <w:spacing w:before="20" w:after="20"/>
              <w:jc w:val="center"/>
              <w:rPr>
                <w:color w:val="000000"/>
                <w:sz w:val="24"/>
                <w:szCs w:val="24"/>
              </w:rPr>
            </w:pPr>
          </w:p>
        </w:tc>
      </w:tr>
      <w:tr w:rsidR="0031081B" w:rsidRPr="00A61D4C" w14:paraId="628CCE21" w14:textId="77777777" w:rsidTr="00A61D4C">
        <w:tc>
          <w:tcPr>
            <w:tcW w:w="2712" w:type="pct"/>
            <w:gridSpan w:val="3"/>
            <w:tcBorders>
              <w:right w:val="single" w:sz="4" w:space="0" w:color="auto"/>
            </w:tcBorders>
          </w:tcPr>
          <w:p w14:paraId="029F2CBA" w14:textId="77777777" w:rsidR="0031081B" w:rsidRPr="00A61D4C" w:rsidRDefault="0031081B" w:rsidP="003F7DA9">
            <w:pPr>
              <w:tabs>
                <w:tab w:val="left" w:pos="2601"/>
              </w:tabs>
              <w:spacing w:before="20" w:after="20"/>
              <w:jc w:val="both"/>
              <w:rPr>
                <w:b/>
                <w:color w:val="000000"/>
                <w:sz w:val="24"/>
                <w:szCs w:val="24"/>
              </w:rPr>
            </w:pPr>
            <w:r w:rsidRPr="00A61D4C">
              <w:rPr>
                <w:b/>
                <w:color w:val="000000"/>
                <w:sz w:val="24"/>
                <w:szCs w:val="24"/>
              </w:rPr>
              <w:t>Corporal punishment</w:t>
            </w:r>
          </w:p>
        </w:tc>
        <w:tc>
          <w:tcPr>
            <w:tcW w:w="2288" w:type="pct"/>
            <w:gridSpan w:val="2"/>
            <w:tcBorders>
              <w:right w:val="single" w:sz="4" w:space="0" w:color="auto"/>
            </w:tcBorders>
          </w:tcPr>
          <w:p w14:paraId="2F837E30" w14:textId="77777777" w:rsidR="0031081B" w:rsidRPr="00A61D4C" w:rsidRDefault="0031081B" w:rsidP="003F7DA9">
            <w:pPr>
              <w:tabs>
                <w:tab w:val="left" w:pos="2601"/>
              </w:tabs>
              <w:spacing w:before="20" w:after="20"/>
              <w:jc w:val="center"/>
              <w:rPr>
                <w:b/>
                <w:color w:val="000000"/>
                <w:sz w:val="24"/>
                <w:szCs w:val="24"/>
              </w:rPr>
            </w:pPr>
          </w:p>
        </w:tc>
      </w:tr>
      <w:tr w:rsidR="0031081B" w:rsidRPr="00A61D4C" w14:paraId="24BADDF9" w14:textId="77777777" w:rsidTr="00A61D4C">
        <w:tc>
          <w:tcPr>
            <w:tcW w:w="1278" w:type="pct"/>
          </w:tcPr>
          <w:p w14:paraId="4ECCBEE6" w14:textId="77777777" w:rsidR="0031081B" w:rsidRPr="00A61D4C" w:rsidRDefault="0031081B" w:rsidP="003F7DA9">
            <w:pPr>
              <w:tabs>
                <w:tab w:val="left" w:pos="2601"/>
              </w:tabs>
              <w:spacing w:before="20" w:after="20"/>
              <w:jc w:val="both"/>
              <w:rPr>
                <w:bCs/>
                <w:color w:val="000000"/>
                <w:sz w:val="24"/>
                <w:szCs w:val="24"/>
              </w:rPr>
            </w:pPr>
            <w:r w:rsidRPr="00A61D4C">
              <w:rPr>
                <w:bCs/>
                <w:color w:val="000000"/>
                <w:sz w:val="24"/>
                <w:szCs w:val="24"/>
              </w:rPr>
              <w:t>Below average</w:t>
            </w:r>
          </w:p>
        </w:tc>
        <w:tc>
          <w:tcPr>
            <w:tcW w:w="798" w:type="pct"/>
          </w:tcPr>
          <w:p w14:paraId="1FC46183"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25</w:t>
            </w:r>
          </w:p>
        </w:tc>
        <w:tc>
          <w:tcPr>
            <w:tcW w:w="636" w:type="pct"/>
          </w:tcPr>
          <w:p w14:paraId="4BDD9DE7"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17</w:t>
            </w:r>
          </w:p>
        </w:tc>
        <w:tc>
          <w:tcPr>
            <w:tcW w:w="934" w:type="pct"/>
            <w:tcBorders>
              <w:right w:val="single" w:sz="4" w:space="0" w:color="auto"/>
            </w:tcBorders>
          </w:tcPr>
          <w:p w14:paraId="0FFF936B"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42</w:t>
            </w:r>
          </w:p>
        </w:tc>
        <w:tc>
          <w:tcPr>
            <w:tcW w:w="1354" w:type="pct"/>
            <w:vMerge w:val="restart"/>
            <w:tcBorders>
              <w:right w:val="single" w:sz="4" w:space="0" w:color="auto"/>
            </w:tcBorders>
          </w:tcPr>
          <w:p w14:paraId="5AC723F2"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7.89*</w:t>
            </w:r>
          </w:p>
        </w:tc>
      </w:tr>
      <w:tr w:rsidR="0031081B" w:rsidRPr="00A61D4C" w14:paraId="062BFD99" w14:textId="77777777" w:rsidTr="00A61D4C">
        <w:tc>
          <w:tcPr>
            <w:tcW w:w="1278" w:type="pct"/>
          </w:tcPr>
          <w:p w14:paraId="2FE251E1" w14:textId="77777777" w:rsidR="0031081B" w:rsidRPr="00A61D4C" w:rsidRDefault="0031081B" w:rsidP="003F7DA9">
            <w:pPr>
              <w:tabs>
                <w:tab w:val="left" w:pos="2601"/>
              </w:tabs>
              <w:spacing w:before="20" w:after="20"/>
              <w:jc w:val="both"/>
              <w:rPr>
                <w:bCs/>
                <w:color w:val="000000"/>
                <w:sz w:val="24"/>
                <w:szCs w:val="24"/>
              </w:rPr>
            </w:pPr>
            <w:r w:rsidRPr="00A61D4C">
              <w:rPr>
                <w:color w:val="000000"/>
                <w:sz w:val="24"/>
                <w:szCs w:val="24"/>
              </w:rPr>
              <w:t>Above average</w:t>
            </w:r>
          </w:p>
        </w:tc>
        <w:tc>
          <w:tcPr>
            <w:tcW w:w="798" w:type="pct"/>
          </w:tcPr>
          <w:p w14:paraId="186BF5F7"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49</w:t>
            </w:r>
          </w:p>
        </w:tc>
        <w:tc>
          <w:tcPr>
            <w:tcW w:w="636" w:type="pct"/>
          </w:tcPr>
          <w:p w14:paraId="00C7B450"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09</w:t>
            </w:r>
          </w:p>
        </w:tc>
        <w:tc>
          <w:tcPr>
            <w:tcW w:w="934" w:type="pct"/>
            <w:tcBorders>
              <w:right w:val="single" w:sz="4" w:space="0" w:color="auto"/>
            </w:tcBorders>
          </w:tcPr>
          <w:p w14:paraId="085D21A8"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58</w:t>
            </w:r>
          </w:p>
        </w:tc>
        <w:tc>
          <w:tcPr>
            <w:tcW w:w="1354" w:type="pct"/>
            <w:vMerge/>
            <w:tcBorders>
              <w:left w:val="single" w:sz="4" w:space="0" w:color="auto"/>
              <w:right w:val="single" w:sz="4" w:space="0" w:color="auto"/>
            </w:tcBorders>
          </w:tcPr>
          <w:p w14:paraId="77E0CD2C" w14:textId="77777777" w:rsidR="0031081B" w:rsidRPr="00A61D4C" w:rsidRDefault="0031081B" w:rsidP="003F7DA9">
            <w:pPr>
              <w:tabs>
                <w:tab w:val="left" w:pos="2601"/>
              </w:tabs>
              <w:spacing w:before="20" w:after="20"/>
              <w:jc w:val="center"/>
              <w:rPr>
                <w:color w:val="000000"/>
                <w:sz w:val="24"/>
                <w:szCs w:val="24"/>
              </w:rPr>
            </w:pPr>
          </w:p>
        </w:tc>
      </w:tr>
      <w:tr w:rsidR="0031081B" w:rsidRPr="00A61D4C" w14:paraId="2C888EFF" w14:textId="77777777" w:rsidTr="00A61D4C">
        <w:tc>
          <w:tcPr>
            <w:tcW w:w="1278" w:type="pct"/>
          </w:tcPr>
          <w:p w14:paraId="60AC81F7" w14:textId="77777777" w:rsidR="0031081B" w:rsidRPr="00A61D4C" w:rsidRDefault="0031081B" w:rsidP="003F7DA9">
            <w:pPr>
              <w:tabs>
                <w:tab w:val="left" w:pos="2601"/>
              </w:tabs>
              <w:spacing w:before="20" w:after="20"/>
              <w:jc w:val="both"/>
              <w:rPr>
                <w:bCs/>
                <w:color w:val="000000"/>
                <w:sz w:val="24"/>
                <w:szCs w:val="24"/>
              </w:rPr>
            </w:pPr>
            <w:r w:rsidRPr="00A61D4C">
              <w:rPr>
                <w:bCs/>
                <w:color w:val="000000"/>
                <w:sz w:val="24"/>
                <w:szCs w:val="24"/>
              </w:rPr>
              <w:t>Total</w:t>
            </w:r>
          </w:p>
        </w:tc>
        <w:tc>
          <w:tcPr>
            <w:tcW w:w="798" w:type="pct"/>
          </w:tcPr>
          <w:p w14:paraId="5502C116"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74</w:t>
            </w:r>
          </w:p>
        </w:tc>
        <w:tc>
          <w:tcPr>
            <w:tcW w:w="636" w:type="pct"/>
          </w:tcPr>
          <w:p w14:paraId="65B65975"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26</w:t>
            </w:r>
          </w:p>
        </w:tc>
        <w:tc>
          <w:tcPr>
            <w:tcW w:w="934" w:type="pct"/>
            <w:tcBorders>
              <w:right w:val="single" w:sz="4" w:space="0" w:color="auto"/>
            </w:tcBorders>
          </w:tcPr>
          <w:p w14:paraId="1F92CFFF"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100</w:t>
            </w:r>
          </w:p>
        </w:tc>
        <w:tc>
          <w:tcPr>
            <w:tcW w:w="1354" w:type="pct"/>
            <w:vMerge/>
            <w:tcBorders>
              <w:right w:val="single" w:sz="4" w:space="0" w:color="auto"/>
            </w:tcBorders>
          </w:tcPr>
          <w:p w14:paraId="5E423217" w14:textId="77777777" w:rsidR="0031081B" w:rsidRPr="00A61D4C" w:rsidRDefault="0031081B" w:rsidP="003F7DA9">
            <w:pPr>
              <w:tabs>
                <w:tab w:val="left" w:pos="2601"/>
              </w:tabs>
              <w:spacing w:before="20" w:after="20"/>
              <w:jc w:val="center"/>
              <w:rPr>
                <w:color w:val="000000"/>
                <w:sz w:val="24"/>
                <w:szCs w:val="24"/>
              </w:rPr>
            </w:pPr>
          </w:p>
        </w:tc>
      </w:tr>
      <w:tr w:rsidR="0031081B" w:rsidRPr="00A61D4C" w14:paraId="4A952DF1" w14:textId="77777777" w:rsidTr="00A61D4C">
        <w:tc>
          <w:tcPr>
            <w:tcW w:w="5000" w:type="pct"/>
            <w:gridSpan w:val="5"/>
            <w:tcBorders>
              <w:right w:val="single" w:sz="4" w:space="0" w:color="auto"/>
            </w:tcBorders>
          </w:tcPr>
          <w:p w14:paraId="0DE2A308" w14:textId="77777777" w:rsidR="0031081B" w:rsidRPr="00A61D4C" w:rsidRDefault="0031081B" w:rsidP="003F7DA9">
            <w:pPr>
              <w:tabs>
                <w:tab w:val="left" w:pos="2601"/>
              </w:tabs>
              <w:spacing w:before="20" w:after="20"/>
              <w:rPr>
                <w:b/>
                <w:color w:val="000000"/>
                <w:sz w:val="24"/>
                <w:szCs w:val="24"/>
              </w:rPr>
            </w:pPr>
            <w:r w:rsidRPr="00A61D4C">
              <w:rPr>
                <w:b/>
                <w:color w:val="000000"/>
                <w:sz w:val="24"/>
                <w:szCs w:val="24"/>
              </w:rPr>
              <w:t>Overall parental environment</w:t>
            </w:r>
          </w:p>
        </w:tc>
      </w:tr>
      <w:tr w:rsidR="0031081B" w:rsidRPr="00A61D4C" w14:paraId="391668F4" w14:textId="77777777" w:rsidTr="00A61D4C">
        <w:tc>
          <w:tcPr>
            <w:tcW w:w="1278" w:type="pct"/>
          </w:tcPr>
          <w:p w14:paraId="58104DB1" w14:textId="77777777" w:rsidR="0031081B" w:rsidRPr="00A61D4C" w:rsidRDefault="0031081B" w:rsidP="003F7DA9">
            <w:pPr>
              <w:tabs>
                <w:tab w:val="left" w:pos="2601"/>
              </w:tabs>
              <w:spacing w:before="20" w:after="20"/>
              <w:jc w:val="both"/>
              <w:rPr>
                <w:bCs/>
                <w:color w:val="000000"/>
                <w:sz w:val="24"/>
                <w:szCs w:val="24"/>
              </w:rPr>
            </w:pPr>
            <w:r w:rsidRPr="00A61D4C">
              <w:rPr>
                <w:bCs/>
                <w:color w:val="000000"/>
                <w:sz w:val="24"/>
                <w:szCs w:val="24"/>
              </w:rPr>
              <w:lastRenderedPageBreak/>
              <w:t>Below average</w:t>
            </w:r>
          </w:p>
        </w:tc>
        <w:tc>
          <w:tcPr>
            <w:tcW w:w="798" w:type="pct"/>
          </w:tcPr>
          <w:p w14:paraId="048162A9"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14</w:t>
            </w:r>
          </w:p>
        </w:tc>
        <w:tc>
          <w:tcPr>
            <w:tcW w:w="636" w:type="pct"/>
          </w:tcPr>
          <w:p w14:paraId="72B29B53"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11</w:t>
            </w:r>
          </w:p>
        </w:tc>
        <w:tc>
          <w:tcPr>
            <w:tcW w:w="934" w:type="pct"/>
          </w:tcPr>
          <w:p w14:paraId="48FDA641"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25</w:t>
            </w:r>
          </w:p>
        </w:tc>
        <w:tc>
          <w:tcPr>
            <w:tcW w:w="1354" w:type="pct"/>
            <w:vMerge w:val="restart"/>
          </w:tcPr>
          <w:p w14:paraId="45DFE30E"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5.61*</w:t>
            </w:r>
          </w:p>
        </w:tc>
      </w:tr>
      <w:tr w:rsidR="0031081B" w:rsidRPr="00A61D4C" w14:paraId="19272E63" w14:textId="77777777" w:rsidTr="00A61D4C">
        <w:tc>
          <w:tcPr>
            <w:tcW w:w="1278" w:type="pct"/>
          </w:tcPr>
          <w:p w14:paraId="2BC51C74" w14:textId="77777777" w:rsidR="0031081B" w:rsidRPr="00A61D4C" w:rsidRDefault="0031081B" w:rsidP="003F7DA9">
            <w:pPr>
              <w:tabs>
                <w:tab w:val="left" w:pos="2601"/>
              </w:tabs>
              <w:spacing w:before="20" w:after="20"/>
              <w:jc w:val="both"/>
              <w:rPr>
                <w:bCs/>
                <w:color w:val="000000"/>
                <w:sz w:val="24"/>
                <w:szCs w:val="24"/>
              </w:rPr>
            </w:pPr>
            <w:r w:rsidRPr="00A61D4C">
              <w:rPr>
                <w:color w:val="000000"/>
                <w:sz w:val="24"/>
                <w:szCs w:val="24"/>
              </w:rPr>
              <w:t>Above average</w:t>
            </w:r>
          </w:p>
        </w:tc>
        <w:tc>
          <w:tcPr>
            <w:tcW w:w="798" w:type="pct"/>
          </w:tcPr>
          <w:p w14:paraId="43E15061"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60</w:t>
            </w:r>
          </w:p>
        </w:tc>
        <w:tc>
          <w:tcPr>
            <w:tcW w:w="636" w:type="pct"/>
          </w:tcPr>
          <w:p w14:paraId="35D56298"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15</w:t>
            </w:r>
          </w:p>
        </w:tc>
        <w:tc>
          <w:tcPr>
            <w:tcW w:w="934" w:type="pct"/>
          </w:tcPr>
          <w:p w14:paraId="56343463"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75</w:t>
            </w:r>
          </w:p>
        </w:tc>
        <w:tc>
          <w:tcPr>
            <w:tcW w:w="1354" w:type="pct"/>
            <w:vMerge/>
          </w:tcPr>
          <w:p w14:paraId="2BCAABA2" w14:textId="77777777" w:rsidR="0031081B" w:rsidRPr="00A61D4C" w:rsidRDefault="0031081B" w:rsidP="003F7DA9">
            <w:pPr>
              <w:tabs>
                <w:tab w:val="left" w:pos="2601"/>
              </w:tabs>
              <w:spacing w:before="20" w:after="20"/>
              <w:jc w:val="center"/>
              <w:rPr>
                <w:color w:val="000000"/>
                <w:sz w:val="24"/>
                <w:szCs w:val="24"/>
              </w:rPr>
            </w:pPr>
          </w:p>
        </w:tc>
      </w:tr>
      <w:tr w:rsidR="0031081B" w:rsidRPr="00A61D4C" w14:paraId="17A3ACDB" w14:textId="77777777" w:rsidTr="00A61D4C">
        <w:tc>
          <w:tcPr>
            <w:tcW w:w="1278" w:type="pct"/>
          </w:tcPr>
          <w:p w14:paraId="0F2B38DA" w14:textId="77777777" w:rsidR="0031081B" w:rsidRPr="00A61D4C" w:rsidRDefault="0031081B" w:rsidP="003F7DA9">
            <w:pPr>
              <w:tabs>
                <w:tab w:val="left" w:pos="2601"/>
              </w:tabs>
              <w:spacing w:before="20" w:after="20"/>
              <w:jc w:val="both"/>
              <w:rPr>
                <w:bCs/>
                <w:color w:val="000000"/>
                <w:sz w:val="24"/>
                <w:szCs w:val="24"/>
              </w:rPr>
            </w:pPr>
            <w:r w:rsidRPr="00A61D4C">
              <w:rPr>
                <w:bCs/>
                <w:color w:val="000000"/>
                <w:sz w:val="24"/>
                <w:szCs w:val="24"/>
              </w:rPr>
              <w:t>Total</w:t>
            </w:r>
          </w:p>
        </w:tc>
        <w:tc>
          <w:tcPr>
            <w:tcW w:w="798" w:type="pct"/>
          </w:tcPr>
          <w:p w14:paraId="0830AF1B"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74</w:t>
            </w:r>
          </w:p>
        </w:tc>
        <w:tc>
          <w:tcPr>
            <w:tcW w:w="636" w:type="pct"/>
          </w:tcPr>
          <w:p w14:paraId="4EBA6338"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26</w:t>
            </w:r>
          </w:p>
        </w:tc>
        <w:tc>
          <w:tcPr>
            <w:tcW w:w="934" w:type="pct"/>
          </w:tcPr>
          <w:p w14:paraId="5F7D2EF6"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100</w:t>
            </w:r>
          </w:p>
        </w:tc>
        <w:tc>
          <w:tcPr>
            <w:tcW w:w="1354" w:type="pct"/>
            <w:vMerge/>
          </w:tcPr>
          <w:p w14:paraId="607F887A" w14:textId="77777777" w:rsidR="0031081B" w:rsidRPr="00A61D4C" w:rsidRDefault="0031081B" w:rsidP="003F7DA9">
            <w:pPr>
              <w:tabs>
                <w:tab w:val="left" w:pos="2601"/>
              </w:tabs>
              <w:spacing w:before="20" w:after="20"/>
              <w:jc w:val="center"/>
              <w:rPr>
                <w:color w:val="000000"/>
                <w:sz w:val="24"/>
                <w:szCs w:val="24"/>
              </w:rPr>
            </w:pPr>
          </w:p>
        </w:tc>
      </w:tr>
    </w:tbl>
    <w:p w14:paraId="7D2AFCAF" w14:textId="77777777" w:rsidR="0031081B" w:rsidRDefault="0031081B" w:rsidP="0031081B">
      <w:pPr>
        <w:widowControl/>
        <w:autoSpaceDE/>
        <w:autoSpaceDN/>
        <w:spacing w:after="200" w:line="276" w:lineRule="auto"/>
        <w:rPr>
          <w:sz w:val="24"/>
          <w:szCs w:val="24"/>
        </w:rPr>
      </w:pPr>
    </w:p>
    <w:p w14:paraId="752CCF70" w14:textId="77777777" w:rsidR="00393E68" w:rsidRPr="00393E68" w:rsidRDefault="00393E68" w:rsidP="00393E68">
      <w:pPr>
        <w:pStyle w:val="Heading2"/>
        <w:spacing w:line="360" w:lineRule="auto"/>
        <w:jc w:val="both"/>
        <w:rPr>
          <w:rFonts w:ascii="Times New Roman" w:hAnsi="Times New Roman" w:cs="Times New Roman"/>
          <w:color w:val="auto"/>
          <w:sz w:val="24"/>
          <w:szCs w:val="24"/>
        </w:rPr>
      </w:pPr>
      <w:r w:rsidRPr="00393E68">
        <w:rPr>
          <w:rStyle w:val="Strong"/>
          <w:rFonts w:ascii="Times New Roman" w:hAnsi="Times New Roman" w:cs="Times New Roman"/>
          <w:bCs w:val="0"/>
          <w:color w:val="auto"/>
          <w:sz w:val="24"/>
          <w:szCs w:val="24"/>
        </w:rPr>
        <w:t>Discussion</w:t>
      </w:r>
    </w:p>
    <w:p w14:paraId="531F0448" w14:textId="77777777" w:rsidR="00393E68" w:rsidRPr="00393E68" w:rsidRDefault="00393E68" w:rsidP="00393E68">
      <w:pPr>
        <w:pStyle w:val="NormalWeb"/>
        <w:spacing w:line="360" w:lineRule="auto"/>
        <w:ind w:firstLine="720"/>
        <w:jc w:val="both"/>
      </w:pPr>
      <w:r w:rsidRPr="00393E68">
        <w:t>The present study explored the genetic and parental environmental architecture of callous-unemotional (CU) traits among twins during early childhood. The findings provide important insights into the distribution, genetic basis, and environmental correlates of CU traits.</w:t>
      </w:r>
    </w:p>
    <w:p w14:paraId="67F41D17" w14:textId="77777777" w:rsidR="00393E68" w:rsidRPr="00393E68" w:rsidRDefault="00393E68" w:rsidP="00393E68">
      <w:pPr>
        <w:pStyle w:val="NormalWeb"/>
        <w:spacing w:line="360" w:lineRule="auto"/>
        <w:ind w:firstLine="720"/>
        <w:jc w:val="both"/>
      </w:pPr>
      <w:r w:rsidRPr="00393E68">
        <w:t>The assessment of CU traits revealed that the majority of twins exhibited low levels across all dimensions, including uncari</w:t>
      </w:r>
      <w:r w:rsidR="00403AFB">
        <w:t>ng (57.0%), unemotional (57.0%)</w:t>
      </w:r>
      <w:r w:rsidRPr="00393E68">
        <w:t xml:space="preserve"> and callousness (53.0%), as well as overall CU traits (53.0%). Only a small proportion of children (3.0%) exhibited high levels. These findings are consistent with earlier and recent research indicating that CU traits are distributed along a continuum, with only a minority of children showing elevated levels (Frick et al., 2014; Craig et al., 2024). However, the presence of moderate levels among a substantial proportion (44.0%) suggests the need for early identification and intervention.</w:t>
      </w:r>
      <w:r>
        <w:t xml:space="preserve"> Furthermore, contemporary research highlights that CU traits are early emerging and associated with increased risk for persistent antisocial behavior (Frick, 2024).</w:t>
      </w:r>
    </w:p>
    <w:p w14:paraId="1B0CDA84" w14:textId="77777777" w:rsidR="00393E68" w:rsidRPr="00393E68" w:rsidRDefault="00393E68" w:rsidP="00393E68">
      <w:pPr>
        <w:pStyle w:val="NormalWeb"/>
        <w:spacing w:line="360" w:lineRule="auto"/>
        <w:ind w:firstLine="720"/>
        <w:jc w:val="both"/>
      </w:pPr>
      <w:r w:rsidRPr="00393E68">
        <w:t xml:space="preserve">The analysis of mean differences between monozygotic (MZ) and dizygotic (DZ) twins showed significant differences in callousness (Z = 2.28*) and overall CU traits (Z = 2.59*), with higher scores among MZ twins. No significant differences were observed in uncaring (Z = 1.21) and unemotional (Z = 0.06) traits. These findings support the role of genetic influences, as MZ twins share identical genetic makeup compared to DZ twins. Similar results have been reported by Viding et al. (2005) and more recently by Tomlinson et al. (2026), who identified strong genetic contributions to CU traits, particularly in affective components such as callousness. </w:t>
      </w:r>
      <w:r>
        <w:t>This supports the strong genetic basis of CU traits, as monozygotic twins share identical genetic makeup. Recent twin research further confirms that CU traits are highly heritable and genetically stable acro</w:t>
      </w:r>
      <w:r w:rsidR="008D5E0F">
        <w:t>ss childhood (Henry et al., 2018</w:t>
      </w:r>
      <w:r>
        <w:t>). Studies have also reported heritability estimates typically ranging from 45% to 67%, reinforcing the biological underpinnings of CU traits</w:t>
      </w:r>
    </w:p>
    <w:p w14:paraId="5727C7A7" w14:textId="77777777" w:rsidR="00393E68" w:rsidRPr="00393E68" w:rsidRDefault="00393E68" w:rsidP="00393E68">
      <w:pPr>
        <w:pStyle w:val="NormalWeb"/>
        <w:spacing w:line="360" w:lineRule="auto"/>
        <w:ind w:firstLine="720"/>
        <w:jc w:val="both"/>
      </w:pPr>
      <w:r w:rsidRPr="00393E68">
        <w:lastRenderedPageBreak/>
        <w:t>The heritability estimate (h² = 78.0%) further confirms a strong genetic basis for CU traits, with 22.0% of variance attributed to environmental influences. This finding is consistent with previous studies reporting moderate to high heritability estimates for CU traits (Moore et al., 2019; Hyde et al., 2022). These results reinforce the notion that while CU traits are largely heritable, environmental contexts play a significant role in their manifestation.</w:t>
      </w:r>
      <w:r>
        <w:t xml:space="preserve"> These findings align with contemporary evidence highlighting the role of adverse parenting practices in the development of CU traits. Recent studies indicate that harsh and inconsistent parenting, along with poor monitoring, are key environmental predictors of CU traits (</w:t>
      </w:r>
      <w:proofErr w:type="spellStart"/>
      <w:r>
        <w:t>Facci</w:t>
      </w:r>
      <w:proofErr w:type="spellEnd"/>
      <w:r>
        <w:t xml:space="preserve"> et al., 2024; Waller et al., 2013). Moreover, longitudinal research suggests bidirectional relationships, where negative parenting and CU traits may influence each other over time, although genetic factors remain dominant.</w:t>
      </w:r>
    </w:p>
    <w:p w14:paraId="2C23395F" w14:textId="77777777" w:rsidR="00393E68" w:rsidRPr="00393E68" w:rsidRDefault="00393E68" w:rsidP="00393E68">
      <w:pPr>
        <w:pStyle w:val="NormalWeb"/>
        <w:spacing w:line="360" w:lineRule="auto"/>
        <w:ind w:firstLine="720"/>
        <w:jc w:val="both"/>
      </w:pPr>
      <w:r w:rsidRPr="00393E68">
        <w:t>Regarding parental environment, significant associations were found between CU traits and inconsistent discipline (χ² = 9.95*), corporal punishment (χ² = 7.89*), and overall parental environment (χ² = 5.61*). These findings suggest that adverse parenting practices are strongly linked to higher levels of CU traits. This is in line with previous research demonstrating that harsh and inconsistent parenting practices contribute to the development of CU traits (Waller et al., 2013; Hawes et al., 2014; Hyde et al., 2022). Such environmental factors may interact with genetic predispositions, amplifying the expression of CU traits.</w:t>
      </w:r>
      <w:r>
        <w:t xml:space="preserve"> </w:t>
      </w:r>
      <w:r w:rsidR="00C16E79">
        <w:t>E</w:t>
      </w:r>
      <w:r>
        <w:t>merging research emphasizes that positive parenting and emotional warmth may buffer genetic risk and reduce the expression of CU traits. For instance, studies have shown that warm and responsive parenting can moderate genetic influences, thereby reducing the severity of CU traits (</w:t>
      </w:r>
      <w:proofErr w:type="spellStart"/>
      <w:r w:rsidR="008D4B1E" w:rsidRPr="00466514">
        <w:t>Perhamus</w:t>
      </w:r>
      <w:proofErr w:type="spellEnd"/>
      <w:r w:rsidR="008D4B1E">
        <w:t xml:space="preserve"> &amp; </w:t>
      </w:r>
      <w:proofErr w:type="spellStart"/>
      <w:r w:rsidR="008D4B1E" w:rsidRPr="00466514">
        <w:t>Ostrov</w:t>
      </w:r>
      <w:proofErr w:type="spellEnd"/>
      <w:r w:rsidR="008D4B1E">
        <w:t>,</w:t>
      </w:r>
      <w:r w:rsidR="008D4B1E" w:rsidRPr="00466514">
        <w:t xml:space="preserve"> </w:t>
      </w:r>
      <w:r w:rsidR="008D5E0F">
        <w:t>2025</w:t>
      </w:r>
      <w:r>
        <w:t>). This highlights the importance of considering gene–environment interaction in understanding child behavior.</w:t>
      </w:r>
    </w:p>
    <w:p w14:paraId="5E5CB3F9" w14:textId="77777777" w:rsidR="00393E68" w:rsidRDefault="00393E68" w:rsidP="00912509">
      <w:pPr>
        <w:pStyle w:val="NormalWeb"/>
        <w:spacing w:line="360" w:lineRule="auto"/>
        <w:ind w:firstLine="720"/>
        <w:jc w:val="both"/>
      </w:pPr>
      <w:r>
        <w:t xml:space="preserve"> T</w:t>
      </w:r>
      <w:r w:rsidRPr="00393E68">
        <w:t>he findings support the gene–environment interaction framework, emphasizing that CU traits are shaped by both inherited and environmental influences. While genetic factors appear to play a dominant role, the significant impact of parenting practices highlights the potential for early intervention. Reducing harsh disciplinary practices and promoting consistent and supportive parenting may be effective strategies in mitigating CU traits among children.</w:t>
      </w:r>
    </w:p>
    <w:p w14:paraId="257135B8" w14:textId="77777777" w:rsidR="005A2068" w:rsidRPr="005A2068" w:rsidRDefault="005A2068" w:rsidP="0031081B">
      <w:pPr>
        <w:widowControl/>
        <w:autoSpaceDE/>
        <w:autoSpaceDN/>
        <w:spacing w:after="200" w:line="276" w:lineRule="auto"/>
        <w:rPr>
          <w:b/>
          <w:sz w:val="24"/>
          <w:szCs w:val="24"/>
        </w:rPr>
      </w:pPr>
      <w:r w:rsidRPr="005A2068">
        <w:rPr>
          <w:b/>
          <w:sz w:val="24"/>
          <w:szCs w:val="24"/>
        </w:rPr>
        <w:t>Conclusion</w:t>
      </w:r>
    </w:p>
    <w:p w14:paraId="03269AA8" w14:textId="77777777" w:rsidR="005A2068" w:rsidRDefault="005A2068" w:rsidP="005A2068">
      <w:pPr>
        <w:pStyle w:val="NormalWeb"/>
        <w:spacing w:line="360" w:lineRule="auto"/>
        <w:ind w:firstLine="720"/>
        <w:jc w:val="both"/>
      </w:pPr>
      <w:r>
        <w:t xml:space="preserve">The present study provides robust evidence on the genetic and parental environmental underpinnings of callous-unemotional (CU) traits among twins during early childhood. Significant </w:t>
      </w:r>
      <w:r>
        <w:lastRenderedPageBreak/>
        <w:t>differences between monozygotic and dizygotic twins in callousness and overall CU traits, along with a high heritability estimate (78.0%), underscore the substantial role of genetic factors in the manifestation of these traits. Nevertheless, the contribution of environmental influences (22.0%) highlights the importance of contextual factors in shaping child behavior. The findings further demonstrate that adverse parenting practices, particularly inconsistent discipline and corporal punishment, are significantly associated with higher levels of CU traits, whereas broader positive parenting dimensions showed limited influence. This suggests that negative parenting behaviors may exert a stronger impact on the development of CU traits than positive practices alone. The study advances the understanding of CU traits by providing empirical evidence from a rural Indian context, emphasizing the dynamic interplay between genetic predispositions and modifiable environmental factors. The results indicate the critical need for early identification and intervention strategies that focus on promoting consistent and supportive parenting practices. Strengthening family-based approaches can play a pivotal role in mitigating CU traits and fostering healthier emotional and behavioral development among children.</w:t>
      </w:r>
    </w:p>
    <w:p w14:paraId="7B07C517" w14:textId="77777777" w:rsidR="008E0EDE" w:rsidRPr="008E0EDE" w:rsidRDefault="008E0EDE" w:rsidP="008E0EDE">
      <w:pPr>
        <w:pStyle w:val="NormalWeb"/>
        <w:spacing w:line="360" w:lineRule="auto"/>
        <w:jc w:val="both"/>
        <w:rPr>
          <w:b/>
        </w:rPr>
      </w:pPr>
      <w:r w:rsidRPr="008E0EDE">
        <w:rPr>
          <w:b/>
        </w:rPr>
        <w:t>Recommendations</w:t>
      </w:r>
    </w:p>
    <w:p w14:paraId="74210E0C" w14:textId="77777777" w:rsidR="008E0EDE" w:rsidRDefault="008E0EDE" w:rsidP="008E0EDE">
      <w:pPr>
        <w:pStyle w:val="NormalWeb"/>
        <w:spacing w:line="360" w:lineRule="auto"/>
        <w:jc w:val="both"/>
      </w:pPr>
      <w:r>
        <w:t>Early screening of callous-unemotional traits in children is essential for timely intervention. Parent-focused programs promoting consistent discipline, emotional warmth, and non-violent parenting should be encouraged. Awareness among parents and teachers, along with school-based socio-emotional learning programs, can help reduce such traits. Further large-scale and longitudinal studies in diverse I</w:t>
      </w:r>
      <w:r w:rsidR="00912509">
        <w:t>ndian settings are recommended.</w:t>
      </w:r>
    </w:p>
    <w:p w14:paraId="3324DB85" w14:textId="77777777" w:rsidR="008E0EDE" w:rsidRPr="008E0EDE" w:rsidRDefault="008E0EDE" w:rsidP="008E0EDE">
      <w:pPr>
        <w:pStyle w:val="NormalWeb"/>
        <w:spacing w:line="360" w:lineRule="auto"/>
        <w:jc w:val="both"/>
        <w:rPr>
          <w:b/>
        </w:rPr>
      </w:pPr>
      <w:r>
        <w:rPr>
          <w:b/>
        </w:rPr>
        <w:t>Limitations of the Study</w:t>
      </w:r>
    </w:p>
    <w:p w14:paraId="28064C38" w14:textId="77777777" w:rsidR="008E0EDE" w:rsidRDefault="008E0EDE" w:rsidP="008E0EDE">
      <w:pPr>
        <w:pStyle w:val="NormalWeb"/>
        <w:spacing w:line="360" w:lineRule="auto"/>
        <w:jc w:val="both"/>
      </w:pPr>
      <w:r>
        <w:t>The study is limited by a small sample size and its restriction to a single rural district, which may affect generalizability. The use of snowball sampling and reliance on parent-reported data may introduce bias. Additionally, the cross-sectional design limits causal interpretation, and heritability estimates based on Falconer’s formula provide only approximate results.</w:t>
      </w:r>
    </w:p>
    <w:p w14:paraId="14A6BE16" w14:textId="77777777" w:rsidR="00912509" w:rsidRDefault="00912509" w:rsidP="008E0EDE">
      <w:pPr>
        <w:pStyle w:val="NormalWeb"/>
        <w:spacing w:line="360" w:lineRule="auto"/>
        <w:jc w:val="both"/>
        <w:rPr>
          <w:b/>
        </w:rPr>
      </w:pPr>
    </w:p>
    <w:p w14:paraId="5BD71F3E" w14:textId="77777777" w:rsidR="00912509" w:rsidRDefault="00912509" w:rsidP="008E0EDE">
      <w:pPr>
        <w:pStyle w:val="NormalWeb"/>
        <w:spacing w:line="360" w:lineRule="auto"/>
        <w:jc w:val="both"/>
        <w:rPr>
          <w:b/>
        </w:rPr>
      </w:pPr>
    </w:p>
    <w:p w14:paraId="66D671C7" w14:textId="77777777" w:rsidR="008E0EDE" w:rsidRPr="008E0EDE" w:rsidRDefault="008E0EDE" w:rsidP="008E0EDE">
      <w:pPr>
        <w:pStyle w:val="NormalWeb"/>
        <w:spacing w:line="360" w:lineRule="auto"/>
        <w:jc w:val="both"/>
        <w:rPr>
          <w:b/>
        </w:rPr>
      </w:pPr>
      <w:r w:rsidRPr="008E0EDE">
        <w:rPr>
          <w:b/>
        </w:rPr>
        <w:lastRenderedPageBreak/>
        <w:t xml:space="preserve">Ethical Considerations and Consent </w:t>
      </w:r>
    </w:p>
    <w:p w14:paraId="4BD7BA7B" w14:textId="77777777" w:rsidR="008E0EDE" w:rsidRDefault="008E0EDE" w:rsidP="008E0EDE">
      <w:pPr>
        <w:pStyle w:val="NormalWeb"/>
        <w:spacing w:line="360" w:lineRule="auto"/>
        <w:jc w:val="both"/>
      </w:pPr>
      <w:r>
        <w:t xml:space="preserve">Informed consent was obtained from the parents or legal guardians of respondents prior to participation in the process of investigation. All procedures were conducted in accordance with ethical standards for research involving human subjects. </w:t>
      </w:r>
    </w:p>
    <w:p w14:paraId="2E19DCB2" w14:textId="77777777" w:rsidR="008E0EDE" w:rsidRPr="008E0EDE" w:rsidRDefault="008E0EDE" w:rsidP="008E0EDE">
      <w:pPr>
        <w:pStyle w:val="NormalWeb"/>
        <w:spacing w:line="360" w:lineRule="auto"/>
        <w:jc w:val="both"/>
        <w:rPr>
          <w:b/>
        </w:rPr>
      </w:pPr>
      <w:r>
        <w:t xml:space="preserve"> </w:t>
      </w:r>
      <w:r w:rsidRPr="008E0EDE">
        <w:rPr>
          <w:b/>
        </w:rPr>
        <w:t xml:space="preserve">Competing Interests </w:t>
      </w:r>
    </w:p>
    <w:p w14:paraId="3134749A" w14:textId="77777777" w:rsidR="008E0EDE" w:rsidRDefault="008E0EDE" w:rsidP="008E0EDE">
      <w:pPr>
        <w:pStyle w:val="NormalWeb"/>
        <w:spacing w:line="360" w:lineRule="auto"/>
        <w:jc w:val="both"/>
      </w:pPr>
      <w:r>
        <w:t>Authors have declared that no competing interests exist.</w:t>
      </w:r>
    </w:p>
    <w:p w14:paraId="446A0CEA" w14:textId="77777777" w:rsidR="00B85482" w:rsidRPr="003555A0" w:rsidRDefault="00B85482" w:rsidP="00B85482">
      <w:pPr>
        <w:pStyle w:val="Heading2"/>
        <w:rPr>
          <w:rFonts w:ascii="Times New Roman" w:hAnsi="Times New Roman" w:cs="Times New Roman"/>
          <w:color w:val="auto"/>
          <w:sz w:val="24"/>
          <w:szCs w:val="24"/>
        </w:rPr>
      </w:pPr>
      <w:r w:rsidRPr="003555A0">
        <w:rPr>
          <w:rStyle w:val="Strong"/>
          <w:rFonts w:ascii="Times New Roman" w:hAnsi="Times New Roman" w:cs="Times New Roman"/>
          <w:bCs w:val="0"/>
          <w:color w:val="auto"/>
          <w:sz w:val="24"/>
          <w:szCs w:val="24"/>
        </w:rPr>
        <w:t>References</w:t>
      </w:r>
    </w:p>
    <w:p w14:paraId="337E4619" w14:textId="77777777" w:rsidR="00CD34DD" w:rsidRDefault="00CD34DD" w:rsidP="00CD34DD">
      <w:pPr>
        <w:pStyle w:val="NormalWeb"/>
        <w:jc w:val="both"/>
      </w:pPr>
      <w:r>
        <w:t xml:space="preserve">Craig, S. G., Dawson, A., Chen, S., Moretti, M. M., &amp; Pepler, D. J. (2024). Callous-unemotional traits and attachment in children and adolescents: A systematic review. </w:t>
      </w:r>
      <w:r>
        <w:rPr>
          <w:rStyle w:val="Emphasis"/>
        </w:rPr>
        <w:t>Attachment &amp; Human Development, 26</w:t>
      </w:r>
      <w:r>
        <w:t>(2), 133–158.</w:t>
      </w:r>
    </w:p>
    <w:p w14:paraId="0E5405CD" w14:textId="77777777" w:rsidR="00CD34DD" w:rsidRDefault="00CD34DD" w:rsidP="00CD34DD">
      <w:pPr>
        <w:pStyle w:val="NormalWeb"/>
        <w:jc w:val="both"/>
      </w:pPr>
      <w:r>
        <w:t xml:space="preserve">Craig, S. G., Goulter, N., Moretti, M. M., &amp; McDonald, R. (2024). Callous-unemotional traits in childhood: A dimensional perspective and implications for early identification. </w:t>
      </w:r>
      <w:r>
        <w:rPr>
          <w:rStyle w:val="Emphasis"/>
        </w:rPr>
        <w:t>Journal of Child Psychology and Psychiatry, 65</w:t>
      </w:r>
      <w:r>
        <w:t>(2), 123–135.</w:t>
      </w:r>
    </w:p>
    <w:p w14:paraId="486F3F59" w14:textId="77777777" w:rsidR="00CD34DD" w:rsidRDefault="00CD34DD" w:rsidP="00CD34DD">
      <w:pPr>
        <w:pStyle w:val="NormalWeb"/>
        <w:jc w:val="both"/>
      </w:pPr>
      <w:proofErr w:type="spellStart"/>
      <w:r>
        <w:t>Facci</w:t>
      </w:r>
      <w:proofErr w:type="spellEnd"/>
      <w:r>
        <w:t xml:space="preserve">, C., Baroncelli, A., Frick, P. J., &amp; Ciucci, E. (2024). Dimensions of parenting and children’s conduct problems: The importance of considering children’s callous-unemotional traits. </w:t>
      </w:r>
      <w:r>
        <w:rPr>
          <w:rStyle w:val="Emphasis"/>
        </w:rPr>
        <w:t>International Journal of Environmental Research and Public Health, 21</w:t>
      </w:r>
      <w:r>
        <w:t xml:space="preserve">(6), 779. </w:t>
      </w:r>
    </w:p>
    <w:p w14:paraId="6EDE03CF" w14:textId="77777777" w:rsidR="00CD34DD" w:rsidRDefault="00CD34DD" w:rsidP="00CD34DD">
      <w:pPr>
        <w:pStyle w:val="NormalWeb"/>
        <w:jc w:val="both"/>
      </w:pPr>
      <w:r>
        <w:t xml:space="preserve">Frick, P. J. (2024). The influence of parenting on callous-unemotional traits and the implications for the causes and treatment of conduct disorder. </w:t>
      </w:r>
      <w:r>
        <w:rPr>
          <w:rStyle w:val="Emphasis"/>
        </w:rPr>
        <w:t>American Journal of Psychiatry, 181</w:t>
      </w:r>
      <w:r>
        <w:t xml:space="preserve">(4), 265–268. </w:t>
      </w:r>
    </w:p>
    <w:p w14:paraId="56450B2B" w14:textId="77777777" w:rsidR="00CD34DD" w:rsidRDefault="00CD34DD" w:rsidP="00CD34DD">
      <w:pPr>
        <w:pStyle w:val="NormalWeb"/>
        <w:jc w:val="both"/>
      </w:pPr>
      <w:r>
        <w:t xml:space="preserve">Frick, P. J., &amp; White, S. F. (2008). Research review: The importance of callous-unemotional traits for developmental models of aggressive and antisocial behavior. </w:t>
      </w:r>
      <w:r>
        <w:rPr>
          <w:rStyle w:val="Emphasis"/>
        </w:rPr>
        <w:t>Journal of Child Psychology and Psychiatry, 49</w:t>
      </w:r>
      <w:r>
        <w:t>(4), 359–375.</w:t>
      </w:r>
    </w:p>
    <w:p w14:paraId="31CA4AE9" w14:textId="77777777" w:rsidR="00CD34DD" w:rsidRDefault="00CD34DD" w:rsidP="00CD34DD">
      <w:pPr>
        <w:pStyle w:val="NormalWeb"/>
        <w:jc w:val="both"/>
      </w:pPr>
      <w:r>
        <w:t xml:space="preserve">Frick, P. J., Ray, J. V., Thornton, L. C., &amp; Kahn, R. E. (2014). Annual research review: A developmental psychopathology approach to understanding callous-unemotional traits. </w:t>
      </w:r>
      <w:r>
        <w:rPr>
          <w:rStyle w:val="Emphasis"/>
        </w:rPr>
        <w:t>Journal of Child Psychology and Psychiatry, 55</w:t>
      </w:r>
      <w:r>
        <w:t>(6), 532–548.</w:t>
      </w:r>
    </w:p>
    <w:p w14:paraId="38A8A1C4" w14:textId="77777777" w:rsidR="00CD34DD" w:rsidRDefault="00CD34DD" w:rsidP="00CD34DD">
      <w:pPr>
        <w:pStyle w:val="NormalWeb"/>
        <w:jc w:val="both"/>
      </w:pPr>
      <w:r>
        <w:t xml:space="preserve">Hawes, D. J., Price, M. J., &amp; </w:t>
      </w:r>
      <w:proofErr w:type="spellStart"/>
      <w:r>
        <w:t>Dadds</w:t>
      </w:r>
      <w:proofErr w:type="spellEnd"/>
      <w:r>
        <w:t xml:space="preserve">, M. R. (2014). Callous-unemotional traits and the treatment of conduct problems in childhood and adolescence. </w:t>
      </w:r>
      <w:r>
        <w:rPr>
          <w:rStyle w:val="Emphasis"/>
        </w:rPr>
        <w:t>Clinical Child and Family Psychology Review, 17</w:t>
      </w:r>
      <w:r>
        <w:t>(3), 248–267.</w:t>
      </w:r>
    </w:p>
    <w:p w14:paraId="38529CDE" w14:textId="77777777" w:rsidR="00CD34DD" w:rsidRDefault="00CD34DD" w:rsidP="00CD34DD">
      <w:pPr>
        <w:pStyle w:val="NormalWeb"/>
        <w:jc w:val="both"/>
      </w:pPr>
      <w:r>
        <w:t xml:space="preserve">Henry, J., </w:t>
      </w:r>
      <w:proofErr w:type="spellStart"/>
      <w:r>
        <w:t>Pingault</w:t>
      </w:r>
      <w:proofErr w:type="spellEnd"/>
      <w:r>
        <w:t xml:space="preserve">, J. B., Boivin, M., Rijsdijk, F., &amp; Viding, E. (2016). Genetic and environmental </w:t>
      </w:r>
      <w:proofErr w:type="spellStart"/>
      <w:r>
        <w:t>aetiology</w:t>
      </w:r>
      <w:proofErr w:type="spellEnd"/>
      <w:r>
        <w:t xml:space="preserve"> of the dimensions of callous-unemotional traits. </w:t>
      </w:r>
      <w:r>
        <w:rPr>
          <w:rStyle w:val="Emphasis"/>
        </w:rPr>
        <w:t>Psychological Medicine, 46</w:t>
      </w:r>
      <w:r>
        <w:t>(2), 405–414.</w:t>
      </w:r>
    </w:p>
    <w:p w14:paraId="5458C11F" w14:textId="77777777" w:rsidR="00CD34DD" w:rsidRPr="00002658" w:rsidRDefault="00CD34DD" w:rsidP="00CD34DD">
      <w:pPr>
        <w:pStyle w:val="NormalWeb"/>
        <w:jc w:val="both"/>
        <w:rPr>
          <w:color w:val="FF0000"/>
        </w:rPr>
      </w:pPr>
      <w:r w:rsidRPr="00002658">
        <w:lastRenderedPageBreak/>
        <w:t xml:space="preserve">Henry, J., Dionne, G., Viding, E., </w:t>
      </w:r>
      <w:proofErr w:type="spellStart"/>
      <w:r w:rsidRPr="00002658">
        <w:t>Petitclerc</w:t>
      </w:r>
      <w:proofErr w:type="spellEnd"/>
      <w:r w:rsidRPr="00002658">
        <w:t xml:space="preserve">, A., Feng, B., Vitaro, F., </w:t>
      </w:r>
      <w:proofErr w:type="spellStart"/>
      <w:r w:rsidRPr="00002658">
        <w:t>Brendgen</w:t>
      </w:r>
      <w:proofErr w:type="spellEnd"/>
      <w:r w:rsidRPr="00002658">
        <w:t xml:space="preserve">, M., Tremblay, R.E., &amp; Boivin, M. (2018). A longitudinal twin study of callous-unemotional traits during childhood. J </w:t>
      </w:r>
      <w:proofErr w:type="spellStart"/>
      <w:r w:rsidRPr="00002658">
        <w:t>Abnorm</w:t>
      </w:r>
      <w:proofErr w:type="spellEnd"/>
      <w:r w:rsidRPr="00002658">
        <w:t xml:space="preserve"> Psychol, </w:t>
      </w:r>
      <w:r w:rsidRPr="00002658">
        <w:rPr>
          <w:i/>
        </w:rPr>
        <w:t>127</w:t>
      </w:r>
      <w:r w:rsidRPr="00002658">
        <w:t>(4), 374-384.</w:t>
      </w:r>
    </w:p>
    <w:p w14:paraId="6BF59F3F" w14:textId="77777777" w:rsidR="00CD34DD" w:rsidRDefault="00CD34DD" w:rsidP="00CD34DD">
      <w:pPr>
        <w:pStyle w:val="NormalWeb"/>
        <w:jc w:val="both"/>
      </w:pPr>
      <w:r>
        <w:t xml:space="preserve">Hyde, L. W., Waller, R., &amp; Burt, S. A. (2016). Genetic and environmental influences on the development of callous-unemotional traits. </w:t>
      </w:r>
      <w:r>
        <w:rPr>
          <w:rStyle w:val="Emphasis"/>
        </w:rPr>
        <w:t>Current Opinion in Psychology, 9</w:t>
      </w:r>
      <w:r>
        <w:t>, 84–89.</w:t>
      </w:r>
    </w:p>
    <w:p w14:paraId="48EB1DAF" w14:textId="77777777" w:rsidR="00CD34DD" w:rsidRDefault="00CD34DD" w:rsidP="00CD34DD">
      <w:pPr>
        <w:pStyle w:val="NormalWeb"/>
        <w:jc w:val="both"/>
      </w:pPr>
      <w:r>
        <w:t xml:space="preserve">Hyde, L. W., Waller, R., Dotterer, H. L., Klump, K. L., &amp; Burt, S. A. (2022). Parenting moderates the etiology of callous-unemotional traits in middle childhood. </w:t>
      </w:r>
      <w:r>
        <w:rPr>
          <w:rStyle w:val="Emphasis"/>
        </w:rPr>
        <w:t>Journal of Child Psychology and Psychiatry, 63</w:t>
      </w:r>
      <w:r>
        <w:t>(8), 912–920.</w:t>
      </w:r>
    </w:p>
    <w:p w14:paraId="7EDEAEB1" w14:textId="77777777" w:rsidR="00CD34DD" w:rsidRDefault="00CD34DD" w:rsidP="00CD34DD">
      <w:pPr>
        <w:pStyle w:val="NormalWeb"/>
        <w:jc w:val="both"/>
      </w:pPr>
      <w:r>
        <w:t xml:space="preserve">Kimonis, E. R., Frick, P. J., Skeem, J. L., Marsee, M. A., Cruise, K., Munoz, L. C., &amp; Morris, A. S. (2015). Assessing callous-unemotional traits in adolescent offenders: Validation of the ICU. </w:t>
      </w:r>
      <w:r>
        <w:rPr>
          <w:rStyle w:val="Emphasis"/>
        </w:rPr>
        <w:t>International Journal of Law and Psychiatry, 39</w:t>
      </w:r>
      <w:r>
        <w:t>, 1–8.</w:t>
      </w:r>
    </w:p>
    <w:p w14:paraId="3FE0C0A0" w14:textId="77777777" w:rsidR="00CD34DD" w:rsidRDefault="00CD34DD" w:rsidP="00CD34DD">
      <w:pPr>
        <w:pStyle w:val="NormalWeb"/>
        <w:jc w:val="both"/>
      </w:pPr>
      <w:r>
        <w:t xml:space="preserve">Moore, A. A., Blair, R. J. R., </w:t>
      </w:r>
      <w:proofErr w:type="spellStart"/>
      <w:r>
        <w:t>Hettema</w:t>
      </w:r>
      <w:proofErr w:type="spellEnd"/>
      <w:r>
        <w:t xml:space="preserve">, J. M., &amp; Roberson-Nay, R. (2019). The genetic underpinnings of callous-unemotional traits: A systematic review and meta-analysis. </w:t>
      </w:r>
      <w:r>
        <w:rPr>
          <w:rStyle w:val="Emphasis"/>
        </w:rPr>
        <w:t>Neuroscience &amp; Biobehavioral Reviews, 100</w:t>
      </w:r>
      <w:r>
        <w:t>, 85–97.</w:t>
      </w:r>
    </w:p>
    <w:p w14:paraId="2C4A8B93" w14:textId="77777777" w:rsidR="008D5E0F" w:rsidRDefault="008D5E0F" w:rsidP="008D5E0F">
      <w:pPr>
        <w:pStyle w:val="NormalWeb"/>
        <w:jc w:val="both"/>
      </w:pPr>
      <w:r w:rsidRPr="00466514">
        <w:t>Perhamus</w:t>
      </w:r>
      <w:r>
        <w:t>,</w:t>
      </w:r>
      <w:r w:rsidRPr="00466514">
        <w:t xml:space="preserve"> G</w:t>
      </w:r>
      <w:r>
        <w:t>.</w:t>
      </w:r>
      <w:r w:rsidRPr="00466514">
        <w:t>R</w:t>
      </w:r>
      <w:r>
        <w:t xml:space="preserve">., &amp; </w:t>
      </w:r>
      <w:r w:rsidRPr="00466514">
        <w:t>Ostrov</w:t>
      </w:r>
      <w:r>
        <w:t>,</w:t>
      </w:r>
      <w:r w:rsidRPr="00466514">
        <w:t xml:space="preserve"> J</w:t>
      </w:r>
      <w:r>
        <w:t>.</w:t>
      </w:r>
      <w:r w:rsidRPr="00466514">
        <w:t xml:space="preserve">M. </w:t>
      </w:r>
      <w:r>
        <w:t>(</w:t>
      </w:r>
      <w:r w:rsidRPr="00466514">
        <w:t>2025</w:t>
      </w:r>
      <w:r>
        <w:t xml:space="preserve">). </w:t>
      </w:r>
      <w:r w:rsidRPr="00466514">
        <w:t>Peer socialization processes in the development of callous-unemot</w:t>
      </w:r>
      <w:r>
        <w:t xml:space="preserve">ional traits. </w:t>
      </w:r>
      <w:r w:rsidRPr="00466514">
        <w:rPr>
          <w:i/>
        </w:rPr>
        <w:t xml:space="preserve">Dev </w:t>
      </w:r>
      <w:proofErr w:type="spellStart"/>
      <w:r w:rsidRPr="00466514">
        <w:rPr>
          <w:i/>
        </w:rPr>
        <w:t>Psychopathol</w:t>
      </w:r>
      <w:proofErr w:type="spellEnd"/>
      <w:r>
        <w:t xml:space="preserve">, </w:t>
      </w:r>
      <w:r w:rsidRPr="00466514">
        <w:rPr>
          <w:i/>
        </w:rPr>
        <w:t>37</w:t>
      </w:r>
      <w:r>
        <w:t xml:space="preserve">(4), </w:t>
      </w:r>
      <w:r w:rsidRPr="00466514">
        <w:t>2217-2234.</w:t>
      </w:r>
    </w:p>
    <w:p w14:paraId="42D94AE3" w14:textId="77777777" w:rsidR="008D5E0F" w:rsidRPr="004760AC" w:rsidRDefault="008D5E0F" w:rsidP="008D5E0F">
      <w:pPr>
        <w:pStyle w:val="NormalWeb"/>
        <w:jc w:val="both"/>
      </w:pPr>
      <w:r w:rsidRPr="004760AC">
        <w:t xml:space="preserve">Tomlinson, R.C., Pezzoli, P., Viding, E., De Brito, S.A., Klump, K.L., Burt, S.A., &amp; Hyde, L.W. (2026). The nature and nurture of primary and secondary callous-unemotional traits: evidence from two independent twin samples. </w:t>
      </w:r>
      <w:r w:rsidRPr="004760AC">
        <w:rPr>
          <w:i/>
        </w:rPr>
        <w:t>J Child Psychol Psychiatry</w:t>
      </w:r>
      <w:r w:rsidRPr="004760AC">
        <w:t xml:space="preserve">, </w:t>
      </w:r>
      <w:r w:rsidRPr="004760AC">
        <w:rPr>
          <w:i/>
        </w:rPr>
        <w:t>0</w:t>
      </w:r>
      <w:r w:rsidRPr="004760AC">
        <w:t>(0), 1-10.</w:t>
      </w:r>
    </w:p>
    <w:p w14:paraId="251AC10E" w14:textId="77777777" w:rsidR="00CD34DD" w:rsidRDefault="00CD34DD" w:rsidP="00CD34DD">
      <w:pPr>
        <w:pStyle w:val="NormalWeb"/>
        <w:jc w:val="both"/>
      </w:pPr>
      <w:r>
        <w:t xml:space="preserve">Viding, E., Blair, R. J. R., Moffitt, T. E., &amp; Plomin, R. (2005). Evidence for substantial genetic risk for psychopathy in 7-year-olds. </w:t>
      </w:r>
      <w:r>
        <w:rPr>
          <w:rStyle w:val="Emphasis"/>
        </w:rPr>
        <w:t>Journal of Child Psychology and Psychiatry, 46</w:t>
      </w:r>
      <w:r>
        <w:t>(6), 592–597.</w:t>
      </w:r>
    </w:p>
    <w:p w14:paraId="0E6D00B8" w14:textId="77777777" w:rsidR="00CD34DD" w:rsidRDefault="00CD34DD" w:rsidP="00CD34DD">
      <w:pPr>
        <w:pStyle w:val="NormalWeb"/>
        <w:jc w:val="both"/>
      </w:pPr>
      <w:r>
        <w:t xml:space="preserve">Waller, R., Gardner, F., &amp; Hyde, L. W. (2013). What are the associations between parenting, callous-unemotional traits, and antisocial behavior? </w:t>
      </w:r>
      <w:r>
        <w:rPr>
          <w:rStyle w:val="Emphasis"/>
        </w:rPr>
        <w:t>Clinical Psychology Review, 33</w:t>
      </w:r>
      <w:r>
        <w:t>(4), 593–608.</w:t>
      </w:r>
    </w:p>
    <w:p w14:paraId="06C14307" w14:textId="77777777" w:rsidR="00B85482" w:rsidRDefault="00B85482" w:rsidP="00CD34DD">
      <w:pPr>
        <w:widowControl/>
        <w:autoSpaceDE/>
        <w:autoSpaceDN/>
        <w:jc w:val="both"/>
        <w:rPr>
          <w:b/>
          <w:sz w:val="24"/>
          <w:szCs w:val="24"/>
        </w:rPr>
      </w:pPr>
    </w:p>
    <w:sectPr w:rsidR="00B854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622DB" w14:textId="77777777" w:rsidR="000679F2" w:rsidRDefault="000679F2" w:rsidP="00844FEF">
      <w:r>
        <w:separator/>
      </w:r>
    </w:p>
  </w:endnote>
  <w:endnote w:type="continuationSeparator" w:id="0">
    <w:p w14:paraId="37C35261" w14:textId="77777777" w:rsidR="000679F2" w:rsidRDefault="000679F2" w:rsidP="0084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75AF7" w14:textId="77777777" w:rsidR="00844FEF" w:rsidRDefault="00844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74B1B" w14:textId="77777777" w:rsidR="00844FEF" w:rsidRDefault="00844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DC737" w14:textId="77777777" w:rsidR="00844FEF" w:rsidRDefault="00844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6EC7C" w14:textId="77777777" w:rsidR="000679F2" w:rsidRDefault="000679F2" w:rsidP="00844FEF">
      <w:r>
        <w:separator/>
      </w:r>
    </w:p>
  </w:footnote>
  <w:footnote w:type="continuationSeparator" w:id="0">
    <w:p w14:paraId="7688CD6B" w14:textId="77777777" w:rsidR="000679F2" w:rsidRDefault="000679F2" w:rsidP="00844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70DE8" w14:textId="0D379AA0" w:rsidR="00844FEF" w:rsidRDefault="00844FEF">
    <w:pPr>
      <w:pStyle w:val="Header"/>
    </w:pPr>
    <w:r>
      <w:rPr>
        <w:noProof/>
      </w:rPr>
      <w:pict w14:anchorId="4FAF2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0750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4290" w14:textId="6B6AC55F" w:rsidR="00844FEF" w:rsidRDefault="00844FEF">
    <w:pPr>
      <w:pStyle w:val="Header"/>
    </w:pPr>
    <w:r>
      <w:rPr>
        <w:noProof/>
      </w:rPr>
      <w:pict w14:anchorId="24C31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0750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F9638" w14:textId="523202ED" w:rsidR="00844FEF" w:rsidRDefault="00844FEF">
    <w:pPr>
      <w:pStyle w:val="Header"/>
    </w:pPr>
    <w:r>
      <w:rPr>
        <w:noProof/>
      </w:rPr>
      <w:pict w14:anchorId="1690F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0750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C9"/>
    <w:rsid w:val="000679F2"/>
    <w:rsid w:val="001B158E"/>
    <w:rsid w:val="002252A8"/>
    <w:rsid w:val="00260A8D"/>
    <w:rsid w:val="002967C9"/>
    <w:rsid w:val="0031081B"/>
    <w:rsid w:val="003555A0"/>
    <w:rsid w:val="00364A82"/>
    <w:rsid w:val="00393E68"/>
    <w:rsid w:val="00403AFB"/>
    <w:rsid w:val="004362DC"/>
    <w:rsid w:val="005314CB"/>
    <w:rsid w:val="00546449"/>
    <w:rsid w:val="005600B1"/>
    <w:rsid w:val="005A2068"/>
    <w:rsid w:val="00844FEF"/>
    <w:rsid w:val="008D0DBD"/>
    <w:rsid w:val="008D4B1E"/>
    <w:rsid w:val="008D5E0F"/>
    <w:rsid w:val="008E0EDE"/>
    <w:rsid w:val="00912509"/>
    <w:rsid w:val="009623F3"/>
    <w:rsid w:val="009C53B9"/>
    <w:rsid w:val="00A61D4C"/>
    <w:rsid w:val="00B85482"/>
    <w:rsid w:val="00BE7D79"/>
    <w:rsid w:val="00C16E79"/>
    <w:rsid w:val="00C52260"/>
    <w:rsid w:val="00CD34DD"/>
    <w:rsid w:val="00D20C5A"/>
    <w:rsid w:val="00D91878"/>
    <w:rsid w:val="00DD6623"/>
    <w:rsid w:val="00EE686D"/>
    <w:rsid w:val="00F13F1B"/>
    <w:rsid w:val="00F3427C"/>
    <w:rsid w:val="00F94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04B168"/>
  <w15:chartTrackingRefBased/>
  <w15:docId w15:val="{99CEB22A-B25F-42E1-99E5-E8DDF7CB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1081B"/>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5A20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61D4C"/>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081B"/>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31081B"/>
    <w:rPr>
      <w:b/>
      <w:bCs/>
    </w:rPr>
  </w:style>
  <w:style w:type="table" w:styleId="TableGrid">
    <w:name w:val="Table Grid"/>
    <w:basedOn w:val="TableNormal"/>
    <w:uiPriority w:val="59"/>
    <w:qFormat/>
    <w:rsid w:val="0031081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61D4C"/>
    <w:rPr>
      <w:rFonts w:ascii="Times New Roman" w:eastAsia="Times New Roman" w:hAnsi="Times New Roman" w:cs="Times New Roman"/>
      <w:b/>
      <w:bCs/>
      <w:sz w:val="27"/>
      <w:szCs w:val="27"/>
    </w:rPr>
  </w:style>
  <w:style w:type="character" w:customStyle="1" w:styleId="katex-mathml">
    <w:name w:val="katex-mathml"/>
    <w:basedOn w:val="DefaultParagraphFont"/>
    <w:rsid w:val="00A61D4C"/>
  </w:style>
  <w:style w:type="character" w:customStyle="1" w:styleId="mord">
    <w:name w:val="mord"/>
    <w:basedOn w:val="DefaultParagraphFont"/>
    <w:rsid w:val="00A61D4C"/>
  </w:style>
  <w:style w:type="character" w:customStyle="1" w:styleId="mrel">
    <w:name w:val="mrel"/>
    <w:basedOn w:val="DefaultParagraphFont"/>
    <w:rsid w:val="00A61D4C"/>
  </w:style>
  <w:style w:type="character" w:customStyle="1" w:styleId="mopen">
    <w:name w:val="mopen"/>
    <w:basedOn w:val="DefaultParagraphFont"/>
    <w:rsid w:val="00A61D4C"/>
  </w:style>
  <w:style w:type="character" w:customStyle="1" w:styleId="vlist-s">
    <w:name w:val="vlist-s"/>
    <w:basedOn w:val="DefaultParagraphFont"/>
    <w:rsid w:val="00A61D4C"/>
  </w:style>
  <w:style w:type="character" w:customStyle="1" w:styleId="mbin">
    <w:name w:val="mbin"/>
    <w:basedOn w:val="DefaultParagraphFont"/>
    <w:rsid w:val="00A61D4C"/>
  </w:style>
  <w:style w:type="character" w:customStyle="1" w:styleId="mclose">
    <w:name w:val="mclose"/>
    <w:basedOn w:val="DefaultParagraphFont"/>
    <w:rsid w:val="00A61D4C"/>
  </w:style>
  <w:style w:type="character" w:styleId="Emphasis">
    <w:name w:val="Emphasis"/>
    <w:basedOn w:val="DefaultParagraphFont"/>
    <w:uiPriority w:val="20"/>
    <w:qFormat/>
    <w:rsid w:val="00A61D4C"/>
    <w:rPr>
      <w:i/>
      <w:iCs/>
    </w:rPr>
  </w:style>
  <w:style w:type="character" w:customStyle="1" w:styleId="Heading2Char">
    <w:name w:val="Heading 2 Char"/>
    <w:basedOn w:val="DefaultParagraphFont"/>
    <w:link w:val="Heading2"/>
    <w:uiPriority w:val="9"/>
    <w:semiHidden/>
    <w:rsid w:val="005A206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93E68"/>
    <w:rPr>
      <w:color w:val="0000FF"/>
      <w:u w:val="single"/>
    </w:rPr>
  </w:style>
  <w:style w:type="character" w:styleId="UnresolvedMention">
    <w:name w:val="Unresolved Mention"/>
    <w:basedOn w:val="DefaultParagraphFont"/>
    <w:uiPriority w:val="99"/>
    <w:semiHidden/>
    <w:unhideWhenUsed/>
    <w:rsid w:val="00F94CB6"/>
    <w:rPr>
      <w:color w:val="605E5C"/>
      <w:shd w:val="clear" w:color="auto" w:fill="E1DFDD"/>
    </w:rPr>
  </w:style>
  <w:style w:type="paragraph" w:styleId="Header">
    <w:name w:val="header"/>
    <w:basedOn w:val="Normal"/>
    <w:link w:val="HeaderChar"/>
    <w:uiPriority w:val="99"/>
    <w:unhideWhenUsed/>
    <w:rsid w:val="00844FEF"/>
    <w:pPr>
      <w:tabs>
        <w:tab w:val="center" w:pos="4680"/>
        <w:tab w:val="right" w:pos="9360"/>
      </w:tabs>
    </w:pPr>
  </w:style>
  <w:style w:type="character" w:customStyle="1" w:styleId="HeaderChar">
    <w:name w:val="Header Char"/>
    <w:basedOn w:val="DefaultParagraphFont"/>
    <w:link w:val="Header"/>
    <w:uiPriority w:val="99"/>
    <w:rsid w:val="00844FEF"/>
    <w:rPr>
      <w:rFonts w:ascii="Times New Roman" w:eastAsia="Times New Roman" w:hAnsi="Times New Roman" w:cs="Times New Roman"/>
    </w:rPr>
  </w:style>
  <w:style w:type="paragraph" w:styleId="Footer">
    <w:name w:val="footer"/>
    <w:basedOn w:val="Normal"/>
    <w:link w:val="FooterChar"/>
    <w:uiPriority w:val="99"/>
    <w:unhideWhenUsed/>
    <w:rsid w:val="00844FEF"/>
    <w:pPr>
      <w:tabs>
        <w:tab w:val="center" w:pos="4680"/>
        <w:tab w:val="right" w:pos="9360"/>
      </w:tabs>
    </w:pPr>
  </w:style>
  <w:style w:type="character" w:customStyle="1" w:styleId="FooterChar">
    <w:name w:val="Footer Char"/>
    <w:basedOn w:val="DefaultParagraphFont"/>
    <w:link w:val="Footer"/>
    <w:uiPriority w:val="99"/>
    <w:rsid w:val="00844F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6544">
      <w:bodyDiv w:val="1"/>
      <w:marLeft w:val="0"/>
      <w:marRight w:val="0"/>
      <w:marTop w:val="0"/>
      <w:marBottom w:val="0"/>
      <w:divBdr>
        <w:top w:val="none" w:sz="0" w:space="0" w:color="auto"/>
        <w:left w:val="none" w:sz="0" w:space="0" w:color="auto"/>
        <w:bottom w:val="none" w:sz="0" w:space="0" w:color="auto"/>
        <w:right w:val="none" w:sz="0" w:space="0" w:color="auto"/>
      </w:divBdr>
    </w:div>
    <w:div w:id="198278890">
      <w:bodyDiv w:val="1"/>
      <w:marLeft w:val="0"/>
      <w:marRight w:val="0"/>
      <w:marTop w:val="0"/>
      <w:marBottom w:val="0"/>
      <w:divBdr>
        <w:top w:val="none" w:sz="0" w:space="0" w:color="auto"/>
        <w:left w:val="none" w:sz="0" w:space="0" w:color="auto"/>
        <w:bottom w:val="none" w:sz="0" w:space="0" w:color="auto"/>
        <w:right w:val="none" w:sz="0" w:space="0" w:color="auto"/>
      </w:divBdr>
    </w:div>
    <w:div w:id="398869993">
      <w:bodyDiv w:val="1"/>
      <w:marLeft w:val="0"/>
      <w:marRight w:val="0"/>
      <w:marTop w:val="0"/>
      <w:marBottom w:val="0"/>
      <w:divBdr>
        <w:top w:val="none" w:sz="0" w:space="0" w:color="auto"/>
        <w:left w:val="none" w:sz="0" w:space="0" w:color="auto"/>
        <w:bottom w:val="none" w:sz="0" w:space="0" w:color="auto"/>
        <w:right w:val="none" w:sz="0" w:space="0" w:color="auto"/>
      </w:divBdr>
    </w:div>
    <w:div w:id="488521318">
      <w:bodyDiv w:val="1"/>
      <w:marLeft w:val="0"/>
      <w:marRight w:val="0"/>
      <w:marTop w:val="0"/>
      <w:marBottom w:val="0"/>
      <w:divBdr>
        <w:top w:val="none" w:sz="0" w:space="0" w:color="auto"/>
        <w:left w:val="none" w:sz="0" w:space="0" w:color="auto"/>
        <w:bottom w:val="none" w:sz="0" w:space="0" w:color="auto"/>
        <w:right w:val="none" w:sz="0" w:space="0" w:color="auto"/>
      </w:divBdr>
    </w:div>
    <w:div w:id="760642947">
      <w:bodyDiv w:val="1"/>
      <w:marLeft w:val="0"/>
      <w:marRight w:val="0"/>
      <w:marTop w:val="0"/>
      <w:marBottom w:val="0"/>
      <w:divBdr>
        <w:top w:val="none" w:sz="0" w:space="0" w:color="auto"/>
        <w:left w:val="none" w:sz="0" w:space="0" w:color="auto"/>
        <w:bottom w:val="none" w:sz="0" w:space="0" w:color="auto"/>
        <w:right w:val="none" w:sz="0" w:space="0" w:color="auto"/>
      </w:divBdr>
    </w:div>
    <w:div w:id="850340104">
      <w:bodyDiv w:val="1"/>
      <w:marLeft w:val="0"/>
      <w:marRight w:val="0"/>
      <w:marTop w:val="0"/>
      <w:marBottom w:val="0"/>
      <w:divBdr>
        <w:top w:val="none" w:sz="0" w:space="0" w:color="auto"/>
        <w:left w:val="none" w:sz="0" w:space="0" w:color="auto"/>
        <w:bottom w:val="none" w:sz="0" w:space="0" w:color="auto"/>
        <w:right w:val="none" w:sz="0" w:space="0" w:color="auto"/>
      </w:divBdr>
    </w:div>
    <w:div w:id="866405368">
      <w:bodyDiv w:val="1"/>
      <w:marLeft w:val="0"/>
      <w:marRight w:val="0"/>
      <w:marTop w:val="0"/>
      <w:marBottom w:val="0"/>
      <w:divBdr>
        <w:top w:val="none" w:sz="0" w:space="0" w:color="auto"/>
        <w:left w:val="none" w:sz="0" w:space="0" w:color="auto"/>
        <w:bottom w:val="none" w:sz="0" w:space="0" w:color="auto"/>
        <w:right w:val="none" w:sz="0" w:space="0" w:color="auto"/>
      </w:divBdr>
    </w:div>
    <w:div w:id="1123570652">
      <w:bodyDiv w:val="1"/>
      <w:marLeft w:val="0"/>
      <w:marRight w:val="0"/>
      <w:marTop w:val="0"/>
      <w:marBottom w:val="0"/>
      <w:divBdr>
        <w:top w:val="none" w:sz="0" w:space="0" w:color="auto"/>
        <w:left w:val="none" w:sz="0" w:space="0" w:color="auto"/>
        <w:bottom w:val="none" w:sz="0" w:space="0" w:color="auto"/>
        <w:right w:val="none" w:sz="0" w:space="0" w:color="auto"/>
      </w:divBdr>
    </w:div>
    <w:div w:id="1165709610">
      <w:bodyDiv w:val="1"/>
      <w:marLeft w:val="0"/>
      <w:marRight w:val="0"/>
      <w:marTop w:val="0"/>
      <w:marBottom w:val="0"/>
      <w:divBdr>
        <w:top w:val="none" w:sz="0" w:space="0" w:color="auto"/>
        <w:left w:val="none" w:sz="0" w:space="0" w:color="auto"/>
        <w:bottom w:val="none" w:sz="0" w:space="0" w:color="auto"/>
        <w:right w:val="none" w:sz="0" w:space="0" w:color="auto"/>
      </w:divBdr>
    </w:div>
    <w:div w:id="1810055311">
      <w:bodyDiv w:val="1"/>
      <w:marLeft w:val="0"/>
      <w:marRight w:val="0"/>
      <w:marTop w:val="0"/>
      <w:marBottom w:val="0"/>
      <w:divBdr>
        <w:top w:val="none" w:sz="0" w:space="0" w:color="auto"/>
        <w:left w:val="none" w:sz="0" w:space="0" w:color="auto"/>
        <w:bottom w:val="none" w:sz="0" w:space="0" w:color="auto"/>
        <w:right w:val="none" w:sz="0" w:space="0" w:color="auto"/>
      </w:divBdr>
    </w:div>
    <w:div w:id="18225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3253</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36</cp:revision>
  <dcterms:created xsi:type="dcterms:W3CDTF">2026-04-20T05:19:00Z</dcterms:created>
  <dcterms:modified xsi:type="dcterms:W3CDTF">2026-04-20T14:08:00Z</dcterms:modified>
</cp:coreProperties>
</file>