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AC7" w:rsidRPr="00404AC7" w:rsidRDefault="00404AC7" w:rsidP="00404AC7">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bookmarkStart w:id="0" w:name="_GoBack"/>
      <w:bookmarkEnd w:id="0"/>
      <w:r w:rsidRPr="00404AC7">
        <w:rPr>
          <w:rFonts w:ascii="Times New Roman" w:eastAsia="Times New Roman" w:hAnsi="Times New Roman" w:cs="Times New Roman"/>
          <w:b/>
          <w:bCs/>
          <w:kern w:val="36"/>
          <w:sz w:val="48"/>
          <w:szCs w:val="48"/>
          <w:lang w:val="en-US"/>
        </w:rPr>
        <w:t>Artificial Intelligence in Genomics: Transforming the Future of Biological Discovery — A Review</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Abstract</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Artificial intelligence has become one of the most consequential methodological developments in contemporary genomics because it offers ways to learn complex biological patterns from genome sequences, population-scale variation catalogues, functional genomic assays, single-cell profiles, epigenomic maps, protein-structure resources and clinical molecular datasets. This review examines how artificial intelligence is transforming biological discovery across the genomic sciences. It considers the progression from classical machine learning to deep learning, transformer-based foundation models, graph-based integration and generative modelling, with particular emphasis on sequence interpretation, variant calling, functional annotation, regulatory genomics, protein structure prediction, single-cell analysis, multi-omics integration, genome editing and genomic medicine. The review argues that artificial intelligence is changing genomics from a mainly descriptive and catalogue-building discipline into a more predictive, integrative and hypothesis-generating science. However, it also stresses that artificial intelligence cannot substitute for biological reasoning, experimental validation or clinically governed interpretation. Major challenges include limited interpretability, technical artefacts, data leakage, ancestry bias, underrepresentation of many global populations, privacy risk, reproducibility concerns and the difficulty of translating benchmark performance into clinical utility. Future progress will depend on more diverse genomic datasets, transparent benchmarking, pangenome-aware modelling, biologically interpretable architectures, stronger links between prediction and perturbation experiments, and governance systems that protect individuals and communities while enabling responsible data sharing. Properly used, artificial intelligence can accelerate discovery across molecular biology, disease genetics and precision medicine, but its value will depend on how rigorously predictions are validated and how fairly genomic benefits are distributed.</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b/>
          <w:bCs/>
          <w:sz w:val="24"/>
          <w:szCs w:val="24"/>
          <w:lang w:val="en-US"/>
        </w:rPr>
        <w:t>Keywords:</w:t>
      </w:r>
      <w:r w:rsidRPr="00404AC7">
        <w:rPr>
          <w:rFonts w:ascii="Times New Roman" w:eastAsia="Times New Roman" w:hAnsi="Times New Roman" w:cs="Times New Roman"/>
          <w:sz w:val="24"/>
          <w:szCs w:val="24"/>
          <w:lang w:val="en-US"/>
        </w:rPr>
        <w:t xml:space="preserve"> artificial intelligence; genomics; deep learning; foundation models; variant interpretation; regulatory genomics; single-cell genomics; multi-omics; genome editing; genomic medicine</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 Introduction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Genomics has entered a period in which the central scientific difficulty is no longer only the generation of sequence data, but the interpretation of biological meaning from data at very large scale. High-throughput sequencing, population biobanks, epigenomic profiling, transcriptomic atlases, single-cell assays, spatial technologies and structural prediction resources have created an immense and expanding record of molecular variation. The 1000 Genomes Project provided a global reference for human genetic variation by reconstructing genomes from 2,504 individuals across 26 populations and by </w:t>
      </w:r>
      <w:proofErr w:type="spellStart"/>
      <w:r w:rsidRPr="00404AC7">
        <w:rPr>
          <w:rFonts w:ascii="Times New Roman" w:eastAsia="Times New Roman" w:hAnsi="Times New Roman" w:cs="Times New Roman"/>
          <w:sz w:val="24"/>
          <w:szCs w:val="24"/>
          <w:lang w:val="en-US"/>
        </w:rPr>
        <w:t>characterising</w:t>
      </w:r>
      <w:proofErr w:type="spellEnd"/>
      <w:r w:rsidRPr="00404AC7">
        <w:rPr>
          <w:rFonts w:ascii="Times New Roman" w:eastAsia="Times New Roman" w:hAnsi="Times New Roman" w:cs="Times New Roman"/>
          <w:sz w:val="24"/>
          <w:szCs w:val="24"/>
          <w:lang w:val="en-US"/>
        </w:rPr>
        <w:t xml:space="preserve"> a broad spectrum of single-nucleotide, insertion–deletion and structural variants (1000 Genomes Project Consortium, 2015). Later, the Genome Aggregation Database increased the scale of </w:t>
      </w:r>
      <w:r w:rsidRPr="00404AC7">
        <w:rPr>
          <w:rFonts w:ascii="Times New Roman" w:eastAsia="Times New Roman" w:hAnsi="Times New Roman" w:cs="Times New Roman"/>
          <w:sz w:val="24"/>
          <w:szCs w:val="24"/>
          <w:lang w:val="en-US"/>
        </w:rPr>
        <w:lastRenderedPageBreak/>
        <w:t>population variation analysis by aggregating 125,748 exomes and 15,708 genomes, enabling gene-level constraint estimates that are now widely used in variant interpretation and disease-gene discovery (</w:t>
      </w:r>
      <w:proofErr w:type="spellStart"/>
      <w:r w:rsidRPr="00404AC7">
        <w:rPr>
          <w:rFonts w:ascii="Times New Roman" w:eastAsia="Times New Roman" w:hAnsi="Times New Roman" w:cs="Times New Roman"/>
          <w:sz w:val="24"/>
          <w:szCs w:val="24"/>
          <w:lang w:val="en-US"/>
        </w:rPr>
        <w:t>Karczewski</w:t>
      </w:r>
      <w:proofErr w:type="spellEnd"/>
      <w:r w:rsidRPr="00404AC7">
        <w:rPr>
          <w:rFonts w:ascii="Times New Roman" w:eastAsia="Times New Roman" w:hAnsi="Times New Roman" w:cs="Times New Roman"/>
          <w:sz w:val="24"/>
          <w:szCs w:val="24"/>
          <w:lang w:val="en-US"/>
        </w:rPr>
        <w:t xml:space="preserve"> et al., 2020). These resources show that genomics has become a data-rich discipline in which the key questions concern interpretation,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and mechanism.</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expansion of reference resources has also changed how researchers understand the human genome itself. The Telomere-to-Telomere Consortium reported the T2T-CHM13 assembly, addressing previously unresolved regions and providing a 3.055 billion-base-pair sequence with gapless assemblies for all chromosomes except Y in that initial publication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The Human Pangenome Reference Consortium then introduced a draft pangenome reference based on 47 phased diploid assemblies from genetically diverse individuals, offering a more plural representation of human genomic variation than a single linear reference can provide (Liao et al., 2023). These advances are important for artificial intelligence because machine-learning models inherit the assumptions of the reference systems and datasets on which they are trained. A model developed against a single reference may be less capable of representing structural variation, repetitive sequence, haplotypic diversity and ancestry-specific genomic architecture.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Functional genomics has generated a second major substrate for artificial intelligence. ENCODE systematically mapped transcription, transcription-factor association, chromatin structure and histone modification, while the Roadmap Epigenomics Project generated integrated maps of 111 reference human epigenomes across primary tissues and cell types (ENCODE Project Consortium, 2012; Roadmap Epigenomics Consortium, 2015).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v8 connected genetic variation to gene expression and splicing across human tissues, </w:t>
      </w:r>
      <w:proofErr w:type="spellStart"/>
      <w:r w:rsidRPr="00404AC7">
        <w:rPr>
          <w:rFonts w:ascii="Times New Roman" w:eastAsia="Times New Roman" w:hAnsi="Times New Roman" w:cs="Times New Roman"/>
          <w:sz w:val="24"/>
          <w:szCs w:val="24"/>
          <w:lang w:val="en-US"/>
        </w:rPr>
        <w:t>analysing</w:t>
      </w:r>
      <w:proofErr w:type="spellEnd"/>
      <w:r w:rsidRPr="00404AC7">
        <w:rPr>
          <w:rFonts w:ascii="Times New Roman" w:eastAsia="Times New Roman" w:hAnsi="Times New Roman" w:cs="Times New Roman"/>
          <w:sz w:val="24"/>
          <w:szCs w:val="24"/>
          <w:lang w:val="en-US"/>
        </w:rPr>
        <w:t xml:space="preserve"> 15,201 RNA-sequencing samples from 49 tissues of 838 post-mortem donors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2020). These datasets have been crucial because most disease-associated variation identified by genome-wide association studies lies outside protein-coding regions, and biological interpretation often requires linking non-coding variants to tissue-specific regulatory function (Visscher et al., 2017).</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is well suited to many genomic problems because genomic data are high dimensional, nonlinear, context dependent and often difficult to reduce to hand-crafted rules. Classical machine-learning methods initially supported annotation, clustering,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and prediction across genetic and genomic datasets (</w:t>
      </w:r>
      <w:proofErr w:type="spellStart"/>
      <w:r w:rsidRPr="00404AC7">
        <w:rPr>
          <w:rFonts w:ascii="Times New Roman" w:eastAsia="Times New Roman" w:hAnsi="Times New Roman" w:cs="Times New Roman"/>
          <w:sz w:val="24"/>
          <w:szCs w:val="24"/>
          <w:lang w:val="en-US"/>
        </w:rPr>
        <w:t>Libbrecht</w:t>
      </w:r>
      <w:proofErr w:type="spellEnd"/>
      <w:r w:rsidRPr="00404AC7">
        <w:rPr>
          <w:rFonts w:ascii="Times New Roman" w:eastAsia="Times New Roman" w:hAnsi="Times New Roman" w:cs="Times New Roman"/>
          <w:sz w:val="24"/>
          <w:szCs w:val="24"/>
          <w:lang w:val="en-US"/>
        </w:rPr>
        <w:t xml:space="preserve"> &amp; Noble, 2015). Deep learning later shifted the field by allowing models to learn hierarchical representations from sequence, chromatin maps, expression profiles, sequencing reads and other molecular data (</w:t>
      </w:r>
      <w:proofErr w:type="spellStart"/>
      <w:r w:rsidRPr="00404AC7">
        <w:rPr>
          <w:rFonts w:ascii="Times New Roman" w:eastAsia="Times New Roman" w:hAnsi="Times New Roman" w:cs="Times New Roman"/>
          <w:sz w:val="24"/>
          <w:szCs w:val="24"/>
          <w:lang w:val="en-US"/>
        </w:rPr>
        <w:t>Angermueller</w:t>
      </w:r>
      <w:proofErr w:type="spellEnd"/>
      <w:r w:rsidRPr="00404AC7">
        <w:rPr>
          <w:rFonts w:ascii="Times New Roman" w:eastAsia="Times New Roman" w:hAnsi="Times New Roman" w:cs="Times New Roman"/>
          <w:sz w:val="24"/>
          <w:szCs w:val="24"/>
          <w:lang w:val="en-US"/>
        </w:rPr>
        <w:t xml:space="preserve"> et al., 2016; </w:t>
      </w:r>
      <w:proofErr w:type="spellStart"/>
      <w:r w:rsidRPr="00404AC7">
        <w:rPr>
          <w:rFonts w:ascii="Times New Roman" w:eastAsia="Times New Roman" w:hAnsi="Times New Roman" w:cs="Times New Roman"/>
          <w:sz w:val="24"/>
          <w:szCs w:val="24"/>
          <w:lang w:val="en-US"/>
        </w:rPr>
        <w:t>Eraslan</w:t>
      </w:r>
      <w:proofErr w:type="spellEnd"/>
      <w:r w:rsidRPr="00404AC7">
        <w:rPr>
          <w:rFonts w:ascii="Times New Roman" w:eastAsia="Times New Roman" w:hAnsi="Times New Roman" w:cs="Times New Roman"/>
          <w:sz w:val="24"/>
          <w:szCs w:val="24"/>
          <w:lang w:val="en-US"/>
        </w:rPr>
        <w:t xml:space="preserve"> et al., 2019; </w:t>
      </w:r>
      <w:proofErr w:type="spellStart"/>
      <w:r w:rsidRPr="00404AC7">
        <w:rPr>
          <w:rFonts w:ascii="Times New Roman" w:eastAsia="Times New Roman" w:hAnsi="Times New Roman" w:cs="Times New Roman"/>
          <w:sz w:val="24"/>
          <w:szCs w:val="24"/>
          <w:lang w:val="en-US"/>
        </w:rPr>
        <w:t>Wainberg</w:t>
      </w:r>
      <w:proofErr w:type="spellEnd"/>
      <w:r w:rsidRPr="00404AC7">
        <w:rPr>
          <w:rFonts w:ascii="Times New Roman" w:eastAsia="Times New Roman" w:hAnsi="Times New Roman" w:cs="Times New Roman"/>
          <w:sz w:val="24"/>
          <w:szCs w:val="24"/>
          <w:lang w:val="en-US"/>
        </w:rPr>
        <w:t xml:space="preserve"> et al., 2018; Zou et al., 2019). In this review, artificial intelligence is used in a broad sense that includes supervised and unsupervised machine learning, deep neural networks, convolutional and recurrent architectures, transformer models, graph-based learning, generative models and foundation models.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transformative effect of artificial intelligence is already visible across the genomics pipeline. </w:t>
      </w:r>
      <w:proofErr w:type="spellStart"/>
      <w:r w:rsidRPr="00404AC7">
        <w:rPr>
          <w:rFonts w:ascii="Times New Roman" w:eastAsia="Times New Roman" w:hAnsi="Times New Roman" w:cs="Times New Roman"/>
          <w:sz w:val="24"/>
          <w:szCs w:val="24"/>
          <w:lang w:val="en-US"/>
        </w:rPr>
        <w:t>DeepVariant</w:t>
      </w:r>
      <w:proofErr w:type="spellEnd"/>
      <w:r w:rsidRPr="00404AC7">
        <w:rPr>
          <w:rFonts w:ascii="Times New Roman" w:eastAsia="Times New Roman" w:hAnsi="Times New Roman" w:cs="Times New Roman"/>
          <w:sz w:val="24"/>
          <w:szCs w:val="24"/>
          <w:lang w:val="en-US"/>
        </w:rPr>
        <w:t xml:space="preserve"> demonstrated that a deep convolutional network could call small variants from aligned sequencing reads and </w:t>
      </w:r>
      <w:proofErr w:type="spellStart"/>
      <w:r w:rsidRPr="00404AC7">
        <w:rPr>
          <w:rFonts w:ascii="Times New Roman" w:eastAsia="Times New Roman" w:hAnsi="Times New Roman" w:cs="Times New Roman"/>
          <w:sz w:val="24"/>
          <w:szCs w:val="24"/>
          <w:lang w:val="en-US"/>
        </w:rPr>
        <w:t>generalise</w:t>
      </w:r>
      <w:proofErr w:type="spellEnd"/>
      <w:r w:rsidRPr="00404AC7">
        <w:rPr>
          <w:rFonts w:ascii="Times New Roman" w:eastAsia="Times New Roman" w:hAnsi="Times New Roman" w:cs="Times New Roman"/>
          <w:sz w:val="24"/>
          <w:szCs w:val="24"/>
          <w:lang w:val="en-US"/>
        </w:rPr>
        <w:t xml:space="preserve"> across genome builds and mammalian species under appropriate training conditions (Poplin et al., 2018). </w:t>
      </w: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Basset, </w:t>
      </w: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and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showed that artificial intelligence can learn relationships between DNA sequence and molecular regulatory features such as protein binding, chromatin accessibility, transcription-factor occupancy, splicing and gene expression (</w:t>
      </w: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et al., </w:t>
      </w:r>
      <w:r w:rsidRPr="00404AC7">
        <w:rPr>
          <w:rFonts w:ascii="Times New Roman" w:eastAsia="Times New Roman" w:hAnsi="Times New Roman" w:cs="Times New Roman"/>
          <w:sz w:val="24"/>
          <w:szCs w:val="24"/>
          <w:lang w:val="en-US"/>
        </w:rPr>
        <w:lastRenderedPageBreak/>
        <w:t xml:space="preserve">2015;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et al., 2021; Kelley et al., 2016; Quang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2016; Zhou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xml:space="preserve">, 2015). In clinical genomics, CADD, REVEL, </w:t>
      </w:r>
      <w:proofErr w:type="spellStart"/>
      <w:r w:rsidRPr="00404AC7">
        <w:rPr>
          <w:rFonts w:ascii="Times New Roman" w:eastAsia="Times New Roman" w:hAnsi="Times New Roman" w:cs="Times New Roman"/>
          <w:sz w:val="24"/>
          <w:szCs w:val="24"/>
          <w:lang w:val="en-US"/>
        </w:rPr>
        <w:t>SpliceAI</w:t>
      </w:r>
      <w:proofErr w:type="spellEnd"/>
      <w:r w:rsidRPr="00404AC7">
        <w:rPr>
          <w:rFonts w:ascii="Times New Roman" w:eastAsia="Times New Roman" w:hAnsi="Times New Roman" w:cs="Times New Roman"/>
          <w:sz w:val="24"/>
          <w:szCs w:val="24"/>
          <w:lang w:val="en-US"/>
        </w:rPr>
        <w:t xml:space="preserve"> and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illustrate how computational models can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variants by integrating conservation, sequence context, splicing signals, protein information and other evidence (Cheng et al., 2023; Ioannidis et al., 2016; </w:t>
      </w: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et al., 2019; Kircher et al., 2014). In structural biology,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and the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Protein Structure Database have connected genomic sequence information to protein structure at a scale that was previously unattainable through experimental structure determination alone (Jumper et al., 2021;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et al., 2021; </w:t>
      </w:r>
      <w:proofErr w:type="spellStart"/>
      <w:r w:rsidRPr="00404AC7">
        <w:rPr>
          <w:rFonts w:ascii="Times New Roman" w:eastAsia="Times New Roman" w:hAnsi="Times New Roman" w:cs="Times New Roman"/>
          <w:sz w:val="24"/>
          <w:szCs w:val="24"/>
          <w:lang w:val="en-US"/>
        </w:rPr>
        <w:t>Varadi</w:t>
      </w:r>
      <w:proofErr w:type="spellEnd"/>
      <w:r w:rsidRPr="00404AC7">
        <w:rPr>
          <w:rFonts w:ascii="Times New Roman" w:eastAsia="Times New Roman" w:hAnsi="Times New Roman" w:cs="Times New Roman"/>
          <w:sz w:val="24"/>
          <w:szCs w:val="24"/>
          <w:lang w:val="en-US"/>
        </w:rPr>
        <w:t xml:space="preserve"> et al., 2022).</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promises of artificial intelligence in genomics must nevertheless be expressed in a moderate and scientifically cautious tone. Models can learn technical artefacts, reflect dataset imbalance, overfit benchmark tasks, perform poorly outside their training distribution or generate predictions that appear biologically plausible but lack experimental support. In clinical genomics, computational prediction is only one form of evidence and should not replace structured interpretation standards, phenotype correlation, segregation analysis, population-frequency assessment or functional validation (Richards et al., 2015). The problem is intensified by ancestry imbalance in genomic research. Underrepresentation of non-European populations can reduce prediction accuracy, distort polygenic risk estimation and contribute to unequal clinical benefit (Martin et al., 2019;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 Artificial intelligence is therefore transforming genomics, but the transformation is scientifically useful only when joined with rigorous validation, diverse data and ethical governance.</w:t>
      </w:r>
    </w:p>
    <w:p w:rsidR="00404AC7" w:rsidRPr="00404AC7" w:rsidRDefault="00404AC7" w:rsidP="00404AC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404AC7">
        <w:rPr>
          <w:rFonts w:ascii="Times New Roman" w:eastAsia="Times New Roman" w:hAnsi="Times New Roman" w:cs="Times New Roman"/>
          <w:b/>
          <w:bCs/>
          <w:sz w:val="27"/>
          <w:szCs w:val="27"/>
          <w:lang w:val="en-US"/>
        </w:rPr>
        <w:t>1.1. Scope and objective of the article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objective of this review is to </w:t>
      </w:r>
      <w:proofErr w:type="spellStart"/>
      <w:r w:rsidRPr="00404AC7">
        <w:rPr>
          <w:rFonts w:ascii="Times New Roman" w:eastAsia="Times New Roman" w:hAnsi="Times New Roman" w:cs="Times New Roman"/>
          <w:sz w:val="24"/>
          <w:szCs w:val="24"/>
          <w:lang w:val="en-US"/>
        </w:rPr>
        <w:t>synthesise</w:t>
      </w:r>
      <w:proofErr w:type="spellEnd"/>
      <w:r w:rsidRPr="00404AC7">
        <w:rPr>
          <w:rFonts w:ascii="Times New Roman" w:eastAsia="Times New Roman" w:hAnsi="Times New Roman" w:cs="Times New Roman"/>
          <w:sz w:val="24"/>
          <w:szCs w:val="24"/>
          <w:lang w:val="en-US"/>
        </w:rPr>
        <w:t xml:space="preserve"> recent and influential literature on how artificial intelligence is reshaping biological discovery through genomics. The article focuses on artificial intelligence in sequence analysis, variant calling, functional annotation, regulatory genomics, variant interpretation, protein structure prediction, single-cell and spatial genomics, multi-omics integration, CRISPR-based genome engineering and genomic medicine. It also considers limitations related to bias, interpretability, reproducibility, privacy and translation. The article is designed as a narrative review for an academic readership and does not aim to conduct a meta-analysis or rank all available algorithms.</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2. Methods for literature selection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This manuscript was developed as a narrative review because the topic covers multiple scientific domains, including sequencing informatics, population genomics, regulatory genomics, protein structure prediction, single-cell biology, genome editing, multi-omics integration and clinical genomic interpretation. A systematic review or meta-analysis would be less appropriate for this broad objective because the included studies do not evaluate a single intervention, comparator or outcome. Instead, they represent diverse computational methods, biological datasets, benchmark problems and translational contexts. The review was guided by the principle that narrative reviews should make their scope, selection logic and interpretive approach explicit, consistent with quality-assessment expectations described in SANRA, the Scale for the Assessment of Narrative Review Articles (</w:t>
      </w:r>
      <w:proofErr w:type="spellStart"/>
      <w:r w:rsidRPr="00404AC7">
        <w:rPr>
          <w:rFonts w:ascii="Times New Roman" w:eastAsia="Times New Roman" w:hAnsi="Times New Roman" w:cs="Times New Roman"/>
          <w:sz w:val="24"/>
          <w:szCs w:val="24"/>
          <w:lang w:val="en-US"/>
        </w:rPr>
        <w:t>Baethge</w:t>
      </w:r>
      <w:proofErr w:type="spellEnd"/>
      <w:r w:rsidRPr="00404AC7">
        <w:rPr>
          <w:rFonts w:ascii="Times New Roman" w:eastAsia="Times New Roman" w:hAnsi="Times New Roman" w:cs="Times New Roman"/>
          <w:sz w:val="24"/>
          <w:szCs w:val="24"/>
          <w:lang w:val="en-US"/>
        </w:rPr>
        <w:t xml:space="preserve"> et al., 2019).</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literature search covered work published from 1 January 2000 to 1 May 2026, with emphasis on peer-reviewed journal articles from 2015 onward because deep learning and </w:t>
      </w:r>
      <w:r w:rsidRPr="00404AC7">
        <w:rPr>
          <w:rFonts w:ascii="Times New Roman" w:eastAsia="Times New Roman" w:hAnsi="Times New Roman" w:cs="Times New Roman"/>
          <w:sz w:val="24"/>
          <w:szCs w:val="24"/>
          <w:lang w:val="en-US"/>
        </w:rPr>
        <w:lastRenderedPageBreak/>
        <w:t xml:space="preserve">foundation-model applications in genomics have accelerated during this period. Searches were planned conceptually across PubMed/MEDLINE, Web of Science, Scopus and Google Scholar. Additional searches were considered across Europe PMC, </w:t>
      </w:r>
      <w:proofErr w:type="spellStart"/>
      <w:r w:rsidRPr="00404AC7">
        <w:rPr>
          <w:rFonts w:ascii="Times New Roman" w:eastAsia="Times New Roman" w:hAnsi="Times New Roman" w:cs="Times New Roman"/>
          <w:sz w:val="24"/>
          <w:szCs w:val="24"/>
          <w:lang w:val="en-US"/>
        </w:rPr>
        <w:t>Embase</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Crossref</w:t>
      </w:r>
      <w:proofErr w:type="spellEnd"/>
      <w:r w:rsidRPr="00404AC7">
        <w:rPr>
          <w:rFonts w:ascii="Times New Roman" w:eastAsia="Times New Roman" w:hAnsi="Times New Roman" w:cs="Times New Roman"/>
          <w:sz w:val="24"/>
          <w:szCs w:val="24"/>
          <w:lang w:val="en-US"/>
        </w:rPr>
        <w:t xml:space="preserve">, IEEE Xplore and ACM Digital Library because the topic spans biomedical, computational and data-science literature. Search expressions combined terms such as “artificial intelligence AND genomics”, “machine learning AND genetics”, “deep learning AND regulatory genomics”, “variant calling AND deep neural network”, “variant interpretation AND pathogenicity prediction”, “foundation model AND DNA sequence”, “single-cell genomics AND deep learning”, “multi-omics integration AND machine learning”, “CRISPR guide RNA AND deep learning”, and “protein structure prediction AND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screening workflow was conducted in stages. Titles and abstracts were first examined for relevance to artificial intelligence, machine learning, deep learning, computational prediction or integrative modelling in genomics. Full texts were then considered where papers reported influential models, widely used resources, major datasets, methodological frameworks or clinically relevant interpretation systems. Duplicate records were removed by matching DOI, title, author list and journal metadata. The review retained English-language, peer-reviewed journal articles and excluded books, patents, trade magazines, conference-only papers and unreviewed grey literature. Governmental or intergovernmental reports were eligible under the search plan, but the final reference list relies on peer-reviewed journal articles because adequate journal evidence with DOI identifiers was available.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Influential studies were selected according to methodological relevance, scientific adoption, field-defining importance, contribution to conceptual understanding and representation of major genomic subfields. Foundational data resources were included because artificial intelligence in genomics depends heavily on the datasets used for training, benchmarking and interpretation. Method papers were selected when they exemplified a major modelling direction, such as convolutional sequence learning, long-range regulatory modelling, deep variant calling, splicing prediction, protein-structure prediction, single-cell generative modelling or multi-omics integration. The final reference list was checked so that all cited sources appear in the manuscript and all manuscript citations appear in the reference list.</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3. Genomic data resources as foundations for artificial intelligence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in genomics depends fundamentally on the scale, structure and representativeness of genomic data. Unlike many laboratory techniques, artificial intelligence models do not merely process data; they learn from the statistical structure of the datasets to which they are exposed. Consequently, the scientific value of a genomic model depends not only on model architecture, but also on the biological coverage, technical quality and population diversity of the training and validation data. The 1000 Genomes Project was important because it provided a global catalogue of human genetic variation across populations and helped establish the scale at which reference datasets could support downstream genetic analysis (1000 Genomes Project Consortium, 2015). </w:t>
      </w:r>
      <w:proofErr w:type="spellStart"/>
      <w:r w:rsidRPr="00404AC7">
        <w:rPr>
          <w:rFonts w:ascii="Times New Roman" w:eastAsia="Times New Roman" w:hAnsi="Times New Roman" w:cs="Times New Roman"/>
          <w:sz w:val="24"/>
          <w:szCs w:val="24"/>
          <w:lang w:val="en-US"/>
        </w:rPr>
        <w:t>gnomAD</w:t>
      </w:r>
      <w:proofErr w:type="spellEnd"/>
      <w:r w:rsidRPr="00404AC7">
        <w:rPr>
          <w:rFonts w:ascii="Times New Roman" w:eastAsia="Times New Roman" w:hAnsi="Times New Roman" w:cs="Times New Roman"/>
          <w:sz w:val="24"/>
          <w:szCs w:val="24"/>
          <w:lang w:val="en-US"/>
        </w:rPr>
        <w:t xml:space="preserve"> later expanded the population-variation framework by aggregating large exome and genome datasets to quantify mutational constraint, especially for predicted loss-of-function variation in protein-coding genes (</w:t>
      </w:r>
      <w:proofErr w:type="spellStart"/>
      <w:r w:rsidRPr="00404AC7">
        <w:rPr>
          <w:rFonts w:ascii="Times New Roman" w:eastAsia="Times New Roman" w:hAnsi="Times New Roman" w:cs="Times New Roman"/>
          <w:sz w:val="24"/>
          <w:szCs w:val="24"/>
          <w:lang w:val="en-US"/>
        </w:rPr>
        <w:t>Karczewski</w:t>
      </w:r>
      <w:proofErr w:type="spellEnd"/>
      <w:r w:rsidRPr="00404AC7">
        <w:rPr>
          <w:rFonts w:ascii="Times New Roman" w:eastAsia="Times New Roman" w:hAnsi="Times New Roman" w:cs="Times New Roman"/>
          <w:sz w:val="24"/>
          <w:szCs w:val="24"/>
          <w:lang w:val="en-US"/>
        </w:rPr>
        <w:t xml:space="preserve"> et al., 2020).</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Functional resources have played an equally important role. ENCODE and the Roadmap Epigenomics Project enabled researchers to connect DNA sequence to biochemical activity, chromatin state and gene regulation across cell types and tissues (ENCODE Project Consortium, 2012; Roadmap Epigenomics Consortium, 2015).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added tissue-specific evidence linking inherited variation to gene expression and splicing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2020). These resources are central to artificial intelligence because they provide labelled examples from which models can learn regulatory codes, tissue-specific effects and molecular consequences of genetic variation. Without such datasets, sequence-based prediction would be limited to simpler annotation tasks.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structure of reference genomes also shapes model performance. The T2T-CHM13 assembly improved access to regions that had been difficult to </w:t>
      </w:r>
      <w:proofErr w:type="spellStart"/>
      <w:r w:rsidRPr="00404AC7">
        <w:rPr>
          <w:rFonts w:ascii="Times New Roman" w:eastAsia="Times New Roman" w:hAnsi="Times New Roman" w:cs="Times New Roman"/>
          <w:sz w:val="24"/>
          <w:szCs w:val="24"/>
          <w:lang w:val="en-US"/>
        </w:rPr>
        <w:t>analyse</w:t>
      </w:r>
      <w:proofErr w:type="spellEnd"/>
      <w:r w:rsidRPr="00404AC7">
        <w:rPr>
          <w:rFonts w:ascii="Times New Roman" w:eastAsia="Times New Roman" w:hAnsi="Times New Roman" w:cs="Times New Roman"/>
          <w:sz w:val="24"/>
          <w:szCs w:val="24"/>
          <w:lang w:val="en-US"/>
        </w:rPr>
        <w:t xml:space="preserve"> in previous references, including repetitive and heterochromatic regions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The human pangenome reference represents a more substantial conceptual shift because it moves genomics away from a single reference sequence towards a representation of multiple haplotypes and structural configurations (Liao et al., 2023). This matters because many artificial intelligence models have historically assumed a linear reference coordinate system. Future models will need to </w:t>
      </w:r>
      <w:proofErr w:type="spellStart"/>
      <w:r w:rsidRPr="00404AC7">
        <w:rPr>
          <w:rFonts w:ascii="Times New Roman" w:eastAsia="Times New Roman" w:hAnsi="Times New Roman" w:cs="Times New Roman"/>
          <w:sz w:val="24"/>
          <w:szCs w:val="24"/>
          <w:lang w:val="en-US"/>
        </w:rPr>
        <w:t>analyse</w:t>
      </w:r>
      <w:proofErr w:type="spellEnd"/>
      <w:r w:rsidRPr="00404AC7">
        <w:rPr>
          <w:rFonts w:ascii="Times New Roman" w:eastAsia="Times New Roman" w:hAnsi="Times New Roman" w:cs="Times New Roman"/>
          <w:sz w:val="24"/>
          <w:szCs w:val="24"/>
          <w:lang w:val="en-US"/>
        </w:rPr>
        <w:t xml:space="preserve"> genomic information in graph-based or pangenome-aware forms if they are to represent structural variation and human diversity more accurately.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Data diversity remains one of the most important scientific limitations in the field. Genomic datasets have historically overrepresented individuals of European ancestry, which can limit the accuracy and </w:t>
      </w:r>
      <w:proofErr w:type="spellStart"/>
      <w:r w:rsidRPr="00404AC7">
        <w:rPr>
          <w:rFonts w:ascii="Times New Roman" w:eastAsia="Times New Roman" w:hAnsi="Times New Roman" w:cs="Times New Roman"/>
          <w:sz w:val="24"/>
          <w:szCs w:val="24"/>
          <w:lang w:val="en-US"/>
        </w:rPr>
        <w:t>generalisability</w:t>
      </w:r>
      <w:proofErr w:type="spellEnd"/>
      <w:r w:rsidRPr="00404AC7">
        <w:rPr>
          <w:rFonts w:ascii="Times New Roman" w:eastAsia="Times New Roman" w:hAnsi="Times New Roman" w:cs="Times New Roman"/>
          <w:sz w:val="24"/>
          <w:szCs w:val="24"/>
          <w:lang w:val="en-US"/>
        </w:rPr>
        <w:t xml:space="preserve"> of genetic discovery and clinical prediction in other populations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 Polygenic risk scores are a clear example, because scores trained on Eurocentric genome-wide association studies often transfer poorly to populations with different allele frequencies and linkage-disequilibrium patterns (Martin et al., 2019). Artificial intelligence may amplify this problem if models are trained on imbalanced datasets and then deployed broadly. Therefore, diversity is not only an ethical ideal; it is a technical requirement for robust genomic prediction.</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4. From classical machine learning to deep learning in genomics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Classical machine learning provided an early framework for </w:t>
      </w:r>
      <w:proofErr w:type="spellStart"/>
      <w:r w:rsidRPr="00404AC7">
        <w:rPr>
          <w:rFonts w:ascii="Times New Roman" w:eastAsia="Times New Roman" w:hAnsi="Times New Roman" w:cs="Times New Roman"/>
          <w:sz w:val="24"/>
          <w:szCs w:val="24"/>
          <w:lang w:val="en-US"/>
        </w:rPr>
        <w:t>analysing</w:t>
      </w:r>
      <w:proofErr w:type="spellEnd"/>
      <w:r w:rsidRPr="00404AC7">
        <w:rPr>
          <w:rFonts w:ascii="Times New Roman" w:eastAsia="Times New Roman" w:hAnsi="Times New Roman" w:cs="Times New Roman"/>
          <w:sz w:val="24"/>
          <w:szCs w:val="24"/>
          <w:lang w:val="en-US"/>
        </w:rPr>
        <w:t xml:space="preserve"> genetic and genomic datasets. Supervised models were used for classification and regression, unsupervised models for clustering and latent structure discovery, and semi-supervised methods for situations in which labelled biological examples were limited. </w:t>
      </w:r>
      <w:proofErr w:type="spellStart"/>
      <w:r w:rsidRPr="00404AC7">
        <w:rPr>
          <w:rFonts w:ascii="Times New Roman" w:eastAsia="Times New Roman" w:hAnsi="Times New Roman" w:cs="Times New Roman"/>
          <w:sz w:val="24"/>
          <w:szCs w:val="24"/>
          <w:lang w:val="en-US"/>
        </w:rPr>
        <w:t>Libbrecht</w:t>
      </w:r>
      <w:proofErr w:type="spellEnd"/>
      <w:r w:rsidRPr="00404AC7">
        <w:rPr>
          <w:rFonts w:ascii="Times New Roman" w:eastAsia="Times New Roman" w:hAnsi="Times New Roman" w:cs="Times New Roman"/>
          <w:sz w:val="24"/>
          <w:szCs w:val="24"/>
          <w:lang w:val="en-US"/>
        </w:rPr>
        <w:t xml:space="preserve"> and Noble (2015) described machine learning as a natural fit for genome sequencing, epigenomic, proteomic and metabolomic data, while also </w:t>
      </w:r>
      <w:proofErr w:type="spellStart"/>
      <w:r w:rsidRPr="00404AC7">
        <w:rPr>
          <w:rFonts w:ascii="Times New Roman" w:eastAsia="Times New Roman" w:hAnsi="Times New Roman" w:cs="Times New Roman"/>
          <w:sz w:val="24"/>
          <w:szCs w:val="24"/>
          <w:lang w:val="en-US"/>
        </w:rPr>
        <w:t>emphasising</w:t>
      </w:r>
      <w:proofErr w:type="spellEnd"/>
      <w:r w:rsidRPr="00404AC7">
        <w:rPr>
          <w:rFonts w:ascii="Times New Roman" w:eastAsia="Times New Roman" w:hAnsi="Times New Roman" w:cs="Times New Roman"/>
          <w:sz w:val="24"/>
          <w:szCs w:val="24"/>
          <w:lang w:val="en-US"/>
        </w:rPr>
        <w:t xml:space="preserve"> recurring challenges such as feature design, model evaluation, class imbalance and interpretability. These challenges remain important even as the field has moved towards larger and more flexible neural networks.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Deep learning changed genomic modelling by reducing dependence on manually engineered features. In sequence-based genomics, convolutional neural networks can learn motifs and local sequence patterns directly from DNA strings. </w:t>
      </w: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showed that deep learning could infer DNA- and RNA-binding specificities from experimental data, supporting scalable prediction of protein–nucleic acid interactions (</w:t>
      </w: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et al., 2015).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predicted chromatin effects of non-coding variants from sequence, suggesting that regulatory consequences could be learned from large-scale chromatin-profiling data (Zhou &amp; </w:t>
      </w:r>
      <w:proofErr w:type="spellStart"/>
      <w:r w:rsidRPr="00404AC7">
        <w:rPr>
          <w:rFonts w:ascii="Times New Roman" w:eastAsia="Times New Roman" w:hAnsi="Times New Roman" w:cs="Times New Roman"/>
          <w:sz w:val="24"/>
          <w:szCs w:val="24"/>
          <w:lang w:val="en-US"/>
        </w:rPr>
        <w:lastRenderedPageBreak/>
        <w:t>Troyanskaya</w:t>
      </w:r>
      <w:proofErr w:type="spellEnd"/>
      <w:r w:rsidRPr="00404AC7">
        <w:rPr>
          <w:rFonts w:ascii="Times New Roman" w:eastAsia="Times New Roman" w:hAnsi="Times New Roman" w:cs="Times New Roman"/>
          <w:sz w:val="24"/>
          <w:szCs w:val="24"/>
          <w:lang w:val="en-US"/>
        </w:rPr>
        <w:t>, 2015). Basset further showed that deep convolutional networks could model chromatin accessibility and estimate how variants may alter accessible regulatory sequence (Kelley et al., 2016).</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next phase of deep learning in genomics incorporated longer-range dependencies and more complex regulatory grammar. </w:t>
      </w: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combined convolutional and recurrent layers to capture both regulatory motifs and dependencies among motifs across DNA sequence (Quang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2016).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later used attention-based modelling to improve gene-expression prediction from long DNA sequence context, including regulatory information located far from transcription start sites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et al., 2021). This progression reflects an important biological principle: regulatory function depends not only on short motifs, but also on spacing, orientation, chromatin context, enhancer–promoter interactions and cell-type-specific activity.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Deep learning has also supported a broader shift towards representation learning. Reviews in computational biology and genomics have noted that deep models can extract hidden structure from large biological datasets and can support applications across regulatory genomics, variant prediction, medical imaging, drug discovery and clinical diagnostics (</w:t>
      </w:r>
      <w:proofErr w:type="spellStart"/>
      <w:r w:rsidRPr="00404AC7">
        <w:rPr>
          <w:rFonts w:ascii="Times New Roman" w:eastAsia="Times New Roman" w:hAnsi="Times New Roman" w:cs="Times New Roman"/>
          <w:sz w:val="24"/>
          <w:szCs w:val="24"/>
          <w:lang w:val="en-US"/>
        </w:rPr>
        <w:t>Angermueller</w:t>
      </w:r>
      <w:proofErr w:type="spellEnd"/>
      <w:r w:rsidRPr="00404AC7">
        <w:rPr>
          <w:rFonts w:ascii="Times New Roman" w:eastAsia="Times New Roman" w:hAnsi="Times New Roman" w:cs="Times New Roman"/>
          <w:sz w:val="24"/>
          <w:szCs w:val="24"/>
          <w:lang w:val="en-US"/>
        </w:rPr>
        <w:t xml:space="preserve"> et al., 2016; </w:t>
      </w:r>
      <w:proofErr w:type="spellStart"/>
      <w:r w:rsidRPr="00404AC7">
        <w:rPr>
          <w:rFonts w:ascii="Times New Roman" w:eastAsia="Times New Roman" w:hAnsi="Times New Roman" w:cs="Times New Roman"/>
          <w:sz w:val="24"/>
          <w:szCs w:val="24"/>
          <w:lang w:val="en-US"/>
        </w:rPr>
        <w:t>Eraslan</w:t>
      </w:r>
      <w:proofErr w:type="spellEnd"/>
      <w:r w:rsidRPr="00404AC7">
        <w:rPr>
          <w:rFonts w:ascii="Times New Roman" w:eastAsia="Times New Roman" w:hAnsi="Times New Roman" w:cs="Times New Roman"/>
          <w:sz w:val="24"/>
          <w:szCs w:val="24"/>
          <w:lang w:val="en-US"/>
        </w:rPr>
        <w:t xml:space="preserve"> et al., 2019; </w:t>
      </w:r>
      <w:proofErr w:type="spellStart"/>
      <w:r w:rsidRPr="00404AC7">
        <w:rPr>
          <w:rFonts w:ascii="Times New Roman" w:eastAsia="Times New Roman" w:hAnsi="Times New Roman" w:cs="Times New Roman"/>
          <w:sz w:val="24"/>
          <w:szCs w:val="24"/>
          <w:lang w:val="en-US"/>
        </w:rPr>
        <w:t>Wainberg</w:t>
      </w:r>
      <w:proofErr w:type="spellEnd"/>
      <w:r w:rsidRPr="00404AC7">
        <w:rPr>
          <w:rFonts w:ascii="Times New Roman" w:eastAsia="Times New Roman" w:hAnsi="Times New Roman" w:cs="Times New Roman"/>
          <w:sz w:val="24"/>
          <w:szCs w:val="24"/>
          <w:lang w:val="en-US"/>
        </w:rPr>
        <w:t xml:space="preserve"> et al., 2018; Zou et al., 2019). However, larger models are not automatically better biological models. They can learn dataset artefacts, become difficult to interpret, require substantial computational resources and produce misleading confidence when applied outside their training domain. The most useful models are therefore those that combine predictive performance with biological plausibility, transparent evaluation and experimental testability.</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5. Artificial intelligence in sequencing, read correction and variant calling</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Sequencing analysis converts raw molecular signals into genomic variants, assemblies and annotations. This stage is critical because downstream biological inference depends on the technical accuracy of sequence reads, alignments and variant calls. Traditional variant-calling pipelines used statistical models, base-quality recalibration and manually designed filters. </w:t>
      </w:r>
      <w:proofErr w:type="spellStart"/>
      <w:r w:rsidRPr="00404AC7">
        <w:rPr>
          <w:rFonts w:ascii="Times New Roman" w:eastAsia="Times New Roman" w:hAnsi="Times New Roman" w:cs="Times New Roman"/>
          <w:sz w:val="24"/>
          <w:szCs w:val="24"/>
          <w:lang w:val="en-US"/>
        </w:rPr>
        <w:t>DeepVariant</w:t>
      </w:r>
      <w:proofErr w:type="spellEnd"/>
      <w:r w:rsidRPr="00404AC7">
        <w:rPr>
          <w:rFonts w:ascii="Times New Roman" w:eastAsia="Times New Roman" w:hAnsi="Times New Roman" w:cs="Times New Roman"/>
          <w:sz w:val="24"/>
          <w:szCs w:val="24"/>
          <w:lang w:val="en-US"/>
        </w:rPr>
        <w:t xml:space="preserve"> reframed germline variant calling as a learned pattern-recognition task by representing aligned reads around candidate variants in a form suitable for deep convolutional neural networks (Poplin et al., 2018). This work showed that artificial intelligence could improve variant calling by learning from read-pileup patterns rather than relying entirely on hand-crafted error models.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significance of </w:t>
      </w:r>
      <w:proofErr w:type="spellStart"/>
      <w:r w:rsidRPr="00404AC7">
        <w:rPr>
          <w:rFonts w:ascii="Times New Roman" w:eastAsia="Times New Roman" w:hAnsi="Times New Roman" w:cs="Times New Roman"/>
          <w:sz w:val="24"/>
          <w:szCs w:val="24"/>
          <w:lang w:val="en-US"/>
        </w:rPr>
        <w:t>DeepVariant</w:t>
      </w:r>
      <w:proofErr w:type="spellEnd"/>
      <w:r w:rsidRPr="00404AC7">
        <w:rPr>
          <w:rFonts w:ascii="Times New Roman" w:eastAsia="Times New Roman" w:hAnsi="Times New Roman" w:cs="Times New Roman"/>
          <w:sz w:val="24"/>
          <w:szCs w:val="24"/>
          <w:lang w:val="en-US"/>
        </w:rPr>
        <w:t xml:space="preserve"> extends beyond one software tool. It demonstrated that deep learning can be inserted into core sequencing infrastructure and can operate close to raw data. This is important because errors in variant calling can propagate into disease-gene discovery, clinical diagnostics and population genetics. A technically incorrect variant call may create a false biological hypothesis, while a missed variant may obscure a causal mechanism. Artificial intelligence can reduce some of these errors, but it also requires careful training across sequencing platforms, genome builds, read lengths and sample types.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Long-read sequencing creates new opportunities and challenges for artificial intelligence. Long reads improve access to structural variation, haplotypes, repetitive regions and previously unresolved genomic segments, but they have different error characteristics from </w:t>
      </w:r>
      <w:r w:rsidRPr="00404AC7">
        <w:rPr>
          <w:rFonts w:ascii="Times New Roman" w:eastAsia="Times New Roman" w:hAnsi="Times New Roman" w:cs="Times New Roman"/>
          <w:sz w:val="24"/>
          <w:szCs w:val="24"/>
          <w:lang w:val="en-US"/>
        </w:rPr>
        <w:lastRenderedPageBreak/>
        <w:t xml:space="preserve">short-read technologies. </w:t>
      </w:r>
      <w:proofErr w:type="spellStart"/>
      <w:r w:rsidRPr="00404AC7">
        <w:rPr>
          <w:rFonts w:ascii="Times New Roman" w:eastAsia="Times New Roman" w:hAnsi="Times New Roman" w:cs="Times New Roman"/>
          <w:sz w:val="24"/>
          <w:szCs w:val="24"/>
          <w:lang w:val="en-US"/>
        </w:rPr>
        <w:t>DeepConsensus</w:t>
      </w:r>
      <w:proofErr w:type="spellEnd"/>
      <w:r w:rsidRPr="00404AC7">
        <w:rPr>
          <w:rFonts w:ascii="Times New Roman" w:eastAsia="Times New Roman" w:hAnsi="Times New Roman" w:cs="Times New Roman"/>
          <w:sz w:val="24"/>
          <w:szCs w:val="24"/>
          <w:lang w:val="en-US"/>
        </w:rPr>
        <w:t xml:space="preserve"> used a gap-aware transformer approach to improve PacBio HiFi read accuracy and reduce read errors relative to the previous consensus approach (</w:t>
      </w:r>
      <w:proofErr w:type="spellStart"/>
      <w:r w:rsidRPr="00404AC7">
        <w:rPr>
          <w:rFonts w:ascii="Times New Roman" w:eastAsia="Times New Roman" w:hAnsi="Times New Roman" w:cs="Times New Roman"/>
          <w:sz w:val="24"/>
          <w:szCs w:val="24"/>
          <w:lang w:val="en-US"/>
        </w:rPr>
        <w:t>Baid</w:t>
      </w:r>
      <w:proofErr w:type="spellEnd"/>
      <w:r w:rsidRPr="00404AC7">
        <w:rPr>
          <w:rFonts w:ascii="Times New Roman" w:eastAsia="Times New Roman" w:hAnsi="Times New Roman" w:cs="Times New Roman"/>
          <w:sz w:val="24"/>
          <w:szCs w:val="24"/>
          <w:lang w:val="en-US"/>
        </w:rPr>
        <w:t xml:space="preserve"> et al., 2023). Such models show that artificial intelligence can improve data quality before variant calling or assembly, not merely interpret variants after they are called.</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Genome assembly and pangenome representation will likely become increasingly important for artificial intelligence. The T2T-CHM13 assembly and the draft human pangenome reference illustrate that reference bias is not a minor technical issue but a structural feature of genomic analysis (Liao et al., 2023;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Artificial intelligence models trained only on older reference representations may be less capable of detecting or interpreting structural variants, segmental duplications, centromeric sequence, complex haplotypes and ancestry-specific sequence. Future variant-calling systems will therefore need to combine deep learning with pangenome graphs, long-read evidence and diverse population assemblies.</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6. Artificial intelligence in regulatory genomics and functional annotation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Regulatory genomics is one of the areas in which artificial intelligence has most clearly changed biological discovery. A large fraction of complex-trait-associated variants identified by genome-wide association studies occurs outside protein-coding regions, and many such variants are presumed to influence gene regulation rather than protein sequence directly (Visscher et al., 2017). The challenge is that regulatory effects are highly context dependent. A variant may alter enhancer activity in one cell type, have no measurable effect in another, or influence a gene located far away in linear genomic distance. Artificial intelligence offers a way to learn regulatory patterns from large functional genomic datasets and then apply those patterns to variant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and Basset were early examples of this approach. </w:t>
      </w: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learned binding specificities of DNA- and RNA-binding proteins from experimental data (</w:t>
      </w: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et al., 2015).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predicted chromatin effects of non-coding variants from sequence alone, connecting sequence changes to functional genomic consequences (Zhou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xml:space="preserve">, 2015). Basset modelled chromatin accessibility and allowed researchers to estimate how sequence variants may influence regulatory activity (Kelley et al., 2016). These models were influential because they showed that DNA sequence contains learnable features related to regulatory function and that artificial intelligence can help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variants in non-coding regions.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extended sequence modelling by combining convolutional layers with recurrent layers, allowing the model to represent both local motifs and longer dependencies between motifs (Quang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2016).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advanced the field further by modelling long-range regulatory information and improving prediction of gene expression from DNA sequence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et al., 2021). This is biologically important because enhancers can act over long distances, and disease-associated variants may influence gene expression through enhancer–promoter relationships rather than through nearby genes. Although models such as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do not fully reproduce chromatin dynamics or three-dimensional genome </w:t>
      </w:r>
      <w:proofErr w:type="spellStart"/>
      <w:r w:rsidRPr="00404AC7">
        <w:rPr>
          <w:rFonts w:ascii="Times New Roman" w:eastAsia="Times New Roman" w:hAnsi="Times New Roman" w:cs="Times New Roman"/>
          <w:sz w:val="24"/>
          <w:szCs w:val="24"/>
          <w:lang w:val="en-US"/>
        </w:rPr>
        <w:t>organisation</w:t>
      </w:r>
      <w:proofErr w:type="spellEnd"/>
      <w:r w:rsidRPr="00404AC7">
        <w:rPr>
          <w:rFonts w:ascii="Times New Roman" w:eastAsia="Times New Roman" w:hAnsi="Times New Roman" w:cs="Times New Roman"/>
          <w:sz w:val="24"/>
          <w:szCs w:val="24"/>
          <w:lang w:val="en-US"/>
        </w:rPr>
        <w:t xml:space="preserve">, they provide a useful framework for </w:t>
      </w:r>
      <w:proofErr w:type="spellStart"/>
      <w:r w:rsidRPr="00404AC7">
        <w:rPr>
          <w:rFonts w:ascii="Times New Roman" w:eastAsia="Times New Roman" w:hAnsi="Times New Roman" w:cs="Times New Roman"/>
          <w:sz w:val="24"/>
          <w:szCs w:val="24"/>
          <w:lang w:val="en-US"/>
        </w:rPr>
        <w:t>prioritising</w:t>
      </w:r>
      <w:proofErr w:type="spellEnd"/>
      <w:r w:rsidRPr="00404AC7">
        <w:rPr>
          <w:rFonts w:ascii="Times New Roman" w:eastAsia="Times New Roman" w:hAnsi="Times New Roman" w:cs="Times New Roman"/>
          <w:sz w:val="24"/>
          <w:szCs w:val="24"/>
          <w:lang w:val="en-US"/>
        </w:rPr>
        <w:t xml:space="preserve"> candidate regulatory variants and designing experiments.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Foundation models are now changing the regulatory-genomics landscape. Nucleotide Transformer models were trained on large-scale DNA sequence datasets, including human reference sequence, 3,202 diverse human genomes and 850 genomes from diverse species, and were evaluated across multiple genomic prediction tasks (Dalla-Torre et al., 2025). Their importance lies in self-supervised learning: the model can learn general sequence representations before being fine-tuned for specific tasks. This may reduce dependence on labelled datasets for every new application and may support transfer across related genomic problems. However, foundation models require rigorous evaluation because apparent generality can conceal weaknesses in specific tissues, ancestries, variant classes or organisms.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Functional annotation also depends on experimental context. A model that predicts regulatory activity from sequence may not capture environmental response, developmental timing, chromatin </w:t>
      </w:r>
      <w:proofErr w:type="spellStart"/>
      <w:r w:rsidRPr="00404AC7">
        <w:rPr>
          <w:rFonts w:ascii="Times New Roman" w:eastAsia="Times New Roman" w:hAnsi="Times New Roman" w:cs="Times New Roman"/>
          <w:sz w:val="24"/>
          <w:szCs w:val="24"/>
          <w:lang w:val="en-US"/>
        </w:rPr>
        <w:t>remodelling</w:t>
      </w:r>
      <w:proofErr w:type="spellEnd"/>
      <w:r w:rsidRPr="00404AC7">
        <w:rPr>
          <w:rFonts w:ascii="Times New Roman" w:eastAsia="Times New Roman" w:hAnsi="Times New Roman" w:cs="Times New Roman"/>
          <w:sz w:val="24"/>
          <w:szCs w:val="24"/>
          <w:lang w:val="en-US"/>
        </w:rPr>
        <w:t xml:space="preserve">, transcription-factor abundance, DNA methylation or RNA-mediated regulation. Therefore, artificial intelligence should be used as a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and hypothesis-generation tool rather than as final evidence of regulatory function. Its greatest value is </w:t>
      </w:r>
      <w:proofErr w:type="spellStart"/>
      <w:r w:rsidRPr="00404AC7">
        <w:rPr>
          <w:rFonts w:ascii="Times New Roman" w:eastAsia="Times New Roman" w:hAnsi="Times New Roman" w:cs="Times New Roman"/>
          <w:sz w:val="24"/>
          <w:szCs w:val="24"/>
          <w:lang w:val="en-US"/>
        </w:rPr>
        <w:t>realised</w:t>
      </w:r>
      <w:proofErr w:type="spellEnd"/>
      <w:r w:rsidRPr="00404AC7">
        <w:rPr>
          <w:rFonts w:ascii="Times New Roman" w:eastAsia="Times New Roman" w:hAnsi="Times New Roman" w:cs="Times New Roman"/>
          <w:sz w:val="24"/>
          <w:szCs w:val="24"/>
          <w:lang w:val="en-US"/>
        </w:rPr>
        <w:t xml:space="preserve"> when predictions are tested using reporter assays, CRISPR perturbations, expression analyses, chromatin profiling and disease-relevant cellular systems.</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7. Artificial intelligence in variant interpretation and pathogenicity prediction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Variant interpretation is a central bottleneck in genomic medicine and biological discovery. A single human genome contains millions of variants, most of which are benign or of uncertain significance. Clinical sequencing often identifies candidate variants whose biological meaning is difficult to establish. Artificial intelligence and machine learning can help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variants by integrating multiple forms of evidence, including conservation, population frequency, predicted molecular effect, regulatory annotation, protein context and known disease associations.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CADD was an early and influential integrative framework for estimating the relative pathogenicity of human genetic variants by combining diverse genomic annotations into a single score (Kircher et al., 2014). REVEL focused on rare missense variants and integrated multiple prediction tools into an ensemble method for pathogenicity prediction (Ioannidis et al., 2016). These methods helped establish the value of combining heterogeneous evidence, but they also highlight a recurring problem: prediction scores are not equivalent to clinical classifications. A high score may suggest that a variant deserves attention, but it does not prove causality.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Deep learning has improved mechanism-specific variant interpretation. </w:t>
      </w:r>
      <w:proofErr w:type="spellStart"/>
      <w:r w:rsidRPr="00404AC7">
        <w:rPr>
          <w:rFonts w:ascii="Times New Roman" w:eastAsia="Times New Roman" w:hAnsi="Times New Roman" w:cs="Times New Roman"/>
          <w:sz w:val="24"/>
          <w:szCs w:val="24"/>
          <w:lang w:val="en-US"/>
        </w:rPr>
        <w:t>SpliceAI</w:t>
      </w:r>
      <w:proofErr w:type="spellEnd"/>
      <w:r w:rsidRPr="00404AC7">
        <w:rPr>
          <w:rFonts w:ascii="Times New Roman" w:eastAsia="Times New Roman" w:hAnsi="Times New Roman" w:cs="Times New Roman"/>
          <w:sz w:val="24"/>
          <w:szCs w:val="24"/>
          <w:lang w:val="en-US"/>
        </w:rPr>
        <w:t xml:space="preserve"> predicts splicing consequences from primary nucleotide sequence and can identify variants that create or disrupt splice signals (</w:t>
      </w: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et al., 2019). This is important because pathogenic variants may act through RNA processing, including intronic and synonymous changes that are difficult to interpret from protein sequence alone.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extended prediction of missense variant effects by adapting ideas from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and using evolutionary and structural context to estimate pathogenicity for possible amino-acid substitutions across the human proteome (Cheng et al., 2023).</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Clinical interpretation remains governed by evidence standards. The ACMG/AMP guidelines provide a structured framework for classifying sequence variants using population data, </w:t>
      </w:r>
      <w:r w:rsidRPr="00404AC7">
        <w:rPr>
          <w:rFonts w:ascii="Times New Roman" w:eastAsia="Times New Roman" w:hAnsi="Times New Roman" w:cs="Times New Roman"/>
          <w:sz w:val="24"/>
          <w:szCs w:val="24"/>
          <w:lang w:val="en-US"/>
        </w:rPr>
        <w:lastRenderedPageBreak/>
        <w:t xml:space="preserve">computational evidence, functional studies, segregation, phenotype specificity and other lines of evidence (Richards et al., 2015). </w:t>
      </w:r>
      <w:proofErr w:type="spellStart"/>
      <w:r w:rsidRPr="00404AC7">
        <w:rPr>
          <w:rFonts w:ascii="Times New Roman" w:eastAsia="Times New Roman" w:hAnsi="Times New Roman" w:cs="Times New Roman"/>
          <w:sz w:val="24"/>
          <w:szCs w:val="24"/>
          <w:lang w:val="en-US"/>
        </w:rPr>
        <w:t>ClinVar</w:t>
      </w:r>
      <w:proofErr w:type="spellEnd"/>
      <w:r w:rsidRPr="00404AC7">
        <w:rPr>
          <w:rFonts w:ascii="Times New Roman" w:eastAsia="Times New Roman" w:hAnsi="Times New Roman" w:cs="Times New Roman"/>
          <w:sz w:val="24"/>
          <w:szCs w:val="24"/>
          <w:lang w:val="en-US"/>
        </w:rPr>
        <w:t xml:space="preserve"> supports this ecosystem by providing a public archive of variant interpretations and supporting evidence (Landrum et al., 2018). Artificial intelligence can assist these processes by </w:t>
      </w:r>
      <w:proofErr w:type="spellStart"/>
      <w:r w:rsidRPr="00404AC7">
        <w:rPr>
          <w:rFonts w:ascii="Times New Roman" w:eastAsia="Times New Roman" w:hAnsi="Times New Roman" w:cs="Times New Roman"/>
          <w:sz w:val="24"/>
          <w:szCs w:val="24"/>
          <w:lang w:val="en-US"/>
        </w:rPr>
        <w:t>prioritising</w:t>
      </w:r>
      <w:proofErr w:type="spellEnd"/>
      <w:r w:rsidRPr="00404AC7">
        <w:rPr>
          <w:rFonts w:ascii="Times New Roman" w:eastAsia="Times New Roman" w:hAnsi="Times New Roman" w:cs="Times New Roman"/>
          <w:sz w:val="24"/>
          <w:szCs w:val="24"/>
          <w:lang w:val="en-US"/>
        </w:rPr>
        <w:t xml:space="preserve"> variants and highlighting plausible mechanisms, but it should not replace expert interpretation. Model outputs can be biased by training labels, literature ascertainment and unequal study of genes and populations.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future of variant interpretation will likely combine artificial intelligence with high-throughput functional assays, long-read sequencing, saturation mutagenesis, patient phenotyping and population-diverse reference datasets. Computational predictions will be most useful when they are calibrated, gene-aware, mechanism-aware and accompanied by uncertainty estimates. They should also be updated as new evidence accumulates. In this sense, artificial intelligence is not a final adjudicator of pathogenicity; it is part of a dynamic evidence system.</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8. Protein structure prediction and genomic interpretation of molecular function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Protein structure prediction is one of the most visible successes of artificial intelligence in biology.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demonstrated that a deep-learning system could predict many protein structures with accuracy competitive with experimental approaches, particularly in the CASP14 assessment context (Jumper et al., 2021). The application of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to the human proteome expanded structural coverage for human proteins and provided predictions that can be used to reason about domains, active sites, interaction surfaces and potential effects of amino-acid substitutions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et al., 2021). The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Protein Structure Database then made predicted structures broadly accessible, enabling researchers to incorporate structural information into many areas of biology (</w:t>
      </w:r>
      <w:proofErr w:type="spellStart"/>
      <w:r w:rsidRPr="00404AC7">
        <w:rPr>
          <w:rFonts w:ascii="Times New Roman" w:eastAsia="Times New Roman" w:hAnsi="Times New Roman" w:cs="Times New Roman"/>
          <w:sz w:val="24"/>
          <w:szCs w:val="24"/>
          <w:lang w:val="en-US"/>
        </w:rPr>
        <w:t>Varadi</w:t>
      </w:r>
      <w:proofErr w:type="spellEnd"/>
      <w:r w:rsidRPr="00404AC7">
        <w:rPr>
          <w:rFonts w:ascii="Times New Roman" w:eastAsia="Times New Roman" w:hAnsi="Times New Roman" w:cs="Times New Roman"/>
          <w:sz w:val="24"/>
          <w:szCs w:val="24"/>
          <w:lang w:val="en-US"/>
        </w:rPr>
        <w:t xml:space="preserve"> et al., 2022).</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connection to genomics is direct. Many sequencing studies identify missense variants, in-frame insertions or deletions, truncations and other coding changes whose effects depend on protein structure and function. Structure-aware interpretation can help distinguish variants likely to disrupt a catalytic site, </w:t>
      </w:r>
      <w:proofErr w:type="spellStart"/>
      <w:r w:rsidRPr="00404AC7">
        <w:rPr>
          <w:rFonts w:ascii="Times New Roman" w:eastAsia="Times New Roman" w:hAnsi="Times New Roman" w:cs="Times New Roman"/>
          <w:sz w:val="24"/>
          <w:szCs w:val="24"/>
          <w:lang w:val="en-US"/>
        </w:rPr>
        <w:t>destabilise</w:t>
      </w:r>
      <w:proofErr w:type="spellEnd"/>
      <w:r w:rsidRPr="00404AC7">
        <w:rPr>
          <w:rFonts w:ascii="Times New Roman" w:eastAsia="Times New Roman" w:hAnsi="Times New Roman" w:cs="Times New Roman"/>
          <w:sz w:val="24"/>
          <w:szCs w:val="24"/>
          <w:lang w:val="en-US"/>
        </w:rPr>
        <w:t xml:space="preserve"> a folded domain, impair binding or alter a regulatory interface.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exemplifies this connection by using structural and evolutionary information to support proteome-wide prediction of missense variant effects (Cheng et al., 2023).</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Despite its importance, structure prediction should not be treated as a complete solution to molecular interpretation. Protein function depends on conformational dynamics, disorder, post-translational modification, cellular </w:t>
      </w:r>
      <w:proofErr w:type="spellStart"/>
      <w:r w:rsidRPr="00404AC7">
        <w:rPr>
          <w:rFonts w:ascii="Times New Roman" w:eastAsia="Times New Roman" w:hAnsi="Times New Roman" w:cs="Times New Roman"/>
          <w:sz w:val="24"/>
          <w:szCs w:val="24"/>
          <w:lang w:val="en-US"/>
        </w:rPr>
        <w:t>localisation</w:t>
      </w:r>
      <w:proofErr w:type="spellEnd"/>
      <w:r w:rsidRPr="00404AC7">
        <w:rPr>
          <w:rFonts w:ascii="Times New Roman" w:eastAsia="Times New Roman" w:hAnsi="Times New Roman" w:cs="Times New Roman"/>
          <w:sz w:val="24"/>
          <w:szCs w:val="24"/>
          <w:lang w:val="en-US"/>
        </w:rPr>
        <w:t>, concentration, interaction partners and tissue context. Some disease mechanisms involve gain of function, dominant-negative effects, altered regulation or abnormal interactions that cannot be inferred from a static predicted structure alone. Therefore, protein-structure artificial intelligence should be integrated with biochemical assays, cellular models, population genetics and clinical evidence.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broader lesson is that artificial intelligence can connect biological scales. Genome sequence can be linked to protein structure, protein structure to molecular mechanism, and molecular mechanism to disease interpretation. This cross-scale integration is one of the </w:t>
      </w:r>
      <w:r w:rsidRPr="00404AC7">
        <w:rPr>
          <w:rFonts w:ascii="Times New Roman" w:eastAsia="Times New Roman" w:hAnsi="Times New Roman" w:cs="Times New Roman"/>
          <w:sz w:val="24"/>
          <w:szCs w:val="24"/>
          <w:lang w:val="en-US"/>
        </w:rPr>
        <w:lastRenderedPageBreak/>
        <w:t>strongest arguments for artificial intelligence in genomics, but it requires careful recognition of uncertainty at each step.</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9. Artificial intelligence in single-cell and spatial genomics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Single-cell genomics has transformed biological discovery by measuring molecular variation at cellular resolution. Instead of averaging signals across bulk tissue, single-cell methods reveal cell types, cell states, differentiation trajectories, immune responses, </w:t>
      </w:r>
      <w:proofErr w:type="spellStart"/>
      <w:r w:rsidRPr="00404AC7">
        <w:rPr>
          <w:rFonts w:ascii="Times New Roman" w:eastAsia="Times New Roman" w:hAnsi="Times New Roman" w:cs="Times New Roman"/>
          <w:sz w:val="24"/>
          <w:szCs w:val="24"/>
          <w:lang w:val="en-US"/>
        </w:rPr>
        <w:t>tumour</w:t>
      </w:r>
      <w:proofErr w:type="spellEnd"/>
      <w:r w:rsidRPr="00404AC7">
        <w:rPr>
          <w:rFonts w:ascii="Times New Roman" w:eastAsia="Times New Roman" w:hAnsi="Times New Roman" w:cs="Times New Roman"/>
          <w:sz w:val="24"/>
          <w:szCs w:val="24"/>
          <w:lang w:val="en-US"/>
        </w:rPr>
        <w:t xml:space="preserve"> heterogeneity and disease-associated cellular </w:t>
      </w:r>
      <w:proofErr w:type="spellStart"/>
      <w:r w:rsidRPr="00404AC7">
        <w:rPr>
          <w:rFonts w:ascii="Times New Roman" w:eastAsia="Times New Roman" w:hAnsi="Times New Roman" w:cs="Times New Roman"/>
          <w:sz w:val="24"/>
          <w:szCs w:val="24"/>
          <w:lang w:val="en-US"/>
        </w:rPr>
        <w:t>programmes</w:t>
      </w:r>
      <w:proofErr w:type="spellEnd"/>
      <w:r w:rsidRPr="00404AC7">
        <w:rPr>
          <w:rFonts w:ascii="Times New Roman" w:eastAsia="Times New Roman" w:hAnsi="Times New Roman" w:cs="Times New Roman"/>
          <w:sz w:val="24"/>
          <w:szCs w:val="24"/>
          <w:lang w:val="en-US"/>
        </w:rPr>
        <w:t>. These datasets are naturally suited to artificial intelligence because they are large, sparse, noisy and structured by both biological and technical variation.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Deep generative models have become especially important in single-cell analysis. </w:t>
      </w:r>
      <w:proofErr w:type="spellStart"/>
      <w:r w:rsidRPr="00404AC7">
        <w:rPr>
          <w:rFonts w:ascii="Times New Roman" w:eastAsia="Times New Roman" w:hAnsi="Times New Roman" w:cs="Times New Roman"/>
          <w:sz w:val="24"/>
          <w:szCs w:val="24"/>
          <w:lang w:val="en-US"/>
        </w:rPr>
        <w:t>scVI</w:t>
      </w:r>
      <w:proofErr w:type="spellEnd"/>
      <w:r w:rsidRPr="00404AC7">
        <w:rPr>
          <w:rFonts w:ascii="Times New Roman" w:eastAsia="Times New Roman" w:hAnsi="Times New Roman" w:cs="Times New Roman"/>
          <w:sz w:val="24"/>
          <w:szCs w:val="24"/>
          <w:lang w:val="en-US"/>
        </w:rPr>
        <w:t xml:space="preserve"> introduced a probabilistic deep generative framework for single-cell transcriptomics, supporting representation learning while accounting for batch effects and technical noise (Lopez et al., 2018). </w:t>
      </w:r>
      <w:proofErr w:type="spellStart"/>
      <w:r w:rsidRPr="00404AC7">
        <w:rPr>
          <w:rFonts w:ascii="Times New Roman" w:eastAsia="Times New Roman" w:hAnsi="Times New Roman" w:cs="Times New Roman"/>
          <w:sz w:val="24"/>
          <w:szCs w:val="24"/>
          <w:lang w:val="en-US"/>
        </w:rPr>
        <w:t>scGen</w:t>
      </w:r>
      <w:proofErr w:type="spellEnd"/>
      <w:r w:rsidRPr="00404AC7">
        <w:rPr>
          <w:rFonts w:ascii="Times New Roman" w:eastAsia="Times New Roman" w:hAnsi="Times New Roman" w:cs="Times New Roman"/>
          <w:sz w:val="24"/>
          <w:szCs w:val="24"/>
          <w:lang w:val="en-US"/>
        </w:rPr>
        <w:t xml:space="preserve"> used variational autoencoders and latent-space operations to predict single-cell perturbation responses across cell types and conditions (</w:t>
      </w:r>
      <w:proofErr w:type="spellStart"/>
      <w:r w:rsidRPr="00404AC7">
        <w:rPr>
          <w:rFonts w:ascii="Times New Roman" w:eastAsia="Times New Roman" w:hAnsi="Times New Roman" w:cs="Times New Roman"/>
          <w:sz w:val="24"/>
          <w:szCs w:val="24"/>
          <w:lang w:val="en-US"/>
        </w:rPr>
        <w:t>Lotfollahi</w:t>
      </w:r>
      <w:proofErr w:type="spellEnd"/>
      <w:r w:rsidRPr="00404AC7">
        <w:rPr>
          <w:rFonts w:ascii="Times New Roman" w:eastAsia="Times New Roman" w:hAnsi="Times New Roman" w:cs="Times New Roman"/>
          <w:sz w:val="24"/>
          <w:szCs w:val="24"/>
          <w:lang w:val="en-US"/>
        </w:rPr>
        <w:t xml:space="preserve"> et al., 2019). These approaches illustrate a shift from descriptive clustering towards predictive modelling of cellular response.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Artificial intelligence can support cell-type annotation, batch correction, dimensionality reduction, trajectory inference, perturbation modelling and regulatory-network reconstruction. However, each of these applications requires caution. Batch correction can remove genuine biological signal if experimental design is confounded. Clustering can impose discrete categories on continuous biological processes. Trajectory inference can suggest developmental relationships that depend heavily on sampling time, tissue context and model assumptions. Therefore, single-cell artificial intelligence should be interpreted as a tool for hypothesis generation and structured exploration, not as a replacement for developmental, physiological or experimental evidence.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Causal machine learning is an important emerging direction in single-cell genomics. Large-scale perturbation screens combined with single-cell readouts can measure the effect of targeted genetic perturbations on the transcriptome, creating an opportunity to move from correlation towards causal inference (Tejada-</w:t>
      </w:r>
      <w:proofErr w:type="spellStart"/>
      <w:r w:rsidRPr="00404AC7">
        <w:rPr>
          <w:rFonts w:ascii="Times New Roman" w:eastAsia="Times New Roman" w:hAnsi="Times New Roman" w:cs="Times New Roman"/>
          <w:sz w:val="24"/>
          <w:szCs w:val="24"/>
          <w:lang w:val="en-US"/>
        </w:rPr>
        <w:t>Lapuerta</w:t>
      </w:r>
      <w:proofErr w:type="spellEnd"/>
      <w:r w:rsidRPr="00404AC7">
        <w:rPr>
          <w:rFonts w:ascii="Times New Roman" w:eastAsia="Times New Roman" w:hAnsi="Times New Roman" w:cs="Times New Roman"/>
          <w:sz w:val="24"/>
          <w:szCs w:val="24"/>
          <w:lang w:val="en-US"/>
        </w:rPr>
        <w:t xml:space="preserve"> et al., 2025). This is particularly relevant to functional genomics because artificial intelligence can propose candidate regulators, CRISPR screens can perturb them, and single-cell profiling can measure downstream consequences. The resulting data can then improve subsequent models.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Spatial genomics adds another layer of complexity by preserving tissue architecture. Cells do not function in isolation; their </w:t>
      </w:r>
      <w:proofErr w:type="spellStart"/>
      <w:r w:rsidRPr="00404AC7">
        <w:rPr>
          <w:rFonts w:ascii="Times New Roman" w:eastAsia="Times New Roman" w:hAnsi="Times New Roman" w:cs="Times New Roman"/>
          <w:sz w:val="24"/>
          <w:szCs w:val="24"/>
          <w:lang w:val="en-US"/>
        </w:rPr>
        <w:t>behaviour</w:t>
      </w:r>
      <w:proofErr w:type="spellEnd"/>
      <w:r w:rsidRPr="00404AC7">
        <w:rPr>
          <w:rFonts w:ascii="Times New Roman" w:eastAsia="Times New Roman" w:hAnsi="Times New Roman" w:cs="Times New Roman"/>
          <w:sz w:val="24"/>
          <w:szCs w:val="24"/>
          <w:lang w:val="en-US"/>
        </w:rPr>
        <w:t xml:space="preserve"> is influenced by </w:t>
      </w:r>
      <w:proofErr w:type="spellStart"/>
      <w:r w:rsidRPr="00404AC7">
        <w:rPr>
          <w:rFonts w:ascii="Times New Roman" w:eastAsia="Times New Roman" w:hAnsi="Times New Roman" w:cs="Times New Roman"/>
          <w:sz w:val="24"/>
          <w:szCs w:val="24"/>
          <w:lang w:val="en-US"/>
        </w:rPr>
        <w:t>neighbouring</w:t>
      </w:r>
      <w:proofErr w:type="spellEnd"/>
      <w:r w:rsidRPr="00404AC7">
        <w:rPr>
          <w:rFonts w:ascii="Times New Roman" w:eastAsia="Times New Roman" w:hAnsi="Times New Roman" w:cs="Times New Roman"/>
          <w:sz w:val="24"/>
          <w:szCs w:val="24"/>
          <w:lang w:val="en-US"/>
        </w:rPr>
        <w:t xml:space="preserve"> cells, extracellular matrix, vascular structure, immune context and spatial gradients. Artificial intelligence can help integrate spatial transcriptomic data with imaging and single-cell reference atlases, but robust interpretation requires awareness of resolution, capture efficiency, tissue handling and platform-specific limitations. The future of single-cell and spatial artificial intelligence will likely depend on models that combine molecular profiles, spatial context and perturbation evidence in biologically interpretable ways.</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10. Multi-omics integration and systems-level discovery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Biological systems are not adequately explained by genome sequence alone. Disease, development and cellular response emerge through interactions among genome, epigenome, transcriptome, proteome, metabolome, microbiome, environment and phenotype. Multi-omics analysis aims to integrate these layers, and artificial intelligence provides methods for learning relationships across heterogeneous data types. </w:t>
      </w:r>
      <w:proofErr w:type="spellStart"/>
      <w:r w:rsidRPr="00404AC7">
        <w:rPr>
          <w:rFonts w:ascii="Times New Roman" w:eastAsia="Times New Roman" w:hAnsi="Times New Roman" w:cs="Times New Roman"/>
          <w:sz w:val="24"/>
          <w:szCs w:val="24"/>
          <w:lang w:val="en-US"/>
        </w:rPr>
        <w:t>Hasin</w:t>
      </w:r>
      <w:proofErr w:type="spellEnd"/>
      <w:r w:rsidRPr="00404AC7">
        <w:rPr>
          <w:rFonts w:ascii="Times New Roman" w:eastAsia="Times New Roman" w:hAnsi="Times New Roman" w:cs="Times New Roman"/>
          <w:sz w:val="24"/>
          <w:szCs w:val="24"/>
          <w:lang w:val="en-US"/>
        </w:rPr>
        <w:t xml:space="preserve">, Seldin and </w:t>
      </w:r>
      <w:proofErr w:type="spellStart"/>
      <w:r w:rsidRPr="00404AC7">
        <w:rPr>
          <w:rFonts w:ascii="Times New Roman" w:eastAsia="Times New Roman" w:hAnsi="Times New Roman" w:cs="Times New Roman"/>
          <w:sz w:val="24"/>
          <w:szCs w:val="24"/>
          <w:lang w:val="en-US"/>
        </w:rPr>
        <w:t>Lusis</w:t>
      </w:r>
      <w:proofErr w:type="spellEnd"/>
      <w:r w:rsidRPr="00404AC7">
        <w:rPr>
          <w:rFonts w:ascii="Times New Roman" w:eastAsia="Times New Roman" w:hAnsi="Times New Roman" w:cs="Times New Roman"/>
          <w:sz w:val="24"/>
          <w:szCs w:val="24"/>
          <w:lang w:val="en-US"/>
        </w:rPr>
        <w:t xml:space="preserve"> (2017) described multi-omics as a route to understanding disease through the integration of multiple molecular layers. </w:t>
      </w:r>
      <w:proofErr w:type="spellStart"/>
      <w:r w:rsidRPr="00404AC7">
        <w:rPr>
          <w:rFonts w:ascii="Times New Roman" w:eastAsia="Times New Roman" w:hAnsi="Times New Roman" w:cs="Times New Roman"/>
          <w:sz w:val="24"/>
          <w:szCs w:val="24"/>
          <w:lang w:val="en-US"/>
        </w:rPr>
        <w:t>Zitnik</w:t>
      </w:r>
      <w:proofErr w:type="spellEnd"/>
      <w:r w:rsidRPr="00404AC7">
        <w:rPr>
          <w:rFonts w:ascii="Times New Roman" w:eastAsia="Times New Roman" w:hAnsi="Times New Roman" w:cs="Times New Roman"/>
          <w:sz w:val="24"/>
          <w:szCs w:val="24"/>
          <w:lang w:val="en-US"/>
        </w:rPr>
        <w:t xml:space="preserve"> and colleagues (2019) further </w:t>
      </w:r>
      <w:proofErr w:type="spellStart"/>
      <w:r w:rsidRPr="00404AC7">
        <w:rPr>
          <w:rFonts w:ascii="Times New Roman" w:eastAsia="Times New Roman" w:hAnsi="Times New Roman" w:cs="Times New Roman"/>
          <w:sz w:val="24"/>
          <w:szCs w:val="24"/>
          <w:lang w:val="en-US"/>
        </w:rPr>
        <w:t>emphasised</w:t>
      </w:r>
      <w:proofErr w:type="spellEnd"/>
      <w:r w:rsidRPr="00404AC7">
        <w:rPr>
          <w:rFonts w:ascii="Times New Roman" w:eastAsia="Times New Roman" w:hAnsi="Times New Roman" w:cs="Times New Roman"/>
          <w:sz w:val="24"/>
          <w:szCs w:val="24"/>
          <w:lang w:val="en-US"/>
        </w:rPr>
        <w:t xml:space="preserve"> that machine learning can support biomedical data integration by combining heterogeneous data sources and identifying patterns that are difficult to detect from one modality alone.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Multi-omics integration is difficult because different data types have different measurement scales, noise structures, missingness patterns and temporal dynamics. Genotypes are relatively stable, whereas gene expression, chromatin accessibility, protein abundance and metabolite levels can change with cell state, environment and disease stage. A model that combines these layers must distinguish causal relationships from correlation and must avoid mistaking tissue composition or technical artefact for disease mechanism. Artificial intelligence can help by learning latent representations and cross-modal relationships, but these representations must be interpreted with biological care.</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In cancer genomics, multi-omics integration can connect mutation, copy-number alteration, methylation, expression, protein </w:t>
      </w:r>
      <w:proofErr w:type="spellStart"/>
      <w:r w:rsidRPr="00404AC7">
        <w:rPr>
          <w:rFonts w:ascii="Times New Roman" w:eastAsia="Times New Roman" w:hAnsi="Times New Roman" w:cs="Times New Roman"/>
          <w:sz w:val="24"/>
          <w:szCs w:val="24"/>
          <w:lang w:val="en-US"/>
        </w:rPr>
        <w:t>signalling</w:t>
      </w:r>
      <w:proofErr w:type="spellEnd"/>
      <w:r w:rsidRPr="00404AC7">
        <w:rPr>
          <w:rFonts w:ascii="Times New Roman" w:eastAsia="Times New Roman" w:hAnsi="Times New Roman" w:cs="Times New Roman"/>
          <w:sz w:val="24"/>
          <w:szCs w:val="24"/>
          <w:lang w:val="en-US"/>
        </w:rPr>
        <w:t xml:space="preserve"> and treatment response. In complex disease research, it can link genetic association signals to tissue-specific regulatory mechanisms and molecular pathways. In pharmacogenomics, it may help connect genotype, expression state and drug response. However, the strongest multi-omics models are likely to be those that incorporate biological priors without becoming constrained by incomplete prior knowledge. Pathways, gene regulatory networks, protein interactions and chromatin architecture can provide useful structure, but established databases are biased towards well-studied genes and diseases.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Systems-level discovery will increasingly require models that are both predictive and interpretable. A black-box model may classify disease subtypes or predict response, but biological discovery requires understanding which molecular relationships drive the prediction. Therefore, explainable modelling, perturbation validation and causal reasoning will be essential to the next phase of multi-omics artificial intelligence.</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11. Artificial intelligence, CRISPR screens and genome engineering</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Genome editing creates an experimental bridge between prediction and causal biology. CRISPR-based perturbation allows researchers to test whether genes, regulatory elements or variants influence cellular phenotypes. Artificial intelligence contributes to this field by improving guide RNA design, predicting editing outcomes, </w:t>
      </w:r>
      <w:proofErr w:type="spellStart"/>
      <w:r w:rsidRPr="00404AC7">
        <w:rPr>
          <w:rFonts w:ascii="Times New Roman" w:eastAsia="Times New Roman" w:hAnsi="Times New Roman" w:cs="Times New Roman"/>
          <w:sz w:val="24"/>
          <w:szCs w:val="24"/>
          <w:lang w:val="en-US"/>
        </w:rPr>
        <w:t>prioritising</w:t>
      </w:r>
      <w:proofErr w:type="spellEnd"/>
      <w:r w:rsidRPr="00404AC7">
        <w:rPr>
          <w:rFonts w:ascii="Times New Roman" w:eastAsia="Times New Roman" w:hAnsi="Times New Roman" w:cs="Times New Roman"/>
          <w:sz w:val="24"/>
          <w:szCs w:val="24"/>
          <w:lang w:val="en-US"/>
        </w:rPr>
        <w:t xml:space="preserve"> perturbation targets and interpreting high-dimensional screen readouts.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Guide RNA design is a clear example of artificial intelligence-assisted genome engineering. </w:t>
      </w:r>
      <w:proofErr w:type="spellStart"/>
      <w:r w:rsidRPr="00404AC7">
        <w:rPr>
          <w:rFonts w:ascii="Times New Roman" w:eastAsia="Times New Roman" w:hAnsi="Times New Roman" w:cs="Times New Roman"/>
          <w:sz w:val="24"/>
          <w:szCs w:val="24"/>
          <w:lang w:val="en-US"/>
        </w:rPr>
        <w:t>Doench</w:t>
      </w:r>
      <w:proofErr w:type="spellEnd"/>
      <w:r w:rsidRPr="00404AC7">
        <w:rPr>
          <w:rFonts w:ascii="Times New Roman" w:eastAsia="Times New Roman" w:hAnsi="Times New Roman" w:cs="Times New Roman"/>
          <w:sz w:val="24"/>
          <w:szCs w:val="24"/>
          <w:lang w:val="en-US"/>
        </w:rPr>
        <w:t xml:space="preserve"> and colleagues (2016) developed improved rules for designing sgRNAs to </w:t>
      </w:r>
      <w:proofErr w:type="spellStart"/>
      <w:r w:rsidRPr="00404AC7">
        <w:rPr>
          <w:rFonts w:ascii="Times New Roman" w:eastAsia="Times New Roman" w:hAnsi="Times New Roman" w:cs="Times New Roman"/>
          <w:sz w:val="24"/>
          <w:szCs w:val="24"/>
          <w:lang w:val="en-US"/>
        </w:rPr>
        <w:t>maximise</w:t>
      </w:r>
      <w:proofErr w:type="spellEnd"/>
      <w:r w:rsidRPr="00404AC7">
        <w:rPr>
          <w:rFonts w:ascii="Times New Roman" w:eastAsia="Times New Roman" w:hAnsi="Times New Roman" w:cs="Times New Roman"/>
          <w:sz w:val="24"/>
          <w:szCs w:val="24"/>
          <w:lang w:val="en-US"/>
        </w:rPr>
        <w:t xml:space="preserve"> activity and </w:t>
      </w:r>
      <w:proofErr w:type="spellStart"/>
      <w:r w:rsidRPr="00404AC7">
        <w:rPr>
          <w:rFonts w:ascii="Times New Roman" w:eastAsia="Times New Roman" w:hAnsi="Times New Roman" w:cs="Times New Roman"/>
          <w:sz w:val="24"/>
          <w:szCs w:val="24"/>
          <w:lang w:val="en-US"/>
        </w:rPr>
        <w:t>minimise</w:t>
      </w:r>
      <w:proofErr w:type="spellEnd"/>
      <w:r w:rsidRPr="00404AC7">
        <w:rPr>
          <w:rFonts w:ascii="Times New Roman" w:eastAsia="Times New Roman" w:hAnsi="Times New Roman" w:cs="Times New Roman"/>
          <w:sz w:val="24"/>
          <w:szCs w:val="24"/>
          <w:lang w:val="en-US"/>
        </w:rPr>
        <w:t xml:space="preserve"> off-target effects in CRISPR-Cas9 experiments. </w:t>
      </w:r>
      <w:proofErr w:type="spellStart"/>
      <w:r w:rsidRPr="00404AC7">
        <w:rPr>
          <w:rFonts w:ascii="Times New Roman" w:eastAsia="Times New Roman" w:hAnsi="Times New Roman" w:cs="Times New Roman"/>
          <w:sz w:val="24"/>
          <w:szCs w:val="24"/>
          <w:lang w:val="en-US"/>
        </w:rPr>
        <w:t>DeepCRISPR</w:t>
      </w:r>
      <w:proofErr w:type="spellEnd"/>
      <w:r w:rsidRPr="00404AC7">
        <w:rPr>
          <w:rFonts w:ascii="Times New Roman" w:eastAsia="Times New Roman" w:hAnsi="Times New Roman" w:cs="Times New Roman"/>
          <w:sz w:val="24"/>
          <w:szCs w:val="24"/>
          <w:lang w:val="en-US"/>
        </w:rPr>
        <w:t xml:space="preserve"> later applied deep learning to guide RNA design, integrating sequence and epigenetic features to predict on-target efficacy and off-target profiles (</w:t>
      </w:r>
      <w:proofErr w:type="spellStart"/>
      <w:r w:rsidRPr="00404AC7">
        <w:rPr>
          <w:rFonts w:ascii="Times New Roman" w:eastAsia="Times New Roman" w:hAnsi="Times New Roman" w:cs="Times New Roman"/>
          <w:sz w:val="24"/>
          <w:szCs w:val="24"/>
          <w:lang w:val="en-US"/>
        </w:rPr>
        <w:t>Chuai</w:t>
      </w:r>
      <w:proofErr w:type="spellEnd"/>
      <w:r w:rsidRPr="00404AC7">
        <w:rPr>
          <w:rFonts w:ascii="Times New Roman" w:eastAsia="Times New Roman" w:hAnsi="Times New Roman" w:cs="Times New Roman"/>
          <w:sz w:val="24"/>
          <w:szCs w:val="24"/>
          <w:lang w:val="en-US"/>
        </w:rPr>
        <w:t xml:space="preserve"> et al., 2018). These methods improve </w:t>
      </w:r>
      <w:r w:rsidRPr="00404AC7">
        <w:rPr>
          <w:rFonts w:ascii="Times New Roman" w:eastAsia="Times New Roman" w:hAnsi="Times New Roman" w:cs="Times New Roman"/>
          <w:sz w:val="24"/>
          <w:szCs w:val="24"/>
          <w:lang w:val="en-US"/>
        </w:rPr>
        <w:lastRenderedPageBreak/>
        <w:t>experimental design because guide performance strongly affects screen sensitivity, specificity and reproducibility.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CRISPR screens combined with single-cell readouts create a particularly powerful discovery cycle. Artificial intelligence can nominate genes, enhancers or variant-containing regions for perturbation. CRISPR experiments can test the effects of those perturbations. Single-cell profiling can measure downstream changes in cell state, pathway activation and gene expression. The resulting data can then train better predictive models. This closed-loop pattern is one of the most promising directions for functional genomics because it connects computational prediction with direct intervention.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main limitation is biological context. A perturbation may have different effects across cell types, developmental stages, genetic backgrounds or environmental conditions. A model trained in one cellular system may not </w:t>
      </w:r>
      <w:proofErr w:type="spellStart"/>
      <w:r w:rsidRPr="00404AC7">
        <w:rPr>
          <w:rFonts w:ascii="Times New Roman" w:eastAsia="Times New Roman" w:hAnsi="Times New Roman" w:cs="Times New Roman"/>
          <w:sz w:val="24"/>
          <w:szCs w:val="24"/>
          <w:lang w:val="en-US"/>
        </w:rPr>
        <w:t>generalise</w:t>
      </w:r>
      <w:proofErr w:type="spellEnd"/>
      <w:r w:rsidRPr="00404AC7">
        <w:rPr>
          <w:rFonts w:ascii="Times New Roman" w:eastAsia="Times New Roman" w:hAnsi="Times New Roman" w:cs="Times New Roman"/>
          <w:sz w:val="24"/>
          <w:szCs w:val="24"/>
          <w:lang w:val="en-US"/>
        </w:rPr>
        <w:t xml:space="preserve"> to another. Therefore, AI-assisted genome engineering should be understood as an iterative process rather than as a one-step solution. The goal is not only to predict the best perturbation, but to create a cycle in which prediction and experimentation refine one another.</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12. Genomic medicine and clinical translation</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has significant potential in genomic medicine, particularly in rare disease diagnosis, cancer genomics, pharmacogenomics, newborn sequencing, carrier screening and risk prediction. Dias and </w:t>
      </w:r>
      <w:proofErr w:type="spellStart"/>
      <w:r w:rsidRPr="00404AC7">
        <w:rPr>
          <w:rFonts w:ascii="Times New Roman" w:eastAsia="Times New Roman" w:hAnsi="Times New Roman" w:cs="Times New Roman"/>
          <w:sz w:val="24"/>
          <w:szCs w:val="24"/>
          <w:lang w:val="en-US"/>
        </w:rPr>
        <w:t>Torkamani</w:t>
      </w:r>
      <w:proofErr w:type="spellEnd"/>
      <w:r w:rsidRPr="00404AC7">
        <w:rPr>
          <w:rFonts w:ascii="Times New Roman" w:eastAsia="Times New Roman" w:hAnsi="Times New Roman" w:cs="Times New Roman"/>
          <w:sz w:val="24"/>
          <w:szCs w:val="24"/>
          <w:lang w:val="en-US"/>
        </w:rPr>
        <w:t xml:space="preserve"> (2019) argued that artificial intelligence can support clinical and genomic diagnostics by enabling interpretation of large and complex health datasets. In rare disease, artificial intelligence can help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candidate variants by combining genomic findings with phenotype terms, inheritance models and known gene–disease relationships. In oncology, it can support driver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tumour</w:t>
      </w:r>
      <w:proofErr w:type="spellEnd"/>
      <w:r w:rsidRPr="00404AC7">
        <w:rPr>
          <w:rFonts w:ascii="Times New Roman" w:eastAsia="Times New Roman" w:hAnsi="Times New Roman" w:cs="Times New Roman"/>
          <w:sz w:val="24"/>
          <w:szCs w:val="24"/>
          <w:lang w:val="en-US"/>
        </w:rPr>
        <w:t xml:space="preserve"> classification, therapy matching and interpretation of molecular profiles.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Clinical translation requires more than algorithmic performance. A model must show analytical validity, clinical validity and clinical utility. Analytical validity concerns whether the model correctly processes the data it receives. Clinical validity concerns whether the output is associated with the clinical condition of interest. Clinical utility concerns whether the model improves diagnosis, management, treatment or outcomes. A genomic artificial intelligence system may perform well in a benchmark but fail to improve real-world care if it increases uncertainty, worsens inequity or lacks integration with clinical workflows.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Variant interpretation illustrates this problem. Computational tools such as CADD, REVEL, </w:t>
      </w:r>
      <w:proofErr w:type="spellStart"/>
      <w:r w:rsidRPr="00404AC7">
        <w:rPr>
          <w:rFonts w:ascii="Times New Roman" w:eastAsia="Times New Roman" w:hAnsi="Times New Roman" w:cs="Times New Roman"/>
          <w:sz w:val="24"/>
          <w:szCs w:val="24"/>
          <w:lang w:val="en-US"/>
        </w:rPr>
        <w:t>SpliceAI</w:t>
      </w:r>
      <w:proofErr w:type="spellEnd"/>
      <w:r w:rsidRPr="00404AC7">
        <w:rPr>
          <w:rFonts w:ascii="Times New Roman" w:eastAsia="Times New Roman" w:hAnsi="Times New Roman" w:cs="Times New Roman"/>
          <w:sz w:val="24"/>
          <w:szCs w:val="24"/>
          <w:lang w:val="en-US"/>
        </w:rPr>
        <w:t xml:space="preserve"> and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are useful for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but clinical classification still requires structured evidence frameworks such as ACMG/AMP guidelines and curated resources such as </w:t>
      </w:r>
      <w:proofErr w:type="spellStart"/>
      <w:r w:rsidRPr="00404AC7">
        <w:rPr>
          <w:rFonts w:ascii="Times New Roman" w:eastAsia="Times New Roman" w:hAnsi="Times New Roman" w:cs="Times New Roman"/>
          <w:sz w:val="24"/>
          <w:szCs w:val="24"/>
          <w:lang w:val="en-US"/>
        </w:rPr>
        <w:t>ClinVar</w:t>
      </w:r>
      <w:proofErr w:type="spellEnd"/>
      <w:r w:rsidRPr="00404AC7">
        <w:rPr>
          <w:rFonts w:ascii="Times New Roman" w:eastAsia="Times New Roman" w:hAnsi="Times New Roman" w:cs="Times New Roman"/>
          <w:sz w:val="24"/>
          <w:szCs w:val="24"/>
          <w:lang w:val="en-US"/>
        </w:rPr>
        <w:t xml:space="preserve"> (Cheng et al., 2023; Ioannidis et al., 2016; </w:t>
      </w: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et al., 2019; Kircher et al., 2014; Landrum et al., 2018; Richards et al., 2015). A responsible clinical workflow should treat artificial intelligence predictions as supporting evidence, not as independent truth. The model’s uncertainty, gene-specific performance and applicability to the patient’s ancestry and phenotype should be considered.</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Polygenic risk prediction raises a different translational challenge. Polygenic scores may help stratify risk for common diseases, but current scores often transfer poorly across ancestries because discovery datasets remain imbalanced (Martin et al., 2019). Artificial intelligence </w:t>
      </w:r>
      <w:r w:rsidRPr="00404AC7">
        <w:rPr>
          <w:rFonts w:ascii="Times New Roman" w:eastAsia="Times New Roman" w:hAnsi="Times New Roman" w:cs="Times New Roman"/>
          <w:sz w:val="24"/>
          <w:szCs w:val="24"/>
          <w:lang w:val="en-US"/>
        </w:rPr>
        <w:lastRenderedPageBreak/>
        <w:t>may improve modelling of nonlinear relationships or multi-modal predictors, but it cannot fully solve the underlying problem of unrepresentative data. Greater diversity in genomic research is necessary for both scientific accuracy and equitable clinical translation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clinical future of artificial intelligence in genomics will require prospective validation, transparent reporting, regulatory oversight, clinician education and patient-</w:t>
      </w:r>
      <w:proofErr w:type="spellStart"/>
      <w:r w:rsidRPr="00404AC7">
        <w:rPr>
          <w:rFonts w:ascii="Times New Roman" w:eastAsia="Times New Roman" w:hAnsi="Times New Roman" w:cs="Times New Roman"/>
          <w:sz w:val="24"/>
          <w:szCs w:val="24"/>
          <w:lang w:val="en-US"/>
        </w:rPr>
        <w:t>centred</w:t>
      </w:r>
      <w:proofErr w:type="spellEnd"/>
      <w:r w:rsidRPr="00404AC7">
        <w:rPr>
          <w:rFonts w:ascii="Times New Roman" w:eastAsia="Times New Roman" w:hAnsi="Times New Roman" w:cs="Times New Roman"/>
          <w:sz w:val="24"/>
          <w:szCs w:val="24"/>
          <w:lang w:val="en-US"/>
        </w:rPr>
        <w:t xml:space="preserve"> communication. It will also require mechanisms for updating models as knowledge changes. Genomic interpretation is not static; new gene–disease relationships, variant classifications and functional evidence continually emerge. Clinical artificial intelligence must therefore be maintainable, auditable and responsive to evolving evidence.</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13. Ethical, legal and social considerations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Artificial intelligence in genomics raises ethical, legal and social issues because genomic data are identifying, familial and potentially predictive. Unlike many other biomedical measurements, genomic information can reveal risk not only for an individual but also for biological relatives and population groups. Large-scale model training increases the value of data aggregation, but it also increases concern about privacy, consent and governance. Even when data are de-identified, genomic information can remain sensitive because sequence data are inherently personal.</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Bias is among the most important ethical and scientific concerns. Underrepresentation of many populations in genomic datasets can produce models that are less accurate for those groups, thereby reinforcing inequity in diagnosis, prevention and treatment (Martin et al., 2019;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 Artificial intelligence can amplify this problem if it learns from biased labels, unequal ascertainment or historically skewed research priorities. Diversity in genomics is therefore essential not only for fairness but also for validity.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Interpretability is also ethically important. In research, opaque models may still be useful if they generate experimentally testable hypotheses. In clinical care, opacity is more problematic because patients and clinicians need to understand why a variant or risk estimate is being </w:t>
      </w:r>
      <w:proofErr w:type="spellStart"/>
      <w:r w:rsidRPr="00404AC7">
        <w:rPr>
          <w:rFonts w:ascii="Times New Roman" w:eastAsia="Times New Roman" w:hAnsi="Times New Roman" w:cs="Times New Roman"/>
          <w:sz w:val="24"/>
          <w:szCs w:val="24"/>
          <w:lang w:val="en-US"/>
        </w:rPr>
        <w:t>prioritised</w:t>
      </w:r>
      <w:proofErr w:type="spellEnd"/>
      <w:r w:rsidRPr="00404AC7">
        <w:rPr>
          <w:rFonts w:ascii="Times New Roman" w:eastAsia="Times New Roman" w:hAnsi="Times New Roman" w:cs="Times New Roman"/>
          <w:sz w:val="24"/>
          <w:szCs w:val="24"/>
          <w:lang w:val="en-US"/>
        </w:rPr>
        <w:t>. Interpretability does not require that every model be simple, but it does require clarity about model inputs, intended use, uncertainty, failure modes and validation populations. A model should not present speculative biological predictions as deterministic facts.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Data ownership and benefit sharing require attention. Communities that contribute genomic data should not be treated merely as sources of training material. Ethical governance should include transparent consent, community engagement, privacy protection, equitable access and mechanisms for sharing the benefits of discovery. The legitimacy of genomic artificial intelligence will depend not only on technical accuracy, but also on trustworthiness and accountability.</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14. Future directions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future of artificial intelligence in genomics will likely be shaped by foundation models, pangenome-aware analysis, perturbation-based learning and clinical governance. Foundation </w:t>
      </w:r>
      <w:r w:rsidRPr="00404AC7">
        <w:rPr>
          <w:rFonts w:ascii="Times New Roman" w:eastAsia="Times New Roman" w:hAnsi="Times New Roman" w:cs="Times New Roman"/>
          <w:sz w:val="24"/>
          <w:szCs w:val="24"/>
          <w:lang w:val="en-US"/>
        </w:rPr>
        <w:lastRenderedPageBreak/>
        <w:t xml:space="preserve">models such as Nucleotide Transformer suggest that self-supervised learning from large-scale DNA sequence can produce reusable representations for downstream genomic tasks (Dalla-Torre et al., 2025). Future models may integrate DNA sequence, RNA expression, chromatin accessibility, methylation, protein structure, evolutionary conservation and clinical phenotypes within unified architectures. Such integration could improve variant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gene regulation modelling and cross-species biological discovery.</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Pangenome-aware artificial intelligence will become increasingly important. As genomic references move beyond a single linear sequence, models will need to represent multiple haplotypes, structural variants and population-specific sequence. The draft human pangenome provides an early framework for this transition (Liao et al., 2023). Long-read sequencing and complete assemblies will further expand the genomic regions available for modelling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These advances may improve interpretation of complex regions that have historically been underrepresented in genomic analysis.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Perturbation-based learning is another major direction. CRISPR screens, single-cell readouts and causal machine learning can help distinguish correlation from functional effect (Tejada-</w:t>
      </w:r>
      <w:proofErr w:type="spellStart"/>
      <w:r w:rsidRPr="00404AC7">
        <w:rPr>
          <w:rFonts w:ascii="Times New Roman" w:eastAsia="Times New Roman" w:hAnsi="Times New Roman" w:cs="Times New Roman"/>
          <w:sz w:val="24"/>
          <w:szCs w:val="24"/>
          <w:lang w:val="en-US"/>
        </w:rPr>
        <w:t>Lapuerta</w:t>
      </w:r>
      <w:proofErr w:type="spellEnd"/>
      <w:r w:rsidRPr="00404AC7">
        <w:rPr>
          <w:rFonts w:ascii="Times New Roman" w:eastAsia="Times New Roman" w:hAnsi="Times New Roman" w:cs="Times New Roman"/>
          <w:sz w:val="24"/>
          <w:szCs w:val="24"/>
          <w:lang w:val="en-US"/>
        </w:rPr>
        <w:t xml:space="preserve"> et al., 2025). This matters because biological discovery requires causal understanding, not only prediction. Closed-loop systems in which models propose experiments, experiments generate data and data improve models may become central to functional genomics.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Finally, the field will need stronger standards for validation and reporting. Benchmark datasets should be diverse, transparent and resistant to data leakage. Clinical models should be evaluated prospectively and across ancestries. Research models should be assessed not only for accuracy but also for interpretability, robustness and biological novelty. Artificial intelligence will transform genomics most effectively when computational prediction is linked to experimental validation and responsible implementation.</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15. Limitations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This review is limited by its narrative design. It </w:t>
      </w:r>
      <w:proofErr w:type="spellStart"/>
      <w:r w:rsidRPr="00404AC7">
        <w:rPr>
          <w:rFonts w:ascii="Times New Roman" w:eastAsia="Times New Roman" w:hAnsi="Times New Roman" w:cs="Times New Roman"/>
          <w:sz w:val="24"/>
          <w:szCs w:val="24"/>
          <w:lang w:val="en-US"/>
        </w:rPr>
        <w:t>synthesises</w:t>
      </w:r>
      <w:proofErr w:type="spellEnd"/>
      <w:r w:rsidRPr="00404AC7">
        <w:rPr>
          <w:rFonts w:ascii="Times New Roman" w:eastAsia="Times New Roman" w:hAnsi="Times New Roman" w:cs="Times New Roman"/>
          <w:sz w:val="24"/>
          <w:szCs w:val="24"/>
          <w:lang w:val="en-US"/>
        </w:rPr>
        <w:t xml:space="preserve"> influential and representative literature rather than exhaustively cataloguing every artificial intelligence model or genomic application. Because the field is advancing rapidly, some very recent tools, datasets or evaluations may not be included. The review focuses on peer-reviewed journal articles with DOI identifiers, which strengthens verifiability but may exclude relevant preprints, software documentation or technical reports that have not yet appeared in journal form. Some </w:t>
      </w:r>
      <w:proofErr w:type="spellStart"/>
      <w:r w:rsidRPr="00404AC7">
        <w:rPr>
          <w:rFonts w:ascii="Times New Roman" w:eastAsia="Times New Roman" w:hAnsi="Times New Roman" w:cs="Times New Roman"/>
          <w:sz w:val="24"/>
          <w:szCs w:val="24"/>
          <w:lang w:val="en-US"/>
        </w:rPr>
        <w:t>specialised</w:t>
      </w:r>
      <w:proofErr w:type="spellEnd"/>
      <w:r w:rsidRPr="00404AC7">
        <w:rPr>
          <w:rFonts w:ascii="Times New Roman" w:eastAsia="Times New Roman" w:hAnsi="Times New Roman" w:cs="Times New Roman"/>
          <w:sz w:val="24"/>
          <w:szCs w:val="24"/>
          <w:lang w:val="en-US"/>
        </w:rPr>
        <w:t xml:space="preserve"> areas, including microbial genomics, plant genomics, metagenomics, epigenetic ageing and pharmacogenomic implementation, are discussed only indirectly. Direct comparison across methods is also limited because studies often use different datasets, benchmarks, outcome definitions and validation strategies.</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16. Conclusions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is transforming genomics by changing how researchers interpret sequence, variation, regulation, cellular state and molecular structure. It supports variant calling, regulatory annotation, splicing prediction, missense interpretation, protein structure prediction, single-cell modelling, multi-omics integration, CRISPR design and clinical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Its greatest contribution is not simply faster computation, but the ability to </w:t>
      </w:r>
      <w:r w:rsidRPr="00404AC7">
        <w:rPr>
          <w:rFonts w:ascii="Times New Roman" w:eastAsia="Times New Roman" w:hAnsi="Times New Roman" w:cs="Times New Roman"/>
          <w:sz w:val="24"/>
          <w:szCs w:val="24"/>
          <w:lang w:val="en-US"/>
        </w:rPr>
        <w:lastRenderedPageBreak/>
        <w:t>learn complex biological representations and generate testable hypotheses across molecular scales.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future of biological discovery will depend on joining artificial intelligence with high-quality genomic resources, diverse populations, experimental perturbation, mechanistic biology and responsible clinical governance. Artificial intelligence should be viewed as a powerful scientific instrument: transformative when validated carefully, potentially misleading when applied without context, and most valuable when it connects prediction with biological understanding. Genomics is moving from reading genomes to modelling and testing biological systems, and artificial intelligence is becoming one of the central engines of that transition.</w:t>
      </w:r>
    </w:p>
    <w:p w:rsidR="00404AC7" w:rsidRPr="00404AC7" w:rsidRDefault="00404AC7" w:rsidP="00404AC7">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References</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1000 Genomes Project Consortium. (2015). A global reference for human genetic variation. </w:t>
      </w:r>
      <w:r w:rsidRPr="00404AC7">
        <w:rPr>
          <w:rFonts w:ascii="Times New Roman" w:eastAsia="Times New Roman" w:hAnsi="Times New Roman" w:cs="Times New Roman"/>
          <w:i/>
          <w:iCs/>
          <w:sz w:val="24"/>
          <w:szCs w:val="24"/>
          <w:lang w:val="en-US"/>
        </w:rPr>
        <w:t>Nature, 526</w:t>
      </w:r>
      <w:r w:rsidRPr="00404AC7">
        <w:rPr>
          <w:rFonts w:ascii="Times New Roman" w:eastAsia="Times New Roman" w:hAnsi="Times New Roman" w:cs="Times New Roman"/>
          <w:sz w:val="24"/>
          <w:szCs w:val="24"/>
          <w:lang w:val="en-US"/>
        </w:rPr>
        <w:t xml:space="preserve">(7571), 68–74. </w:t>
      </w:r>
      <w:hyperlink r:id="rId6" w:tgtFrame="_new" w:history="1">
        <w:r w:rsidRPr="00404AC7">
          <w:rPr>
            <w:rFonts w:ascii="Times New Roman" w:eastAsia="Times New Roman" w:hAnsi="Times New Roman" w:cs="Times New Roman"/>
            <w:color w:val="0000FF"/>
            <w:sz w:val="24"/>
            <w:szCs w:val="24"/>
            <w:u w:val="single"/>
            <w:lang w:val="en-US"/>
          </w:rPr>
          <w:t>https://doi.org/10.1038/nature15393</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B., Delong, A., </w:t>
      </w:r>
      <w:proofErr w:type="spellStart"/>
      <w:r w:rsidRPr="00404AC7">
        <w:rPr>
          <w:rFonts w:ascii="Times New Roman" w:eastAsia="Times New Roman" w:hAnsi="Times New Roman" w:cs="Times New Roman"/>
          <w:sz w:val="24"/>
          <w:szCs w:val="24"/>
          <w:lang w:val="en-US"/>
        </w:rPr>
        <w:t>Weirauch</w:t>
      </w:r>
      <w:proofErr w:type="spellEnd"/>
      <w:r w:rsidRPr="00404AC7">
        <w:rPr>
          <w:rFonts w:ascii="Times New Roman" w:eastAsia="Times New Roman" w:hAnsi="Times New Roman" w:cs="Times New Roman"/>
          <w:sz w:val="24"/>
          <w:szCs w:val="24"/>
          <w:lang w:val="en-US"/>
        </w:rPr>
        <w:t xml:space="preserve">, M. T., &amp; Frey, B. J. (2015). Predicting the sequence specificities of DNA- and RNA-binding proteins by deep learning. </w:t>
      </w:r>
      <w:r w:rsidRPr="00404AC7">
        <w:rPr>
          <w:rFonts w:ascii="Times New Roman" w:eastAsia="Times New Roman" w:hAnsi="Times New Roman" w:cs="Times New Roman"/>
          <w:i/>
          <w:iCs/>
          <w:sz w:val="24"/>
          <w:szCs w:val="24"/>
          <w:lang w:val="en-US"/>
        </w:rPr>
        <w:t>Nature Biotechnology, 33</w:t>
      </w:r>
      <w:r w:rsidRPr="00404AC7">
        <w:rPr>
          <w:rFonts w:ascii="Times New Roman" w:eastAsia="Times New Roman" w:hAnsi="Times New Roman" w:cs="Times New Roman"/>
          <w:sz w:val="24"/>
          <w:szCs w:val="24"/>
          <w:lang w:val="en-US"/>
        </w:rPr>
        <w:t xml:space="preserve">(8), 831–838. </w:t>
      </w:r>
      <w:hyperlink r:id="rId7" w:tgtFrame="_new" w:history="1">
        <w:r w:rsidRPr="00404AC7">
          <w:rPr>
            <w:rFonts w:ascii="Times New Roman" w:eastAsia="Times New Roman" w:hAnsi="Times New Roman" w:cs="Times New Roman"/>
            <w:color w:val="0000FF"/>
            <w:sz w:val="24"/>
            <w:szCs w:val="24"/>
            <w:u w:val="single"/>
            <w:lang w:val="en-US"/>
          </w:rPr>
          <w:t>https://doi.org/10.1038/nbt.3300</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Angermueller</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Pärnamaa</w:t>
      </w:r>
      <w:proofErr w:type="spellEnd"/>
      <w:r w:rsidRPr="00404AC7">
        <w:rPr>
          <w:rFonts w:ascii="Times New Roman" w:eastAsia="Times New Roman" w:hAnsi="Times New Roman" w:cs="Times New Roman"/>
          <w:sz w:val="24"/>
          <w:szCs w:val="24"/>
          <w:lang w:val="en-US"/>
        </w:rPr>
        <w:t xml:space="preserve">, T., Parts, L., &amp; </w:t>
      </w:r>
      <w:proofErr w:type="spellStart"/>
      <w:r w:rsidRPr="00404AC7">
        <w:rPr>
          <w:rFonts w:ascii="Times New Roman" w:eastAsia="Times New Roman" w:hAnsi="Times New Roman" w:cs="Times New Roman"/>
          <w:sz w:val="24"/>
          <w:szCs w:val="24"/>
          <w:lang w:val="en-US"/>
        </w:rPr>
        <w:t>Stegle</w:t>
      </w:r>
      <w:proofErr w:type="spellEnd"/>
      <w:r w:rsidRPr="00404AC7">
        <w:rPr>
          <w:rFonts w:ascii="Times New Roman" w:eastAsia="Times New Roman" w:hAnsi="Times New Roman" w:cs="Times New Roman"/>
          <w:sz w:val="24"/>
          <w:szCs w:val="24"/>
          <w:lang w:val="en-US"/>
        </w:rPr>
        <w:t xml:space="preserve">, O. (2016). Deep learning for computational biology. </w:t>
      </w:r>
      <w:r w:rsidRPr="00404AC7">
        <w:rPr>
          <w:rFonts w:ascii="Times New Roman" w:eastAsia="Times New Roman" w:hAnsi="Times New Roman" w:cs="Times New Roman"/>
          <w:i/>
          <w:iCs/>
          <w:sz w:val="24"/>
          <w:szCs w:val="24"/>
          <w:lang w:val="en-US"/>
        </w:rPr>
        <w:t>Molecular Systems Biology, 12</w:t>
      </w:r>
      <w:r w:rsidRPr="00404AC7">
        <w:rPr>
          <w:rFonts w:ascii="Times New Roman" w:eastAsia="Times New Roman" w:hAnsi="Times New Roman" w:cs="Times New Roman"/>
          <w:sz w:val="24"/>
          <w:szCs w:val="24"/>
          <w:lang w:val="en-US"/>
        </w:rPr>
        <w:t xml:space="preserve">(7), 878. </w:t>
      </w:r>
      <w:hyperlink r:id="rId8" w:history="1">
        <w:r w:rsidR="00B73CBF" w:rsidRPr="00021F58">
          <w:rPr>
            <w:rStyle w:val="Hyperlink"/>
            <w:rFonts w:ascii="Times New Roman" w:eastAsia="Times New Roman" w:hAnsi="Times New Roman" w:cs="Times New Roman"/>
            <w:sz w:val="24"/>
            <w:szCs w:val="24"/>
            <w:lang w:val="en-US"/>
          </w:rPr>
          <w:t>https://doi.org/10.15252/msb.20156651</w:t>
        </w:r>
      </w:hyperlink>
      <w:r w:rsidR="00B73CBF">
        <w:rPr>
          <w:rFonts w:ascii="Times New Roman" w:eastAsia="Times New Roman" w:hAnsi="Times New Roman" w:cs="Times New Roman"/>
          <w:sz w:val="24"/>
          <w:szCs w:val="24"/>
          <w:lang w:val="en-US"/>
        </w:rPr>
        <w:t xml:space="preserve"> </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Ž., Agarwal, V., </w:t>
      </w:r>
      <w:proofErr w:type="spellStart"/>
      <w:r w:rsidRPr="00404AC7">
        <w:rPr>
          <w:rFonts w:ascii="Times New Roman" w:eastAsia="Times New Roman" w:hAnsi="Times New Roman" w:cs="Times New Roman"/>
          <w:sz w:val="24"/>
          <w:szCs w:val="24"/>
          <w:lang w:val="en-US"/>
        </w:rPr>
        <w:t>Visentin</w:t>
      </w:r>
      <w:proofErr w:type="spellEnd"/>
      <w:r w:rsidRPr="00404AC7">
        <w:rPr>
          <w:rFonts w:ascii="Times New Roman" w:eastAsia="Times New Roman" w:hAnsi="Times New Roman" w:cs="Times New Roman"/>
          <w:sz w:val="24"/>
          <w:szCs w:val="24"/>
          <w:lang w:val="en-US"/>
        </w:rPr>
        <w:t xml:space="preserve">, D., </w:t>
      </w:r>
      <w:proofErr w:type="spellStart"/>
      <w:r w:rsidRPr="00404AC7">
        <w:rPr>
          <w:rFonts w:ascii="Times New Roman" w:eastAsia="Times New Roman" w:hAnsi="Times New Roman" w:cs="Times New Roman"/>
          <w:sz w:val="24"/>
          <w:szCs w:val="24"/>
          <w:lang w:val="en-US"/>
        </w:rPr>
        <w:t>Ledsam</w:t>
      </w:r>
      <w:proofErr w:type="spellEnd"/>
      <w:r w:rsidRPr="00404AC7">
        <w:rPr>
          <w:rFonts w:ascii="Times New Roman" w:eastAsia="Times New Roman" w:hAnsi="Times New Roman" w:cs="Times New Roman"/>
          <w:sz w:val="24"/>
          <w:szCs w:val="24"/>
          <w:lang w:val="en-US"/>
        </w:rPr>
        <w:t xml:space="preserve">, J. R., </w:t>
      </w:r>
      <w:proofErr w:type="spellStart"/>
      <w:r w:rsidRPr="00404AC7">
        <w:rPr>
          <w:rFonts w:ascii="Times New Roman" w:eastAsia="Times New Roman" w:hAnsi="Times New Roman" w:cs="Times New Roman"/>
          <w:sz w:val="24"/>
          <w:szCs w:val="24"/>
          <w:lang w:val="en-US"/>
        </w:rPr>
        <w:t>Grabska-Barwinska</w:t>
      </w:r>
      <w:proofErr w:type="spellEnd"/>
      <w:r w:rsidRPr="00404AC7">
        <w:rPr>
          <w:rFonts w:ascii="Times New Roman" w:eastAsia="Times New Roman" w:hAnsi="Times New Roman" w:cs="Times New Roman"/>
          <w:sz w:val="24"/>
          <w:szCs w:val="24"/>
          <w:lang w:val="en-US"/>
        </w:rPr>
        <w:t xml:space="preserve">, A., Taylor, K. R., </w:t>
      </w:r>
      <w:proofErr w:type="spellStart"/>
      <w:r w:rsidRPr="00404AC7">
        <w:rPr>
          <w:rFonts w:ascii="Times New Roman" w:eastAsia="Times New Roman" w:hAnsi="Times New Roman" w:cs="Times New Roman"/>
          <w:sz w:val="24"/>
          <w:szCs w:val="24"/>
          <w:lang w:val="en-US"/>
        </w:rPr>
        <w:t>Assael</w:t>
      </w:r>
      <w:proofErr w:type="spellEnd"/>
      <w:r w:rsidRPr="00404AC7">
        <w:rPr>
          <w:rFonts w:ascii="Times New Roman" w:eastAsia="Times New Roman" w:hAnsi="Times New Roman" w:cs="Times New Roman"/>
          <w:sz w:val="24"/>
          <w:szCs w:val="24"/>
          <w:lang w:val="en-US"/>
        </w:rPr>
        <w:t xml:space="preserve">, Y., Jumper, J., Kohli, P., &amp; Kelley, D. R. (2021). Effective gene expression prediction from sequence by integrating long-range interactions. </w:t>
      </w:r>
      <w:r w:rsidRPr="00404AC7">
        <w:rPr>
          <w:rFonts w:ascii="Times New Roman" w:eastAsia="Times New Roman" w:hAnsi="Times New Roman" w:cs="Times New Roman"/>
          <w:i/>
          <w:iCs/>
          <w:sz w:val="24"/>
          <w:szCs w:val="24"/>
          <w:lang w:val="en-US"/>
        </w:rPr>
        <w:t>Nature Methods, 18</w:t>
      </w:r>
      <w:r w:rsidRPr="00404AC7">
        <w:rPr>
          <w:rFonts w:ascii="Times New Roman" w:eastAsia="Times New Roman" w:hAnsi="Times New Roman" w:cs="Times New Roman"/>
          <w:sz w:val="24"/>
          <w:szCs w:val="24"/>
          <w:lang w:val="en-US"/>
        </w:rPr>
        <w:t xml:space="preserve">(10), 1196–1203. </w:t>
      </w:r>
      <w:hyperlink r:id="rId9" w:tgtFrame="_new" w:history="1">
        <w:r w:rsidRPr="00404AC7">
          <w:rPr>
            <w:rFonts w:ascii="Times New Roman" w:eastAsia="Times New Roman" w:hAnsi="Times New Roman" w:cs="Times New Roman"/>
            <w:color w:val="0000FF"/>
            <w:sz w:val="24"/>
            <w:szCs w:val="24"/>
            <w:u w:val="single"/>
            <w:lang w:val="en-US"/>
          </w:rPr>
          <w:t>https://doi.org/10.1038/s41592-021-01252-x</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Baethge</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Goldbeck</w:t>
      </w:r>
      <w:proofErr w:type="spellEnd"/>
      <w:r w:rsidRPr="00404AC7">
        <w:rPr>
          <w:rFonts w:ascii="Times New Roman" w:eastAsia="Times New Roman" w:hAnsi="Times New Roman" w:cs="Times New Roman"/>
          <w:sz w:val="24"/>
          <w:szCs w:val="24"/>
          <w:lang w:val="en-US"/>
        </w:rPr>
        <w:t xml:space="preserve">-Wood, S., &amp; Mertens, S. (2019). SANRA—a scale for the quality assessment of narrative review articles. </w:t>
      </w:r>
      <w:r w:rsidRPr="00404AC7">
        <w:rPr>
          <w:rFonts w:ascii="Times New Roman" w:eastAsia="Times New Roman" w:hAnsi="Times New Roman" w:cs="Times New Roman"/>
          <w:i/>
          <w:iCs/>
          <w:sz w:val="24"/>
          <w:szCs w:val="24"/>
          <w:lang w:val="en-US"/>
        </w:rPr>
        <w:t>Research Integrity and Peer Review, 4</w:t>
      </w:r>
      <w:r w:rsidRPr="00404AC7">
        <w:rPr>
          <w:rFonts w:ascii="Times New Roman" w:eastAsia="Times New Roman" w:hAnsi="Times New Roman" w:cs="Times New Roman"/>
          <w:sz w:val="24"/>
          <w:szCs w:val="24"/>
          <w:lang w:val="en-US"/>
        </w:rPr>
        <w:t xml:space="preserve">, Article 5. </w:t>
      </w:r>
      <w:hyperlink r:id="rId10" w:tgtFrame="_new" w:history="1">
        <w:r w:rsidRPr="00404AC7">
          <w:rPr>
            <w:rFonts w:ascii="Times New Roman" w:eastAsia="Times New Roman" w:hAnsi="Times New Roman" w:cs="Times New Roman"/>
            <w:color w:val="0000FF"/>
            <w:sz w:val="24"/>
            <w:szCs w:val="24"/>
            <w:u w:val="single"/>
            <w:lang w:val="en-US"/>
          </w:rPr>
          <w:t>https://doi.org/10.1186/s41073-019-0064-8</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Baid</w:t>
      </w:r>
      <w:proofErr w:type="spellEnd"/>
      <w:r w:rsidRPr="00404AC7">
        <w:rPr>
          <w:rFonts w:ascii="Times New Roman" w:eastAsia="Times New Roman" w:hAnsi="Times New Roman" w:cs="Times New Roman"/>
          <w:sz w:val="24"/>
          <w:szCs w:val="24"/>
          <w:lang w:val="en-US"/>
        </w:rPr>
        <w:t xml:space="preserve">, G., Cook, D. E., </w:t>
      </w:r>
      <w:proofErr w:type="spellStart"/>
      <w:r w:rsidRPr="00404AC7">
        <w:rPr>
          <w:rFonts w:ascii="Times New Roman" w:eastAsia="Times New Roman" w:hAnsi="Times New Roman" w:cs="Times New Roman"/>
          <w:sz w:val="24"/>
          <w:szCs w:val="24"/>
          <w:lang w:val="en-US"/>
        </w:rPr>
        <w:t>Shafin</w:t>
      </w:r>
      <w:proofErr w:type="spellEnd"/>
      <w:r w:rsidRPr="00404AC7">
        <w:rPr>
          <w:rFonts w:ascii="Times New Roman" w:eastAsia="Times New Roman" w:hAnsi="Times New Roman" w:cs="Times New Roman"/>
          <w:sz w:val="24"/>
          <w:szCs w:val="24"/>
          <w:lang w:val="en-US"/>
        </w:rPr>
        <w:t xml:space="preserve">, K., Yun, T., </w:t>
      </w:r>
      <w:proofErr w:type="spellStart"/>
      <w:r w:rsidRPr="00404AC7">
        <w:rPr>
          <w:rFonts w:ascii="Times New Roman" w:eastAsia="Times New Roman" w:hAnsi="Times New Roman" w:cs="Times New Roman"/>
          <w:sz w:val="24"/>
          <w:szCs w:val="24"/>
          <w:lang w:val="en-US"/>
        </w:rPr>
        <w:t>Llinares</w:t>
      </w:r>
      <w:proofErr w:type="spellEnd"/>
      <w:r w:rsidRPr="00404AC7">
        <w:rPr>
          <w:rFonts w:ascii="Times New Roman" w:eastAsia="Times New Roman" w:hAnsi="Times New Roman" w:cs="Times New Roman"/>
          <w:sz w:val="24"/>
          <w:szCs w:val="24"/>
          <w:lang w:val="en-US"/>
        </w:rPr>
        <w:t xml:space="preserve">-López, F., </w:t>
      </w:r>
      <w:proofErr w:type="spellStart"/>
      <w:r w:rsidRPr="00404AC7">
        <w:rPr>
          <w:rFonts w:ascii="Times New Roman" w:eastAsia="Times New Roman" w:hAnsi="Times New Roman" w:cs="Times New Roman"/>
          <w:sz w:val="24"/>
          <w:szCs w:val="24"/>
          <w:lang w:val="en-US"/>
        </w:rPr>
        <w:t>Berthet</w:t>
      </w:r>
      <w:proofErr w:type="spellEnd"/>
      <w:r w:rsidRPr="00404AC7">
        <w:rPr>
          <w:rFonts w:ascii="Times New Roman" w:eastAsia="Times New Roman" w:hAnsi="Times New Roman" w:cs="Times New Roman"/>
          <w:sz w:val="24"/>
          <w:szCs w:val="24"/>
          <w:lang w:val="en-US"/>
        </w:rPr>
        <w:t xml:space="preserve">, Q., Wenger, A. M., Rowell, W. J., </w:t>
      </w:r>
      <w:proofErr w:type="spellStart"/>
      <w:r w:rsidRPr="00404AC7">
        <w:rPr>
          <w:rFonts w:ascii="Times New Roman" w:eastAsia="Times New Roman" w:hAnsi="Times New Roman" w:cs="Times New Roman"/>
          <w:sz w:val="24"/>
          <w:szCs w:val="24"/>
          <w:lang w:val="en-US"/>
        </w:rPr>
        <w:t>Nattestad</w:t>
      </w:r>
      <w:proofErr w:type="spellEnd"/>
      <w:r w:rsidRPr="00404AC7">
        <w:rPr>
          <w:rFonts w:ascii="Times New Roman" w:eastAsia="Times New Roman" w:hAnsi="Times New Roman" w:cs="Times New Roman"/>
          <w:sz w:val="24"/>
          <w:szCs w:val="24"/>
          <w:lang w:val="en-US"/>
        </w:rPr>
        <w:t xml:space="preserve">, M., Yang, C. H., Kolesnikov, A., Ammar, W., Vert, J. P., Vaswani, A., McLean, C. Y., Chang, P. C., &amp; Carroll, A. (2023). </w:t>
      </w:r>
      <w:proofErr w:type="spellStart"/>
      <w:r w:rsidRPr="00404AC7">
        <w:rPr>
          <w:rFonts w:ascii="Times New Roman" w:eastAsia="Times New Roman" w:hAnsi="Times New Roman" w:cs="Times New Roman"/>
          <w:sz w:val="24"/>
          <w:szCs w:val="24"/>
          <w:lang w:val="en-US"/>
        </w:rPr>
        <w:t>DeepConsensus</w:t>
      </w:r>
      <w:proofErr w:type="spellEnd"/>
      <w:r w:rsidRPr="00404AC7">
        <w:rPr>
          <w:rFonts w:ascii="Times New Roman" w:eastAsia="Times New Roman" w:hAnsi="Times New Roman" w:cs="Times New Roman"/>
          <w:sz w:val="24"/>
          <w:szCs w:val="24"/>
          <w:lang w:val="en-US"/>
        </w:rPr>
        <w:t xml:space="preserve"> improves the accuracy of sequences with a gap-aware sequence transformer. </w:t>
      </w:r>
      <w:r w:rsidRPr="00404AC7">
        <w:rPr>
          <w:rFonts w:ascii="Times New Roman" w:eastAsia="Times New Roman" w:hAnsi="Times New Roman" w:cs="Times New Roman"/>
          <w:i/>
          <w:iCs/>
          <w:sz w:val="24"/>
          <w:szCs w:val="24"/>
          <w:lang w:val="en-US"/>
        </w:rPr>
        <w:t>Nature Biotechnology, 41</w:t>
      </w:r>
      <w:r w:rsidRPr="00404AC7">
        <w:rPr>
          <w:rFonts w:ascii="Times New Roman" w:eastAsia="Times New Roman" w:hAnsi="Times New Roman" w:cs="Times New Roman"/>
          <w:sz w:val="24"/>
          <w:szCs w:val="24"/>
          <w:lang w:val="en-US"/>
        </w:rPr>
        <w:t xml:space="preserve">(2), 232–238. </w:t>
      </w:r>
      <w:hyperlink r:id="rId11" w:history="1">
        <w:r w:rsidR="00B73CBF" w:rsidRPr="00021F58">
          <w:rPr>
            <w:rStyle w:val="Hyperlink"/>
            <w:rFonts w:ascii="Times New Roman" w:eastAsia="Times New Roman" w:hAnsi="Times New Roman" w:cs="Times New Roman"/>
            <w:sz w:val="24"/>
            <w:szCs w:val="24"/>
            <w:lang w:val="en-US"/>
          </w:rPr>
          <w:t>https://doi.org/10.1038/s41587-022-01435-7</w:t>
        </w:r>
      </w:hyperlink>
      <w:r w:rsidR="00B73CBF">
        <w:rPr>
          <w:rFonts w:ascii="Times New Roman" w:eastAsia="Times New Roman" w:hAnsi="Times New Roman" w:cs="Times New Roman"/>
          <w:sz w:val="24"/>
          <w:szCs w:val="24"/>
          <w:lang w:val="en-US"/>
        </w:rPr>
        <w:t xml:space="preserve"> </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Cheng, J., </w:t>
      </w:r>
      <w:proofErr w:type="spellStart"/>
      <w:r w:rsidRPr="00404AC7">
        <w:rPr>
          <w:rFonts w:ascii="Times New Roman" w:eastAsia="Times New Roman" w:hAnsi="Times New Roman" w:cs="Times New Roman"/>
          <w:sz w:val="24"/>
          <w:szCs w:val="24"/>
          <w:lang w:val="en-US"/>
        </w:rPr>
        <w:t>Novati</w:t>
      </w:r>
      <w:proofErr w:type="spellEnd"/>
      <w:r w:rsidRPr="00404AC7">
        <w:rPr>
          <w:rFonts w:ascii="Times New Roman" w:eastAsia="Times New Roman" w:hAnsi="Times New Roman" w:cs="Times New Roman"/>
          <w:sz w:val="24"/>
          <w:szCs w:val="24"/>
          <w:lang w:val="en-US"/>
        </w:rPr>
        <w:t xml:space="preserve">, G., Pan, J., </w:t>
      </w:r>
      <w:proofErr w:type="spellStart"/>
      <w:r w:rsidRPr="00404AC7">
        <w:rPr>
          <w:rFonts w:ascii="Times New Roman" w:eastAsia="Times New Roman" w:hAnsi="Times New Roman" w:cs="Times New Roman"/>
          <w:sz w:val="24"/>
          <w:szCs w:val="24"/>
          <w:lang w:val="en-US"/>
        </w:rPr>
        <w:t>Bycroft</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Žemgulytė</w:t>
      </w:r>
      <w:proofErr w:type="spellEnd"/>
      <w:r w:rsidRPr="00404AC7">
        <w:rPr>
          <w:rFonts w:ascii="Times New Roman" w:eastAsia="Times New Roman" w:hAnsi="Times New Roman" w:cs="Times New Roman"/>
          <w:sz w:val="24"/>
          <w:szCs w:val="24"/>
          <w:lang w:val="en-US"/>
        </w:rPr>
        <w:t xml:space="preserve">, A., Applebaum, T., </w:t>
      </w:r>
      <w:proofErr w:type="spellStart"/>
      <w:r w:rsidRPr="00404AC7">
        <w:rPr>
          <w:rFonts w:ascii="Times New Roman" w:eastAsia="Times New Roman" w:hAnsi="Times New Roman" w:cs="Times New Roman"/>
          <w:sz w:val="24"/>
          <w:szCs w:val="24"/>
          <w:lang w:val="en-US"/>
        </w:rPr>
        <w:t>Pritzel</w:t>
      </w:r>
      <w:proofErr w:type="spellEnd"/>
      <w:r w:rsidRPr="00404AC7">
        <w:rPr>
          <w:rFonts w:ascii="Times New Roman" w:eastAsia="Times New Roman" w:hAnsi="Times New Roman" w:cs="Times New Roman"/>
          <w:sz w:val="24"/>
          <w:szCs w:val="24"/>
          <w:lang w:val="en-US"/>
        </w:rPr>
        <w:t xml:space="preserve">, A., Wong, E., Zielinski, M., </w:t>
      </w:r>
      <w:proofErr w:type="spellStart"/>
      <w:r w:rsidRPr="00404AC7">
        <w:rPr>
          <w:rFonts w:ascii="Times New Roman" w:eastAsia="Times New Roman" w:hAnsi="Times New Roman" w:cs="Times New Roman"/>
          <w:sz w:val="24"/>
          <w:szCs w:val="24"/>
          <w:lang w:val="en-US"/>
        </w:rPr>
        <w:t>Sargeant</w:t>
      </w:r>
      <w:proofErr w:type="spellEnd"/>
      <w:r w:rsidRPr="00404AC7">
        <w:rPr>
          <w:rFonts w:ascii="Times New Roman" w:eastAsia="Times New Roman" w:hAnsi="Times New Roman" w:cs="Times New Roman"/>
          <w:sz w:val="24"/>
          <w:szCs w:val="24"/>
          <w:lang w:val="en-US"/>
        </w:rPr>
        <w:t xml:space="preserve">, T., Schneider, R., Senior, A. W., Jumper, J., Hassabis, D., Kohli, P., &amp;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Ž. (2023). Accurate proteome-wide missense variant effect prediction with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w:t>
      </w:r>
      <w:r w:rsidRPr="00404AC7">
        <w:rPr>
          <w:rFonts w:ascii="Times New Roman" w:eastAsia="Times New Roman" w:hAnsi="Times New Roman" w:cs="Times New Roman"/>
          <w:i/>
          <w:iCs/>
          <w:sz w:val="24"/>
          <w:szCs w:val="24"/>
          <w:lang w:val="en-US"/>
        </w:rPr>
        <w:t>Science, 381</w:t>
      </w:r>
      <w:r w:rsidRPr="00404AC7">
        <w:rPr>
          <w:rFonts w:ascii="Times New Roman" w:eastAsia="Times New Roman" w:hAnsi="Times New Roman" w:cs="Times New Roman"/>
          <w:sz w:val="24"/>
          <w:szCs w:val="24"/>
          <w:lang w:val="en-US"/>
        </w:rPr>
        <w:t xml:space="preserve">(6664), eadg7492. </w:t>
      </w:r>
      <w:hyperlink r:id="rId12" w:tgtFrame="_new" w:history="1">
        <w:r w:rsidRPr="00404AC7">
          <w:rPr>
            <w:rFonts w:ascii="Times New Roman" w:eastAsia="Times New Roman" w:hAnsi="Times New Roman" w:cs="Times New Roman"/>
            <w:color w:val="0000FF"/>
            <w:sz w:val="24"/>
            <w:szCs w:val="24"/>
            <w:u w:val="single"/>
            <w:lang w:val="en-US"/>
          </w:rPr>
          <w:t>https://doi.org/10.1126/science.adg7492</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Chuai</w:t>
      </w:r>
      <w:proofErr w:type="spellEnd"/>
      <w:r w:rsidRPr="00404AC7">
        <w:rPr>
          <w:rFonts w:ascii="Times New Roman" w:eastAsia="Times New Roman" w:hAnsi="Times New Roman" w:cs="Times New Roman"/>
          <w:sz w:val="24"/>
          <w:szCs w:val="24"/>
          <w:lang w:val="en-US"/>
        </w:rPr>
        <w:t xml:space="preserve">, G., Ma, H., Yan, J., Chen, M., Hong, N., </w:t>
      </w:r>
      <w:proofErr w:type="spellStart"/>
      <w:r w:rsidRPr="00404AC7">
        <w:rPr>
          <w:rFonts w:ascii="Times New Roman" w:eastAsia="Times New Roman" w:hAnsi="Times New Roman" w:cs="Times New Roman"/>
          <w:sz w:val="24"/>
          <w:szCs w:val="24"/>
          <w:lang w:val="en-US"/>
        </w:rPr>
        <w:t>Xue</w:t>
      </w:r>
      <w:proofErr w:type="spellEnd"/>
      <w:r w:rsidRPr="00404AC7">
        <w:rPr>
          <w:rFonts w:ascii="Times New Roman" w:eastAsia="Times New Roman" w:hAnsi="Times New Roman" w:cs="Times New Roman"/>
          <w:sz w:val="24"/>
          <w:szCs w:val="24"/>
          <w:lang w:val="en-US"/>
        </w:rPr>
        <w:t xml:space="preserve">, D., Zhou, C., Zhu, C., Chen, K., </w:t>
      </w:r>
      <w:proofErr w:type="spellStart"/>
      <w:r w:rsidRPr="00404AC7">
        <w:rPr>
          <w:rFonts w:ascii="Times New Roman" w:eastAsia="Times New Roman" w:hAnsi="Times New Roman" w:cs="Times New Roman"/>
          <w:sz w:val="24"/>
          <w:szCs w:val="24"/>
          <w:lang w:val="en-US"/>
        </w:rPr>
        <w:t>Duan</w:t>
      </w:r>
      <w:proofErr w:type="spellEnd"/>
      <w:r w:rsidRPr="00404AC7">
        <w:rPr>
          <w:rFonts w:ascii="Times New Roman" w:eastAsia="Times New Roman" w:hAnsi="Times New Roman" w:cs="Times New Roman"/>
          <w:sz w:val="24"/>
          <w:szCs w:val="24"/>
          <w:lang w:val="en-US"/>
        </w:rPr>
        <w:t xml:space="preserve">, B., Gu, F., Qu, S., Huang, D., Wei, J., &amp; Liu, Q. (2018). </w:t>
      </w:r>
      <w:proofErr w:type="spellStart"/>
      <w:r w:rsidRPr="00404AC7">
        <w:rPr>
          <w:rFonts w:ascii="Times New Roman" w:eastAsia="Times New Roman" w:hAnsi="Times New Roman" w:cs="Times New Roman"/>
          <w:sz w:val="24"/>
          <w:szCs w:val="24"/>
          <w:lang w:val="en-US"/>
        </w:rPr>
        <w:t>DeepCRISPR</w:t>
      </w:r>
      <w:proofErr w:type="spellEnd"/>
      <w:r w:rsidRPr="00404AC7">
        <w:rPr>
          <w:rFonts w:ascii="Times New Roman" w:eastAsia="Times New Roman" w:hAnsi="Times New Roman" w:cs="Times New Roman"/>
          <w:sz w:val="24"/>
          <w:szCs w:val="24"/>
          <w:lang w:val="en-US"/>
        </w:rPr>
        <w:t xml:space="preserve">: Optimized CRISPR guide RNA design by deep learning. </w:t>
      </w:r>
      <w:r w:rsidRPr="00404AC7">
        <w:rPr>
          <w:rFonts w:ascii="Times New Roman" w:eastAsia="Times New Roman" w:hAnsi="Times New Roman" w:cs="Times New Roman"/>
          <w:i/>
          <w:iCs/>
          <w:sz w:val="24"/>
          <w:szCs w:val="24"/>
          <w:lang w:val="en-US"/>
        </w:rPr>
        <w:t>Genome Biology, 19</w:t>
      </w:r>
      <w:r w:rsidRPr="00404AC7">
        <w:rPr>
          <w:rFonts w:ascii="Times New Roman" w:eastAsia="Times New Roman" w:hAnsi="Times New Roman" w:cs="Times New Roman"/>
          <w:sz w:val="24"/>
          <w:szCs w:val="24"/>
          <w:lang w:val="en-US"/>
        </w:rPr>
        <w:t>, Article 80. https://doi.org/10.1186/s13059-018-1459-4</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Dalla-Torre, H., Gonzalez, L., Mendoza-Revilla, J., Lopez Carranza, N., </w:t>
      </w:r>
      <w:proofErr w:type="spellStart"/>
      <w:r w:rsidRPr="00404AC7">
        <w:rPr>
          <w:rFonts w:ascii="Times New Roman" w:eastAsia="Times New Roman" w:hAnsi="Times New Roman" w:cs="Times New Roman"/>
          <w:sz w:val="24"/>
          <w:szCs w:val="24"/>
          <w:lang w:val="en-US"/>
        </w:rPr>
        <w:t>Grzywaczewski</w:t>
      </w:r>
      <w:proofErr w:type="spellEnd"/>
      <w:r w:rsidRPr="00404AC7">
        <w:rPr>
          <w:rFonts w:ascii="Times New Roman" w:eastAsia="Times New Roman" w:hAnsi="Times New Roman" w:cs="Times New Roman"/>
          <w:sz w:val="24"/>
          <w:szCs w:val="24"/>
          <w:lang w:val="en-US"/>
        </w:rPr>
        <w:t xml:space="preserve">, A. H., Oteri, F., </w:t>
      </w:r>
      <w:proofErr w:type="spellStart"/>
      <w:r w:rsidRPr="00404AC7">
        <w:rPr>
          <w:rFonts w:ascii="Times New Roman" w:eastAsia="Times New Roman" w:hAnsi="Times New Roman" w:cs="Times New Roman"/>
          <w:sz w:val="24"/>
          <w:szCs w:val="24"/>
          <w:lang w:val="en-US"/>
        </w:rPr>
        <w:t>Dallago</w:t>
      </w:r>
      <w:proofErr w:type="spellEnd"/>
      <w:r w:rsidRPr="00404AC7">
        <w:rPr>
          <w:rFonts w:ascii="Times New Roman" w:eastAsia="Times New Roman" w:hAnsi="Times New Roman" w:cs="Times New Roman"/>
          <w:sz w:val="24"/>
          <w:szCs w:val="24"/>
          <w:lang w:val="en-US"/>
        </w:rPr>
        <w:t xml:space="preserve">, C., Trop, E., de Almeida, B. P., </w:t>
      </w:r>
      <w:proofErr w:type="spellStart"/>
      <w:r w:rsidRPr="00404AC7">
        <w:rPr>
          <w:rFonts w:ascii="Times New Roman" w:eastAsia="Times New Roman" w:hAnsi="Times New Roman" w:cs="Times New Roman"/>
          <w:sz w:val="24"/>
          <w:szCs w:val="24"/>
          <w:lang w:val="en-US"/>
        </w:rPr>
        <w:t>Sirelkhatim</w:t>
      </w:r>
      <w:proofErr w:type="spellEnd"/>
      <w:r w:rsidRPr="00404AC7">
        <w:rPr>
          <w:rFonts w:ascii="Times New Roman" w:eastAsia="Times New Roman" w:hAnsi="Times New Roman" w:cs="Times New Roman"/>
          <w:sz w:val="24"/>
          <w:szCs w:val="24"/>
          <w:lang w:val="en-US"/>
        </w:rPr>
        <w:t xml:space="preserve">, H., Richard, G., </w:t>
      </w:r>
      <w:proofErr w:type="spellStart"/>
      <w:r w:rsidRPr="00404AC7">
        <w:rPr>
          <w:rFonts w:ascii="Times New Roman" w:eastAsia="Times New Roman" w:hAnsi="Times New Roman" w:cs="Times New Roman"/>
          <w:sz w:val="24"/>
          <w:szCs w:val="24"/>
          <w:lang w:val="en-US"/>
        </w:rPr>
        <w:t>Skwark</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Beguir</w:t>
      </w:r>
      <w:proofErr w:type="spellEnd"/>
      <w:r w:rsidRPr="00404AC7">
        <w:rPr>
          <w:rFonts w:ascii="Times New Roman" w:eastAsia="Times New Roman" w:hAnsi="Times New Roman" w:cs="Times New Roman"/>
          <w:sz w:val="24"/>
          <w:szCs w:val="24"/>
          <w:lang w:val="en-US"/>
        </w:rPr>
        <w:t xml:space="preserve">, K., Lopez, M., &amp; Pierrot, T. (2025). Nucleotide Transformer: Building and evaluating robust foundation models for human genomics. </w:t>
      </w:r>
      <w:r w:rsidRPr="00404AC7">
        <w:rPr>
          <w:rFonts w:ascii="Times New Roman" w:eastAsia="Times New Roman" w:hAnsi="Times New Roman" w:cs="Times New Roman"/>
          <w:i/>
          <w:iCs/>
          <w:sz w:val="24"/>
          <w:szCs w:val="24"/>
          <w:lang w:val="en-US"/>
        </w:rPr>
        <w:t>Nature Methods, 22</w:t>
      </w:r>
      <w:r w:rsidRPr="00404AC7">
        <w:rPr>
          <w:rFonts w:ascii="Times New Roman" w:eastAsia="Times New Roman" w:hAnsi="Times New Roman" w:cs="Times New Roman"/>
          <w:sz w:val="24"/>
          <w:szCs w:val="24"/>
          <w:lang w:val="en-US"/>
        </w:rPr>
        <w:t xml:space="preserve">(2), 287–297. </w:t>
      </w:r>
      <w:hyperlink r:id="rId13" w:tgtFrame="_new" w:history="1">
        <w:r w:rsidRPr="00404AC7">
          <w:rPr>
            <w:rFonts w:ascii="Times New Roman" w:eastAsia="Times New Roman" w:hAnsi="Times New Roman" w:cs="Times New Roman"/>
            <w:color w:val="0000FF"/>
            <w:sz w:val="24"/>
            <w:szCs w:val="24"/>
            <w:u w:val="single"/>
            <w:lang w:val="en-US"/>
          </w:rPr>
          <w:t>https://doi.org/10.1038/s41592-024-02523-z</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Dias, R., &amp; </w:t>
      </w:r>
      <w:proofErr w:type="spellStart"/>
      <w:r w:rsidRPr="00404AC7">
        <w:rPr>
          <w:rFonts w:ascii="Times New Roman" w:eastAsia="Times New Roman" w:hAnsi="Times New Roman" w:cs="Times New Roman"/>
          <w:sz w:val="24"/>
          <w:szCs w:val="24"/>
          <w:lang w:val="en-US"/>
        </w:rPr>
        <w:t>Torkamani</w:t>
      </w:r>
      <w:proofErr w:type="spellEnd"/>
      <w:r w:rsidRPr="00404AC7">
        <w:rPr>
          <w:rFonts w:ascii="Times New Roman" w:eastAsia="Times New Roman" w:hAnsi="Times New Roman" w:cs="Times New Roman"/>
          <w:sz w:val="24"/>
          <w:szCs w:val="24"/>
          <w:lang w:val="en-US"/>
        </w:rPr>
        <w:t xml:space="preserve">, A. (2019). Artificial intelligence in clinical and genomic diagnostics. </w:t>
      </w:r>
      <w:r w:rsidRPr="00404AC7">
        <w:rPr>
          <w:rFonts w:ascii="Times New Roman" w:eastAsia="Times New Roman" w:hAnsi="Times New Roman" w:cs="Times New Roman"/>
          <w:i/>
          <w:iCs/>
          <w:sz w:val="24"/>
          <w:szCs w:val="24"/>
          <w:lang w:val="en-US"/>
        </w:rPr>
        <w:t>Genome Medicine, 11</w:t>
      </w:r>
      <w:r w:rsidRPr="00404AC7">
        <w:rPr>
          <w:rFonts w:ascii="Times New Roman" w:eastAsia="Times New Roman" w:hAnsi="Times New Roman" w:cs="Times New Roman"/>
          <w:sz w:val="24"/>
          <w:szCs w:val="24"/>
          <w:lang w:val="en-US"/>
        </w:rPr>
        <w:t xml:space="preserve">, Article 70. </w:t>
      </w:r>
      <w:hyperlink r:id="rId14" w:tgtFrame="_new" w:history="1">
        <w:r w:rsidRPr="00404AC7">
          <w:rPr>
            <w:rFonts w:ascii="Times New Roman" w:eastAsia="Times New Roman" w:hAnsi="Times New Roman" w:cs="Times New Roman"/>
            <w:color w:val="0000FF"/>
            <w:sz w:val="24"/>
            <w:szCs w:val="24"/>
            <w:u w:val="single"/>
            <w:lang w:val="en-US"/>
          </w:rPr>
          <w:t>https://doi.org/10.1186/s13073-019-0689-8</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Doench</w:t>
      </w:r>
      <w:proofErr w:type="spellEnd"/>
      <w:r w:rsidRPr="00404AC7">
        <w:rPr>
          <w:rFonts w:ascii="Times New Roman" w:eastAsia="Times New Roman" w:hAnsi="Times New Roman" w:cs="Times New Roman"/>
          <w:sz w:val="24"/>
          <w:szCs w:val="24"/>
          <w:lang w:val="en-US"/>
        </w:rPr>
        <w:t xml:space="preserve">, J. G., </w:t>
      </w:r>
      <w:proofErr w:type="spellStart"/>
      <w:r w:rsidRPr="00404AC7">
        <w:rPr>
          <w:rFonts w:ascii="Times New Roman" w:eastAsia="Times New Roman" w:hAnsi="Times New Roman" w:cs="Times New Roman"/>
          <w:sz w:val="24"/>
          <w:szCs w:val="24"/>
          <w:lang w:val="en-US"/>
        </w:rPr>
        <w:t>Fusi</w:t>
      </w:r>
      <w:proofErr w:type="spellEnd"/>
      <w:r w:rsidRPr="00404AC7">
        <w:rPr>
          <w:rFonts w:ascii="Times New Roman" w:eastAsia="Times New Roman" w:hAnsi="Times New Roman" w:cs="Times New Roman"/>
          <w:sz w:val="24"/>
          <w:szCs w:val="24"/>
          <w:lang w:val="en-US"/>
        </w:rPr>
        <w:t xml:space="preserve">, N., </w:t>
      </w:r>
      <w:proofErr w:type="spellStart"/>
      <w:r w:rsidRPr="00404AC7">
        <w:rPr>
          <w:rFonts w:ascii="Times New Roman" w:eastAsia="Times New Roman" w:hAnsi="Times New Roman" w:cs="Times New Roman"/>
          <w:sz w:val="24"/>
          <w:szCs w:val="24"/>
          <w:lang w:val="en-US"/>
        </w:rPr>
        <w:t>Sullender</w:t>
      </w:r>
      <w:proofErr w:type="spellEnd"/>
      <w:r w:rsidRPr="00404AC7">
        <w:rPr>
          <w:rFonts w:ascii="Times New Roman" w:eastAsia="Times New Roman" w:hAnsi="Times New Roman" w:cs="Times New Roman"/>
          <w:sz w:val="24"/>
          <w:szCs w:val="24"/>
          <w:lang w:val="en-US"/>
        </w:rPr>
        <w:t xml:space="preserve">, M., Hegde, M., </w:t>
      </w:r>
      <w:proofErr w:type="spellStart"/>
      <w:r w:rsidRPr="00404AC7">
        <w:rPr>
          <w:rFonts w:ascii="Times New Roman" w:eastAsia="Times New Roman" w:hAnsi="Times New Roman" w:cs="Times New Roman"/>
          <w:sz w:val="24"/>
          <w:szCs w:val="24"/>
          <w:lang w:val="en-US"/>
        </w:rPr>
        <w:t>Vaimberg</w:t>
      </w:r>
      <w:proofErr w:type="spellEnd"/>
      <w:r w:rsidRPr="00404AC7">
        <w:rPr>
          <w:rFonts w:ascii="Times New Roman" w:eastAsia="Times New Roman" w:hAnsi="Times New Roman" w:cs="Times New Roman"/>
          <w:sz w:val="24"/>
          <w:szCs w:val="24"/>
          <w:lang w:val="en-US"/>
        </w:rPr>
        <w:t xml:space="preserve">, E. W., Donovan, K. F., Smith, I., </w:t>
      </w:r>
      <w:proofErr w:type="spellStart"/>
      <w:r w:rsidRPr="00404AC7">
        <w:rPr>
          <w:rFonts w:ascii="Times New Roman" w:eastAsia="Times New Roman" w:hAnsi="Times New Roman" w:cs="Times New Roman"/>
          <w:sz w:val="24"/>
          <w:szCs w:val="24"/>
          <w:lang w:val="en-US"/>
        </w:rPr>
        <w:t>Tothova</w:t>
      </w:r>
      <w:proofErr w:type="spellEnd"/>
      <w:r w:rsidRPr="00404AC7">
        <w:rPr>
          <w:rFonts w:ascii="Times New Roman" w:eastAsia="Times New Roman" w:hAnsi="Times New Roman" w:cs="Times New Roman"/>
          <w:sz w:val="24"/>
          <w:szCs w:val="24"/>
          <w:lang w:val="en-US"/>
        </w:rPr>
        <w:t xml:space="preserve">, Z., Wilen, C., Orchard, R., Virgin, H. W., </w:t>
      </w:r>
      <w:proofErr w:type="spellStart"/>
      <w:r w:rsidRPr="00404AC7">
        <w:rPr>
          <w:rFonts w:ascii="Times New Roman" w:eastAsia="Times New Roman" w:hAnsi="Times New Roman" w:cs="Times New Roman"/>
          <w:sz w:val="24"/>
          <w:szCs w:val="24"/>
          <w:lang w:val="en-US"/>
        </w:rPr>
        <w:t>Listgarten</w:t>
      </w:r>
      <w:proofErr w:type="spellEnd"/>
      <w:r w:rsidRPr="00404AC7">
        <w:rPr>
          <w:rFonts w:ascii="Times New Roman" w:eastAsia="Times New Roman" w:hAnsi="Times New Roman" w:cs="Times New Roman"/>
          <w:sz w:val="24"/>
          <w:szCs w:val="24"/>
          <w:lang w:val="en-US"/>
        </w:rPr>
        <w:t xml:space="preserve">, J., &amp; Root, D. E. (2016). Optimized sgRNA design to maximize activity and minimize off-target effects of CRISPR-Cas9. </w:t>
      </w:r>
      <w:r w:rsidRPr="00404AC7">
        <w:rPr>
          <w:rFonts w:ascii="Times New Roman" w:eastAsia="Times New Roman" w:hAnsi="Times New Roman" w:cs="Times New Roman"/>
          <w:i/>
          <w:iCs/>
          <w:sz w:val="24"/>
          <w:szCs w:val="24"/>
          <w:lang w:val="en-US"/>
        </w:rPr>
        <w:t>Nature Biotechnology, 34</w:t>
      </w:r>
      <w:r w:rsidRPr="00404AC7">
        <w:rPr>
          <w:rFonts w:ascii="Times New Roman" w:eastAsia="Times New Roman" w:hAnsi="Times New Roman" w:cs="Times New Roman"/>
          <w:sz w:val="24"/>
          <w:szCs w:val="24"/>
          <w:lang w:val="en-US"/>
        </w:rPr>
        <w:t xml:space="preserve">(2), 184–191. </w:t>
      </w:r>
      <w:hyperlink r:id="rId15" w:tgtFrame="_new" w:history="1">
        <w:r w:rsidRPr="00404AC7">
          <w:rPr>
            <w:rFonts w:ascii="Times New Roman" w:eastAsia="Times New Roman" w:hAnsi="Times New Roman" w:cs="Times New Roman"/>
            <w:color w:val="0000FF"/>
            <w:sz w:val="24"/>
            <w:szCs w:val="24"/>
            <w:u w:val="single"/>
            <w:lang w:val="en-US"/>
          </w:rPr>
          <w:t>https://doi.org/10.1038/nbt.3437</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ENCODE Project Consortium. (2012). An integrated encyclopedia of DNA elements in the human genome. </w:t>
      </w:r>
      <w:r w:rsidRPr="00404AC7">
        <w:rPr>
          <w:rFonts w:ascii="Times New Roman" w:eastAsia="Times New Roman" w:hAnsi="Times New Roman" w:cs="Times New Roman"/>
          <w:i/>
          <w:iCs/>
          <w:sz w:val="24"/>
          <w:szCs w:val="24"/>
          <w:lang w:val="en-US"/>
        </w:rPr>
        <w:t>Nature, 489</w:t>
      </w:r>
      <w:r w:rsidRPr="00404AC7">
        <w:rPr>
          <w:rFonts w:ascii="Times New Roman" w:eastAsia="Times New Roman" w:hAnsi="Times New Roman" w:cs="Times New Roman"/>
          <w:sz w:val="24"/>
          <w:szCs w:val="24"/>
          <w:lang w:val="en-US"/>
        </w:rPr>
        <w:t xml:space="preserve">(7414), 57–74. </w:t>
      </w:r>
      <w:hyperlink r:id="rId16" w:tgtFrame="_new" w:history="1">
        <w:r w:rsidRPr="00404AC7">
          <w:rPr>
            <w:rFonts w:ascii="Times New Roman" w:eastAsia="Times New Roman" w:hAnsi="Times New Roman" w:cs="Times New Roman"/>
            <w:color w:val="0000FF"/>
            <w:sz w:val="24"/>
            <w:szCs w:val="24"/>
            <w:u w:val="single"/>
            <w:lang w:val="en-US"/>
          </w:rPr>
          <w:t>https://doi.org/10.1038/nature11247</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Eraslan</w:t>
      </w:r>
      <w:proofErr w:type="spellEnd"/>
      <w:r w:rsidRPr="00404AC7">
        <w:rPr>
          <w:rFonts w:ascii="Times New Roman" w:eastAsia="Times New Roman" w:hAnsi="Times New Roman" w:cs="Times New Roman"/>
          <w:sz w:val="24"/>
          <w:szCs w:val="24"/>
          <w:lang w:val="en-US"/>
        </w:rPr>
        <w:t xml:space="preserve">, G.,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Ž., </w:t>
      </w:r>
      <w:proofErr w:type="spellStart"/>
      <w:r w:rsidRPr="00404AC7">
        <w:rPr>
          <w:rFonts w:ascii="Times New Roman" w:eastAsia="Times New Roman" w:hAnsi="Times New Roman" w:cs="Times New Roman"/>
          <w:sz w:val="24"/>
          <w:szCs w:val="24"/>
          <w:lang w:val="en-US"/>
        </w:rPr>
        <w:t>Gagneur</w:t>
      </w:r>
      <w:proofErr w:type="spellEnd"/>
      <w:r w:rsidRPr="00404AC7">
        <w:rPr>
          <w:rFonts w:ascii="Times New Roman" w:eastAsia="Times New Roman" w:hAnsi="Times New Roman" w:cs="Times New Roman"/>
          <w:sz w:val="24"/>
          <w:szCs w:val="24"/>
          <w:lang w:val="en-US"/>
        </w:rPr>
        <w:t xml:space="preserve">, J., &amp; </w:t>
      </w:r>
      <w:proofErr w:type="spellStart"/>
      <w:r w:rsidRPr="00404AC7">
        <w:rPr>
          <w:rFonts w:ascii="Times New Roman" w:eastAsia="Times New Roman" w:hAnsi="Times New Roman" w:cs="Times New Roman"/>
          <w:sz w:val="24"/>
          <w:szCs w:val="24"/>
          <w:lang w:val="en-US"/>
        </w:rPr>
        <w:t>Theis</w:t>
      </w:r>
      <w:proofErr w:type="spellEnd"/>
      <w:r w:rsidRPr="00404AC7">
        <w:rPr>
          <w:rFonts w:ascii="Times New Roman" w:eastAsia="Times New Roman" w:hAnsi="Times New Roman" w:cs="Times New Roman"/>
          <w:sz w:val="24"/>
          <w:szCs w:val="24"/>
          <w:lang w:val="en-US"/>
        </w:rPr>
        <w:t xml:space="preserve">, F. J. (2019). Deep learning: New computational modelling techniques for genomics. </w:t>
      </w:r>
      <w:r w:rsidRPr="00404AC7">
        <w:rPr>
          <w:rFonts w:ascii="Times New Roman" w:eastAsia="Times New Roman" w:hAnsi="Times New Roman" w:cs="Times New Roman"/>
          <w:i/>
          <w:iCs/>
          <w:sz w:val="24"/>
          <w:szCs w:val="24"/>
          <w:lang w:val="en-US"/>
        </w:rPr>
        <w:t>Nature Reviews Genetics, 20</w:t>
      </w:r>
      <w:r w:rsidRPr="00404AC7">
        <w:rPr>
          <w:rFonts w:ascii="Times New Roman" w:eastAsia="Times New Roman" w:hAnsi="Times New Roman" w:cs="Times New Roman"/>
          <w:sz w:val="24"/>
          <w:szCs w:val="24"/>
          <w:lang w:val="en-US"/>
        </w:rPr>
        <w:t>(7), 389–403. https://doi.org/10.1038/s41576-019-0122-6</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(2020). The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atlas of genetic regulatory effects across human tissues. </w:t>
      </w:r>
      <w:r w:rsidRPr="00404AC7">
        <w:rPr>
          <w:rFonts w:ascii="Times New Roman" w:eastAsia="Times New Roman" w:hAnsi="Times New Roman" w:cs="Times New Roman"/>
          <w:i/>
          <w:iCs/>
          <w:sz w:val="24"/>
          <w:szCs w:val="24"/>
          <w:lang w:val="en-US"/>
        </w:rPr>
        <w:t>Science, 369</w:t>
      </w:r>
      <w:r w:rsidRPr="00404AC7">
        <w:rPr>
          <w:rFonts w:ascii="Times New Roman" w:eastAsia="Times New Roman" w:hAnsi="Times New Roman" w:cs="Times New Roman"/>
          <w:sz w:val="24"/>
          <w:szCs w:val="24"/>
          <w:lang w:val="en-US"/>
        </w:rPr>
        <w:t xml:space="preserve">(6509), 1318–1330. </w:t>
      </w:r>
      <w:hyperlink r:id="rId17" w:tgtFrame="_new" w:history="1">
        <w:r w:rsidRPr="00404AC7">
          <w:rPr>
            <w:rFonts w:ascii="Times New Roman" w:eastAsia="Times New Roman" w:hAnsi="Times New Roman" w:cs="Times New Roman"/>
            <w:color w:val="0000FF"/>
            <w:sz w:val="24"/>
            <w:szCs w:val="24"/>
            <w:u w:val="single"/>
            <w:lang w:val="en-US"/>
          </w:rPr>
          <w:t>https://doi.org/10.1126/science.aaz1776</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Hasin</w:t>
      </w:r>
      <w:proofErr w:type="spellEnd"/>
      <w:r w:rsidRPr="00404AC7">
        <w:rPr>
          <w:rFonts w:ascii="Times New Roman" w:eastAsia="Times New Roman" w:hAnsi="Times New Roman" w:cs="Times New Roman"/>
          <w:sz w:val="24"/>
          <w:szCs w:val="24"/>
          <w:lang w:val="en-US"/>
        </w:rPr>
        <w:t xml:space="preserve">, Y., Seldin, M., &amp; </w:t>
      </w:r>
      <w:proofErr w:type="spellStart"/>
      <w:r w:rsidRPr="00404AC7">
        <w:rPr>
          <w:rFonts w:ascii="Times New Roman" w:eastAsia="Times New Roman" w:hAnsi="Times New Roman" w:cs="Times New Roman"/>
          <w:sz w:val="24"/>
          <w:szCs w:val="24"/>
          <w:lang w:val="en-US"/>
        </w:rPr>
        <w:t>Lusis</w:t>
      </w:r>
      <w:proofErr w:type="spellEnd"/>
      <w:r w:rsidRPr="00404AC7">
        <w:rPr>
          <w:rFonts w:ascii="Times New Roman" w:eastAsia="Times New Roman" w:hAnsi="Times New Roman" w:cs="Times New Roman"/>
          <w:sz w:val="24"/>
          <w:szCs w:val="24"/>
          <w:lang w:val="en-US"/>
        </w:rPr>
        <w:t xml:space="preserve">, A. (2017). Multi-omics approaches to disease. </w:t>
      </w:r>
      <w:r w:rsidRPr="00404AC7">
        <w:rPr>
          <w:rFonts w:ascii="Times New Roman" w:eastAsia="Times New Roman" w:hAnsi="Times New Roman" w:cs="Times New Roman"/>
          <w:i/>
          <w:iCs/>
          <w:sz w:val="24"/>
          <w:szCs w:val="24"/>
          <w:lang w:val="en-US"/>
        </w:rPr>
        <w:t>Genome Biology, 18</w:t>
      </w:r>
      <w:r w:rsidRPr="00404AC7">
        <w:rPr>
          <w:rFonts w:ascii="Times New Roman" w:eastAsia="Times New Roman" w:hAnsi="Times New Roman" w:cs="Times New Roman"/>
          <w:sz w:val="24"/>
          <w:szCs w:val="24"/>
          <w:lang w:val="en-US"/>
        </w:rPr>
        <w:t>, Article 83. https://doi.org/10.1186/s13059-017-1215-1</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Ioannidis, N. M., Rothstein, J. H., </w:t>
      </w:r>
      <w:proofErr w:type="spellStart"/>
      <w:r w:rsidRPr="00404AC7">
        <w:rPr>
          <w:rFonts w:ascii="Times New Roman" w:eastAsia="Times New Roman" w:hAnsi="Times New Roman" w:cs="Times New Roman"/>
          <w:sz w:val="24"/>
          <w:szCs w:val="24"/>
          <w:lang w:val="en-US"/>
        </w:rPr>
        <w:t>Pejaver</w:t>
      </w:r>
      <w:proofErr w:type="spellEnd"/>
      <w:r w:rsidRPr="00404AC7">
        <w:rPr>
          <w:rFonts w:ascii="Times New Roman" w:eastAsia="Times New Roman" w:hAnsi="Times New Roman" w:cs="Times New Roman"/>
          <w:sz w:val="24"/>
          <w:szCs w:val="24"/>
          <w:lang w:val="en-US"/>
        </w:rPr>
        <w:t xml:space="preserve">, V., </w:t>
      </w:r>
      <w:proofErr w:type="spellStart"/>
      <w:r w:rsidRPr="00404AC7">
        <w:rPr>
          <w:rFonts w:ascii="Times New Roman" w:eastAsia="Times New Roman" w:hAnsi="Times New Roman" w:cs="Times New Roman"/>
          <w:sz w:val="24"/>
          <w:szCs w:val="24"/>
          <w:lang w:val="en-US"/>
        </w:rPr>
        <w:t>Middha</w:t>
      </w:r>
      <w:proofErr w:type="spellEnd"/>
      <w:r w:rsidRPr="00404AC7">
        <w:rPr>
          <w:rFonts w:ascii="Times New Roman" w:eastAsia="Times New Roman" w:hAnsi="Times New Roman" w:cs="Times New Roman"/>
          <w:sz w:val="24"/>
          <w:szCs w:val="24"/>
          <w:lang w:val="en-US"/>
        </w:rPr>
        <w:t xml:space="preserve">, S., McDonnell, S. K., </w:t>
      </w:r>
      <w:proofErr w:type="spellStart"/>
      <w:r w:rsidRPr="00404AC7">
        <w:rPr>
          <w:rFonts w:ascii="Times New Roman" w:eastAsia="Times New Roman" w:hAnsi="Times New Roman" w:cs="Times New Roman"/>
          <w:sz w:val="24"/>
          <w:szCs w:val="24"/>
          <w:lang w:val="en-US"/>
        </w:rPr>
        <w:t>Baheti</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Musolf</w:t>
      </w:r>
      <w:proofErr w:type="spellEnd"/>
      <w:r w:rsidRPr="00404AC7">
        <w:rPr>
          <w:rFonts w:ascii="Times New Roman" w:eastAsia="Times New Roman" w:hAnsi="Times New Roman" w:cs="Times New Roman"/>
          <w:sz w:val="24"/>
          <w:szCs w:val="24"/>
          <w:lang w:val="en-US"/>
        </w:rPr>
        <w:t xml:space="preserve">, A., Li, Q., </w:t>
      </w:r>
      <w:proofErr w:type="spellStart"/>
      <w:r w:rsidRPr="00404AC7">
        <w:rPr>
          <w:rFonts w:ascii="Times New Roman" w:eastAsia="Times New Roman" w:hAnsi="Times New Roman" w:cs="Times New Roman"/>
          <w:sz w:val="24"/>
          <w:szCs w:val="24"/>
          <w:lang w:val="en-US"/>
        </w:rPr>
        <w:t>Holzinger</w:t>
      </w:r>
      <w:proofErr w:type="spellEnd"/>
      <w:r w:rsidRPr="00404AC7">
        <w:rPr>
          <w:rFonts w:ascii="Times New Roman" w:eastAsia="Times New Roman" w:hAnsi="Times New Roman" w:cs="Times New Roman"/>
          <w:sz w:val="24"/>
          <w:szCs w:val="24"/>
          <w:lang w:val="en-US"/>
        </w:rPr>
        <w:t xml:space="preserve">, E., </w:t>
      </w:r>
      <w:proofErr w:type="spellStart"/>
      <w:r w:rsidRPr="00404AC7">
        <w:rPr>
          <w:rFonts w:ascii="Times New Roman" w:eastAsia="Times New Roman" w:hAnsi="Times New Roman" w:cs="Times New Roman"/>
          <w:sz w:val="24"/>
          <w:szCs w:val="24"/>
          <w:lang w:val="en-US"/>
        </w:rPr>
        <w:t>Karyadi</w:t>
      </w:r>
      <w:proofErr w:type="spellEnd"/>
      <w:r w:rsidRPr="00404AC7">
        <w:rPr>
          <w:rFonts w:ascii="Times New Roman" w:eastAsia="Times New Roman" w:hAnsi="Times New Roman" w:cs="Times New Roman"/>
          <w:sz w:val="24"/>
          <w:szCs w:val="24"/>
          <w:lang w:val="en-US"/>
        </w:rPr>
        <w:t xml:space="preserve">, D., Cannon-Albright, L. A., </w:t>
      </w:r>
      <w:proofErr w:type="spellStart"/>
      <w:r w:rsidRPr="00404AC7">
        <w:rPr>
          <w:rFonts w:ascii="Times New Roman" w:eastAsia="Times New Roman" w:hAnsi="Times New Roman" w:cs="Times New Roman"/>
          <w:sz w:val="24"/>
          <w:szCs w:val="24"/>
          <w:lang w:val="en-US"/>
        </w:rPr>
        <w:t>Teerlink</w:t>
      </w:r>
      <w:proofErr w:type="spellEnd"/>
      <w:r w:rsidRPr="00404AC7">
        <w:rPr>
          <w:rFonts w:ascii="Times New Roman" w:eastAsia="Times New Roman" w:hAnsi="Times New Roman" w:cs="Times New Roman"/>
          <w:sz w:val="24"/>
          <w:szCs w:val="24"/>
          <w:lang w:val="en-US"/>
        </w:rPr>
        <w:t xml:space="preserve">, C. C., Stanford, J. L., Isaacs, W. B., Xu, J., Cooney, K. A., Lange, E. M., </w:t>
      </w:r>
      <w:proofErr w:type="spellStart"/>
      <w:r w:rsidRPr="00404AC7">
        <w:rPr>
          <w:rFonts w:ascii="Times New Roman" w:eastAsia="Times New Roman" w:hAnsi="Times New Roman" w:cs="Times New Roman"/>
          <w:sz w:val="24"/>
          <w:szCs w:val="24"/>
          <w:lang w:val="en-US"/>
        </w:rPr>
        <w:t>Schleutker</w:t>
      </w:r>
      <w:proofErr w:type="spellEnd"/>
      <w:r w:rsidRPr="00404AC7">
        <w:rPr>
          <w:rFonts w:ascii="Times New Roman" w:eastAsia="Times New Roman" w:hAnsi="Times New Roman" w:cs="Times New Roman"/>
          <w:sz w:val="24"/>
          <w:szCs w:val="24"/>
          <w:lang w:val="en-US"/>
        </w:rPr>
        <w:t xml:space="preserve">, J., </w:t>
      </w:r>
      <w:proofErr w:type="spellStart"/>
      <w:r w:rsidRPr="00404AC7">
        <w:rPr>
          <w:rFonts w:ascii="Times New Roman" w:eastAsia="Times New Roman" w:hAnsi="Times New Roman" w:cs="Times New Roman"/>
          <w:sz w:val="24"/>
          <w:szCs w:val="24"/>
          <w:lang w:val="en-US"/>
        </w:rPr>
        <w:t>Carpten</w:t>
      </w:r>
      <w:proofErr w:type="spellEnd"/>
      <w:r w:rsidRPr="00404AC7">
        <w:rPr>
          <w:rFonts w:ascii="Times New Roman" w:eastAsia="Times New Roman" w:hAnsi="Times New Roman" w:cs="Times New Roman"/>
          <w:sz w:val="24"/>
          <w:szCs w:val="24"/>
          <w:lang w:val="en-US"/>
        </w:rPr>
        <w:t xml:space="preserve">, J. D., … </w:t>
      </w:r>
      <w:proofErr w:type="spellStart"/>
      <w:r w:rsidRPr="00404AC7">
        <w:rPr>
          <w:rFonts w:ascii="Times New Roman" w:eastAsia="Times New Roman" w:hAnsi="Times New Roman" w:cs="Times New Roman"/>
          <w:sz w:val="24"/>
          <w:szCs w:val="24"/>
          <w:lang w:val="en-US"/>
        </w:rPr>
        <w:t>Sieh</w:t>
      </w:r>
      <w:proofErr w:type="spellEnd"/>
      <w:r w:rsidRPr="00404AC7">
        <w:rPr>
          <w:rFonts w:ascii="Times New Roman" w:eastAsia="Times New Roman" w:hAnsi="Times New Roman" w:cs="Times New Roman"/>
          <w:sz w:val="24"/>
          <w:szCs w:val="24"/>
          <w:lang w:val="en-US"/>
        </w:rPr>
        <w:t xml:space="preserve">, W. (2016). REVEL: An ensemble method for predicting the pathogenicity of rare missense variants. </w:t>
      </w:r>
      <w:r w:rsidRPr="00404AC7">
        <w:rPr>
          <w:rFonts w:ascii="Times New Roman" w:eastAsia="Times New Roman" w:hAnsi="Times New Roman" w:cs="Times New Roman"/>
          <w:i/>
          <w:iCs/>
          <w:sz w:val="24"/>
          <w:szCs w:val="24"/>
          <w:lang w:val="en-US"/>
        </w:rPr>
        <w:t>The American Journal of Human Genetics, 99</w:t>
      </w:r>
      <w:r w:rsidRPr="00404AC7">
        <w:rPr>
          <w:rFonts w:ascii="Times New Roman" w:eastAsia="Times New Roman" w:hAnsi="Times New Roman" w:cs="Times New Roman"/>
          <w:sz w:val="24"/>
          <w:szCs w:val="24"/>
          <w:lang w:val="en-US"/>
        </w:rPr>
        <w:t>(4), 877–885. https://doi.org/10.1016/j.ajhg.2016.08.016</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K., </w:t>
      </w:r>
      <w:proofErr w:type="spellStart"/>
      <w:r w:rsidRPr="00404AC7">
        <w:rPr>
          <w:rFonts w:ascii="Times New Roman" w:eastAsia="Times New Roman" w:hAnsi="Times New Roman" w:cs="Times New Roman"/>
          <w:sz w:val="24"/>
          <w:szCs w:val="24"/>
          <w:lang w:val="en-US"/>
        </w:rPr>
        <w:t>Kyriazopoulou</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Panagiotopoulou</w:t>
      </w:r>
      <w:proofErr w:type="spellEnd"/>
      <w:r w:rsidRPr="00404AC7">
        <w:rPr>
          <w:rFonts w:ascii="Times New Roman" w:eastAsia="Times New Roman" w:hAnsi="Times New Roman" w:cs="Times New Roman"/>
          <w:sz w:val="24"/>
          <w:szCs w:val="24"/>
          <w:lang w:val="en-US"/>
        </w:rPr>
        <w:t xml:space="preserve">, S., McRae, J. F., </w:t>
      </w:r>
      <w:proofErr w:type="spellStart"/>
      <w:r w:rsidRPr="00404AC7">
        <w:rPr>
          <w:rFonts w:ascii="Times New Roman" w:eastAsia="Times New Roman" w:hAnsi="Times New Roman" w:cs="Times New Roman"/>
          <w:sz w:val="24"/>
          <w:szCs w:val="24"/>
          <w:lang w:val="en-US"/>
        </w:rPr>
        <w:t>Darbandi</w:t>
      </w:r>
      <w:proofErr w:type="spellEnd"/>
      <w:r w:rsidRPr="00404AC7">
        <w:rPr>
          <w:rFonts w:ascii="Times New Roman" w:eastAsia="Times New Roman" w:hAnsi="Times New Roman" w:cs="Times New Roman"/>
          <w:sz w:val="24"/>
          <w:szCs w:val="24"/>
          <w:lang w:val="en-US"/>
        </w:rPr>
        <w:t xml:space="preserve">, S. F., Knowles, D., Li, Y. I., </w:t>
      </w:r>
      <w:proofErr w:type="spellStart"/>
      <w:r w:rsidRPr="00404AC7">
        <w:rPr>
          <w:rFonts w:ascii="Times New Roman" w:eastAsia="Times New Roman" w:hAnsi="Times New Roman" w:cs="Times New Roman"/>
          <w:sz w:val="24"/>
          <w:szCs w:val="24"/>
          <w:lang w:val="en-US"/>
        </w:rPr>
        <w:t>Kosmicki</w:t>
      </w:r>
      <w:proofErr w:type="spellEnd"/>
      <w:r w:rsidRPr="00404AC7">
        <w:rPr>
          <w:rFonts w:ascii="Times New Roman" w:eastAsia="Times New Roman" w:hAnsi="Times New Roman" w:cs="Times New Roman"/>
          <w:sz w:val="24"/>
          <w:szCs w:val="24"/>
          <w:lang w:val="en-US"/>
        </w:rPr>
        <w:t xml:space="preserve">, J. A., Arbelaez, J., Cui, W., Schwartz, G. B., Chow, E. D., </w:t>
      </w:r>
      <w:proofErr w:type="spellStart"/>
      <w:r w:rsidRPr="00404AC7">
        <w:rPr>
          <w:rFonts w:ascii="Times New Roman" w:eastAsia="Times New Roman" w:hAnsi="Times New Roman" w:cs="Times New Roman"/>
          <w:sz w:val="24"/>
          <w:szCs w:val="24"/>
          <w:lang w:val="en-US"/>
        </w:rPr>
        <w:t>Kanterakis</w:t>
      </w:r>
      <w:proofErr w:type="spellEnd"/>
      <w:r w:rsidRPr="00404AC7">
        <w:rPr>
          <w:rFonts w:ascii="Times New Roman" w:eastAsia="Times New Roman" w:hAnsi="Times New Roman" w:cs="Times New Roman"/>
          <w:sz w:val="24"/>
          <w:szCs w:val="24"/>
          <w:lang w:val="en-US"/>
        </w:rPr>
        <w:t xml:space="preserve">, E., Gao, H., Kia, A., </w:t>
      </w:r>
      <w:proofErr w:type="spellStart"/>
      <w:r w:rsidRPr="00404AC7">
        <w:rPr>
          <w:rFonts w:ascii="Times New Roman" w:eastAsia="Times New Roman" w:hAnsi="Times New Roman" w:cs="Times New Roman"/>
          <w:sz w:val="24"/>
          <w:szCs w:val="24"/>
          <w:lang w:val="en-US"/>
        </w:rPr>
        <w:t>Batzoglou</w:t>
      </w:r>
      <w:proofErr w:type="spellEnd"/>
      <w:r w:rsidRPr="00404AC7">
        <w:rPr>
          <w:rFonts w:ascii="Times New Roman" w:eastAsia="Times New Roman" w:hAnsi="Times New Roman" w:cs="Times New Roman"/>
          <w:sz w:val="24"/>
          <w:szCs w:val="24"/>
          <w:lang w:val="en-US"/>
        </w:rPr>
        <w:t xml:space="preserve">, S., Sanders, S. J., &amp; </w:t>
      </w:r>
      <w:proofErr w:type="spellStart"/>
      <w:r w:rsidRPr="00404AC7">
        <w:rPr>
          <w:rFonts w:ascii="Times New Roman" w:eastAsia="Times New Roman" w:hAnsi="Times New Roman" w:cs="Times New Roman"/>
          <w:sz w:val="24"/>
          <w:szCs w:val="24"/>
          <w:lang w:val="en-US"/>
        </w:rPr>
        <w:t>Farh</w:t>
      </w:r>
      <w:proofErr w:type="spellEnd"/>
      <w:r w:rsidRPr="00404AC7">
        <w:rPr>
          <w:rFonts w:ascii="Times New Roman" w:eastAsia="Times New Roman" w:hAnsi="Times New Roman" w:cs="Times New Roman"/>
          <w:sz w:val="24"/>
          <w:szCs w:val="24"/>
          <w:lang w:val="en-US"/>
        </w:rPr>
        <w:t xml:space="preserve">, K. K. H. (2019). Predicting splicing from primary sequence with deep learning. </w:t>
      </w:r>
      <w:r w:rsidRPr="00404AC7">
        <w:rPr>
          <w:rFonts w:ascii="Times New Roman" w:eastAsia="Times New Roman" w:hAnsi="Times New Roman" w:cs="Times New Roman"/>
          <w:i/>
          <w:iCs/>
          <w:sz w:val="24"/>
          <w:szCs w:val="24"/>
          <w:lang w:val="en-US"/>
        </w:rPr>
        <w:t>Cell, 176</w:t>
      </w:r>
      <w:r w:rsidRPr="00404AC7">
        <w:rPr>
          <w:rFonts w:ascii="Times New Roman" w:eastAsia="Times New Roman" w:hAnsi="Times New Roman" w:cs="Times New Roman"/>
          <w:sz w:val="24"/>
          <w:szCs w:val="24"/>
          <w:lang w:val="en-US"/>
        </w:rPr>
        <w:t xml:space="preserve">(3), 535–548.e24. </w:t>
      </w:r>
      <w:hyperlink r:id="rId18" w:tgtFrame="_new" w:history="1">
        <w:r w:rsidRPr="00404AC7">
          <w:rPr>
            <w:rFonts w:ascii="Times New Roman" w:eastAsia="Times New Roman" w:hAnsi="Times New Roman" w:cs="Times New Roman"/>
            <w:color w:val="0000FF"/>
            <w:sz w:val="24"/>
            <w:szCs w:val="24"/>
            <w:u w:val="single"/>
            <w:lang w:val="en-US"/>
          </w:rPr>
          <w:t>https://doi.org/10.1016/j.cell.2018.12.015</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Jumper, J., Evans, R., </w:t>
      </w:r>
      <w:proofErr w:type="spellStart"/>
      <w:r w:rsidRPr="00404AC7">
        <w:rPr>
          <w:rFonts w:ascii="Times New Roman" w:eastAsia="Times New Roman" w:hAnsi="Times New Roman" w:cs="Times New Roman"/>
          <w:sz w:val="24"/>
          <w:szCs w:val="24"/>
          <w:lang w:val="en-US"/>
        </w:rPr>
        <w:t>Pritzel</w:t>
      </w:r>
      <w:proofErr w:type="spellEnd"/>
      <w:r w:rsidRPr="00404AC7">
        <w:rPr>
          <w:rFonts w:ascii="Times New Roman" w:eastAsia="Times New Roman" w:hAnsi="Times New Roman" w:cs="Times New Roman"/>
          <w:sz w:val="24"/>
          <w:szCs w:val="24"/>
          <w:lang w:val="en-US"/>
        </w:rPr>
        <w:t xml:space="preserve">, A., Green, T., </w:t>
      </w:r>
      <w:proofErr w:type="spellStart"/>
      <w:r w:rsidRPr="00404AC7">
        <w:rPr>
          <w:rFonts w:ascii="Times New Roman" w:eastAsia="Times New Roman" w:hAnsi="Times New Roman" w:cs="Times New Roman"/>
          <w:sz w:val="24"/>
          <w:szCs w:val="24"/>
          <w:lang w:val="en-US"/>
        </w:rPr>
        <w:t>Figurnov</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Ronneberger</w:t>
      </w:r>
      <w:proofErr w:type="spellEnd"/>
      <w:r w:rsidRPr="00404AC7">
        <w:rPr>
          <w:rFonts w:ascii="Times New Roman" w:eastAsia="Times New Roman" w:hAnsi="Times New Roman" w:cs="Times New Roman"/>
          <w:sz w:val="24"/>
          <w:szCs w:val="24"/>
          <w:lang w:val="en-US"/>
        </w:rPr>
        <w:t xml:space="preserve">, O.,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K., Bates, R., </w:t>
      </w:r>
      <w:proofErr w:type="spellStart"/>
      <w:r w:rsidRPr="00404AC7">
        <w:rPr>
          <w:rFonts w:ascii="Times New Roman" w:eastAsia="Times New Roman" w:hAnsi="Times New Roman" w:cs="Times New Roman"/>
          <w:sz w:val="24"/>
          <w:szCs w:val="24"/>
          <w:lang w:val="en-US"/>
        </w:rPr>
        <w:t>Žídek</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Potapenko</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Bridgland</w:t>
      </w:r>
      <w:proofErr w:type="spellEnd"/>
      <w:r w:rsidRPr="00404AC7">
        <w:rPr>
          <w:rFonts w:ascii="Times New Roman" w:eastAsia="Times New Roman" w:hAnsi="Times New Roman" w:cs="Times New Roman"/>
          <w:sz w:val="24"/>
          <w:szCs w:val="24"/>
          <w:lang w:val="en-US"/>
        </w:rPr>
        <w:t xml:space="preserve">, A., Meyer, C., Kohl, S. A. A., Ballard, A. J., Cowie, A., </w:t>
      </w:r>
      <w:proofErr w:type="spellStart"/>
      <w:r w:rsidRPr="00404AC7">
        <w:rPr>
          <w:rFonts w:ascii="Times New Roman" w:eastAsia="Times New Roman" w:hAnsi="Times New Roman" w:cs="Times New Roman"/>
          <w:sz w:val="24"/>
          <w:szCs w:val="24"/>
          <w:lang w:val="en-US"/>
        </w:rPr>
        <w:t>Romera</w:t>
      </w:r>
      <w:proofErr w:type="spellEnd"/>
      <w:r w:rsidRPr="00404AC7">
        <w:rPr>
          <w:rFonts w:ascii="Times New Roman" w:eastAsia="Times New Roman" w:hAnsi="Times New Roman" w:cs="Times New Roman"/>
          <w:sz w:val="24"/>
          <w:szCs w:val="24"/>
          <w:lang w:val="en-US"/>
        </w:rPr>
        <w:t xml:space="preserve">-Paredes, B., </w:t>
      </w:r>
      <w:proofErr w:type="spellStart"/>
      <w:r w:rsidRPr="00404AC7">
        <w:rPr>
          <w:rFonts w:ascii="Times New Roman" w:eastAsia="Times New Roman" w:hAnsi="Times New Roman" w:cs="Times New Roman"/>
          <w:sz w:val="24"/>
          <w:szCs w:val="24"/>
          <w:lang w:val="en-US"/>
        </w:rPr>
        <w:t>Nikolov</w:t>
      </w:r>
      <w:proofErr w:type="spellEnd"/>
      <w:r w:rsidRPr="00404AC7">
        <w:rPr>
          <w:rFonts w:ascii="Times New Roman" w:eastAsia="Times New Roman" w:hAnsi="Times New Roman" w:cs="Times New Roman"/>
          <w:sz w:val="24"/>
          <w:szCs w:val="24"/>
          <w:lang w:val="en-US"/>
        </w:rPr>
        <w:t xml:space="preserve">, S., Jain, R., Adler, J., … Hassabis, D. (2021). Highly accurate protein structure prediction with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w:t>
      </w:r>
      <w:r w:rsidRPr="00404AC7">
        <w:rPr>
          <w:rFonts w:ascii="Times New Roman" w:eastAsia="Times New Roman" w:hAnsi="Times New Roman" w:cs="Times New Roman"/>
          <w:i/>
          <w:iCs/>
          <w:sz w:val="24"/>
          <w:szCs w:val="24"/>
          <w:lang w:val="en-US"/>
        </w:rPr>
        <w:t>Nature, 596</w:t>
      </w:r>
      <w:r w:rsidRPr="00404AC7">
        <w:rPr>
          <w:rFonts w:ascii="Times New Roman" w:eastAsia="Times New Roman" w:hAnsi="Times New Roman" w:cs="Times New Roman"/>
          <w:sz w:val="24"/>
          <w:szCs w:val="24"/>
          <w:lang w:val="en-US"/>
        </w:rPr>
        <w:t xml:space="preserve">(7873), 583–589. </w:t>
      </w:r>
      <w:hyperlink r:id="rId19" w:tgtFrame="_new" w:history="1">
        <w:r w:rsidRPr="00404AC7">
          <w:rPr>
            <w:rFonts w:ascii="Times New Roman" w:eastAsia="Times New Roman" w:hAnsi="Times New Roman" w:cs="Times New Roman"/>
            <w:color w:val="0000FF"/>
            <w:sz w:val="24"/>
            <w:szCs w:val="24"/>
            <w:u w:val="single"/>
            <w:lang w:val="en-US"/>
          </w:rPr>
          <w:t>https://doi.org/10.1038/s41586-021-03819-2</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Karczewski</w:t>
      </w:r>
      <w:proofErr w:type="spellEnd"/>
      <w:r w:rsidRPr="00404AC7">
        <w:rPr>
          <w:rFonts w:ascii="Times New Roman" w:eastAsia="Times New Roman" w:hAnsi="Times New Roman" w:cs="Times New Roman"/>
          <w:sz w:val="24"/>
          <w:szCs w:val="24"/>
          <w:lang w:val="en-US"/>
        </w:rPr>
        <w:t xml:space="preserve">, K. J., </w:t>
      </w:r>
      <w:proofErr w:type="spellStart"/>
      <w:r w:rsidRPr="00404AC7">
        <w:rPr>
          <w:rFonts w:ascii="Times New Roman" w:eastAsia="Times New Roman" w:hAnsi="Times New Roman" w:cs="Times New Roman"/>
          <w:sz w:val="24"/>
          <w:szCs w:val="24"/>
          <w:lang w:val="en-US"/>
        </w:rPr>
        <w:t>Francioli</w:t>
      </w:r>
      <w:proofErr w:type="spellEnd"/>
      <w:r w:rsidRPr="00404AC7">
        <w:rPr>
          <w:rFonts w:ascii="Times New Roman" w:eastAsia="Times New Roman" w:hAnsi="Times New Roman" w:cs="Times New Roman"/>
          <w:sz w:val="24"/>
          <w:szCs w:val="24"/>
          <w:lang w:val="en-US"/>
        </w:rPr>
        <w:t xml:space="preserve">, L. C., </w:t>
      </w:r>
      <w:proofErr w:type="spellStart"/>
      <w:r w:rsidRPr="00404AC7">
        <w:rPr>
          <w:rFonts w:ascii="Times New Roman" w:eastAsia="Times New Roman" w:hAnsi="Times New Roman" w:cs="Times New Roman"/>
          <w:sz w:val="24"/>
          <w:szCs w:val="24"/>
          <w:lang w:val="en-US"/>
        </w:rPr>
        <w:t>Tiao</w:t>
      </w:r>
      <w:proofErr w:type="spellEnd"/>
      <w:r w:rsidRPr="00404AC7">
        <w:rPr>
          <w:rFonts w:ascii="Times New Roman" w:eastAsia="Times New Roman" w:hAnsi="Times New Roman" w:cs="Times New Roman"/>
          <w:sz w:val="24"/>
          <w:szCs w:val="24"/>
          <w:lang w:val="en-US"/>
        </w:rPr>
        <w:t xml:space="preserve">, G., Cummings, B. B., </w:t>
      </w:r>
      <w:proofErr w:type="spellStart"/>
      <w:r w:rsidRPr="00404AC7">
        <w:rPr>
          <w:rFonts w:ascii="Times New Roman" w:eastAsia="Times New Roman" w:hAnsi="Times New Roman" w:cs="Times New Roman"/>
          <w:sz w:val="24"/>
          <w:szCs w:val="24"/>
          <w:lang w:val="en-US"/>
        </w:rPr>
        <w:t>Alföldi</w:t>
      </w:r>
      <w:proofErr w:type="spellEnd"/>
      <w:r w:rsidRPr="00404AC7">
        <w:rPr>
          <w:rFonts w:ascii="Times New Roman" w:eastAsia="Times New Roman" w:hAnsi="Times New Roman" w:cs="Times New Roman"/>
          <w:sz w:val="24"/>
          <w:szCs w:val="24"/>
          <w:lang w:val="en-US"/>
        </w:rPr>
        <w:t xml:space="preserve">, J., Wang, Q., Collins, R. L., </w:t>
      </w:r>
      <w:proofErr w:type="spellStart"/>
      <w:r w:rsidRPr="00404AC7">
        <w:rPr>
          <w:rFonts w:ascii="Times New Roman" w:eastAsia="Times New Roman" w:hAnsi="Times New Roman" w:cs="Times New Roman"/>
          <w:sz w:val="24"/>
          <w:szCs w:val="24"/>
          <w:lang w:val="en-US"/>
        </w:rPr>
        <w:t>Laricchia</w:t>
      </w:r>
      <w:proofErr w:type="spellEnd"/>
      <w:r w:rsidRPr="00404AC7">
        <w:rPr>
          <w:rFonts w:ascii="Times New Roman" w:eastAsia="Times New Roman" w:hAnsi="Times New Roman" w:cs="Times New Roman"/>
          <w:sz w:val="24"/>
          <w:szCs w:val="24"/>
          <w:lang w:val="en-US"/>
        </w:rPr>
        <w:t xml:space="preserve">, K. M., </w:t>
      </w:r>
      <w:proofErr w:type="spellStart"/>
      <w:r w:rsidRPr="00404AC7">
        <w:rPr>
          <w:rFonts w:ascii="Times New Roman" w:eastAsia="Times New Roman" w:hAnsi="Times New Roman" w:cs="Times New Roman"/>
          <w:sz w:val="24"/>
          <w:szCs w:val="24"/>
          <w:lang w:val="en-US"/>
        </w:rPr>
        <w:t>Ganna</w:t>
      </w:r>
      <w:proofErr w:type="spellEnd"/>
      <w:r w:rsidRPr="00404AC7">
        <w:rPr>
          <w:rFonts w:ascii="Times New Roman" w:eastAsia="Times New Roman" w:hAnsi="Times New Roman" w:cs="Times New Roman"/>
          <w:sz w:val="24"/>
          <w:szCs w:val="24"/>
          <w:lang w:val="en-US"/>
        </w:rPr>
        <w:t xml:space="preserve">, A., Birnbaum, D. P., Gauthier, L. D., Brand, H., </w:t>
      </w:r>
      <w:proofErr w:type="spellStart"/>
      <w:r w:rsidRPr="00404AC7">
        <w:rPr>
          <w:rFonts w:ascii="Times New Roman" w:eastAsia="Times New Roman" w:hAnsi="Times New Roman" w:cs="Times New Roman"/>
          <w:sz w:val="24"/>
          <w:szCs w:val="24"/>
          <w:lang w:val="en-US"/>
        </w:rPr>
        <w:t>Solomonson</w:t>
      </w:r>
      <w:proofErr w:type="spellEnd"/>
      <w:r w:rsidRPr="00404AC7">
        <w:rPr>
          <w:rFonts w:ascii="Times New Roman" w:eastAsia="Times New Roman" w:hAnsi="Times New Roman" w:cs="Times New Roman"/>
          <w:sz w:val="24"/>
          <w:szCs w:val="24"/>
          <w:lang w:val="en-US"/>
        </w:rPr>
        <w:t xml:space="preserve">, M., Watts, N. A., Rhodes, D., Singer-Berk, M., </w:t>
      </w:r>
      <w:proofErr w:type="spellStart"/>
      <w:r w:rsidRPr="00404AC7">
        <w:rPr>
          <w:rFonts w:ascii="Times New Roman" w:eastAsia="Times New Roman" w:hAnsi="Times New Roman" w:cs="Times New Roman"/>
          <w:sz w:val="24"/>
          <w:szCs w:val="24"/>
          <w:lang w:val="en-US"/>
        </w:rPr>
        <w:t>Seaby</w:t>
      </w:r>
      <w:proofErr w:type="spellEnd"/>
      <w:r w:rsidRPr="00404AC7">
        <w:rPr>
          <w:rFonts w:ascii="Times New Roman" w:eastAsia="Times New Roman" w:hAnsi="Times New Roman" w:cs="Times New Roman"/>
          <w:sz w:val="24"/>
          <w:szCs w:val="24"/>
          <w:lang w:val="en-US"/>
        </w:rPr>
        <w:t xml:space="preserve">, E. G., </w:t>
      </w:r>
      <w:proofErr w:type="spellStart"/>
      <w:r w:rsidRPr="00404AC7">
        <w:rPr>
          <w:rFonts w:ascii="Times New Roman" w:eastAsia="Times New Roman" w:hAnsi="Times New Roman" w:cs="Times New Roman"/>
          <w:sz w:val="24"/>
          <w:szCs w:val="24"/>
          <w:lang w:val="en-US"/>
        </w:rPr>
        <w:t>Kosmicki</w:t>
      </w:r>
      <w:proofErr w:type="spellEnd"/>
      <w:r w:rsidRPr="00404AC7">
        <w:rPr>
          <w:rFonts w:ascii="Times New Roman" w:eastAsia="Times New Roman" w:hAnsi="Times New Roman" w:cs="Times New Roman"/>
          <w:sz w:val="24"/>
          <w:szCs w:val="24"/>
          <w:lang w:val="en-US"/>
        </w:rPr>
        <w:t xml:space="preserve">, J. A., Walters, R. K., </w:t>
      </w:r>
      <w:r w:rsidRPr="00404AC7">
        <w:rPr>
          <w:rFonts w:ascii="Times New Roman" w:eastAsia="Times New Roman" w:hAnsi="Times New Roman" w:cs="Times New Roman"/>
          <w:sz w:val="24"/>
          <w:szCs w:val="24"/>
          <w:lang w:val="en-US"/>
        </w:rPr>
        <w:lastRenderedPageBreak/>
        <w:t xml:space="preserve">… MacArthur, D. G. (2020). The mutational constraint spectrum quantified from variation in 141,456 humans. </w:t>
      </w:r>
      <w:r w:rsidRPr="00404AC7">
        <w:rPr>
          <w:rFonts w:ascii="Times New Roman" w:eastAsia="Times New Roman" w:hAnsi="Times New Roman" w:cs="Times New Roman"/>
          <w:i/>
          <w:iCs/>
          <w:sz w:val="24"/>
          <w:szCs w:val="24"/>
          <w:lang w:val="en-US"/>
        </w:rPr>
        <w:t>Nature, 581</w:t>
      </w:r>
      <w:r w:rsidRPr="00404AC7">
        <w:rPr>
          <w:rFonts w:ascii="Times New Roman" w:eastAsia="Times New Roman" w:hAnsi="Times New Roman" w:cs="Times New Roman"/>
          <w:sz w:val="24"/>
          <w:szCs w:val="24"/>
          <w:lang w:val="en-US"/>
        </w:rPr>
        <w:t xml:space="preserve">(7809), 434–443. </w:t>
      </w:r>
      <w:hyperlink r:id="rId20" w:tgtFrame="_new" w:history="1">
        <w:r w:rsidRPr="00404AC7">
          <w:rPr>
            <w:rFonts w:ascii="Times New Roman" w:eastAsia="Times New Roman" w:hAnsi="Times New Roman" w:cs="Times New Roman"/>
            <w:color w:val="0000FF"/>
            <w:sz w:val="24"/>
            <w:szCs w:val="24"/>
            <w:u w:val="single"/>
            <w:lang w:val="en-US"/>
          </w:rPr>
          <w:t>https://doi.org/10.1038/s41586-020-2308-7</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Kelley, D. R., Snoek, J., &amp; </w:t>
      </w:r>
      <w:proofErr w:type="spellStart"/>
      <w:r w:rsidRPr="00404AC7">
        <w:rPr>
          <w:rFonts w:ascii="Times New Roman" w:eastAsia="Times New Roman" w:hAnsi="Times New Roman" w:cs="Times New Roman"/>
          <w:sz w:val="24"/>
          <w:szCs w:val="24"/>
          <w:lang w:val="en-US"/>
        </w:rPr>
        <w:t>Rinn</w:t>
      </w:r>
      <w:proofErr w:type="spellEnd"/>
      <w:r w:rsidRPr="00404AC7">
        <w:rPr>
          <w:rFonts w:ascii="Times New Roman" w:eastAsia="Times New Roman" w:hAnsi="Times New Roman" w:cs="Times New Roman"/>
          <w:sz w:val="24"/>
          <w:szCs w:val="24"/>
          <w:lang w:val="en-US"/>
        </w:rPr>
        <w:t xml:space="preserve">, J. L. (2016). Basset: Learning the regulatory code of the accessible genome with deep convolutional neural networks. </w:t>
      </w:r>
      <w:r w:rsidRPr="00404AC7">
        <w:rPr>
          <w:rFonts w:ascii="Times New Roman" w:eastAsia="Times New Roman" w:hAnsi="Times New Roman" w:cs="Times New Roman"/>
          <w:i/>
          <w:iCs/>
          <w:sz w:val="24"/>
          <w:szCs w:val="24"/>
          <w:lang w:val="en-US"/>
        </w:rPr>
        <w:t>Genome Research, 26</w:t>
      </w:r>
      <w:r w:rsidRPr="00404AC7">
        <w:rPr>
          <w:rFonts w:ascii="Times New Roman" w:eastAsia="Times New Roman" w:hAnsi="Times New Roman" w:cs="Times New Roman"/>
          <w:sz w:val="24"/>
          <w:szCs w:val="24"/>
          <w:lang w:val="en-US"/>
        </w:rPr>
        <w:t xml:space="preserve">(7), 990–999. </w:t>
      </w:r>
      <w:hyperlink r:id="rId21" w:tgtFrame="_new" w:history="1">
        <w:r w:rsidRPr="00404AC7">
          <w:rPr>
            <w:rFonts w:ascii="Times New Roman" w:eastAsia="Times New Roman" w:hAnsi="Times New Roman" w:cs="Times New Roman"/>
            <w:color w:val="0000FF"/>
            <w:sz w:val="24"/>
            <w:szCs w:val="24"/>
            <w:u w:val="single"/>
            <w:lang w:val="en-US"/>
          </w:rPr>
          <w:t>https://doi.org/10.1101/gr.200535.115</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Kircher, M., Witten, D. M., Jain, P., </w:t>
      </w:r>
      <w:proofErr w:type="spellStart"/>
      <w:r w:rsidRPr="00404AC7">
        <w:rPr>
          <w:rFonts w:ascii="Times New Roman" w:eastAsia="Times New Roman" w:hAnsi="Times New Roman" w:cs="Times New Roman"/>
          <w:sz w:val="24"/>
          <w:szCs w:val="24"/>
          <w:lang w:val="en-US"/>
        </w:rPr>
        <w:t>O’Roak</w:t>
      </w:r>
      <w:proofErr w:type="spellEnd"/>
      <w:r w:rsidRPr="00404AC7">
        <w:rPr>
          <w:rFonts w:ascii="Times New Roman" w:eastAsia="Times New Roman" w:hAnsi="Times New Roman" w:cs="Times New Roman"/>
          <w:sz w:val="24"/>
          <w:szCs w:val="24"/>
          <w:lang w:val="en-US"/>
        </w:rPr>
        <w:t xml:space="preserve">, B. J., Cooper, G. M., &amp; </w:t>
      </w:r>
      <w:proofErr w:type="spellStart"/>
      <w:r w:rsidRPr="00404AC7">
        <w:rPr>
          <w:rFonts w:ascii="Times New Roman" w:eastAsia="Times New Roman" w:hAnsi="Times New Roman" w:cs="Times New Roman"/>
          <w:sz w:val="24"/>
          <w:szCs w:val="24"/>
          <w:lang w:val="en-US"/>
        </w:rPr>
        <w:t>Shendure</w:t>
      </w:r>
      <w:proofErr w:type="spellEnd"/>
      <w:r w:rsidRPr="00404AC7">
        <w:rPr>
          <w:rFonts w:ascii="Times New Roman" w:eastAsia="Times New Roman" w:hAnsi="Times New Roman" w:cs="Times New Roman"/>
          <w:sz w:val="24"/>
          <w:szCs w:val="24"/>
          <w:lang w:val="en-US"/>
        </w:rPr>
        <w:t xml:space="preserve">, J. (2014). A general framework for estimating the relative pathogenicity of human genetic variants. </w:t>
      </w:r>
      <w:r w:rsidRPr="00404AC7">
        <w:rPr>
          <w:rFonts w:ascii="Times New Roman" w:eastAsia="Times New Roman" w:hAnsi="Times New Roman" w:cs="Times New Roman"/>
          <w:i/>
          <w:iCs/>
          <w:sz w:val="24"/>
          <w:szCs w:val="24"/>
          <w:lang w:val="en-US"/>
        </w:rPr>
        <w:t>Nature Genetics, 46</w:t>
      </w:r>
      <w:r w:rsidRPr="00404AC7">
        <w:rPr>
          <w:rFonts w:ascii="Times New Roman" w:eastAsia="Times New Roman" w:hAnsi="Times New Roman" w:cs="Times New Roman"/>
          <w:sz w:val="24"/>
          <w:szCs w:val="24"/>
          <w:lang w:val="en-US"/>
        </w:rPr>
        <w:t>(3), 310–315. https://doi.org/10.1038/ng.2892</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Landrum, M. J., Lee, J. M., Benson, M., Brown, G., Chao, C., </w:t>
      </w:r>
      <w:proofErr w:type="spellStart"/>
      <w:r w:rsidRPr="00404AC7">
        <w:rPr>
          <w:rFonts w:ascii="Times New Roman" w:eastAsia="Times New Roman" w:hAnsi="Times New Roman" w:cs="Times New Roman"/>
          <w:sz w:val="24"/>
          <w:szCs w:val="24"/>
          <w:lang w:val="en-US"/>
        </w:rPr>
        <w:t>Chitipiralla</w:t>
      </w:r>
      <w:proofErr w:type="spellEnd"/>
      <w:r w:rsidRPr="00404AC7">
        <w:rPr>
          <w:rFonts w:ascii="Times New Roman" w:eastAsia="Times New Roman" w:hAnsi="Times New Roman" w:cs="Times New Roman"/>
          <w:sz w:val="24"/>
          <w:szCs w:val="24"/>
          <w:lang w:val="en-US"/>
        </w:rPr>
        <w:t xml:space="preserve">, S., Gu, B., Hart, J., Hoffman, D., Jang, W., </w:t>
      </w:r>
      <w:proofErr w:type="spellStart"/>
      <w:r w:rsidRPr="00404AC7">
        <w:rPr>
          <w:rFonts w:ascii="Times New Roman" w:eastAsia="Times New Roman" w:hAnsi="Times New Roman" w:cs="Times New Roman"/>
          <w:sz w:val="24"/>
          <w:szCs w:val="24"/>
          <w:lang w:val="en-US"/>
        </w:rPr>
        <w:t>Karapetyan</w:t>
      </w:r>
      <w:proofErr w:type="spellEnd"/>
      <w:r w:rsidRPr="00404AC7">
        <w:rPr>
          <w:rFonts w:ascii="Times New Roman" w:eastAsia="Times New Roman" w:hAnsi="Times New Roman" w:cs="Times New Roman"/>
          <w:sz w:val="24"/>
          <w:szCs w:val="24"/>
          <w:lang w:val="en-US"/>
        </w:rPr>
        <w:t xml:space="preserve">, K., Katz, K., Liu, C., </w:t>
      </w:r>
      <w:proofErr w:type="spellStart"/>
      <w:r w:rsidRPr="00404AC7">
        <w:rPr>
          <w:rFonts w:ascii="Times New Roman" w:eastAsia="Times New Roman" w:hAnsi="Times New Roman" w:cs="Times New Roman"/>
          <w:sz w:val="24"/>
          <w:szCs w:val="24"/>
          <w:lang w:val="en-US"/>
        </w:rPr>
        <w:t>Maddipatla</w:t>
      </w:r>
      <w:proofErr w:type="spellEnd"/>
      <w:r w:rsidRPr="00404AC7">
        <w:rPr>
          <w:rFonts w:ascii="Times New Roman" w:eastAsia="Times New Roman" w:hAnsi="Times New Roman" w:cs="Times New Roman"/>
          <w:sz w:val="24"/>
          <w:szCs w:val="24"/>
          <w:lang w:val="en-US"/>
        </w:rPr>
        <w:t xml:space="preserve">, Z., </w:t>
      </w:r>
      <w:proofErr w:type="spellStart"/>
      <w:r w:rsidRPr="00404AC7">
        <w:rPr>
          <w:rFonts w:ascii="Times New Roman" w:eastAsia="Times New Roman" w:hAnsi="Times New Roman" w:cs="Times New Roman"/>
          <w:sz w:val="24"/>
          <w:szCs w:val="24"/>
          <w:lang w:val="en-US"/>
        </w:rPr>
        <w:t>Malheiro</w:t>
      </w:r>
      <w:proofErr w:type="spellEnd"/>
      <w:r w:rsidRPr="00404AC7">
        <w:rPr>
          <w:rFonts w:ascii="Times New Roman" w:eastAsia="Times New Roman" w:hAnsi="Times New Roman" w:cs="Times New Roman"/>
          <w:sz w:val="24"/>
          <w:szCs w:val="24"/>
          <w:lang w:val="en-US"/>
        </w:rPr>
        <w:t xml:space="preserve">, A., McDaniel, K., </w:t>
      </w:r>
      <w:proofErr w:type="spellStart"/>
      <w:r w:rsidRPr="00404AC7">
        <w:rPr>
          <w:rFonts w:ascii="Times New Roman" w:eastAsia="Times New Roman" w:hAnsi="Times New Roman" w:cs="Times New Roman"/>
          <w:sz w:val="24"/>
          <w:szCs w:val="24"/>
          <w:lang w:val="en-US"/>
        </w:rPr>
        <w:t>Ovetsky</w:t>
      </w:r>
      <w:proofErr w:type="spellEnd"/>
      <w:r w:rsidRPr="00404AC7">
        <w:rPr>
          <w:rFonts w:ascii="Times New Roman" w:eastAsia="Times New Roman" w:hAnsi="Times New Roman" w:cs="Times New Roman"/>
          <w:sz w:val="24"/>
          <w:szCs w:val="24"/>
          <w:lang w:val="en-US"/>
        </w:rPr>
        <w:t xml:space="preserve">, M., Riley, G., Zhou, G., … </w:t>
      </w:r>
      <w:proofErr w:type="spellStart"/>
      <w:r w:rsidRPr="00404AC7">
        <w:rPr>
          <w:rFonts w:ascii="Times New Roman" w:eastAsia="Times New Roman" w:hAnsi="Times New Roman" w:cs="Times New Roman"/>
          <w:sz w:val="24"/>
          <w:szCs w:val="24"/>
          <w:lang w:val="en-US"/>
        </w:rPr>
        <w:t>Maglott</w:t>
      </w:r>
      <w:proofErr w:type="spellEnd"/>
      <w:r w:rsidRPr="00404AC7">
        <w:rPr>
          <w:rFonts w:ascii="Times New Roman" w:eastAsia="Times New Roman" w:hAnsi="Times New Roman" w:cs="Times New Roman"/>
          <w:sz w:val="24"/>
          <w:szCs w:val="24"/>
          <w:lang w:val="en-US"/>
        </w:rPr>
        <w:t xml:space="preserve">, D. R. (2018). </w:t>
      </w:r>
      <w:proofErr w:type="spellStart"/>
      <w:r w:rsidRPr="00404AC7">
        <w:rPr>
          <w:rFonts w:ascii="Times New Roman" w:eastAsia="Times New Roman" w:hAnsi="Times New Roman" w:cs="Times New Roman"/>
          <w:sz w:val="24"/>
          <w:szCs w:val="24"/>
          <w:lang w:val="en-US"/>
        </w:rPr>
        <w:t>ClinVar</w:t>
      </w:r>
      <w:proofErr w:type="spellEnd"/>
      <w:r w:rsidRPr="00404AC7">
        <w:rPr>
          <w:rFonts w:ascii="Times New Roman" w:eastAsia="Times New Roman" w:hAnsi="Times New Roman" w:cs="Times New Roman"/>
          <w:sz w:val="24"/>
          <w:szCs w:val="24"/>
          <w:lang w:val="en-US"/>
        </w:rPr>
        <w:t xml:space="preserve">: Improving access to variant interpretations and supporting evidence. </w:t>
      </w:r>
      <w:r w:rsidRPr="00404AC7">
        <w:rPr>
          <w:rFonts w:ascii="Times New Roman" w:eastAsia="Times New Roman" w:hAnsi="Times New Roman" w:cs="Times New Roman"/>
          <w:i/>
          <w:iCs/>
          <w:sz w:val="24"/>
          <w:szCs w:val="24"/>
          <w:lang w:val="en-US"/>
        </w:rPr>
        <w:t>Nucleic Acids Research, 46</w:t>
      </w:r>
      <w:r w:rsidRPr="00404AC7">
        <w:rPr>
          <w:rFonts w:ascii="Times New Roman" w:eastAsia="Times New Roman" w:hAnsi="Times New Roman" w:cs="Times New Roman"/>
          <w:sz w:val="24"/>
          <w:szCs w:val="24"/>
          <w:lang w:val="en-US"/>
        </w:rPr>
        <w:t>(D1), D1062–D1067. https://doi.org/10.1093/nar/gkx1153</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Liao, W. W., </w:t>
      </w:r>
      <w:proofErr w:type="spellStart"/>
      <w:r w:rsidRPr="00404AC7">
        <w:rPr>
          <w:rFonts w:ascii="Times New Roman" w:eastAsia="Times New Roman" w:hAnsi="Times New Roman" w:cs="Times New Roman"/>
          <w:sz w:val="24"/>
          <w:szCs w:val="24"/>
          <w:lang w:val="en-US"/>
        </w:rPr>
        <w:t>Asri</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Ebler</w:t>
      </w:r>
      <w:proofErr w:type="spellEnd"/>
      <w:r w:rsidRPr="00404AC7">
        <w:rPr>
          <w:rFonts w:ascii="Times New Roman" w:eastAsia="Times New Roman" w:hAnsi="Times New Roman" w:cs="Times New Roman"/>
          <w:sz w:val="24"/>
          <w:szCs w:val="24"/>
          <w:lang w:val="en-US"/>
        </w:rPr>
        <w:t xml:space="preserve">, J., </w:t>
      </w:r>
      <w:proofErr w:type="spellStart"/>
      <w:r w:rsidRPr="00404AC7">
        <w:rPr>
          <w:rFonts w:ascii="Times New Roman" w:eastAsia="Times New Roman" w:hAnsi="Times New Roman" w:cs="Times New Roman"/>
          <w:sz w:val="24"/>
          <w:szCs w:val="24"/>
          <w:lang w:val="en-US"/>
        </w:rPr>
        <w:t>Doerr</w:t>
      </w:r>
      <w:proofErr w:type="spellEnd"/>
      <w:r w:rsidRPr="00404AC7">
        <w:rPr>
          <w:rFonts w:ascii="Times New Roman" w:eastAsia="Times New Roman" w:hAnsi="Times New Roman" w:cs="Times New Roman"/>
          <w:sz w:val="24"/>
          <w:szCs w:val="24"/>
          <w:lang w:val="en-US"/>
        </w:rPr>
        <w:t xml:space="preserve">, D., </w:t>
      </w:r>
      <w:proofErr w:type="spellStart"/>
      <w:r w:rsidRPr="00404AC7">
        <w:rPr>
          <w:rFonts w:ascii="Times New Roman" w:eastAsia="Times New Roman" w:hAnsi="Times New Roman" w:cs="Times New Roman"/>
          <w:sz w:val="24"/>
          <w:szCs w:val="24"/>
          <w:lang w:val="en-US"/>
        </w:rPr>
        <w:t>Haukness</w:t>
      </w:r>
      <w:proofErr w:type="spellEnd"/>
      <w:r w:rsidRPr="00404AC7">
        <w:rPr>
          <w:rFonts w:ascii="Times New Roman" w:eastAsia="Times New Roman" w:hAnsi="Times New Roman" w:cs="Times New Roman"/>
          <w:sz w:val="24"/>
          <w:szCs w:val="24"/>
          <w:lang w:val="en-US"/>
        </w:rPr>
        <w:t xml:space="preserve">, M., Hickey, G., Lu, S., Lucas, J. K., </w:t>
      </w:r>
      <w:proofErr w:type="spellStart"/>
      <w:r w:rsidRPr="00404AC7">
        <w:rPr>
          <w:rFonts w:ascii="Times New Roman" w:eastAsia="Times New Roman" w:hAnsi="Times New Roman" w:cs="Times New Roman"/>
          <w:sz w:val="24"/>
          <w:szCs w:val="24"/>
          <w:lang w:val="en-US"/>
        </w:rPr>
        <w:t>Monlong</w:t>
      </w:r>
      <w:proofErr w:type="spellEnd"/>
      <w:r w:rsidRPr="00404AC7">
        <w:rPr>
          <w:rFonts w:ascii="Times New Roman" w:eastAsia="Times New Roman" w:hAnsi="Times New Roman" w:cs="Times New Roman"/>
          <w:sz w:val="24"/>
          <w:szCs w:val="24"/>
          <w:lang w:val="en-US"/>
        </w:rPr>
        <w:t xml:space="preserve">, J., Abel, H. J., </w:t>
      </w:r>
      <w:proofErr w:type="spellStart"/>
      <w:r w:rsidRPr="00404AC7">
        <w:rPr>
          <w:rFonts w:ascii="Times New Roman" w:eastAsia="Times New Roman" w:hAnsi="Times New Roman" w:cs="Times New Roman"/>
          <w:sz w:val="24"/>
          <w:szCs w:val="24"/>
          <w:lang w:val="en-US"/>
        </w:rPr>
        <w:t>Buonaiuto</w:t>
      </w:r>
      <w:proofErr w:type="spellEnd"/>
      <w:r w:rsidRPr="00404AC7">
        <w:rPr>
          <w:rFonts w:ascii="Times New Roman" w:eastAsia="Times New Roman" w:hAnsi="Times New Roman" w:cs="Times New Roman"/>
          <w:sz w:val="24"/>
          <w:szCs w:val="24"/>
          <w:lang w:val="en-US"/>
        </w:rPr>
        <w:t xml:space="preserve">, S., Chang, X. H., Cheng, H., Chu, J., Colonna, V., </w:t>
      </w:r>
      <w:proofErr w:type="spellStart"/>
      <w:r w:rsidRPr="00404AC7">
        <w:rPr>
          <w:rFonts w:ascii="Times New Roman" w:eastAsia="Times New Roman" w:hAnsi="Times New Roman" w:cs="Times New Roman"/>
          <w:sz w:val="24"/>
          <w:szCs w:val="24"/>
          <w:lang w:val="en-US"/>
        </w:rPr>
        <w:t>Eizenga</w:t>
      </w:r>
      <w:proofErr w:type="spellEnd"/>
      <w:r w:rsidRPr="00404AC7">
        <w:rPr>
          <w:rFonts w:ascii="Times New Roman" w:eastAsia="Times New Roman" w:hAnsi="Times New Roman" w:cs="Times New Roman"/>
          <w:sz w:val="24"/>
          <w:szCs w:val="24"/>
          <w:lang w:val="en-US"/>
        </w:rPr>
        <w:t xml:space="preserve">, J. M., Feng, X., Fischer, C., Fulton, R. S., … Paten, B. (2023). A draft human pangenome reference. </w:t>
      </w:r>
      <w:r w:rsidRPr="00404AC7">
        <w:rPr>
          <w:rFonts w:ascii="Times New Roman" w:eastAsia="Times New Roman" w:hAnsi="Times New Roman" w:cs="Times New Roman"/>
          <w:i/>
          <w:iCs/>
          <w:sz w:val="24"/>
          <w:szCs w:val="24"/>
          <w:lang w:val="en-US"/>
        </w:rPr>
        <w:t>Nature, 617</w:t>
      </w:r>
      <w:r w:rsidRPr="00404AC7">
        <w:rPr>
          <w:rFonts w:ascii="Times New Roman" w:eastAsia="Times New Roman" w:hAnsi="Times New Roman" w:cs="Times New Roman"/>
          <w:sz w:val="24"/>
          <w:szCs w:val="24"/>
          <w:lang w:val="en-US"/>
        </w:rPr>
        <w:t xml:space="preserve">(7960), 312–324. </w:t>
      </w:r>
      <w:hyperlink r:id="rId22" w:tgtFrame="_new" w:history="1">
        <w:r w:rsidRPr="00404AC7">
          <w:rPr>
            <w:rFonts w:ascii="Times New Roman" w:eastAsia="Times New Roman" w:hAnsi="Times New Roman" w:cs="Times New Roman"/>
            <w:color w:val="0000FF"/>
            <w:sz w:val="24"/>
            <w:szCs w:val="24"/>
            <w:u w:val="single"/>
            <w:lang w:val="en-US"/>
          </w:rPr>
          <w:t>https://doi.org/10.1038/s41586-023-05896-x</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Libbrecht</w:t>
      </w:r>
      <w:proofErr w:type="spellEnd"/>
      <w:r w:rsidRPr="00404AC7">
        <w:rPr>
          <w:rFonts w:ascii="Times New Roman" w:eastAsia="Times New Roman" w:hAnsi="Times New Roman" w:cs="Times New Roman"/>
          <w:sz w:val="24"/>
          <w:szCs w:val="24"/>
          <w:lang w:val="en-US"/>
        </w:rPr>
        <w:t xml:space="preserve">, M. W., &amp; Noble, W. S. (2015). Machine learning applications in genetics and genomics. </w:t>
      </w:r>
      <w:r w:rsidRPr="00404AC7">
        <w:rPr>
          <w:rFonts w:ascii="Times New Roman" w:eastAsia="Times New Roman" w:hAnsi="Times New Roman" w:cs="Times New Roman"/>
          <w:i/>
          <w:iCs/>
          <w:sz w:val="24"/>
          <w:szCs w:val="24"/>
          <w:lang w:val="en-US"/>
        </w:rPr>
        <w:t>Nature Reviews Genetics, 16</w:t>
      </w:r>
      <w:r w:rsidRPr="00404AC7">
        <w:rPr>
          <w:rFonts w:ascii="Times New Roman" w:eastAsia="Times New Roman" w:hAnsi="Times New Roman" w:cs="Times New Roman"/>
          <w:sz w:val="24"/>
          <w:szCs w:val="24"/>
          <w:lang w:val="en-US"/>
        </w:rPr>
        <w:t>(6), 321–332. https://doi.org/10.1038/nrg3920</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Lopez, R., </w:t>
      </w:r>
      <w:proofErr w:type="spellStart"/>
      <w:r w:rsidRPr="00404AC7">
        <w:rPr>
          <w:rFonts w:ascii="Times New Roman" w:eastAsia="Times New Roman" w:hAnsi="Times New Roman" w:cs="Times New Roman"/>
          <w:sz w:val="24"/>
          <w:szCs w:val="24"/>
          <w:lang w:val="en-US"/>
        </w:rPr>
        <w:t>Regier</w:t>
      </w:r>
      <w:proofErr w:type="spellEnd"/>
      <w:r w:rsidRPr="00404AC7">
        <w:rPr>
          <w:rFonts w:ascii="Times New Roman" w:eastAsia="Times New Roman" w:hAnsi="Times New Roman" w:cs="Times New Roman"/>
          <w:sz w:val="24"/>
          <w:szCs w:val="24"/>
          <w:lang w:val="en-US"/>
        </w:rPr>
        <w:t xml:space="preserve">, J., Cole, M. B., Jordan, M. I., &amp; Yosef, N. (2018). Deep generative modeling for single-cell transcriptomics. </w:t>
      </w:r>
      <w:r w:rsidRPr="00404AC7">
        <w:rPr>
          <w:rFonts w:ascii="Times New Roman" w:eastAsia="Times New Roman" w:hAnsi="Times New Roman" w:cs="Times New Roman"/>
          <w:i/>
          <w:iCs/>
          <w:sz w:val="24"/>
          <w:szCs w:val="24"/>
          <w:lang w:val="en-US"/>
        </w:rPr>
        <w:t>Nature Methods, 15</w:t>
      </w:r>
      <w:r w:rsidRPr="00404AC7">
        <w:rPr>
          <w:rFonts w:ascii="Times New Roman" w:eastAsia="Times New Roman" w:hAnsi="Times New Roman" w:cs="Times New Roman"/>
          <w:sz w:val="24"/>
          <w:szCs w:val="24"/>
          <w:lang w:val="en-US"/>
        </w:rPr>
        <w:t xml:space="preserve">(12), 1053–1058. </w:t>
      </w:r>
      <w:hyperlink r:id="rId23" w:tgtFrame="_new" w:history="1">
        <w:r w:rsidRPr="00404AC7">
          <w:rPr>
            <w:rFonts w:ascii="Times New Roman" w:eastAsia="Times New Roman" w:hAnsi="Times New Roman" w:cs="Times New Roman"/>
            <w:color w:val="0000FF"/>
            <w:sz w:val="24"/>
            <w:szCs w:val="24"/>
            <w:u w:val="single"/>
            <w:lang w:val="en-US"/>
          </w:rPr>
          <w:t>https://doi.org/10.1038/s41592-018-0229-2</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Lotfollahi</w:t>
      </w:r>
      <w:proofErr w:type="spellEnd"/>
      <w:r w:rsidRPr="00404AC7">
        <w:rPr>
          <w:rFonts w:ascii="Times New Roman" w:eastAsia="Times New Roman" w:hAnsi="Times New Roman" w:cs="Times New Roman"/>
          <w:sz w:val="24"/>
          <w:szCs w:val="24"/>
          <w:lang w:val="en-US"/>
        </w:rPr>
        <w:t xml:space="preserve">, M., Wolf, F. A., &amp; </w:t>
      </w:r>
      <w:proofErr w:type="spellStart"/>
      <w:r w:rsidRPr="00404AC7">
        <w:rPr>
          <w:rFonts w:ascii="Times New Roman" w:eastAsia="Times New Roman" w:hAnsi="Times New Roman" w:cs="Times New Roman"/>
          <w:sz w:val="24"/>
          <w:szCs w:val="24"/>
          <w:lang w:val="en-US"/>
        </w:rPr>
        <w:t>Theis</w:t>
      </w:r>
      <w:proofErr w:type="spellEnd"/>
      <w:r w:rsidRPr="00404AC7">
        <w:rPr>
          <w:rFonts w:ascii="Times New Roman" w:eastAsia="Times New Roman" w:hAnsi="Times New Roman" w:cs="Times New Roman"/>
          <w:sz w:val="24"/>
          <w:szCs w:val="24"/>
          <w:lang w:val="en-US"/>
        </w:rPr>
        <w:t xml:space="preserve">, F. J. (2019). </w:t>
      </w:r>
      <w:proofErr w:type="spellStart"/>
      <w:r w:rsidRPr="00404AC7">
        <w:rPr>
          <w:rFonts w:ascii="Times New Roman" w:eastAsia="Times New Roman" w:hAnsi="Times New Roman" w:cs="Times New Roman"/>
          <w:sz w:val="24"/>
          <w:szCs w:val="24"/>
          <w:lang w:val="en-US"/>
        </w:rPr>
        <w:t>scGen</w:t>
      </w:r>
      <w:proofErr w:type="spellEnd"/>
      <w:r w:rsidRPr="00404AC7">
        <w:rPr>
          <w:rFonts w:ascii="Times New Roman" w:eastAsia="Times New Roman" w:hAnsi="Times New Roman" w:cs="Times New Roman"/>
          <w:sz w:val="24"/>
          <w:szCs w:val="24"/>
          <w:lang w:val="en-US"/>
        </w:rPr>
        <w:t xml:space="preserve"> predicts single-cell perturbation responses. </w:t>
      </w:r>
      <w:r w:rsidRPr="00404AC7">
        <w:rPr>
          <w:rFonts w:ascii="Times New Roman" w:eastAsia="Times New Roman" w:hAnsi="Times New Roman" w:cs="Times New Roman"/>
          <w:i/>
          <w:iCs/>
          <w:sz w:val="24"/>
          <w:szCs w:val="24"/>
          <w:lang w:val="en-US"/>
        </w:rPr>
        <w:t>Nature Methods, 16</w:t>
      </w:r>
      <w:r w:rsidRPr="00404AC7">
        <w:rPr>
          <w:rFonts w:ascii="Times New Roman" w:eastAsia="Times New Roman" w:hAnsi="Times New Roman" w:cs="Times New Roman"/>
          <w:sz w:val="24"/>
          <w:szCs w:val="24"/>
          <w:lang w:val="en-US"/>
        </w:rPr>
        <w:t>(8), 715–721. https://doi.org/10.1038/s41592-019-0494-8</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Martin, A. R., Kanai, M., </w:t>
      </w:r>
      <w:proofErr w:type="spellStart"/>
      <w:r w:rsidRPr="00404AC7">
        <w:rPr>
          <w:rFonts w:ascii="Times New Roman" w:eastAsia="Times New Roman" w:hAnsi="Times New Roman" w:cs="Times New Roman"/>
          <w:sz w:val="24"/>
          <w:szCs w:val="24"/>
          <w:lang w:val="en-US"/>
        </w:rPr>
        <w:t>Kamatani</w:t>
      </w:r>
      <w:proofErr w:type="spellEnd"/>
      <w:r w:rsidRPr="00404AC7">
        <w:rPr>
          <w:rFonts w:ascii="Times New Roman" w:eastAsia="Times New Roman" w:hAnsi="Times New Roman" w:cs="Times New Roman"/>
          <w:sz w:val="24"/>
          <w:szCs w:val="24"/>
          <w:lang w:val="en-US"/>
        </w:rPr>
        <w:t xml:space="preserve">, Y., Okada, Y., Neale, B. M., &amp; Daly, M. J. (2019). Clinical use of current polygenic risk scores may exacerbate health disparities. </w:t>
      </w:r>
      <w:r w:rsidRPr="00404AC7">
        <w:rPr>
          <w:rFonts w:ascii="Times New Roman" w:eastAsia="Times New Roman" w:hAnsi="Times New Roman" w:cs="Times New Roman"/>
          <w:i/>
          <w:iCs/>
          <w:sz w:val="24"/>
          <w:szCs w:val="24"/>
          <w:lang w:val="en-US"/>
        </w:rPr>
        <w:t>Nature Genetics, 51</w:t>
      </w:r>
      <w:r w:rsidRPr="00404AC7">
        <w:rPr>
          <w:rFonts w:ascii="Times New Roman" w:eastAsia="Times New Roman" w:hAnsi="Times New Roman" w:cs="Times New Roman"/>
          <w:sz w:val="24"/>
          <w:szCs w:val="24"/>
          <w:lang w:val="en-US"/>
        </w:rPr>
        <w:t>(4), 584–591. https://doi.org/10.1038/s41588-019-0379-x</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Koren</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Rhie</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Rautiainen</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Bzikadze</w:t>
      </w:r>
      <w:proofErr w:type="spellEnd"/>
      <w:r w:rsidRPr="00404AC7">
        <w:rPr>
          <w:rFonts w:ascii="Times New Roman" w:eastAsia="Times New Roman" w:hAnsi="Times New Roman" w:cs="Times New Roman"/>
          <w:sz w:val="24"/>
          <w:szCs w:val="24"/>
          <w:lang w:val="en-US"/>
        </w:rPr>
        <w:t xml:space="preserve">, A. V., </w:t>
      </w:r>
      <w:proofErr w:type="spellStart"/>
      <w:r w:rsidRPr="00404AC7">
        <w:rPr>
          <w:rFonts w:ascii="Times New Roman" w:eastAsia="Times New Roman" w:hAnsi="Times New Roman" w:cs="Times New Roman"/>
          <w:sz w:val="24"/>
          <w:szCs w:val="24"/>
          <w:lang w:val="en-US"/>
        </w:rPr>
        <w:t>Mikheenko</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Vollger</w:t>
      </w:r>
      <w:proofErr w:type="spellEnd"/>
      <w:r w:rsidRPr="00404AC7">
        <w:rPr>
          <w:rFonts w:ascii="Times New Roman" w:eastAsia="Times New Roman" w:hAnsi="Times New Roman" w:cs="Times New Roman"/>
          <w:sz w:val="24"/>
          <w:szCs w:val="24"/>
          <w:lang w:val="en-US"/>
        </w:rPr>
        <w:t xml:space="preserve">, M. R., </w:t>
      </w:r>
      <w:proofErr w:type="spellStart"/>
      <w:r w:rsidRPr="00404AC7">
        <w:rPr>
          <w:rFonts w:ascii="Times New Roman" w:eastAsia="Times New Roman" w:hAnsi="Times New Roman" w:cs="Times New Roman"/>
          <w:sz w:val="24"/>
          <w:szCs w:val="24"/>
          <w:lang w:val="en-US"/>
        </w:rPr>
        <w:t>Altemose</w:t>
      </w:r>
      <w:proofErr w:type="spellEnd"/>
      <w:r w:rsidRPr="00404AC7">
        <w:rPr>
          <w:rFonts w:ascii="Times New Roman" w:eastAsia="Times New Roman" w:hAnsi="Times New Roman" w:cs="Times New Roman"/>
          <w:sz w:val="24"/>
          <w:szCs w:val="24"/>
          <w:lang w:val="en-US"/>
        </w:rPr>
        <w:t xml:space="preserve">, N., </w:t>
      </w:r>
      <w:proofErr w:type="spellStart"/>
      <w:r w:rsidRPr="00404AC7">
        <w:rPr>
          <w:rFonts w:ascii="Times New Roman" w:eastAsia="Times New Roman" w:hAnsi="Times New Roman" w:cs="Times New Roman"/>
          <w:sz w:val="24"/>
          <w:szCs w:val="24"/>
          <w:lang w:val="en-US"/>
        </w:rPr>
        <w:t>Uralsky</w:t>
      </w:r>
      <w:proofErr w:type="spellEnd"/>
      <w:r w:rsidRPr="00404AC7">
        <w:rPr>
          <w:rFonts w:ascii="Times New Roman" w:eastAsia="Times New Roman" w:hAnsi="Times New Roman" w:cs="Times New Roman"/>
          <w:sz w:val="24"/>
          <w:szCs w:val="24"/>
          <w:lang w:val="en-US"/>
        </w:rPr>
        <w:t xml:space="preserve">, L., Gershman, A., </w:t>
      </w:r>
      <w:proofErr w:type="spellStart"/>
      <w:r w:rsidRPr="00404AC7">
        <w:rPr>
          <w:rFonts w:ascii="Times New Roman" w:eastAsia="Times New Roman" w:hAnsi="Times New Roman" w:cs="Times New Roman"/>
          <w:sz w:val="24"/>
          <w:szCs w:val="24"/>
          <w:lang w:val="en-US"/>
        </w:rPr>
        <w:t>Aganezov</w:t>
      </w:r>
      <w:proofErr w:type="spellEnd"/>
      <w:r w:rsidRPr="00404AC7">
        <w:rPr>
          <w:rFonts w:ascii="Times New Roman" w:eastAsia="Times New Roman" w:hAnsi="Times New Roman" w:cs="Times New Roman"/>
          <w:sz w:val="24"/>
          <w:szCs w:val="24"/>
          <w:lang w:val="en-US"/>
        </w:rPr>
        <w:t xml:space="preserve">, S., Hoyt, S. J., </w:t>
      </w:r>
      <w:proofErr w:type="spellStart"/>
      <w:r w:rsidRPr="00404AC7">
        <w:rPr>
          <w:rFonts w:ascii="Times New Roman" w:eastAsia="Times New Roman" w:hAnsi="Times New Roman" w:cs="Times New Roman"/>
          <w:sz w:val="24"/>
          <w:szCs w:val="24"/>
          <w:lang w:val="en-US"/>
        </w:rPr>
        <w:t>Diekhans</w:t>
      </w:r>
      <w:proofErr w:type="spellEnd"/>
      <w:r w:rsidRPr="00404AC7">
        <w:rPr>
          <w:rFonts w:ascii="Times New Roman" w:eastAsia="Times New Roman" w:hAnsi="Times New Roman" w:cs="Times New Roman"/>
          <w:sz w:val="24"/>
          <w:szCs w:val="24"/>
          <w:lang w:val="en-US"/>
        </w:rPr>
        <w:t xml:space="preserve">, M., Logsdon, G. A., </w:t>
      </w:r>
      <w:proofErr w:type="spellStart"/>
      <w:r w:rsidRPr="00404AC7">
        <w:rPr>
          <w:rFonts w:ascii="Times New Roman" w:eastAsia="Times New Roman" w:hAnsi="Times New Roman" w:cs="Times New Roman"/>
          <w:sz w:val="24"/>
          <w:szCs w:val="24"/>
          <w:lang w:val="en-US"/>
        </w:rPr>
        <w:t>Alonge</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Antonarakis</w:t>
      </w:r>
      <w:proofErr w:type="spellEnd"/>
      <w:r w:rsidRPr="00404AC7">
        <w:rPr>
          <w:rFonts w:ascii="Times New Roman" w:eastAsia="Times New Roman" w:hAnsi="Times New Roman" w:cs="Times New Roman"/>
          <w:sz w:val="24"/>
          <w:szCs w:val="24"/>
          <w:lang w:val="en-US"/>
        </w:rPr>
        <w:t xml:space="preserve">, S. E., Borchers, M., Bouffard, G. G., Brooks, S. Y., … </w:t>
      </w:r>
      <w:proofErr w:type="spellStart"/>
      <w:r w:rsidRPr="00404AC7">
        <w:rPr>
          <w:rFonts w:ascii="Times New Roman" w:eastAsia="Times New Roman" w:hAnsi="Times New Roman" w:cs="Times New Roman"/>
          <w:sz w:val="24"/>
          <w:szCs w:val="24"/>
          <w:lang w:val="en-US"/>
        </w:rPr>
        <w:t>Phillippy</w:t>
      </w:r>
      <w:proofErr w:type="spellEnd"/>
      <w:r w:rsidRPr="00404AC7">
        <w:rPr>
          <w:rFonts w:ascii="Times New Roman" w:eastAsia="Times New Roman" w:hAnsi="Times New Roman" w:cs="Times New Roman"/>
          <w:sz w:val="24"/>
          <w:szCs w:val="24"/>
          <w:lang w:val="en-US"/>
        </w:rPr>
        <w:t xml:space="preserve">, A. M. (2022). The complete sequence of a human genome. </w:t>
      </w:r>
      <w:r w:rsidRPr="00404AC7">
        <w:rPr>
          <w:rFonts w:ascii="Times New Roman" w:eastAsia="Times New Roman" w:hAnsi="Times New Roman" w:cs="Times New Roman"/>
          <w:i/>
          <w:iCs/>
          <w:sz w:val="24"/>
          <w:szCs w:val="24"/>
          <w:lang w:val="en-US"/>
        </w:rPr>
        <w:t>Science, 376</w:t>
      </w:r>
      <w:r w:rsidRPr="00404AC7">
        <w:rPr>
          <w:rFonts w:ascii="Times New Roman" w:eastAsia="Times New Roman" w:hAnsi="Times New Roman" w:cs="Times New Roman"/>
          <w:sz w:val="24"/>
          <w:szCs w:val="24"/>
          <w:lang w:val="en-US"/>
        </w:rPr>
        <w:t>(6588), 44–53. https://doi.org/10.1126/science.abj6987</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 B., &amp; Fullerton, S. M. (2016). Genomics is failing on diversity. </w:t>
      </w:r>
      <w:r w:rsidRPr="00404AC7">
        <w:rPr>
          <w:rFonts w:ascii="Times New Roman" w:eastAsia="Times New Roman" w:hAnsi="Times New Roman" w:cs="Times New Roman"/>
          <w:i/>
          <w:iCs/>
          <w:sz w:val="24"/>
          <w:szCs w:val="24"/>
          <w:lang w:val="en-US"/>
        </w:rPr>
        <w:t>Nature, 538</w:t>
      </w:r>
      <w:r w:rsidRPr="00404AC7">
        <w:rPr>
          <w:rFonts w:ascii="Times New Roman" w:eastAsia="Times New Roman" w:hAnsi="Times New Roman" w:cs="Times New Roman"/>
          <w:sz w:val="24"/>
          <w:szCs w:val="24"/>
          <w:lang w:val="en-US"/>
        </w:rPr>
        <w:t>(7624), 161–164. https://doi.org/10.1038/538161a</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Poplin, R., Chang, P. C., Alexander, D., Schwartz, S., Colthurst, T., Ku, A., </w:t>
      </w:r>
      <w:proofErr w:type="spellStart"/>
      <w:r w:rsidRPr="00404AC7">
        <w:rPr>
          <w:rFonts w:ascii="Times New Roman" w:eastAsia="Times New Roman" w:hAnsi="Times New Roman" w:cs="Times New Roman"/>
          <w:sz w:val="24"/>
          <w:szCs w:val="24"/>
          <w:lang w:val="en-US"/>
        </w:rPr>
        <w:t>Newburger</w:t>
      </w:r>
      <w:proofErr w:type="spellEnd"/>
      <w:r w:rsidRPr="00404AC7">
        <w:rPr>
          <w:rFonts w:ascii="Times New Roman" w:eastAsia="Times New Roman" w:hAnsi="Times New Roman" w:cs="Times New Roman"/>
          <w:sz w:val="24"/>
          <w:szCs w:val="24"/>
          <w:lang w:val="en-US"/>
        </w:rPr>
        <w:t xml:space="preserve">, D., </w:t>
      </w:r>
      <w:proofErr w:type="spellStart"/>
      <w:r w:rsidRPr="00404AC7">
        <w:rPr>
          <w:rFonts w:ascii="Times New Roman" w:eastAsia="Times New Roman" w:hAnsi="Times New Roman" w:cs="Times New Roman"/>
          <w:sz w:val="24"/>
          <w:szCs w:val="24"/>
          <w:lang w:val="en-US"/>
        </w:rPr>
        <w:t>Dijamco</w:t>
      </w:r>
      <w:proofErr w:type="spellEnd"/>
      <w:r w:rsidRPr="00404AC7">
        <w:rPr>
          <w:rFonts w:ascii="Times New Roman" w:eastAsia="Times New Roman" w:hAnsi="Times New Roman" w:cs="Times New Roman"/>
          <w:sz w:val="24"/>
          <w:szCs w:val="24"/>
          <w:lang w:val="en-US"/>
        </w:rPr>
        <w:t xml:space="preserve">, J., Nguyen, N., Afshar, P. T., Gross, S. S., Dorfman, L., McLean, C. Y., &amp; </w:t>
      </w:r>
      <w:proofErr w:type="spellStart"/>
      <w:r w:rsidRPr="00404AC7">
        <w:rPr>
          <w:rFonts w:ascii="Times New Roman" w:eastAsia="Times New Roman" w:hAnsi="Times New Roman" w:cs="Times New Roman"/>
          <w:sz w:val="24"/>
          <w:szCs w:val="24"/>
          <w:lang w:val="en-US"/>
        </w:rPr>
        <w:t>DePristo</w:t>
      </w:r>
      <w:proofErr w:type="spellEnd"/>
      <w:r w:rsidRPr="00404AC7">
        <w:rPr>
          <w:rFonts w:ascii="Times New Roman" w:eastAsia="Times New Roman" w:hAnsi="Times New Roman" w:cs="Times New Roman"/>
          <w:sz w:val="24"/>
          <w:szCs w:val="24"/>
          <w:lang w:val="en-US"/>
        </w:rPr>
        <w:t xml:space="preserve">, M. A. (2018). A universal SNP and small-indel variant caller using deep neural networks. </w:t>
      </w:r>
      <w:r w:rsidRPr="00404AC7">
        <w:rPr>
          <w:rFonts w:ascii="Times New Roman" w:eastAsia="Times New Roman" w:hAnsi="Times New Roman" w:cs="Times New Roman"/>
          <w:i/>
          <w:iCs/>
          <w:sz w:val="24"/>
          <w:szCs w:val="24"/>
          <w:lang w:val="en-US"/>
        </w:rPr>
        <w:t>Nature Biotechnology, 36</w:t>
      </w:r>
      <w:r w:rsidRPr="00404AC7">
        <w:rPr>
          <w:rFonts w:ascii="Times New Roman" w:eastAsia="Times New Roman" w:hAnsi="Times New Roman" w:cs="Times New Roman"/>
          <w:sz w:val="24"/>
          <w:szCs w:val="24"/>
          <w:lang w:val="en-US"/>
        </w:rPr>
        <w:t>(10), 983–987. https://doi.org/10.1038/nbt.4235</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Quang, D.,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X. (2016). </w:t>
      </w: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A hybrid convolutional and recurrent deep neural network for quantifying the function of DNA sequences. </w:t>
      </w:r>
      <w:r w:rsidRPr="00404AC7">
        <w:rPr>
          <w:rFonts w:ascii="Times New Roman" w:eastAsia="Times New Roman" w:hAnsi="Times New Roman" w:cs="Times New Roman"/>
          <w:i/>
          <w:iCs/>
          <w:sz w:val="24"/>
          <w:szCs w:val="24"/>
          <w:lang w:val="en-US"/>
        </w:rPr>
        <w:t>Nucleic Acids Research, 44</w:t>
      </w:r>
      <w:r w:rsidRPr="00404AC7">
        <w:rPr>
          <w:rFonts w:ascii="Times New Roman" w:eastAsia="Times New Roman" w:hAnsi="Times New Roman" w:cs="Times New Roman"/>
          <w:sz w:val="24"/>
          <w:szCs w:val="24"/>
          <w:lang w:val="en-US"/>
        </w:rPr>
        <w:t>(11), e107. https://doi.org/10.1093/nar/gkw226</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Richards, S., Aziz, N., Bale, S., Bick, D., Das, S., </w:t>
      </w:r>
      <w:proofErr w:type="spellStart"/>
      <w:r w:rsidRPr="00404AC7">
        <w:rPr>
          <w:rFonts w:ascii="Times New Roman" w:eastAsia="Times New Roman" w:hAnsi="Times New Roman" w:cs="Times New Roman"/>
          <w:sz w:val="24"/>
          <w:szCs w:val="24"/>
          <w:lang w:val="en-US"/>
        </w:rPr>
        <w:t>Gastier</w:t>
      </w:r>
      <w:proofErr w:type="spellEnd"/>
      <w:r w:rsidRPr="00404AC7">
        <w:rPr>
          <w:rFonts w:ascii="Times New Roman" w:eastAsia="Times New Roman" w:hAnsi="Times New Roman" w:cs="Times New Roman"/>
          <w:sz w:val="24"/>
          <w:szCs w:val="24"/>
          <w:lang w:val="en-US"/>
        </w:rPr>
        <w:t xml:space="preserve">-Foster, J., Grody, W. W., Hegde, M., Lyon, E., Spector, E., </w:t>
      </w:r>
      <w:proofErr w:type="spellStart"/>
      <w:r w:rsidRPr="00404AC7">
        <w:rPr>
          <w:rFonts w:ascii="Times New Roman" w:eastAsia="Times New Roman" w:hAnsi="Times New Roman" w:cs="Times New Roman"/>
          <w:sz w:val="24"/>
          <w:szCs w:val="24"/>
          <w:lang w:val="en-US"/>
        </w:rPr>
        <w:t>Voelkerding</w:t>
      </w:r>
      <w:proofErr w:type="spellEnd"/>
      <w:r w:rsidRPr="00404AC7">
        <w:rPr>
          <w:rFonts w:ascii="Times New Roman" w:eastAsia="Times New Roman" w:hAnsi="Times New Roman" w:cs="Times New Roman"/>
          <w:sz w:val="24"/>
          <w:szCs w:val="24"/>
          <w:lang w:val="en-US"/>
        </w:rPr>
        <w:t xml:space="preserve">, K., &amp; Rehm, H. L. (2015). Standards and guidelines for the interpretation of sequence variants: A joint consensus recommendation of the American College of Medical Genetics and Genomics and the Association for Molecular Pathology. </w:t>
      </w:r>
      <w:r w:rsidRPr="00404AC7">
        <w:rPr>
          <w:rFonts w:ascii="Times New Roman" w:eastAsia="Times New Roman" w:hAnsi="Times New Roman" w:cs="Times New Roman"/>
          <w:i/>
          <w:iCs/>
          <w:sz w:val="24"/>
          <w:szCs w:val="24"/>
          <w:lang w:val="en-US"/>
        </w:rPr>
        <w:t>Genetics in Medicine, 17</w:t>
      </w:r>
      <w:r w:rsidRPr="00404AC7">
        <w:rPr>
          <w:rFonts w:ascii="Times New Roman" w:eastAsia="Times New Roman" w:hAnsi="Times New Roman" w:cs="Times New Roman"/>
          <w:sz w:val="24"/>
          <w:szCs w:val="24"/>
          <w:lang w:val="en-US"/>
        </w:rPr>
        <w:t xml:space="preserve">(5), 405–424. </w:t>
      </w:r>
      <w:hyperlink r:id="rId24" w:tgtFrame="_new" w:history="1">
        <w:r w:rsidRPr="00404AC7">
          <w:rPr>
            <w:rFonts w:ascii="Times New Roman" w:eastAsia="Times New Roman" w:hAnsi="Times New Roman" w:cs="Times New Roman"/>
            <w:color w:val="0000FF"/>
            <w:sz w:val="24"/>
            <w:szCs w:val="24"/>
            <w:u w:val="single"/>
            <w:lang w:val="en-US"/>
          </w:rPr>
          <w:t>https://doi.org/10.1038/gim.2015.30</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Roadmap Epigenomics Consortium. (2015). Integrative analysis of 111 reference human epigenomes. </w:t>
      </w:r>
      <w:r w:rsidRPr="00404AC7">
        <w:rPr>
          <w:rFonts w:ascii="Times New Roman" w:eastAsia="Times New Roman" w:hAnsi="Times New Roman" w:cs="Times New Roman"/>
          <w:i/>
          <w:iCs/>
          <w:sz w:val="24"/>
          <w:szCs w:val="24"/>
          <w:lang w:val="en-US"/>
        </w:rPr>
        <w:t>Nature, 518</w:t>
      </w:r>
      <w:r w:rsidRPr="00404AC7">
        <w:rPr>
          <w:rFonts w:ascii="Times New Roman" w:eastAsia="Times New Roman" w:hAnsi="Times New Roman" w:cs="Times New Roman"/>
          <w:sz w:val="24"/>
          <w:szCs w:val="24"/>
          <w:lang w:val="en-US"/>
        </w:rPr>
        <w:t xml:space="preserve">(7539), 317–330. </w:t>
      </w:r>
      <w:hyperlink r:id="rId25" w:tgtFrame="_new" w:history="1">
        <w:r w:rsidRPr="00404AC7">
          <w:rPr>
            <w:rFonts w:ascii="Times New Roman" w:eastAsia="Times New Roman" w:hAnsi="Times New Roman" w:cs="Times New Roman"/>
            <w:color w:val="0000FF"/>
            <w:sz w:val="24"/>
            <w:szCs w:val="24"/>
            <w:u w:val="single"/>
            <w:lang w:val="en-US"/>
          </w:rPr>
          <w:t>https://doi.org/10.1038/nature14248</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G., Williams, S. M., &amp; </w:t>
      </w:r>
      <w:proofErr w:type="spellStart"/>
      <w:r w:rsidRPr="00404AC7">
        <w:rPr>
          <w:rFonts w:ascii="Times New Roman" w:eastAsia="Times New Roman" w:hAnsi="Times New Roman" w:cs="Times New Roman"/>
          <w:sz w:val="24"/>
          <w:szCs w:val="24"/>
          <w:lang w:val="en-US"/>
        </w:rPr>
        <w:t>Tishkoff</w:t>
      </w:r>
      <w:proofErr w:type="spellEnd"/>
      <w:r w:rsidRPr="00404AC7">
        <w:rPr>
          <w:rFonts w:ascii="Times New Roman" w:eastAsia="Times New Roman" w:hAnsi="Times New Roman" w:cs="Times New Roman"/>
          <w:sz w:val="24"/>
          <w:szCs w:val="24"/>
          <w:lang w:val="en-US"/>
        </w:rPr>
        <w:t xml:space="preserve">, S. A. (2019). The missing diversity in human genetic studies. </w:t>
      </w:r>
      <w:r w:rsidRPr="00404AC7">
        <w:rPr>
          <w:rFonts w:ascii="Times New Roman" w:eastAsia="Times New Roman" w:hAnsi="Times New Roman" w:cs="Times New Roman"/>
          <w:i/>
          <w:iCs/>
          <w:sz w:val="24"/>
          <w:szCs w:val="24"/>
          <w:lang w:val="en-US"/>
        </w:rPr>
        <w:t>Cell, 177</w:t>
      </w:r>
      <w:r w:rsidRPr="00404AC7">
        <w:rPr>
          <w:rFonts w:ascii="Times New Roman" w:eastAsia="Times New Roman" w:hAnsi="Times New Roman" w:cs="Times New Roman"/>
          <w:sz w:val="24"/>
          <w:szCs w:val="24"/>
          <w:lang w:val="en-US"/>
        </w:rPr>
        <w:t>(1), 26–31. https://doi.org/10.1016/j.cell.2019.02.048</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Tejada-</w:t>
      </w:r>
      <w:proofErr w:type="spellStart"/>
      <w:r w:rsidRPr="00404AC7">
        <w:rPr>
          <w:rFonts w:ascii="Times New Roman" w:eastAsia="Times New Roman" w:hAnsi="Times New Roman" w:cs="Times New Roman"/>
          <w:sz w:val="24"/>
          <w:szCs w:val="24"/>
          <w:lang w:val="en-US"/>
        </w:rPr>
        <w:t>Lapuerta</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Bertin</w:t>
      </w:r>
      <w:proofErr w:type="spellEnd"/>
      <w:r w:rsidRPr="00404AC7">
        <w:rPr>
          <w:rFonts w:ascii="Times New Roman" w:eastAsia="Times New Roman" w:hAnsi="Times New Roman" w:cs="Times New Roman"/>
          <w:sz w:val="24"/>
          <w:szCs w:val="24"/>
          <w:lang w:val="en-US"/>
        </w:rPr>
        <w:t xml:space="preserve">, P., Bauer, S., </w:t>
      </w:r>
      <w:proofErr w:type="spellStart"/>
      <w:r w:rsidRPr="00404AC7">
        <w:rPr>
          <w:rFonts w:ascii="Times New Roman" w:eastAsia="Times New Roman" w:hAnsi="Times New Roman" w:cs="Times New Roman"/>
          <w:sz w:val="24"/>
          <w:szCs w:val="24"/>
          <w:lang w:val="en-US"/>
        </w:rPr>
        <w:t>Aliee</w:t>
      </w:r>
      <w:proofErr w:type="spellEnd"/>
      <w:r w:rsidRPr="00404AC7">
        <w:rPr>
          <w:rFonts w:ascii="Times New Roman" w:eastAsia="Times New Roman" w:hAnsi="Times New Roman" w:cs="Times New Roman"/>
          <w:sz w:val="24"/>
          <w:szCs w:val="24"/>
          <w:lang w:val="en-US"/>
        </w:rPr>
        <w:t xml:space="preserve">, H., </w:t>
      </w:r>
      <w:proofErr w:type="spellStart"/>
      <w:r w:rsidRPr="00404AC7">
        <w:rPr>
          <w:rFonts w:ascii="Times New Roman" w:eastAsia="Times New Roman" w:hAnsi="Times New Roman" w:cs="Times New Roman"/>
          <w:sz w:val="24"/>
          <w:szCs w:val="24"/>
          <w:lang w:val="en-US"/>
        </w:rPr>
        <w:t>Bengio</w:t>
      </w:r>
      <w:proofErr w:type="spellEnd"/>
      <w:r w:rsidRPr="00404AC7">
        <w:rPr>
          <w:rFonts w:ascii="Times New Roman" w:eastAsia="Times New Roman" w:hAnsi="Times New Roman" w:cs="Times New Roman"/>
          <w:sz w:val="24"/>
          <w:szCs w:val="24"/>
          <w:lang w:val="en-US"/>
        </w:rPr>
        <w:t xml:space="preserve">, Y., &amp; </w:t>
      </w:r>
      <w:proofErr w:type="spellStart"/>
      <w:r w:rsidRPr="00404AC7">
        <w:rPr>
          <w:rFonts w:ascii="Times New Roman" w:eastAsia="Times New Roman" w:hAnsi="Times New Roman" w:cs="Times New Roman"/>
          <w:sz w:val="24"/>
          <w:szCs w:val="24"/>
          <w:lang w:val="en-US"/>
        </w:rPr>
        <w:t>Theis</w:t>
      </w:r>
      <w:proofErr w:type="spellEnd"/>
      <w:r w:rsidRPr="00404AC7">
        <w:rPr>
          <w:rFonts w:ascii="Times New Roman" w:eastAsia="Times New Roman" w:hAnsi="Times New Roman" w:cs="Times New Roman"/>
          <w:sz w:val="24"/>
          <w:szCs w:val="24"/>
          <w:lang w:val="en-US"/>
        </w:rPr>
        <w:t xml:space="preserve">, F. J. (2025). Causal machine learning for single-cell genomics. </w:t>
      </w:r>
      <w:r w:rsidRPr="00404AC7">
        <w:rPr>
          <w:rFonts w:ascii="Times New Roman" w:eastAsia="Times New Roman" w:hAnsi="Times New Roman" w:cs="Times New Roman"/>
          <w:i/>
          <w:iCs/>
          <w:sz w:val="24"/>
          <w:szCs w:val="24"/>
          <w:lang w:val="en-US"/>
        </w:rPr>
        <w:t>Nature Genetics, 57</w:t>
      </w:r>
      <w:r w:rsidRPr="00404AC7">
        <w:rPr>
          <w:rFonts w:ascii="Times New Roman" w:eastAsia="Times New Roman" w:hAnsi="Times New Roman" w:cs="Times New Roman"/>
          <w:sz w:val="24"/>
          <w:szCs w:val="24"/>
          <w:lang w:val="en-US"/>
        </w:rPr>
        <w:t xml:space="preserve">, 797–808. </w:t>
      </w:r>
      <w:hyperlink r:id="rId26" w:history="1">
        <w:r w:rsidR="006F004F" w:rsidRPr="00021F58">
          <w:rPr>
            <w:rStyle w:val="Hyperlink"/>
            <w:rFonts w:ascii="Times New Roman" w:eastAsia="Times New Roman" w:hAnsi="Times New Roman" w:cs="Times New Roman"/>
            <w:sz w:val="24"/>
            <w:szCs w:val="24"/>
            <w:lang w:val="en-US"/>
          </w:rPr>
          <w:t>https://doi.org/10.1038/s41588-025-02124-2</w:t>
        </w:r>
      </w:hyperlink>
      <w:r w:rsidR="006F004F">
        <w:rPr>
          <w:rFonts w:ascii="Times New Roman" w:eastAsia="Times New Roman" w:hAnsi="Times New Roman" w:cs="Times New Roman"/>
          <w:sz w:val="24"/>
          <w:szCs w:val="24"/>
          <w:lang w:val="en-US"/>
        </w:rPr>
        <w:t xml:space="preserve"> </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K., Adler, J., Wu, Z., Green, T., Zielinski, M., </w:t>
      </w:r>
      <w:proofErr w:type="spellStart"/>
      <w:r w:rsidRPr="00404AC7">
        <w:rPr>
          <w:rFonts w:ascii="Times New Roman" w:eastAsia="Times New Roman" w:hAnsi="Times New Roman" w:cs="Times New Roman"/>
          <w:sz w:val="24"/>
          <w:szCs w:val="24"/>
          <w:lang w:val="en-US"/>
        </w:rPr>
        <w:t>Žídek</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Bridgland</w:t>
      </w:r>
      <w:proofErr w:type="spellEnd"/>
      <w:r w:rsidRPr="00404AC7">
        <w:rPr>
          <w:rFonts w:ascii="Times New Roman" w:eastAsia="Times New Roman" w:hAnsi="Times New Roman" w:cs="Times New Roman"/>
          <w:sz w:val="24"/>
          <w:szCs w:val="24"/>
          <w:lang w:val="en-US"/>
        </w:rPr>
        <w:t xml:space="preserve">, A., Cowie, A., Meyer, C., </w:t>
      </w:r>
      <w:proofErr w:type="spellStart"/>
      <w:r w:rsidRPr="00404AC7">
        <w:rPr>
          <w:rFonts w:ascii="Times New Roman" w:eastAsia="Times New Roman" w:hAnsi="Times New Roman" w:cs="Times New Roman"/>
          <w:sz w:val="24"/>
          <w:szCs w:val="24"/>
          <w:lang w:val="en-US"/>
        </w:rPr>
        <w:t>Laydon</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Velankar</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Kleywegt</w:t>
      </w:r>
      <w:proofErr w:type="spellEnd"/>
      <w:r w:rsidRPr="00404AC7">
        <w:rPr>
          <w:rFonts w:ascii="Times New Roman" w:eastAsia="Times New Roman" w:hAnsi="Times New Roman" w:cs="Times New Roman"/>
          <w:sz w:val="24"/>
          <w:szCs w:val="24"/>
          <w:lang w:val="en-US"/>
        </w:rPr>
        <w:t xml:space="preserve">, G. J., Bateman, A., Evans, R., </w:t>
      </w:r>
      <w:proofErr w:type="spellStart"/>
      <w:r w:rsidRPr="00404AC7">
        <w:rPr>
          <w:rFonts w:ascii="Times New Roman" w:eastAsia="Times New Roman" w:hAnsi="Times New Roman" w:cs="Times New Roman"/>
          <w:sz w:val="24"/>
          <w:szCs w:val="24"/>
          <w:lang w:val="en-US"/>
        </w:rPr>
        <w:t>Pritzel</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Figurnov</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Ronneberger</w:t>
      </w:r>
      <w:proofErr w:type="spellEnd"/>
      <w:r w:rsidRPr="00404AC7">
        <w:rPr>
          <w:rFonts w:ascii="Times New Roman" w:eastAsia="Times New Roman" w:hAnsi="Times New Roman" w:cs="Times New Roman"/>
          <w:sz w:val="24"/>
          <w:szCs w:val="24"/>
          <w:lang w:val="en-US"/>
        </w:rPr>
        <w:t xml:space="preserve">, O., Bates, R., Kohl, S. A. A., … Hassabis, D. (2021). Highly accurate protein structure prediction for the human proteome. </w:t>
      </w:r>
      <w:r w:rsidRPr="00404AC7">
        <w:rPr>
          <w:rFonts w:ascii="Times New Roman" w:eastAsia="Times New Roman" w:hAnsi="Times New Roman" w:cs="Times New Roman"/>
          <w:i/>
          <w:iCs/>
          <w:sz w:val="24"/>
          <w:szCs w:val="24"/>
          <w:lang w:val="en-US"/>
        </w:rPr>
        <w:t>Nature, 596</w:t>
      </w:r>
      <w:r w:rsidRPr="00404AC7">
        <w:rPr>
          <w:rFonts w:ascii="Times New Roman" w:eastAsia="Times New Roman" w:hAnsi="Times New Roman" w:cs="Times New Roman"/>
          <w:sz w:val="24"/>
          <w:szCs w:val="24"/>
          <w:lang w:val="en-US"/>
        </w:rPr>
        <w:t xml:space="preserve">(7873), 590–596. </w:t>
      </w:r>
      <w:hyperlink r:id="rId27" w:tgtFrame="_new" w:history="1">
        <w:r w:rsidRPr="00404AC7">
          <w:rPr>
            <w:rFonts w:ascii="Times New Roman" w:eastAsia="Times New Roman" w:hAnsi="Times New Roman" w:cs="Times New Roman"/>
            <w:color w:val="0000FF"/>
            <w:sz w:val="24"/>
            <w:szCs w:val="24"/>
            <w:u w:val="single"/>
            <w:lang w:val="en-US"/>
          </w:rPr>
          <w:t>https://doi.org/10.1038/s41586-021-03828-1</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Varadi</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Anyango</w:t>
      </w:r>
      <w:proofErr w:type="spellEnd"/>
      <w:r w:rsidRPr="00404AC7">
        <w:rPr>
          <w:rFonts w:ascii="Times New Roman" w:eastAsia="Times New Roman" w:hAnsi="Times New Roman" w:cs="Times New Roman"/>
          <w:sz w:val="24"/>
          <w:szCs w:val="24"/>
          <w:lang w:val="en-US"/>
        </w:rPr>
        <w:t xml:space="preserve">, S., Deshpande, M., Nair, S., </w:t>
      </w:r>
      <w:proofErr w:type="spellStart"/>
      <w:r w:rsidRPr="00404AC7">
        <w:rPr>
          <w:rFonts w:ascii="Times New Roman" w:eastAsia="Times New Roman" w:hAnsi="Times New Roman" w:cs="Times New Roman"/>
          <w:sz w:val="24"/>
          <w:szCs w:val="24"/>
          <w:lang w:val="en-US"/>
        </w:rPr>
        <w:t>Natassia</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Yordanova</w:t>
      </w:r>
      <w:proofErr w:type="spellEnd"/>
      <w:r w:rsidRPr="00404AC7">
        <w:rPr>
          <w:rFonts w:ascii="Times New Roman" w:eastAsia="Times New Roman" w:hAnsi="Times New Roman" w:cs="Times New Roman"/>
          <w:sz w:val="24"/>
          <w:szCs w:val="24"/>
          <w:lang w:val="en-US"/>
        </w:rPr>
        <w:t xml:space="preserve">, G., Yuan, D., </w:t>
      </w:r>
      <w:proofErr w:type="spellStart"/>
      <w:r w:rsidRPr="00404AC7">
        <w:rPr>
          <w:rFonts w:ascii="Times New Roman" w:eastAsia="Times New Roman" w:hAnsi="Times New Roman" w:cs="Times New Roman"/>
          <w:sz w:val="24"/>
          <w:szCs w:val="24"/>
          <w:lang w:val="en-US"/>
        </w:rPr>
        <w:t>Stroe</w:t>
      </w:r>
      <w:proofErr w:type="spellEnd"/>
      <w:r w:rsidRPr="00404AC7">
        <w:rPr>
          <w:rFonts w:ascii="Times New Roman" w:eastAsia="Times New Roman" w:hAnsi="Times New Roman" w:cs="Times New Roman"/>
          <w:sz w:val="24"/>
          <w:szCs w:val="24"/>
          <w:lang w:val="en-US"/>
        </w:rPr>
        <w:t xml:space="preserve">, O., Wood, G., </w:t>
      </w:r>
      <w:proofErr w:type="spellStart"/>
      <w:r w:rsidRPr="00404AC7">
        <w:rPr>
          <w:rFonts w:ascii="Times New Roman" w:eastAsia="Times New Roman" w:hAnsi="Times New Roman" w:cs="Times New Roman"/>
          <w:sz w:val="24"/>
          <w:szCs w:val="24"/>
          <w:lang w:val="en-US"/>
        </w:rPr>
        <w:t>Laydon</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Žídek</w:t>
      </w:r>
      <w:proofErr w:type="spellEnd"/>
      <w:r w:rsidRPr="00404AC7">
        <w:rPr>
          <w:rFonts w:ascii="Times New Roman" w:eastAsia="Times New Roman" w:hAnsi="Times New Roman" w:cs="Times New Roman"/>
          <w:sz w:val="24"/>
          <w:szCs w:val="24"/>
          <w:lang w:val="en-US"/>
        </w:rPr>
        <w:t xml:space="preserve">, A., Green, T.,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K., Petersen, S., Jumper, J., Clancy, E., Green, R., Vora, A., Lutfi, M., … </w:t>
      </w:r>
      <w:proofErr w:type="spellStart"/>
      <w:r w:rsidRPr="00404AC7">
        <w:rPr>
          <w:rFonts w:ascii="Times New Roman" w:eastAsia="Times New Roman" w:hAnsi="Times New Roman" w:cs="Times New Roman"/>
          <w:sz w:val="24"/>
          <w:szCs w:val="24"/>
          <w:lang w:val="en-US"/>
        </w:rPr>
        <w:t>Velankar</w:t>
      </w:r>
      <w:proofErr w:type="spellEnd"/>
      <w:r w:rsidRPr="00404AC7">
        <w:rPr>
          <w:rFonts w:ascii="Times New Roman" w:eastAsia="Times New Roman" w:hAnsi="Times New Roman" w:cs="Times New Roman"/>
          <w:sz w:val="24"/>
          <w:szCs w:val="24"/>
          <w:lang w:val="en-US"/>
        </w:rPr>
        <w:t xml:space="preserve">, S. (2022).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Protein Structure Database: Massively expanding the structural coverage of protein-sequence space with high-accuracy models. </w:t>
      </w:r>
      <w:r w:rsidRPr="00404AC7">
        <w:rPr>
          <w:rFonts w:ascii="Times New Roman" w:eastAsia="Times New Roman" w:hAnsi="Times New Roman" w:cs="Times New Roman"/>
          <w:i/>
          <w:iCs/>
          <w:sz w:val="24"/>
          <w:szCs w:val="24"/>
          <w:lang w:val="en-US"/>
        </w:rPr>
        <w:t>Nucleic Acids Research, 50</w:t>
      </w:r>
      <w:r w:rsidRPr="00404AC7">
        <w:rPr>
          <w:rFonts w:ascii="Times New Roman" w:eastAsia="Times New Roman" w:hAnsi="Times New Roman" w:cs="Times New Roman"/>
          <w:sz w:val="24"/>
          <w:szCs w:val="24"/>
          <w:lang w:val="en-US"/>
        </w:rPr>
        <w:t xml:space="preserve">(D1), D439–D444. </w:t>
      </w:r>
      <w:hyperlink r:id="rId28" w:tgtFrame="_new" w:history="1">
        <w:r w:rsidRPr="00404AC7">
          <w:rPr>
            <w:rFonts w:ascii="Times New Roman" w:eastAsia="Times New Roman" w:hAnsi="Times New Roman" w:cs="Times New Roman"/>
            <w:color w:val="0000FF"/>
            <w:sz w:val="24"/>
            <w:szCs w:val="24"/>
            <w:u w:val="single"/>
            <w:lang w:val="en-US"/>
          </w:rPr>
          <w:t>https://doi.org/10.1093/nar/gkab1061</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Visscher, P. M., Wray, N. R., Zhang, Q., </w:t>
      </w:r>
      <w:proofErr w:type="spellStart"/>
      <w:r w:rsidRPr="00404AC7">
        <w:rPr>
          <w:rFonts w:ascii="Times New Roman" w:eastAsia="Times New Roman" w:hAnsi="Times New Roman" w:cs="Times New Roman"/>
          <w:sz w:val="24"/>
          <w:szCs w:val="24"/>
          <w:lang w:val="en-US"/>
        </w:rPr>
        <w:t>Sklar</w:t>
      </w:r>
      <w:proofErr w:type="spellEnd"/>
      <w:r w:rsidRPr="00404AC7">
        <w:rPr>
          <w:rFonts w:ascii="Times New Roman" w:eastAsia="Times New Roman" w:hAnsi="Times New Roman" w:cs="Times New Roman"/>
          <w:sz w:val="24"/>
          <w:szCs w:val="24"/>
          <w:lang w:val="en-US"/>
        </w:rPr>
        <w:t xml:space="preserve">, P., McCarthy, M. I., Brown, M. A., &amp; Yang, J. (2017). 10 years of GWAS discovery: Biology, function, and translation. </w:t>
      </w:r>
      <w:r w:rsidRPr="00404AC7">
        <w:rPr>
          <w:rFonts w:ascii="Times New Roman" w:eastAsia="Times New Roman" w:hAnsi="Times New Roman" w:cs="Times New Roman"/>
          <w:i/>
          <w:iCs/>
          <w:sz w:val="24"/>
          <w:szCs w:val="24"/>
          <w:lang w:val="en-US"/>
        </w:rPr>
        <w:t>The American Journal of Human Genetics, 101</w:t>
      </w:r>
      <w:r w:rsidRPr="00404AC7">
        <w:rPr>
          <w:rFonts w:ascii="Times New Roman" w:eastAsia="Times New Roman" w:hAnsi="Times New Roman" w:cs="Times New Roman"/>
          <w:sz w:val="24"/>
          <w:szCs w:val="24"/>
          <w:lang w:val="en-US"/>
        </w:rPr>
        <w:t xml:space="preserve">(1), 5–22. </w:t>
      </w:r>
      <w:hyperlink r:id="rId29" w:history="1">
        <w:r w:rsidR="006F004F" w:rsidRPr="00021F58">
          <w:rPr>
            <w:rStyle w:val="Hyperlink"/>
            <w:rFonts w:ascii="Times New Roman" w:eastAsia="Times New Roman" w:hAnsi="Times New Roman" w:cs="Times New Roman"/>
            <w:sz w:val="24"/>
            <w:szCs w:val="24"/>
            <w:lang w:val="en-US"/>
          </w:rPr>
          <w:t>https://doi.org/10.1016/j.ajhg.2017.06.005</w:t>
        </w:r>
      </w:hyperlink>
      <w:r w:rsidR="006F004F">
        <w:rPr>
          <w:rFonts w:ascii="Times New Roman" w:eastAsia="Times New Roman" w:hAnsi="Times New Roman" w:cs="Times New Roman"/>
          <w:sz w:val="24"/>
          <w:szCs w:val="24"/>
          <w:lang w:val="en-US"/>
        </w:rPr>
        <w:t xml:space="preserve"> </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Wainberg</w:t>
      </w:r>
      <w:proofErr w:type="spellEnd"/>
      <w:r w:rsidRPr="00404AC7">
        <w:rPr>
          <w:rFonts w:ascii="Times New Roman" w:eastAsia="Times New Roman" w:hAnsi="Times New Roman" w:cs="Times New Roman"/>
          <w:sz w:val="24"/>
          <w:szCs w:val="24"/>
          <w:lang w:val="en-US"/>
        </w:rPr>
        <w:t xml:space="preserve">, M., Merico, D., Delong, A., &amp; Frey, B. J. (2018). Deep learning in biomedicine. </w:t>
      </w:r>
      <w:r w:rsidRPr="00404AC7">
        <w:rPr>
          <w:rFonts w:ascii="Times New Roman" w:eastAsia="Times New Roman" w:hAnsi="Times New Roman" w:cs="Times New Roman"/>
          <w:i/>
          <w:iCs/>
          <w:sz w:val="24"/>
          <w:szCs w:val="24"/>
          <w:lang w:val="en-US"/>
        </w:rPr>
        <w:t>Nature Biotechnology, 36</w:t>
      </w:r>
      <w:r w:rsidRPr="00404AC7">
        <w:rPr>
          <w:rFonts w:ascii="Times New Roman" w:eastAsia="Times New Roman" w:hAnsi="Times New Roman" w:cs="Times New Roman"/>
          <w:sz w:val="24"/>
          <w:szCs w:val="24"/>
          <w:lang w:val="en-US"/>
        </w:rPr>
        <w:t xml:space="preserve">(9), 829–838. </w:t>
      </w:r>
      <w:hyperlink r:id="rId30" w:tgtFrame="_new" w:history="1">
        <w:r w:rsidRPr="00404AC7">
          <w:rPr>
            <w:rFonts w:ascii="Times New Roman" w:eastAsia="Times New Roman" w:hAnsi="Times New Roman" w:cs="Times New Roman"/>
            <w:color w:val="0000FF"/>
            <w:sz w:val="24"/>
            <w:szCs w:val="24"/>
            <w:u w:val="single"/>
            <w:lang w:val="en-US"/>
          </w:rPr>
          <w:t>https://doi.org/10.1038/nbt.4233</w:t>
        </w:r>
      </w:hyperlink>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Zhou, J.,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xml:space="preserve">, O. G. (2015). Predicting effects of noncoding variants with deep learning-based sequence model. </w:t>
      </w:r>
      <w:r w:rsidRPr="00404AC7">
        <w:rPr>
          <w:rFonts w:ascii="Times New Roman" w:eastAsia="Times New Roman" w:hAnsi="Times New Roman" w:cs="Times New Roman"/>
          <w:i/>
          <w:iCs/>
          <w:sz w:val="24"/>
          <w:szCs w:val="24"/>
          <w:lang w:val="en-US"/>
        </w:rPr>
        <w:t>Nature Methods, 12</w:t>
      </w:r>
      <w:r w:rsidRPr="00404AC7">
        <w:rPr>
          <w:rFonts w:ascii="Times New Roman" w:eastAsia="Times New Roman" w:hAnsi="Times New Roman" w:cs="Times New Roman"/>
          <w:sz w:val="24"/>
          <w:szCs w:val="24"/>
          <w:lang w:val="en-US"/>
        </w:rPr>
        <w:t xml:space="preserve">(10), 931–934. </w:t>
      </w:r>
      <w:hyperlink r:id="rId31" w:history="1">
        <w:r w:rsidR="006F004F" w:rsidRPr="00021F58">
          <w:rPr>
            <w:rStyle w:val="Hyperlink"/>
            <w:rFonts w:ascii="Times New Roman" w:eastAsia="Times New Roman" w:hAnsi="Times New Roman" w:cs="Times New Roman"/>
            <w:sz w:val="24"/>
            <w:szCs w:val="24"/>
            <w:lang w:val="en-US"/>
          </w:rPr>
          <w:t>https://doi.org/10.1038/nmeth.3547</w:t>
        </w:r>
      </w:hyperlink>
      <w:r w:rsidR="006F004F">
        <w:rPr>
          <w:rFonts w:ascii="Times New Roman" w:eastAsia="Times New Roman" w:hAnsi="Times New Roman" w:cs="Times New Roman"/>
          <w:sz w:val="24"/>
          <w:szCs w:val="24"/>
          <w:lang w:val="en-US"/>
        </w:rPr>
        <w:t xml:space="preserve"> </w:t>
      </w: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Zitnik</w:t>
      </w:r>
      <w:proofErr w:type="spellEnd"/>
      <w:r w:rsidRPr="00404AC7">
        <w:rPr>
          <w:rFonts w:ascii="Times New Roman" w:eastAsia="Times New Roman" w:hAnsi="Times New Roman" w:cs="Times New Roman"/>
          <w:sz w:val="24"/>
          <w:szCs w:val="24"/>
          <w:lang w:val="en-US"/>
        </w:rPr>
        <w:t xml:space="preserve">, M., Nguyen, F., Wang, B., </w:t>
      </w:r>
      <w:proofErr w:type="spellStart"/>
      <w:r w:rsidRPr="00404AC7">
        <w:rPr>
          <w:rFonts w:ascii="Times New Roman" w:eastAsia="Times New Roman" w:hAnsi="Times New Roman" w:cs="Times New Roman"/>
          <w:sz w:val="24"/>
          <w:szCs w:val="24"/>
          <w:lang w:val="en-US"/>
        </w:rPr>
        <w:t>Leskovec</w:t>
      </w:r>
      <w:proofErr w:type="spellEnd"/>
      <w:r w:rsidRPr="00404AC7">
        <w:rPr>
          <w:rFonts w:ascii="Times New Roman" w:eastAsia="Times New Roman" w:hAnsi="Times New Roman" w:cs="Times New Roman"/>
          <w:sz w:val="24"/>
          <w:szCs w:val="24"/>
          <w:lang w:val="en-US"/>
        </w:rPr>
        <w:t xml:space="preserve">, J., Goldenberg, A., &amp; Hoffman, M. M. (2019). Machine learning for integrating data in biology and medicine: Principles, practice, and opportunities. </w:t>
      </w:r>
      <w:r w:rsidRPr="00404AC7">
        <w:rPr>
          <w:rFonts w:ascii="Times New Roman" w:eastAsia="Times New Roman" w:hAnsi="Times New Roman" w:cs="Times New Roman"/>
          <w:i/>
          <w:iCs/>
          <w:sz w:val="24"/>
          <w:szCs w:val="24"/>
          <w:lang w:val="en-US"/>
        </w:rPr>
        <w:t>Information Fusion, 50</w:t>
      </w:r>
      <w:r w:rsidRPr="00404AC7">
        <w:rPr>
          <w:rFonts w:ascii="Times New Roman" w:eastAsia="Times New Roman" w:hAnsi="Times New Roman" w:cs="Times New Roman"/>
          <w:sz w:val="24"/>
          <w:szCs w:val="24"/>
          <w:lang w:val="en-US"/>
        </w:rPr>
        <w:t xml:space="preserve">, 71–91. </w:t>
      </w:r>
      <w:hyperlink r:id="rId32" w:history="1">
        <w:r w:rsidR="006F004F" w:rsidRPr="00021F58">
          <w:rPr>
            <w:rStyle w:val="Hyperlink"/>
            <w:rFonts w:ascii="Times New Roman" w:eastAsia="Times New Roman" w:hAnsi="Times New Roman" w:cs="Times New Roman"/>
            <w:sz w:val="24"/>
            <w:szCs w:val="24"/>
            <w:lang w:val="en-US"/>
          </w:rPr>
          <w:t>https://doi.org/10.1016/j.inffus.2018.09.012</w:t>
        </w:r>
      </w:hyperlink>
      <w:r w:rsidR="006F004F">
        <w:rPr>
          <w:rFonts w:ascii="Times New Roman" w:eastAsia="Times New Roman" w:hAnsi="Times New Roman" w:cs="Times New Roman"/>
          <w:sz w:val="24"/>
          <w:szCs w:val="24"/>
          <w:lang w:val="en-US"/>
        </w:rPr>
        <w:t xml:space="preserve"> </w:t>
      </w:r>
    </w:p>
    <w:p w:rsidR="00404AC7" w:rsidRPr="00404AC7" w:rsidRDefault="00404AC7" w:rsidP="00404AC7">
      <w:pPr>
        <w:spacing w:before="100" w:beforeAutospacing="1" w:after="100" w:afterAutospacing="1" w:line="240" w:lineRule="auto"/>
        <w:rPr>
          <w:rFonts w:ascii="Arial" w:eastAsia="Times New Roman" w:hAnsi="Arial" w:cs="Arial"/>
          <w:vanish/>
          <w:sz w:val="16"/>
          <w:szCs w:val="16"/>
          <w:lang w:val="en-US"/>
        </w:rPr>
      </w:pPr>
      <w:r w:rsidRPr="00404AC7">
        <w:rPr>
          <w:rFonts w:ascii="Times New Roman" w:eastAsia="Times New Roman" w:hAnsi="Times New Roman" w:cs="Times New Roman"/>
          <w:sz w:val="24"/>
          <w:szCs w:val="24"/>
          <w:lang w:val="en-US"/>
        </w:rPr>
        <w:lastRenderedPageBreak/>
        <w:t xml:space="preserve">Zou, J., Huss, M., Abid, A., </w:t>
      </w:r>
      <w:proofErr w:type="spellStart"/>
      <w:r w:rsidRPr="00404AC7">
        <w:rPr>
          <w:rFonts w:ascii="Times New Roman" w:eastAsia="Times New Roman" w:hAnsi="Times New Roman" w:cs="Times New Roman"/>
          <w:sz w:val="24"/>
          <w:szCs w:val="24"/>
          <w:lang w:val="en-US"/>
        </w:rPr>
        <w:t>Mohammadi</w:t>
      </w:r>
      <w:proofErr w:type="spellEnd"/>
      <w:r w:rsidRPr="00404AC7">
        <w:rPr>
          <w:rFonts w:ascii="Times New Roman" w:eastAsia="Times New Roman" w:hAnsi="Times New Roman" w:cs="Times New Roman"/>
          <w:sz w:val="24"/>
          <w:szCs w:val="24"/>
          <w:lang w:val="en-US"/>
        </w:rPr>
        <w:t xml:space="preserve">, P., </w:t>
      </w:r>
      <w:proofErr w:type="spellStart"/>
      <w:r w:rsidRPr="00404AC7">
        <w:rPr>
          <w:rFonts w:ascii="Times New Roman" w:eastAsia="Times New Roman" w:hAnsi="Times New Roman" w:cs="Times New Roman"/>
          <w:sz w:val="24"/>
          <w:szCs w:val="24"/>
          <w:lang w:val="en-US"/>
        </w:rPr>
        <w:t>Torkamani</w:t>
      </w:r>
      <w:proofErr w:type="spellEnd"/>
      <w:r w:rsidRPr="00404AC7">
        <w:rPr>
          <w:rFonts w:ascii="Times New Roman" w:eastAsia="Times New Roman" w:hAnsi="Times New Roman" w:cs="Times New Roman"/>
          <w:sz w:val="24"/>
          <w:szCs w:val="24"/>
          <w:lang w:val="en-US"/>
        </w:rPr>
        <w:t xml:space="preserve">, A., &amp; </w:t>
      </w:r>
      <w:proofErr w:type="spellStart"/>
      <w:r w:rsidRPr="00404AC7">
        <w:rPr>
          <w:rFonts w:ascii="Times New Roman" w:eastAsia="Times New Roman" w:hAnsi="Times New Roman" w:cs="Times New Roman"/>
          <w:sz w:val="24"/>
          <w:szCs w:val="24"/>
          <w:lang w:val="en-US"/>
        </w:rPr>
        <w:t>Telenti</w:t>
      </w:r>
      <w:proofErr w:type="spellEnd"/>
      <w:r w:rsidRPr="00404AC7">
        <w:rPr>
          <w:rFonts w:ascii="Times New Roman" w:eastAsia="Times New Roman" w:hAnsi="Times New Roman" w:cs="Times New Roman"/>
          <w:sz w:val="24"/>
          <w:szCs w:val="24"/>
          <w:lang w:val="en-US"/>
        </w:rPr>
        <w:t xml:space="preserve">, A. (2019). A primer on deep learning in genomics. </w:t>
      </w:r>
      <w:r w:rsidRPr="00404AC7">
        <w:rPr>
          <w:rFonts w:ascii="Times New Roman" w:eastAsia="Times New Roman" w:hAnsi="Times New Roman" w:cs="Times New Roman"/>
          <w:i/>
          <w:iCs/>
          <w:sz w:val="24"/>
          <w:szCs w:val="24"/>
          <w:lang w:val="en-US"/>
        </w:rPr>
        <w:t>Nature Genetics, 51</w:t>
      </w:r>
      <w:r w:rsidRPr="00404AC7">
        <w:rPr>
          <w:rFonts w:ascii="Times New Roman" w:eastAsia="Times New Roman" w:hAnsi="Times New Roman" w:cs="Times New Roman"/>
          <w:sz w:val="24"/>
          <w:szCs w:val="24"/>
          <w:lang w:val="en-US"/>
        </w:rPr>
        <w:t xml:space="preserve">(1), 12–18. </w:t>
      </w:r>
      <w:hyperlink r:id="rId33" w:history="1">
        <w:r w:rsidR="006F004F" w:rsidRPr="00021F58">
          <w:rPr>
            <w:rStyle w:val="Hyperlink"/>
            <w:rFonts w:ascii="Times New Roman" w:eastAsia="Times New Roman" w:hAnsi="Times New Roman" w:cs="Times New Roman"/>
            <w:sz w:val="24"/>
            <w:szCs w:val="24"/>
            <w:lang w:val="en-US"/>
          </w:rPr>
          <w:t>https://doi.org/10.1038/s41588-018-0295-5</w:t>
        </w:r>
      </w:hyperlink>
      <w:r w:rsidR="006F004F">
        <w:rPr>
          <w:rFonts w:ascii="Times New Roman" w:eastAsia="Times New Roman" w:hAnsi="Times New Roman" w:cs="Times New Roman"/>
          <w:sz w:val="24"/>
          <w:szCs w:val="24"/>
          <w:lang w:val="en-US"/>
        </w:rPr>
        <w:t xml:space="preserve"> </w:t>
      </w:r>
      <w:r w:rsidRPr="00404AC7">
        <w:rPr>
          <w:rFonts w:ascii="Arial" w:eastAsia="Times New Roman" w:hAnsi="Arial" w:cs="Arial"/>
          <w:vanish/>
          <w:sz w:val="16"/>
          <w:szCs w:val="16"/>
          <w:lang w:val="en-US"/>
        </w:rPr>
        <w:t>Top of Form</w:t>
      </w:r>
    </w:p>
    <w:p w:rsidR="00404AC7" w:rsidRPr="00404AC7" w:rsidRDefault="00404AC7" w:rsidP="00404AC7">
      <w:pPr>
        <w:spacing w:after="0" w:line="240" w:lineRule="auto"/>
        <w:rPr>
          <w:rFonts w:ascii="Times New Roman" w:eastAsia="Times New Roman" w:hAnsi="Times New Roman" w:cs="Times New Roman"/>
          <w:sz w:val="24"/>
          <w:szCs w:val="24"/>
          <w:lang w:val="en-US"/>
        </w:rPr>
      </w:pPr>
    </w:p>
    <w:p w:rsidR="00404AC7" w:rsidRPr="00404AC7" w:rsidRDefault="00404AC7" w:rsidP="00404AC7">
      <w:pPr>
        <w:spacing w:before="100" w:beforeAutospacing="1" w:after="100" w:afterAutospacing="1" w:line="240" w:lineRule="auto"/>
        <w:rPr>
          <w:rFonts w:ascii="Times New Roman" w:eastAsia="Times New Roman" w:hAnsi="Times New Roman" w:cs="Times New Roman"/>
          <w:sz w:val="24"/>
          <w:szCs w:val="24"/>
          <w:lang w:val="en-US"/>
        </w:rPr>
      </w:pPr>
    </w:p>
    <w:p w:rsidR="00404AC7" w:rsidRPr="00404AC7" w:rsidRDefault="00404AC7" w:rsidP="00404AC7">
      <w:pPr>
        <w:pBdr>
          <w:top w:val="single" w:sz="6" w:space="1" w:color="auto"/>
        </w:pBdr>
        <w:spacing w:after="0" w:line="240" w:lineRule="auto"/>
        <w:jc w:val="center"/>
        <w:rPr>
          <w:rFonts w:ascii="Arial" w:eastAsia="Times New Roman" w:hAnsi="Arial" w:cs="Arial"/>
          <w:vanish/>
          <w:sz w:val="16"/>
          <w:szCs w:val="16"/>
          <w:lang w:val="en-US"/>
        </w:rPr>
      </w:pPr>
      <w:r w:rsidRPr="00404AC7">
        <w:rPr>
          <w:rFonts w:ascii="Arial" w:eastAsia="Times New Roman" w:hAnsi="Arial" w:cs="Arial"/>
          <w:vanish/>
          <w:sz w:val="16"/>
          <w:szCs w:val="16"/>
          <w:lang w:val="en-US"/>
        </w:rPr>
        <w:t>Bottom of Form</w:t>
      </w:r>
    </w:p>
    <w:p w:rsidR="00D75C9D" w:rsidRPr="00404AC7" w:rsidRDefault="00D75C9D" w:rsidP="00404AC7"/>
    <w:sectPr w:rsidR="00D75C9D" w:rsidRPr="00404AC7"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995" w:rsidRDefault="00682995" w:rsidP="00D065D5">
      <w:pPr>
        <w:spacing w:after="0" w:line="240" w:lineRule="auto"/>
      </w:pPr>
      <w:r>
        <w:separator/>
      </w:r>
    </w:p>
  </w:endnote>
  <w:endnote w:type="continuationSeparator" w:id="0">
    <w:p w:rsidR="00682995" w:rsidRDefault="00682995" w:rsidP="00D0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995" w:rsidRDefault="00682995" w:rsidP="00D065D5">
      <w:pPr>
        <w:spacing w:after="0" w:line="240" w:lineRule="auto"/>
      </w:pPr>
      <w:r>
        <w:separator/>
      </w:r>
    </w:p>
  </w:footnote>
  <w:footnote w:type="continuationSeparator" w:id="0">
    <w:p w:rsidR="00682995" w:rsidRDefault="00682995" w:rsidP="00D06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455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455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455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4AC7"/>
    <w:rsid w:val="001E4551"/>
    <w:rsid w:val="00235947"/>
    <w:rsid w:val="003A104D"/>
    <w:rsid w:val="00404AC7"/>
    <w:rsid w:val="00633EEE"/>
    <w:rsid w:val="00682995"/>
    <w:rsid w:val="006F004F"/>
    <w:rsid w:val="007D5FED"/>
    <w:rsid w:val="00A2270F"/>
    <w:rsid w:val="00B73CBF"/>
    <w:rsid w:val="00CB6EB6"/>
    <w:rsid w:val="00D065D5"/>
    <w:rsid w:val="00D75C9D"/>
    <w:rsid w:val="00EF6088"/>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6CBA5D5-9F6A-4FA5-BD95-FC58FF11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B73CBF"/>
    <w:rPr>
      <w:color w:val="0563C1" w:themeColor="hyperlink"/>
      <w:u w:val="single"/>
    </w:rPr>
  </w:style>
  <w:style w:type="paragraph" w:styleId="Header">
    <w:name w:val="header"/>
    <w:basedOn w:val="Normal"/>
    <w:link w:val="HeaderChar"/>
    <w:uiPriority w:val="99"/>
    <w:unhideWhenUsed/>
    <w:rsid w:val="00D06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5D5"/>
  </w:style>
  <w:style w:type="paragraph" w:styleId="Footer">
    <w:name w:val="footer"/>
    <w:basedOn w:val="Normal"/>
    <w:link w:val="FooterChar"/>
    <w:uiPriority w:val="99"/>
    <w:unhideWhenUsed/>
    <w:rsid w:val="00D06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3104">
      <w:bodyDiv w:val="1"/>
      <w:marLeft w:val="0"/>
      <w:marRight w:val="0"/>
      <w:marTop w:val="0"/>
      <w:marBottom w:val="0"/>
      <w:divBdr>
        <w:top w:val="none" w:sz="0" w:space="0" w:color="auto"/>
        <w:left w:val="none" w:sz="0" w:space="0" w:color="auto"/>
        <w:bottom w:val="none" w:sz="0" w:space="0" w:color="auto"/>
        <w:right w:val="none" w:sz="0" w:space="0" w:color="auto"/>
      </w:divBdr>
      <w:divsChild>
        <w:div w:id="745495592">
          <w:marLeft w:val="0"/>
          <w:marRight w:val="0"/>
          <w:marTop w:val="0"/>
          <w:marBottom w:val="0"/>
          <w:divBdr>
            <w:top w:val="none" w:sz="0" w:space="0" w:color="auto"/>
            <w:left w:val="none" w:sz="0" w:space="0" w:color="auto"/>
            <w:bottom w:val="none" w:sz="0" w:space="0" w:color="auto"/>
            <w:right w:val="none" w:sz="0" w:space="0" w:color="auto"/>
          </w:divBdr>
          <w:divsChild>
            <w:div w:id="142161481">
              <w:marLeft w:val="0"/>
              <w:marRight w:val="0"/>
              <w:marTop w:val="0"/>
              <w:marBottom w:val="0"/>
              <w:divBdr>
                <w:top w:val="none" w:sz="0" w:space="0" w:color="auto"/>
                <w:left w:val="none" w:sz="0" w:space="0" w:color="auto"/>
                <w:bottom w:val="none" w:sz="0" w:space="0" w:color="auto"/>
                <w:right w:val="none" w:sz="0" w:space="0" w:color="auto"/>
              </w:divBdr>
              <w:divsChild>
                <w:div w:id="1070738742">
                  <w:marLeft w:val="0"/>
                  <w:marRight w:val="0"/>
                  <w:marTop w:val="0"/>
                  <w:marBottom w:val="0"/>
                  <w:divBdr>
                    <w:top w:val="none" w:sz="0" w:space="0" w:color="auto"/>
                    <w:left w:val="none" w:sz="0" w:space="0" w:color="auto"/>
                    <w:bottom w:val="none" w:sz="0" w:space="0" w:color="auto"/>
                    <w:right w:val="none" w:sz="0" w:space="0" w:color="auto"/>
                  </w:divBdr>
                  <w:divsChild>
                    <w:div w:id="4252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47459">
      <w:bodyDiv w:val="1"/>
      <w:marLeft w:val="0"/>
      <w:marRight w:val="0"/>
      <w:marTop w:val="0"/>
      <w:marBottom w:val="0"/>
      <w:divBdr>
        <w:top w:val="none" w:sz="0" w:space="0" w:color="auto"/>
        <w:left w:val="none" w:sz="0" w:space="0" w:color="auto"/>
        <w:bottom w:val="none" w:sz="0" w:space="0" w:color="auto"/>
        <w:right w:val="none" w:sz="0" w:space="0" w:color="auto"/>
      </w:divBdr>
      <w:divsChild>
        <w:div w:id="182138696">
          <w:marLeft w:val="0"/>
          <w:marRight w:val="0"/>
          <w:marTop w:val="0"/>
          <w:marBottom w:val="0"/>
          <w:divBdr>
            <w:top w:val="none" w:sz="0" w:space="0" w:color="auto"/>
            <w:left w:val="none" w:sz="0" w:space="0" w:color="auto"/>
            <w:bottom w:val="none" w:sz="0" w:space="0" w:color="auto"/>
            <w:right w:val="none" w:sz="0" w:space="0" w:color="auto"/>
          </w:divBdr>
          <w:divsChild>
            <w:div w:id="1218280183">
              <w:marLeft w:val="0"/>
              <w:marRight w:val="0"/>
              <w:marTop w:val="0"/>
              <w:marBottom w:val="0"/>
              <w:divBdr>
                <w:top w:val="none" w:sz="0" w:space="0" w:color="auto"/>
                <w:left w:val="none" w:sz="0" w:space="0" w:color="auto"/>
                <w:bottom w:val="none" w:sz="0" w:space="0" w:color="auto"/>
                <w:right w:val="none" w:sz="0" w:space="0" w:color="auto"/>
              </w:divBdr>
              <w:divsChild>
                <w:div w:id="274294816">
                  <w:marLeft w:val="0"/>
                  <w:marRight w:val="0"/>
                  <w:marTop w:val="0"/>
                  <w:marBottom w:val="0"/>
                  <w:divBdr>
                    <w:top w:val="none" w:sz="0" w:space="0" w:color="auto"/>
                    <w:left w:val="none" w:sz="0" w:space="0" w:color="auto"/>
                    <w:bottom w:val="none" w:sz="0" w:space="0" w:color="auto"/>
                    <w:right w:val="none" w:sz="0" w:space="0" w:color="auto"/>
                  </w:divBdr>
                  <w:divsChild>
                    <w:div w:id="852258631">
                      <w:marLeft w:val="0"/>
                      <w:marRight w:val="0"/>
                      <w:marTop w:val="0"/>
                      <w:marBottom w:val="0"/>
                      <w:divBdr>
                        <w:top w:val="none" w:sz="0" w:space="0" w:color="auto"/>
                        <w:left w:val="none" w:sz="0" w:space="0" w:color="auto"/>
                        <w:bottom w:val="none" w:sz="0" w:space="0" w:color="auto"/>
                        <w:right w:val="none" w:sz="0" w:space="0" w:color="auto"/>
                      </w:divBdr>
                      <w:divsChild>
                        <w:div w:id="1135873593">
                          <w:marLeft w:val="0"/>
                          <w:marRight w:val="0"/>
                          <w:marTop w:val="0"/>
                          <w:marBottom w:val="0"/>
                          <w:divBdr>
                            <w:top w:val="none" w:sz="0" w:space="0" w:color="auto"/>
                            <w:left w:val="none" w:sz="0" w:space="0" w:color="auto"/>
                            <w:bottom w:val="none" w:sz="0" w:space="0" w:color="auto"/>
                            <w:right w:val="none" w:sz="0" w:space="0" w:color="auto"/>
                          </w:divBdr>
                          <w:divsChild>
                            <w:div w:id="490948675">
                              <w:marLeft w:val="0"/>
                              <w:marRight w:val="0"/>
                              <w:marTop w:val="0"/>
                              <w:marBottom w:val="0"/>
                              <w:divBdr>
                                <w:top w:val="none" w:sz="0" w:space="0" w:color="auto"/>
                                <w:left w:val="none" w:sz="0" w:space="0" w:color="auto"/>
                                <w:bottom w:val="none" w:sz="0" w:space="0" w:color="auto"/>
                                <w:right w:val="none" w:sz="0" w:space="0" w:color="auto"/>
                              </w:divBdr>
                              <w:divsChild>
                                <w:div w:id="2041125267">
                                  <w:marLeft w:val="0"/>
                                  <w:marRight w:val="0"/>
                                  <w:marTop w:val="0"/>
                                  <w:marBottom w:val="0"/>
                                  <w:divBdr>
                                    <w:top w:val="none" w:sz="0" w:space="0" w:color="auto"/>
                                    <w:left w:val="none" w:sz="0" w:space="0" w:color="auto"/>
                                    <w:bottom w:val="none" w:sz="0" w:space="0" w:color="auto"/>
                                    <w:right w:val="none" w:sz="0" w:space="0" w:color="auto"/>
                                  </w:divBdr>
                                  <w:divsChild>
                                    <w:div w:id="14543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813867">
          <w:marLeft w:val="0"/>
          <w:marRight w:val="0"/>
          <w:marTop w:val="0"/>
          <w:marBottom w:val="0"/>
          <w:divBdr>
            <w:top w:val="none" w:sz="0" w:space="0" w:color="auto"/>
            <w:left w:val="none" w:sz="0" w:space="0" w:color="auto"/>
            <w:bottom w:val="none" w:sz="0" w:space="0" w:color="auto"/>
            <w:right w:val="none" w:sz="0" w:space="0" w:color="auto"/>
          </w:divBdr>
          <w:divsChild>
            <w:div w:id="731579797">
              <w:marLeft w:val="0"/>
              <w:marRight w:val="0"/>
              <w:marTop w:val="0"/>
              <w:marBottom w:val="0"/>
              <w:divBdr>
                <w:top w:val="none" w:sz="0" w:space="0" w:color="auto"/>
                <w:left w:val="none" w:sz="0" w:space="0" w:color="auto"/>
                <w:bottom w:val="none" w:sz="0" w:space="0" w:color="auto"/>
                <w:right w:val="none" w:sz="0" w:space="0" w:color="auto"/>
              </w:divBdr>
              <w:divsChild>
                <w:div w:id="1670869752">
                  <w:marLeft w:val="0"/>
                  <w:marRight w:val="0"/>
                  <w:marTop w:val="0"/>
                  <w:marBottom w:val="0"/>
                  <w:divBdr>
                    <w:top w:val="none" w:sz="0" w:space="0" w:color="auto"/>
                    <w:left w:val="none" w:sz="0" w:space="0" w:color="auto"/>
                    <w:bottom w:val="none" w:sz="0" w:space="0" w:color="auto"/>
                    <w:right w:val="none" w:sz="0" w:space="0" w:color="auto"/>
                  </w:divBdr>
                  <w:divsChild>
                    <w:div w:id="130828692">
                      <w:marLeft w:val="0"/>
                      <w:marRight w:val="0"/>
                      <w:marTop w:val="0"/>
                      <w:marBottom w:val="0"/>
                      <w:divBdr>
                        <w:top w:val="none" w:sz="0" w:space="0" w:color="auto"/>
                        <w:left w:val="none" w:sz="0" w:space="0" w:color="auto"/>
                        <w:bottom w:val="none" w:sz="0" w:space="0" w:color="auto"/>
                        <w:right w:val="none" w:sz="0" w:space="0" w:color="auto"/>
                      </w:divBdr>
                      <w:divsChild>
                        <w:div w:id="1208833951">
                          <w:marLeft w:val="0"/>
                          <w:marRight w:val="0"/>
                          <w:marTop w:val="0"/>
                          <w:marBottom w:val="0"/>
                          <w:divBdr>
                            <w:top w:val="none" w:sz="0" w:space="0" w:color="auto"/>
                            <w:left w:val="none" w:sz="0" w:space="0" w:color="auto"/>
                            <w:bottom w:val="none" w:sz="0" w:space="0" w:color="auto"/>
                            <w:right w:val="none" w:sz="0" w:space="0" w:color="auto"/>
                          </w:divBdr>
                          <w:divsChild>
                            <w:div w:id="1860660537">
                              <w:marLeft w:val="0"/>
                              <w:marRight w:val="0"/>
                              <w:marTop w:val="0"/>
                              <w:marBottom w:val="0"/>
                              <w:divBdr>
                                <w:top w:val="none" w:sz="0" w:space="0" w:color="auto"/>
                                <w:left w:val="none" w:sz="0" w:space="0" w:color="auto"/>
                                <w:bottom w:val="none" w:sz="0" w:space="0" w:color="auto"/>
                                <w:right w:val="none" w:sz="0" w:space="0" w:color="auto"/>
                              </w:divBdr>
                              <w:divsChild>
                                <w:div w:id="1032804071">
                                  <w:marLeft w:val="0"/>
                                  <w:marRight w:val="0"/>
                                  <w:marTop w:val="0"/>
                                  <w:marBottom w:val="0"/>
                                  <w:divBdr>
                                    <w:top w:val="none" w:sz="0" w:space="0" w:color="auto"/>
                                    <w:left w:val="none" w:sz="0" w:space="0" w:color="auto"/>
                                    <w:bottom w:val="none" w:sz="0" w:space="0" w:color="auto"/>
                                    <w:right w:val="none" w:sz="0" w:space="0" w:color="auto"/>
                                  </w:divBdr>
                                  <w:divsChild>
                                    <w:div w:id="1831093631">
                                      <w:marLeft w:val="0"/>
                                      <w:marRight w:val="0"/>
                                      <w:marTop w:val="0"/>
                                      <w:marBottom w:val="0"/>
                                      <w:divBdr>
                                        <w:top w:val="none" w:sz="0" w:space="0" w:color="auto"/>
                                        <w:left w:val="none" w:sz="0" w:space="0" w:color="auto"/>
                                        <w:bottom w:val="none" w:sz="0" w:space="0" w:color="auto"/>
                                        <w:right w:val="none" w:sz="0" w:space="0" w:color="auto"/>
                                      </w:divBdr>
                                      <w:divsChild>
                                        <w:div w:id="1551187391">
                                          <w:marLeft w:val="0"/>
                                          <w:marRight w:val="0"/>
                                          <w:marTop w:val="0"/>
                                          <w:marBottom w:val="0"/>
                                          <w:divBdr>
                                            <w:top w:val="none" w:sz="0" w:space="0" w:color="auto"/>
                                            <w:left w:val="none" w:sz="0" w:space="0" w:color="auto"/>
                                            <w:bottom w:val="none" w:sz="0" w:space="0" w:color="auto"/>
                                            <w:right w:val="none" w:sz="0" w:space="0" w:color="auto"/>
                                          </w:divBdr>
                                          <w:divsChild>
                                            <w:div w:id="995642783">
                                              <w:marLeft w:val="0"/>
                                              <w:marRight w:val="0"/>
                                              <w:marTop w:val="0"/>
                                              <w:marBottom w:val="0"/>
                                              <w:divBdr>
                                                <w:top w:val="none" w:sz="0" w:space="0" w:color="auto"/>
                                                <w:left w:val="none" w:sz="0" w:space="0" w:color="auto"/>
                                                <w:bottom w:val="none" w:sz="0" w:space="0" w:color="auto"/>
                                                <w:right w:val="none" w:sz="0" w:space="0" w:color="auto"/>
                                              </w:divBdr>
                                              <w:divsChild>
                                                <w:div w:id="110714047">
                                                  <w:marLeft w:val="0"/>
                                                  <w:marRight w:val="0"/>
                                                  <w:marTop w:val="0"/>
                                                  <w:marBottom w:val="0"/>
                                                  <w:divBdr>
                                                    <w:top w:val="none" w:sz="0" w:space="0" w:color="auto"/>
                                                    <w:left w:val="none" w:sz="0" w:space="0" w:color="auto"/>
                                                    <w:bottom w:val="none" w:sz="0" w:space="0" w:color="auto"/>
                                                    <w:right w:val="none" w:sz="0" w:space="0" w:color="auto"/>
                                                  </w:divBdr>
                                                  <w:divsChild>
                                                    <w:div w:id="1864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75721">
      <w:bodyDiv w:val="1"/>
      <w:marLeft w:val="0"/>
      <w:marRight w:val="0"/>
      <w:marTop w:val="0"/>
      <w:marBottom w:val="0"/>
      <w:divBdr>
        <w:top w:val="none" w:sz="0" w:space="0" w:color="auto"/>
        <w:left w:val="none" w:sz="0" w:space="0" w:color="auto"/>
        <w:bottom w:val="none" w:sz="0" w:space="0" w:color="auto"/>
        <w:right w:val="none" w:sz="0" w:space="0" w:color="auto"/>
      </w:divBdr>
      <w:divsChild>
        <w:div w:id="2000648422">
          <w:marLeft w:val="0"/>
          <w:marRight w:val="0"/>
          <w:marTop w:val="0"/>
          <w:marBottom w:val="0"/>
          <w:divBdr>
            <w:top w:val="none" w:sz="0" w:space="0" w:color="auto"/>
            <w:left w:val="none" w:sz="0" w:space="0" w:color="auto"/>
            <w:bottom w:val="none" w:sz="0" w:space="0" w:color="auto"/>
            <w:right w:val="none" w:sz="0" w:space="0" w:color="auto"/>
          </w:divBdr>
          <w:divsChild>
            <w:div w:id="1447239231">
              <w:marLeft w:val="0"/>
              <w:marRight w:val="0"/>
              <w:marTop w:val="0"/>
              <w:marBottom w:val="0"/>
              <w:divBdr>
                <w:top w:val="none" w:sz="0" w:space="0" w:color="auto"/>
                <w:left w:val="none" w:sz="0" w:space="0" w:color="auto"/>
                <w:bottom w:val="none" w:sz="0" w:space="0" w:color="auto"/>
                <w:right w:val="none" w:sz="0" w:space="0" w:color="auto"/>
              </w:divBdr>
              <w:divsChild>
                <w:div w:id="1523586529">
                  <w:marLeft w:val="0"/>
                  <w:marRight w:val="0"/>
                  <w:marTop w:val="0"/>
                  <w:marBottom w:val="0"/>
                  <w:divBdr>
                    <w:top w:val="none" w:sz="0" w:space="0" w:color="auto"/>
                    <w:left w:val="none" w:sz="0" w:space="0" w:color="auto"/>
                    <w:bottom w:val="none" w:sz="0" w:space="0" w:color="auto"/>
                    <w:right w:val="none" w:sz="0" w:space="0" w:color="auto"/>
                  </w:divBdr>
                  <w:divsChild>
                    <w:div w:id="196509213">
                      <w:marLeft w:val="0"/>
                      <w:marRight w:val="0"/>
                      <w:marTop w:val="0"/>
                      <w:marBottom w:val="0"/>
                      <w:divBdr>
                        <w:top w:val="none" w:sz="0" w:space="0" w:color="auto"/>
                        <w:left w:val="none" w:sz="0" w:space="0" w:color="auto"/>
                        <w:bottom w:val="none" w:sz="0" w:space="0" w:color="auto"/>
                        <w:right w:val="none" w:sz="0" w:space="0" w:color="auto"/>
                      </w:divBdr>
                      <w:divsChild>
                        <w:div w:id="766266003">
                          <w:marLeft w:val="0"/>
                          <w:marRight w:val="0"/>
                          <w:marTop w:val="0"/>
                          <w:marBottom w:val="0"/>
                          <w:divBdr>
                            <w:top w:val="none" w:sz="0" w:space="0" w:color="auto"/>
                            <w:left w:val="none" w:sz="0" w:space="0" w:color="auto"/>
                            <w:bottom w:val="none" w:sz="0" w:space="0" w:color="auto"/>
                            <w:right w:val="none" w:sz="0" w:space="0" w:color="auto"/>
                          </w:divBdr>
                          <w:divsChild>
                            <w:div w:id="1253244982">
                              <w:marLeft w:val="0"/>
                              <w:marRight w:val="0"/>
                              <w:marTop w:val="0"/>
                              <w:marBottom w:val="0"/>
                              <w:divBdr>
                                <w:top w:val="none" w:sz="0" w:space="0" w:color="auto"/>
                                <w:left w:val="none" w:sz="0" w:space="0" w:color="auto"/>
                                <w:bottom w:val="none" w:sz="0" w:space="0" w:color="auto"/>
                                <w:right w:val="none" w:sz="0" w:space="0" w:color="auto"/>
                              </w:divBdr>
                              <w:divsChild>
                                <w:div w:id="1722745204">
                                  <w:marLeft w:val="0"/>
                                  <w:marRight w:val="0"/>
                                  <w:marTop w:val="0"/>
                                  <w:marBottom w:val="0"/>
                                  <w:divBdr>
                                    <w:top w:val="none" w:sz="0" w:space="0" w:color="auto"/>
                                    <w:left w:val="none" w:sz="0" w:space="0" w:color="auto"/>
                                    <w:bottom w:val="none" w:sz="0" w:space="0" w:color="auto"/>
                                    <w:right w:val="none" w:sz="0" w:space="0" w:color="auto"/>
                                  </w:divBdr>
                                  <w:divsChild>
                                    <w:div w:id="17759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642166">
          <w:marLeft w:val="0"/>
          <w:marRight w:val="0"/>
          <w:marTop w:val="0"/>
          <w:marBottom w:val="0"/>
          <w:divBdr>
            <w:top w:val="none" w:sz="0" w:space="0" w:color="auto"/>
            <w:left w:val="none" w:sz="0" w:space="0" w:color="auto"/>
            <w:bottom w:val="none" w:sz="0" w:space="0" w:color="auto"/>
            <w:right w:val="none" w:sz="0" w:space="0" w:color="auto"/>
          </w:divBdr>
          <w:divsChild>
            <w:div w:id="413622717">
              <w:marLeft w:val="0"/>
              <w:marRight w:val="0"/>
              <w:marTop w:val="0"/>
              <w:marBottom w:val="0"/>
              <w:divBdr>
                <w:top w:val="none" w:sz="0" w:space="0" w:color="auto"/>
                <w:left w:val="none" w:sz="0" w:space="0" w:color="auto"/>
                <w:bottom w:val="none" w:sz="0" w:space="0" w:color="auto"/>
                <w:right w:val="none" w:sz="0" w:space="0" w:color="auto"/>
              </w:divBdr>
              <w:divsChild>
                <w:div w:id="351805119">
                  <w:marLeft w:val="0"/>
                  <w:marRight w:val="0"/>
                  <w:marTop w:val="0"/>
                  <w:marBottom w:val="0"/>
                  <w:divBdr>
                    <w:top w:val="none" w:sz="0" w:space="0" w:color="auto"/>
                    <w:left w:val="none" w:sz="0" w:space="0" w:color="auto"/>
                    <w:bottom w:val="none" w:sz="0" w:space="0" w:color="auto"/>
                    <w:right w:val="none" w:sz="0" w:space="0" w:color="auto"/>
                  </w:divBdr>
                  <w:divsChild>
                    <w:div w:id="1032415790">
                      <w:marLeft w:val="0"/>
                      <w:marRight w:val="0"/>
                      <w:marTop w:val="0"/>
                      <w:marBottom w:val="0"/>
                      <w:divBdr>
                        <w:top w:val="none" w:sz="0" w:space="0" w:color="auto"/>
                        <w:left w:val="none" w:sz="0" w:space="0" w:color="auto"/>
                        <w:bottom w:val="none" w:sz="0" w:space="0" w:color="auto"/>
                        <w:right w:val="none" w:sz="0" w:space="0" w:color="auto"/>
                      </w:divBdr>
                      <w:divsChild>
                        <w:div w:id="1139959423">
                          <w:marLeft w:val="0"/>
                          <w:marRight w:val="0"/>
                          <w:marTop w:val="0"/>
                          <w:marBottom w:val="0"/>
                          <w:divBdr>
                            <w:top w:val="none" w:sz="0" w:space="0" w:color="auto"/>
                            <w:left w:val="none" w:sz="0" w:space="0" w:color="auto"/>
                            <w:bottom w:val="none" w:sz="0" w:space="0" w:color="auto"/>
                            <w:right w:val="none" w:sz="0" w:space="0" w:color="auto"/>
                          </w:divBdr>
                          <w:divsChild>
                            <w:div w:id="1655794957">
                              <w:marLeft w:val="0"/>
                              <w:marRight w:val="0"/>
                              <w:marTop w:val="0"/>
                              <w:marBottom w:val="0"/>
                              <w:divBdr>
                                <w:top w:val="none" w:sz="0" w:space="0" w:color="auto"/>
                                <w:left w:val="none" w:sz="0" w:space="0" w:color="auto"/>
                                <w:bottom w:val="none" w:sz="0" w:space="0" w:color="auto"/>
                                <w:right w:val="none" w:sz="0" w:space="0" w:color="auto"/>
                              </w:divBdr>
                              <w:divsChild>
                                <w:div w:id="1428422678">
                                  <w:marLeft w:val="0"/>
                                  <w:marRight w:val="0"/>
                                  <w:marTop w:val="0"/>
                                  <w:marBottom w:val="0"/>
                                  <w:divBdr>
                                    <w:top w:val="none" w:sz="0" w:space="0" w:color="auto"/>
                                    <w:left w:val="none" w:sz="0" w:space="0" w:color="auto"/>
                                    <w:bottom w:val="none" w:sz="0" w:space="0" w:color="auto"/>
                                    <w:right w:val="none" w:sz="0" w:space="0" w:color="auto"/>
                                  </w:divBdr>
                                  <w:divsChild>
                                    <w:div w:id="1645085945">
                                      <w:marLeft w:val="0"/>
                                      <w:marRight w:val="0"/>
                                      <w:marTop w:val="0"/>
                                      <w:marBottom w:val="0"/>
                                      <w:divBdr>
                                        <w:top w:val="none" w:sz="0" w:space="0" w:color="auto"/>
                                        <w:left w:val="none" w:sz="0" w:space="0" w:color="auto"/>
                                        <w:bottom w:val="none" w:sz="0" w:space="0" w:color="auto"/>
                                        <w:right w:val="none" w:sz="0" w:space="0" w:color="auto"/>
                                      </w:divBdr>
                                      <w:divsChild>
                                        <w:div w:id="1644382235">
                                          <w:marLeft w:val="0"/>
                                          <w:marRight w:val="0"/>
                                          <w:marTop w:val="0"/>
                                          <w:marBottom w:val="0"/>
                                          <w:divBdr>
                                            <w:top w:val="none" w:sz="0" w:space="0" w:color="auto"/>
                                            <w:left w:val="none" w:sz="0" w:space="0" w:color="auto"/>
                                            <w:bottom w:val="none" w:sz="0" w:space="0" w:color="auto"/>
                                            <w:right w:val="none" w:sz="0" w:space="0" w:color="auto"/>
                                          </w:divBdr>
                                          <w:divsChild>
                                            <w:div w:id="1604797594">
                                              <w:marLeft w:val="0"/>
                                              <w:marRight w:val="0"/>
                                              <w:marTop w:val="0"/>
                                              <w:marBottom w:val="0"/>
                                              <w:divBdr>
                                                <w:top w:val="none" w:sz="0" w:space="0" w:color="auto"/>
                                                <w:left w:val="none" w:sz="0" w:space="0" w:color="auto"/>
                                                <w:bottom w:val="none" w:sz="0" w:space="0" w:color="auto"/>
                                                <w:right w:val="none" w:sz="0" w:space="0" w:color="auto"/>
                                              </w:divBdr>
                                              <w:divsChild>
                                                <w:div w:id="1238132562">
                                                  <w:marLeft w:val="0"/>
                                                  <w:marRight w:val="0"/>
                                                  <w:marTop w:val="0"/>
                                                  <w:marBottom w:val="0"/>
                                                  <w:divBdr>
                                                    <w:top w:val="none" w:sz="0" w:space="0" w:color="auto"/>
                                                    <w:left w:val="none" w:sz="0" w:space="0" w:color="auto"/>
                                                    <w:bottom w:val="none" w:sz="0" w:space="0" w:color="auto"/>
                                                    <w:right w:val="none" w:sz="0" w:space="0" w:color="auto"/>
                                                  </w:divBdr>
                                                  <w:divsChild>
                                                    <w:div w:id="12697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446086">
      <w:bodyDiv w:val="1"/>
      <w:marLeft w:val="0"/>
      <w:marRight w:val="0"/>
      <w:marTop w:val="0"/>
      <w:marBottom w:val="0"/>
      <w:divBdr>
        <w:top w:val="none" w:sz="0" w:space="0" w:color="auto"/>
        <w:left w:val="none" w:sz="0" w:space="0" w:color="auto"/>
        <w:bottom w:val="none" w:sz="0" w:space="0" w:color="auto"/>
        <w:right w:val="none" w:sz="0" w:space="0" w:color="auto"/>
      </w:divBdr>
      <w:divsChild>
        <w:div w:id="223226715">
          <w:marLeft w:val="0"/>
          <w:marRight w:val="0"/>
          <w:marTop w:val="0"/>
          <w:marBottom w:val="0"/>
          <w:divBdr>
            <w:top w:val="none" w:sz="0" w:space="0" w:color="auto"/>
            <w:left w:val="none" w:sz="0" w:space="0" w:color="auto"/>
            <w:bottom w:val="none" w:sz="0" w:space="0" w:color="auto"/>
            <w:right w:val="none" w:sz="0" w:space="0" w:color="auto"/>
          </w:divBdr>
          <w:divsChild>
            <w:div w:id="1680355762">
              <w:marLeft w:val="0"/>
              <w:marRight w:val="0"/>
              <w:marTop w:val="0"/>
              <w:marBottom w:val="0"/>
              <w:divBdr>
                <w:top w:val="none" w:sz="0" w:space="0" w:color="auto"/>
                <w:left w:val="none" w:sz="0" w:space="0" w:color="auto"/>
                <w:bottom w:val="none" w:sz="0" w:space="0" w:color="auto"/>
                <w:right w:val="none" w:sz="0" w:space="0" w:color="auto"/>
              </w:divBdr>
              <w:divsChild>
                <w:div w:id="1211768883">
                  <w:marLeft w:val="0"/>
                  <w:marRight w:val="0"/>
                  <w:marTop w:val="0"/>
                  <w:marBottom w:val="0"/>
                  <w:divBdr>
                    <w:top w:val="none" w:sz="0" w:space="0" w:color="auto"/>
                    <w:left w:val="none" w:sz="0" w:space="0" w:color="auto"/>
                    <w:bottom w:val="none" w:sz="0" w:space="0" w:color="auto"/>
                    <w:right w:val="none" w:sz="0" w:space="0" w:color="auto"/>
                  </w:divBdr>
                  <w:divsChild>
                    <w:div w:id="10125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2-024-02523-z" TargetMode="External"/><Relationship Id="rId18" Type="http://schemas.openxmlformats.org/officeDocument/2006/relationships/hyperlink" Target="https://doi.org/10.1016/j.cell.2018.12.015" TargetMode="External"/><Relationship Id="rId26" Type="http://schemas.openxmlformats.org/officeDocument/2006/relationships/hyperlink" Target="https://doi.org/10.1038/s41588-025-02124-2" TargetMode="External"/><Relationship Id="rId39" Type="http://schemas.openxmlformats.org/officeDocument/2006/relationships/footer" Target="footer3.xml"/><Relationship Id="rId21" Type="http://schemas.openxmlformats.org/officeDocument/2006/relationships/hyperlink" Target="https://doi.org/10.1101/gr.200535.115" TargetMode="External"/><Relationship Id="rId34" Type="http://schemas.openxmlformats.org/officeDocument/2006/relationships/header" Target="header1.xml"/><Relationship Id="rId7" Type="http://schemas.openxmlformats.org/officeDocument/2006/relationships/hyperlink" Target="https://doi.org/10.1038/nbt.3300" TargetMode="External"/><Relationship Id="rId2" Type="http://schemas.openxmlformats.org/officeDocument/2006/relationships/settings" Target="settings.xml"/><Relationship Id="rId16" Type="http://schemas.openxmlformats.org/officeDocument/2006/relationships/hyperlink" Target="https://doi.org/10.1038/nature11247" TargetMode="External"/><Relationship Id="rId20" Type="http://schemas.openxmlformats.org/officeDocument/2006/relationships/hyperlink" Target="https://doi.org/10.1038/s41586-020-2308-7" TargetMode="External"/><Relationship Id="rId29" Type="http://schemas.openxmlformats.org/officeDocument/2006/relationships/hyperlink" Target="https://doi.org/10.1016/j.ajhg.2017.06.00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38/nature15393" TargetMode="External"/><Relationship Id="rId11" Type="http://schemas.openxmlformats.org/officeDocument/2006/relationships/hyperlink" Target="https://doi.org/10.1038/s41587-022-01435-7" TargetMode="External"/><Relationship Id="rId24" Type="http://schemas.openxmlformats.org/officeDocument/2006/relationships/hyperlink" Target="https://doi.org/10.1038/gim.2015.30" TargetMode="External"/><Relationship Id="rId32" Type="http://schemas.openxmlformats.org/officeDocument/2006/relationships/hyperlink" Target="https://doi.org/10.1016/j.inffus.2018.09.01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38/nbt.3437" TargetMode="External"/><Relationship Id="rId23" Type="http://schemas.openxmlformats.org/officeDocument/2006/relationships/hyperlink" Target="https://doi.org/10.1038/s41592-018-0229-2" TargetMode="External"/><Relationship Id="rId28" Type="http://schemas.openxmlformats.org/officeDocument/2006/relationships/hyperlink" Target="https://doi.org/10.1093/nar/gkab1061" TargetMode="External"/><Relationship Id="rId36" Type="http://schemas.openxmlformats.org/officeDocument/2006/relationships/footer" Target="footer1.xml"/><Relationship Id="rId10" Type="http://schemas.openxmlformats.org/officeDocument/2006/relationships/hyperlink" Target="https://doi.org/10.1186/s41073-019-0064-8" TargetMode="External"/><Relationship Id="rId19" Type="http://schemas.openxmlformats.org/officeDocument/2006/relationships/hyperlink" Target="https://doi.org/10.1038/s41586-021-03819-2" TargetMode="External"/><Relationship Id="rId31" Type="http://schemas.openxmlformats.org/officeDocument/2006/relationships/hyperlink" Target="https://doi.org/10.1038/nmeth.3547" TargetMode="External"/><Relationship Id="rId4" Type="http://schemas.openxmlformats.org/officeDocument/2006/relationships/footnotes" Target="footnotes.xml"/><Relationship Id="rId9" Type="http://schemas.openxmlformats.org/officeDocument/2006/relationships/hyperlink" Target="https://doi.org/10.1038/s41592-021-01252-x" TargetMode="External"/><Relationship Id="rId14" Type="http://schemas.openxmlformats.org/officeDocument/2006/relationships/hyperlink" Target="https://doi.org/10.1186/s13073-019-0689-8" TargetMode="External"/><Relationship Id="rId22" Type="http://schemas.openxmlformats.org/officeDocument/2006/relationships/hyperlink" Target="https://doi.org/10.1038/s41586-023-05896-x" TargetMode="External"/><Relationship Id="rId27" Type="http://schemas.openxmlformats.org/officeDocument/2006/relationships/hyperlink" Target="https://doi.org/10.1038/s41586-021-03828-1" TargetMode="External"/><Relationship Id="rId30" Type="http://schemas.openxmlformats.org/officeDocument/2006/relationships/hyperlink" Target="https://doi.org/10.1038/nbt.4233" TargetMode="External"/><Relationship Id="rId35" Type="http://schemas.openxmlformats.org/officeDocument/2006/relationships/header" Target="header2.xml"/><Relationship Id="rId8" Type="http://schemas.openxmlformats.org/officeDocument/2006/relationships/hyperlink" Target="https://doi.org/10.15252/msb.20156651" TargetMode="External"/><Relationship Id="rId3" Type="http://schemas.openxmlformats.org/officeDocument/2006/relationships/webSettings" Target="webSettings.xml"/><Relationship Id="rId12" Type="http://schemas.openxmlformats.org/officeDocument/2006/relationships/hyperlink" Target="https://doi.org/10.1126/science.adg7492" TargetMode="External"/><Relationship Id="rId17" Type="http://schemas.openxmlformats.org/officeDocument/2006/relationships/hyperlink" Target="https://doi.org/10.1126/science.aaz1776" TargetMode="External"/><Relationship Id="rId25" Type="http://schemas.openxmlformats.org/officeDocument/2006/relationships/hyperlink" Target="https://doi.org/10.1038/nature14248" TargetMode="External"/><Relationship Id="rId33" Type="http://schemas.openxmlformats.org/officeDocument/2006/relationships/hyperlink" Target="https://doi.org/10.1038/s41588-018-0295-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9470</Words>
  <Characters>53983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3</cp:revision>
  <dcterms:created xsi:type="dcterms:W3CDTF">2026-05-01T17:42:00Z</dcterms:created>
  <dcterms:modified xsi:type="dcterms:W3CDTF">2026-05-02T13:35:00Z</dcterms:modified>
</cp:coreProperties>
</file>