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6C1036" w14:textId="77777777" w:rsidR="00804CA9" w:rsidRDefault="00992A30">
      <w:pPr>
        <w:ind w:left="360" w:hanging="360"/>
        <w:jc w:val="both"/>
        <w:rPr>
          <w:rFonts w:ascii="Times New Roman" w:eastAsia="Times New Roman" w:hAnsi="Times New Roman" w:cs="Times New Roman"/>
          <w:b/>
          <w:bCs/>
        </w:rPr>
      </w:pPr>
      <w:r>
        <w:rPr>
          <w:rFonts w:ascii="Times New Roman" w:eastAsia="Times New Roman" w:hAnsi="Times New Roman" w:cs="Times New Roman"/>
          <w:b/>
          <w:bCs/>
        </w:rPr>
        <w:t>Human–AI interface design for optimizing trust and cognitive workload in high-stakes decision-making contexts</w:t>
      </w:r>
    </w:p>
    <w:p w14:paraId="1B6C7473" w14:textId="11CA3273" w:rsidR="001B3D13" w:rsidRDefault="001B3D13">
      <w:pPr>
        <w:ind w:left="360" w:hanging="360"/>
        <w:jc w:val="right"/>
        <w:rPr>
          <w:rFonts w:ascii="Times New Roman" w:eastAsia="Times New Roman" w:hAnsi="Times New Roman" w:cs="Times New Roman"/>
          <w:b/>
          <w:bCs/>
        </w:rPr>
      </w:pPr>
    </w:p>
    <w:p w14:paraId="14FE15A9" w14:textId="77777777" w:rsidR="00A61745" w:rsidRDefault="00A61745">
      <w:pPr>
        <w:ind w:left="360" w:hanging="360"/>
        <w:jc w:val="right"/>
        <w:rPr>
          <w:rFonts w:ascii="Times New Roman" w:eastAsia="Times New Roman" w:hAnsi="Times New Roman" w:cs="Times New Roman"/>
          <w:b/>
          <w:bCs/>
        </w:rPr>
      </w:pPr>
      <w:bookmarkStart w:id="0" w:name="_GoBack"/>
      <w:bookmarkEnd w:id="0"/>
    </w:p>
    <w:p w14:paraId="2ABC1919"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Abstract</w:t>
      </w:r>
    </w:p>
    <w:p w14:paraId="0D1BAC33"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High-stakes decision environments continue to face cognitive demands, accountability pressures, and uncertainty, even as artificial intelligence is increasingly embedd</w:t>
      </w:r>
      <w:r>
        <w:rPr>
          <w:rFonts w:ascii="Times New Roman" w:eastAsia="Times New Roman" w:hAnsi="Times New Roman" w:cs="Times New Roman"/>
        </w:rPr>
        <w:t>ed in decision support across critical infrastructure, safety-sensitive domains, healthcare, and aviation. This scoping review examines how the design of the human–AI interface shapes cognitive workload, safe reliance, and trust calibration in such setting</w:t>
      </w:r>
      <w:r>
        <w:rPr>
          <w:rFonts w:ascii="Times New Roman" w:eastAsia="Times New Roman" w:hAnsi="Times New Roman" w:cs="Times New Roman"/>
        </w:rPr>
        <w:t>s. A PCC-framed question and a PRISMA-</w:t>
      </w:r>
      <w:proofErr w:type="spellStart"/>
      <w:r>
        <w:rPr>
          <w:rFonts w:ascii="Times New Roman" w:eastAsia="Times New Roman" w:hAnsi="Times New Roman" w:cs="Times New Roman"/>
        </w:rPr>
        <w:t>ScR</w:t>
      </w:r>
      <w:proofErr w:type="spellEnd"/>
      <w:r>
        <w:rPr>
          <w:rFonts w:ascii="Times New Roman" w:eastAsia="Times New Roman" w:hAnsi="Times New Roman" w:cs="Times New Roman"/>
        </w:rPr>
        <w:t>-guided process were used to identify studies published between 2015 and 2025 in Scopus, PubMed/MEDLINE, Web of Science, ScienceDirect, IEEE Xplore, and the ACM Digital Library. These were screened and charted using</w:t>
      </w:r>
      <w:r>
        <w:rPr>
          <w:rFonts w:ascii="Times New Roman" w:eastAsia="Times New Roman" w:hAnsi="Times New Roman" w:cs="Times New Roman"/>
        </w:rPr>
        <w:t xml:space="preserve"> an extraction template. Seventeen studies were </w:t>
      </w:r>
      <w:proofErr w:type="spellStart"/>
      <w:r>
        <w:rPr>
          <w:rFonts w:ascii="Times New Roman" w:eastAsia="Times New Roman" w:hAnsi="Times New Roman" w:cs="Times New Roman"/>
        </w:rPr>
        <w:t>synthesised</w:t>
      </w:r>
      <w:proofErr w:type="spellEnd"/>
      <w:r>
        <w:rPr>
          <w:rFonts w:ascii="Times New Roman" w:eastAsia="Times New Roman" w:hAnsi="Times New Roman" w:cs="Times New Roman"/>
        </w:rPr>
        <w:t>, covering clinical decision support, sepsis management, medical imaging, power-grid congestion management, telehealth diagnosis, air traffic control, medication verification, and maintenance. In m</w:t>
      </w:r>
      <w:r>
        <w:rPr>
          <w:rFonts w:ascii="Times New Roman" w:eastAsia="Times New Roman" w:hAnsi="Times New Roman" w:cs="Times New Roman"/>
        </w:rPr>
        <w:t>ost situations, interfaces that combine interactive verification, actionable uncertainty communication, selective transparency, and support for intermediate reasoning were more effective than static explanation designs; however, deployment remains constrai</w:t>
      </w:r>
      <w:r>
        <w:rPr>
          <w:rFonts w:ascii="Times New Roman" w:eastAsia="Times New Roman" w:hAnsi="Times New Roman" w:cs="Times New Roman"/>
        </w:rPr>
        <w:t>ned by methodological heterogeneity, limited real-world integration, small samples, limited real-world integration and inconsistent measures. This review proposes a thematic structure linking deliberative support, oversight-preserving design, and calibrate</w:t>
      </w:r>
      <w:r>
        <w:rPr>
          <w:rFonts w:ascii="Times New Roman" w:eastAsia="Times New Roman" w:hAnsi="Times New Roman" w:cs="Times New Roman"/>
        </w:rPr>
        <w:t>d transparency, and offers a roadmap for embedding trustworthy human–AI interfaces in safety-critical decision support systems.</w:t>
      </w:r>
    </w:p>
    <w:p w14:paraId="79A9EB61" w14:textId="77777777" w:rsidR="00804CA9" w:rsidRDefault="00992A30">
      <w:pPr>
        <w:numPr>
          <w:ilvl w:val="1"/>
          <w:numId w:val="1"/>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Problem and context/background</w:t>
      </w:r>
    </w:p>
    <w:p w14:paraId="06B7D3B0"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 xml:space="preserve">Artificial intelligence (AI) is transitioning beyond experimental development into decision </w:t>
      </w:r>
      <w:r>
        <w:rPr>
          <w:rFonts w:ascii="Times New Roman" w:eastAsia="Times New Roman" w:hAnsi="Times New Roman" w:cs="Times New Roman"/>
        </w:rPr>
        <w:t>support in medicine, transport, and other safety-driven areas, where mistakes might adversely affect patients, jeopardize operations, or endanger populations. It is interesting due to the capability to transform highly complicated, large-volume data and pr</w:t>
      </w:r>
      <w:r>
        <w:rPr>
          <w:rFonts w:ascii="Times New Roman" w:eastAsia="Times New Roman" w:hAnsi="Times New Roman" w:cs="Times New Roman"/>
        </w:rPr>
        <w:t>ovide fast predictions or guidance that can promote diagnosis accuracy, efficiency, and early detection of risks (</w:t>
      </w:r>
      <w:proofErr w:type="spellStart"/>
      <w:r>
        <w:rPr>
          <w:rFonts w:ascii="Times New Roman" w:eastAsia="Times New Roman" w:hAnsi="Times New Roman" w:cs="Times New Roman"/>
        </w:rPr>
        <w:t>Topol</w:t>
      </w:r>
      <w:proofErr w:type="spellEnd"/>
      <w:r>
        <w:rPr>
          <w:rFonts w:ascii="Times New Roman" w:eastAsia="Times New Roman" w:hAnsi="Times New Roman" w:cs="Times New Roman"/>
        </w:rPr>
        <w:t>, 2019; Perez-</w:t>
      </w:r>
      <w:proofErr w:type="spellStart"/>
      <w:r>
        <w:rPr>
          <w:rFonts w:ascii="Times New Roman" w:eastAsia="Times New Roman" w:hAnsi="Times New Roman" w:cs="Times New Roman"/>
        </w:rPr>
        <w:t>Cerrolaza</w:t>
      </w:r>
      <w:proofErr w:type="spellEnd"/>
      <w:r>
        <w:rPr>
          <w:rFonts w:ascii="Times New Roman" w:eastAsia="Times New Roman" w:hAnsi="Times New Roman" w:cs="Times New Roman"/>
        </w:rPr>
        <w:t xml:space="preserve"> et al., 2024). Prediction is not only a characteristic of high-stakes work. It demands professionals to make evid</w:t>
      </w:r>
      <w:r>
        <w:rPr>
          <w:rFonts w:ascii="Times New Roman" w:eastAsia="Times New Roman" w:hAnsi="Times New Roman" w:cs="Times New Roman"/>
        </w:rPr>
        <w:t>ence interpretations, calculate the degree of uncertainty, balance evidence against contradicting information, and make actions and choices that are institutionally, ethically, and legally accountable. This is why the question is no longer about the abilit</w:t>
      </w:r>
      <w:r>
        <w:rPr>
          <w:rFonts w:ascii="Times New Roman" w:eastAsia="Times New Roman" w:hAnsi="Times New Roman" w:cs="Times New Roman"/>
        </w:rPr>
        <w:t>y of AI to do well in terms of computation, but about whether the system can fit into a decision environment, being safe, intelligible, operationally useful (</w:t>
      </w:r>
      <w:proofErr w:type="spellStart"/>
      <w:r>
        <w:rPr>
          <w:rFonts w:ascii="Times New Roman" w:eastAsia="Times New Roman" w:hAnsi="Times New Roman" w:cs="Times New Roman"/>
        </w:rPr>
        <w:t>Labkoff</w:t>
      </w:r>
      <w:proofErr w:type="spellEnd"/>
      <w:r>
        <w:rPr>
          <w:rFonts w:ascii="Times New Roman" w:eastAsia="Times New Roman" w:hAnsi="Times New Roman" w:cs="Times New Roman"/>
        </w:rPr>
        <w:t xml:space="preserve"> et al., 2024; van </w:t>
      </w:r>
      <w:proofErr w:type="spellStart"/>
      <w:r>
        <w:rPr>
          <w:rFonts w:ascii="Times New Roman" w:eastAsia="Times New Roman" w:hAnsi="Times New Roman" w:cs="Times New Roman"/>
        </w:rPr>
        <w:t>Baalen</w:t>
      </w:r>
      <w:proofErr w:type="spellEnd"/>
      <w:r>
        <w:rPr>
          <w:rFonts w:ascii="Times New Roman" w:eastAsia="Times New Roman" w:hAnsi="Times New Roman" w:cs="Times New Roman"/>
        </w:rPr>
        <w:t xml:space="preserve"> et al., 2021).</w:t>
      </w:r>
    </w:p>
    <w:p w14:paraId="5540CCB2"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 xml:space="preserve">The issue is exacerbated by the fact that most of </w:t>
      </w:r>
      <w:r>
        <w:rPr>
          <w:rFonts w:ascii="Times New Roman" w:eastAsia="Times New Roman" w:hAnsi="Times New Roman" w:cs="Times New Roman"/>
        </w:rPr>
        <w:t>the AI tools are deployed to overloaded systems. In intensive care, as an example, monitoring is intensive, alarm-saturated, and cognitively demanding. Employees will have to control several devices, give preference to conflicting signals, operate under ti</w:t>
      </w:r>
      <w:r>
        <w:rPr>
          <w:rFonts w:ascii="Times New Roman" w:eastAsia="Times New Roman" w:hAnsi="Times New Roman" w:cs="Times New Roman"/>
        </w:rPr>
        <w:t>me restrictions, and contend with ease-of-use issues, visualization constraints, and poor alarm culture (</w:t>
      </w:r>
      <w:proofErr w:type="spellStart"/>
      <w:r>
        <w:rPr>
          <w:rFonts w:ascii="Times New Roman" w:eastAsia="Times New Roman" w:hAnsi="Times New Roman" w:cs="Times New Roman"/>
        </w:rPr>
        <w:t>Poncette</w:t>
      </w:r>
      <w:proofErr w:type="spellEnd"/>
      <w:r>
        <w:rPr>
          <w:rFonts w:ascii="Times New Roman" w:eastAsia="Times New Roman" w:hAnsi="Times New Roman" w:cs="Times New Roman"/>
        </w:rPr>
        <w:t xml:space="preserve"> et al., 2019; </w:t>
      </w:r>
      <w:proofErr w:type="spellStart"/>
      <w:r>
        <w:rPr>
          <w:rFonts w:ascii="Times New Roman" w:eastAsia="Times New Roman" w:hAnsi="Times New Roman" w:cs="Times New Roman"/>
        </w:rPr>
        <w:t>Mosch</w:t>
      </w:r>
      <w:proofErr w:type="spellEnd"/>
      <w:r>
        <w:rPr>
          <w:rFonts w:ascii="Times New Roman" w:eastAsia="Times New Roman" w:hAnsi="Times New Roman" w:cs="Times New Roman"/>
        </w:rPr>
        <w:t xml:space="preserve"> et al., 2024). As a new support tool is brought to such a place, no attention is paid to it, and the extra complication wi</w:t>
      </w:r>
      <w:r>
        <w:rPr>
          <w:rFonts w:ascii="Times New Roman" w:eastAsia="Times New Roman" w:hAnsi="Times New Roman" w:cs="Times New Roman"/>
        </w:rPr>
        <w:t>ll only serve to harm the quality of decisions, not enhance it. The combination of AI and proven safety engineering processes is an unsolved problem in industrial and transportation contexts, especially in the areas where human control should still coexist</w:t>
      </w:r>
      <w:r>
        <w:rPr>
          <w:rFonts w:ascii="Times New Roman" w:eastAsia="Times New Roman" w:hAnsi="Times New Roman" w:cs="Times New Roman"/>
        </w:rPr>
        <w:t xml:space="preserve"> with more autonomous operations (Perez-</w:t>
      </w:r>
      <w:proofErr w:type="spellStart"/>
      <w:r>
        <w:rPr>
          <w:rFonts w:ascii="Times New Roman" w:eastAsia="Times New Roman" w:hAnsi="Times New Roman" w:cs="Times New Roman"/>
        </w:rPr>
        <w:t>Cerrolaza</w:t>
      </w:r>
      <w:proofErr w:type="spellEnd"/>
      <w:r>
        <w:rPr>
          <w:rFonts w:ascii="Times New Roman" w:eastAsia="Times New Roman" w:hAnsi="Times New Roman" w:cs="Times New Roman"/>
        </w:rPr>
        <w:t xml:space="preserve"> et al., 2024). The study of agent </w:t>
      </w:r>
      <w:r>
        <w:rPr>
          <w:rFonts w:ascii="Times New Roman" w:eastAsia="Times New Roman" w:hAnsi="Times New Roman" w:cs="Times New Roman"/>
        </w:rPr>
        <w:lastRenderedPageBreak/>
        <w:t>transparency in safety-critical work demonstrates that the connection between disclosure of information, situation awareness, workload, and operator performance is conseque</w:t>
      </w:r>
      <w:r>
        <w:rPr>
          <w:rFonts w:ascii="Times New Roman" w:eastAsia="Times New Roman" w:hAnsi="Times New Roman" w:cs="Times New Roman"/>
        </w:rPr>
        <w:t>ntial and contextual, in particular, when agent transparency is not integrated into the main task interface (van de Merwe et al., 2024).</w:t>
      </w:r>
    </w:p>
    <w:p w14:paraId="31F9A6A0"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Another contradiction is that technical openness does not necessarily translate into human comprehension or warranted t</w:t>
      </w:r>
      <w:r>
        <w:rPr>
          <w:rFonts w:ascii="Times New Roman" w:eastAsia="Times New Roman" w:hAnsi="Times New Roman" w:cs="Times New Roman"/>
        </w:rPr>
        <w:t xml:space="preserve">rust. AI explanations are typically based on technical intuition as opposed to how individuals really create, assess, and </w:t>
      </w:r>
      <w:proofErr w:type="spellStart"/>
      <w:r>
        <w:rPr>
          <w:rFonts w:ascii="Times New Roman" w:eastAsia="Times New Roman" w:hAnsi="Times New Roman" w:cs="Times New Roman"/>
        </w:rPr>
        <w:t>utilise</w:t>
      </w:r>
      <w:proofErr w:type="spellEnd"/>
      <w:r>
        <w:rPr>
          <w:rFonts w:ascii="Times New Roman" w:eastAsia="Times New Roman" w:hAnsi="Times New Roman" w:cs="Times New Roman"/>
        </w:rPr>
        <w:t xml:space="preserve"> explanations in social and cognitive contexts (Miller, 2019). </w:t>
      </w:r>
      <w:proofErr w:type="spellStart"/>
      <w:r>
        <w:rPr>
          <w:rFonts w:ascii="Times New Roman" w:eastAsia="Times New Roman" w:hAnsi="Times New Roman" w:cs="Times New Roman"/>
        </w:rPr>
        <w:t>Explainability</w:t>
      </w:r>
      <w:proofErr w:type="spellEnd"/>
      <w:r>
        <w:rPr>
          <w:rFonts w:ascii="Times New Roman" w:eastAsia="Times New Roman" w:hAnsi="Times New Roman" w:cs="Times New Roman"/>
        </w:rPr>
        <w:t xml:space="preserve"> has thus far been suggested as a pathway to credi</w:t>
      </w:r>
      <w:r>
        <w:rPr>
          <w:rFonts w:ascii="Times New Roman" w:eastAsia="Times New Roman" w:hAnsi="Times New Roman" w:cs="Times New Roman"/>
        </w:rPr>
        <w:t xml:space="preserve">ble AI in the field of healthcare, though its advantages are conditional and partial. Markus et al. (2021) describe that </w:t>
      </w:r>
      <w:proofErr w:type="spellStart"/>
      <w:r>
        <w:rPr>
          <w:rFonts w:ascii="Times New Roman" w:eastAsia="Times New Roman" w:hAnsi="Times New Roman" w:cs="Times New Roman"/>
        </w:rPr>
        <w:t>explainability</w:t>
      </w:r>
      <w:proofErr w:type="spellEnd"/>
      <w:r>
        <w:rPr>
          <w:rFonts w:ascii="Times New Roman" w:eastAsia="Times New Roman" w:hAnsi="Times New Roman" w:cs="Times New Roman"/>
        </w:rPr>
        <w:t xml:space="preserve"> should correspond to the purpose of its requirement, and </w:t>
      </w:r>
      <w:proofErr w:type="spellStart"/>
      <w:r>
        <w:rPr>
          <w:rFonts w:ascii="Times New Roman" w:eastAsia="Times New Roman" w:hAnsi="Times New Roman" w:cs="Times New Roman"/>
        </w:rPr>
        <w:t>Ghassemi</w:t>
      </w:r>
      <w:proofErr w:type="spellEnd"/>
      <w:r>
        <w:rPr>
          <w:rFonts w:ascii="Times New Roman" w:eastAsia="Times New Roman" w:hAnsi="Times New Roman" w:cs="Times New Roman"/>
        </w:rPr>
        <w:t xml:space="preserve"> et al. (2021) warn that the existing </w:t>
      </w:r>
      <w:proofErr w:type="spellStart"/>
      <w:r>
        <w:rPr>
          <w:rFonts w:ascii="Times New Roman" w:eastAsia="Times New Roman" w:hAnsi="Times New Roman" w:cs="Times New Roman"/>
        </w:rPr>
        <w:t>explainability</w:t>
      </w:r>
      <w:proofErr w:type="spellEnd"/>
      <w:r>
        <w:rPr>
          <w:rFonts w:ascii="Times New Roman" w:eastAsia="Times New Roman" w:hAnsi="Times New Roman" w:cs="Times New Roman"/>
        </w:rPr>
        <w:t xml:space="preserve"> te</w:t>
      </w:r>
      <w:r>
        <w:rPr>
          <w:rFonts w:ascii="Times New Roman" w:eastAsia="Times New Roman" w:hAnsi="Times New Roman" w:cs="Times New Roman"/>
        </w:rPr>
        <w:t xml:space="preserve">chniques cannot be seen as adequate measures that protect decision-support at the patient level. This puts questions of implementation at the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stage. The safe adoption will rely not just on the claims of model performance but also on selection, accep</w:t>
      </w:r>
      <w:r>
        <w:rPr>
          <w:rFonts w:ascii="Times New Roman" w:eastAsia="Times New Roman" w:hAnsi="Times New Roman" w:cs="Times New Roman"/>
        </w:rPr>
        <w:t>tance testing, commissioning, training, and quality assurance (</w:t>
      </w:r>
      <w:proofErr w:type="spellStart"/>
      <w:r>
        <w:rPr>
          <w:rFonts w:ascii="Times New Roman" w:eastAsia="Times New Roman" w:hAnsi="Times New Roman" w:cs="Times New Roman"/>
        </w:rPr>
        <w:t>Mahadevaiah</w:t>
      </w:r>
      <w:proofErr w:type="spellEnd"/>
      <w:r>
        <w:rPr>
          <w:rFonts w:ascii="Times New Roman" w:eastAsia="Times New Roman" w:hAnsi="Times New Roman" w:cs="Times New Roman"/>
        </w:rPr>
        <w:t xml:space="preserve"> et al., 2020). It also relies on minimizing unnecessary loads as well as enhancing record keeping, validation, surveillance, and governance throughout the life cycle of AI-powered c</w:t>
      </w:r>
      <w:r>
        <w:rPr>
          <w:rFonts w:ascii="Times New Roman" w:eastAsia="Times New Roman" w:hAnsi="Times New Roman" w:cs="Times New Roman"/>
        </w:rPr>
        <w:t>linical decision support (</w:t>
      </w:r>
      <w:proofErr w:type="spellStart"/>
      <w:r>
        <w:rPr>
          <w:rFonts w:ascii="Times New Roman" w:eastAsia="Times New Roman" w:hAnsi="Times New Roman" w:cs="Times New Roman"/>
        </w:rPr>
        <w:t>Graafsma</w:t>
      </w:r>
      <w:proofErr w:type="spellEnd"/>
      <w:r>
        <w:rPr>
          <w:rFonts w:ascii="Times New Roman" w:eastAsia="Times New Roman" w:hAnsi="Times New Roman" w:cs="Times New Roman"/>
        </w:rPr>
        <w:t xml:space="preserve"> et al., 2024; </w:t>
      </w:r>
      <w:proofErr w:type="spellStart"/>
      <w:r>
        <w:rPr>
          <w:rFonts w:ascii="Times New Roman" w:eastAsia="Times New Roman" w:hAnsi="Times New Roman" w:cs="Times New Roman"/>
        </w:rPr>
        <w:t>Labkoff</w:t>
      </w:r>
      <w:proofErr w:type="spellEnd"/>
      <w:r>
        <w:rPr>
          <w:rFonts w:ascii="Times New Roman" w:eastAsia="Times New Roman" w:hAnsi="Times New Roman" w:cs="Times New Roman"/>
        </w:rPr>
        <w:t xml:space="preserve"> et al., 2024). Collectively, the literature presents AI-based high-stakes decision support as a sociotechnical issue of interface, workflow, responsibility, and oversight as opposed to a </w:t>
      </w:r>
      <w:proofErr w:type="gramStart"/>
      <w:r>
        <w:rPr>
          <w:rFonts w:ascii="Times New Roman" w:eastAsia="Times New Roman" w:hAnsi="Times New Roman" w:cs="Times New Roman"/>
        </w:rPr>
        <w:t>challenges</w:t>
      </w:r>
      <w:proofErr w:type="gramEnd"/>
      <w:r>
        <w:rPr>
          <w:rFonts w:ascii="Times New Roman" w:eastAsia="Times New Roman" w:hAnsi="Times New Roman" w:cs="Times New Roman"/>
        </w:rPr>
        <w:t xml:space="preserve"> a</w:t>
      </w:r>
      <w:r>
        <w:rPr>
          <w:rFonts w:ascii="Times New Roman" w:eastAsia="Times New Roman" w:hAnsi="Times New Roman" w:cs="Times New Roman"/>
        </w:rPr>
        <w:t xml:space="preserve"> solitary algorithmic issue, hence warranting a detailed overview of the human-AI interface design in the context of consequential decision making and uncertainty.</w:t>
      </w:r>
    </w:p>
    <w:p w14:paraId="517A196C" w14:textId="77777777" w:rsidR="00804CA9" w:rsidRDefault="00992A30">
      <w:pPr>
        <w:numPr>
          <w:ilvl w:val="1"/>
          <w:numId w:val="1"/>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Aim and Research Questions</w:t>
      </w:r>
    </w:p>
    <w:p w14:paraId="542E2125"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The aim is to map how human–AI interface design influences cognit</w:t>
      </w:r>
      <w:r>
        <w:rPr>
          <w:rFonts w:ascii="Times New Roman" w:eastAsia="Times New Roman" w:hAnsi="Times New Roman" w:cs="Times New Roman"/>
        </w:rPr>
        <w:t>ive workload, trust calibration, and safe use of AI-supported decision systems in high-stakes settings, and to identify the interface features that appear most helpful for effective decision quality and human oversight.</w:t>
      </w:r>
    </w:p>
    <w:p w14:paraId="08BA6B47"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Research Questions</w:t>
      </w:r>
    </w:p>
    <w:p w14:paraId="72B2264E" w14:textId="77777777" w:rsidR="00804CA9" w:rsidRDefault="00992A3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What interface </w:t>
      </w:r>
      <w:r>
        <w:rPr>
          <w:rFonts w:ascii="Times New Roman" w:eastAsia="Times New Roman" w:hAnsi="Times New Roman" w:cs="Times New Roman"/>
          <w:color w:val="000000"/>
        </w:rPr>
        <w:t>features are being used in high-stakes human–AI systems?</w:t>
      </w:r>
    </w:p>
    <w:p w14:paraId="37748249" w14:textId="77777777" w:rsidR="00804CA9" w:rsidRDefault="00992A3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How do these interface designs affect trust, reliance, workload, and performance?</w:t>
      </w:r>
    </w:p>
    <w:p w14:paraId="0BB6FF6B" w14:textId="77777777" w:rsidR="00804CA9" w:rsidRDefault="00992A30">
      <w:pPr>
        <w:numPr>
          <w:ilvl w:val="0"/>
          <w:numId w:val="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What design patterns help prevent over-reliance and support safer human oversight?</w:t>
      </w:r>
    </w:p>
    <w:p w14:paraId="067157A2"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2. Methodology</w:t>
      </w:r>
    </w:p>
    <w:p w14:paraId="453B9853"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2.1 Design and Repo</w:t>
      </w:r>
      <w:r>
        <w:rPr>
          <w:rFonts w:ascii="Times New Roman" w:eastAsia="Times New Roman" w:hAnsi="Times New Roman" w:cs="Times New Roman"/>
          <w:b/>
          <w:bCs/>
        </w:rPr>
        <w:t>rting Standards</w:t>
      </w:r>
    </w:p>
    <w:p w14:paraId="1A4F8404"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This scoping review employed the Population–Concept–Context (PCC) framework to map the evaluative patterns, characteristics, and breadth of human–AI interface design for trust calibration and cognitive workload management in high-stakes dec</w:t>
      </w:r>
      <w:r>
        <w:rPr>
          <w:rFonts w:ascii="Times New Roman" w:eastAsia="Times New Roman" w:hAnsi="Times New Roman" w:cs="Times New Roman"/>
        </w:rPr>
        <w:t>ision-making settings. This study was reported in accordance with the PRISMA extension for scoping reviews (PRISMA-</w:t>
      </w:r>
      <w:proofErr w:type="spellStart"/>
      <w:r>
        <w:rPr>
          <w:rFonts w:ascii="Times New Roman" w:eastAsia="Times New Roman" w:hAnsi="Times New Roman" w:cs="Times New Roman"/>
        </w:rPr>
        <w:t>ScR</w:t>
      </w:r>
      <w:proofErr w:type="spellEnd"/>
      <w:r>
        <w:rPr>
          <w:rFonts w:ascii="Times New Roman" w:eastAsia="Times New Roman" w:hAnsi="Times New Roman" w:cs="Times New Roman"/>
        </w:rPr>
        <w:t xml:space="preserve">), which included the transparent documentation of study selection decisions and use of a flow diagram. We did not undertake any protocol </w:t>
      </w:r>
      <w:r>
        <w:rPr>
          <w:rFonts w:ascii="Times New Roman" w:eastAsia="Times New Roman" w:hAnsi="Times New Roman" w:cs="Times New Roman"/>
        </w:rPr>
        <w:t xml:space="preserve">registration. In line with the scoping review's aim to </w:t>
      </w:r>
      <w:proofErr w:type="spellStart"/>
      <w:r>
        <w:rPr>
          <w:rFonts w:ascii="Times New Roman" w:eastAsia="Times New Roman" w:hAnsi="Times New Roman" w:cs="Times New Roman"/>
        </w:rPr>
        <w:t>synthesise</w:t>
      </w:r>
      <w:proofErr w:type="spellEnd"/>
      <w:r>
        <w:rPr>
          <w:rFonts w:ascii="Times New Roman" w:eastAsia="Times New Roman" w:hAnsi="Times New Roman" w:cs="Times New Roman"/>
        </w:rPr>
        <w:t>, classify, and describe evidence rather than estimate pooled intervention effects, no formal risk of bias or critical appraisal was performed. Methodological safeguards included a multi-data</w:t>
      </w:r>
      <w:r>
        <w:rPr>
          <w:rFonts w:ascii="Times New Roman" w:eastAsia="Times New Roman" w:hAnsi="Times New Roman" w:cs="Times New Roman"/>
        </w:rPr>
        <w:t xml:space="preserve">base search strategy, staged screening, explicit eligibility criteria, and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data charting.</w:t>
      </w:r>
    </w:p>
    <w:p w14:paraId="77885B73"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2.2 Eligibility Criteria</w:t>
      </w:r>
    </w:p>
    <w:p w14:paraId="45294E5A"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The inclusive PCC criteria were applied to identify empirical studies in which human decision-makers interacted with AI-supporte</w:t>
      </w:r>
      <w:r>
        <w:rPr>
          <w:rFonts w:ascii="Times New Roman" w:eastAsia="Times New Roman" w:hAnsi="Times New Roman" w:cs="Times New Roman"/>
        </w:rPr>
        <w:t>d interfaces in safety-critical environments. Non-empirical, purely technical reports and low-</w:t>
      </w:r>
      <w:r>
        <w:rPr>
          <w:rFonts w:ascii="Times New Roman" w:eastAsia="Times New Roman" w:hAnsi="Times New Roman" w:cs="Times New Roman"/>
        </w:rPr>
        <w:lastRenderedPageBreak/>
        <w:t>stakes were excluded. A comprehensive literature review was conducted with rigorous screening to ensure that the included studies strictly adhered to the study de</w:t>
      </w:r>
      <w:r>
        <w:rPr>
          <w:rFonts w:ascii="Times New Roman" w:eastAsia="Times New Roman" w:hAnsi="Times New Roman" w:cs="Times New Roman"/>
        </w:rPr>
        <w:t xml:space="preserve">sign criteria and predetermined PCC. This review included studies that had been checked by other scientists, and that looked at how people and AI can work together in important areas like healthcare, critical infrastructure, aviation, security operations, </w:t>
      </w:r>
      <w:r>
        <w:rPr>
          <w:rFonts w:ascii="Times New Roman" w:eastAsia="Times New Roman" w:hAnsi="Times New Roman" w:cs="Times New Roman"/>
        </w:rPr>
        <w:t xml:space="preserve">and emergency management. Measurable outcomes related to cognitive workload, trust, task </w:t>
      </w:r>
      <w:proofErr w:type="spellStart"/>
      <w:proofErr w:type="gramStart"/>
      <w:r>
        <w:rPr>
          <w:rFonts w:ascii="Times New Roman" w:eastAsia="Times New Roman" w:hAnsi="Times New Roman" w:cs="Times New Roman"/>
        </w:rPr>
        <w:t>performance,reliance</w:t>
      </w:r>
      <w:proofErr w:type="spellEnd"/>
      <w:proofErr w:type="gramEnd"/>
      <w:r>
        <w:rPr>
          <w:rFonts w:ascii="Times New Roman" w:eastAsia="Times New Roman" w:hAnsi="Times New Roman" w:cs="Times New Roman"/>
        </w:rPr>
        <w:t>, usability,  or comparable human factors variables had to be reported in the studies. Table 1 details the inclusion and exclusion criteria applied</w:t>
      </w:r>
      <w:r>
        <w:rPr>
          <w:rFonts w:ascii="Times New Roman" w:eastAsia="Times New Roman" w:hAnsi="Times New Roman" w:cs="Times New Roman"/>
        </w:rPr>
        <w:t xml:space="preserve"> in this study.</w:t>
      </w:r>
    </w:p>
    <w:p w14:paraId="5CAFAB09"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Table 1. Eligibility Criteria according to the PCC Framework</w:t>
      </w:r>
    </w:p>
    <w:tbl>
      <w:tblPr>
        <w:tblStyle w:val="a"/>
        <w:tblW w:w="10350" w:type="dxa"/>
        <w:jc w:val="center"/>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620"/>
        <w:gridCol w:w="5268"/>
        <w:gridCol w:w="3462"/>
      </w:tblGrid>
      <w:tr w:rsidR="00804CA9" w14:paraId="233A762B" w14:textId="77777777">
        <w:trPr>
          <w:jc w:val="center"/>
        </w:trPr>
        <w:tc>
          <w:tcPr>
            <w:tcW w:w="1620" w:type="dxa"/>
          </w:tcPr>
          <w:p w14:paraId="5A415807" w14:textId="77777777" w:rsidR="00804CA9" w:rsidRDefault="00992A3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w:t>
            </w:r>
          </w:p>
        </w:tc>
        <w:tc>
          <w:tcPr>
            <w:tcW w:w="5268" w:type="dxa"/>
          </w:tcPr>
          <w:p w14:paraId="17DAE3A1" w14:textId="77777777" w:rsidR="00804CA9" w:rsidRDefault="00992A3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Inclusion Criteria</w:t>
            </w:r>
          </w:p>
        </w:tc>
        <w:tc>
          <w:tcPr>
            <w:tcW w:w="3462" w:type="dxa"/>
          </w:tcPr>
          <w:p w14:paraId="435B5E39" w14:textId="77777777" w:rsidR="00804CA9" w:rsidRDefault="00992A3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Exclusion Criteria</w:t>
            </w:r>
          </w:p>
        </w:tc>
      </w:tr>
      <w:tr w:rsidR="00804CA9" w14:paraId="1D78EAA1" w14:textId="77777777">
        <w:trPr>
          <w:jc w:val="center"/>
        </w:trPr>
        <w:tc>
          <w:tcPr>
            <w:tcW w:w="1620" w:type="dxa"/>
          </w:tcPr>
          <w:p w14:paraId="14D411B6"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w:t>
            </w:r>
          </w:p>
        </w:tc>
        <w:tc>
          <w:tcPr>
            <w:tcW w:w="5268" w:type="dxa"/>
          </w:tcPr>
          <w:p w14:paraId="26B82E8A"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Human decision-makers in high-stakes settings, including clinicians, pharmacists, therapists, air traffic controllers, </w:t>
            </w:r>
            <w:r>
              <w:rPr>
                <w:rFonts w:ascii="Times New Roman" w:eastAsia="Times New Roman" w:hAnsi="Times New Roman" w:cs="Times New Roman"/>
                <w:sz w:val="24"/>
                <w:szCs w:val="24"/>
              </w:rPr>
              <w:t>power-grid operators, emergency personnel, security analysts, and similar professional users</w:t>
            </w:r>
          </w:p>
        </w:tc>
        <w:tc>
          <w:tcPr>
            <w:tcW w:w="3462" w:type="dxa"/>
          </w:tcPr>
          <w:p w14:paraId="02DE1930"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Non-human studies; animal or simulation-only technical studies without human participants</w:t>
            </w:r>
          </w:p>
        </w:tc>
      </w:tr>
      <w:tr w:rsidR="00804CA9" w14:paraId="752AD9F8" w14:textId="77777777">
        <w:trPr>
          <w:jc w:val="center"/>
        </w:trPr>
        <w:tc>
          <w:tcPr>
            <w:tcW w:w="1620" w:type="dxa"/>
          </w:tcPr>
          <w:p w14:paraId="42CDF211"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Concept </w:t>
            </w:r>
          </w:p>
        </w:tc>
        <w:tc>
          <w:tcPr>
            <w:tcW w:w="5268" w:type="dxa"/>
          </w:tcPr>
          <w:p w14:paraId="71CC3CE8"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Human–AI interface design features such as explanations, confid</w:t>
            </w:r>
            <w:r>
              <w:rPr>
                <w:rFonts w:ascii="Times New Roman" w:eastAsia="Times New Roman" w:hAnsi="Times New Roman" w:cs="Times New Roman"/>
                <w:sz w:val="24"/>
                <w:szCs w:val="24"/>
              </w:rPr>
              <w:t>ence displays, uncertainty visualizations, rationale displays, counterfactuals, what-if tools, alerting structures, and oversight controls</w:t>
            </w:r>
          </w:p>
        </w:tc>
        <w:tc>
          <w:tcPr>
            <w:tcW w:w="3462" w:type="dxa"/>
          </w:tcPr>
          <w:p w14:paraId="43497C1A"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AI model development studies with no interface or interaction component; general trust papers with no measurable inte</w:t>
            </w:r>
            <w:r>
              <w:rPr>
                <w:rFonts w:ascii="Times New Roman" w:eastAsia="Times New Roman" w:hAnsi="Times New Roman" w:cs="Times New Roman"/>
                <w:sz w:val="24"/>
                <w:szCs w:val="24"/>
              </w:rPr>
              <w:t>rface evaluation</w:t>
            </w:r>
          </w:p>
        </w:tc>
      </w:tr>
      <w:tr w:rsidR="00804CA9" w14:paraId="55605C8C" w14:textId="77777777">
        <w:trPr>
          <w:jc w:val="center"/>
        </w:trPr>
        <w:tc>
          <w:tcPr>
            <w:tcW w:w="1620" w:type="dxa"/>
          </w:tcPr>
          <w:p w14:paraId="07F8E7D9"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Context</w:t>
            </w:r>
          </w:p>
        </w:tc>
        <w:tc>
          <w:tcPr>
            <w:tcW w:w="5268" w:type="dxa"/>
          </w:tcPr>
          <w:p w14:paraId="72E320E8"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High-stakes decision-support environments where errors may produce serious clinical, operational, safety, or security consequences</w:t>
            </w:r>
          </w:p>
        </w:tc>
        <w:tc>
          <w:tcPr>
            <w:tcW w:w="3462" w:type="dxa"/>
          </w:tcPr>
          <w:p w14:paraId="0E726383"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Low-stakes consumer, educational, entertainment, or general productivity settings</w:t>
            </w:r>
          </w:p>
        </w:tc>
      </w:tr>
      <w:tr w:rsidR="00804CA9" w14:paraId="676934A0" w14:textId="77777777">
        <w:trPr>
          <w:jc w:val="center"/>
        </w:trPr>
        <w:tc>
          <w:tcPr>
            <w:tcW w:w="1620" w:type="dxa"/>
          </w:tcPr>
          <w:p w14:paraId="6CCB5D65"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Study Designs</w:t>
            </w:r>
          </w:p>
        </w:tc>
        <w:tc>
          <w:tcPr>
            <w:tcW w:w="5268" w:type="dxa"/>
          </w:tcPr>
          <w:p w14:paraId="50CAD32B"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w:t>
            </w:r>
            <w:r>
              <w:rPr>
                <w:rFonts w:ascii="Times New Roman" w:eastAsia="Times New Roman" w:hAnsi="Times New Roman" w:cs="Times New Roman"/>
                <w:sz w:val="24"/>
                <w:szCs w:val="24"/>
              </w:rPr>
              <w:t>perimental studies, quasi-experimental studies, randomized studies, observational evaluations, mixed-methods studies, design evaluations, and implementation studies</w:t>
            </w:r>
          </w:p>
        </w:tc>
        <w:tc>
          <w:tcPr>
            <w:tcW w:w="3462" w:type="dxa"/>
          </w:tcPr>
          <w:p w14:paraId="1013EC9E"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Narrative reviews, systematic reviews, scoping reviews, editorials, letters, commentaries, </w:t>
            </w:r>
            <w:r>
              <w:rPr>
                <w:rFonts w:ascii="Times New Roman" w:eastAsia="Times New Roman" w:hAnsi="Times New Roman" w:cs="Times New Roman"/>
                <w:sz w:val="24"/>
                <w:szCs w:val="24"/>
              </w:rPr>
              <w:t>protocols without results, and conference abstracts without full text</w:t>
            </w:r>
          </w:p>
        </w:tc>
      </w:tr>
      <w:tr w:rsidR="00804CA9" w14:paraId="18EDB18C" w14:textId="77777777">
        <w:trPr>
          <w:jc w:val="center"/>
        </w:trPr>
        <w:tc>
          <w:tcPr>
            <w:tcW w:w="1620" w:type="dxa"/>
          </w:tcPr>
          <w:p w14:paraId="4A14C60D"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Outcomes</w:t>
            </w:r>
          </w:p>
        </w:tc>
        <w:tc>
          <w:tcPr>
            <w:tcW w:w="5268" w:type="dxa"/>
          </w:tcPr>
          <w:p w14:paraId="19FEB817"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Any of: trust, reliance, trust calibration, cognitive workload, NASA-TLX, usability, task performance, accuracy, response time, error detection, alert handling, or oversight be</w:t>
            </w:r>
            <w:r>
              <w:rPr>
                <w:rFonts w:ascii="Times New Roman" w:eastAsia="Times New Roman" w:hAnsi="Times New Roman" w:cs="Times New Roman"/>
                <w:sz w:val="24"/>
                <w:szCs w:val="24"/>
              </w:rPr>
              <w:t>havior</w:t>
            </w:r>
          </w:p>
        </w:tc>
        <w:tc>
          <w:tcPr>
            <w:tcW w:w="3462" w:type="dxa"/>
          </w:tcPr>
          <w:p w14:paraId="5BE91C40"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Studies not reporting user-centered, behavioral, or performance-related outcomes</w:t>
            </w:r>
          </w:p>
        </w:tc>
      </w:tr>
      <w:tr w:rsidR="00804CA9" w14:paraId="7C713AF3" w14:textId="77777777">
        <w:trPr>
          <w:jc w:val="center"/>
        </w:trPr>
        <w:tc>
          <w:tcPr>
            <w:tcW w:w="1620" w:type="dxa"/>
          </w:tcPr>
          <w:p w14:paraId="71C109B8"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Publication Type</w:t>
            </w:r>
          </w:p>
        </w:tc>
        <w:tc>
          <w:tcPr>
            <w:tcW w:w="5268" w:type="dxa"/>
          </w:tcPr>
          <w:p w14:paraId="159ECB16"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Peer-reviewed journal articles and full peer-reviewed conference papers</w:t>
            </w:r>
          </w:p>
        </w:tc>
        <w:tc>
          <w:tcPr>
            <w:tcW w:w="3462" w:type="dxa"/>
          </w:tcPr>
          <w:p w14:paraId="07E1CC8F"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Preprints, theses, reports, guidelines, books/chapters, and other grey </w:t>
            </w:r>
            <w:r>
              <w:rPr>
                <w:rFonts w:ascii="Times New Roman" w:eastAsia="Times New Roman" w:hAnsi="Times New Roman" w:cs="Times New Roman"/>
                <w:sz w:val="24"/>
                <w:szCs w:val="24"/>
              </w:rPr>
              <w:t>literature</w:t>
            </w:r>
          </w:p>
        </w:tc>
      </w:tr>
      <w:tr w:rsidR="00804CA9" w14:paraId="7828F666" w14:textId="77777777">
        <w:trPr>
          <w:jc w:val="center"/>
        </w:trPr>
        <w:tc>
          <w:tcPr>
            <w:tcW w:w="1620" w:type="dxa"/>
          </w:tcPr>
          <w:p w14:paraId="1EEF748A"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Language</w:t>
            </w:r>
          </w:p>
        </w:tc>
        <w:tc>
          <w:tcPr>
            <w:tcW w:w="5268" w:type="dxa"/>
          </w:tcPr>
          <w:p w14:paraId="63569A23"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English</w:t>
            </w:r>
          </w:p>
        </w:tc>
        <w:tc>
          <w:tcPr>
            <w:tcW w:w="3462" w:type="dxa"/>
          </w:tcPr>
          <w:p w14:paraId="0C641FE9"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Non-English</w:t>
            </w:r>
          </w:p>
        </w:tc>
      </w:tr>
      <w:tr w:rsidR="00804CA9" w14:paraId="7EA35294" w14:textId="77777777">
        <w:trPr>
          <w:jc w:val="center"/>
        </w:trPr>
        <w:tc>
          <w:tcPr>
            <w:tcW w:w="1620" w:type="dxa"/>
          </w:tcPr>
          <w:p w14:paraId="56818F34"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Timeframe</w:t>
            </w:r>
          </w:p>
        </w:tc>
        <w:tc>
          <w:tcPr>
            <w:tcW w:w="5268" w:type="dxa"/>
          </w:tcPr>
          <w:p w14:paraId="435FAA50"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2010-2025</w:t>
            </w:r>
          </w:p>
        </w:tc>
        <w:tc>
          <w:tcPr>
            <w:tcW w:w="3462" w:type="dxa"/>
          </w:tcPr>
          <w:p w14:paraId="48159288" w14:textId="77777777" w:rsidR="00804CA9" w:rsidRDefault="00992A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Studies published outside this timeframe</w:t>
            </w:r>
          </w:p>
        </w:tc>
      </w:tr>
    </w:tbl>
    <w:p w14:paraId="5AA3FC8A" w14:textId="77777777" w:rsidR="00804CA9" w:rsidRDefault="00804CA9">
      <w:pPr>
        <w:jc w:val="both"/>
        <w:rPr>
          <w:rFonts w:ascii="Times New Roman" w:eastAsia="Times New Roman" w:hAnsi="Times New Roman" w:cs="Times New Roman"/>
          <w:b/>
          <w:bCs/>
        </w:rPr>
      </w:pPr>
    </w:p>
    <w:p w14:paraId="601C0EE0"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2.3 Information Sources</w:t>
      </w:r>
    </w:p>
    <w:p w14:paraId="2F7391ED"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The retrieval process was restricted to peer-reviewed literature indexed in selected databases that cover human–computer intera</w:t>
      </w:r>
      <w:r>
        <w:rPr>
          <w:rFonts w:ascii="Times New Roman" w:eastAsia="Times New Roman" w:hAnsi="Times New Roman" w:cs="Times New Roman"/>
        </w:rPr>
        <w:t>ction, human factors, decision support, artificial intelligence, and safety-critical systems particularly well. The following bibliographic databases were consulted: Web of Science, IEEE Xplore, Scopus, PubMed/MEDLINE, the ACM Digital Library, and ScienceD</w:t>
      </w:r>
      <w:r>
        <w:rPr>
          <w:rFonts w:ascii="Times New Roman" w:eastAsia="Times New Roman" w:hAnsi="Times New Roman" w:cs="Times New Roman"/>
        </w:rPr>
        <w:t xml:space="preserve">irect. Consultation of grey literature sources was not undertaken. All retrieved records were exported to reference management software for de-duplication. This </w:t>
      </w:r>
      <w:r>
        <w:rPr>
          <w:rFonts w:ascii="Times New Roman" w:eastAsia="Times New Roman" w:hAnsi="Times New Roman" w:cs="Times New Roman"/>
        </w:rPr>
        <w:lastRenderedPageBreak/>
        <w:t>was followed by staged screening at the title/abstract and full-text levels, applying the prede</w:t>
      </w:r>
      <w:r>
        <w:rPr>
          <w:rFonts w:ascii="Times New Roman" w:eastAsia="Times New Roman" w:hAnsi="Times New Roman" w:cs="Times New Roman"/>
        </w:rPr>
        <w:t>fined eligibility criteria.</w:t>
      </w:r>
    </w:p>
    <w:p w14:paraId="7FB1EFCF"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2.4 Search Strategy</w:t>
      </w:r>
    </w:p>
    <w:p w14:paraId="6849D9AC"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 xml:space="preserve">A series of database-specific search strategies were developed by combining controlled vocabulary terms with free-text keywords covering the PCC elements of the review, where available. The search strategy </w:t>
      </w:r>
      <w:proofErr w:type="spellStart"/>
      <w:r>
        <w:rPr>
          <w:rFonts w:ascii="Times New Roman" w:eastAsia="Times New Roman" w:hAnsi="Times New Roman" w:cs="Times New Roman"/>
        </w:rPr>
        <w:t>prioritised</w:t>
      </w:r>
      <w:proofErr w:type="spellEnd"/>
      <w:r>
        <w:rPr>
          <w:rFonts w:ascii="Times New Roman" w:eastAsia="Times New Roman" w:hAnsi="Times New Roman" w:cs="Times New Roman"/>
        </w:rPr>
        <w:t xml:space="preserve"> sensitivity over specificity to capture the broad range of relevant interface studies across domains. The search terms were </w:t>
      </w:r>
      <w:proofErr w:type="spellStart"/>
      <w:r>
        <w:rPr>
          <w:rFonts w:ascii="Times New Roman" w:eastAsia="Times New Roman" w:hAnsi="Times New Roman" w:cs="Times New Roman"/>
        </w:rPr>
        <w:t>centred</w:t>
      </w:r>
      <w:proofErr w:type="spellEnd"/>
      <w:r>
        <w:rPr>
          <w:rFonts w:ascii="Times New Roman" w:eastAsia="Times New Roman" w:hAnsi="Times New Roman" w:cs="Times New Roman"/>
        </w:rPr>
        <w:t xml:space="preserve"> on four key concept categories: interface or explanation design, trust or workload outcomes, human-AI </w:t>
      </w:r>
      <w:proofErr w:type="gramStart"/>
      <w:r>
        <w:rPr>
          <w:rFonts w:ascii="Times New Roman" w:eastAsia="Times New Roman" w:hAnsi="Times New Roman" w:cs="Times New Roman"/>
        </w:rPr>
        <w:t>interactio</w:t>
      </w:r>
      <w:r>
        <w:rPr>
          <w:rFonts w:ascii="Times New Roman" w:eastAsia="Times New Roman" w:hAnsi="Times New Roman" w:cs="Times New Roman"/>
        </w:rPr>
        <w:t>n,  and</w:t>
      </w:r>
      <w:proofErr w:type="gramEnd"/>
      <w:r>
        <w:rPr>
          <w:rFonts w:ascii="Times New Roman" w:eastAsia="Times New Roman" w:hAnsi="Times New Roman" w:cs="Times New Roman"/>
        </w:rPr>
        <w:t xml:space="preserve"> high-stakes contexts. Terms included combinations of: 'AI-assisted decision making', 'human–AI interface</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automation bias', 'human–AI interaction',  'decision support', 'over-reliance', 'explainable AI', 'NASA-TLX',  'confidence display', 'uncer</w:t>
      </w:r>
      <w:r>
        <w:rPr>
          <w:rFonts w:ascii="Times New Roman" w:eastAsia="Times New Roman" w:hAnsi="Times New Roman" w:cs="Times New Roman"/>
        </w:rPr>
        <w:t xml:space="preserve">tainty </w:t>
      </w:r>
      <w:proofErr w:type="spellStart"/>
      <w:r>
        <w:rPr>
          <w:rFonts w:ascii="Times New Roman" w:eastAsia="Times New Roman" w:hAnsi="Times New Roman" w:cs="Times New Roman"/>
        </w:rPr>
        <w:t>visualisation</w:t>
      </w:r>
      <w:proofErr w:type="spellEnd"/>
      <w:r>
        <w:rPr>
          <w:rFonts w:ascii="Times New Roman" w:eastAsia="Times New Roman" w:hAnsi="Times New Roman" w:cs="Times New Roman"/>
        </w:rPr>
        <w:t>', 'trust calibration', 'cognitive workload', 'mental workload', 'healthcare', 'aviation', 'emergency management', 'critical infrastructure', and 'security'. Filters were applied where appropriate to restrict the results to peer-reviewe</w:t>
      </w:r>
      <w:r>
        <w:rPr>
          <w:rFonts w:ascii="Times New Roman" w:eastAsia="Times New Roman" w:hAnsi="Times New Roman" w:cs="Times New Roman"/>
        </w:rPr>
        <w:t>d, English-language studies focusing on humans published between 2015 and 2025. Table 2 illustrates the search logic applied across databases.</w:t>
      </w:r>
    </w:p>
    <w:p w14:paraId="743096E3"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Table 2. Search Strategy Structure</w:t>
      </w:r>
    </w:p>
    <w:tbl>
      <w:tblPr>
        <w:tblStyle w:val="a0"/>
        <w:tblW w:w="11160" w:type="dxa"/>
        <w:jc w:val="center"/>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340"/>
        <w:gridCol w:w="8820"/>
      </w:tblGrid>
      <w:tr w:rsidR="00804CA9" w14:paraId="53C378CD" w14:textId="77777777">
        <w:trPr>
          <w:trHeight w:val="404"/>
          <w:jc w:val="center"/>
        </w:trPr>
        <w:tc>
          <w:tcPr>
            <w:tcW w:w="2340" w:type="dxa"/>
            <w:tcBorders>
              <w:top w:val="single" w:sz="4" w:space="0" w:color="000000"/>
              <w:bottom w:val="single" w:sz="4" w:space="0" w:color="000000"/>
            </w:tcBorders>
          </w:tcPr>
          <w:p w14:paraId="071988E4" w14:textId="77777777" w:rsidR="00804CA9" w:rsidRDefault="00992A30">
            <w:pPr>
              <w:spacing w:after="1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Database</w:t>
            </w:r>
          </w:p>
        </w:tc>
        <w:tc>
          <w:tcPr>
            <w:tcW w:w="8820" w:type="dxa"/>
            <w:tcBorders>
              <w:top w:val="single" w:sz="4" w:space="0" w:color="000000"/>
              <w:bottom w:val="single" w:sz="4" w:space="0" w:color="000000"/>
            </w:tcBorders>
          </w:tcPr>
          <w:p w14:paraId="79A54135" w14:textId="77777777" w:rsidR="00804CA9" w:rsidRDefault="00992A30">
            <w:pPr>
              <w:spacing w:after="1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Search string</w:t>
            </w:r>
          </w:p>
        </w:tc>
      </w:tr>
      <w:tr w:rsidR="00804CA9" w14:paraId="4A1FB511" w14:textId="77777777">
        <w:trPr>
          <w:jc w:val="center"/>
        </w:trPr>
        <w:tc>
          <w:tcPr>
            <w:tcW w:w="2340" w:type="dxa"/>
            <w:tcBorders>
              <w:top w:val="single" w:sz="4" w:space="0" w:color="000000"/>
            </w:tcBorders>
          </w:tcPr>
          <w:p w14:paraId="0CFE35B4" w14:textId="77777777" w:rsidR="00804CA9" w:rsidRDefault="00992A30">
            <w:pPr>
              <w:spacing w:after="16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Scopus</w:t>
            </w:r>
          </w:p>
        </w:tc>
        <w:tc>
          <w:tcPr>
            <w:tcW w:w="8820" w:type="dxa"/>
            <w:tcBorders>
              <w:top w:val="single" w:sz="4" w:space="0" w:color="000000"/>
            </w:tcBorders>
          </w:tcPr>
          <w:p w14:paraId="0F5EFD15" w14:textId="77777777" w:rsidR="00804CA9" w:rsidRDefault="00992A30">
            <w:pPr>
              <w:spacing w:after="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(“human-AI interaction” OR “human-AI interface”</w:t>
            </w:r>
            <w:r>
              <w:rPr>
                <w:rFonts w:ascii="Times New Roman" w:eastAsia="Times New Roman" w:hAnsi="Times New Roman" w:cs="Times New Roman"/>
                <w:sz w:val="24"/>
                <w:szCs w:val="24"/>
              </w:rPr>
              <w:t xml:space="preserve"> OR “AI-assisted decision making” OR “decision support”) AND (explain* OR “confidence display” OR uncertainty OR “counterfactual explanation” OR transparency OR oversight) AND (trust OR reliance OR “trust calibration” OR workload OR “mental workload” OR “N</w:t>
            </w:r>
            <w:r>
              <w:rPr>
                <w:rFonts w:ascii="Times New Roman" w:eastAsia="Times New Roman" w:hAnsi="Times New Roman" w:cs="Times New Roman"/>
                <w:sz w:val="24"/>
                <w:szCs w:val="24"/>
              </w:rPr>
              <w:t>ASA-TLX”) AND (healthcare OR aviation OR “critical infrastructure” OR security OR “emergency management”)</w:t>
            </w:r>
          </w:p>
        </w:tc>
      </w:tr>
      <w:tr w:rsidR="00804CA9" w14:paraId="1AD39AD9" w14:textId="77777777">
        <w:trPr>
          <w:jc w:val="center"/>
        </w:trPr>
        <w:tc>
          <w:tcPr>
            <w:tcW w:w="2340" w:type="dxa"/>
          </w:tcPr>
          <w:p w14:paraId="3D722DFC" w14:textId="77777777" w:rsidR="00804CA9" w:rsidRDefault="00992A30">
            <w:pPr>
              <w:spacing w:after="16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Web of Science</w:t>
            </w:r>
          </w:p>
        </w:tc>
        <w:tc>
          <w:tcPr>
            <w:tcW w:w="8820" w:type="dxa"/>
          </w:tcPr>
          <w:p w14:paraId="605AEA19" w14:textId="77777777" w:rsidR="00804CA9" w:rsidRDefault="00992A30">
            <w:pPr>
              <w:spacing w:after="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(“human-AI interaction” OR “decision support”) AND (explain* OR uncertainty OR transparency OR “confidence display”) AND (trust OR</w:t>
            </w:r>
            <w:r>
              <w:rPr>
                <w:rFonts w:ascii="Times New Roman" w:eastAsia="Times New Roman" w:hAnsi="Times New Roman" w:cs="Times New Roman"/>
                <w:sz w:val="24"/>
                <w:szCs w:val="24"/>
              </w:rPr>
              <w:t xml:space="preserve"> reliance OR workload OR “mental workload”) AND (healthcare OR aviation OR security OR “critical infrastructure”))</w:t>
            </w:r>
          </w:p>
        </w:tc>
      </w:tr>
      <w:tr w:rsidR="00804CA9" w14:paraId="6A8F5201" w14:textId="77777777">
        <w:trPr>
          <w:jc w:val="center"/>
        </w:trPr>
        <w:tc>
          <w:tcPr>
            <w:tcW w:w="2340" w:type="dxa"/>
          </w:tcPr>
          <w:p w14:paraId="42E84189" w14:textId="77777777" w:rsidR="00804CA9" w:rsidRDefault="00992A30">
            <w:pPr>
              <w:spacing w:after="160"/>
              <w:jc w:val="center"/>
              <w:rPr>
                <w:rFonts w:ascii="Times New Roman" w:eastAsia="Times New Roman" w:hAnsi="Times New Roman" w:cs="Times New Roman"/>
                <w:b/>
                <w:bCs/>
                <w:sz w:val="24"/>
                <w:szCs w:val="24"/>
              </w:rPr>
            </w:pPr>
            <w:r>
              <w:rPr>
                <w:rFonts w:ascii="Times New Roman" w:eastAsia="Times New Roman" w:hAnsi="Times New Roman" w:cs="Times New Roman"/>
                <w:b/>
                <w:bCs/>
              </w:rPr>
              <w:t>IEEE Xplore</w:t>
            </w:r>
          </w:p>
        </w:tc>
        <w:tc>
          <w:tcPr>
            <w:tcW w:w="8820" w:type="dxa"/>
          </w:tcPr>
          <w:p w14:paraId="63270247" w14:textId="77777777" w:rsidR="00804CA9" w:rsidRDefault="00992A30">
            <w:pPr>
              <w:spacing w:after="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(“All Metadata”: “human-AI interaction” OR “AI-assisted decision making”) AND (“trust calibration” OR workload OR “automation bi</w:t>
            </w:r>
            <w:r>
              <w:rPr>
                <w:rFonts w:ascii="Times New Roman" w:eastAsia="Times New Roman" w:hAnsi="Times New Roman" w:cs="Times New Roman"/>
                <w:sz w:val="24"/>
                <w:szCs w:val="24"/>
              </w:rPr>
              <w:t>as” OR transparency) AND (“decision support” OR healthcare OR aviation OR infrastructure)</w:t>
            </w:r>
          </w:p>
        </w:tc>
      </w:tr>
      <w:tr w:rsidR="00804CA9" w14:paraId="49E42923" w14:textId="77777777">
        <w:trPr>
          <w:jc w:val="center"/>
        </w:trPr>
        <w:tc>
          <w:tcPr>
            <w:tcW w:w="2340" w:type="dxa"/>
          </w:tcPr>
          <w:p w14:paraId="1749E601"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ACM Digital Library</w:t>
            </w:r>
          </w:p>
        </w:tc>
        <w:tc>
          <w:tcPr>
            <w:tcW w:w="8820" w:type="dxa"/>
          </w:tcPr>
          <w:p w14:paraId="09096E96" w14:textId="77777777" w:rsidR="00804CA9" w:rsidRDefault="00992A30">
            <w:pPr>
              <w:jc w:val="center"/>
              <w:rPr>
                <w:rFonts w:ascii="Times New Roman" w:eastAsia="Times New Roman" w:hAnsi="Times New Roman" w:cs="Times New Roman"/>
              </w:rPr>
            </w:pPr>
            <w:r>
              <w:rPr>
                <w:rFonts w:ascii="Times New Roman" w:eastAsia="Times New Roman" w:hAnsi="Times New Roman" w:cs="Times New Roman"/>
              </w:rPr>
              <w:t xml:space="preserve">(“human-AI interface” OR “AI-assisted decision-making”) AND (explanation OR confidence OR uncertainty OR transparency) AND (trust OR reliance OR </w:t>
            </w:r>
            <w:r>
              <w:rPr>
                <w:rFonts w:ascii="Times New Roman" w:eastAsia="Times New Roman" w:hAnsi="Times New Roman" w:cs="Times New Roman"/>
              </w:rPr>
              <w:t>workload)</w:t>
            </w:r>
          </w:p>
        </w:tc>
      </w:tr>
      <w:tr w:rsidR="00804CA9" w14:paraId="2CB54D70" w14:textId="77777777">
        <w:trPr>
          <w:jc w:val="center"/>
        </w:trPr>
        <w:tc>
          <w:tcPr>
            <w:tcW w:w="2340" w:type="dxa"/>
          </w:tcPr>
          <w:p w14:paraId="510B09D7" w14:textId="77777777" w:rsidR="00804CA9" w:rsidRDefault="00804CA9">
            <w:pPr>
              <w:jc w:val="center"/>
              <w:rPr>
                <w:rFonts w:ascii="Times New Roman" w:eastAsia="Times New Roman" w:hAnsi="Times New Roman" w:cs="Times New Roman"/>
                <w:b/>
                <w:bCs/>
              </w:rPr>
            </w:pPr>
          </w:p>
        </w:tc>
        <w:tc>
          <w:tcPr>
            <w:tcW w:w="8820" w:type="dxa"/>
          </w:tcPr>
          <w:p w14:paraId="2F856D0D" w14:textId="77777777" w:rsidR="00804CA9" w:rsidRDefault="00804CA9">
            <w:pPr>
              <w:jc w:val="center"/>
              <w:rPr>
                <w:rFonts w:ascii="Times New Roman" w:eastAsia="Times New Roman" w:hAnsi="Times New Roman" w:cs="Times New Roman"/>
              </w:rPr>
            </w:pPr>
          </w:p>
        </w:tc>
      </w:tr>
      <w:tr w:rsidR="00804CA9" w14:paraId="3CC3D61F" w14:textId="77777777">
        <w:trPr>
          <w:jc w:val="center"/>
        </w:trPr>
        <w:tc>
          <w:tcPr>
            <w:tcW w:w="2340" w:type="dxa"/>
          </w:tcPr>
          <w:p w14:paraId="426880A1"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PubMed/MEDLINE</w:t>
            </w:r>
          </w:p>
        </w:tc>
        <w:tc>
          <w:tcPr>
            <w:tcW w:w="8820" w:type="dxa"/>
          </w:tcPr>
          <w:p w14:paraId="3E1B6A25" w14:textId="77777777" w:rsidR="00804CA9" w:rsidRDefault="00992A30">
            <w:pPr>
              <w:jc w:val="center"/>
              <w:rPr>
                <w:rFonts w:ascii="Times New Roman" w:eastAsia="Times New Roman" w:hAnsi="Times New Roman" w:cs="Times New Roman"/>
              </w:rPr>
            </w:pPr>
            <w:r>
              <w:rPr>
                <w:rFonts w:ascii="Times New Roman" w:eastAsia="Times New Roman" w:hAnsi="Times New Roman" w:cs="Times New Roman"/>
              </w:rPr>
              <w:t>((“Decision Support Systems, Clinical” OR “Artificial Intelligence” OR “Human-Computer Interaction”) AND (trust OR reliance OR workload OR usability) AND (explanation OR uncertainty OR transparency) AND (high-stakes OR healthca</w:t>
            </w:r>
            <w:r>
              <w:rPr>
                <w:rFonts w:ascii="Times New Roman" w:eastAsia="Times New Roman" w:hAnsi="Times New Roman" w:cs="Times New Roman"/>
              </w:rPr>
              <w:t>re OR patient safety))</w:t>
            </w:r>
          </w:p>
        </w:tc>
      </w:tr>
      <w:tr w:rsidR="00804CA9" w14:paraId="5491FD46" w14:textId="77777777">
        <w:trPr>
          <w:jc w:val="center"/>
        </w:trPr>
        <w:tc>
          <w:tcPr>
            <w:tcW w:w="2340" w:type="dxa"/>
          </w:tcPr>
          <w:p w14:paraId="3FFA4472"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ScienceDirect</w:t>
            </w:r>
          </w:p>
        </w:tc>
        <w:tc>
          <w:tcPr>
            <w:tcW w:w="8820" w:type="dxa"/>
          </w:tcPr>
          <w:p w14:paraId="7F209371" w14:textId="77777777" w:rsidR="00804CA9" w:rsidRDefault="00804CA9">
            <w:pPr>
              <w:widowControl w:val="0"/>
              <w:pBdr>
                <w:top w:val="nil"/>
                <w:left w:val="nil"/>
                <w:bottom w:val="nil"/>
                <w:right w:val="nil"/>
                <w:between w:val="nil"/>
              </w:pBdr>
              <w:spacing w:line="276" w:lineRule="auto"/>
              <w:rPr>
                <w:rFonts w:ascii="Times New Roman" w:eastAsia="Times New Roman" w:hAnsi="Times New Roman" w:cs="Times New Roman"/>
                <w:b/>
                <w:bCs/>
              </w:rPr>
            </w:pPr>
          </w:p>
          <w:tbl>
            <w:tblPr>
              <w:tblStyle w:val="a1"/>
              <w:tblW w:w="96" w:type="dxa"/>
              <w:tblInd w:w="0" w:type="dxa"/>
              <w:tblLayout w:type="fixed"/>
              <w:tblLook w:val="0400" w:firstRow="0" w:lastRow="0" w:firstColumn="0" w:lastColumn="0" w:noHBand="0" w:noVBand="1"/>
            </w:tblPr>
            <w:tblGrid>
              <w:gridCol w:w="96"/>
            </w:tblGrid>
            <w:tr w:rsidR="00804CA9" w14:paraId="6D71710D" w14:textId="77777777">
              <w:tc>
                <w:tcPr>
                  <w:tcW w:w="96" w:type="dxa"/>
                  <w:vAlign w:val="center"/>
                </w:tcPr>
                <w:p w14:paraId="1FC54193" w14:textId="77777777" w:rsidR="00804CA9" w:rsidRDefault="00804CA9">
                  <w:pPr>
                    <w:spacing w:after="0" w:line="240" w:lineRule="auto"/>
                    <w:rPr>
                      <w:rFonts w:ascii="Times New Roman" w:eastAsia="Times New Roman" w:hAnsi="Times New Roman" w:cs="Times New Roman"/>
                    </w:rPr>
                  </w:pPr>
                </w:p>
              </w:tc>
            </w:tr>
          </w:tbl>
          <w:p w14:paraId="340AF8F5" w14:textId="77777777" w:rsidR="00804CA9" w:rsidRDefault="00804CA9">
            <w:pPr>
              <w:widowControl w:val="0"/>
              <w:pBdr>
                <w:top w:val="nil"/>
                <w:left w:val="nil"/>
                <w:bottom w:val="nil"/>
                <w:right w:val="nil"/>
                <w:between w:val="nil"/>
              </w:pBdr>
              <w:spacing w:line="276" w:lineRule="auto"/>
              <w:rPr>
                <w:rFonts w:ascii="Times New Roman" w:eastAsia="Times New Roman" w:hAnsi="Times New Roman" w:cs="Times New Roman"/>
              </w:rPr>
            </w:pPr>
          </w:p>
          <w:tbl>
            <w:tblPr>
              <w:tblStyle w:val="a2"/>
              <w:tblW w:w="8604" w:type="dxa"/>
              <w:tblInd w:w="0" w:type="dxa"/>
              <w:tblLayout w:type="fixed"/>
              <w:tblLook w:val="0400" w:firstRow="0" w:lastRow="0" w:firstColumn="0" w:lastColumn="0" w:noHBand="0" w:noVBand="1"/>
            </w:tblPr>
            <w:tblGrid>
              <w:gridCol w:w="8604"/>
            </w:tblGrid>
            <w:tr w:rsidR="00804CA9" w14:paraId="54ADBEDD" w14:textId="77777777">
              <w:tc>
                <w:tcPr>
                  <w:tcW w:w="8604" w:type="dxa"/>
                  <w:vAlign w:val="center"/>
                </w:tcPr>
                <w:p w14:paraId="23FDA4F3" w14:textId="77777777" w:rsidR="00804CA9" w:rsidRDefault="00992A30">
                  <w:pPr>
                    <w:spacing w:after="0" w:line="240" w:lineRule="auto"/>
                    <w:rPr>
                      <w:rFonts w:ascii="Times New Roman" w:eastAsia="Times New Roman" w:hAnsi="Times New Roman" w:cs="Times New Roman"/>
                    </w:rPr>
                  </w:pPr>
                  <w:r>
                    <w:rPr>
                      <w:rFonts w:ascii="Times New Roman" w:eastAsia="Times New Roman" w:hAnsi="Times New Roman" w:cs="Times New Roman"/>
                    </w:rPr>
                    <w:t>(“human-AI interaction” OR “AI decision support”) AND (trust OR workload OR reliance) AND (explanation OR transparency OR uncertainty) AND (healthcare OR aviation OR infrastructure OR security)</w:t>
                  </w:r>
                </w:p>
              </w:tc>
            </w:tr>
          </w:tbl>
          <w:p w14:paraId="28801428" w14:textId="77777777" w:rsidR="00804CA9" w:rsidRDefault="00804CA9">
            <w:pPr>
              <w:jc w:val="center"/>
              <w:rPr>
                <w:rFonts w:ascii="Times New Roman" w:eastAsia="Times New Roman" w:hAnsi="Times New Roman" w:cs="Times New Roman"/>
              </w:rPr>
            </w:pPr>
          </w:p>
        </w:tc>
      </w:tr>
    </w:tbl>
    <w:p w14:paraId="7FAE4FDA" w14:textId="77777777" w:rsidR="00804CA9" w:rsidRDefault="00804CA9">
      <w:pPr>
        <w:jc w:val="both"/>
        <w:rPr>
          <w:rFonts w:ascii="Times New Roman" w:eastAsia="Times New Roman" w:hAnsi="Times New Roman" w:cs="Times New Roman"/>
          <w:b/>
          <w:bCs/>
        </w:rPr>
      </w:pPr>
    </w:p>
    <w:p w14:paraId="5D3A4DD6"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 xml:space="preserve">2.5 Study </w:t>
      </w:r>
      <w:r>
        <w:rPr>
          <w:rFonts w:ascii="Times New Roman" w:eastAsia="Times New Roman" w:hAnsi="Times New Roman" w:cs="Times New Roman"/>
          <w:b/>
          <w:bCs/>
        </w:rPr>
        <w:t>Selection</w:t>
      </w:r>
    </w:p>
    <w:p w14:paraId="20C8FD76"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lastRenderedPageBreak/>
        <w:t>All the records that were retrieved were screened in two stages. The records were first filtered in accordance with the predetermined eligibility criteria, which excluded obviously irrelevant ones. Secondly, a full-text evaluation was done on stu</w:t>
      </w:r>
      <w:r>
        <w:rPr>
          <w:rFonts w:ascii="Times New Roman" w:eastAsia="Times New Roman" w:hAnsi="Times New Roman" w:cs="Times New Roman"/>
        </w:rPr>
        <w:t>dies that had been selected as potentially relevant to qualify them as final subjects to be included. Only studies that examine HAI design in high stakes context, and provide empirical results concerning cognitive workload, trust, task or reliance performa</w:t>
      </w:r>
      <w:r>
        <w:rPr>
          <w:rFonts w:ascii="Times New Roman" w:eastAsia="Times New Roman" w:hAnsi="Times New Roman" w:cs="Times New Roman"/>
        </w:rPr>
        <w:t>nce were retained. The PRISMA-style flow diagram described the study selection process and provided an overview of the number of records identified, screened and excluded, including the final version in the evidence base.</w:t>
      </w:r>
    </w:p>
    <w:p w14:paraId="59B04EDD"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2.6 Data Extraction and Synthesis</w:t>
      </w:r>
    </w:p>
    <w:p w14:paraId="5BCE5A90"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 xml:space="preserve">The data was charted on a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extraction template, which was then refined so as to achieve consistency across the studies that were included. Variables were then identified, including bibliographic, sphere, and decision context, attributes of part</w:t>
      </w:r>
      <w:r>
        <w:rPr>
          <w:rFonts w:ascii="Times New Roman" w:eastAsia="Times New Roman" w:hAnsi="Times New Roman" w:cs="Times New Roman"/>
        </w:rPr>
        <w:t>icipants, AI assignment, interface or clarification approach, study blueprint, comparator state, confidence, and workload, performance outcomes, and key discoveries. Additional information about failure modes, including automation over- trust, bias, under-</w:t>
      </w:r>
      <w:r>
        <w:rPr>
          <w:rFonts w:ascii="Times New Roman" w:eastAsia="Times New Roman" w:hAnsi="Times New Roman" w:cs="Times New Roman"/>
        </w:rPr>
        <w:t>trust, oversight dilemma, alert fatigue, etc. were collected as well where relevant.</w:t>
      </w:r>
    </w:p>
    <w:p w14:paraId="16751DD5"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The synthesis was mapping and descriptive, as opposed to effect-estimating. The included studies resulted in a numerical summary that included domains of application, year</w:t>
      </w:r>
      <w:r>
        <w:rPr>
          <w:rFonts w:ascii="Times New Roman" w:eastAsia="Times New Roman" w:hAnsi="Times New Roman" w:cs="Times New Roman"/>
        </w:rPr>
        <w:t>s of publication, types of interface strategies, study designs and groups of participants. Further, narrative thematic synthesis was used to classify the results into broad themes that matched with the review questions. These themes discussed the recurrent</w:t>
      </w:r>
      <w:r>
        <w:rPr>
          <w:rFonts w:ascii="Times New Roman" w:eastAsia="Times New Roman" w:hAnsi="Times New Roman" w:cs="Times New Roman"/>
        </w:rPr>
        <w:t xml:space="preserve"> failure modes coupled with related interface mitigation, workload and performance support, transparency and trust calibration.</w:t>
      </w:r>
    </w:p>
    <w:p w14:paraId="26062DDA"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3.0 Result</w:t>
      </w:r>
    </w:p>
    <w:p w14:paraId="5619C3E2"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3.1 Screening and selection.</w:t>
      </w:r>
    </w:p>
    <w:p w14:paraId="357C9E14"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 xml:space="preserve">The database search yielded 436 records. After removing 228 duplicate records, the </w:t>
      </w:r>
      <w:r>
        <w:rPr>
          <w:rFonts w:ascii="Times New Roman" w:eastAsia="Times New Roman" w:hAnsi="Times New Roman" w:cs="Times New Roman"/>
        </w:rPr>
        <w:t>remaining 208 unique records were screened against the above criteria using the title and abstract, and 85 papers were retained for full-text assessment. One hundred and twenty-three records were excluded at the title–abstract stage because they did not ma</w:t>
      </w:r>
      <w:r>
        <w:rPr>
          <w:rFonts w:ascii="Times New Roman" w:eastAsia="Times New Roman" w:hAnsi="Times New Roman" w:cs="Times New Roman"/>
        </w:rPr>
        <w:t>tch the scope of the review. A further 68 papers were excluded during the full-text review stage: 28 due to being editorials,  conference abstracts without full text, reviews,  preprints, protocols, theses, reports, guidelines, books/chapters and other gre</w:t>
      </w:r>
      <w:r>
        <w:rPr>
          <w:rFonts w:ascii="Times New Roman" w:eastAsia="Times New Roman" w:hAnsi="Times New Roman" w:cs="Times New Roman"/>
        </w:rPr>
        <w:t xml:space="preserve">y literature; 16 due to being AI model development studies with no interface or interaction component, general trust papers with no measurable interface evaluation and low-stakes settings; and 14 due to being non-human or simulation-only technical studies </w:t>
      </w:r>
      <w:r>
        <w:rPr>
          <w:rFonts w:ascii="Times New Roman" w:eastAsia="Times New Roman" w:hAnsi="Times New Roman" w:cs="Times New Roman"/>
        </w:rPr>
        <w:t xml:space="preserve">without human participants. Finally, 17 studies that met all the criteria were </w:t>
      </w:r>
      <w:proofErr w:type="spellStart"/>
      <w:r>
        <w:rPr>
          <w:rFonts w:ascii="Times New Roman" w:eastAsia="Times New Roman" w:hAnsi="Times New Roman" w:cs="Times New Roman"/>
        </w:rPr>
        <w:t>synthesised</w:t>
      </w:r>
      <w:proofErr w:type="spellEnd"/>
      <w:r>
        <w:rPr>
          <w:rFonts w:ascii="Times New Roman" w:eastAsia="Times New Roman" w:hAnsi="Times New Roman" w:cs="Times New Roman"/>
        </w:rPr>
        <w:t xml:space="preserve"> (see Table 3 and Fig. 1).</w:t>
      </w:r>
    </w:p>
    <w:p w14:paraId="08C92B1A" w14:textId="77777777" w:rsidR="00804CA9" w:rsidRDefault="00804CA9">
      <w:pPr>
        <w:jc w:val="both"/>
        <w:rPr>
          <w:rFonts w:ascii="Times New Roman" w:eastAsia="Times New Roman" w:hAnsi="Times New Roman" w:cs="Times New Roman"/>
        </w:rPr>
      </w:pPr>
    </w:p>
    <w:p w14:paraId="28874303"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32C60746" wp14:editId="7211D1DB">
            <wp:extent cx="6792087" cy="332631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792087" cy="3326312"/>
                    </a:xfrm>
                    <a:prstGeom prst="rect">
                      <a:avLst/>
                    </a:prstGeom>
                    <a:ln/>
                  </pic:spPr>
                </pic:pic>
              </a:graphicData>
            </a:graphic>
          </wp:inline>
        </w:drawing>
      </w:r>
    </w:p>
    <w:p w14:paraId="68229744"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Figure 1: PRISMA flow Diagram</w:t>
      </w:r>
    </w:p>
    <w:p w14:paraId="1211E8FE"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3.2 Summary of Study Characteristics</w:t>
      </w:r>
    </w:p>
    <w:p w14:paraId="54241138"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The evidence base included 17 empirical studies extracted from the up</w:t>
      </w:r>
      <w:r>
        <w:rPr>
          <w:rFonts w:ascii="Times New Roman" w:eastAsia="Times New Roman" w:hAnsi="Times New Roman" w:cs="Times New Roman"/>
        </w:rPr>
        <w:t xml:space="preserve">loaded study pack, and this was published safe reliance, within the clinical decision support, medical imaging, sepsis management, telehealth diagnosis, medication check, rehabilitation evaluation, and </w:t>
      </w:r>
      <w:proofErr w:type="spellStart"/>
      <w:r>
        <w:rPr>
          <w:rFonts w:ascii="Times New Roman" w:eastAsia="Times New Roman" w:hAnsi="Times New Roman" w:cs="Times New Roman"/>
        </w:rPr>
        <w:t>tumour</w:t>
      </w:r>
      <w:proofErr w:type="spellEnd"/>
      <w:r>
        <w:rPr>
          <w:rFonts w:ascii="Times New Roman" w:eastAsia="Times New Roman" w:hAnsi="Times New Roman" w:cs="Times New Roman"/>
        </w:rPr>
        <w:t xml:space="preserve"> interpretation. Fewer were related to air traff</w:t>
      </w:r>
      <w:r>
        <w:rPr>
          <w:rFonts w:ascii="Times New Roman" w:eastAsia="Times New Roman" w:hAnsi="Times New Roman" w:cs="Times New Roman"/>
        </w:rPr>
        <w:t xml:space="preserve">ic control, Power-grid congestion management, and condition-based maintenance, which made the review have a health-centric, albeit cross-domain profile. The studies were heterogeneous methodologically and encompassed </w:t>
      </w:r>
      <w:proofErr w:type="spellStart"/>
      <w:r>
        <w:rPr>
          <w:rFonts w:ascii="Times New Roman" w:eastAsia="Times New Roman" w:hAnsi="Times New Roman" w:cs="Times New Roman"/>
        </w:rPr>
        <w:t>randomised</w:t>
      </w:r>
      <w:proofErr w:type="spellEnd"/>
      <w:r>
        <w:rPr>
          <w:rFonts w:ascii="Times New Roman" w:eastAsia="Times New Roman" w:hAnsi="Times New Roman" w:cs="Times New Roman"/>
        </w:rPr>
        <w:t xml:space="preserve"> experiments, controlled labo</w:t>
      </w:r>
      <w:r>
        <w:rPr>
          <w:rFonts w:ascii="Times New Roman" w:eastAsia="Times New Roman" w:hAnsi="Times New Roman" w:cs="Times New Roman"/>
        </w:rPr>
        <w:t>ratory studies, mixed-methods evaluations, factorial experiments, scenario-based factorial experiments, heuristic evaluations, user-</w:t>
      </w:r>
      <w:proofErr w:type="spellStart"/>
      <w:r>
        <w:rPr>
          <w:rFonts w:ascii="Times New Roman" w:eastAsia="Times New Roman" w:hAnsi="Times New Roman" w:cs="Times New Roman"/>
        </w:rPr>
        <w:t>centred</w:t>
      </w:r>
      <w:proofErr w:type="spellEnd"/>
      <w:r>
        <w:rPr>
          <w:rFonts w:ascii="Times New Roman" w:eastAsia="Times New Roman" w:hAnsi="Times New Roman" w:cs="Times New Roman"/>
        </w:rPr>
        <w:t xml:space="preserve"> design studies, and case studies. Sample sizes were varied, with 6 clinical experts to 292 participants; participant</w:t>
      </w:r>
      <w:r>
        <w:rPr>
          <w:rFonts w:ascii="Times New Roman" w:eastAsia="Times New Roman" w:hAnsi="Times New Roman" w:cs="Times New Roman"/>
        </w:rPr>
        <w:t>s were physicians, pharmacists, pathologists, therapists, air traffic controllers, power-grid operators, and novices. The interface strategies that were tested were explanations, confidence or uncertainty displays, counterfactuals, visual analytics, interp</w:t>
      </w:r>
      <w:r>
        <w:rPr>
          <w:rFonts w:ascii="Times New Roman" w:eastAsia="Times New Roman" w:hAnsi="Times New Roman" w:cs="Times New Roman"/>
        </w:rPr>
        <w:t>retable recommendations, refinement tools, and workflow integrations. Some of the common outcomes include trust, reliance, workload, usability, reaction time, agreement, and task performance. The conceptual pathway through which core human–AI interface fea</w:t>
      </w:r>
      <w:r>
        <w:rPr>
          <w:rFonts w:ascii="Times New Roman" w:eastAsia="Times New Roman" w:hAnsi="Times New Roman" w:cs="Times New Roman"/>
        </w:rPr>
        <w:t xml:space="preserve">tures influence contestable oversight, deliberative support, calibrated transparency, and downstream decision outcomes in high-stakes settings is </w:t>
      </w:r>
      <w:proofErr w:type="spellStart"/>
      <w:r>
        <w:rPr>
          <w:rFonts w:ascii="Times New Roman" w:eastAsia="Times New Roman" w:hAnsi="Times New Roman" w:cs="Times New Roman"/>
        </w:rPr>
        <w:t>summarised</w:t>
      </w:r>
      <w:proofErr w:type="spellEnd"/>
      <w:r>
        <w:rPr>
          <w:rFonts w:ascii="Times New Roman" w:eastAsia="Times New Roman" w:hAnsi="Times New Roman" w:cs="Times New Roman"/>
        </w:rPr>
        <w:t xml:space="preserve"> by Figure 2.</w:t>
      </w:r>
    </w:p>
    <w:p w14:paraId="06B56CFC" w14:textId="77777777" w:rsidR="00804CA9" w:rsidRDefault="00992A30">
      <w:pPr>
        <w:jc w:val="both"/>
        <w:rPr>
          <w:rFonts w:ascii="Times New Roman" w:eastAsia="Times New Roman" w:hAnsi="Times New Roman" w:cs="Times New Roman"/>
        </w:rPr>
      </w:pPr>
      <w:r>
        <w:rPr>
          <w:noProof/>
        </w:rPr>
        <w:lastRenderedPageBreak/>
        <w:drawing>
          <wp:inline distT="0" distB="0" distL="0" distR="0" wp14:anchorId="30ACBF10" wp14:editId="6E2A9011">
            <wp:extent cx="6705600" cy="4572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705600" cy="4572000"/>
                    </a:xfrm>
                    <a:prstGeom prst="rect">
                      <a:avLst/>
                    </a:prstGeom>
                    <a:ln/>
                  </pic:spPr>
                </pic:pic>
              </a:graphicData>
            </a:graphic>
          </wp:inline>
        </w:drawing>
      </w:r>
    </w:p>
    <w:p w14:paraId="7922B8A4"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Figure 2. Conceptual framework for high-stakes human–AI interface design.</w:t>
      </w:r>
    </w:p>
    <w:p w14:paraId="44125527"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3.3 Themat</w:t>
      </w:r>
      <w:r>
        <w:rPr>
          <w:rFonts w:ascii="Times New Roman" w:eastAsia="Times New Roman" w:hAnsi="Times New Roman" w:cs="Times New Roman"/>
          <w:b/>
          <w:bCs/>
        </w:rPr>
        <w:t>ic Analysis</w:t>
      </w:r>
    </w:p>
    <w:p w14:paraId="0E599076"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Theme 1: Precision Transparency: Why More Explanation Is Not Always Better</w:t>
      </w:r>
    </w:p>
    <w:p w14:paraId="1D07C9CC"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 xml:space="preserve">In the studies that were included, transparency was most effective when </w:t>
      </w:r>
      <w:proofErr w:type="spellStart"/>
      <w:r>
        <w:rPr>
          <w:rFonts w:ascii="Times New Roman" w:eastAsia="Times New Roman" w:hAnsi="Times New Roman" w:cs="Times New Roman"/>
        </w:rPr>
        <w:t>customised</w:t>
      </w:r>
      <w:proofErr w:type="spellEnd"/>
      <w:r>
        <w:rPr>
          <w:rFonts w:ascii="Times New Roman" w:eastAsia="Times New Roman" w:hAnsi="Times New Roman" w:cs="Times New Roman"/>
        </w:rPr>
        <w:t xml:space="preserve"> to the role of the user, to the task, and decision pressure, as opposed to being prese</w:t>
      </w:r>
      <w:r>
        <w:rPr>
          <w:rFonts w:ascii="Times New Roman" w:eastAsia="Times New Roman" w:hAnsi="Times New Roman" w:cs="Times New Roman"/>
        </w:rPr>
        <w:t>nted in a maximal or consistent manner. Bussone et al. (2015) discovered that fuller explanations enhanced user trust, and they also motivated over-reliance, but thinner explanations prompted the user to engage in self-reliance in clinical decision support</w:t>
      </w:r>
      <w:r>
        <w:rPr>
          <w:rFonts w:ascii="Times New Roman" w:eastAsia="Times New Roman" w:hAnsi="Times New Roman" w:cs="Times New Roman"/>
        </w:rPr>
        <w:t xml:space="preserve">. This trend implies that the degree of explanation is not an adequate guarantee of proper trust. An identical tension was reported by </w:t>
      </w:r>
      <w:proofErr w:type="spellStart"/>
      <w:r>
        <w:rPr>
          <w:rFonts w:ascii="Times New Roman" w:eastAsia="Times New Roman" w:hAnsi="Times New Roman" w:cs="Times New Roman"/>
        </w:rPr>
        <w:t>Ackerhans</w:t>
      </w:r>
      <w:proofErr w:type="spellEnd"/>
      <w:r>
        <w:rPr>
          <w:rFonts w:ascii="Times New Roman" w:eastAsia="Times New Roman" w:hAnsi="Times New Roman" w:cs="Times New Roman"/>
        </w:rPr>
        <w:t xml:space="preserve"> et al. (2025), who found that </w:t>
      </w:r>
      <w:proofErr w:type="spellStart"/>
      <w:r>
        <w:rPr>
          <w:rFonts w:ascii="Times New Roman" w:eastAsia="Times New Roman" w:hAnsi="Times New Roman" w:cs="Times New Roman"/>
        </w:rPr>
        <w:t>explainability</w:t>
      </w:r>
      <w:proofErr w:type="spellEnd"/>
      <w:r>
        <w:rPr>
          <w:rFonts w:ascii="Times New Roman" w:eastAsia="Times New Roman" w:hAnsi="Times New Roman" w:cs="Times New Roman"/>
        </w:rPr>
        <w:t>, together with greater workflow integration, enhanced trust in AI-</w:t>
      </w:r>
      <w:r>
        <w:rPr>
          <w:rFonts w:ascii="Times New Roman" w:eastAsia="Times New Roman" w:hAnsi="Times New Roman" w:cs="Times New Roman"/>
        </w:rPr>
        <w:t xml:space="preserve">based sepsis support, but </w:t>
      </w:r>
      <w:proofErr w:type="spellStart"/>
      <w:r>
        <w:rPr>
          <w:rFonts w:ascii="Times New Roman" w:eastAsia="Times New Roman" w:hAnsi="Times New Roman" w:cs="Times New Roman"/>
        </w:rPr>
        <w:t>explainability</w:t>
      </w:r>
      <w:proofErr w:type="spellEnd"/>
      <w:r>
        <w:rPr>
          <w:rFonts w:ascii="Times New Roman" w:eastAsia="Times New Roman" w:hAnsi="Times New Roman" w:cs="Times New Roman"/>
        </w:rPr>
        <w:t xml:space="preserve"> also served as a cause of perceived professional identity threat, and explicit mention of accountability escalated that conflict. </w:t>
      </w:r>
      <w:proofErr w:type="spellStart"/>
      <w:r>
        <w:rPr>
          <w:rFonts w:ascii="Times New Roman" w:eastAsia="Times New Roman" w:hAnsi="Times New Roman" w:cs="Times New Roman"/>
        </w:rPr>
        <w:t>Naiseh</w:t>
      </w:r>
      <w:proofErr w:type="spellEnd"/>
      <w:r>
        <w:rPr>
          <w:rFonts w:ascii="Times New Roman" w:eastAsia="Times New Roman" w:hAnsi="Times New Roman" w:cs="Times New Roman"/>
        </w:rPr>
        <w:t xml:space="preserve"> et al. (2023) also demonstrated that the effect of explanation varied across e</w:t>
      </w:r>
      <w:r>
        <w:rPr>
          <w:rFonts w:ascii="Times New Roman" w:eastAsia="Times New Roman" w:hAnsi="Times New Roman" w:cs="Times New Roman"/>
        </w:rPr>
        <w:t>xplanation classes, which shows that the usefulness of transparency might be reliant on how appropriately this practice fits clinical requirements.</w:t>
      </w:r>
    </w:p>
    <w:p w14:paraId="4ED56329" w14:textId="77777777" w:rsidR="00804CA9" w:rsidRDefault="00992A30">
      <w:pPr>
        <w:jc w:val="both"/>
        <w:rPr>
          <w:rFonts w:ascii="Times New Roman" w:eastAsia="Times New Roman" w:hAnsi="Times New Roman" w:cs="Times New Roman"/>
        </w:rPr>
      </w:pPr>
      <w:proofErr w:type="spellStart"/>
      <w:r>
        <w:rPr>
          <w:rFonts w:ascii="Times New Roman" w:eastAsia="Times New Roman" w:hAnsi="Times New Roman" w:cs="Times New Roman"/>
        </w:rPr>
        <w:t>Xie</w:t>
      </w:r>
      <w:proofErr w:type="spellEnd"/>
      <w:r>
        <w:rPr>
          <w:rFonts w:ascii="Times New Roman" w:eastAsia="Times New Roman" w:hAnsi="Times New Roman" w:cs="Times New Roman"/>
        </w:rPr>
        <w:t xml:space="preserve"> et al. (2020) demonstrated that physicians favored explanatory interfaces that belonged to exploration, justification, and role-sensitive types of reasoning over a one-size-fits-all presentation. Cai et al. (2019) also observed that refinement tools en</w:t>
      </w:r>
      <w:r>
        <w:rPr>
          <w:rFonts w:ascii="Times New Roman" w:eastAsia="Times New Roman" w:hAnsi="Times New Roman" w:cs="Times New Roman"/>
        </w:rPr>
        <w:t>hanced trust because pathologists were able to reshape algorithmic similarity in context rather than passively receive retrieved cases. The same was the case with uncertainty displays. Lester et al. (2025) demonstrated that uncertainty-conscious AI had led</w:t>
      </w:r>
      <w:r>
        <w:rPr>
          <w:rFonts w:ascii="Times New Roman" w:eastAsia="Times New Roman" w:hAnsi="Times New Roman" w:cs="Times New Roman"/>
        </w:rPr>
        <w:t xml:space="preserve"> to a safer and faster process of verification of </w:t>
      </w:r>
      <w:r>
        <w:rPr>
          <w:rFonts w:ascii="Times New Roman" w:eastAsia="Times New Roman" w:hAnsi="Times New Roman" w:cs="Times New Roman"/>
        </w:rPr>
        <w:lastRenderedPageBreak/>
        <w:t>medications, whereas Zhang et al. (2024) established that uncertainty became utilizable when accompanied by recommending next actions, e.g., recommended laboratory testing methods. Conversely, Hurter et al.</w:t>
      </w:r>
      <w:r>
        <w:rPr>
          <w:rFonts w:ascii="Times New Roman" w:eastAsia="Times New Roman" w:hAnsi="Times New Roman" w:cs="Times New Roman"/>
        </w:rPr>
        <w:t xml:space="preserve"> (2024) have shown that in air traffic control, the mere use of additional explanation was not necessarily helpful, unless it had a direct contribution to operational understanding. Collectively, these studies indicate that the key to effective transparenc</w:t>
      </w:r>
      <w:r>
        <w:rPr>
          <w:rFonts w:ascii="Times New Roman" w:eastAsia="Times New Roman" w:hAnsi="Times New Roman" w:cs="Times New Roman"/>
        </w:rPr>
        <w:t xml:space="preserve">y does not lie in displaying additional information, but in displaying the appropriate information in the right form that assists users to trust, to doubt, and to </w:t>
      </w:r>
      <w:proofErr w:type="gramStart"/>
      <w:r>
        <w:rPr>
          <w:rFonts w:ascii="Times New Roman" w:eastAsia="Times New Roman" w:hAnsi="Times New Roman" w:cs="Times New Roman"/>
        </w:rPr>
        <w:t>take action</w:t>
      </w:r>
      <w:proofErr w:type="gramEnd"/>
      <w:r>
        <w:rPr>
          <w:rFonts w:ascii="Times New Roman" w:eastAsia="Times New Roman" w:hAnsi="Times New Roman" w:cs="Times New Roman"/>
        </w:rPr>
        <w:t>.</w:t>
      </w:r>
    </w:p>
    <w:p w14:paraId="6B4A03BE"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Theme 2: Supporting Deliberation: Interfaces That Improve Workload and Performan</w:t>
      </w:r>
      <w:r>
        <w:rPr>
          <w:rFonts w:ascii="Times New Roman" w:eastAsia="Times New Roman" w:hAnsi="Times New Roman" w:cs="Times New Roman"/>
          <w:b/>
          <w:bCs/>
        </w:rPr>
        <w:t>ce</w:t>
      </w:r>
    </w:p>
    <w:p w14:paraId="117E86CA"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 xml:space="preserve">Human-AI interfaces enhanced performance and assisted in workload management when they facilitated the intermediate reasoning of the users as opposed to merely giving the final recommendation. This was especially clear in the diagnosis of sepsis: Zhang </w:t>
      </w:r>
      <w:r>
        <w:rPr>
          <w:rFonts w:ascii="Times New Roman" w:eastAsia="Times New Roman" w:hAnsi="Times New Roman" w:cs="Times New Roman"/>
        </w:rPr>
        <w:t xml:space="preserve">et al. (2024) claimed that a previous tool had been abandoned because it intervened at the very end of the decision-making process; however, </w:t>
      </w:r>
      <w:proofErr w:type="spellStart"/>
      <w:r>
        <w:rPr>
          <w:rFonts w:ascii="Times New Roman" w:eastAsia="Times New Roman" w:hAnsi="Times New Roman" w:cs="Times New Roman"/>
        </w:rPr>
        <w:t>SepsisLab</w:t>
      </w:r>
      <w:proofErr w:type="spellEnd"/>
      <w:r>
        <w:rPr>
          <w:rFonts w:ascii="Times New Roman" w:eastAsia="Times New Roman" w:hAnsi="Times New Roman" w:cs="Times New Roman"/>
        </w:rPr>
        <w:t xml:space="preserve"> assisted clinicians in making earlier assumptions, examining ambiguity, and finding further tests that ma</w:t>
      </w:r>
      <w:r>
        <w:rPr>
          <w:rFonts w:ascii="Times New Roman" w:eastAsia="Times New Roman" w:hAnsi="Times New Roman" w:cs="Times New Roman"/>
        </w:rPr>
        <w:t>y decrease it. Cai et al. (2019) demonstrated a similar pathological process. Their refinement tools not only described the retrieval model, but also enabled pathologists to navigate the search mechanism, test hypotheses, and provide a better opportunity t</w:t>
      </w:r>
      <w:r>
        <w:rPr>
          <w:rFonts w:ascii="Times New Roman" w:eastAsia="Times New Roman" w:hAnsi="Times New Roman" w:cs="Times New Roman"/>
        </w:rPr>
        <w:t>o control the model error against their inherent uncertainty, thus enhancing diagnostic utility without compromising accuracy.</w:t>
      </w:r>
    </w:p>
    <w:p w14:paraId="3E05A31D" w14:textId="77777777" w:rsidR="00804CA9" w:rsidRDefault="00992A30">
      <w:pPr>
        <w:jc w:val="both"/>
        <w:rPr>
          <w:rFonts w:ascii="Times New Roman" w:eastAsia="Times New Roman" w:hAnsi="Times New Roman" w:cs="Times New Roman"/>
        </w:rPr>
      </w:pPr>
      <w:r>
        <w:rPr>
          <w:rFonts w:ascii="Times New Roman" w:eastAsia="Times New Roman" w:hAnsi="Times New Roman" w:cs="Times New Roman"/>
        </w:rPr>
        <w:t xml:space="preserve">Regarding air traffic control, </w:t>
      </w:r>
      <w:proofErr w:type="spellStart"/>
      <w:r>
        <w:rPr>
          <w:rFonts w:ascii="Times New Roman" w:eastAsia="Times New Roman" w:hAnsi="Times New Roman" w:cs="Times New Roman"/>
        </w:rPr>
        <w:t>Zohrevandi</w:t>
      </w:r>
      <w:proofErr w:type="spellEnd"/>
      <w:r>
        <w:rPr>
          <w:rFonts w:ascii="Times New Roman" w:eastAsia="Times New Roman" w:hAnsi="Times New Roman" w:cs="Times New Roman"/>
        </w:rPr>
        <w:t xml:space="preserve"> et al. (2022) found that the ecological visual analytics enhanced the user comprehensiv</w:t>
      </w:r>
      <w:r>
        <w:rPr>
          <w:rFonts w:ascii="Times New Roman" w:eastAsia="Times New Roman" w:hAnsi="Times New Roman" w:cs="Times New Roman"/>
        </w:rPr>
        <w:t>eness of airspace conflicts and problem-solving performance, and the benefits were associated with the representational support rather than with previous expertise. Hurter et al. (2024) also demonstrated that explainable support in air traffic management w</w:t>
      </w:r>
      <w:r>
        <w:rPr>
          <w:rFonts w:ascii="Times New Roman" w:eastAsia="Times New Roman" w:hAnsi="Times New Roman" w:cs="Times New Roman"/>
        </w:rPr>
        <w:t>as appreciated when the support enhanced comprehension and the utility of training. According to Prince et al. (2025), the use of AI aid made tasks less difficult and efficient in the specialist radiography interpretation, yet it also created a conflict wi</w:t>
      </w:r>
      <w:r>
        <w:rPr>
          <w:rFonts w:ascii="Times New Roman" w:eastAsia="Times New Roman" w:hAnsi="Times New Roman" w:cs="Times New Roman"/>
        </w:rPr>
        <w:t>thin the circles of specialists. Lester et al. (2025) offered one of the most transparent workload results, demonstrating that the use of uncertainty-aware AI reduced the reaction time and defended pharmacists against damaging false approvals compared to t</w:t>
      </w:r>
      <w:r>
        <w:rPr>
          <w:rFonts w:ascii="Times New Roman" w:eastAsia="Times New Roman" w:hAnsi="Times New Roman" w:cs="Times New Roman"/>
        </w:rPr>
        <w:t>he black-box AI. Gentile et al. (2025) applied this outside of the healthcare domain, demonstrating that groups of explanations including counterfactuals can lower the number of false alarms, workload, and the time needed to make decisions in condition-bas</w:t>
      </w:r>
      <w:r>
        <w:rPr>
          <w:rFonts w:ascii="Times New Roman" w:eastAsia="Times New Roman" w:hAnsi="Times New Roman" w:cs="Times New Roman"/>
        </w:rPr>
        <w:t xml:space="preserve">ed maintenance. In a power-grid setting, </w:t>
      </w:r>
      <w:proofErr w:type="spellStart"/>
      <w:r>
        <w:rPr>
          <w:rFonts w:ascii="Times New Roman" w:eastAsia="Times New Roman" w:hAnsi="Times New Roman" w:cs="Times New Roman"/>
        </w:rPr>
        <w:t>Viebahn</w:t>
      </w:r>
      <w:proofErr w:type="spellEnd"/>
      <w:r>
        <w:rPr>
          <w:rFonts w:ascii="Times New Roman" w:eastAsia="Times New Roman" w:hAnsi="Times New Roman" w:cs="Times New Roman"/>
        </w:rPr>
        <w:t xml:space="preserve"> et al. (2025) have then presented the idea that trust, usability, workload, and task performance could be collectively evaluated to provide a workable measure of operational deployment. In general, the findi</w:t>
      </w:r>
      <w:r>
        <w:rPr>
          <w:rFonts w:ascii="Times New Roman" w:eastAsia="Times New Roman" w:hAnsi="Times New Roman" w:cs="Times New Roman"/>
        </w:rPr>
        <w:t>ng suggests the effective interface can enhance results by providing structure to attention, verification, and reasoning instead of merely increasing the information displayed on the screen.</w:t>
      </w:r>
    </w:p>
    <w:p w14:paraId="794F5E0F" w14:textId="77777777" w:rsidR="00804CA9" w:rsidRDefault="00992A30">
      <w:pPr>
        <w:jc w:val="both"/>
        <w:rPr>
          <w:rFonts w:ascii="Times New Roman" w:eastAsia="Times New Roman" w:hAnsi="Times New Roman" w:cs="Times New Roman"/>
          <w:b/>
          <w:bCs/>
        </w:rPr>
      </w:pPr>
      <w:r>
        <w:rPr>
          <w:rFonts w:ascii="Times New Roman" w:eastAsia="Times New Roman" w:hAnsi="Times New Roman" w:cs="Times New Roman"/>
          <w:b/>
          <w:bCs/>
        </w:rPr>
        <w:t>Theme 3:</w:t>
      </w:r>
      <w:r>
        <w:rPr>
          <w:rFonts w:ascii="Times New Roman" w:eastAsia="Times New Roman" w:hAnsi="Times New Roman" w:cs="Times New Roman"/>
        </w:rPr>
        <w:t xml:space="preserve">  </w:t>
      </w:r>
      <w:r>
        <w:rPr>
          <w:rFonts w:ascii="Times New Roman" w:eastAsia="Times New Roman" w:hAnsi="Times New Roman" w:cs="Times New Roman"/>
          <w:b/>
          <w:bCs/>
        </w:rPr>
        <w:t>Guardrails Against Failure: Why Safe Use Depends on Con</w:t>
      </w:r>
      <w:r>
        <w:rPr>
          <w:rFonts w:ascii="Times New Roman" w:eastAsia="Times New Roman" w:hAnsi="Times New Roman" w:cs="Times New Roman"/>
          <w:b/>
          <w:bCs/>
        </w:rPr>
        <w:t>testability and Oversight</w:t>
      </w:r>
    </w:p>
    <w:p w14:paraId="74D84D12"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The third theme highlighted that even in systems that seemed to be a success, failure modes still existed suggesting the need to actively build in the role of </w:t>
      </w:r>
      <w:proofErr w:type="gramStart"/>
      <w:r>
        <w:rPr>
          <w:rFonts w:ascii="Times New Roman" w:eastAsia="Times New Roman" w:hAnsi="Times New Roman" w:cs="Times New Roman"/>
        </w:rPr>
        <w:t>humans</w:t>
      </w:r>
      <w:proofErr w:type="gramEnd"/>
      <w:r>
        <w:rPr>
          <w:rFonts w:ascii="Times New Roman" w:eastAsia="Times New Roman" w:hAnsi="Times New Roman" w:cs="Times New Roman"/>
        </w:rPr>
        <w:t xml:space="preserve"> oversight instead of assuming it existed. The most prominent ris</w:t>
      </w:r>
      <w:r>
        <w:rPr>
          <w:rFonts w:ascii="Times New Roman" w:eastAsia="Times New Roman" w:hAnsi="Times New Roman" w:cs="Times New Roman"/>
        </w:rPr>
        <w:t>k was identified as over-reliance. As shown by Bussone et al. (2015), more elaborate explanations might unwillingly lead clinicians to follow flawed recommendations. On the contrary, Lee and Chew (2023) also found out that the users still relied heavily on</w:t>
      </w:r>
      <w:r>
        <w:rPr>
          <w:rFonts w:ascii="Times New Roman" w:eastAsia="Times New Roman" w:hAnsi="Times New Roman" w:cs="Times New Roman"/>
        </w:rPr>
        <w:t xml:space="preserve"> erroneous AI outputs even though they were aware that the system was fallible. Counterfactual explanations did not eliminate the over-reliance, but reduced it by 21%. A more profound issue was discovered by Vicente and </w:t>
      </w:r>
      <w:proofErr w:type="spellStart"/>
      <w:r>
        <w:rPr>
          <w:rFonts w:ascii="Times New Roman" w:eastAsia="Times New Roman" w:hAnsi="Times New Roman" w:cs="Times New Roman"/>
        </w:rPr>
        <w:t>Matute</w:t>
      </w:r>
      <w:proofErr w:type="spellEnd"/>
      <w:r>
        <w:rPr>
          <w:rFonts w:ascii="Times New Roman" w:eastAsia="Times New Roman" w:hAnsi="Times New Roman" w:cs="Times New Roman"/>
        </w:rPr>
        <w:t xml:space="preserve"> (2023): the users were influe</w:t>
      </w:r>
      <w:r>
        <w:rPr>
          <w:rFonts w:ascii="Times New Roman" w:eastAsia="Times New Roman" w:hAnsi="Times New Roman" w:cs="Times New Roman"/>
        </w:rPr>
        <w:t xml:space="preserve">nced by biased AI </w:t>
      </w:r>
      <w:r>
        <w:rPr>
          <w:rFonts w:ascii="Times New Roman" w:eastAsia="Times New Roman" w:hAnsi="Times New Roman" w:cs="Times New Roman"/>
        </w:rPr>
        <w:lastRenderedPageBreak/>
        <w:t>suggestions greatly, which caused them to repeat mistakes made whenever the AI was used, even after its withdrawal. This means that problematic dependency may persist even after the immediate engagement.</w:t>
      </w:r>
    </w:p>
    <w:p w14:paraId="2911B3D6" w14:textId="77777777" w:rsidR="00804CA9" w:rsidRDefault="00992A30">
      <w:pPr>
        <w:rPr>
          <w:rFonts w:ascii="Times New Roman" w:eastAsia="Times New Roman" w:hAnsi="Times New Roman" w:cs="Times New Roman"/>
        </w:rPr>
        <w:sectPr w:rsidR="00804CA9">
          <w:headerReference w:type="even" r:id="rId10"/>
          <w:headerReference w:type="default" r:id="rId11"/>
          <w:footerReference w:type="even" r:id="rId12"/>
          <w:footerReference w:type="default" r:id="rId13"/>
          <w:headerReference w:type="first" r:id="rId14"/>
          <w:footerReference w:type="first" r:id="rId15"/>
          <w:pgSz w:w="12240" w:h="15840"/>
          <w:pgMar w:top="391" w:right="720" w:bottom="720" w:left="720" w:header="720" w:footer="720" w:gutter="0"/>
          <w:pgNumType w:start="1"/>
          <w:cols w:space="720"/>
        </w:sectPr>
      </w:pPr>
      <w:r>
        <w:rPr>
          <w:rFonts w:ascii="Times New Roman" w:eastAsia="Times New Roman" w:hAnsi="Times New Roman" w:cs="Times New Roman"/>
        </w:rPr>
        <w:t>Other researches h</w:t>
      </w:r>
      <w:r>
        <w:rPr>
          <w:rFonts w:ascii="Times New Roman" w:eastAsia="Times New Roman" w:hAnsi="Times New Roman" w:cs="Times New Roman"/>
        </w:rPr>
        <w:t xml:space="preserve">ave demonstrated that failure with regard to trust is not simply about blind acceptance. </w:t>
      </w:r>
      <w:proofErr w:type="spellStart"/>
      <w:r>
        <w:rPr>
          <w:rFonts w:ascii="Times New Roman" w:eastAsia="Times New Roman" w:hAnsi="Times New Roman" w:cs="Times New Roman"/>
        </w:rPr>
        <w:t>Salimzadeh</w:t>
      </w:r>
      <w:proofErr w:type="spellEnd"/>
      <w:r>
        <w:rPr>
          <w:rFonts w:ascii="Times New Roman" w:eastAsia="Times New Roman" w:hAnsi="Times New Roman" w:cs="Times New Roman"/>
        </w:rPr>
        <w:t xml:space="preserve"> et al. (2024) provided an important </w:t>
      </w:r>
      <w:proofErr w:type="spellStart"/>
      <w:r>
        <w:rPr>
          <w:rFonts w:ascii="Times New Roman" w:eastAsia="Times New Roman" w:hAnsi="Times New Roman" w:cs="Times New Roman"/>
        </w:rPr>
        <w:t>behavioural</w:t>
      </w:r>
      <w:proofErr w:type="spellEnd"/>
      <w:r>
        <w:rPr>
          <w:rFonts w:ascii="Times New Roman" w:eastAsia="Times New Roman" w:hAnsi="Times New Roman" w:cs="Times New Roman"/>
        </w:rPr>
        <w:t xml:space="preserve"> lesson by demonstrating that an increase in uncertainty and complexity led to an increase in reliance with n</w:t>
      </w:r>
      <w:r>
        <w:rPr>
          <w:rFonts w:ascii="Times New Roman" w:eastAsia="Times New Roman" w:hAnsi="Times New Roman" w:cs="Times New Roman"/>
        </w:rPr>
        <w:t xml:space="preserve">o corresponding rise in reported trust, but this was more of a borderline case when compared to the scope of the review. This shows that self-reported trust is an incompetent measure of safe use. </w:t>
      </w:r>
      <w:proofErr w:type="spellStart"/>
      <w:r>
        <w:rPr>
          <w:rFonts w:ascii="Times New Roman" w:eastAsia="Times New Roman" w:hAnsi="Times New Roman" w:cs="Times New Roman"/>
        </w:rPr>
        <w:t>Sivaraman</w:t>
      </w:r>
      <w:proofErr w:type="spellEnd"/>
      <w:r>
        <w:rPr>
          <w:rFonts w:ascii="Times New Roman" w:eastAsia="Times New Roman" w:hAnsi="Times New Roman" w:cs="Times New Roman"/>
        </w:rPr>
        <w:t xml:space="preserve"> et al. (2023) also found that ICU clinicians did n</w:t>
      </w:r>
      <w:r>
        <w:rPr>
          <w:rFonts w:ascii="Times New Roman" w:eastAsia="Times New Roman" w:hAnsi="Times New Roman" w:cs="Times New Roman"/>
        </w:rPr>
        <w:t>ot immediately endorse sepsis recommendations; rather, they negotiated with them by modifying, postponing or partially adopting the advice. Another kind of guarded supervision was recorded by Gomez et al. (2024): healthcare providers were more willing to a</w:t>
      </w:r>
      <w:r>
        <w:rPr>
          <w:rFonts w:ascii="Times New Roman" w:eastAsia="Times New Roman" w:hAnsi="Times New Roman" w:cs="Times New Roman"/>
        </w:rPr>
        <w:t xml:space="preserve">gree with the AI-generated results, but they still demanded further confirmation testing due to a lack of confidence relative to effectiveness. The researches by </w:t>
      </w:r>
      <w:proofErr w:type="spellStart"/>
      <w:r>
        <w:rPr>
          <w:rFonts w:ascii="Times New Roman" w:eastAsia="Times New Roman" w:hAnsi="Times New Roman" w:cs="Times New Roman"/>
        </w:rPr>
        <w:t>Ackerhans</w:t>
      </w:r>
      <w:proofErr w:type="spellEnd"/>
      <w:r>
        <w:rPr>
          <w:rFonts w:ascii="Times New Roman" w:eastAsia="Times New Roman" w:hAnsi="Times New Roman" w:cs="Times New Roman"/>
        </w:rPr>
        <w:t xml:space="preserve"> et al. (2025) and Prince et al. (2025) also demonstrated that AI is capable of causi</w:t>
      </w:r>
      <w:r>
        <w:rPr>
          <w:rFonts w:ascii="Times New Roman" w:eastAsia="Times New Roman" w:hAnsi="Times New Roman" w:cs="Times New Roman"/>
        </w:rPr>
        <w:t>ng interpretive tension and disagreement, as well as identity threat, even in cases of efficiency improvement. Taken together, these studies imply that a more secure human-AI system is one that does not eradicate contestability, allows partial adoption, an</w:t>
      </w:r>
      <w:r>
        <w:rPr>
          <w:rFonts w:ascii="Times New Roman" w:eastAsia="Times New Roman" w:hAnsi="Times New Roman" w:cs="Times New Roman"/>
        </w:rPr>
        <w:t xml:space="preserve">d brings out the existence of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biases.</w:t>
      </w:r>
    </w:p>
    <w:p w14:paraId="272CDBCE"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Table 3: Data Extraction Table for the Included Studies</w:t>
      </w:r>
    </w:p>
    <w:tbl>
      <w:tblPr>
        <w:tblStyle w:val="a3"/>
        <w:tblW w:w="1501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6"/>
        <w:gridCol w:w="1549"/>
        <w:gridCol w:w="1688"/>
        <w:gridCol w:w="2006"/>
        <w:gridCol w:w="1868"/>
        <w:gridCol w:w="1882"/>
        <w:gridCol w:w="2119"/>
        <w:gridCol w:w="2252"/>
      </w:tblGrid>
      <w:tr w:rsidR="00804CA9" w14:paraId="6E522F0F" w14:textId="77777777">
        <w:tc>
          <w:tcPr>
            <w:tcW w:w="1646" w:type="dxa"/>
          </w:tcPr>
          <w:p w14:paraId="7EF9371D"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Study</w:t>
            </w:r>
          </w:p>
        </w:tc>
        <w:tc>
          <w:tcPr>
            <w:tcW w:w="1549" w:type="dxa"/>
          </w:tcPr>
          <w:p w14:paraId="39C4461A"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High-stakes context/participants</w:t>
            </w:r>
          </w:p>
        </w:tc>
        <w:tc>
          <w:tcPr>
            <w:tcW w:w="1688" w:type="dxa"/>
          </w:tcPr>
          <w:p w14:paraId="39C222F2"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AI task/decision setting</w:t>
            </w:r>
          </w:p>
        </w:tc>
        <w:tc>
          <w:tcPr>
            <w:tcW w:w="2006" w:type="dxa"/>
          </w:tcPr>
          <w:p w14:paraId="67C36D09"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HAI interface or interaction strategy</w:t>
            </w:r>
          </w:p>
        </w:tc>
        <w:tc>
          <w:tcPr>
            <w:tcW w:w="1868" w:type="dxa"/>
          </w:tcPr>
          <w:p w14:paraId="4F3AEB47"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Study design/comparator</w:t>
            </w:r>
          </w:p>
        </w:tc>
        <w:tc>
          <w:tcPr>
            <w:tcW w:w="1882" w:type="dxa"/>
          </w:tcPr>
          <w:p w14:paraId="2260EA0C"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Trust, workload, and pe</w:t>
            </w:r>
            <w:r>
              <w:rPr>
                <w:rFonts w:ascii="Times New Roman" w:eastAsia="Times New Roman" w:hAnsi="Times New Roman" w:cs="Times New Roman"/>
                <w:b/>
                <w:bCs/>
              </w:rPr>
              <w:t>rformance measures</w:t>
            </w:r>
          </w:p>
        </w:tc>
        <w:tc>
          <w:tcPr>
            <w:tcW w:w="2119" w:type="dxa"/>
          </w:tcPr>
          <w:p w14:paraId="7AFF8D5F"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Key findings</w:t>
            </w:r>
          </w:p>
        </w:tc>
        <w:tc>
          <w:tcPr>
            <w:tcW w:w="2252" w:type="dxa"/>
          </w:tcPr>
          <w:p w14:paraId="38DF6C80" w14:textId="77777777" w:rsidR="00804CA9" w:rsidRDefault="00992A30">
            <w:pPr>
              <w:jc w:val="center"/>
              <w:rPr>
                <w:rFonts w:ascii="Times New Roman" w:eastAsia="Times New Roman" w:hAnsi="Times New Roman" w:cs="Times New Roman"/>
                <w:b/>
                <w:bCs/>
              </w:rPr>
            </w:pPr>
            <w:r>
              <w:rPr>
                <w:rFonts w:ascii="Times New Roman" w:eastAsia="Times New Roman" w:hAnsi="Times New Roman" w:cs="Times New Roman"/>
                <w:b/>
                <w:bCs/>
              </w:rPr>
              <w:t>Failure mode/design implication</w:t>
            </w:r>
          </w:p>
        </w:tc>
      </w:tr>
      <w:tr w:rsidR="00804CA9" w14:paraId="37A70C3C" w14:textId="77777777">
        <w:tc>
          <w:tcPr>
            <w:tcW w:w="1646" w:type="dxa"/>
          </w:tcPr>
          <w:p w14:paraId="61E43401" w14:textId="77777777" w:rsidR="00804CA9" w:rsidRDefault="00992A30">
            <w:pPr>
              <w:rPr>
                <w:rFonts w:ascii="Times New Roman" w:eastAsia="Times New Roman" w:hAnsi="Times New Roman" w:cs="Times New Roman"/>
              </w:rPr>
            </w:pPr>
            <w:proofErr w:type="spellStart"/>
            <w:r>
              <w:rPr>
                <w:rFonts w:ascii="Times New Roman" w:eastAsia="Times New Roman" w:hAnsi="Times New Roman" w:cs="Times New Roman"/>
                <w:b/>
                <w:bCs/>
              </w:rPr>
              <w:t>Ackerhans</w:t>
            </w:r>
            <w:proofErr w:type="spellEnd"/>
            <w:r>
              <w:rPr>
                <w:rFonts w:ascii="Times New Roman" w:eastAsia="Times New Roman" w:hAnsi="Times New Roman" w:cs="Times New Roman"/>
                <w:b/>
                <w:bCs/>
              </w:rPr>
              <w:t xml:space="preserve"> et al. (2025) – healthcare/sepsis CDSS</w:t>
            </w:r>
          </w:p>
        </w:tc>
        <w:tc>
          <w:tcPr>
            <w:tcW w:w="1549" w:type="dxa"/>
          </w:tcPr>
          <w:p w14:paraId="0AABF763"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Hospital sepsis prevention scenario; 292 medical students and physicians across specialties.</w:t>
            </w:r>
          </w:p>
        </w:tc>
        <w:tc>
          <w:tcPr>
            <w:tcW w:w="1688" w:type="dxa"/>
          </w:tcPr>
          <w:p w14:paraId="023E4F76"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AI-based CDSS for sepsis prediction/prevention.</w:t>
            </w:r>
          </w:p>
        </w:tc>
        <w:tc>
          <w:tcPr>
            <w:tcW w:w="2006" w:type="dxa"/>
          </w:tcPr>
          <w:p w14:paraId="2B7B01B7"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Manipulated </w:t>
            </w:r>
            <w:proofErr w:type="spellStart"/>
            <w:r>
              <w:rPr>
                <w:rFonts w:ascii="Times New Roman" w:eastAsia="Times New Roman" w:hAnsi="Times New Roman" w:cs="Times New Roman"/>
              </w:rPr>
              <w:t>explainability</w:t>
            </w:r>
            <w:proofErr w:type="spellEnd"/>
            <w:r>
              <w:rPr>
                <w:rFonts w:ascii="Times New Roman" w:eastAsia="Times New Roman" w:hAnsi="Times New Roman" w:cs="Times New Roman"/>
              </w:rPr>
              <w:t xml:space="preserve"> of decision outcome, depth of workflow integration, and accountability/signature requirement.</w:t>
            </w:r>
          </w:p>
        </w:tc>
        <w:tc>
          <w:tcPr>
            <w:tcW w:w="1868" w:type="dxa"/>
          </w:tcPr>
          <w:p w14:paraId="28FD8487"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Web-based 2×2×2 factorial between-subject scenario experiment.</w:t>
            </w:r>
          </w:p>
        </w:tc>
        <w:tc>
          <w:tcPr>
            <w:tcW w:w="1882" w:type="dxa"/>
          </w:tcPr>
          <w:p w14:paraId="20D1FE9E"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Trust in AI; perceived professional identity threat; process-design effe</w:t>
            </w:r>
            <w:r>
              <w:rPr>
                <w:rFonts w:ascii="Times New Roman" w:eastAsia="Times New Roman" w:hAnsi="Times New Roman" w:cs="Times New Roman"/>
              </w:rPr>
              <w:t>cts (no workload metric reported in uploaded extract).</w:t>
            </w:r>
          </w:p>
        </w:tc>
        <w:tc>
          <w:tcPr>
            <w:tcW w:w="2119" w:type="dxa"/>
          </w:tcPr>
          <w:p w14:paraId="3321C97E" w14:textId="77777777" w:rsidR="00804CA9" w:rsidRDefault="00992A30">
            <w:pPr>
              <w:rPr>
                <w:rFonts w:ascii="Times New Roman" w:eastAsia="Times New Roman" w:hAnsi="Times New Roman" w:cs="Times New Roman"/>
              </w:rPr>
            </w:pPr>
            <w:proofErr w:type="spellStart"/>
            <w:r>
              <w:rPr>
                <w:rFonts w:ascii="Times New Roman" w:eastAsia="Times New Roman" w:hAnsi="Times New Roman" w:cs="Times New Roman"/>
              </w:rPr>
              <w:t>Explainability</w:t>
            </w:r>
            <w:proofErr w:type="spellEnd"/>
            <w:r>
              <w:rPr>
                <w:rFonts w:ascii="Times New Roman" w:eastAsia="Times New Roman" w:hAnsi="Times New Roman" w:cs="Times New Roman"/>
              </w:rPr>
              <w:t xml:space="preserve"> increased trust (β=.508, </w:t>
            </w:r>
            <w:r>
              <w:rPr>
                <w:rFonts w:ascii="Times New Roman" w:eastAsia="Times New Roman" w:hAnsi="Times New Roman" w:cs="Times New Roman"/>
                <w:i/>
                <w:iCs/>
              </w:rPr>
              <w:t>P</w:t>
            </w:r>
            <w:r>
              <w:rPr>
                <w:rFonts w:ascii="Times New Roman" w:eastAsia="Times New Roman" w:hAnsi="Times New Roman" w:cs="Times New Roman"/>
              </w:rPr>
              <w:t xml:space="preserve">&lt;.001) but also increased identity threat (β=.351, </w:t>
            </w:r>
            <w:r>
              <w:rPr>
                <w:rFonts w:ascii="Times New Roman" w:eastAsia="Times New Roman" w:hAnsi="Times New Roman" w:cs="Times New Roman"/>
                <w:i/>
                <w:iCs/>
              </w:rPr>
              <w:t>P</w:t>
            </w:r>
            <w:r>
              <w:rPr>
                <w:rFonts w:ascii="Times New Roman" w:eastAsia="Times New Roman" w:hAnsi="Times New Roman" w:cs="Times New Roman"/>
              </w:rPr>
              <w:t xml:space="preserve">=.02). Deeper workflow integration increased trust (β=.262, </w:t>
            </w:r>
            <w:r>
              <w:rPr>
                <w:rFonts w:ascii="Times New Roman" w:eastAsia="Times New Roman" w:hAnsi="Times New Roman" w:cs="Times New Roman"/>
                <w:i/>
                <w:iCs/>
              </w:rPr>
              <w:t>P</w:t>
            </w:r>
            <w:r>
              <w:rPr>
                <w:rFonts w:ascii="Times New Roman" w:eastAsia="Times New Roman" w:hAnsi="Times New Roman" w:cs="Times New Roman"/>
              </w:rPr>
              <w:t xml:space="preserve">=.009). Trust partially reduced identity threat (β=–.138, </w:t>
            </w:r>
            <w:r>
              <w:rPr>
                <w:rFonts w:ascii="Times New Roman" w:eastAsia="Times New Roman" w:hAnsi="Times New Roman" w:cs="Times New Roman"/>
                <w:i/>
                <w:iCs/>
              </w:rPr>
              <w:t>P</w:t>
            </w:r>
            <w:r>
              <w:rPr>
                <w:rFonts w:ascii="Times New Roman" w:eastAsia="Times New Roman" w:hAnsi="Times New Roman" w:cs="Times New Roman"/>
              </w:rPr>
              <w:t xml:space="preserve">=.047). Accountability/signature increased identity threat (β=.339, </w:t>
            </w:r>
            <w:r>
              <w:rPr>
                <w:rFonts w:ascii="Times New Roman" w:eastAsia="Times New Roman" w:hAnsi="Times New Roman" w:cs="Times New Roman"/>
                <w:i/>
                <w:iCs/>
              </w:rPr>
              <w:t>P</w:t>
            </w:r>
            <w:r>
              <w:rPr>
                <w:rFonts w:ascii="Times New Roman" w:eastAsia="Times New Roman" w:hAnsi="Times New Roman" w:cs="Times New Roman"/>
              </w:rPr>
              <w:t>=.004).</w:t>
            </w:r>
          </w:p>
        </w:tc>
        <w:tc>
          <w:tcPr>
            <w:tcW w:w="2252" w:type="dxa"/>
          </w:tcPr>
          <w:p w14:paraId="323BB54D"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Transparency and integration can strengthen trust, but accountability and visible AI intrusion into professional roles c</w:t>
            </w:r>
            <w:r>
              <w:rPr>
                <w:rFonts w:ascii="Times New Roman" w:eastAsia="Times New Roman" w:hAnsi="Times New Roman" w:cs="Times New Roman"/>
              </w:rPr>
              <w:t>an trigger resistance; trust calibration must be balanced with role protection.</w:t>
            </w:r>
          </w:p>
        </w:tc>
      </w:tr>
      <w:tr w:rsidR="00804CA9" w14:paraId="27E8D24E" w14:textId="77777777">
        <w:tc>
          <w:tcPr>
            <w:tcW w:w="1646" w:type="dxa"/>
          </w:tcPr>
          <w:p w14:paraId="1E8D3BA8" w14:textId="77777777" w:rsidR="00804CA9" w:rsidRDefault="00992A30">
            <w:pPr>
              <w:rPr>
                <w:rFonts w:ascii="Times New Roman" w:eastAsia="Times New Roman" w:hAnsi="Times New Roman" w:cs="Times New Roman"/>
              </w:rPr>
            </w:pPr>
            <w:r>
              <w:rPr>
                <w:rFonts w:ascii="Times New Roman" w:eastAsia="Times New Roman" w:hAnsi="Times New Roman" w:cs="Times New Roman"/>
                <w:b/>
                <w:bCs/>
              </w:rPr>
              <w:t>Bussone et al. (2015) – clinical diagnosis CDSS</w:t>
            </w:r>
          </w:p>
        </w:tc>
        <w:tc>
          <w:tcPr>
            <w:tcW w:w="1549" w:type="dxa"/>
          </w:tcPr>
          <w:p w14:paraId="2B36580D"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Healthcare professionals diagnosing hypothetical balance-disorder cases using fictional patients.</w:t>
            </w:r>
          </w:p>
        </w:tc>
        <w:tc>
          <w:tcPr>
            <w:tcW w:w="1688" w:type="dxa"/>
          </w:tcPr>
          <w:p w14:paraId="5EDCB127"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Prototype CDSS for diagnostic</w:t>
            </w:r>
            <w:r>
              <w:rPr>
                <w:rFonts w:ascii="Times New Roman" w:eastAsia="Times New Roman" w:hAnsi="Times New Roman" w:cs="Times New Roman"/>
              </w:rPr>
              <w:t xml:space="preserve"> support.</w:t>
            </w:r>
          </w:p>
        </w:tc>
        <w:tc>
          <w:tcPr>
            <w:tcW w:w="2006" w:type="dxa"/>
          </w:tcPr>
          <w:p w14:paraId="53851B7B"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Compared fuller versus less-detailed explanations; also varied displayed system confidence.</w:t>
            </w:r>
          </w:p>
        </w:tc>
        <w:tc>
          <w:tcPr>
            <w:tcW w:w="1868" w:type="dxa"/>
          </w:tcPr>
          <w:p w14:paraId="347C1041"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Exploratory user study with observation of trust and reliance behavior.</w:t>
            </w:r>
          </w:p>
        </w:tc>
        <w:tc>
          <w:tcPr>
            <w:tcW w:w="1882" w:type="dxa"/>
          </w:tcPr>
          <w:p w14:paraId="16886DE6"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Trust, reliance/over-reliance, self-reliance, perceived usefulness of confidence/e</w:t>
            </w:r>
            <w:r>
              <w:rPr>
                <w:rFonts w:ascii="Times New Roman" w:eastAsia="Times New Roman" w:hAnsi="Times New Roman" w:cs="Times New Roman"/>
              </w:rPr>
              <w:t>xplanations.</w:t>
            </w:r>
          </w:p>
        </w:tc>
        <w:tc>
          <w:tcPr>
            <w:tcW w:w="2119" w:type="dxa"/>
          </w:tcPr>
          <w:p w14:paraId="0AECD3B2"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Displayed confidence had only slight effects. Fuller explanations increased trust but also promoted over-reliance. Less-detailed explanations reduced trust and led to self-reliance problems.</w:t>
            </w:r>
          </w:p>
        </w:tc>
        <w:tc>
          <w:tcPr>
            <w:tcW w:w="2252" w:type="dxa"/>
          </w:tcPr>
          <w:p w14:paraId="3A81FD8D"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More explanation is not automatically safer; </w:t>
            </w:r>
            <w:r>
              <w:rPr>
                <w:rFonts w:ascii="Times New Roman" w:eastAsia="Times New Roman" w:hAnsi="Times New Roman" w:cs="Times New Roman"/>
              </w:rPr>
              <w:t>explanation depth must help clinicians verify reasoning, interpret confidence, and make differential diagnoses rather than merely persuade.</w:t>
            </w:r>
          </w:p>
        </w:tc>
      </w:tr>
      <w:tr w:rsidR="00804CA9" w14:paraId="70D93DB9" w14:textId="77777777">
        <w:tc>
          <w:tcPr>
            <w:tcW w:w="1646" w:type="dxa"/>
          </w:tcPr>
          <w:p w14:paraId="29D8CA23" w14:textId="77777777" w:rsidR="00804CA9" w:rsidRDefault="00992A30">
            <w:pPr>
              <w:rPr>
                <w:rFonts w:ascii="Times New Roman" w:eastAsia="Times New Roman" w:hAnsi="Times New Roman" w:cs="Times New Roman"/>
              </w:rPr>
            </w:pPr>
            <w:r>
              <w:rPr>
                <w:rFonts w:ascii="Times New Roman" w:eastAsia="Times New Roman" w:hAnsi="Times New Roman" w:cs="Times New Roman"/>
                <w:b/>
                <w:bCs/>
              </w:rPr>
              <w:lastRenderedPageBreak/>
              <w:t>Cai et al. (2019) – pathology image retrieval</w:t>
            </w:r>
          </w:p>
        </w:tc>
        <w:tc>
          <w:tcPr>
            <w:tcW w:w="1549" w:type="dxa"/>
          </w:tcPr>
          <w:p w14:paraId="7CCF6559"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Pathologists using ML-based image retrieval during medical decision-m</w:t>
            </w:r>
            <w:r>
              <w:rPr>
                <w:rFonts w:ascii="Times New Roman" w:eastAsia="Times New Roman" w:hAnsi="Times New Roman" w:cs="Times New Roman"/>
              </w:rPr>
              <w:t>aking; two evaluations (sample size not stated in uploaded extract).</w:t>
            </w:r>
          </w:p>
        </w:tc>
        <w:tc>
          <w:tcPr>
            <w:tcW w:w="1688" w:type="dxa"/>
          </w:tcPr>
          <w:p w14:paraId="3B6FEFDC"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Deep-learning retrieval of visually similar pathology images from prior cases.</w:t>
            </w:r>
          </w:p>
        </w:tc>
        <w:tc>
          <w:tcPr>
            <w:tcW w:w="2006" w:type="dxa"/>
          </w:tcPr>
          <w:p w14:paraId="50518D62"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Human-centered refinement tools enabling on-the-fly control of similarity criteria and exploration of retrie</w:t>
            </w:r>
            <w:r>
              <w:rPr>
                <w:rFonts w:ascii="Times New Roman" w:eastAsia="Times New Roman" w:hAnsi="Times New Roman" w:cs="Times New Roman"/>
              </w:rPr>
              <w:t>ved cases.</w:t>
            </w:r>
          </w:p>
        </w:tc>
        <w:tc>
          <w:tcPr>
            <w:tcW w:w="1868" w:type="dxa"/>
          </w:tcPr>
          <w:p w14:paraId="63A9C6DC"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Needs assessment plus two interface evaluations against a more traditional interface.</w:t>
            </w:r>
          </w:p>
        </w:tc>
        <w:tc>
          <w:tcPr>
            <w:tcW w:w="1882" w:type="dxa"/>
          </w:tcPr>
          <w:p w14:paraId="033ED319"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Diagnostic utility of retrieved images, user trust, interface preference, diagnostic accuracy.</w:t>
            </w:r>
          </w:p>
        </w:tc>
        <w:tc>
          <w:tcPr>
            <w:tcW w:w="2119" w:type="dxa"/>
          </w:tcPr>
          <w:p w14:paraId="1C350C26"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Refinement tools increased diagnostic utility and user trust, we</w:t>
            </w:r>
            <w:r>
              <w:rPr>
                <w:rFonts w:ascii="Times New Roman" w:eastAsia="Times New Roman" w:hAnsi="Times New Roman" w:cs="Times New Roman"/>
              </w:rPr>
              <w:t>re preferred over a traditional interface, and did not reduce diagnostic accuracy. Users also repurposed the tools to interrogate the algorithm and distinguish model error from human error.</w:t>
            </w:r>
          </w:p>
        </w:tc>
        <w:tc>
          <w:tcPr>
            <w:tcW w:w="2252" w:type="dxa"/>
          </w:tcPr>
          <w:p w14:paraId="3A1FCBC6"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Interactive controls can support calibrated trust by making algori</w:t>
            </w:r>
            <w:r>
              <w:rPr>
                <w:rFonts w:ascii="Times New Roman" w:eastAsia="Times New Roman" w:hAnsi="Times New Roman" w:cs="Times New Roman"/>
              </w:rPr>
              <w:t>thmic similarity contestable and tunable, reducing passive acceptance of retrieved outputs.</w:t>
            </w:r>
          </w:p>
        </w:tc>
      </w:tr>
      <w:tr w:rsidR="00804CA9" w14:paraId="766E1275" w14:textId="77777777">
        <w:tc>
          <w:tcPr>
            <w:tcW w:w="1646" w:type="dxa"/>
          </w:tcPr>
          <w:p w14:paraId="5921D765" w14:textId="77777777" w:rsidR="00804CA9" w:rsidRDefault="00992A30">
            <w:pPr>
              <w:rPr>
                <w:rFonts w:ascii="Times New Roman" w:eastAsia="Times New Roman" w:hAnsi="Times New Roman" w:cs="Times New Roman"/>
              </w:rPr>
            </w:pPr>
            <w:r>
              <w:rPr>
                <w:rFonts w:ascii="Times New Roman" w:eastAsia="Times New Roman" w:hAnsi="Times New Roman" w:cs="Times New Roman"/>
                <w:b/>
                <w:bCs/>
              </w:rPr>
              <w:t>Gentile et al. (2025) – condition-based maintenance</w:t>
            </w:r>
          </w:p>
        </w:tc>
        <w:tc>
          <w:tcPr>
            <w:tcW w:w="1549" w:type="dxa"/>
          </w:tcPr>
          <w:p w14:paraId="02511AD5"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Hydraulic-system condition diagnosis; 24 participants in a digital work environment.</w:t>
            </w:r>
          </w:p>
        </w:tc>
        <w:tc>
          <w:tcPr>
            <w:tcW w:w="1688" w:type="dxa"/>
          </w:tcPr>
          <w:p w14:paraId="7C7F0862"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Supervised ML decision aid</w:t>
            </w:r>
            <w:r>
              <w:rPr>
                <w:rFonts w:ascii="Times New Roman" w:eastAsia="Times New Roman" w:hAnsi="Times New Roman" w:cs="Times New Roman"/>
              </w:rPr>
              <w:t xml:space="preserve"> for maintenance diagnosis.</w:t>
            </w:r>
          </w:p>
        </w:tc>
        <w:tc>
          <w:tcPr>
            <w:tcW w:w="2006" w:type="dxa"/>
          </w:tcPr>
          <w:p w14:paraId="3071A1D9"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Compared baseline/no explanation, </w:t>
            </w:r>
            <w:proofErr w:type="spellStart"/>
            <w:r>
              <w:rPr>
                <w:rFonts w:ascii="Times New Roman" w:eastAsia="Times New Roman" w:hAnsi="Times New Roman" w:cs="Times New Roman"/>
              </w:rPr>
              <w:t>normative+contrastive</w:t>
            </w:r>
            <w:proofErr w:type="spellEnd"/>
            <w:r>
              <w:rPr>
                <w:rFonts w:ascii="Times New Roman" w:eastAsia="Times New Roman" w:hAnsi="Times New Roman" w:cs="Times New Roman"/>
              </w:rPr>
              <w:t xml:space="preserve"> explanations, </w:t>
            </w:r>
            <w:proofErr w:type="spellStart"/>
            <w:r>
              <w:rPr>
                <w:rFonts w:ascii="Times New Roman" w:eastAsia="Times New Roman" w:hAnsi="Times New Roman" w:cs="Times New Roman"/>
              </w:rPr>
              <w:t>normative+counterfactual</w:t>
            </w:r>
            <w:proofErr w:type="spellEnd"/>
            <w:r>
              <w:rPr>
                <w:rFonts w:ascii="Times New Roman" w:eastAsia="Times New Roman" w:hAnsi="Times New Roman" w:cs="Times New Roman"/>
              </w:rPr>
              <w:t xml:space="preserve"> explanations, and all three combined.</w:t>
            </w:r>
          </w:p>
        </w:tc>
        <w:tc>
          <w:tcPr>
            <w:tcW w:w="1868" w:type="dxa"/>
          </w:tcPr>
          <w:p w14:paraId="125AD12F"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Controlled experiment with four explanation conditions.</w:t>
            </w:r>
          </w:p>
        </w:tc>
        <w:tc>
          <w:tcPr>
            <w:tcW w:w="1882" w:type="dxa"/>
          </w:tcPr>
          <w:p w14:paraId="4117B943"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Decision performance, false alarm rate,</w:t>
            </w:r>
            <w:r>
              <w:rPr>
                <w:rFonts w:ascii="Times New Roman" w:eastAsia="Times New Roman" w:hAnsi="Times New Roman" w:cs="Times New Roman"/>
              </w:rPr>
              <w:t xml:space="preserve"> decision time, workload.</w:t>
            </w:r>
          </w:p>
        </w:tc>
        <w:tc>
          <w:tcPr>
            <w:tcW w:w="2119" w:type="dxa"/>
          </w:tcPr>
          <w:p w14:paraId="462B1A3A"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No significant overall performance differences across explanation conditions. The combined </w:t>
            </w:r>
            <w:proofErr w:type="spellStart"/>
            <w:r>
              <w:rPr>
                <w:rFonts w:ascii="Times New Roman" w:eastAsia="Times New Roman" w:hAnsi="Times New Roman" w:cs="Times New Roman"/>
              </w:rPr>
              <w:t>normative+contrastive+counterfactual</w:t>
            </w:r>
            <w:proofErr w:type="spellEnd"/>
            <w:r>
              <w:rPr>
                <w:rFonts w:ascii="Times New Roman" w:eastAsia="Times New Roman" w:hAnsi="Times New Roman" w:cs="Times New Roman"/>
              </w:rPr>
              <w:t xml:space="preserve"> condition reduced false alarms, while counterfactual-containing conditions showed potential reductions</w:t>
            </w:r>
            <w:r>
              <w:rPr>
                <w:rFonts w:ascii="Times New Roman" w:eastAsia="Times New Roman" w:hAnsi="Times New Roman" w:cs="Times New Roman"/>
              </w:rPr>
              <w:t xml:space="preserve"> in decision time and workload.</w:t>
            </w:r>
          </w:p>
        </w:tc>
        <w:tc>
          <w:tcPr>
            <w:tcW w:w="2252" w:type="dxa"/>
          </w:tcPr>
          <w:p w14:paraId="7E9A0992"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Counterfactuals may ease cognitive burden, but their value depends on how they are bundled with other explanation forms; explanation complexity should not be assumed to improve accuracy.</w:t>
            </w:r>
          </w:p>
        </w:tc>
      </w:tr>
      <w:tr w:rsidR="00804CA9" w14:paraId="5F2F0068" w14:textId="77777777">
        <w:tc>
          <w:tcPr>
            <w:tcW w:w="1646" w:type="dxa"/>
          </w:tcPr>
          <w:p w14:paraId="77C70C69" w14:textId="77777777" w:rsidR="00804CA9" w:rsidRDefault="00992A30">
            <w:pPr>
              <w:rPr>
                <w:rFonts w:ascii="Times New Roman" w:eastAsia="Times New Roman" w:hAnsi="Times New Roman" w:cs="Times New Roman"/>
              </w:rPr>
            </w:pPr>
            <w:r>
              <w:rPr>
                <w:rFonts w:ascii="Times New Roman" w:eastAsia="Times New Roman" w:hAnsi="Times New Roman" w:cs="Times New Roman"/>
                <w:b/>
                <w:bCs/>
              </w:rPr>
              <w:t xml:space="preserve">Gomez et al. (2024) – telehealth </w:t>
            </w:r>
            <w:r>
              <w:rPr>
                <w:rFonts w:ascii="Times New Roman" w:eastAsia="Times New Roman" w:hAnsi="Times New Roman" w:cs="Times New Roman"/>
                <w:b/>
                <w:bCs/>
              </w:rPr>
              <w:lastRenderedPageBreak/>
              <w:t>inf</w:t>
            </w:r>
            <w:r>
              <w:rPr>
                <w:rFonts w:ascii="Times New Roman" w:eastAsia="Times New Roman" w:hAnsi="Times New Roman" w:cs="Times New Roman"/>
                <w:b/>
                <w:bCs/>
              </w:rPr>
              <w:t>ectious-disease screening</w:t>
            </w:r>
          </w:p>
        </w:tc>
        <w:tc>
          <w:tcPr>
            <w:tcW w:w="1549" w:type="dxa"/>
          </w:tcPr>
          <w:p w14:paraId="2A34065E"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 xml:space="preserve">Telehealth strep throat screening; </w:t>
            </w:r>
            <w:r>
              <w:rPr>
                <w:rFonts w:ascii="Times New Roman" w:eastAsia="Times New Roman" w:hAnsi="Times New Roman" w:cs="Times New Roman"/>
              </w:rPr>
              <w:lastRenderedPageBreak/>
              <w:t>121 telehealth providers.</w:t>
            </w:r>
          </w:p>
        </w:tc>
        <w:tc>
          <w:tcPr>
            <w:tcW w:w="1688" w:type="dxa"/>
          </w:tcPr>
          <w:p w14:paraId="28E4FF1E"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 xml:space="preserve">AI CDSS predicting streptococcal </w:t>
            </w:r>
            <w:r>
              <w:rPr>
                <w:rFonts w:ascii="Times New Roman" w:eastAsia="Times New Roman" w:hAnsi="Times New Roman" w:cs="Times New Roman"/>
              </w:rPr>
              <w:lastRenderedPageBreak/>
              <w:t>pharyngitis from smartphone throat images.</w:t>
            </w:r>
          </w:p>
        </w:tc>
        <w:tc>
          <w:tcPr>
            <w:tcW w:w="2006" w:type="dxa"/>
          </w:tcPr>
          <w:p w14:paraId="741BF9DD"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 xml:space="preserve">Three explainable-AI CDSS prototypes </w:t>
            </w:r>
            <w:r>
              <w:rPr>
                <w:rFonts w:ascii="Times New Roman" w:eastAsia="Times New Roman" w:hAnsi="Times New Roman" w:cs="Times New Roman"/>
              </w:rPr>
              <w:lastRenderedPageBreak/>
              <w:t xml:space="preserve">introduced after a validated baseline aid (Modified </w:t>
            </w:r>
            <w:proofErr w:type="spellStart"/>
            <w:r>
              <w:rPr>
                <w:rFonts w:ascii="Times New Roman" w:eastAsia="Times New Roman" w:hAnsi="Times New Roman" w:cs="Times New Roman"/>
              </w:rPr>
              <w:t>Cent</w:t>
            </w:r>
            <w:r>
              <w:rPr>
                <w:rFonts w:ascii="Times New Roman" w:eastAsia="Times New Roman" w:hAnsi="Times New Roman" w:cs="Times New Roman"/>
              </w:rPr>
              <w:t>or</w:t>
            </w:r>
            <w:proofErr w:type="spellEnd"/>
            <w:r>
              <w:rPr>
                <w:rFonts w:ascii="Times New Roman" w:eastAsia="Times New Roman" w:hAnsi="Times New Roman" w:cs="Times New Roman"/>
              </w:rPr>
              <w:t xml:space="preserve"> Score).</w:t>
            </w:r>
          </w:p>
        </w:tc>
        <w:tc>
          <w:tcPr>
            <w:tcW w:w="1868" w:type="dxa"/>
          </w:tcPr>
          <w:p w14:paraId="704D7690"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 xml:space="preserve">Randomized online experiment </w:t>
            </w:r>
            <w:r>
              <w:rPr>
                <w:rFonts w:ascii="Times New Roman" w:eastAsia="Times New Roman" w:hAnsi="Times New Roman" w:cs="Times New Roman"/>
              </w:rPr>
              <w:lastRenderedPageBreak/>
              <w:t>using clinical vignettes and linear-model analysis.</w:t>
            </w:r>
          </w:p>
        </w:tc>
        <w:tc>
          <w:tcPr>
            <w:tcW w:w="1882" w:type="dxa"/>
          </w:tcPr>
          <w:p w14:paraId="66CA6613"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 xml:space="preserve">Prediction accuracy, confirmatory </w:t>
            </w:r>
            <w:r>
              <w:rPr>
                <w:rFonts w:ascii="Times New Roman" w:eastAsia="Times New Roman" w:hAnsi="Times New Roman" w:cs="Times New Roman"/>
              </w:rPr>
              <w:lastRenderedPageBreak/>
              <w:t>testing rate, perceived trust, perceived understanding, agreement with AI.</w:t>
            </w:r>
          </w:p>
        </w:tc>
        <w:tc>
          <w:tcPr>
            <w:tcW w:w="2119" w:type="dxa"/>
          </w:tcPr>
          <w:p w14:paraId="7DBAD92A"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 xml:space="preserve">AI-based CDSS improved clinicians’ </w:t>
            </w:r>
            <w:r>
              <w:rPr>
                <w:rFonts w:ascii="Times New Roman" w:eastAsia="Times New Roman" w:hAnsi="Times New Roman" w:cs="Times New Roman"/>
              </w:rPr>
              <w:lastRenderedPageBreak/>
              <w:t>predictions relative</w:t>
            </w:r>
            <w:r>
              <w:rPr>
                <w:rFonts w:ascii="Times New Roman" w:eastAsia="Times New Roman" w:hAnsi="Times New Roman" w:cs="Times New Roman"/>
              </w:rPr>
              <w:t xml:space="preserve"> to the </w:t>
            </w:r>
            <w:proofErr w:type="spellStart"/>
            <w:r>
              <w:rPr>
                <w:rFonts w:ascii="Times New Roman" w:eastAsia="Times New Roman" w:hAnsi="Times New Roman" w:cs="Times New Roman"/>
              </w:rPr>
              <w:t>Centor</w:t>
            </w:r>
            <w:proofErr w:type="spellEnd"/>
            <w:r>
              <w:rPr>
                <w:rFonts w:ascii="Times New Roman" w:eastAsia="Times New Roman" w:hAnsi="Times New Roman" w:cs="Times New Roman"/>
              </w:rPr>
              <w:t xml:space="preserve"> Score. Yet providers reported lower trust in AI advice than in the </w:t>
            </w:r>
            <w:proofErr w:type="spellStart"/>
            <w:r>
              <w:rPr>
                <w:rFonts w:ascii="Times New Roman" w:eastAsia="Times New Roman" w:hAnsi="Times New Roman" w:cs="Times New Roman"/>
              </w:rPr>
              <w:t>Centor</w:t>
            </w:r>
            <w:proofErr w:type="spellEnd"/>
            <w:r>
              <w:rPr>
                <w:rFonts w:ascii="Times New Roman" w:eastAsia="Times New Roman" w:hAnsi="Times New Roman" w:cs="Times New Roman"/>
              </w:rPr>
              <w:t xml:space="preserve"> baseline and requested more in-person confirmatory testing despite higher agreement with AI outputs.</w:t>
            </w:r>
          </w:p>
        </w:tc>
        <w:tc>
          <w:tcPr>
            <w:tcW w:w="2252" w:type="dxa"/>
          </w:tcPr>
          <w:p w14:paraId="042A208A"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 xml:space="preserve">Accuracy gains do not guarantee calibrated </w:t>
            </w:r>
            <w:r>
              <w:rPr>
                <w:rFonts w:ascii="Times New Roman" w:eastAsia="Times New Roman" w:hAnsi="Times New Roman" w:cs="Times New Roman"/>
              </w:rPr>
              <w:lastRenderedPageBreak/>
              <w:t xml:space="preserve">acceptance; unfamiliar </w:t>
            </w:r>
            <w:r>
              <w:rPr>
                <w:rFonts w:ascii="Times New Roman" w:eastAsia="Times New Roman" w:hAnsi="Times New Roman" w:cs="Times New Roman"/>
              </w:rPr>
              <w:t>AI representations may provoke defensive checking, especially where overtreatment and missed diagnosis carry consequences.</w:t>
            </w:r>
          </w:p>
        </w:tc>
      </w:tr>
      <w:tr w:rsidR="00804CA9" w14:paraId="5C9696A5" w14:textId="77777777">
        <w:tc>
          <w:tcPr>
            <w:tcW w:w="1646" w:type="dxa"/>
          </w:tcPr>
          <w:p w14:paraId="292F916A" w14:textId="77777777" w:rsidR="00804CA9" w:rsidRDefault="00992A30">
            <w:pPr>
              <w:rPr>
                <w:rFonts w:ascii="Times New Roman" w:eastAsia="Times New Roman" w:hAnsi="Times New Roman" w:cs="Times New Roman"/>
              </w:rPr>
            </w:pPr>
            <w:r>
              <w:rPr>
                <w:rFonts w:ascii="Times New Roman" w:eastAsia="Times New Roman" w:hAnsi="Times New Roman" w:cs="Times New Roman"/>
                <w:b/>
                <w:bCs/>
              </w:rPr>
              <w:lastRenderedPageBreak/>
              <w:t>Hurter et al. (2024) – air traffic control</w:t>
            </w:r>
          </w:p>
        </w:tc>
        <w:tc>
          <w:tcPr>
            <w:tcW w:w="1549" w:type="dxa"/>
          </w:tcPr>
          <w:p w14:paraId="20EA5E1C"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21 air traffic controllers evaluating a machine-learning DSS in air traffic management.</w:t>
            </w:r>
          </w:p>
        </w:tc>
        <w:tc>
          <w:tcPr>
            <w:tcW w:w="1688" w:type="dxa"/>
          </w:tcPr>
          <w:p w14:paraId="5A292067"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ML-supported conflict management / decision support in ATM.</w:t>
            </w:r>
          </w:p>
        </w:tc>
        <w:tc>
          <w:tcPr>
            <w:tcW w:w="2006" w:type="dxa"/>
          </w:tcPr>
          <w:p w14:paraId="76CCED26"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Compared three levels of </w:t>
            </w:r>
            <w:proofErr w:type="spellStart"/>
            <w:r>
              <w:rPr>
                <w:rFonts w:ascii="Times New Roman" w:eastAsia="Times New Roman" w:hAnsi="Times New Roman" w:cs="Times New Roman"/>
              </w:rPr>
              <w:t>explainability</w:t>
            </w:r>
            <w:proofErr w:type="spellEnd"/>
            <w:r>
              <w:rPr>
                <w:rFonts w:ascii="Times New Roman" w:eastAsia="Times New Roman" w:hAnsi="Times New Roman" w:cs="Times New Roman"/>
              </w:rPr>
              <w:t xml:space="preserve"> and visualization transparency in the DSS.</w:t>
            </w:r>
          </w:p>
        </w:tc>
        <w:tc>
          <w:tcPr>
            <w:tcW w:w="1868" w:type="dxa"/>
          </w:tcPr>
          <w:p w14:paraId="2EB2D3ED"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Controlled validation study/case study with end-user air traffic controllers.</w:t>
            </w:r>
          </w:p>
        </w:tc>
        <w:tc>
          <w:tcPr>
            <w:tcW w:w="1882" w:type="dxa"/>
          </w:tcPr>
          <w:p w14:paraId="1D78EE29"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User ratings of transparency, usefu</w:t>
            </w:r>
            <w:r>
              <w:rPr>
                <w:rFonts w:ascii="Times New Roman" w:eastAsia="Times New Roman" w:hAnsi="Times New Roman" w:cs="Times New Roman"/>
              </w:rPr>
              <w:t>lness, acceptance, training value, and trust-related perceptions.</w:t>
            </w:r>
          </w:p>
        </w:tc>
        <w:tc>
          <w:tcPr>
            <w:tcW w:w="2119" w:type="dxa"/>
          </w:tcPr>
          <w:p w14:paraId="4355642D"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Explainable and transparent AI was seen as promising for trust-building, training, and operational acceptance, with benefits strongest when information improved controller understanding rath</w:t>
            </w:r>
            <w:r>
              <w:rPr>
                <w:rFonts w:ascii="Times New Roman" w:eastAsia="Times New Roman" w:hAnsi="Times New Roman" w:cs="Times New Roman"/>
              </w:rPr>
              <w:t>er than merely adding detail.</w:t>
            </w:r>
          </w:p>
        </w:tc>
        <w:tc>
          <w:tcPr>
            <w:tcW w:w="2252" w:type="dxa"/>
          </w:tcPr>
          <w:p w14:paraId="3DF0DE8D"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In safety-critical control rooms, transparency must support controller reasoning and training, not overload already complex displays.</w:t>
            </w:r>
          </w:p>
        </w:tc>
      </w:tr>
      <w:tr w:rsidR="00804CA9" w14:paraId="7F31472F" w14:textId="77777777">
        <w:tc>
          <w:tcPr>
            <w:tcW w:w="1646" w:type="dxa"/>
          </w:tcPr>
          <w:p w14:paraId="181E2677" w14:textId="77777777" w:rsidR="00804CA9" w:rsidRDefault="00992A30">
            <w:pPr>
              <w:rPr>
                <w:rFonts w:ascii="Times New Roman" w:eastAsia="Times New Roman" w:hAnsi="Times New Roman" w:cs="Times New Roman"/>
              </w:rPr>
            </w:pPr>
            <w:r>
              <w:rPr>
                <w:rFonts w:ascii="Times New Roman" w:eastAsia="Times New Roman" w:hAnsi="Times New Roman" w:cs="Times New Roman"/>
                <w:b/>
                <w:bCs/>
              </w:rPr>
              <w:t>Lee &amp; Chew (2023) – post-stroke motion assessment</w:t>
            </w:r>
          </w:p>
        </w:tc>
        <w:tc>
          <w:tcPr>
            <w:tcW w:w="1549" w:type="dxa"/>
          </w:tcPr>
          <w:p w14:paraId="57B653A2"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7 physical therapists and 10 non-experts </w:t>
            </w:r>
            <w:r>
              <w:rPr>
                <w:rFonts w:ascii="Times New Roman" w:eastAsia="Times New Roman" w:hAnsi="Times New Roman" w:cs="Times New Roman"/>
              </w:rPr>
              <w:t>evaluating AI-based motion assessment.</w:t>
            </w:r>
          </w:p>
        </w:tc>
        <w:tc>
          <w:tcPr>
            <w:tcW w:w="1688" w:type="dxa"/>
          </w:tcPr>
          <w:p w14:paraId="08B354BB"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Clinical assessment support for post-stroke movement quality.</w:t>
            </w:r>
          </w:p>
        </w:tc>
        <w:tc>
          <w:tcPr>
            <w:tcW w:w="2006" w:type="dxa"/>
          </w:tcPr>
          <w:p w14:paraId="62C64C78"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Compared counterfactual explanations with saliency-map explanations.</w:t>
            </w:r>
          </w:p>
        </w:tc>
        <w:tc>
          <w:tcPr>
            <w:tcW w:w="1868" w:type="dxa"/>
          </w:tcPr>
          <w:p w14:paraId="6C707CD2"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Experimental comparison of explanation formats under correct and incorrect AI predicti</w:t>
            </w:r>
            <w:r>
              <w:rPr>
                <w:rFonts w:ascii="Times New Roman" w:eastAsia="Times New Roman" w:hAnsi="Times New Roman" w:cs="Times New Roman"/>
              </w:rPr>
              <w:t>ons.</w:t>
            </w:r>
          </w:p>
        </w:tc>
        <w:tc>
          <w:tcPr>
            <w:tcW w:w="1882" w:type="dxa"/>
          </w:tcPr>
          <w:p w14:paraId="32716D57"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Reliance/over-reliance, correctness of final decisions, explanation preference.</w:t>
            </w:r>
          </w:p>
        </w:tc>
        <w:tc>
          <w:tcPr>
            <w:tcW w:w="2119" w:type="dxa"/>
          </w:tcPr>
          <w:p w14:paraId="447C6F8F"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Even when aware of AI fallibility, users over-relied on incorrect AI outputs. Counterfactual explanations reduced over-reliance by 21% </w:t>
            </w:r>
            <w:r>
              <w:rPr>
                <w:rFonts w:ascii="Times New Roman" w:eastAsia="Times New Roman" w:hAnsi="Times New Roman" w:cs="Times New Roman"/>
              </w:rPr>
              <w:lastRenderedPageBreak/>
              <w:t>compared with saliency explanations.</w:t>
            </w:r>
          </w:p>
        </w:tc>
        <w:tc>
          <w:tcPr>
            <w:tcW w:w="2252" w:type="dxa"/>
          </w:tcPr>
          <w:p w14:paraId="74D08954"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Counterfactuals appear more effective than feature-highlighting alone for helping users challenge wrong AI decisions.</w:t>
            </w:r>
          </w:p>
        </w:tc>
      </w:tr>
      <w:tr w:rsidR="00804CA9" w14:paraId="21E9D8C9" w14:textId="77777777">
        <w:tc>
          <w:tcPr>
            <w:tcW w:w="1646" w:type="dxa"/>
          </w:tcPr>
          <w:p w14:paraId="2084D707" w14:textId="77777777" w:rsidR="00804CA9" w:rsidRDefault="00992A30">
            <w:pPr>
              <w:rPr>
                <w:rFonts w:ascii="Times New Roman" w:eastAsia="Times New Roman" w:hAnsi="Times New Roman" w:cs="Times New Roman"/>
              </w:rPr>
            </w:pPr>
            <w:r>
              <w:rPr>
                <w:rFonts w:ascii="Times New Roman" w:eastAsia="Times New Roman" w:hAnsi="Times New Roman" w:cs="Times New Roman"/>
                <w:b/>
                <w:bCs/>
              </w:rPr>
              <w:t>Lester et al. (2025) – medication verification</w:t>
            </w:r>
          </w:p>
        </w:tc>
        <w:tc>
          <w:tcPr>
            <w:tcW w:w="1549" w:type="dxa"/>
          </w:tcPr>
          <w:p w14:paraId="2339F240"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30 pharmacists in a web-based mock medication verification task.</w:t>
            </w:r>
          </w:p>
        </w:tc>
        <w:tc>
          <w:tcPr>
            <w:tcW w:w="1688" w:type="dxa"/>
          </w:tcPr>
          <w:p w14:paraId="010F3867"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AI support for medication verification and approval decisions.</w:t>
            </w:r>
          </w:p>
        </w:tc>
        <w:tc>
          <w:tcPr>
            <w:tcW w:w="2006" w:type="dxa"/>
          </w:tcPr>
          <w:p w14:paraId="3FF36EE8"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Compared black-box AI versus uncertainty-aware AI.</w:t>
            </w:r>
          </w:p>
        </w:tc>
        <w:tc>
          <w:tcPr>
            <w:tcW w:w="1868" w:type="dxa"/>
          </w:tcPr>
          <w:p w14:paraId="78F2898E"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Randomized controlled experiment.</w:t>
            </w:r>
          </w:p>
        </w:tc>
        <w:tc>
          <w:tcPr>
            <w:tcW w:w="1882" w:type="dxa"/>
          </w:tcPr>
          <w:p w14:paraId="0B93F8A3"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Reaction time, rate of harmful approval decisions, trust-related safe reliance behavior.</w:t>
            </w:r>
          </w:p>
        </w:tc>
        <w:tc>
          <w:tcPr>
            <w:tcW w:w="2119" w:type="dxa"/>
          </w:tcPr>
          <w:p w14:paraId="46B635FE"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Uncertainty-aware A</w:t>
            </w:r>
            <w:r>
              <w:rPr>
                <w:rFonts w:ascii="Times New Roman" w:eastAsia="Times New Roman" w:hAnsi="Times New Roman" w:cs="Times New Roman"/>
              </w:rPr>
              <w:t>I reduced reaction times in most cases and helped pharmacists avoid harmful incorrect approvals compared with black-box AI.</w:t>
            </w:r>
          </w:p>
        </w:tc>
        <w:tc>
          <w:tcPr>
            <w:tcW w:w="2252" w:type="dxa"/>
          </w:tcPr>
          <w:p w14:paraId="574234A1"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Communicated uncertainty can improve both speed and safety when the task is verification-focused and time sensitive.</w:t>
            </w:r>
          </w:p>
        </w:tc>
      </w:tr>
      <w:tr w:rsidR="00804CA9" w14:paraId="43057FE1" w14:textId="77777777">
        <w:tc>
          <w:tcPr>
            <w:tcW w:w="1646" w:type="dxa"/>
          </w:tcPr>
          <w:p w14:paraId="232E57C2" w14:textId="77777777" w:rsidR="00804CA9" w:rsidRDefault="00992A30">
            <w:pPr>
              <w:rPr>
                <w:rFonts w:ascii="Times New Roman" w:eastAsia="Times New Roman" w:hAnsi="Times New Roman" w:cs="Times New Roman"/>
              </w:rPr>
            </w:pPr>
            <w:proofErr w:type="spellStart"/>
            <w:r>
              <w:rPr>
                <w:rFonts w:ascii="Times New Roman" w:eastAsia="Times New Roman" w:hAnsi="Times New Roman" w:cs="Times New Roman"/>
                <w:b/>
                <w:bCs/>
              </w:rPr>
              <w:t>Naiseh</w:t>
            </w:r>
            <w:proofErr w:type="spellEnd"/>
            <w:r>
              <w:rPr>
                <w:rFonts w:ascii="Times New Roman" w:eastAsia="Times New Roman" w:hAnsi="Times New Roman" w:cs="Times New Roman"/>
                <w:b/>
                <w:bCs/>
              </w:rPr>
              <w:t xml:space="preserve"> et al. </w:t>
            </w:r>
            <w:r>
              <w:rPr>
                <w:rFonts w:ascii="Times New Roman" w:eastAsia="Times New Roman" w:hAnsi="Times New Roman" w:cs="Times New Roman"/>
                <w:b/>
                <w:bCs/>
              </w:rPr>
              <w:t>(2023) – clinical XAI interfaces</w:t>
            </w:r>
          </w:p>
        </w:tc>
        <w:tc>
          <w:tcPr>
            <w:tcW w:w="1549" w:type="dxa"/>
          </w:tcPr>
          <w:p w14:paraId="43E984EB"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Clinical decision-support context; participant details not fully specified in uploaded extract.</w:t>
            </w:r>
          </w:p>
        </w:tc>
        <w:tc>
          <w:tcPr>
            <w:tcW w:w="1688" w:type="dxa"/>
          </w:tcPr>
          <w:p w14:paraId="709D043C"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Clinical AI decision support.</w:t>
            </w:r>
          </w:p>
        </w:tc>
        <w:tc>
          <w:tcPr>
            <w:tcW w:w="2006" w:type="dxa"/>
          </w:tcPr>
          <w:p w14:paraId="52B85BF8"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Compared four explanation classes for XAI interfaces.</w:t>
            </w:r>
          </w:p>
        </w:tc>
        <w:tc>
          <w:tcPr>
            <w:tcW w:w="1868" w:type="dxa"/>
          </w:tcPr>
          <w:p w14:paraId="05AD21C6"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Empirical comparison of explanation classes</w:t>
            </w:r>
            <w:r>
              <w:rPr>
                <w:rFonts w:ascii="Times New Roman" w:eastAsia="Times New Roman" w:hAnsi="Times New Roman" w:cs="Times New Roman"/>
              </w:rPr>
              <w:t>.</w:t>
            </w:r>
          </w:p>
        </w:tc>
        <w:tc>
          <w:tcPr>
            <w:tcW w:w="1882" w:type="dxa"/>
          </w:tcPr>
          <w:p w14:paraId="5DF552E3"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Trust calibration, understandability, explanation usefulness.</w:t>
            </w:r>
          </w:p>
        </w:tc>
        <w:tc>
          <w:tcPr>
            <w:tcW w:w="2119" w:type="dxa"/>
          </w:tcPr>
          <w:p w14:paraId="2779C3E1"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Two explanation classes were more understandable than the others, but explanations could still trigger over-reliance depending on presentation and context.</w:t>
            </w:r>
          </w:p>
        </w:tc>
        <w:tc>
          <w:tcPr>
            <w:tcW w:w="2252" w:type="dxa"/>
          </w:tcPr>
          <w:p w14:paraId="055C5A6B"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Explanation type matters; </w:t>
            </w:r>
            <w:r>
              <w:rPr>
                <w:rFonts w:ascii="Times New Roman" w:eastAsia="Times New Roman" w:hAnsi="Times New Roman" w:cs="Times New Roman"/>
              </w:rPr>
              <w:t>interpretability must be aligned with the user’s task and not treated as inherently trust-calibrating.</w:t>
            </w:r>
          </w:p>
        </w:tc>
      </w:tr>
      <w:tr w:rsidR="00804CA9" w14:paraId="39C5F561" w14:textId="77777777">
        <w:tc>
          <w:tcPr>
            <w:tcW w:w="1646" w:type="dxa"/>
          </w:tcPr>
          <w:p w14:paraId="4507BFBE" w14:textId="77777777" w:rsidR="00804CA9" w:rsidRDefault="00992A30">
            <w:pPr>
              <w:rPr>
                <w:rFonts w:ascii="Times New Roman" w:eastAsia="Times New Roman" w:hAnsi="Times New Roman" w:cs="Times New Roman"/>
              </w:rPr>
            </w:pPr>
            <w:r>
              <w:rPr>
                <w:rFonts w:ascii="Times New Roman" w:eastAsia="Times New Roman" w:hAnsi="Times New Roman" w:cs="Times New Roman"/>
                <w:b/>
                <w:bCs/>
              </w:rPr>
              <w:t>Prince et al. (2025) – pediatric neuro-oncology imaging</w:t>
            </w:r>
          </w:p>
        </w:tc>
        <w:tc>
          <w:tcPr>
            <w:tcW w:w="1549" w:type="dxa"/>
          </w:tcPr>
          <w:p w14:paraId="5553B02B"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6 expert clinicians interpreting radiographic images of </w:t>
            </w:r>
            <w:proofErr w:type="spellStart"/>
            <w:r>
              <w:rPr>
                <w:rFonts w:ascii="Times New Roman" w:eastAsia="Times New Roman" w:hAnsi="Times New Roman" w:cs="Times New Roman"/>
              </w:rPr>
              <w:t>adamantinomatous</w:t>
            </w:r>
            <w:proofErr w:type="spellEnd"/>
            <w:r>
              <w:rPr>
                <w:rFonts w:ascii="Times New Roman" w:eastAsia="Times New Roman" w:hAnsi="Times New Roman" w:cs="Times New Roman"/>
              </w:rPr>
              <w:t xml:space="preserve"> craniopharyngioma.</w:t>
            </w:r>
          </w:p>
        </w:tc>
        <w:tc>
          <w:tcPr>
            <w:tcW w:w="1688" w:type="dxa"/>
          </w:tcPr>
          <w:p w14:paraId="069A3ACA"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AI-a</w:t>
            </w:r>
            <w:r>
              <w:rPr>
                <w:rFonts w:ascii="Times New Roman" w:eastAsia="Times New Roman" w:hAnsi="Times New Roman" w:cs="Times New Roman"/>
              </w:rPr>
              <w:t>ssisted radiographic interpretation.</w:t>
            </w:r>
          </w:p>
        </w:tc>
        <w:tc>
          <w:tcPr>
            <w:tcW w:w="2006" w:type="dxa"/>
          </w:tcPr>
          <w:p w14:paraId="65CE10B3"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AI decision-support overlays/recommendations integrated into expert image interpretation workflow.</w:t>
            </w:r>
          </w:p>
        </w:tc>
        <w:tc>
          <w:tcPr>
            <w:tcW w:w="1868" w:type="dxa"/>
          </w:tcPr>
          <w:p w14:paraId="2D63A182"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Applied expert evaluation/case study.</w:t>
            </w:r>
          </w:p>
        </w:tc>
        <w:tc>
          <w:tcPr>
            <w:tcW w:w="1882" w:type="dxa"/>
          </w:tcPr>
          <w:p w14:paraId="6237C314"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Perceived difficulty, efficiency, confidence, expert agreement/disagreement.</w:t>
            </w:r>
          </w:p>
        </w:tc>
        <w:tc>
          <w:tcPr>
            <w:tcW w:w="2119" w:type="dxa"/>
          </w:tcPr>
          <w:p w14:paraId="1043C1B7"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AI su</w:t>
            </w:r>
            <w:r>
              <w:rPr>
                <w:rFonts w:ascii="Times New Roman" w:eastAsia="Times New Roman" w:hAnsi="Times New Roman" w:cs="Times New Roman"/>
              </w:rPr>
              <w:t>pport reduced perceived difficulty in most cases and was viewed as useful for efficiency, but it also surfaced disagreement and interpretive tension among experts.</w:t>
            </w:r>
          </w:p>
        </w:tc>
        <w:tc>
          <w:tcPr>
            <w:tcW w:w="2252" w:type="dxa"/>
          </w:tcPr>
          <w:p w14:paraId="126B4F18"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Even high-expertise users may not converge around AI outputs; interfaces should preserve roo</w:t>
            </w:r>
            <w:r>
              <w:rPr>
                <w:rFonts w:ascii="Times New Roman" w:eastAsia="Times New Roman" w:hAnsi="Times New Roman" w:cs="Times New Roman"/>
              </w:rPr>
              <w:t>m for expert deliberation rather than imply singular correctness.</w:t>
            </w:r>
          </w:p>
        </w:tc>
      </w:tr>
      <w:tr w:rsidR="00804CA9" w14:paraId="0EA77E46" w14:textId="77777777">
        <w:tc>
          <w:tcPr>
            <w:tcW w:w="1646" w:type="dxa"/>
          </w:tcPr>
          <w:p w14:paraId="7A6363C6" w14:textId="77777777" w:rsidR="00804CA9" w:rsidRDefault="00992A30">
            <w:pPr>
              <w:rPr>
                <w:rFonts w:ascii="Times New Roman" w:eastAsia="Times New Roman" w:hAnsi="Times New Roman" w:cs="Times New Roman"/>
              </w:rPr>
            </w:pPr>
            <w:proofErr w:type="spellStart"/>
            <w:r>
              <w:rPr>
                <w:rFonts w:ascii="Times New Roman" w:eastAsia="Times New Roman" w:hAnsi="Times New Roman" w:cs="Times New Roman"/>
                <w:b/>
                <w:bCs/>
              </w:rPr>
              <w:t>Salimzadeh</w:t>
            </w:r>
            <w:proofErr w:type="spellEnd"/>
            <w:r>
              <w:rPr>
                <w:rFonts w:ascii="Times New Roman" w:eastAsia="Times New Roman" w:hAnsi="Times New Roman" w:cs="Times New Roman"/>
                <w:b/>
                <w:bCs/>
              </w:rPr>
              <w:t xml:space="preserve"> et al. (2024) – uncertainty/reliance study </w:t>
            </w:r>
            <w:r>
              <w:rPr>
                <w:rFonts w:ascii="Times New Roman" w:eastAsia="Times New Roman" w:hAnsi="Times New Roman" w:cs="Times New Roman"/>
                <w:b/>
                <w:bCs/>
              </w:rPr>
              <w:lastRenderedPageBreak/>
              <w:t>(scope-borderline)</w:t>
            </w:r>
          </w:p>
        </w:tc>
        <w:tc>
          <w:tcPr>
            <w:tcW w:w="1549" w:type="dxa"/>
          </w:tcPr>
          <w:p w14:paraId="51F7A574"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 xml:space="preserve">Experimental assisted decision-making task; </w:t>
            </w:r>
            <w:r>
              <w:rPr>
                <w:rFonts w:ascii="Times New Roman" w:eastAsia="Times New Roman" w:hAnsi="Times New Roman" w:cs="Times New Roman"/>
              </w:rPr>
              <w:lastRenderedPageBreak/>
              <w:t>participant details not fully specified in uploaded extract.</w:t>
            </w:r>
          </w:p>
        </w:tc>
        <w:tc>
          <w:tcPr>
            <w:tcW w:w="1688" w:type="dxa"/>
          </w:tcPr>
          <w:p w14:paraId="24933D2B"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 xml:space="preserve">Prognostic </w:t>
            </w:r>
            <w:r>
              <w:rPr>
                <w:rFonts w:ascii="Times New Roman" w:eastAsia="Times New Roman" w:hAnsi="Times New Roman" w:cs="Times New Roman"/>
              </w:rPr>
              <w:t xml:space="preserve">versus diagnostic AI-assisted </w:t>
            </w:r>
            <w:r>
              <w:rPr>
                <w:rFonts w:ascii="Times New Roman" w:eastAsia="Times New Roman" w:hAnsi="Times New Roman" w:cs="Times New Roman"/>
              </w:rPr>
              <w:lastRenderedPageBreak/>
              <w:t>decision-making under uncertainty.</w:t>
            </w:r>
          </w:p>
        </w:tc>
        <w:tc>
          <w:tcPr>
            <w:tcW w:w="2006" w:type="dxa"/>
          </w:tcPr>
          <w:p w14:paraId="3F9E4EEC"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Manipulated task framing and uncertainty conditions.</w:t>
            </w:r>
          </w:p>
        </w:tc>
        <w:tc>
          <w:tcPr>
            <w:tcW w:w="1868" w:type="dxa"/>
          </w:tcPr>
          <w:p w14:paraId="37468555"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Comparative experimental study.</w:t>
            </w:r>
          </w:p>
        </w:tc>
        <w:tc>
          <w:tcPr>
            <w:tcW w:w="1882" w:type="dxa"/>
          </w:tcPr>
          <w:p w14:paraId="2775E04D"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Trust, reliance, task difficulty effects.</w:t>
            </w:r>
          </w:p>
        </w:tc>
        <w:tc>
          <w:tcPr>
            <w:tcW w:w="2119" w:type="dxa"/>
          </w:tcPr>
          <w:p w14:paraId="702ABC51"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Increasing task complexity and uncertainty increased reliance </w:t>
            </w:r>
            <w:r>
              <w:rPr>
                <w:rFonts w:ascii="Times New Roman" w:eastAsia="Times New Roman" w:hAnsi="Times New Roman" w:cs="Times New Roman"/>
              </w:rPr>
              <w:lastRenderedPageBreak/>
              <w:t>on</w:t>
            </w:r>
            <w:r>
              <w:rPr>
                <w:rFonts w:ascii="Times New Roman" w:eastAsia="Times New Roman" w:hAnsi="Times New Roman" w:cs="Times New Roman"/>
              </w:rPr>
              <w:t xml:space="preserve"> AI without necessarily increasing self-reported trust.</w:t>
            </w:r>
          </w:p>
        </w:tc>
        <w:tc>
          <w:tcPr>
            <w:tcW w:w="2252" w:type="dxa"/>
          </w:tcPr>
          <w:p w14:paraId="3287612B"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 xml:space="preserve">Reliance and trust are not interchangeable; interface evaluation </w:t>
            </w:r>
            <w:r>
              <w:rPr>
                <w:rFonts w:ascii="Times New Roman" w:eastAsia="Times New Roman" w:hAnsi="Times New Roman" w:cs="Times New Roman"/>
              </w:rPr>
              <w:lastRenderedPageBreak/>
              <w:t>should capture both behavioral uptake and subjective trust.</w:t>
            </w:r>
          </w:p>
        </w:tc>
      </w:tr>
      <w:tr w:rsidR="00804CA9" w14:paraId="3DBF65A4" w14:textId="77777777">
        <w:tc>
          <w:tcPr>
            <w:tcW w:w="1646" w:type="dxa"/>
          </w:tcPr>
          <w:p w14:paraId="4AA3FA21" w14:textId="77777777" w:rsidR="00804CA9" w:rsidRDefault="00992A30">
            <w:pPr>
              <w:rPr>
                <w:rFonts w:ascii="Times New Roman" w:eastAsia="Times New Roman" w:hAnsi="Times New Roman" w:cs="Times New Roman"/>
              </w:rPr>
            </w:pPr>
            <w:proofErr w:type="spellStart"/>
            <w:r>
              <w:rPr>
                <w:rFonts w:ascii="Times New Roman" w:eastAsia="Times New Roman" w:hAnsi="Times New Roman" w:cs="Times New Roman"/>
                <w:b/>
                <w:bCs/>
              </w:rPr>
              <w:lastRenderedPageBreak/>
              <w:t>Sivaraman</w:t>
            </w:r>
            <w:proofErr w:type="spellEnd"/>
            <w:r>
              <w:rPr>
                <w:rFonts w:ascii="Times New Roman" w:eastAsia="Times New Roman" w:hAnsi="Times New Roman" w:cs="Times New Roman"/>
                <w:b/>
                <w:bCs/>
              </w:rPr>
              <w:t xml:space="preserve"> et al. (2023) – sepsis treatment recommendations</w:t>
            </w:r>
          </w:p>
        </w:tc>
        <w:tc>
          <w:tcPr>
            <w:tcW w:w="1549" w:type="dxa"/>
          </w:tcPr>
          <w:p w14:paraId="0FBF8E65"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24 intensive ca</w:t>
            </w:r>
            <w:r>
              <w:rPr>
                <w:rFonts w:ascii="Times New Roman" w:eastAsia="Times New Roman" w:hAnsi="Times New Roman" w:cs="Times New Roman"/>
              </w:rPr>
              <w:t>re clinicians using AI-based sepsis treatment recommendations.</w:t>
            </w:r>
          </w:p>
        </w:tc>
        <w:tc>
          <w:tcPr>
            <w:tcW w:w="1688" w:type="dxa"/>
          </w:tcPr>
          <w:p w14:paraId="42C67A54"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AI recommendations for sepsis management.</w:t>
            </w:r>
          </w:p>
        </w:tc>
        <w:tc>
          <w:tcPr>
            <w:tcW w:w="2006" w:type="dxa"/>
          </w:tcPr>
          <w:p w14:paraId="534FC6D9"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Interpretable recommendation interface showing treatment advice and explanation elements.</w:t>
            </w:r>
          </w:p>
        </w:tc>
        <w:tc>
          <w:tcPr>
            <w:tcW w:w="1868" w:type="dxa"/>
          </w:tcPr>
          <w:p w14:paraId="368C66F9"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Qualitative/experimental evaluation of clinician interaction </w:t>
            </w:r>
            <w:r>
              <w:rPr>
                <w:rFonts w:ascii="Times New Roman" w:eastAsia="Times New Roman" w:hAnsi="Times New Roman" w:cs="Times New Roman"/>
              </w:rPr>
              <w:t>with AI recommendations.</w:t>
            </w:r>
          </w:p>
        </w:tc>
        <w:tc>
          <w:tcPr>
            <w:tcW w:w="1882" w:type="dxa"/>
          </w:tcPr>
          <w:p w14:paraId="435726C3"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Acceptance, negotiation behavior, confidence in recommendations, interpretability.</w:t>
            </w:r>
          </w:p>
        </w:tc>
        <w:tc>
          <w:tcPr>
            <w:tcW w:w="2119" w:type="dxa"/>
          </w:tcPr>
          <w:p w14:paraId="0176EB8C"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Clinicians did not simply accept or reject recommendations; they often negotiated with them by modifying, delaying, or partially using the advice. I</w:t>
            </w:r>
            <w:r>
              <w:rPr>
                <w:rFonts w:ascii="Times New Roman" w:eastAsia="Times New Roman" w:hAnsi="Times New Roman" w:cs="Times New Roman"/>
              </w:rPr>
              <w:t>nterpretability increased confidence but did not eliminate selective uptake.</w:t>
            </w:r>
          </w:p>
        </w:tc>
        <w:tc>
          <w:tcPr>
            <w:tcW w:w="2252" w:type="dxa"/>
          </w:tcPr>
          <w:p w14:paraId="4A371221"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Effective HAI may need to support negotiation and partial adoption, not just binary acceptance/rejection.</w:t>
            </w:r>
          </w:p>
        </w:tc>
      </w:tr>
      <w:tr w:rsidR="00804CA9" w14:paraId="4EB2CCAB" w14:textId="77777777">
        <w:tc>
          <w:tcPr>
            <w:tcW w:w="1646" w:type="dxa"/>
          </w:tcPr>
          <w:p w14:paraId="72AB07DC" w14:textId="77777777" w:rsidR="00804CA9" w:rsidRDefault="00992A30">
            <w:pPr>
              <w:rPr>
                <w:rFonts w:ascii="Times New Roman" w:eastAsia="Times New Roman" w:hAnsi="Times New Roman" w:cs="Times New Roman"/>
              </w:rPr>
            </w:pPr>
            <w:r>
              <w:rPr>
                <w:rFonts w:ascii="Times New Roman" w:eastAsia="Times New Roman" w:hAnsi="Times New Roman" w:cs="Times New Roman"/>
                <w:b/>
                <w:bCs/>
              </w:rPr>
              <w:t xml:space="preserve">Vicente &amp; </w:t>
            </w:r>
            <w:proofErr w:type="spellStart"/>
            <w:r>
              <w:rPr>
                <w:rFonts w:ascii="Times New Roman" w:eastAsia="Times New Roman" w:hAnsi="Times New Roman" w:cs="Times New Roman"/>
                <w:b/>
                <w:bCs/>
              </w:rPr>
              <w:t>Matute</w:t>
            </w:r>
            <w:proofErr w:type="spellEnd"/>
            <w:r>
              <w:rPr>
                <w:rFonts w:ascii="Times New Roman" w:eastAsia="Times New Roman" w:hAnsi="Times New Roman" w:cs="Times New Roman"/>
                <w:b/>
                <w:bCs/>
              </w:rPr>
              <w:t xml:space="preserve"> (2023) – AI bias inheritance</w:t>
            </w:r>
          </w:p>
        </w:tc>
        <w:tc>
          <w:tcPr>
            <w:tcW w:w="1549" w:type="dxa"/>
          </w:tcPr>
          <w:p w14:paraId="26598779"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Simulated medical diagnosi</w:t>
            </w:r>
            <w:r>
              <w:rPr>
                <w:rFonts w:ascii="Times New Roman" w:eastAsia="Times New Roman" w:hAnsi="Times New Roman" w:cs="Times New Roman"/>
              </w:rPr>
              <w:t>s task with human participants.</w:t>
            </w:r>
          </w:p>
        </w:tc>
        <w:tc>
          <w:tcPr>
            <w:tcW w:w="1688" w:type="dxa"/>
          </w:tcPr>
          <w:p w14:paraId="53AEECDF"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AI-assisted diagnostic classification.</w:t>
            </w:r>
          </w:p>
        </w:tc>
        <w:tc>
          <w:tcPr>
            <w:tcW w:w="2006" w:type="dxa"/>
          </w:tcPr>
          <w:p w14:paraId="78C1FE86"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Participants exposed to biased AI recommendations during diagnostic decisions.</w:t>
            </w:r>
          </w:p>
        </w:tc>
        <w:tc>
          <w:tcPr>
            <w:tcW w:w="1868" w:type="dxa"/>
          </w:tcPr>
          <w:p w14:paraId="454E60E0"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Experimental study of bias transfer and persistence after AI removal.</w:t>
            </w:r>
          </w:p>
        </w:tc>
        <w:tc>
          <w:tcPr>
            <w:tcW w:w="1882" w:type="dxa"/>
          </w:tcPr>
          <w:p w14:paraId="6AE75780"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Decision bias, persistence of biased</w:t>
            </w:r>
            <w:r>
              <w:rPr>
                <w:rFonts w:ascii="Times New Roman" w:eastAsia="Times New Roman" w:hAnsi="Times New Roman" w:cs="Times New Roman"/>
              </w:rPr>
              <w:t xml:space="preserve"> judgments, trust-related behavioral carryover.</w:t>
            </w:r>
          </w:p>
        </w:tc>
        <w:tc>
          <w:tcPr>
            <w:tcW w:w="2119" w:type="dxa"/>
          </w:tcPr>
          <w:p w14:paraId="4814B971"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Participants inherited the AI’s diagnostic bias and continued reproducing it even after the AI support was removed.</w:t>
            </w:r>
          </w:p>
        </w:tc>
        <w:tc>
          <w:tcPr>
            <w:tcW w:w="2252" w:type="dxa"/>
          </w:tcPr>
          <w:p w14:paraId="5E1B0C46"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Automation effects can persist beyond immediate interaction; interfaces should actively help</w:t>
            </w:r>
            <w:r>
              <w:rPr>
                <w:rFonts w:ascii="Times New Roman" w:eastAsia="Times New Roman" w:hAnsi="Times New Roman" w:cs="Times New Roman"/>
              </w:rPr>
              <w:t xml:space="preserve"> users detect and correct biased guidance.</w:t>
            </w:r>
          </w:p>
        </w:tc>
      </w:tr>
      <w:tr w:rsidR="00804CA9" w14:paraId="36979A88" w14:textId="77777777">
        <w:tc>
          <w:tcPr>
            <w:tcW w:w="1646" w:type="dxa"/>
          </w:tcPr>
          <w:p w14:paraId="3C62A3E6" w14:textId="77777777" w:rsidR="00804CA9" w:rsidRDefault="00992A30">
            <w:pPr>
              <w:rPr>
                <w:rFonts w:ascii="Times New Roman" w:eastAsia="Times New Roman" w:hAnsi="Times New Roman" w:cs="Times New Roman"/>
              </w:rPr>
            </w:pPr>
            <w:proofErr w:type="spellStart"/>
            <w:r>
              <w:rPr>
                <w:rFonts w:ascii="Times New Roman" w:eastAsia="Times New Roman" w:hAnsi="Times New Roman" w:cs="Times New Roman"/>
                <w:b/>
                <w:bCs/>
              </w:rPr>
              <w:t>Viebahn</w:t>
            </w:r>
            <w:proofErr w:type="spellEnd"/>
            <w:r>
              <w:rPr>
                <w:rFonts w:ascii="Times New Roman" w:eastAsia="Times New Roman" w:hAnsi="Times New Roman" w:cs="Times New Roman"/>
                <w:b/>
                <w:bCs/>
              </w:rPr>
              <w:t xml:space="preserve"> et al. (2025) – power grid congestion management</w:t>
            </w:r>
          </w:p>
        </w:tc>
        <w:tc>
          <w:tcPr>
            <w:tcW w:w="1549" w:type="dxa"/>
          </w:tcPr>
          <w:p w14:paraId="2F3677FC"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Full end-user population of a transmission-system-operator DSS in a real </w:t>
            </w:r>
            <w:r>
              <w:rPr>
                <w:rFonts w:ascii="Times New Roman" w:eastAsia="Times New Roman" w:hAnsi="Times New Roman" w:cs="Times New Roman"/>
              </w:rPr>
              <w:lastRenderedPageBreak/>
              <w:t>power-grid management context.</w:t>
            </w:r>
          </w:p>
        </w:tc>
        <w:tc>
          <w:tcPr>
            <w:tcW w:w="1688" w:type="dxa"/>
          </w:tcPr>
          <w:p w14:paraId="57A5D8AF"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AI-based decision support for congestion management</w:t>
            </w:r>
            <w:r>
              <w:rPr>
                <w:rFonts w:ascii="Times New Roman" w:eastAsia="Times New Roman" w:hAnsi="Times New Roman" w:cs="Times New Roman"/>
              </w:rPr>
              <w:t>.</w:t>
            </w:r>
          </w:p>
        </w:tc>
        <w:tc>
          <w:tcPr>
            <w:tcW w:w="2006" w:type="dxa"/>
          </w:tcPr>
          <w:p w14:paraId="10769F1F"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Operational DSS evaluated for UX, trust, and workload in grid-control setting.</w:t>
            </w:r>
          </w:p>
        </w:tc>
        <w:tc>
          <w:tcPr>
            <w:tcW w:w="1868" w:type="dxa"/>
          </w:tcPr>
          <w:p w14:paraId="31C3312B"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Applied user-experience evaluation with end users.</w:t>
            </w:r>
          </w:p>
        </w:tc>
        <w:tc>
          <w:tcPr>
            <w:tcW w:w="1882" w:type="dxa"/>
          </w:tcPr>
          <w:p w14:paraId="28420E59"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Trust/acceptance, task success, NASA-TLX workload, System Usability Scale (SUS).</w:t>
            </w:r>
          </w:p>
        </w:tc>
        <w:tc>
          <w:tcPr>
            <w:tcW w:w="2119" w:type="dxa"/>
          </w:tcPr>
          <w:p w14:paraId="092D2A00"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The DSS received high overall UX scores wit</w:t>
            </w:r>
            <w:r>
              <w:rPr>
                <w:rFonts w:ascii="Times New Roman" w:eastAsia="Times New Roman" w:hAnsi="Times New Roman" w:cs="Times New Roman"/>
              </w:rPr>
              <w:t xml:space="preserve">h acceptable workload and good usability, demonstrating the </w:t>
            </w:r>
            <w:r>
              <w:rPr>
                <w:rFonts w:ascii="Times New Roman" w:eastAsia="Times New Roman" w:hAnsi="Times New Roman" w:cs="Times New Roman"/>
              </w:rPr>
              <w:lastRenderedPageBreak/>
              <w:t>value of formal UX evaluation in critical infrastructure deployment.</w:t>
            </w:r>
          </w:p>
        </w:tc>
        <w:tc>
          <w:tcPr>
            <w:tcW w:w="2252" w:type="dxa"/>
          </w:tcPr>
          <w:p w14:paraId="24B10849"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lastRenderedPageBreak/>
              <w:t xml:space="preserve">Real-world deployment should assess workload and usability alongside technical performance to </w:t>
            </w:r>
            <w:r>
              <w:rPr>
                <w:rFonts w:ascii="Times New Roman" w:eastAsia="Times New Roman" w:hAnsi="Times New Roman" w:cs="Times New Roman"/>
              </w:rPr>
              <w:lastRenderedPageBreak/>
              <w:t>avoid hidden operational burdens.</w:t>
            </w:r>
          </w:p>
        </w:tc>
      </w:tr>
      <w:tr w:rsidR="00804CA9" w14:paraId="4317CC92" w14:textId="77777777">
        <w:tc>
          <w:tcPr>
            <w:tcW w:w="1646" w:type="dxa"/>
          </w:tcPr>
          <w:p w14:paraId="71102E37" w14:textId="77777777" w:rsidR="00804CA9" w:rsidRDefault="00992A30">
            <w:pPr>
              <w:rPr>
                <w:rFonts w:ascii="Times New Roman" w:eastAsia="Times New Roman" w:hAnsi="Times New Roman" w:cs="Times New Roman"/>
              </w:rPr>
            </w:pPr>
            <w:proofErr w:type="spellStart"/>
            <w:r>
              <w:rPr>
                <w:rFonts w:ascii="Times New Roman" w:eastAsia="Times New Roman" w:hAnsi="Times New Roman" w:cs="Times New Roman"/>
                <w:b/>
                <w:bCs/>
              </w:rPr>
              <w:lastRenderedPageBreak/>
              <w:t>Xie</w:t>
            </w:r>
            <w:proofErr w:type="spellEnd"/>
            <w:r>
              <w:rPr>
                <w:rFonts w:ascii="Times New Roman" w:eastAsia="Times New Roman" w:hAnsi="Times New Roman" w:cs="Times New Roman"/>
                <w:b/>
                <w:bCs/>
              </w:rPr>
              <w:t xml:space="preserve"> et al. (2020) – </w:t>
            </w:r>
            <w:proofErr w:type="spellStart"/>
            <w:r>
              <w:rPr>
                <w:rFonts w:ascii="Times New Roman" w:eastAsia="Times New Roman" w:hAnsi="Times New Roman" w:cs="Times New Roman"/>
                <w:b/>
                <w:bCs/>
              </w:rPr>
              <w:t>CheXplain</w:t>
            </w:r>
            <w:proofErr w:type="spellEnd"/>
            <w:r>
              <w:rPr>
                <w:rFonts w:ascii="Times New Roman" w:eastAsia="Times New Roman" w:hAnsi="Times New Roman" w:cs="Times New Roman"/>
                <w:b/>
                <w:bCs/>
              </w:rPr>
              <w:t xml:space="preserve"> chest X-ray support</w:t>
            </w:r>
          </w:p>
        </w:tc>
        <w:tc>
          <w:tcPr>
            <w:tcW w:w="1549" w:type="dxa"/>
          </w:tcPr>
          <w:p w14:paraId="14C9F9E1"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Physicians interacting with AI-supported chest X-ray analysis; survey, co-design, and evaluation phases.</w:t>
            </w:r>
          </w:p>
        </w:tc>
        <w:tc>
          <w:tcPr>
            <w:tcW w:w="1688" w:type="dxa"/>
          </w:tcPr>
          <w:p w14:paraId="2383F6FF"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AI-enabled medical imaging analysis for chest radiographs.</w:t>
            </w:r>
          </w:p>
        </w:tc>
        <w:tc>
          <w:tcPr>
            <w:tcW w:w="2006" w:type="dxa"/>
          </w:tcPr>
          <w:p w14:paraId="18A74857"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Co-designed explanation interface </w:t>
            </w:r>
            <w:r>
              <w:rPr>
                <w:rFonts w:ascii="Times New Roman" w:eastAsia="Times New Roman" w:hAnsi="Times New Roman" w:cs="Times New Roman"/>
              </w:rPr>
              <w:t>enabling exploration and understanding of model outputs.</w:t>
            </w:r>
          </w:p>
        </w:tc>
        <w:tc>
          <w:tcPr>
            <w:tcW w:w="1868" w:type="dxa"/>
          </w:tcPr>
          <w:p w14:paraId="648EF1D1"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User-centered design study with clinician involvement across design and evaluation.</w:t>
            </w:r>
          </w:p>
        </w:tc>
        <w:tc>
          <w:tcPr>
            <w:tcW w:w="1882" w:type="dxa"/>
          </w:tcPr>
          <w:p w14:paraId="5ADFD250"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Perceived usefulness, interpretability, support for reasoning and exploration.</w:t>
            </w:r>
          </w:p>
        </w:tc>
        <w:tc>
          <w:tcPr>
            <w:tcW w:w="2119" w:type="dxa"/>
          </w:tcPr>
          <w:p w14:paraId="57943CC6"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Physicians valued interfaces that al</w:t>
            </w:r>
            <w:r>
              <w:rPr>
                <w:rFonts w:ascii="Times New Roman" w:eastAsia="Times New Roman" w:hAnsi="Times New Roman" w:cs="Times New Roman"/>
              </w:rPr>
              <w:t>lowed exploration, justification, and understanding of outputs rather than static one-shot explanations.</w:t>
            </w:r>
          </w:p>
        </w:tc>
        <w:tc>
          <w:tcPr>
            <w:tcW w:w="2252" w:type="dxa"/>
          </w:tcPr>
          <w:p w14:paraId="6CEC5F7A"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Explanation interfaces should support sense-making and inquiry, especially in image-based diagnosis where users need to inspect evidence paths.</w:t>
            </w:r>
          </w:p>
        </w:tc>
      </w:tr>
      <w:tr w:rsidR="00804CA9" w14:paraId="2BDA95EA" w14:textId="77777777">
        <w:tc>
          <w:tcPr>
            <w:tcW w:w="1646" w:type="dxa"/>
          </w:tcPr>
          <w:p w14:paraId="030FE39F" w14:textId="77777777" w:rsidR="00804CA9" w:rsidRDefault="00992A30">
            <w:pPr>
              <w:rPr>
                <w:rFonts w:ascii="Times New Roman" w:eastAsia="Times New Roman" w:hAnsi="Times New Roman" w:cs="Times New Roman"/>
              </w:rPr>
            </w:pPr>
            <w:r>
              <w:rPr>
                <w:rFonts w:ascii="Times New Roman" w:eastAsia="Times New Roman" w:hAnsi="Times New Roman" w:cs="Times New Roman"/>
                <w:b/>
                <w:bCs/>
              </w:rPr>
              <w:t xml:space="preserve">Zhang </w:t>
            </w:r>
            <w:r>
              <w:rPr>
                <w:rFonts w:ascii="Times New Roman" w:eastAsia="Times New Roman" w:hAnsi="Times New Roman" w:cs="Times New Roman"/>
                <w:b/>
                <w:bCs/>
              </w:rPr>
              <w:t xml:space="preserve">et al. (2024) – </w:t>
            </w:r>
            <w:proofErr w:type="spellStart"/>
            <w:r>
              <w:rPr>
                <w:rFonts w:ascii="Times New Roman" w:eastAsia="Times New Roman" w:hAnsi="Times New Roman" w:cs="Times New Roman"/>
                <w:b/>
                <w:bCs/>
              </w:rPr>
              <w:t>SepsisLab</w:t>
            </w:r>
            <w:proofErr w:type="spellEnd"/>
          </w:p>
        </w:tc>
        <w:tc>
          <w:tcPr>
            <w:tcW w:w="1549" w:type="dxa"/>
          </w:tcPr>
          <w:p w14:paraId="139BF16E"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6 clinicians evaluating an uncertainty-aware sepsis-diagnosis support prototype.</w:t>
            </w:r>
          </w:p>
        </w:tc>
        <w:tc>
          <w:tcPr>
            <w:tcW w:w="1688" w:type="dxa"/>
          </w:tcPr>
          <w:p w14:paraId="6089B1F3"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Sepsis diagnosis support with future-risk estimation.</w:t>
            </w:r>
          </w:p>
        </w:tc>
        <w:tc>
          <w:tcPr>
            <w:tcW w:w="2006" w:type="dxa"/>
          </w:tcPr>
          <w:p w14:paraId="1D7C8F78"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Prototype visualized future sepsis risk, uncertainty, and recommended additional laboratory tes</w:t>
            </w:r>
            <w:r>
              <w:rPr>
                <w:rFonts w:ascii="Times New Roman" w:eastAsia="Times New Roman" w:hAnsi="Times New Roman" w:cs="Times New Roman"/>
              </w:rPr>
              <w:t>ts.</w:t>
            </w:r>
          </w:p>
        </w:tc>
        <w:tc>
          <w:tcPr>
            <w:tcW w:w="1868" w:type="dxa"/>
          </w:tcPr>
          <w:p w14:paraId="4E98C06A"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Heuristic evaluation / prototype assessment with clinicians.</w:t>
            </w:r>
          </w:p>
        </w:tc>
        <w:tc>
          <w:tcPr>
            <w:tcW w:w="1882" w:type="dxa"/>
          </w:tcPr>
          <w:p w14:paraId="551A89D5"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Perceived utility, support for uncertainty handling, diagnostic reasoning support.</w:t>
            </w:r>
          </w:p>
        </w:tc>
        <w:tc>
          <w:tcPr>
            <w:tcW w:w="2119" w:type="dxa"/>
          </w:tcPr>
          <w:p w14:paraId="76269CB9"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Clinicians viewed the system as promising because it helped them reason about uncertainty and identify next </w:t>
            </w:r>
            <w:r>
              <w:rPr>
                <w:rFonts w:ascii="Times New Roman" w:eastAsia="Times New Roman" w:hAnsi="Times New Roman" w:cs="Times New Roman"/>
              </w:rPr>
              <w:t>steps, rather than simply presenting a final risk score.</w:t>
            </w:r>
          </w:p>
        </w:tc>
        <w:tc>
          <w:tcPr>
            <w:tcW w:w="2252" w:type="dxa"/>
          </w:tcPr>
          <w:p w14:paraId="42575813"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Uncertainty is more actionable when paired with guidance on what information could reduce it.</w:t>
            </w:r>
          </w:p>
        </w:tc>
      </w:tr>
      <w:tr w:rsidR="00804CA9" w14:paraId="2A533771" w14:textId="77777777">
        <w:tc>
          <w:tcPr>
            <w:tcW w:w="1646" w:type="dxa"/>
          </w:tcPr>
          <w:p w14:paraId="7BB5F0A5" w14:textId="77777777" w:rsidR="00804CA9" w:rsidRDefault="00992A30">
            <w:pPr>
              <w:rPr>
                <w:rFonts w:ascii="Times New Roman" w:eastAsia="Times New Roman" w:hAnsi="Times New Roman" w:cs="Times New Roman"/>
              </w:rPr>
            </w:pPr>
            <w:proofErr w:type="spellStart"/>
            <w:r>
              <w:rPr>
                <w:rFonts w:ascii="Times New Roman" w:eastAsia="Times New Roman" w:hAnsi="Times New Roman" w:cs="Times New Roman"/>
                <w:b/>
                <w:bCs/>
              </w:rPr>
              <w:t>Zohrevandi</w:t>
            </w:r>
            <w:proofErr w:type="spellEnd"/>
            <w:r>
              <w:rPr>
                <w:rFonts w:ascii="Times New Roman" w:eastAsia="Times New Roman" w:hAnsi="Times New Roman" w:cs="Times New Roman"/>
                <w:b/>
                <w:bCs/>
              </w:rPr>
              <w:t xml:space="preserve"> et al. (2022) – ecological visual analytics in ATC</w:t>
            </w:r>
          </w:p>
        </w:tc>
        <w:tc>
          <w:tcPr>
            <w:tcW w:w="1549" w:type="dxa"/>
          </w:tcPr>
          <w:p w14:paraId="0DDDE474"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45 novices plus expert comparison in air </w:t>
            </w:r>
            <w:r>
              <w:rPr>
                <w:rFonts w:ascii="Times New Roman" w:eastAsia="Times New Roman" w:hAnsi="Times New Roman" w:cs="Times New Roman"/>
              </w:rPr>
              <w:t>traffic control conflict-resolution tasks.</w:t>
            </w:r>
          </w:p>
        </w:tc>
        <w:tc>
          <w:tcPr>
            <w:tcW w:w="1688" w:type="dxa"/>
          </w:tcPr>
          <w:p w14:paraId="1491E905"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Visual analytics support for ATC conflict understanding and resolution.</w:t>
            </w:r>
          </w:p>
        </w:tc>
        <w:tc>
          <w:tcPr>
            <w:tcW w:w="2006" w:type="dxa"/>
          </w:tcPr>
          <w:p w14:paraId="3CA5251B"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Ecological interface/visual analytics emphasizing system relationships and constraints.</w:t>
            </w:r>
          </w:p>
        </w:tc>
        <w:tc>
          <w:tcPr>
            <w:tcW w:w="1868" w:type="dxa"/>
          </w:tcPr>
          <w:p w14:paraId="268D50CE"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Comparative human-in-the-loop study.</w:t>
            </w:r>
          </w:p>
        </w:tc>
        <w:tc>
          <w:tcPr>
            <w:tcW w:w="1882" w:type="dxa"/>
          </w:tcPr>
          <w:p w14:paraId="1661BA11"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Problem-solving </w:t>
            </w:r>
            <w:r>
              <w:rPr>
                <w:rFonts w:ascii="Times New Roman" w:eastAsia="Times New Roman" w:hAnsi="Times New Roman" w:cs="Times New Roman"/>
              </w:rPr>
              <w:t>performance, understanding of airspace conflicts, expert–novice comparison.</w:t>
            </w:r>
          </w:p>
        </w:tc>
        <w:tc>
          <w:tcPr>
            <w:tcW w:w="2119" w:type="dxa"/>
          </w:tcPr>
          <w:p w14:paraId="3E2BDFBD"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Ecological visual analytics improved understanding of conflicts and problem-solving performance, with gains driven more by representational support than by prior expertise alone.</w:t>
            </w:r>
          </w:p>
        </w:tc>
        <w:tc>
          <w:tcPr>
            <w:tcW w:w="2252" w:type="dxa"/>
          </w:tcPr>
          <w:p w14:paraId="34332D07"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W</w:t>
            </w:r>
            <w:r>
              <w:rPr>
                <w:rFonts w:ascii="Times New Roman" w:eastAsia="Times New Roman" w:hAnsi="Times New Roman" w:cs="Times New Roman"/>
              </w:rPr>
              <w:t>ell-designed visual representations can reduce cognitive burden and support reasoning in complex, time-critical control environments.</w:t>
            </w:r>
          </w:p>
        </w:tc>
      </w:tr>
    </w:tbl>
    <w:p w14:paraId="5582B1FB" w14:textId="77777777" w:rsidR="00804CA9" w:rsidRDefault="00804CA9">
      <w:pPr>
        <w:rPr>
          <w:rFonts w:ascii="Times New Roman" w:eastAsia="Times New Roman" w:hAnsi="Times New Roman" w:cs="Times New Roman"/>
        </w:rPr>
      </w:pPr>
    </w:p>
    <w:p w14:paraId="11F2D269" w14:textId="77777777" w:rsidR="00804CA9" w:rsidRDefault="00804CA9">
      <w:pPr>
        <w:rPr>
          <w:rFonts w:ascii="Times New Roman" w:eastAsia="Times New Roman" w:hAnsi="Times New Roman" w:cs="Times New Roman"/>
          <w:b/>
          <w:bCs/>
        </w:rPr>
      </w:pPr>
    </w:p>
    <w:p w14:paraId="2B7ED306" w14:textId="77777777" w:rsidR="00804CA9" w:rsidRDefault="00804CA9">
      <w:pPr>
        <w:rPr>
          <w:rFonts w:ascii="Times New Roman" w:eastAsia="Times New Roman" w:hAnsi="Times New Roman" w:cs="Times New Roman"/>
          <w:b/>
          <w:bCs/>
        </w:rPr>
      </w:pPr>
    </w:p>
    <w:p w14:paraId="3B724E98" w14:textId="77777777" w:rsidR="00804CA9" w:rsidRDefault="00804CA9">
      <w:pPr>
        <w:rPr>
          <w:rFonts w:ascii="Times New Roman" w:eastAsia="Times New Roman" w:hAnsi="Times New Roman" w:cs="Times New Roman"/>
          <w:b/>
          <w:bCs/>
        </w:rPr>
      </w:pPr>
    </w:p>
    <w:p w14:paraId="2B3DE6A6" w14:textId="77777777" w:rsidR="00804CA9" w:rsidRDefault="00804CA9">
      <w:pPr>
        <w:rPr>
          <w:rFonts w:ascii="Times New Roman" w:eastAsia="Times New Roman" w:hAnsi="Times New Roman" w:cs="Times New Roman"/>
          <w:b/>
          <w:bCs/>
        </w:rPr>
      </w:pPr>
    </w:p>
    <w:p w14:paraId="00C64873" w14:textId="77777777" w:rsidR="00804CA9" w:rsidRDefault="00804CA9">
      <w:pPr>
        <w:rPr>
          <w:rFonts w:ascii="Times New Roman" w:eastAsia="Times New Roman" w:hAnsi="Times New Roman" w:cs="Times New Roman"/>
          <w:b/>
          <w:bCs/>
        </w:rPr>
      </w:pPr>
    </w:p>
    <w:p w14:paraId="51D60498" w14:textId="77777777" w:rsidR="00804CA9" w:rsidRDefault="00804CA9">
      <w:pPr>
        <w:rPr>
          <w:rFonts w:ascii="Times New Roman" w:eastAsia="Times New Roman" w:hAnsi="Times New Roman" w:cs="Times New Roman"/>
          <w:b/>
          <w:bCs/>
        </w:rPr>
      </w:pPr>
    </w:p>
    <w:p w14:paraId="1A7B2A7E" w14:textId="77777777" w:rsidR="00804CA9" w:rsidRDefault="00804CA9">
      <w:pPr>
        <w:rPr>
          <w:rFonts w:ascii="Times New Roman" w:eastAsia="Times New Roman" w:hAnsi="Times New Roman" w:cs="Times New Roman"/>
          <w:b/>
          <w:bCs/>
        </w:rPr>
        <w:sectPr w:rsidR="00804CA9">
          <w:pgSz w:w="15840" w:h="12240" w:orient="landscape"/>
          <w:pgMar w:top="720" w:right="389" w:bottom="720" w:left="720" w:header="720" w:footer="720" w:gutter="0"/>
          <w:cols w:space="720"/>
        </w:sectPr>
      </w:pPr>
    </w:p>
    <w:p w14:paraId="0219D89A" w14:textId="77777777" w:rsidR="00804CA9" w:rsidRDefault="00992A30">
      <w:pPr>
        <w:rPr>
          <w:rFonts w:ascii="Times New Roman" w:eastAsia="Times New Roman" w:hAnsi="Times New Roman" w:cs="Times New Roman"/>
          <w:b/>
          <w:bCs/>
        </w:rPr>
      </w:pPr>
      <w:r>
        <w:rPr>
          <w:rFonts w:ascii="Times New Roman" w:eastAsia="Times New Roman" w:hAnsi="Times New Roman" w:cs="Times New Roman"/>
          <w:b/>
          <w:bCs/>
        </w:rPr>
        <w:lastRenderedPageBreak/>
        <w:t>4.1 Summary of Key Findings</w:t>
      </w:r>
    </w:p>
    <w:p w14:paraId="34974198"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In the studies covered by the study, the key finding was that the </w:t>
      </w:r>
      <w:r>
        <w:rPr>
          <w:rFonts w:ascii="Times New Roman" w:eastAsia="Times New Roman" w:hAnsi="Times New Roman" w:cs="Times New Roman"/>
        </w:rPr>
        <w:t>meaningful impact of the interface design on the effect of AI on improving judgment or promoting harmful dependency was large in all reviewed articles. Explanations also enhanced trust, but comprehensive or inappropriately matched explanations might also e</w:t>
      </w:r>
      <w:r>
        <w:rPr>
          <w:rFonts w:ascii="Times New Roman" w:eastAsia="Times New Roman" w:hAnsi="Times New Roman" w:cs="Times New Roman"/>
        </w:rPr>
        <w:t xml:space="preserve">nhance over-reliance, whereas shallow explanations may result in distrust or self-reliance. The most promising strategies were counterfactual and interactive forms of explanations, in particular, to assist users in questioning AI-based recommendations and </w:t>
      </w:r>
      <w:r>
        <w:rPr>
          <w:rFonts w:ascii="Times New Roman" w:eastAsia="Times New Roman" w:hAnsi="Times New Roman" w:cs="Times New Roman"/>
        </w:rPr>
        <w:t>diminishing the acceptance of erroneous outputs. Uncertainty-aware interfaces tended to perform better than black-box advice, such as by reducing reaction time, protecting against erroneous advice, or encouraging the user to be more cautious, but tended to</w:t>
      </w:r>
      <w:r>
        <w:rPr>
          <w:rFonts w:ascii="Times New Roman" w:eastAsia="Times New Roman" w:hAnsi="Times New Roman" w:cs="Times New Roman"/>
        </w:rPr>
        <w:t xml:space="preserve"> prompt additional checking. Ecological visual analytics and interpretable decision-support displays showed more understanding or problem solving or workflow fit in operational situations. Nevertheless, the facts have revealed some persistent failure modes</w:t>
      </w:r>
      <w:r>
        <w:rPr>
          <w:rFonts w:ascii="Times New Roman" w:eastAsia="Times New Roman" w:hAnsi="Times New Roman" w:cs="Times New Roman"/>
        </w:rPr>
        <w:t>, including: automation bias, inherited AI bias, threats to professional identity, disagreement among experts, and biased but not exhaustive acceptance of recommendations. Altogether, the best interfaces were those that enabled verification, contestability</w:t>
      </w:r>
      <w:r>
        <w:rPr>
          <w:rFonts w:ascii="Times New Roman" w:eastAsia="Times New Roman" w:hAnsi="Times New Roman" w:cs="Times New Roman"/>
        </w:rPr>
        <w:t xml:space="preserve">, and </w:t>
      </w:r>
      <w:proofErr w:type="spellStart"/>
      <w:r>
        <w:rPr>
          <w:rFonts w:ascii="Times New Roman" w:eastAsia="Times New Roman" w:hAnsi="Times New Roman" w:cs="Times New Roman"/>
        </w:rPr>
        <w:t>intgermediate</w:t>
      </w:r>
      <w:proofErr w:type="spellEnd"/>
      <w:r>
        <w:rPr>
          <w:rFonts w:ascii="Times New Roman" w:eastAsia="Times New Roman" w:hAnsi="Times New Roman" w:cs="Times New Roman"/>
        </w:rPr>
        <w:t xml:space="preserve"> reasoning, and not active acceptance of AI results.</w:t>
      </w:r>
    </w:p>
    <w:p w14:paraId="29BC4029" w14:textId="77777777" w:rsidR="00804CA9" w:rsidRDefault="00992A30">
      <w:pPr>
        <w:rPr>
          <w:rFonts w:ascii="Times New Roman" w:eastAsia="Times New Roman" w:hAnsi="Times New Roman" w:cs="Times New Roman"/>
          <w:b/>
          <w:bCs/>
        </w:rPr>
      </w:pPr>
      <w:r>
        <w:rPr>
          <w:rFonts w:ascii="Times New Roman" w:eastAsia="Times New Roman" w:hAnsi="Times New Roman" w:cs="Times New Roman"/>
          <w:b/>
          <w:bCs/>
        </w:rPr>
        <w:t>4.2 Comparison with Global Literature</w:t>
      </w:r>
    </w:p>
    <w:p w14:paraId="35F62A81"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The present review showed that human-AI collaboration can be improved by transparency, but only when it is actionable, role-sensitive, and selecti</w:t>
      </w:r>
      <w:r>
        <w:rPr>
          <w:rFonts w:ascii="Times New Roman" w:eastAsia="Times New Roman" w:hAnsi="Times New Roman" w:cs="Times New Roman"/>
        </w:rPr>
        <w:t>ve, and not maximal. According to Hoff and Bashir (2015), trust is stratified and is influenced by learned, situational, and dispositional factors. This provides an explanation as to why the same explanation can calibrate trust in one situation and distort</w:t>
      </w:r>
      <w:r>
        <w:rPr>
          <w:rFonts w:ascii="Times New Roman" w:eastAsia="Times New Roman" w:hAnsi="Times New Roman" w:cs="Times New Roman"/>
        </w:rPr>
        <w:t xml:space="preserve"> it in another. </w:t>
      </w:r>
      <w:proofErr w:type="gramStart"/>
      <w:r>
        <w:rPr>
          <w:rFonts w:ascii="Times New Roman" w:eastAsia="Times New Roman" w:hAnsi="Times New Roman" w:cs="Times New Roman"/>
        </w:rPr>
        <w:t>Similarly</w:t>
      </w:r>
      <w:proofErr w:type="gramEnd"/>
      <w:r>
        <w:rPr>
          <w:rFonts w:ascii="Times New Roman" w:eastAsia="Times New Roman" w:hAnsi="Times New Roman" w:cs="Times New Roman"/>
        </w:rPr>
        <w:t xml:space="preserve"> to Mehrotra et al. (2024), </w:t>
      </w:r>
      <w:proofErr w:type="spellStart"/>
      <w:r>
        <w:rPr>
          <w:rFonts w:ascii="Times New Roman" w:eastAsia="Times New Roman" w:hAnsi="Times New Roman" w:cs="Times New Roman"/>
        </w:rPr>
        <w:t>Wischnewski</w:t>
      </w:r>
      <w:proofErr w:type="spellEnd"/>
      <w:r>
        <w:rPr>
          <w:rFonts w:ascii="Times New Roman" w:eastAsia="Times New Roman" w:hAnsi="Times New Roman" w:cs="Times New Roman"/>
        </w:rPr>
        <w:t xml:space="preserve"> et al. (2023) also indicate that the concept of trust-calibration is multidimensional and that improper measurement often misleads about whether transparency improves proper reliance or just </w:t>
      </w:r>
      <w:r>
        <w:rPr>
          <w:rFonts w:ascii="Times New Roman" w:eastAsia="Times New Roman" w:hAnsi="Times New Roman" w:cs="Times New Roman"/>
        </w:rPr>
        <w:t xml:space="preserve">increases the subjective trust. The findings also correspond to those of Zhang et al. (2020), who have discovered that confidence cues can enhance trust calibration even without a clear enhancement of joint accuracy. Equally, Yu and Li (2022) demonstrated </w:t>
      </w:r>
      <w:r>
        <w:rPr>
          <w:rFonts w:ascii="Times New Roman" w:eastAsia="Times New Roman" w:hAnsi="Times New Roman" w:cs="Times New Roman"/>
        </w:rPr>
        <w:t>that transparency may boost the perceived discomfort and effectiveness, which supports the notion that useful transparency should be context-related.</w:t>
      </w:r>
    </w:p>
    <w:p w14:paraId="3FC966E3"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Interfaces supporting intermediate reasoning as opposed to simply offering final recommendations have been</w:t>
      </w:r>
      <w:r>
        <w:rPr>
          <w:rFonts w:ascii="Times New Roman" w:eastAsia="Times New Roman" w:hAnsi="Times New Roman" w:cs="Times New Roman"/>
        </w:rPr>
        <w:t xml:space="preserve"> observed to facilitate performance and assist in managing workload. This conclusion follows a critique within the field of healthcare human factors, where AI studies tend to overlook workflow, cognition, and ecological validity (</w:t>
      </w:r>
      <w:proofErr w:type="spellStart"/>
      <w:r>
        <w:rPr>
          <w:rFonts w:ascii="Times New Roman" w:eastAsia="Times New Roman" w:hAnsi="Times New Roman" w:cs="Times New Roman"/>
        </w:rPr>
        <w:t>Asan</w:t>
      </w:r>
      <w:proofErr w:type="spellEnd"/>
      <w:r>
        <w:rPr>
          <w:rFonts w:ascii="Times New Roman" w:eastAsia="Times New Roman" w:hAnsi="Times New Roman" w:cs="Times New Roman"/>
        </w:rPr>
        <w:t xml:space="preserve"> &amp; Choudhury, 2021). I</w:t>
      </w:r>
      <w:r>
        <w:rPr>
          <w:rFonts w:ascii="Times New Roman" w:eastAsia="Times New Roman" w:hAnsi="Times New Roman" w:cs="Times New Roman"/>
        </w:rPr>
        <w:t xml:space="preserve">t is also in accordance with the Measurement–Algorithm–Presentation model suggested by van </w:t>
      </w:r>
      <w:proofErr w:type="spellStart"/>
      <w:r>
        <w:rPr>
          <w:rFonts w:ascii="Times New Roman" w:eastAsia="Times New Roman" w:hAnsi="Times New Roman" w:cs="Times New Roman"/>
        </w:rPr>
        <w:t>Berkel</w:t>
      </w:r>
      <w:proofErr w:type="spellEnd"/>
      <w:r>
        <w:rPr>
          <w:rFonts w:ascii="Times New Roman" w:eastAsia="Times New Roman" w:hAnsi="Times New Roman" w:cs="Times New Roman"/>
        </w:rPr>
        <w:t xml:space="preserve"> et al. (2023), which argues that safety in decision support is rooted in how output is given to be interpreted. According to Bansal et al. (2021), explanation</w:t>
      </w:r>
      <w:r>
        <w:rPr>
          <w:rFonts w:ascii="Times New Roman" w:eastAsia="Times New Roman" w:hAnsi="Times New Roman" w:cs="Times New Roman"/>
        </w:rPr>
        <w:t xml:space="preserve">s led to more accepting AI advice, yet no improvement in complementary team performance. Meanwhile, </w:t>
      </w:r>
      <w:proofErr w:type="spellStart"/>
      <w:r>
        <w:rPr>
          <w:rFonts w:ascii="Times New Roman" w:eastAsia="Times New Roman" w:hAnsi="Times New Roman" w:cs="Times New Roman"/>
        </w:rPr>
        <w:t>Bučinca</w:t>
      </w:r>
      <w:proofErr w:type="spellEnd"/>
      <w:r>
        <w:rPr>
          <w:rFonts w:ascii="Times New Roman" w:eastAsia="Times New Roman" w:hAnsi="Times New Roman" w:cs="Times New Roman"/>
        </w:rPr>
        <w:t xml:space="preserve"> et al. (2021) have shown that such reduction of overreliance often requires cognitive forcing and not explanation alone, but usability problems can </w:t>
      </w:r>
      <w:r>
        <w:rPr>
          <w:rFonts w:ascii="Times New Roman" w:eastAsia="Times New Roman" w:hAnsi="Times New Roman" w:cs="Times New Roman"/>
        </w:rPr>
        <w:t xml:space="preserve">also accompany this method. Moreover, Cao and Huang (2022) also define the difference between trust and reliance, implying that </w:t>
      </w:r>
      <w:proofErr w:type="spellStart"/>
      <w:r>
        <w:rPr>
          <w:rFonts w:ascii="Times New Roman" w:eastAsia="Times New Roman" w:hAnsi="Times New Roman" w:cs="Times New Roman"/>
        </w:rPr>
        <w:t>behavioural</w:t>
      </w:r>
      <w:proofErr w:type="spellEnd"/>
      <w:r>
        <w:rPr>
          <w:rFonts w:ascii="Times New Roman" w:eastAsia="Times New Roman" w:hAnsi="Times New Roman" w:cs="Times New Roman"/>
        </w:rPr>
        <w:t xml:space="preserve"> measures like gaze can be more effective at workload measurement than self-reports.</w:t>
      </w:r>
    </w:p>
    <w:p w14:paraId="2C7CEC01"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The third theme was persistence </w:t>
      </w:r>
      <w:r>
        <w:rPr>
          <w:rFonts w:ascii="Times New Roman" w:eastAsia="Times New Roman" w:hAnsi="Times New Roman" w:cs="Times New Roman"/>
        </w:rPr>
        <w:t xml:space="preserve">of failure modes, especially over-reliance on automation, bias, and contestability required. </w:t>
      </w:r>
      <w:proofErr w:type="spellStart"/>
      <w:r>
        <w:rPr>
          <w:rFonts w:ascii="Times New Roman" w:eastAsia="Times New Roman" w:hAnsi="Times New Roman" w:cs="Times New Roman"/>
        </w:rPr>
        <w:t>Dratsch</w:t>
      </w:r>
      <w:proofErr w:type="spellEnd"/>
      <w:r>
        <w:rPr>
          <w:rFonts w:ascii="Times New Roman" w:eastAsia="Times New Roman" w:hAnsi="Times New Roman" w:cs="Times New Roman"/>
        </w:rPr>
        <w:t xml:space="preserve"> et al. (2023) have shown that radiologists could be prone to inaccurate AI suggestions, and </w:t>
      </w:r>
      <w:proofErr w:type="spellStart"/>
      <w:r>
        <w:rPr>
          <w:rFonts w:ascii="Times New Roman" w:eastAsia="Times New Roman" w:hAnsi="Times New Roman" w:cs="Times New Roman"/>
        </w:rPr>
        <w:t>Foroughi</w:t>
      </w:r>
      <w:proofErr w:type="spellEnd"/>
      <w:r>
        <w:rPr>
          <w:rFonts w:ascii="Times New Roman" w:eastAsia="Times New Roman" w:hAnsi="Times New Roman" w:cs="Times New Roman"/>
        </w:rPr>
        <w:t xml:space="preserve"> et al. (2023) showed that highly automated systems cha</w:t>
      </w:r>
      <w:r>
        <w:rPr>
          <w:rFonts w:ascii="Times New Roman" w:eastAsia="Times New Roman" w:hAnsi="Times New Roman" w:cs="Times New Roman"/>
        </w:rPr>
        <w:t xml:space="preserve">nged attention and decreased discovery failures, which increases operational risk. A further demonstration of the harm caused by automation </w:t>
      </w:r>
      <w:r>
        <w:rPr>
          <w:rFonts w:ascii="Times New Roman" w:eastAsia="Times New Roman" w:hAnsi="Times New Roman" w:cs="Times New Roman"/>
        </w:rPr>
        <w:lastRenderedPageBreak/>
        <w:t xml:space="preserve">failures and of the partial and </w:t>
      </w:r>
      <w:proofErr w:type="spellStart"/>
      <w:r>
        <w:rPr>
          <w:rFonts w:ascii="Times New Roman" w:eastAsia="Times New Roman" w:hAnsi="Times New Roman" w:cs="Times New Roman"/>
        </w:rPr>
        <w:t>behaviourally</w:t>
      </w:r>
      <w:proofErr w:type="spellEnd"/>
      <w:r>
        <w:rPr>
          <w:rFonts w:ascii="Times New Roman" w:eastAsia="Times New Roman" w:hAnsi="Times New Roman" w:cs="Times New Roman"/>
        </w:rPr>
        <w:t xml:space="preserve"> imperative character of trust repair is given by Mishler and Chen (202</w:t>
      </w:r>
      <w:r>
        <w:rPr>
          <w:rFonts w:ascii="Times New Roman" w:eastAsia="Times New Roman" w:hAnsi="Times New Roman" w:cs="Times New Roman"/>
        </w:rPr>
        <w:t xml:space="preserve">3) and </w:t>
      </w:r>
      <w:proofErr w:type="spellStart"/>
      <w:r>
        <w:rPr>
          <w:rFonts w:ascii="Times New Roman" w:eastAsia="Times New Roman" w:hAnsi="Times New Roman" w:cs="Times New Roman"/>
        </w:rPr>
        <w:t>Centeio</w:t>
      </w:r>
      <w:proofErr w:type="spellEnd"/>
      <w:r>
        <w:rPr>
          <w:rFonts w:ascii="Times New Roman" w:eastAsia="Times New Roman" w:hAnsi="Times New Roman" w:cs="Times New Roman"/>
        </w:rPr>
        <w:t xml:space="preserve"> Jorge et al. (2023). Carter et al. (2024) support this claim in this review that trust calibration is not as dependent on the superficial, human-like evidence but, rather, on meaningful discourse related to uncertainty. Overall, researchers </w:t>
      </w:r>
      <w:r>
        <w:rPr>
          <w:rFonts w:ascii="Times New Roman" w:eastAsia="Times New Roman" w:hAnsi="Times New Roman" w:cs="Times New Roman"/>
        </w:rPr>
        <w:t>already attest to the fact that instead of passive compliance, complementary performance depends on the decisive effect of manageable information load, interaction designs, and correct mental models that provide incentives to selective reliance, verificati</w:t>
      </w:r>
      <w:r>
        <w:rPr>
          <w:rFonts w:ascii="Times New Roman" w:eastAsia="Times New Roman" w:hAnsi="Times New Roman" w:cs="Times New Roman"/>
        </w:rPr>
        <w:t>on, and challenge (</w:t>
      </w:r>
      <w:proofErr w:type="spellStart"/>
      <w:r>
        <w:rPr>
          <w:rFonts w:ascii="Times New Roman" w:eastAsia="Times New Roman" w:hAnsi="Times New Roman" w:cs="Times New Roman"/>
        </w:rPr>
        <w:t>Steyvers</w:t>
      </w:r>
      <w:proofErr w:type="spellEnd"/>
      <w:r>
        <w:rPr>
          <w:rFonts w:ascii="Times New Roman" w:eastAsia="Times New Roman" w:hAnsi="Times New Roman" w:cs="Times New Roman"/>
        </w:rPr>
        <w:t xml:space="preserve"> and Kumar 2024 and Ling et al. 2024).</w:t>
      </w:r>
    </w:p>
    <w:p w14:paraId="4F76BE86" w14:textId="77777777" w:rsidR="00804CA9" w:rsidRDefault="00992A30">
      <w:pPr>
        <w:rPr>
          <w:rFonts w:ascii="Times New Roman" w:eastAsia="Times New Roman" w:hAnsi="Times New Roman" w:cs="Times New Roman"/>
          <w:b/>
          <w:bCs/>
        </w:rPr>
      </w:pPr>
      <w:r>
        <w:rPr>
          <w:rFonts w:ascii="Times New Roman" w:eastAsia="Times New Roman" w:hAnsi="Times New Roman" w:cs="Times New Roman"/>
          <w:b/>
          <w:bCs/>
        </w:rPr>
        <w:t>4.3 Implications for Policy and Practice</w:t>
      </w:r>
    </w:p>
    <w:p w14:paraId="1978048E"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Policy: It is suggested that requirements in the human–AI interface must be implemented as a formal safety and quality standard in the high-stakes de</w:t>
      </w:r>
      <w:r>
        <w:rPr>
          <w:rFonts w:ascii="Times New Roman" w:eastAsia="Times New Roman" w:hAnsi="Times New Roman" w:cs="Times New Roman"/>
        </w:rPr>
        <w:t>cision-support environments. This would entail obligatory human-</w:t>
      </w:r>
      <w:proofErr w:type="spellStart"/>
      <w:r>
        <w:rPr>
          <w:rFonts w:ascii="Times New Roman" w:eastAsia="Times New Roman" w:hAnsi="Times New Roman" w:cs="Times New Roman"/>
        </w:rPr>
        <w:t>centred</w:t>
      </w:r>
      <w:proofErr w:type="spellEnd"/>
      <w:r>
        <w:rPr>
          <w:rFonts w:ascii="Times New Roman" w:eastAsia="Times New Roman" w:hAnsi="Times New Roman" w:cs="Times New Roman"/>
        </w:rPr>
        <w:t xml:space="preserve"> review prior to deployment, regular evaluation of trust calibration and workload impacts, and minimum interface necessities toward uncertainty communicating, explanation traceability, </w:t>
      </w:r>
      <w:r>
        <w:rPr>
          <w:rFonts w:ascii="Times New Roman" w:eastAsia="Times New Roman" w:hAnsi="Times New Roman" w:cs="Times New Roman"/>
        </w:rPr>
        <w:t>as well as override choices and accountability recording. Human supervision also needs to be an operational need and not a symbolic precaution, and the policies must be established such that AI suggestions may be argued with and verified by auditing them a</w:t>
      </w:r>
      <w:r>
        <w:rPr>
          <w:rFonts w:ascii="Times New Roman" w:eastAsia="Times New Roman" w:hAnsi="Times New Roman" w:cs="Times New Roman"/>
        </w:rPr>
        <w:t xml:space="preserve">t the point of usage. Besides this, the procedures of procurement and regulatory approval must demand evidence of not just model accuracy, but must also necessitate a demonstration of model workflow fit, usability, alert load, and impact on the quality of </w:t>
      </w:r>
      <w:r>
        <w:rPr>
          <w:rFonts w:ascii="Times New Roman" w:eastAsia="Times New Roman" w:hAnsi="Times New Roman" w:cs="Times New Roman"/>
        </w:rPr>
        <w:t>decision in realistic operating conditions. Audits and post-deployment monitoring should be specified with core evaluation indicators of trust calibration, NASA-TLX, or equivalent measures of workload, accuracy of the tasks performed, ability to detect err</w:t>
      </w:r>
      <w:r>
        <w:rPr>
          <w:rFonts w:ascii="Times New Roman" w:eastAsia="Times New Roman" w:hAnsi="Times New Roman" w:cs="Times New Roman"/>
        </w:rPr>
        <w:t xml:space="preserve">ors, capacity to handle false alarms, and override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In resource-constrained environments, simple interface features indicating high value, such as clear confidence or uncertainty indicators, a concise estimation of appropriately specific roles an</w:t>
      </w:r>
      <w:r>
        <w:rPr>
          <w:rFonts w:ascii="Times New Roman" w:eastAsia="Times New Roman" w:hAnsi="Times New Roman" w:cs="Times New Roman"/>
        </w:rPr>
        <w:t>d purposes, and a minimal burden escalation procedure, should be prioritized and facilitated by gradual implementation and specific staff education.</w:t>
      </w:r>
    </w:p>
    <w:p w14:paraId="2C538850"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Practice: It is necessary to practice the adoption of a review, verify, decision monitor model and interfac</w:t>
      </w:r>
      <w:r>
        <w:rPr>
          <w:rFonts w:ascii="Times New Roman" w:eastAsia="Times New Roman" w:hAnsi="Times New Roman" w:cs="Times New Roman"/>
        </w:rPr>
        <w:t>e design, facilitating users to verify AI outputs, quantify uncertainty, demand a comparison with evidence, case-specific, and record final decisions. Implementation of stratified explanations is also essential, and brief actionable summaries are displayed</w:t>
      </w:r>
      <w:r>
        <w:rPr>
          <w:rFonts w:ascii="Times New Roman" w:eastAsia="Times New Roman" w:hAnsi="Times New Roman" w:cs="Times New Roman"/>
        </w:rPr>
        <w:t xml:space="preserve"> as default, and a deeper resort to rationale, counterfactuals, or supporting evidence on utilizing requests. To promote safe uptake, interfaces are suggested to have verification supports like secondary checks, prioritization of alerts, and easy-access ov</w:t>
      </w:r>
      <w:r>
        <w:rPr>
          <w:rFonts w:ascii="Times New Roman" w:eastAsia="Times New Roman" w:hAnsi="Times New Roman" w:cs="Times New Roman"/>
        </w:rPr>
        <w:t>errides, and, in the absence of overload in interface visual presentation, generic explanation overload, or instant persuasion indications. On the other hand, embedding AI outputs into workflows should be avoided in such a manner that can be seen as creati</w:t>
      </w:r>
      <w:r>
        <w:rPr>
          <w:rFonts w:ascii="Times New Roman" w:eastAsia="Times New Roman" w:hAnsi="Times New Roman" w:cs="Times New Roman"/>
        </w:rPr>
        <w:t xml:space="preserve">ng passive acceptance or making disagreement challenging. Enhancement of interface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xml:space="preserve"> with respect to complex tasks, expertise of the user, time sensitivity, and risk of the domain are requirements that must be </w:t>
      </w:r>
      <w:proofErr w:type="spellStart"/>
      <w:r>
        <w:rPr>
          <w:rFonts w:ascii="Times New Roman" w:eastAsia="Times New Roman" w:hAnsi="Times New Roman" w:cs="Times New Roman"/>
        </w:rPr>
        <w:t>customised</w:t>
      </w:r>
      <w:proofErr w:type="spellEnd"/>
      <w:r>
        <w:rPr>
          <w:rFonts w:ascii="Times New Roman" w:eastAsia="Times New Roman" w:hAnsi="Times New Roman" w:cs="Times New Roman"/>
        </w:rPr>
        <w:t>. Trust, reliance, workload,</w:t>
      </w:r>
      <w:r>
        <w:rPr>
          <w:rFonts w:ascii="Times New Roman" w:eastAsia="Times New Roman" w:hAnsi="Times New Roman" w:cs="Times New Roman"/>
        </w:rPr>
        <w:t xml:space="preserve"> response time, and error-detection metrics must be used to monitor the results of use, and the resulting information must be used in cyclic redesign processes. It is advised that the training of the teams on the interpretation of uncertainty, proper relia</w:t>
      </w:r>
      <w:r>
        <w:rPr>
          <w:rFonts w:ascii="Times New Roman" w:eastAsia="Times New Roman" w:hAnsi="Times New Roman" w:cs="Times New Roman"/>
        </w:rPr>
        <w:t>nce, and the practice of escalation is strengthened and practiced to enhance the safety, adoption, and equity in reality settings.</w:t>
      </w:r>
    </w:p>
    <w:p w14:paraId="1BA13EE7" w14:textId="77777777" w:rsidR="00804CA9" w:rsidRDefault="00992A30">
      <w:pPr>
        <w:rPr>
          <w:rFonts w:ascii="Times New Roman" w:eastAsia="Times New Roman" w:hAnsi="Times New Roman" w:cs="Times New Roman"/>
          <w:b/>
          <w:bCs/>
        </w:rPr>
      </w:pPr>
      <w:r>
        <w:rPr>
          <w:rFonts w:ascii="Times New Roman" w:eastAsia="Times New Roman" w:hAnsi="Times New Roman" w:cs="Times New Roman"/>
          <w:b/>
          <w:bCs/>
        </w:rPr>
        <w:t>4.4 Limitations of Review</w:t>
      </w:r>
    </w:p>
    <w:p w14:paraId="13F6F598"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Despite the provision of a structured cross-domain map, this review has limitations. The evidence b</w:t>
      </w:r>
      <w:r>
        <w:rPr>
          <w:rFonts w:ascii="Times New Roman" w:eastAsia="Times New Roman" w:hAnsi="Times New Roman" w:cs="Times New Roman"/>
        </w:rPr>
        <w:t>ase was small (17 studies), often based on simulations, prototypes, methodologically heterogeneous, healthcare-</w:t>
      </w:r>
      <w:r>
        <w:rPr>
          <w:rFonts w:ascii="Times New Roman" w:eastAsia="Times New Roman" w:hAnsi="Times New Roman" w:cs="Times New Roman"/>
        </w:rPr>
        <w:lastRenderedPageBreak/>
        <w:t xml:space="preserve">dominant, and or scenario experiments rather than long-term real-world deployment. Furthermore, trust and workload were measured inconsistently, </w:t>
      </w:r>
      <w:r>
        <w:rPr>
          <w:rFonts w:ascii="Times New Roman" w:eastAsia="Times New Roman" w:hAnsi="Times New Roman" w:cs="Times New Roman"/>
        </w:rPr>
        <w:t>which limited direct comparison across studies. No formal risk-of-bias appraisal was undertaken. Only peer-reviewed studies written in English were included. Grey literature was also excluded, potentially omitting implementation insights from operational s</w:t>
      </w:r>
      <w:r>
        <w:rPr>
          <w:rFonts w:ascii="Times New Roman" w:eastAsia="Times New Roman" w:hAnsi="Times New Roman" w:cs="Times New Roman"/>
        </w:rPr>
        <w:t>ettings and reducing geographic and sectoral representativeness.</w:t>
      </w:r>
    </w:p>
    <w:p w14:paraId="04387B40" w14:textId="77777777" w:rsidR="00804CA9" w:rsidRDefault="00804CA9">
      <w:pPr>
        <w:rPr>
          <w:rFonts w:ascii="Times New Roman" w:eastAsia="Times New Roman" w:hAnsi="Times New Roman" w:cs="Times New Roman"/>
        </w:rPr>
      </w:pPr>
    </w:p>
    <w:p w14:paraId="05DCEE1E" w14:textId="77777777" w:rsidR="00804CA9" w:rsidRDefault="00804CA9">
      <w:pPr>
        <w:rPr>
          <w:rFonts w:ascii="Times New Roman" w:eastAsia="Times New Roman" w:hAnsi="Times New Roman" w:cs="Times New Roman"/>
        </w:rPr>
      </w:pPr>
    </w:p>
    <w:p w14:paraId="07A79A4B" w14:textId="77777777" w:rsidR="00804CA9" w:rsidRDefault="00992A30">
      <w:pPr>
        <w:rPr>
          <w:rFonts w:ascii="Times New Roman" w:eastAsia="Times New Roman" w:hAnsi="Times New Roman" w:cs="Times New Roman"/>
          <w:b/>
          <w:bCs/>
        </w:rPr>
      </w:pPr>
      <w:r>
        <w:rPr>
          <w:rFonts w:ascii="Times New Roman" w:eastAsia="Times New Roman" w:hAnsi="Times New Roman" w:cs="Times New Roman"/>
          <w:b/>
          <w:bCs/>
        </w:rPr>
        <w:t>5.0 Conclusion</w:t>
      </w:r>
    </w:p>
    <w:p w14:paraId="43D6D4DC" w14:textId="77777777" w:rsidR="00804CA9" w:rsidRDefault="00992A30">
      <w:pPr>
        <w:rPr>
          <w:rFonts w:ascii="Times New Roman" w:eastAsia="Times New Roman" w:hAnsi="Times New Roman" w:cs="Times New Roman"/>
        </w:rPr>
      </w:pPr>
      <w:r>
        <w:rPr>
          <w:rFonts w:ascii="Times New Roman" w:eastAsia="Times New Roman" w:hAnsi="Times New Roman" w:cs="Times New Roman"/>
        </w:rPr>
        <w:t xml:space="preserve">This scoping review </w:t>
      </w:r>
      <w:proofErr w:type="spellStart"/>
      <w:r>
        <w:rPr>
          <w:rFonts w:ascii="Times New Roman" w:eastAsia="Times New Roman" w:hAnsi="Times New Roman" w:cs="Times New Roman"/>
        </w:rPr>
        <w:t>synthesised</w:t>
      </w:r>
      <w:proofErr w:type="spellEnd"/>
      <w:r>
        <w:rPr>
          <w:rFonts w:ascii="Times New Roman" w:eastAsia="Times New Roman" w:hAnsi="Times New Roman" w:cs="Times New Roman"/>
        </w:rPr>
        <w:t xml:space="preserve"> 17 empirical studies on human–AI interface design for cognitive workload and trust calibration management in high-stakes decision-making conte</w:t>
      </w:r>
      <w:r>
        <w:rPr>
          <w:rFonts w:ascii="Times New Roman" w:eastAsia="Times New Roman" w:hAnsi="Times New Roman" w:cs="Times New Roman"/>
        </w:rPr>
        <w:t>xts. Across diverse domains such as healthcare, maintenance settings, power grid operations, and air traffic control, interfaces combining selective transparency, interactive verification, actionable uncertainty communication, and user-</w:t>
      </w:r>
      <w:proofErr w:type="spellStart"/>
      <w:r>
        <w:rPr>
          <w:rFonts w:ascii="Times New Roman" w:eastAsia="Times New Roman" w:hAnsi="Times New Roman" w:cs="Times New Roman"/>
        </w:rPr>
        <w:t>centred</w:t>
      </w:r>
      <w:proofErr w:type="spellEnd"/>
      <w:r>
        <w:rPr>
          <w:rFonts w:ascii="Times New Roman" w:eastAsia="Times New Roman" w:hAnsi="Times New Roman" w:cs="Times New Roman"/>
        </w:rPr>
        <w:t xml:space="preserve"> reasoning ge</w:t>
      </w:r>
      <w:r>
        <w:rPr>
          <w:rFonts w:ascii="Times New Roman" w:eastAsia="Times New Roman" w:hAnsi="Times New Roman" w:cs="Times New Roman"/>
        </w:rPr>
        <w:t>nerally showed more promise than static, one-size-fits-all explanation designs. However, persistent failure modes such as guarded uptake, identity threat, bias inheritance, and over-reliance remained evident. However, most studies were methodologically het</w:t>
      </w:r>
      <w:r>
        <w:rPr>
          <w:rFonts w:ascii="Times New Roman" w:eastAsia="Times New Roman" w:hAnsi="Times New Roman" w:cs="Times New Roman"/>
        </w:rPr>
        <w:t xml:space="preserve">erogeneous and small, with limited </w:t>
      </w:r>
      <w:proofErr w:type="spellStart"/>
      <w:r>
        <w:rPr>
          <w:rFonts w:ascii="Times New Roman" w:eastAsia="Times New Roman" w:hAnsi="Times New Roman" w:cs="Times New Roman"/>
        </w:rPr>
        <w:t>standardisation</w:t>
      </w:r>
      <w:proofErr w:type="spellEnd"/>
      <w:r>
        <w:rPr>
          <w:rFonts w:ascii="Times New Roman" w:eastAsia="Times New Roman" w:hAnsi="Times New Roman" w:cs="Times New Roman"/>
        </w:rPr>
        <w:t xml:space="preserve"> in trust and workload measurement, and only loosely connected to sustained real-world deployment. Overall, the evidence suggests that human–AI systems can manage cognitive demand and improve decision quali</w:t>
      </w:r>
      <w:r>
        <w:rPr>
          <w:rFonts w:ascii="Times New Roman" w:eastAsia="Times New Roman" w:hAnsi="Times New Roman" w:cs="Times New Roman"/>
        </w:rPr>
        <w:t xml:space="preserve">ty when interface features support context-sensitive human oversight, verification, and contestability, rather than passive acceptance of model outputs. Future work should </w:t>
      </w:r>
      <w:proofErr w:type="spellStart"/>
      <w:r>
        <w:rPr>
          <w:rFonts w:ascii="Times New Roman" w:eastAsia="Times New Roman" w:hAnsi="Times New Roman" w:cs="Times New Roman"/>
        </w:rPr>
        <w:t>prioritise</w:t>
      </w:r>
      <w:proofErr w:type="spellEnd"/>
      <w:r>
        <w:rPr>
          <w:rFonts w:ascii="Times New Roman" w:eastAsia="Times New Roman" w:hAnsi="Times New Roman" w:cs="Times New Roman"/>
        </w:rPr>
        <w:t xml:space="preserve"> stronger cross-domain benchmarking, external validation of interface effe</w:t>
      </w:r>
      <w:r>
        <w:rPr>
          <w:rFonts w:ascii="Times New Roman" w:eastAsia="Times New Roman" w:hAnsi="Times New Roman" w:cs="Times New Roman"/>
        </w:rPr>
        <w:t xml:space="preserve">cts, ecologically valid field evaluation, and more consistent use of </w:t>
      </w:r>
      <w:proofErr w:type="spellStart"/>
      <w:r>
        <w:rPr>
          <w:rFonts w:ascii="Times New Roman" w:eastAsia="Times New Roman" w:hAnsi="Times New Roman" w:cs="Times New Roman"/>
        </w:rPr>
        <w:t>behavioural</w:t>
      </w:r>
      <w:proofErr w:type="spellEnd"/>
      <w:r>
        <w:rPr>
          <w:rFonts w:ascii="Times New Roman" w:eastAsia="Times New Roman" w:hAnsi="Times New Roman" w:cs="Times New Roman"/>
        </w:rPr>
        <w:t xml:space="preserve"> and workload measures alongside subjective trust ratings. There should also be a focus on developing explainable, integrated, uncertainty-aware tools linked to clear performan</w:t>
      </w:r>
      <w:r>
        <w:rPr>
          <w:rFonts w:ascii="Times New Roman" w:eastAsia="Times New Roman" w:hAnsi="Times New Roman" w:cs="Times New Roman"/>
        </w:rPr>
        <w:t xml:space="preserve">ce indicators such as override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response time, error detection, and safe reliance. These gaps must be addressed if high-stakes human–AI decision support is to evolve from promising prototypes into a trustworthy, mature, and operationally resilien</w:t>
      </w:r>
      <w:r>
        <w:rPr>
          <w:rFonts w:ascii="Times New Roman" w:eastAsia="Times New Roman" w:hAnsi="Times New Roman" w:cs="Times New Roman"/>
        </w:rPr>
        <w:t>t capability.</w:t>
      </w:r>
    </w:p>
    <w:p w14:paraId="23B0DCCE" w14:textId="77777777" w:rsidR="00804CA9" w:rsidRDefault="00992A30">
      <w:pPr>
        <w:rPr>
          <w:rFonts w:ascii="Times New Roman" w:eastAsia="Times New Roman" w:hAnsi="Times New Roman" w:cs="Times New Roman"/>
          <w:b/>
          <w:bCs/>
        </w:rPr>
      </w:pPr>
      <w:r>
        <w:rPr>
          <w:rFonts w:ascii="Times New Roman" w:eastAsia="Times New Roman" w:hAnsi="Times New Roman" w:cs="Times New Roman"/>
          <w:b/>
          <w:bCs/>
        </w:rPr>
        <w:t>References</w:t>
      </w:r>
    </w:p>
    <w:p w14:paraId="53139F5B"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Ackerhans</w:t>
      </w:r>
      <w:proofErr w:type="spellEnd"/>
      <w:r>
        <w:rPr>
          <w:rFonts w:ascii="Times New Roman" w:eastAsia="Times New Roman" w:hAnsi="Times New Roman" w:cs="Times New Roman"/>
          <w:color w:val="000000"/>
        </w:rPr>
        <w:t xml:space="preserve">, S., </w:t>
      </w:r>
      <w:proofErr w:type="spellStart"/>
      <w:r>
        <w:rPr>
          <w:rFonts w:ascii="Times New Roman" w:eastAsia="Times New Roman" w:hAnsi="Times New Roman" w:cs="Times New Roman"/>
          <w:color w:val="000000"/>
        </w:rPr>
        <w:t>Wehkamp</w:t>
      </w:r>
      <w:proofErr w:type="spellEnd"/>
      <w:r>
        <w:rPr>
          <w:rFonts w:ascii="Times New Roman" w:eastAsia="Times New Roman" w:hAnsi="Times New Roman" w:cs="Times New Roman"/>
          <w:color w:val="000000"/>
        </w:rPr>
        <w:t xml:space="preserve">, K., </w:t>
      </w:r>
      <w:proofErr w:type="spellStart"/>
      <w:r>
        <w:rPr>
          <w:rFonts w:ascii="Times New Roman" w:eastAsia="Times New Roman" w:hAnsi="Times New Roman" w:cs="Times New Roman"/>
          <w:color w:val="000000"/>
        </w:rPr>
        <w:t>Petzina</w:t>
      </w:r>
      <w:proofErr w:type="spellEnd"/>
      <w:r>
        <w:rPr>
          <w:rFonts w:ascii="Times New Roman" w:eastAsia="Times New Roman" w:hAnsi="Times New Roman" w:cs="Times New Roman"/>
          <w:color w:val="000000"/>
        </w:rPr>
        <w:t xml:space="preserve">, R., </w:t>
      </w:r>
      <w:proofErr w:type="spellStart"/>
      <w:r>
        <w:rPr>
          <w:rFonts w:ascii="Times New Roman" w:eastAsia="Times New Roman" w:hAnsi="Times New Roman" w:cs="Times New Roman"/>
          <w:color w:val="000000"/>
        </w:rPr>
        <w:t>Dumitrescu</w:t>
      </w:r>
      <w:proofErr w:type="spellEnd"/>
      <w:r>
        <w:rPr>
          <w:rFonts w:ascii="Times New Roman" w:eastAsia="Times New Roman" w:hAnsi="Times New Roman" w:cs="Times New Roman"/>
          <w:color w:val="000000"/>
        </w:rPr>
        <w:t>, D., &amp; Schultz, C. (2025). Perceived trust and professional identity threat in AI-based clinical decision support systems: scenario-based experimental study on AI process design f</w:t>
      </w:r>
      <w:r>
        <w:rPr>
          <w:rFonts w:ascii="Times New Roman" w:eastAsia="Times New Roman" w:hAnsi="Times New Roman" w:cs="Times New Roman"/>
          <w:color w:val="000000"/>
        </w:rPr>
        <w:t>eatures. </w:t>
      </w:r>
      <w:r>
        <w:rPr>
          <w:rFonts w:ascii="Times New Roman" w:eastAsia="Times New Roman" w:hAnsi="Times New Roman" w:cs="Times New Roman"/>
          <w:i/>
          <w:iCs/>
          <w:color w:val="000000"/>
        </w:rPr>
        <w:t>JMIR Formative Research</w:t>
      </w:r>
      <w:r>
        <w:rPr>
          <w:rFonts w:ascii="Times New Roman" w:eastAsia="Times New Roman" w:hAnsi="Times New Roman" w:cs="Times New Roman"/>
          <w:color w:val="000000"/>
        </w:rPr>
        <w:t>, </w:t>
      </w:r>
      <w:r>
        <w:rPr>
          <w:rFonts w:ascii="Times New Roman" w:eastAsia="Times New Roman" w:hAnsi="Times New Roman" w:cs="Times New Roman"/>
          <w:i/>
          <w:iCs/>
          <w:color w:val="000000"/>
        </w:rPr>
        <w:t>9</w:t>
      </w:r>
      <w:r>
        <w:rPr>
          <w:rFonts w:ascii="Times New Roman" w:eastAsia="Times New Roman" w:hAnsi="Times New Roman" w:cs="Times New Roman"/>
          <w:color w:val="000000"/>
        </w:rPr>
        <w:t>, e64266.</w:t>
      </w:r>
    </w:p>
    <w:p w14:paraId="32D53BB4"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Asan</w:t>
      </w:r>
      <w:proofErr w:type="spellEnd"/>
      <w:r>
        <w:rPr>
          <w:rFonts w:ascii="Times New Roman" w:eastAsia="Times New Roman" w:hAnsi="Times New Roman" w:cs="Times New Roman"/>
          <w:color w:val="000000"/>
        </w:rPr>
        <w:t>, O., &amp; Choudhury, A. (2021). Research Trends in Artificial Intelligence Applications in Human Factors Health Care: Mapping Review. </w:t>
      </w:r>
      <w:r>
        <w:rPr>
          <w:rFonts w:ascii="Times New Roman" w:eastAsia="Times New Roman" w:hAnsi="Times New Roman" w:cs="Times New Roman"/>
          <w:i/>
          <w:iCs/>
          <w:color w:val="000000"/>
        </w:rPr>
        <w:t>JMIR human factors</w:t>
      </w:r>
      <w:r>
        <w:rPr>
          <w:rFonts w:ascii="Times New Roman" w:eastAsia="Times New Roman" w:hAnsi="Times New Roman" w:cs="Times New Roman"/>
          <w:color w:val="000000"/>
        </w:rPr>
        <w:t>, </w:t>
      </w:r>
      <w:r>
        <w:rPr>
          <w:rFonts w:ascii="Times New Roman" w:eastAsia="Times New Roman" w:hAnsi="Times New Roman" w:cs="Times New Roman"/>
          <w:i/>
          <w:iCs/>
          <w:color w:val="000000"/>
        </w:rPr>
        <w:t>8</w:t>
      </w:r>
      <w:r>
        <w:rPr>
          <w:rFonts w:ascii="Times New Roman" w:eastAsia="Times New Roman" w:hAnsi="Times New Roman" w:cs="Times New Roman"/>
          <w:color w:val="000000"/>
        </w:rPr>
        <w:t xml:space="preserve">(2), e28236. </w:t>
      </w:r>
      <w:hyperlink r:id="rId16">
        <w:r>
          <w:rPr>
            <w:rFonts w:ascii="Times New Roman" w:eastAsia="Times New Roman" w:hAnsi="Times New Roman" w:cs="Times New Roman"/>
            <w:color w:val="000000"/>
            <w:u w:val="single"/>
          </w:rPr>
          <w:t>https://doi.org/10.2196/28236</w:t>
        </w:r>
      </w:hyperlink>
    </w:p>
    <w:p w14:paraId="39603378"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Bansal, G., Wu, T., Zhou, J., </w:t>
      </w:r>
      <w:proofErr w:type="spellStart"/>
      <w:r>
        <w:rPr>
          <w:rFonts w:ascii="Times New Roman" w:eastAsia="Times New Roman" w:hAnsi="Times New Roman" w:cs="Times New Roman"/>
          <w:color w:val="000000"/>
        </w:rPr>
        <w:t>Fok</w:t>
      </w:r>
      <w:proofErr w:type="spellEnd"/>
      <w:r>
        <w:rPr>
          <w:rFonts w:ascii="Times New Roman" w:eastAsia="Times New Roman" w:hAnsi="Times New Roman" w:cs="Times New Roman"/>
          <w:color w:val="000000"/>
        </w:rPr>
        <w:t xml:space="preserve">, R., </w:t>
      </w:r>
      <w:proofErr w:type="spellStart"/>
      <w:r>
        <w:rPr>
          <w:rFonts w:ascii="Times New Roman" w:eastAsia="Times New Roman" w:hAnsi="Times New Roman" w:cs="Times New Roman"/>
          <w:color w:val="000000"/>
        </w:rPr>
        <w:t>Nushi</w:t>
      </w:r>
      <w:proofErr w:type="spellEnd"/>
      <w:r>
        <w:rPr>
          <w:rFonts w:ascii="Times New Roman" w:eastAsia="Times New Roman" w:hAnsi="Times New Roman" w:cs="Times New Roman"/>
          <w:color w:val="000000"/>
        </w:rPr>
        <w:t xml:space="preserve">, B., </w:t>
      </w:r>
      <w:proofErr w:type="spellStart"/>
      <w:r>
        <w:rPr>
          <w:rFonts w:ascii="Times New Roman" w:eastAsia="Times New Roman" w:hAnsi="Times New Roman" w:cs="Times New Roman"/>
          <w:color w:val="000000"/>
        </w:rPr>
        <w:t>Kamar</w:t>
      </w:r>
      <w:proofErr w:type="spellEnd"/>
      <w:r>
        <w:rPr>
          <w:rFonts w:ascii="Times New Roman" w:eastAsia="Times New Roman" w:hAnsi="Times New Roman" w:cs="Times New Roman"/>
          <w:color w:val="000000"/>
        </w:rPr>
        <w:t>, E., ... &amp; Weld, D. (2021, May). Does the whole exceed its parts? the effect of ai explanations on complementary team perfo</w:t>
      </w:r>
      <w:r>
        <w:rPr>
          <w:rFonts w:ascii="Times New Roman" w:eastAsia="Times New Roman" w:hAnsi="Times New Roman" w:cs="Times New Roman"/>
          <w:color w:val="000000"/>
        </w:rPr>
        <w:t>rmance. In </w:t>
      </w:r>
      <w:r>
        <w:rPr>
          <w:rFonts w:ascii="Times New Roman" w:eastAsia="Times New Roman" w:hAnsi="Times New Roman" w:cs="Times New Roman"/>
          <w:i/>
          <w:iCs/>
          <w:color w:val="000000"/>
        </w:rPr>
        <w:t>Proceedings of the 2021 CHI conference on human factors in computing systems</w:t>
      </w:r>
      <w:r>
        <w:rPr>
          <w:rFonts w:ascii="Times New Roman" w:eastAsia="Times New Roman" w:hAnsi="Times New Roman" w:cs="Times New Roman"/>
          <w:color w:val="000000"/>
        </w:rPr>
        <w:t xml:space="preserve"> (pp. 1-16). </w:t>
      </w:r>
      <w:hyperlink r:id="rId17">
        <w:r>
          <w:rPr>
            <w:rFonts w:ascii="Times New Roman" w:eastAsia="Times New Roman" w:hAnsi="Times New Roman" w:cs="Times New Roman"/>
            <w:color w:val="000000"/>
            <w:u w:val="single"/>
          </w:rPr>
          <w:t>https://doi.org/10.1145/3411764.3445717</w:t>
        </w:r>
      </w:hyperlink>
    </w:p>
    <w:p w14:paraId="3AA35C95"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Buçinca</w:t>
      </w:r>
      <w:proofErr w:type="spellEnd"/>
      <w:r>
        <w:rPr>
          <w:rFonts w:ascii="Times New Roman" w:eastAsia="Times New Roman" w:hAnsi="Times New Roman" w:cs="Times New Roman"/>
          <w:color w:val="000000"/>
        </w:rPr>
        <w:t xml:space="preserve">, Z., Malaya, M. B., &amp; </w:t>
      </w:r>
      <w:proofErr w:type="spellStart"/>
      <w:r>
        <w:rPr>
          <w:rFonts w:ascii="Times New Roman" w:eastAsia="Times New Roman" w:hAnsi="Times New Roman" w:cs="Times New Roman"/>
          <w:color w:val="000000"/>
        </w:rPr>
        <w:t>Gajos</w:t>
      </w:r>
      <w:proofErr w:type="spellEnd"/>
      <w:r>
        <w:rPr>
          <w:rFonts w:ascii="Times New Roman" w:eastAsia="Times New Roman" w:hAnsi="Times New Roman" w:cs="Times New Roman"/>
          <w:color w:val="000000"/>
        </w:rPr>
        <w:t>, K. Z. (2021). To tru</w:t>
      </w:r>
      <w:r>
        <w:rPr>
          <w:rFonts w:ascii="Times New Roman" w:eastAsia="Times New Roman" w:hAnsi="Times New Roman" w:cs="Times New Roman"/>
          <w:color w:val="000000"/>
        </w:rPr>
        <w:t>st or to think: cognitive forcing functions can reduce overreliance on AI in AI-assisted decision-making. </w:t>
      </w:r>
      <w:r>
        <w:rPr>
          <w:rFonts w:ascii="Times New Roman" w:eastAsia="Times New Roman" w:hAnsi="Times New Roman" w:cs="Times New Roman"/>
          <w:i/>
          <w:iCs/>
          <w:color w:val="000000"/>
        </w:rPr>
        <w:t>Proceedings of the ACM on Human-computer Interaction</w:t>
      </w:r>
      <w:r>
        <w:rPr>
          <w:rFonts w:ascii="Times New Roman" w:eastAsia="Times New Roman" w:hAnsi="Times New Roman" w:cs="Times New Roman"/>
          <w:color w:val="000000"/>
        </w:rPr>
        <w:t>, </w:t>
      </w:r>
      <w:r>
        <w:rPr>
          <w:rFonts w:ascii="Times New Roman" w:eastAsia="Times New Roman" w:hAnsi="Times New Roman" w:cs="Times New Roman"/>
          <w:i/>
          <w:iCs/>
          <w:color w:val="000000"/>
        </w:rPr>
        <w:t>5</w:t>
      </w:r>
      <w:r>
        <w:rPr>
          <w:rFonts w:ascii="Times New Roman" w:eastAsia="Times New Roman" w:hAnsi="Times New Roman" w:cs="Times New Roman"/>
          <w:color w:val="000000"/>
        </w:rPr>
        <w:t xml:space="preserve">(CSCW1), 1-21. </w:t>
      </w:r>
      <w:hyperlink r:id="rId18">
        <w:r>
          <w:rPr>
            <w:rFonts w:ascii="Times New Roman" w:eastAsia="Times New Roman" w:hAnsi="Times New Roman" w:cs="Times New Roman"/>
            <w:color w:val="000000"/>
            <w:u w:val="single"/>
          </w:rPr>
          <w:t>https://doi.org/10.1145/34492</w:t>
        </w:r>
        <w:r>
          <w:rPr>
            <w:rFonts w:ascii="Times New Roman" w:eastAsia="Times New Roman" w:hAnsi="Times New Roman" w:cs="Times New Roman"/>
            <w:color w:val="000000"/>
            <w:u w:val="single"/>
          </w:rPr>
          <w:t>87</w:t>
        </w:r>
      </w:hyperlink>
    </w:p>
    <w:p w14:paraId="28239FBD"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Bussone, A., Stumpf, S., &amp; O'Sullivan, D. (2015). The role of explanations on trust and reliance in clinical decision support systems. In W.-T. Fu, P. Balakrishnan, S. </w:t>
      </w:r>
      <w:proofErr w:type="spellStart"/>
      <w:r>
        <w:rPr>
          <w:rFonts w:ascii="Times New Roman" w:eastAsia="Times New Roman" w:hAnsi="Times New Roman" w:cs="Times New Roman"/>
          <w:color w:val="000000"/>
        </w:rPr>
        <w:t>Harabagiu</w:t>
      </w:r>
      <w:proofErr w:type="spellEnd"/>
      <w:r>
        <w:rPr>
          <w:rFonts w:ascii="Times New Roman" w:eastAsia="Times New Roman" w:hAnsi="Times New Roman" w:cs="Times New Roman"/>
          <w:color w:val="000000"/>
        </w:rPr>
        <w:t xml:space="preserve">, F. Wang, &amp; J. </w:t>
      </w:r>
      <w:proofErr w:type="spellStart"/>
      <w:r>
        <w:rPr>
          <w:rFonts w:ascii="Times New Roman" w:eastAsia="Times New Roman" w:hAnsi="Times New Roman" w:cs="Times New Roman"/>
          <w:color w:val="000000"/>
        </w:rPr>
        <w:t>Srivatsava</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lastRenderedPageBreak/>
        <w:t>(Eds.), Proceedings - 2015 IEEE International Confer</w:t>
      </w:r>
      <w:r>
        <w:rPr>
          <w:rFonts w:ascii="Times New Roman" w:eastAsia="Times New Roman" w:hAnsi="Times New Roman" w:cs="Times New Roman"/>
          <w:color w:val="000000"/>
        </w:rPr>
        <w:t xml:space="preserve">ence on Healthcare Informatics, ICHI 2015 (pp. 160-169). Article 7349687 (Proceedings - 2015 IEEE International Conference on Healthcare Informatics, ICHI 2015). Institute of Electrical and Electronics Engineers </w:t>
      </w:r>
      <w:proofErr w:type="gramStart"/>
      <w:r>
        <w:rPr>
          <w:rFonts w:ascii="Times New Roman" w:eastAsia="Times New Roman" w:hAnsi="Times New Roman" w:cs="Times New Roman"/>
          <w:color w:val="000000"/>
        </w:rPr>
        <w:t>Inc..</w:t>
      </w:r>
      <w:proofErr w:type="gramEnd"/>
      <w:r>
        <w:rPr>
          <w:rFonts w:ascii="Times New Roman" w:eastAsia="Times New Roman" w:hAnsi="Times New Roman" w:cs="Times New Roman"/>
          <w:color w:val="000000"/>
        </w:rPr>
        <w:t xml:space="preserve"> </w:t>
      </w:r>
      <w:hyperlink r:id="rId19">
        <w:r>
          <w:rPr>
            <w:rFonts w:ascii="Times New Roman" w:eastAsia="Times New Roman" w:hAnsi="Times New Roman" w:cs="Times New Roman"/>
            <w:color w:val="000000"/>
            <w:u w:val="single"/>
          </w:rPr>
          <w:t>https://doi.org/10.1109/ICHI.2015.26</w:t>
        </w:r>
      </w:hyperlink>
    </w:p>
    <w:p w14:paraId="79B3E6CE"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Cai, C. J., </w:t>
      </w:r>
      <w:proofErr w:type="spellStart"/>
      <w:r>
        <w:rPr>
          <w:rFonts w:ascii="Times New Roman" w:eastAsia="Times New Roman" w:hAnsi="Times New Roman" w:cs="Times New Roman"/>
          <w:color w:val="000000"/>
        </w:rPr>
        <w:t>Reif</w:t>
      </w:r>
      <w:proofErr w:type="spellEnd"/>
      <w:r>
        <w:rPr>
          <w:rFonts w:ascii="Times New Roman" w:eastAsia="Times New Roman" w:hAnsi="Times New Roman" w:cs="Times New Roman"/>
          <w:color w:val="000000"/>
        </w:rPr>
        <w:t xml:space="preserve">, E., Hegde, N., </w:t>
      </w:r>
      <w:proofErr w:type="spellStart"/>
      <w:r>
        <w:rPr>
          <w:rFonts w:ascii="Times New Roman" w:eastAsia="Times New Roman" w:hAnsi="Times New Roman" w:cs="Times New Roman"/>
          <w:color w:val="000000"/>
        </w:rPr>
        <w:t>Hipp</w:t>
      </w:r>
      <w:proofErr w:type="spellEnd"/>
      <w:r>
        <w:rPr>
          <w:rFonts w:ascii="Times New Roman" w:eastAsia="Times New Roman" w:hAnsi="Times New Roman" w:cs="Times New Roman"/>
          <w:color w:val="000000"/>
        </w:rPr>
        <w:t xml:space="preserve">, J., Kim, B., </w:t>
      </w:r>
      <w:proofErr w:type="spellStart"/>
      <w:r>
        <w:rPr>
          <w:rFonts w:ascii="Times New Roman" w:eastAsia="Times New Roman" w:hAnsi="Times New Roman" w:cs="Times New Roman"/>
          <w:color w:val="000000"/>
        </w:rPr>
        <w:t>Smilkov</w:t>
      </w:r>
      <w:proofErr w:type="spellEnd"/>
      <w:r>
        <w:rPr>
          <w:rFonts w:ascii="Times New Roman" w:eastAsia="Times New Roman" w:hAnsi="Times New Roman" w:cs="Times New Roman"/>
          <w:color w:val="000000"/>
        </w:rPr>
        <w:t>, D., ... &amp; Terry, M. (2019, May). Human-centered tools for coping with imperfect algorithms during medical decision-making. In Proceedings of</w:t>
      </w:r>
      <w:r>
        <w:rPr>
          <w:rFonts w:ascii="Times New Roman" w:eastAsia="Times New Roman" w:hAnsi="Times New Roman" w:cs="Times New Roman"/>
          <w:color w:val="000000"/>
        </w:rPr>
        <w:t xml:space="preserve"> the 2019 chi conference on human factors in computing systems (pp. 1-14). </w:t>
      </w:r>
    </w:p>
    <w:p w14:paraId="05AA622D"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Cao, S., &amp; Huang, C. M. (2022). Understanding user reliance on AI in assisted decision-making. </w:t>
      </w:r>
      <w:r>
        <w:rPr>
          <w:rFonts w:ascii="Times New Roman" w:eastAsia="Times New Roman" w:hAnsi="Times New Roman" w:cs="Times New Roman"/>
          <w:i/>
          <w:iCs/>
          <w:color w:val="000000"/>
        </w:rPr>
        <w:t>Proceedings of the ACM on Human-Computer Interaction</w:t>
      </w:r>
      <w:r>
        <w:rPr>
          <w:rFonts w:ascii="Times New Roman" w:eastAsia="Times New Roman" w:hAnsi="Times New Roman" w:cs="Times New Roman"/>
          <w:color w:val="000000"/>
        </w:rPr>
        <w:t>, </w:t>
      </w:r>
      <w:r>
        <w:rPr>
          <w:rFonts w:ascii="Times New Roman" w:eastAsia="Times New Roman" w:hAnsi="Times New Roman" w:cs="Times New Roman"/>
          <w:i/>
          <w:iCs/>
          <w:color w:val="000000"/>
        </w:rPr>
        <w:t>6</w:t>
      </w:r>
      <w:r>
        <w:rPr>
          <w:rFonts w:ascii="Times New Roman" w:eastAsia="Times New Roman" w:hAnsi="Times New Roman" w:cs="Times New Roman"/>
          <w:color w:val="000000"/>
        </w:rPr>
        <w:t xml:space="preserve">(CSCW2), 1-23. </w:t>
      </w:r>
      <w:hyperlink r:id="rId20">
        <w:r>
          <w:rPr>
            <w:rFonts w:ascii="Times New Roman" w:eastAsia="Times New Roman" w:hAnsi="Times New Roman" w:cs="Times New Roman"/>
            <w:color w:val="000000"/>
            <w:u w:val="single"/>
          </w:rPr>
          <w:t>https://doi.org/10.1145/3555572</w:t>
        </w:r>
      </w:hyperlink>
    </w:p>
    <w:p w14:paraId="74851D34"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Carter, O. B. J., Loft, S., &amp; Visser, T. A. W. (2024). Meaningful Communication but not Superficial Anthropomorphism Facilitates Human-Automation Trust Calibration: The Human-Automation Tr</w:t>
      </w:r>
      <w:r>
        <w:rPr>
          <w:rFonts w:ascii="Times New Roman" w:eastAsia="Times New Roman" w:hAnsi="Times New Roman" w:cs="Times New Roman"/>
          <w:color w:val="000000"/>
        </w:rPr>
        <w:t>ust Expectation Model (HATEM). </w:t>
      </w:r>
      <w:r>
        <w:rPr>
          <w:rFonts w:ascii="Times New Roman" w:eastAsia="Times New Roman" w:hAnsi="Times New Roman" w:cs="Times New Roman"/>
          <w:i/>
          <w:iCs/>
          <w:color w:val="000000"/>
        </w:rPr>
        <w:t>Human factors</w:t>
      </w:r>
      <w:r>
        <w:rPr>
          <w:rFonts w:ascii="Times New Roman" w:eastAsia="Times New Roman" w:hAnsi="Times New Roman" w:cs="Times New Roman"/>
          <w:color w:val="000000"/>
        </w:rPr>
        <w:t>, </w:t>
      </w:r>
      <w:r>
        <w:rPr>
          <w:rFonts w:ascii="Times New Roman" w:eastAsia="Times New Roman" w:hAnsi="Times New Roman" w:cs="Times New Roman"/>
          <w:i/>
          <w:iCs/>
          <w:color w:val="000000"/>
        </w:rPr>
        <w:t>66</w:t>
      </w:r>
      <w:r>
        <w:rPr>
          <w:rFonts w:ascii="Times New Roman" w:eastAsia="Times New Roman" w:hAnsi="Times New Roman" w:cs="Times New Roman"/>
          <w:color w:val="000000"/>
        </w:rPr>
        <w:t xml:space="preserve">(11), 2485–2502. </w:t>
      </w:r>
      <w:hyperlink r:id="rId21">
        <w:r>
          <w:rPr>
            <w:rFonts w:ascii="Times New Roman" w:eastAsia="Times New Roman" w:hAnsi="Times New Roman" w:cs="Times New Roman"/>
            <w:color w:val="000000"/>
            <w:u w:val="single"/>
          </w:rPr>
          <w:t>https://doi.org/10.1177/00187208231218156</w:t>
        </w:r>
      </w:hyperlink>
    </w:p>
    <w:p w14:paraId="31BE5152"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Centeio</w:t>
      </w:r>
      <w:proofErr w:type="spellEnd"/>
      <w:r>
        <w:rPr>
          <w:rFonts w:ascii="Times New Roman" w:eastAsia="Times New Roman" w:hAnsi="Times New Roman" w:cs="Times New Roman"/>
          <w:color w:val="000000"/>
        </w:rPr>
        <w:t xml:space="preserve"> Jorge, C., </w:t>
      </w:r>
      <w:proofErr w:type="spellStart"/>
      <w:r>
        <w:rPr>
          <w:rFonts w:ascii="Times New Roman" w:eastAsia="Times New Roman" w:hAnsi="Times New Roman" w:cs="Times New Roman"/>
          <w:color w:val="000000"/>
        </w:rPr>
        <w:t>Bouman</w:t>
      </w:r>
      <w:proofErr w:type="spellEnd"/>
      <w:r>
        <w:rPr>
          <w:rFonts w:ascii="Times New Roman" w:eastAsia="Times New Roman" w:hAnsi="Times New Roman" w:cs="Times New Roman"/>
          <w:color w:val="000000"/>
        </w:rPr>
        <w:t xml:space="preserve">, N. H., Jonker, C. M., &amp; </w:t>
      </w:r>
      <w:proofErr w:type="spellStart"/>
      <w:r>
        <w:rPr>
          <w:rFonts w:ascii="Times New Roman" w:eastAsia="Times New Roman" w:hAnsi="Times New Roman" w:cs="Times New Roman"/>
          <w:color w:val="000000"/>
        </w:rPr>
        <w:t>Tielman</w:t>
      </w:r>
      <w:proofErr w:type="spellEnd"/>
      <w:r>
        <w:rPr>
          <w:rFonts w:ascii="Times New Roman" w:eastAsia="Times New Roman" w:hAnsi="Times New Roman" w:cs="Times New Roman"/>
          <w:color w:val="000000"/>
        </w:rPr>
        <w:t xml:space="preserve">, M. L. (2023). Exploring the </w:t>
      </w:r>
      <w:r>
        <w:rPr>
          <w:rFonts w:ascii="Times New Roman" w:eastAsia="Times New Roman" w:hAnsi="Times New Roman" w:cs="Times New Roman"/>
          <w:color w:val="000000"/>
        </w:rPr>
        <w:t>effect of automation failure on the human's trustworthiness in human-agent teamwork. </w:t>
      </w:r>
      <w:r>
        <w:rPr>
          <w:rFonts w:ascii="Times New Roman" w:eastAsia="Times New Roman" w:hAnsi="Times New Roman" w:cs="Times New Roman"/>
          <w:i/>
          <w:iCs/>
          <w:color w:val="000000"/>
        </w:rPr>
        <w:t>Frontiers in robotics and AI</w:t>
      </w:r>
      <w:r>
        <w:rPr>
          <w:rFonts w:ascii="Times New Roman" w:eastAsia="Times New Roman" w:hAnsi="Times New Roman" w:cs="Times New Roman"/>
          <w:color w:val="000000"/>
        </w:rPr>
        <w:t>, </w:t>
      </w:r>
      <w:r>
        <w:rPr>
          <w:rFonts w:ascii="Times New Roman" w:eastAsia="Times New Roman" w:hAnsi="Times New Roman" w:cs="Times New Roman"/>
          <w:i/>
          <w:iCs/>
          <w:color w:val="000000"/>
        </w:rPr>
        <w:t>10</w:t>
      </w:r>
      <w:r>
        <w:rPr>
          <w:rFonts w:ascii="Times New Roman" w:eastAsia="Times New Roman" w:hAnsi="Times New Roman" w:cs="Times New Roman"/>
          <w:color w:val="000000"/>
        </w:rPr>
        <w:t xml:space="preserve">, 1143723. </w:t>
      </w:r>
      <w:hyperlink r:id="rId22">
        <w:r>
          <w:rPr>
            <w:rFonts w:ascii="Times New Roman" w:eastAsia="Times New Roman" w:hAnsi="Times New Roman" w:cs="Times New Roman"/>
            <w:color w:val="000000"/>
            <w:u w:val="single"/>
          </w:rPr>
          <w:t>https://doi.org/10.3389/frobt.2023.1143723</w:t>
        </w:r>
      </w:hyperlink>
    </w:p>
    <w:p w14:paraId="6D429353"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Dratsch</w:t>
      </w:r>
      <w:proofErr w:type="spellEnd"/>
      <w:r>
        <w:rPr>
          <w:rFonts w:ascii="Times New Roman" w:eastAsia="Times New Roman" w:hAnsi="Times New Roman" w:cs="Times New Roman"/>
          <w:color w:val="000000"/>
        </w:rPr>
        <w:t xml:space="preserve">, T., Chen, X., </w:t>
      </w:r>
      <w:proofErr w:type="spellStart"/>
      <w:r>
        <w:rPr>
          <w:rFonts w:ascii="Times New Roman" w:eastAsia="Times New Roman" w:hAnsi="Times New Roman" w:cs="Times New Roman"/>
          <w:color w:val="000000"/>
        </w:rPr>
        <w:t>Rezazade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Mehrizi</w:t>
      </w:r>
      <w:proofErr w:type="spellEnd"/>
      <w:r>
        <w:rPr>
          <w:rFonts w:ascii="Times New Roman" w:eastAsia="Times New Roman" w:hAnsi="Times New Roman" w:cs="Times New Roman"/>
          <w:color w:val="000000"/>
        </w:rPr>
        <w:t xml:space="preserve">, M., </w:t>
      </w:r>
      <w:proofErr w:type="spellStart"/>
      <w:r>
        <w:rPr>
          <w:rFonts w:ascii="Times New Roman" w:eastAsia="Times New Roman" w:hAnsi="Times New Roman" w:cs="Times New Roman"/>
          <w:color w:val="000000"/>
        </w:rPr>
        <w:t>Kloeckner</w:t>
      </w:r>
      <w:proofErr w:type="spellEnd"/>
      <w:r>
        <w:rPr>
          <w:rFonts w:ascii="Times New Roman" w:eastAsia="Times New Roman" w:hAnsi="Times New Roman" w:cs="Times New Roman"/>
          <w:color w:val="000000"/>
        </w:rPr>
        <w:t xml:space="preserve">, R., </w:t>
      </w:r>
      <w:proofErr w:type="spellStart"/>
      <w:r>
        <w:rPr>
          <w:rFonts w:ascii="Times New Roman" w:eastAsia="Times New Roman" w:hAnsi="Times New Roman" w:cs="Times New Roman"/>
          <w:color w:val="000000"/>
        </w:rPr>
        <w:t>Mähringer</w:t>
      </w:r>
      <w:proofErr w:type="spellEnd"/>
      <w:r>
        <w:rPr>
          <w:rFonts w:ascii="Times New Roman" w:eastAsia="Times New Roman" w:hAnsi="Times New Roman" w:cs="Times New Roman"/>
          <w:color w:val="000000"/>
        </w:rPr>
        <w:t xml:space="preserve">-Kunz, A., </w:t>
      </w:r>
      <w:proofErr w:type="spellStart"/>
      <w:r>
        <w:rPr>
          <w:rFonts w:ascii="Times New Roman" w:eastAsia="Times New Roman" w:hAnsi="Times New Roman" w:cs="Times New Roman"/>
          <w:color w:val="000000"/>
        </w:rPr>
        <w:t>Püsken</w:t>
      </w:r>
      <w:proofErr w:type="spellEnd"/>
      <w:r>
        <w:rPr>
          <w:rFonts w:ascii="Times New Roman" w:eastAsia="Times New Roman" w:hAnsi="Times New Roman" w:cs="Times New Roman"/>
          <w:color w:val="000000"/>
        </w:rPr>
        <w:t xml:space="preserve">, M., </w:t>
      </w:r>
      <w:proofErr w:type="spellStart"/>
      <w:r>
        <w:rPr>
          <w:rFonts w:ascii="Times New Roman" w:eastAsia="Times New Roman" w:hAnsi="Times New Roman" w:cs="Times New Roman"/>
          <w:color w:val="000000"/>
        </w:rPr>
        <w:t>Baeßler</w:t>
      </w:r>
      <w:proofErr w:type="spellEnd"/>
      <w:r>
        <w:rPr>
          <w:rFonts w:ascii="Times New Roman" w:eastAsia="Times New Roman" w:hAnsi="Times New Roman" w:cs="Times New Roman"/>
          <w:color w:val="000000"/>
        </w:rPr>
        <w:t xml:space="preserve">, B., Sauer, S., </w:t>
      </w:r>
      <w:proofErr w:type="spellStart"/>
      <w:r>
        <w:rPr>
          <w:rFonts w:ascii="Times New Roman" w:eastAsia="Times New Roman" w:hAnsi="Times New Roman" w:cs="Times New Roman"/>
          <w:color w:val="000000"/>
        </w:rPr>
        <w:t>Maintz</w:t>
      </w:r>
      <w:proofErr w:type="spellEnd"/>
      <w:r>
        <w:rPr>
          <w:rFonts w:ascii="Times New Roman" w:eastAsia="Times New Roman" w:hAnsi="Times New Roman" w:cs="Times New Roman"/>
          <w:color w:val="000000"/>
        </w:rPr>
        <w:t>, D., &amp; Pinto Dos Santos, D. (2023). Automation Bias in Mammography: The Impact of Artificial Intelligence BI-RADS Suggestions on Reader Performance. </w:t>
      </w:r>
      <w:r>
        <w:rPr>
          <w:rFonts w:ascii="Times New Roman" w:eastAsia="Times New Roman" w:hAnsi="Times New Roman" w:cs="Times New Roman"/>
          <w:i/>
          <w:iCs/>
          <w:color w:val="000000"/>
        </w:rPr>
        <w:t>Radiolo</w:t>
      </w:r>
      <w:r>
        <w:rPr>
          <w:rFonts w:ascii="Times New Roman" w:eastAsia="Times New Roman" w:hAnsi="Times New Roman" w:cs="Times New Roman"/>
          <w:i/>
          <w:iCs/>
          <w:color w:val="000000"/>
        </w:rPr>
        <w:t>gy</w:t>
      </w:r>
      <w:r>
        <w:rPr>
          <w:rFonts w:ascii="Times New Roman" w:eastAsia="Times New Roman" w:hAnsi="Times New Roman" w:cs="Times New Roman"/>
          <w:color w:val="000000"/>
        </w:rPr>
        <w:t>, </w:t>
      </w:r>
      <w:r>
        <w:rPr>
          <w:rFonts w:ascii="Times New Roman" w:eastAsia="Times New Roman" w:hAnsi="Times New Roman" w:cs="Times New Roman"/>
          <w:i/>
          <w:iCs/>
          <w:color w:val="000000"/>
        </w:rPr>
        <w:t>307</w:t>
      </w:r>
      <w:r>
        <w:rPr>
          <w:rFonts w:ascii="Times New Roman" w:eastAsia="Times New Roman" w:hAnsi="Times New Roman" w:cs="Times New Roman"/>
          <w:color w:val="000000"/>
        </w:rPr>
        <w:t xml:space="preserve">(4), e222176. </w:t>
      </w:r>
      <w:hyperlink r:id="rId23">
        <w:r>
          <w:rPr>
            <w:rFonts w:ascii="Times New Roman" w:eastAsia="Times New Roman" w:hAnsi="Times New Roman" w:cs="Times New Roman"/>
            <w:color w:val="000000"/>
            <w:u w:val="single"/>
          </w:rPr>
          <w:t>https://doi.org/10.1148/radiol.222176</w:t>
        </w:r>
      </w:hyperlink>
    </w:p>
    <w:p w14:paraId="2E1ABD81"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Foroughi</w:t>
      </w:r>
      <w:proofErr w:type="spellEnd"/>
      <w:r>
        <w:rPr>
          <w:rFonts w:ascii="Times New Roman" w:eastAsia="Times New Roman" w:hAnsi="Times New Roman" w:cs="Times New Roman"/>
          <w:color w:val="000000"/>
        </w:rPr>
        <w:t xml:space="preserve">, C. K., Devlin, S., Pak, R., Brown, N. L., Sibley, C., &amp; Coyne, J. T. (2023). Near-Perfect Automation: Investigating Performance, </w:t>
      </w:r>
      <w:r>
        <w:rPr>
          <w:rFonts w:ascii="Times New Roman" w:eastAsia="Times New Roman" w:hAnsi="Times New Roman" w:cs="Times New Roman"/>
          <w:color w:val="000000"/>
        </w:rPr>
        <w:t>Trust, and Visual Attention Allocation. </w:t>
      </w:r>
      <w:r>
        <w:rPr>
          <w:rFonts w:ascii="Times New Roman" w:eastAsia="Times New Roman" w:hAnsi="Times New Roman" w:cs="Times New Roman"/>
          <w:i/>
          <w:iCs/>
          <w:color w:val="000000"/>
        </w:rPr>
        <w:t>Human factors</w:t>
      </w:r>
      <w:r>
        <w:rPr>
          <w:rFonts w:ascii="Times New Roman" w:eastAsia="Times New Roman" w:hAnsi="Times New Roman" w:cs="Times New Roman"/>
          <w:color w:val="000000"/>
        </w:rPr>
        <w:t>, </w:t>
      </w:r>
      <w:r>
        <w:rPr>
          <w:rFonts w:ascii="Times New Roman" w:eastAsia="Times New Roman" w:hAnsi="Times New Roman" w:cs="Times New Roman"/>
          <w:i/>
          <w:iCs/>
          <w:color w:val="000000"/>
        </w:rPr>
        <w:t>65</w:t>
      </w:r>
      <w:r>
        <w:rPr>
          <w:rFonts w:ascii="Times New Roman" w:eastAsia="Times New Roman" w:hAnsi="Times New Roman" w:cs="Times New Roman"/>
          <w:color w:val="000000"/>
        </w:rPr>
        <w:t xml:space="preserve">(4), 546–561. </w:t>
      </w:r>
      <w:hyperlink r:id="rId24">
        <w:r>
          <w:rPr>
            <w:rFonts w:ascii="Times New Roman" w:eastAsia="Times New Roman" w:hAnsi="Times New Roman" w:cs="Times New Roman"/>
            <w:color w:val="000000"/>
            <w:u w:val="single"/>
          </w:rPr>
          <w:t>https://doi.org/10.1177/00187208211032889</w:t>
        </w:r>
      </w:hyperlink>
    </w:p>
    <w:p w14:paraId="52E4DC7F"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Ghassemi</w:t>
      </w:r>
      <w:proofErr w:type="spellEnd"/>
      <w:r>
        <w:rPr>
          <w:rFonts w:ascii="Times New Roman" w:eastAsia="Times New Roman" w:hAnsi="Times New Roman" w:cs="Times New Roman"/>
          <w:color w:val="000000"/>
        </w:rPr>
        <w:t xml:space="preserve">, M., </w:t>
      </w:r>
      <w:proofErr w:type="spellStart"/>
      <w:r>
        <w:rPr>
          <w:rFonts w:ascii="Times New Roman" w:eastAsia="Times New Roman" w:hAnsi="Times New Roman" w:cs="Times New Roman"/>
          <w:color w:val="000000"/>
        </w:rPr>
        <w:t>Oakden</w:t>
      </w:r>
      <w:proofErr w:type="spellEnd"/>
      <w:r>
        <w:rPr>
          <w:rFonts w:ascii="Times New Roman" w:eastAsia="Times New Roman" w:hAnsi="Times New Roman" w:cs="Times New Roman"/>
          <w:color w:val="000000"/>
        </w:rPr>
        <w:t>-Rayner, L., &amp; Beam, A. L. (2021). The false hope of current a</w:t>
      </w:r>
      <w:r>
        <w:rPr>
          <w:rFonts w:ascii="Times New Roman" w:eastAsia="Times New Roman" w:hAnsi="Times New Roman" w:cs="Times New Roman"/>
          <w:color w:val="000000"/>
        </w:rPr>
        <w:t xml:space="preserve">pproaches to explainable artificial intelligence in health care. The Lancet. Digital health, 3(11), e745–e750. </w:t>
      </w:r>
      <w:hyperlink r:id="rId25">
        <w:r>
          <w:rPr>
            <w:rFonts w:ascii="Times New Roman" w:eastAsia="Times New Roman" w:hAnsi="Times New Roman" w:cs="Times New Roman"/>
            <w:color w:val="000000"/>
            <w:u w:val="single"/>
          </w:rPr>
          <w:t>https://doi.org/10.1016/S2589-7500(21)00208-9</w:t>
        </w:r>
      </w:hyperlink>
    </w:p>
    <w:p w14:paraId="30EBDDC9"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Gentile, D., </w:t>
      </w:r>
      <w:proofErr w:type="spellStart"/>
      <w:r>
        <w:rPr>
          <w:rFonts w:ascii="Times New Roman" w:eastAsia="Times New Roman" w:hAnsi="Times New Roman" w:cs="Times New Roman"/>
          <w:color w:val="000000"/>
        </w:rPr>
        <w:t>Donmez</w:t>
      </w:r>
      <w:proofErr w:type="spellEnd"/>
      <w:r>
        <w:rPr>
          <w:rFonts w:ascii="Times New Roman" w:eastAsia="Times New Roman" w:hAnsi="Times New Roman" w:cs="Times New Roman"/>
          <w:color w:val="000000"/>
        </w:rPr>
        <w:t>, B., &amp; Jamieso</w:t>
      </w:r>
      <w:r>
        <w:rPr>
          <w:rFonts w:ascii="Times New Roman" w:eastAsia="Times New Roman" w:hAnsi="Times New Roman" w:cs="Times New Roman"/>
          <w:color w:val="000000"/>
        </w:rPr>
        <w:t>n, G. A. (2025). Human performance effects of combining counterfactual explanations with normative and contrastive explanations in supervised machine learning for automated decision assistance. </w:t>
      </w:r>
      <w:r>
        <w:rPr>
          <w:rFonts w:ascii="Times New Roman" w:eastAsia="Times New Roman" w:hAnsi="Times New Roman" w:cs="Times New Roman"/>
          <w:i/>
          <w:iCs/>
          <w:color w:val="000000"/>
        </w:rPr>
        <w:t>International Journal of Human-Computer Studies</w:t>
      </w:r>
      <w:r>
        <w:rPr>
          <w:rFonts w:ascii="Times New Roman" w:eastAsia="Times New Roman" w:hAnsi="Times New Roman" w:cs="Times New Roman"/>
          <w:color w:val="000000"/>
        </w:rPr>
        <w:t>, </w:t>
      </w:r>
      <w:r>
        <w:rPr>
          <w:rFonts w:ascii="Times New Roman" w:eastAsia="Times New Roman" w:hAnsi="Times New Roman" w:cs="Times New Roman"/>
          <w:i/>
          <w:iCs/>
          <w:color w:val="000000"/>
        </w:rPr>
        <w:t>196</w:t>
      </w:r>
      <w:r>
        <w:rPr>
          <w:rFonts w:ascii="Times New Roman" w:eastAsia="Times New Roman" w:hAnsi="Times New Roman" w:cs="Times New Roman"/>
          <w:color w:val="000000"/>
        </w:rPr>
        <w:t>, 103434.</w:t>
      </w:r>
    </w:p>
    <w:p w14:paraId="63A84634"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Gomez, C., Smith, B. L., Zayas, A., </w:t>
      </w:r>
      <w:proofErr w:type="spellStart"/>
      <w:r>
        <w:rPr>
          <w:rFonts w:ascii="Times New Roman" w:eastAsia="Times New Roman" w:hAnsi="Times New Roman" w:cs="Times New Roman"/>
          <w:color w:val="000000"/>
        </w:rPr>
        <w:t>Unberath</w:t>
      </w:r>
      <w:proofErr w:type="spellEnd"/>
      <w:r>
        <w:rPr>
          <w:rFonts w:ascii="Times New Roman" w:eastAsia="Times New Roman" w:hAnsi="Times New Roman" w:cs="Times New Roman"/>
          <w:color w:val="000000"/>
        </w:rPr>
        <w:t xml:space="preserve">, M., &amp; </w:t>
      </w:r>
      <w:proofErr w:type="spellStart"/>
      <w:r>
        <w:rPr>
          <w:rFonts w:ascii="Times New Roman" w:eastAsia="Times New Roman" w:hAnsi="Times New Roman" w:cs="Times New Roman"/>
          <w:color w:val="000000"/>
        </w:rPr>
        <w:t>Canares</w:t>
      </w:r>
      <w:proofErr w:type="spellEnd"/>
      <w:r>
        <w:rPr>
          <w:rFonts w:ascii="Times New Roman" w:eastAsia="Times New Roman" w:hAnsi="Times New Roman" w:cs="Times New Roman"/>
          <w:color w:val="000000"/>
        </w:rPr>
        <w:t>, T. (2024). Explainable AI decision support improves accuracy during telehealth strep throat screening. </w:t>
      </w:r>
      <w:r>
        <w:rPr>
          <w:rFonts w:ascii="Times New Roman" w:eastAsia="Times New Roman" w:hAnsi="Times New Roman" w:cs="Times New Roman"/>
          <w:i/>
          <w:iCs/>
          <w:color w:val="000000"/>
        </w:rPr>
        <w:t>Communications medicine</w:t>
      </w:r>
      <w:r>
        <w:rPr>
          <w:rFonts w:ascii="Times New Roman" w:eastAsia="Times New Roman" w:hAnsi="Times New Roman" w:cs="Times New Roman"/>
          <w:color w:val="000000"/>
        </w:rPr>
        <w:t>, </w:t>
      </w:r>
      <w:r>
        <w:rPr>
          <w:rFonts w:ascii="Times New Roman" w:eastAsia="Times New Roman" w:hAnsi="Times New Roman" w:cs="Times New Roman"/>
          <w:i/>
          <w:iCs/>
          <w:color w:val="000000"/>
        </w:rPr>
        <w:t>4</w:t>
      </w:r>
      <w:r>
        <w:rPr>
          <w:rFonts w:ascii="Times New Roman" w:eastAsia="Times New Roman" w:hAnsi="Times New Roman" w:cs="Times New Roman"/>
          <w:color w:val="000000"/>
        </w:rPr>
        <w:t xml:space="preserve">(1), 149. </w:t>
      </w:r>
      <w:hyperlink r:id="rId26">
        <w:r>
          <w:rPr>
            <w:rFonts w:ascii="Times New Roman" w:eastAsia="Times New Roman" w:hAnsi="Times New Roman" w:cs="Times New Roman"/>
            <w:color w:val="000000"/>
            <w:u w:val="single"/>
          </w:rPr>
          <w:t>https://doi.org/10.1038/s43856-024-00568-x</w:t>
        </w:r>
      </w:hyperlink>
    </w:p>
    <w:p w14:paraId="499A1F18"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Graafsma</w:t>
      </w:r>
      <w:proofErr w:type="spellEnd"/>
      <w:r>
        <w:rPr>
          <w:rFonts w:ascii="Times New Roman" w:eastAsia="Times New Roman" w:hAnsi="Times New Roman" w:cs="Times New Roman"/>
          <w:color w:val="000000"/>
        </w:rPr>
        <w:t xml:space="preserve">, J., Murphy, R. M., van de Garde, E. M. W., </w:t>
      </w:r>
      <w:proofErr w:type="spellStart"/>
      <w:r>
        <w:rPr>
          <w:rFonts w:ascii="Times New Roman" w:eastAsia="Times New Roman" w:hAnsi="Times New Roman" w:cs="Times New Roman"/>
          <w:color w:val="000000"/>
        </w:rPr>
        <w:t>Karapinar-Çarkit</w:t>
      </w:r>
      <w:proofErr w:type="spellEnd"/>
      <w:r>
        <w:rPr>
          <w:rFonts w:ascii="Times New Roman" w:eastAsia="Times New Roman" w:hAnsi="Times New Roman" w:cs="Times New Roman"/>
          <w:color w:val="000000"/>
        </w:rPr>
        <w:t xml:space="preserve">, F., </w:t>
      </w:r>
      <w:proofErr w:type="spellStart"/>
      <w:r>
        <w:rPr>
          <w:rFonts w:ascii="Times New Roman" w:eastAsia="Times New Roman" w:hAnsi="Times New Roman" w:cs="Times New Roman"/>
          <w:color w:val="000000"/>
        </w:rPr>
        <w:t>Derijks</w:t>
      </w:r>
      <w:proofErr w:type="spellEnd"/>
      <w:r>
        <w:rPr>
          <w:rFonts w:ascii="Times New Roman" w:eastAsia="Times New Roman" w:hAnsi="Times New Roman" w:cs="Times New Roman"/>
          <w:color w:val="000000"/>
        </w:rPr>
        <w:t xml:space="preserve">, H. J., Hoge, R. H. L., </w:t>
      </w:r>
      <w:proofErr w:type="spellStart"/>
      <w:r>
        <w:rPr>
          <w:rFonts w:ascii="Times New Roman" w:eastAsia="Times New Roman" w:hAnsi="Times New Roman" w:cs="Times New Roman"/>
          <w:color w:val="000000"/>
        </w:rPr>
        <w:t>Klopotowska</w:t>
      </w:r>
      <w:proofErr w:type="spellEnd"/>
      <w:r>
        <w:rPr>
          <w:rFonts w:ascii="Times New Roman" w:eastAsia="Times New Roman" w:hAnsi="Times New Roman" w:cs="Times New Roman"/>
          <w:color w:val="000000"/>
        </w:rPr>
        <w:t xml:space="preserve">, J. E., &amp; van den </w:t>
      </w:r>
      <w:proofErr w:type="spellStart"/>
      <w:r>
        <w:rPr>
          <w:rFonts w:ascii="Times New Roman" w:eastAsia="Times New Roman" w:hAnsi="Times New Roman" w:cs="Times New Roman"/>
          <w:color w:val="000000"/>
        </w:rPr>
        <w:t>Bemt</w:t>
      </w:r>
      <w:proofErr w:type="spellEnd"/>
      <w:r>
        <w:rPr>
          <w:rFonts w:ascii="Times New Roman" w:eastAsia="Times New Roman" w:hAnsi="Times New Roman" w:cs="Times New Roman"/>
          <w:color w:val="000000"/>
        </w:rPr>
        <w:t>, P. M. L. A. (2024). The use of artificial intelligence to optimi</w:t>
      </w:r>
      <w:r>
        <w:rPr>
          <w:rFonts w:ascii="Times New Roman" w:eastAsia="Times New Roman" w:hAnsi="Times New Roman" w:cs="Times New Roman"/>
          <w:color w:val="000000"/>
        </w:rPr>
        <w:t xml:space="preserve">ze medication alerts generated by clinical decision support systems: a scoping review. Journal of the American Medical Informatics </w:t>
      </w:r>
      <w:proofErr w:type="gramStart"/>
      <w:r>
        <w:rPr>
          <w:rFonts w:ascii="Times New Roman" w:eastAsia="Times New Roman" w:hAnsi="Times New Roman" w:cs="Times New Roman"/>
          <w:color w:val="000000"/>
        </w:rPr>
        <w:t>Association :</w:t>
      </w:r>
      <w:proofErr w:type="gramEnd"/>
      <w:r>
        <w:rPr>
          <w:rFonts w:ascii="Times New Roman" w:eastAsia="Times New Roman" w:hAnsi="Times New Roman" w:cs="Times New Roman"/>
          <w:color w:val="000000"/>
        </w:rPr>
        <w:t xml:space="preserve"> JAMIA, 31(6), 1411–1422. </w:t>
      </w:r>
      <w:hyperlink r:id="rId27">
        <w:r>
          <w:rPr>
            <w:rFonts w:ascii="Times New Roman" w:eastAsia="Times New Roman" w:hAnsi="Times New Roman" w:cs="Times New Roman"/>
            <w:color w:val="000000"/>
            <w:u w:val="single"/>
          </w:rPr>
          <w:t>https://doi.org/10.1093/jamia</w:t>
        </w:r>
        <w:r>
          <w:rPr>
            <w:rFonts w:ascii="Times New Roman" w:eastAsia="Times New Roman" w:hAnsi="Times New Roman" w:cs="Times New Roman"/>
            <w:color w:val="000000"/>
            <w:u w:val="single"/>
          </w:rPr>
          <w:t>/ocae076</w:t>
        </w:r>
      </w:hyperlink>
      <w:r>
        <w:rPr>
          <w:rFonts w:ascii="Times New Roman" w:eastAsia="Times New Roman" w:hAnsi="Times New Roman" w:cs="Times New Roman"/>
          <w:color w:val="000000"/>
        </w:rPr>
        <w:t xml:space="preserve"> </w:t>
      </w:r>
    </w:p>
    <w:p w14:paraId="38A7AC44"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Hoff, K. A., &amp; Bashir, M. (2015). Trust in automation: integrating empirical evidence on factors that influence trust. </w:t>
      </w:r>
      <w:r>
        <w:rPr>
          <w:rFonts w:ascii="Times New Roman" w:eastAsia="Times New Roman" w:hAnsi="Times New Roman" w:cs="Times New Roman"/>
          <w:i/>
          <w:iCs/>
          <w:color w:val="000000"/>
        </w:rPr>
        <w:t>Human factors</w:t>
      </w:r>
      <w:r>
        <w:rPr>
          <w:rFonts w:ascii="Times New Roman" w:eastAsia="Times New Roman" w:hAnsi="Times New Roman" w:cs="Times New Roman"/>
          <w:color w:val="000000"/>
        </w:rPr>
        <w:t>, </w:t>
      </w:r>
      <w:r>
        <w:rPr>
          <w:rFonts w:ascii="Times New Roman" w:eastAsia="Times New Roman" w:hAnsi="Times New Roman" w:cs="Times New Roman"/>
          <w:i/>
          <w:iCs/>
          <w:color w:val="000000"/>
        </w:rPr>
        <w:t>57</w:t>
      </w:r>
      <w:r>
        <w:rPr>
          <w:rFonts w:ascii="Times New Roman" w:eastAsia="Times New Roman" w:hAnsi="Times New Roman" w:cs="Times New Roman"/>
          <w:color w:val="000000"/>
        </w:rPr>
        <w:t xml:space="preserve">(3), 407–434. </w:t>
      </w:r>
      <w:hyperlink r:id="rId28">
        <w:r>
          <w:rPr>
            <w:rFonts w:ascii="Times New Roman" w:eastAsia="Times New Roman" w:hAnsi="Times New Roman" w:cs="Times New Roman"/>
            <w:color w:val="000000"/>
            <w:u w:val="single"/>
          </w:rPr>
          <w:t>https://doi.org/10.1177/001872081454</w:t>
        </w:r>
        <w:r>
          <w:rPr>
            <w:rFonts w:ascii="Times New Roman" w:eastAsia="Times New Roman" w:hAnsi="Times New Roman" w:cs="Times New Roman"/>
            <w:color w:val="000000"/>
            <w:u w:val="single"/>
          </w:rPr>
          <w:t>7570</w:t>
        </w:r>
      </w:hyperlink>
    </w:p>
    <w:p w14:paraId="138890A9"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Hurter, C., Degas, A., </w:t>
      </w:r>
      <w:proofErr w:type="spellStart"/>
      <w:r>
        <w:rPr>
          <w:rFonts w:ascii="Times New Roman" w:eastAsia="Times New Roman" w:hAnsi="Times New Roman" w:cs="Times New Roman"/>
          <w:color w:val="000000"/>
        </w:rPr>
        <w:t>Guibert</w:t>
      </w:r>
      <w:proofErr w:type="spellEnd"/>
      <w:r>
        <w:rPr>
          <w:rFonts w:ascii="Times New Roman" w:eastAsia="Times New Roman" w:hAnsi="Times New Roman" w:cs="Times New Roman"/>
          <w:color w:val="000000"/>
        </w:rPr>
        <w:t xml:space="preserve">, A., </w:t>
      </w:r>
      <w:proofErr w:type="spellStart"/>
      <w:r>
        <w:rPr>
          <w:rFonts w:ascii="Times New Roman" w:eastAsia="Times New Roman" w:hAnsi="Times New Roman" w:cs="Times New Roman"/>
          <w:color w:val="000000"/>
        </w:rPr>
        <w:t>Poyer</w:t>
      </w:r>
      <w:proofErr w:type="spellEnd"/>
      <w:r>
        <w:rPr>
          <w:rFonts w:ascii="Times New Roman" w:eastAsia="Times New Roman" w:hAnsi="Times New Roman" w:cs="Times New Roman"/>
          <w:color w:val="000000"/>
        </w:rPr>
        <w:t xml:space="preserve">, M., Durand, N., </w:t>
      </w:r>
      <w:proofErr w:type="spellStart"/>
      <w:r>
        <w:rPr>
          <w:rFonts w:ascii="Times New Roman" w:eastAsia="Times New Roman" w:hAnsi="Times New Roman" w:cs="Times New Roman"/>
          <w:color w:val="000000"/>
        </w:rPr>
        <w:t>Veyrie</w:t>
      </w:r>
      <w:proofErr w:type="spellEnd"/>
      <w:r>
        <w:rPr>
          <w:rFonts w:ascii="Times New Roman" w:eastAsia="Times New Roman" w:hAnsi="Times New Roman" w:cs="Times New Roman"/>
          <w:color w:val="000000"/>
        </w:rPr>
        <w:t xml:space="preserve">, A., ... &amp; </w:t>
      </w:r>
      <w:proofErr w:type="spellStart"/>
      <w:r>
        <w:rPr>
          <w:rFonts w:ascii="Times New Roman" w:eastAsia="Times New Roman" w:hAnsi="Times New Roman" w:cs="Times New Roman"/>
          <w:color w:val="000000"/>
        </w:rPr>
        <w:t>Aricó</w:t>
      </w:r>
      <w:proofErr w:type="spellEnd"/>
      <w:r>
        <w:rPr>
          <w:rFonts w:ascii="Times New Roman" w:eastAsia="Times New Roman" w:hAnsi="Times New Roman" w:cs="Times New Roman"/>
          <w:color w:val="000000"/>
        </w:rPr>
        <w:t xml:space="preserve">, P. (2024). Examining decision-making in air traffic control. Enhancing transparency and decision support through machine </w:t>
      </w:r>
      <w:r>
        <w:rPr>
          <w:rFonts w:ascii="Times New Roman" w:eastAsia="Times New Roman" w:hAnsi="Times New Roman" w:cs="Times New Roman"/>
          <w:color w:val="000000"/>
        </w:rPr>
        <w:lastRenderedPageBreak/>
        <w:t>learning, explanation, and visualization. A ca</w:t>
      </w:r>
      <w:r>
        <w:rPr>
          <w:rFonts w:ascii="Times New Roman" w:eastAsia="Times New Roman" w:hAnsi="Times New Roman" w:cs="Times New Roman"/>
          <w:color w:val="000000"/>
        </w:rPr>
        <w:t xml:space="preserve">se </w:t>
      </w:r>
      <w:proofErr w:type="gramStart"/>
      <w:r>
        <w:rPr>
          <w:rFonts w:ascii="Times New Roman" w:eastAsia="Times New Roman" w:hAnsi="Times New Roman" w:cs="Times New Roman"/>
          <w:color w:val="000000"/>
        </w:rPr>
        <w:t>study</w:t>
      </w:r>
      <w:proofErr w:type="gramEnd"/>
      <w:r>
        <w:rPr>
          <w:rFonts w:ascii="Times New Roman" w:eastAsia="Times New Roman" w:hAnsi="Times New Roman" w:cs="Times New Roman"/>
          <w:color w:val="000000"/>
        </w:rPr>
        <w:t>. In </w:t>
      </w:r>
      <w:r>
        <w:rPr>
          <w:rFonts w:ascii="Times New Roman" w:eastAsia="Times New Roman" w:hAnsi="Times New Roman" w:cs="Times New Roman"/>
          <w:i/>
          <w:iCs/>
          <w:color w:val="000000"/>
        </w:rPr>
        <w:t>International Conference on Agents and Artificial Intelligence</w:t>
      </w:r>
      <w:r>
        <w:rPr>
          <w:rFonts w:ascii="Times New Roman" w:eastAsia="Times New Roman" w:hAnsi="Times New Roman" w:cs="Times New Roman"/>
          <w:color w:val="000000"/>
        </w:rPr>
        <w:t> (Vol. 2, pp. 622-634).</w:t>
      </w:r>
    </w:p>
    <w:p w14:paraId="792262B5"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Labkoff</w:t>
      </w:r>
      <w:proofErr w:type="spellEnd"/>
      <w:r>
        <w:rPr>
          <w:rFonts w:ascii="Times New Roman" w:eastAsia="Times New Roman" w:hAnsi="Times New Roman" w:cs="Times New Roman"/>
          <w:color w:val="000000"/>
        </w:rPr>
        <w:t xml:space="preserve">, S., </w:t>
      </w:r>
      <w:proofErr w:type="spellStart"/>
      <w:r>
        <w:rPr>
          <w:rFonts w:ascii="Times New Roman" w:eastAsia="Times New Roman" w:hAnsi="Times New Roman" w:cs="Times New Roman"/>
          <w:color w:val="000000"/>
        </w:rPr>
        <w:t>Oladimeji</w:t>
      </w:r>
      <w:proofErr w:type="spellEnd"/>
      <w:r>
        <w:rPr>
          <w:rFonts w:ascii="Times New Roman" w:eastAsia="Times New Roman" w:hAnsi="Times New Roman" w:cs="Times New Roman"/>
          <w:color w:val="000000"/>
        </w:rPr>
        <w:t xml:space="preserve">, B., </w:t>
      </w:r>
      <w:proofErr w:type="spellStart"/>
      <w:r>
        <w:rPr>
          <w:rFonts w:ascii="Times New Roman" w:eastAsia="Times New Roman" w:hAnsi="Times New Roman" w:cs="Times New Roman"/>
          <w:color w:val="000000"/>
        </w:rPr>
        <w:t>Kannry</w:t>
      </w:r>
      <w:proofErr w:type="spellEnd"/>
      <w:r>
        <w:rPr>
          <w:rFonts w:ascii="Times New Roman" w:eastAsia="Times New Roman" w:hAnsi="Times New Roman" w:cs="Times New Roman"/>
          <w:color w:val="000000"/>
        </w:rPr>
        <w:t xml:space="preserve">, J., </w:t>
      </w:r>
      <w:proofErr w:type="spellStart"/>
      <w:r>
        <w:rPr>
          <w:rFonts w:ascii="Times New Roman" w:eastAsia="Times New Roman" w:hAnsi="Times New Roman" w:cs="Times New Roman"/>
          <w:color w:val="000000"/>
        </w:rPr>
        <w:t>Solomonides</w:t>
      </w:r>
      <w:proofErr w:type="spellEnd"/>
      <w:r>
        <w:rPr>
          <w:rFonts w:ascii="Times New Roman" w:eastAsia="Times New Roman" w:hAnsi="Times New Roman" w:cs="Times New Roman"/>
          <w:color w:val="000000"/>
        </w:rPr>
        <w:t>, A., Leftwich, R., Koski, E., Joseph, A. L., Lopez-Gonzalez, M., Fleisher, L. A., Nolen, K., Dutta, S., L</w:t>
      </w:r>
      <w:r>
        <w:rPr>
          <w:rFonts w:ascii="Times New Roman" w:eastAsia="Times New Roman" w:hAnsi="Times New Roman" w:cs="Times New Roman"/>
          <w:color w:val="000000"/>
        </w:rPr>
        <w:t xml:space="preserve">evy, D. R., Price, A., Barr, P. J., </w:t>
      </w:r>
      <w:proofErr w:type="spellStart"/>
      <w:r>
        <w:rPr>
          <w:rFonts w:ascii="Times New Roman" w:eastAsia="Times New Roman" w:hAnsi="Times New Roman" w:cs="Times New Roman"/>
          <w:color w:val="000000"/>
        </w:rPr>
        <w:t>Hron</w:t>
      </w:r>
      <w:proofErr w:type="spellEnd"/>
      <w:r>
        <w:rPr>
          <w:rFonts w:ascii="Times New Roman" w:eastAsia="Times New Roman" w:hAnsi="Times New Roman" w:cs="Times New Roman"/>
          <w:color w:val="000000"/>
        </w:rPr>
        <w:t xml:space="preserve">, J. D., Lin, B., Srivastava, G., Pastor, N., </w:t>
      </w:r>
      <w:proofErr w:type="spellStart"/>
      <w:r>
        <w:rPr>
          <w:rFonts w:ascii="Times New Roman" w:eastAsia="Times New Roman" w:hAnsi="Times New Roman" w:cs="Times New Roman"/>
          <w:color w:val="000000"/>
        </w:rPr>
        <w:t>Luque</w:t>
      </w:r>
      <w:proofErr w:type="spellEnd"/>
      <w:r>
        <w:rPr>
          <w:rFonts w:ascii="Times New Roman" w:eastAsia="Times New Roman" w:hAnsi="Times New Roman" w:cs="Times New Roman"/>
          <w:color w:val="000000"/>
        </w:rPr>
        <w:t>, U. S., Bui, T. T. T., … Quintana, Y. (2024). Toward a responsible future: recommendations for AI-enabled clinical decision support. Journal of the American Medical</w:t>
      </w:r>
      <w:r>
        <w:rPr>
          <w:rFonts w:ascii="Times New Roman" w:eastAsia="Times New Roman" w:hAnsi="Times New Roman" w:cs="Times New Roman"/>
          <w:color w:val="000000"/>
        </w:rPr>
        <w:t xml:space="preserve"> Informatics </w:t>
      </w:r>
      <w:proofErr w:type="gramStart"/>
      <w:r>
        <w:rPr>
          <w:rFonts w:ascii="Times New Roman" w:eastAsia="Times New Roman" w:hAnsi="Times New Roman" w:cs="Times New Roman"/>
          <w:color w:val="000000"/>
        </w:rPr>
        <w:t>Association :</w:t>
      </w:r>
      <w:proofErr w:type="gramEnd"/>
      <w:r>
        <w:rPr>
          <w:rFonts w:ascii="Times New Roman" w:eastAsia="Times New Roman" w:hAnsi="Times New Roman" w:cs="Times New Roman"/>
          <w:color w:val="000000"/>
        </w:rPr>
        <w:t xml:space="preserve"> JAMIA, 31(11), 2730–2739. </w:t>
      </w:r>
      <w:hyperlink r:id="rId29">
        <w:r>
          <w:rPr>
            <w:rFonts w:ascii="Times New Roman" w:eastAsia="Times New Roman" w:hAnsi="Times New Roman" w:cs="Times New Roman"/>
            <w:color w:val="000000"/>
            <w:u w:val="single"/>
          </w:rPr>
          <w:t>https://doi.org/10.1093/jamia/ocae209</w:t>
        </w:r>
      </w:hyperlink>
    </w:p>
    <w:p w14:paraId="3731A640"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Lee, M. H., &amp; Chew, C. J. (2023). Understanding the effect of counterfactual explanations on trust and relia</w:t>
      </w:r>
      <w:r>
        <w:rPr>
          <w:rFonts w:ascii="Times New Roman" w:eastAsia="Times New Roman" w:hAnsi="Times New Roman" w:cs="Times New Roman"/>
          <w:color w:val="000000"/>
        </w:rPr>
        <w:t>nce on ai for human-ai collaborative clinical decision making. </w:t>
      </w:r>
      <w:r>
        <w:rPr>
          <w:rFonts w:ascii="Times New Roman" w:eastAsia="Times New Roman" w:hAnsi="Times New Roman" w:cs="Times New Roman"/>
          <w:i/>
          <w:iCs/>
          <w:color w:val="000000"/>
        </w:rPr>
        <w:t>Proceedings of the ACM on Human-Computer Interaction</w:t>
      </w:r>
      <w:r>
        <w:rPr>
          <w:rFonts w:ascii="Times New Roman" w:eastAsia="Times New Roman" w:hAnsi="Times New Roman" w:cs="Times New Roman"/>
          <w:color w:val="000000"/>
        </w:rPr>
        <w:t>, </w:t>
      </w:r>
      <w:r>
        <w:rPr>
          <w:rFonts w:ascii="Times New Roman" w:eastAsia="Times New Roman" w:hAnsi="Times New Roman" w:cs="Times New Roman"/>
          <w:i/>
          <w:iCs/>
          <w:color w:val="000000"/>
        </w:rPr>
        <w:t>7</w:t>
      </w:r>
      <w:r>
        <w:rPr>
          <w:rFonts w:ascii="Times New Roman" w:eastAsia="Times New Roman" w:hAnsi="Times New Roman" w:cs="Times New Roman"/>
          <w:color w:val="000000"/>
        </w:rPr>
        <w:t xml:space="preserve">(CSCW2), 1-22. </w:t>
      </w:r>
      <w:hyperlink r:id="rId30">
        <w:r>
          <w:rPr>
            <w:rFonts w:ascii="Times New Roman" w:eastAsia="Times New Roman" w:hAnsi="Times New Roman" w:cs="Times New Roman"/>
            <w:color w:val="000000"/>
            <w:u w:val="single"/>
          </w:rPr>
          <w:t>https://doi.org/10.1145/3610218</w:t>
        </w:r>
      </w:hyperlink>
    </w:p>
    <w:p w14:paraId="06C3BFB1"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Lester, C., Rowell, B., Zheng, Y., Co, Z</w:t>
      </w:r>
      <w:r>
        <w:rPr>
          <w:rFonts w:ascii="Times New Roman" w:eastAsia="Times New Roman" w:hAnsi="Times New Roman" w:cs="Times New Roman"/>
          <w:color w:val="000000"/>
        </w:rPr>
        <w:t xml:space="preserve">., Marshall, V., Kim, J. Y., Chen, Q., </w:t>
      </w:r>
      <w:proofErr w:type="spellStart"/>
      <w:r>
        <w:rPr>
          <w:rFonts w:ascii="Times New Roman" w:eastAsia="Times New Roman" w:hAnsi="Times New Roman" w:cs="Times New Roman"/>
          <w:color w:val="000000"/>
        </w:rPr>
        <w:t>Kontar</w:t>
      </w:r>
      <w:proofErr w:type="spellEnd"/>
      <w:r>
        <w:rPr>
          <w:rFonts w:ascii="Times New Roman" w:eastAsia="Times New Roman" w:hAnsi="Times New Roman" w:cs="Times New Roman"/>
          <w:color w:val="000000"/>
        </w:rPr>
        <w:t>, R., &amp; Yang, X. J. (2025). Effect of Uncertainty-Aware AI Models on Pharmacists' Reaction Time and Decision-Making in a Web-Based Mock Medication Verification Task: Randomized Controlled Trial. </w:t>
      </w:r>
      <w:r>
        <w:rPr>
          <w:rFonts w:ascii="Times New Roman" w:eastAsia="Times New Roman" w:hAnsi="Times New Roman" w:cs="Times New Roman"/>
          <w:i/>
          <w:iCs/>
          <w:color w:val="000000"/>
        </w:rPr>
        <w:t xml:space="preserve">JMIR medical </w:t>
      </w:r>
      <w:r>
        <w:rPr>
          <w:rFonts w:ascii="Times New Roman" w:eastAsia="Times New Roman" w:hAnsi="Times New Roman" w:cs="Times New Roman"/>
          <w:i/>
          <w:iCs/>
          <w:color w:val="000000"/>
        </w:rPr>
        <w:t>informatics</w:t>
      </w:r>
      <w:r>
        <w:rPr>
          <w:rFonts w:ascii="Times New Roman" w:eastAsia="Times New Roman" w:hAnsi="Times New Roman" w:cs="Times New Roman"/>
          <w:color w:val="000000"/>
        </w:rPr>
        <w:t>, </w:t>
      </w:r>
      <w:r>
        <w:rPr>
          <w:rFonts w:ascii="Times New Roman" w:eastAsia="Times New Roman" w:hAnsi="Times New Roman" w:cs="Times New Roman"/>
          <w:i/>
          <w:iCs/>
          <w:color w:val="000000"/>
        </w:rPr>
        <w:t>13</w:t>
      </w:r>
      <w:r>
        <w:rPr>
          <w:rFonts w:ascii="Times New Roman" w:eastAsia="Times New Roman" w:hAnsi="Times New Roman" w:cs="Times New Roman"/>
          <w:color w:val="000000"/>
        </w:rPr>
        <w:t xml:space="preserve">, e64902. </w:t>
      </w:r>
      <w:hyperlink r:id="rId31">
        <w:r>
          <w:rPr>
            <w:rFonts w:ascii="Times New Roman" w:eastAsia="Times New Roman" w:hAnsi="Times New Roman" w:cs="Times New Roman"/>
            <w:color w:val="000000"/>
            <w:u w:val="single"/>
          </w:rPr>
          <w:t>https://doi.org/10.2196/64902</w:t>
        </w:r>
      </w:hyperlink>
    </w:p>
    <w:p w14:paraId="1E9DA5FF"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Ling, S., Zhang, Y., &amp; Du, N. (2024). More Is Not Always Better: Impacts of AI-Generated Confidence and Explanations in Human-Automation Interaction. </w:t>
      </w:r>
      <w:r>
        <w:rPr>
          <w:rFonts w:ascii="Times New Roman" w:eastAsia="Times New Roman" w:hAnsi="Times New Roman" w:cs="Times New Roman"/>
          <w:i/>
          <w:iCs/>
          <w:color w:val="000000"/>
        </w:rPr>
        <w:t>Hu</w:t>
      </w:r>
      <w:r>
        <w:rPr>
          <w:rFonts w:ascii="Times New Roman" w:eastAsia="Times New Roman" w:hAnsi="Times New Roman" w:cs="Times New Roman"/>
          <w:i/>
          <w:iCs/>
          <w:color w:val="000000"/>
        </w:rPr>
        <w:t>man factors</w:t>
      </w:r>
      <w:r>
        <w:rPr>
          <w:rFonts w:ascii="Times New Roman" w:eastAsia="Times New Roman" w:hAnsi="Times New Roman" w:cs="Times New Roman"/>
          <w:color w:val="000000"/>
        </w:rPr>
        <w:t>, </w:t>
      </w:r>
      <w:r>
        <w:rPr>
          <w:rFonts w:ascii="Times New Roman" w:eastAsia="Times New Roman" w:hAnsi="Times New Roman" w:cs="Times New Roman"/>
          <w:i/>
          <w:iCs/>
          <w:color w:val="000000"/>
        </w:rPr>
        <w:t>66</w:t>
      </w:r>
      <w:r>
        <w:rPr>
          <w:rFonts w:ascii="Times New Roman" w:eastAsia="Times New Roman" w:hAnsi="Times New Roman" w:cs="Times New Roman"/>
          <w:color w:val="000000"/>
        </w:rPr>
        <w:t xml:space="preserve">(12), 2606–2620. </w:t>
      </w:r>
      <w:hyperlink r:id="rId32">
        <w:r>
          <w:rPr>
            <w:rFonts w:ascii="Times New Roman" w:eastAsia="Times New Roman" w:hAnsi="Times New Roman" w:cs="Times New Roman"/>
            <w:color w:val="000000"/>
            <w:u w:val="single"/>
          </w:rPr>
          <w:t>https://doi.org/10.1177/00187208241234810</w:t>
        </w:r>
      </w:hyperlink>
    </w:p>
    <w:p w14:paraId="20F5E00F"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Mahadevaiah</w:t>
      </w:r>
      <w:proofErr w:type="spellEnd"/>
      <w:r>
        <w:rPr>
          <w:rFonts w:ascii="Times New Roman" w:eastAsia="Times New Roman" w:hAnsi="Times New Roman" w:cs="Times New Roman"/>
          <w:color w:val="000000"/>
        </w:rPr>
        <w:t xml:space="preserve">, G., </w:t>
      </w:r>
      <w:proofErr w:type="spellStart"/>
      <w:r>
        <w:rPr>
          <w:rFonts w:ascii="Times New Roman" w:eastAsia="Times New Roman" w:hAnsi="Times New Roman" w:cs="Times New Roman"/>
          <w:color w:val="000000"/>
        </w:rPr>
        <w:t>Rv</w:t>
      </w:r>
      <w:proofErr w:type="spellEnd"/>
      <w:r>
        <w:rPr>
          <w:rFonts w:ascii="Times New Roman" w:eastAsia="Times New Roman" w:hAnsi="Times New Roman" w:cs="Times New Roman"/>
          <w:color w:val="000000"/>
        </w:rPr>
        <w:t xml:space="preserve">, P., Bermejo, I., </w:t>
      </w:r>
      <w:proofErr w:type="spellStart"/>
      <w:r>
        <w:rPr>
          <w:rFonts w:ascii="Times New Roman" w:eastAsia="Times New Roman" w:hAnsi="Times New Roman" w:cs="Times New Roman"/>
          <w:color w:val="000000"/>
        </w:rPr>
        <w:t>Jaffray</w:t>
      </w:r>
      <w:proofErr w:type="spellEnd"/>
      <w:r>
        <w:rPr>
          <w:rFonts w:ascii="Times New Roman" w:eastAsia="Times New Roman" w:hAnsi="Times New Roman" w:cs="Times New Roman"/>
          <w:color w:val="000000"/>
        </w:rPr>
        <w:t>, D., Dekker, A., &amp; Wee, L. (2020). Artificial intelligence-based clinical d</w:t>
      </w:r>
      <w:r>
        <w:rPr>
          <w:rFonts w:ascii="Times New Roman" w:eastAsia="Times New Roman" w:hAnsi="Times New Roman" w:cs="Times New Roman"/>
          <w:color w:val="000000"/>
        </w:rPr>
        <w:t xml:space="preserve">ecision support in modern medical physics: Selection, acceptance, commissioning, and quality assurance. Medical physics, 47(5), e228–e235. </w:t>
      </w:r>
      <w:hyperlink r:id="rId33">
        <w:r>
          <w:rPr>
            <w:rFonts w:ascii="Times New Roman" w:eastAsia="Times New Roman" w:hAnsi="Times New Roman" w:cs="Times New Roman"/>
            <w:color w:val="000000"/>
            <w:u w:val="single"/>
          </w:rPr>
          <w:t>https://doi.org/10.1002/mp.13562</w:t>
        </w:r>
      </w:hyperlink>
      <w:r>
        <w:rPr>
          <w:rFonts w:ascii="Times New Roman" w:eastAsia="Times New Roman" w:hAnsi="Times New Roman" w:cs="Times New Roman"/>
          <w:color w:val="000000"/>
        </w:rPr>
        <w:t xml:space="preserve"> </w:t>
      </w:r>
    </w:p>
    <w:p w14:paraId="13A170AD"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Markus, A. F., Kors, J. A., &amp; </w:t>
      </w:r>
      <w:proofErr w:type="spellStart"/>
      <w:r>
        <w:rPr>
          <w:rFonts w:ascii="Times New Roman" w:eastAsia="Times New Roman" w:hAnsi="Times New Roman" w:cs="Times New Roman"/>
          <w:color w:val="000000"/>
        </w:rPr>
        <w:t>R</w:t>
      </w:r>
      <w:r>
        <w:rPr>
          <w:rFonts w:ascii="Times New Roman" w:eastAsia="Times New Roman" w:hAnsi="Times New Roman" w:cs="Times New Roman"/>
          <w:color w:val="000000"/>
        </w:rPr>
        <w:t>ijnbeek</w:t>
      </w:r>
      <w:proofErr w:type="spellEnd"/>
      <w:r>
        <w:rPr>
          <w:rFonts w:ascii="Times New Roman" w:eastAsia="Times New Roman" w:hAnsi="Times New Roman" w:cs="Times New Roman"/>
          <w:color w:val="000000"/>
        </w:rPr>
        <w:t xml:space="preserve">, P. R. (2021). The role of </w:t>
      </w:r>
      <w:proofErr w:type="spellStart"/>
      <w:r>
        <w:rPr>
          <w:rFonts w:ascii="Times New Roman" w:eastAsia="Times New Roman" w:hAnsi="Times New Roman" w:cs="Times New Roman"/>
          <w:color w:val="000000"/>
        </w:rPr>
        <w:t>explainability</w:t>
      </w:r>
      <w:proofErr w:type="spellEnd"/>
      <w:r>
        <w:rPr>
          <w:rFonts w:ascii="Times New Roman" w:eastAsia="Times New Roman" w:hAnsi="Times New Roman" w:cs="Times New Roman"/>
          <w:color w:val="000000"/>
        </w:rPr>
        <w:t xml:space="preserve"> in creating trustworthy artificial intelligence for health care: A comprehensive survey of the terminology, design choices, and evaluation strategies. Journal of biomedical informatics, 113, 103655. </w:t>
      </w:r>
      <w:hyperlink r:id="rId34">
        <w:r>
          <w:rPr>
            <w:rFonts w:ascii="Times New Roman" w:eastAsia="Times New Roman" w:hAnsi="Times New Roman" w:cs="Times New Roman"/>
            <w:color w:val="000000"/>
            <w:u w:val="single"/>
          </w:rPr>
          <w:t>https://doi.org/10.1016/j.jbi.2020.103655</w:t>
        </w:r>
      </w:hyperlink>
    </w:p>
    <w:p w14:paraId="336C4C6E"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Mehrotra, S., </w:t>
      </w:r>
      <w:proofErr w:type="spellStart"/>
      <w:r>
        <w:rPr>
          <w:rFonts w:ascii="Times New Roman" w:eastAsia="Times New Roman" w:hAnsi="Times New Roman" w:cs="Times New Roman"/>
          <w:color w:val="000000"/>
        </w:rPr>
        <w:t>Degachi</w:t>
      </w:r>
      <w:proofErr w:type="spellEnd"/>
      <w:r>
        <w:rPr>
          <w:rFonts w:ascii="Times New Roman" w:eastAsia="Times New Roman" w:hAnsi="Times New Roman" w:cs="Times New Roman"/>
          <w:color w:val="000000"/>
        </w:rPr>
        <w:t xml:space="preserve">, C., </w:t>
      </w:r>
      <w:proofErr w:type="spellStart"/>
      <w:r>
        <w:rPr>
          <w:rFonts w:ascii="Times New Roman" w:eastAsia="Times New Roman" w:hAnsi="Times New Roman" w:cs="Times New Roman"/>
          <w:color w:val="000000"/>
        </w:rPr>
        <w:t>Vereschak</w:t>
      </w:r>
      <w:proofErr w:type="spellEnd"/>
      <w:r>
        <w:rPr>
          <w:rFonts w:ascii="Times New Roman" w:eastAsia="Times New Roman" w:hAnsi="Times New Roman" w:cs="Times New Roman"/>
          <w:color w:val="000000"/>
        </w:rPr>
        <w:t xml:space="preserve">, O., Jonker, C. M., &amp; </w:t>
      </w:r>
      <w:proofErr w:type="spellStart"/>
      <w:r>
        <w:rPr>
          <w:rFonts w:ascii="Times New Roman" w:eastAsia="Times New Roman" w:hAnsi="Times New Roman" w:cs="Times New Roman"/>
          <w:color w:val="000000"/>
        </w:rPr>
        <w:t>Tielman</w:t>
      </w:r>
      <w:proofErr w:type="spellEnd"/>
      <w:r>
        <w:rPr>
          <w:rFonts w:ascii="Times New Roman" w:eastAsia="Times New Roman" w:hAnsi="Times New Roman" w:cs="Times New Roman"/>
          <w:color w:val="000000"/>
        </w:rPr>
        <w:t>, M. L. (2024). A systematic review on fostering appropriate trust in Human-AI interaction: Tr</w:t>
      </w:r>
      <w:r>
        <w:rPr>
          <w:rFonts w:ascii="Times New Roman" w:eastAsia="Times New Roman" w:hAnsi="Times New Roman" w:cs="Times New Roman"/>
          <w:color w:val="000000"/>
        </w:rPr>
        <w:t>ends, opportunities and challenges. </w:t>
      </w:r>
      <w:r>
        <w:rPr>
          <w:rFonts w:ascii="Times New Roman" w:eastAsia="Times New Roman" w:hAnsi="Times New Roman" w:cs="Times New Roman"/>
          <w:i/>
          <w:iCs/>
          <w:color w:val="000000"/>
        </w:rPr>
        <w:t>ACM Journal on Responsible Computing</w:t>
      </w:r>
      <w:r>
        <w:rPr>
          <w:rFonts w:ascii="Times New Roman" w:eastAsia="Times New Roman" w:hAnsi="Times New Roman" w:cs="Times New Roman"/>
          <w:color w:val="000000"/>
        </w:rPr>
        <w:t>, </w:t>
      </w:r>
      <w:r>
        <w:rPr>
          <w:rFonts w:ascii="Times New Roman" w:eastAsia="Times New Roman" w:hAnsi="Times New Roman" w:cs="Times New Roman"/>
          <w:i/>
          <w:iCs/>
          <w:color w:val="000000"/>
        </w:rPr>
        <w:t>1</w:t>
      </w:r>
      <w:r>
        <w:rPr>
          <w:rFonts w:ascii="Times New Roman" w:eastAsia="Times New Roman" w:hAnsi="Times New Roman" w:cs="Times New Roman"/>
          <w:color w:val="000000"/>
        </w:rPr>
        <w:t xml:space="preserve">(4), 1-45. </w:t>
      </w:r>
      <w:hyperlink r:id="rId35">
        <w:r>
          <w:rPr>
            <w:rFonts w:ascii="Times New Roman" w:eastAsia="Times New Roman" w:hAnsi="Times New Roman" w:cs="Times New Roman"/>
            <w:color w:val="000000"/>
            <w:u w:val="single"/>
          </w:rPr>
          <w:t>https://doi.org/10.1145/369644</w:t>
        </w:r>
      </w:hyperlink>
      <w:r>
        <w:rPr>
          <w:rFonts w:ascii="Times New Roman" w:eastAsia="Times New Roman" w:hAnsi="Times New Roman" w:cs="Times New Roman"/>
          <w:color w:val="000000"/>
        </w:rPr>
        <w:t xml:space="preserve"> </w:t>
      </w:r>
    </w:p>
    <w:p w14:paraId="5CBCD88C"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Miller, T. (2019). Explanation in artificial intelligence: Insights from the social sci</w:t>
      </w:r>
      <w:r>
        <w:rPr>
          <w:rFonts w:ascii="Times New Roman" w:eastAsia="Times New Roman" w:hAnsi="Times New Roman" w:cs="Times New Roman"/>
          <w:color w:val="000000"/>
        </w:rPr>
        <w:t xml:space="preserve">ences. Artificial intelligence, 267, 1-38. </w:t>
      </w:r>
      <w:hyperlink r:id="rId36">
        <w:r>
          <w:rPr>
            <w:rFonts w:ascii="Times New Roman" w:eastAsia="Times New Roman" w:hAnsi="Times New Roman" w:cs="Times New Roman"/>
            <w:color w:val="000000"/>
            <w:u w:val="single"/>
          </w:rPr>
          <w:t>https://doi.org/10.1016/j.artint.2018.07.007</w:t>
        </w:r>
      </w:hyperlink>
    </w:p>
    <w:p w14:paraId="53CC62BA"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Mishler, S., &amp; Chen, J. (2023). Effect of automation failure type on trust development in driving automa</w:t>
      </w:r>
      <w:r>
        <w:rPr>
          <w:rFonts w:ascii="Times New Roman" w:eastAsia="Times New Roman" w:hAnsi="Times New Roman" w:cs="Times New Roman"/>
          <w:color w:val="000000"/>
        </w:rPr>
        <w:t>tion systems. </w:t>
      </w:r>
      <w:r>
        <w:rPr>
          <w:rFonts w:ascii="Times New Roman" w:eastAsia="Times New Roman" w:hAnsi="Times New Roman" w:cs="Times New Roman"/>
          <w:i/>
          <w:iCs/>
          <w:color w:val="000000"/>
        </w:rPr>
        <w:t>Applied ergonomics</w:t>
      </w:r>
      <w:r>
        <w:rPr>
          <w:rFonts w:ascii="Times New Roman" w:eastAsia="Times New Roman" w:hAnsi="Times New Roman" w:cs="Times New Roman"/>
          <w:color w:val="000000"/>
        </w:rPr>
        <w:t>, </w:t>
      </w:r>
      <w:r>
        <w:rPr>
          <w:rFonts w:ascii="Times New Roman" w:eastAsia="Times New Roman" w:hAnsi="Times New Roman" w:cs="Times New Roman"/>
          <w:i/>
          <w:iCs/>
          <w:color w:val="000000"/>
        </w:rPr>
        <w:t>106</w:t>
      </w:r>
      <w:r>
        <w:rPr>
          <w:rFonts w:ascii="Times New Roman" w:eastAsia="Times New Roman" w:hAnsi="Times New Roman" w:cs="Times New Roman"/>
          <w:color w:val="000000"/>
        </w:rPr>
        <w:t xml:space="preserve">, 103913. </w:t>
      </w:r>
      <w:hyperlink r:id="rId37">
        <w:r>
          <w:rPr>
            <w:rFonts w:ascii="Times New Roman" w:eastAsia="Times New Roman" w:hAnsi="Times New Roman" w:cs="Times New Roman"/>
            <w:color w:val="000000"/>
            <w:u w:val="single"/>
          </w:rPr>
          <w:t>https://doi.org/10.1016/j.apergo.2022.103913</w:t>
        </w:r>
      </w:hyperlink>
    </w:p>
    <w:p w14:paraId="62F45AAD"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Mosch</w:t>
      </w:r>
      <w:proofErr w:type="spellEnd"/>
      <w:r>
        <w:rPr>
          <w:rFonts w:ascii="Times New Roman" w:eastAsia="Times New Roman" w:hAnsi="Times New Roman" w:cs="Times New Roman"/>
          <w:color w:val="000000"/>
        </w:rPr>
        <w:t xml:space="preserve">, L., </w:t>
      </w:r>
      <w:proofErr w:type="spellStart"/>
      <w:r>
        <w:rPr>
          <w:rFonts w:ascii="Times New Roman" w:eastAsia="Times New Roman" w:hAnsi="Times New Roman" w:cs="Times New Roman"/>
          <w:color w:val="000000"/>
        </w:rPr>
        <w:t>Sümer</w:t>
      </w:r>
      <w:proofErr w:type="spellEnd"/>
      <w:r>
        <w:rPr>
          <w:rFonts w:ascii="Times New Roman" w:eastAsia="Times New Roman" w:hAnsi="Times New Roman" w:cs="Times New Roman"/>
          <w:color w:val="000000"/>
        </w:rPr>
        <w:t xml:space="preserve">, M., Flint, A. R., </w:t>
      </w:r>
      <w:proofErr w:type="spellStart"/>
      <w:r>
        <w:rPr>
          <w:rFonts w:ascii="Times New Roman" w:eastAsia="Times New Roman" w:hAnsi="Times New Roman" w:cs="Times New Roman"/>
          <w:color w:val="000000"/>
        </w:rPr>
        <w:t>Feufel</w:t>
      </w:r>
      <w:proofErr w:type="spellEnd"/>
      <w:r>
        <w:rPr>
          <w:rFonts w:ascii="Times New Roman" w:eastAsia="Times New Roman" w:hAnsi="Times New Roman" w:cs="Times New Roman"/>
          <w:color w:val="000000"/>
        </w:rPr>
        <w:t xml:space="preserve">, M., Balzer, F., </w:t>
      </w:r>
      <w:proofErr w:type="spellStart"/>
      <w:r>
        <w:rPr>
          <w:rFonts w:ascii="Times New Roman" w:eastAsia="Times New Roman" w:hAnsi="Times New Roman" w:cs="Times New Roman"/>
          <w:color w:val="000000"/>
        </w:rPr>
        <w:t>Mörike</w:t>
      </w:r>
      <w:proofErr w:type="spellEnd"/>
      <w:r>
        <w:rPr>
          <w:rFonts w:ascii="Times New Roman" w:eastAsia="Times New Roman" w:hAnsi="Times New Roman" w:cs="Times New Roman"/>
          <w:color w:val="000000"/>
        </w:rPr>
        <w:t xml:space="preserve">, F., &amp; </w:t>
      </w:r>
      <w:proofErr w:type="spellStart"/>
      <w:r>
        <w:rPr>
          <w:rFonts w:ascii="Times New Roman" w:eastAsia="Times New Roman" w:hAnsi="Times New Roman" w:cs="Times New Roman"/>
          <w:color w:val="000000"/>
        </w:rPr>
        <w:t>Poncette</w:t>
      </w:r>
      <w:proofErr w:type="spellEnd"/>
      <w:r>
        <w:rPr>
          <w:rFonts w:ascii="Times New Roman" w:eastAsia="Times New Roman" w:hAnsi="Times New Roman" w:cs="Times New Roman"/>
          <w:color w:val="000000"/>
        </w:rPr>
        <w:t>, A. S. (2024). Al</w:t>
      </w:r>
      <w:r>
        <w:rPr>
          <w:rFonts w:ascii="Times New Roman" w:eastAsia="Times New Roman" w:hAnsi="Times New Roman" w:cs="Times New Roman"/>
          <w:color w:val="000000"/>
        </w:rPr>
        <w:t xml:space="preserve">arm Management in Intensive Care: Qualitative Triangulation Study. JMIR human factors, 11, e55571. </w:t>
      </w:r>
      <w:hyperlink r:id="rId38">
        <w:r>
          <w:rPr>
            <w:rFonts w:ascii="Times New Roman" w:eastAsia="Times New Roman" w:hAnsi="Times New Roman" w:cs="Times New Roman"/>
            <w:color w:val="000000"/>
            <w:u w:val="single"/>
          </w:rPr>
          <w:t>https://doi.org/10.2196/55571</w:t>
        </w:r>
      </w:hyperlink>
    </w:p>
    <w:p w14:paraId="53478845"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Naiseh</w:t>
      </w:r>
      <w:proofErr w:type="spellEnd"/>
      <w:r>
        <w:rPr>
          <w:rFonts w:ascii="Times New Roman" w:eastAsia="Times New Roman" w:hAnsi="Times New Roman" w:cs="Times New Roman"/>
          <w:color w:val="000000"/>
        </w:rPr>
        <w:t xml:space="preserve">, M., Al-Thani, D., Jiang, N., &amp; Ali, R. (2023). How the different </w:t>
      </w:r>
      <w:r>
        <w:rPr>
          <w:rFonts w:ascii="Times New Roman" w:eastAsia="Times New Roman" w:hAnsi="Times New Roman" w:cs="Times New Roman"/>
          <w:color w:val="000000"/>
        </w:rPr>
        <w:t>explanation classes impact trust calibration: The case of clinical decision support systems. </w:t>
      </w:r>
      <w:r>
        <w:rPr>
          <w:rFonts w:ascii="Times New Roman" w:eastAsia="Times New Roman" w:hAnsi="Times New Roman" w:cs="Times New Roman"/>
          <w:i/>
          <w:iCs/>
          <w:color w:val="000000"/>
        </w:rPr>
        <w:t>International Journal of Human-Computer Studies</w:t>
      </w:r>
      <w:r>
        <w:rPr>
          <w:rFonts w:ascii="Times New Roman" w:eastAsia="Times New Roman" w:hAnsi="Times New Roman" w:cs="Times New Roman"/>
          <w:color w:val="000000"/>
        </w:rPr>
        <w:t>, </w:t>
      </w:r>
      <w:r>
        <w:rPr>
          <w:rFonts w:ascii="Times New Roman" w:eastAsia="Times New Roman" w:hAnsi="Times New Roman" w:cs="Times New Roman"/>
          <w:i/>
          <w:iCs/>
          <w:color w:val="000000"/>
        </w:rPr>
        <w:t>169</w:t>
      </w:r>
      <w:r>
        <w:rPr>
          <w:rFonts w:ascii="Times New Roman" w:eastAsia="Times New Roman" w:hAnsi="Times New Roman" w:cs="Times New Roman"/>
          <w:color w:val="000000"/>
        </w:rPr>
        <w:t xml:space="preserve">, 102941. </w:t>
      </w:r>
      <w:hyperlink r:id="rId39">
        <w:r>
          <w:rPr>
            <w:rFonts w:ascii="Times New Roman" w:eastAsia="Times New Roman" w:hAnsi="Times New Roman" w:cs="Times New Roman"/>
            <w:color w:val="000000"/>
            <w:u w:val="single"/>
          </w:rPr>
          <w:t>https://doi.org/10.1016/j.ijhcs.2022.1</w:t>
        </w:r>
        <w:r>
          <w:rPr>
            <w:rFonts w:ascii="Times New Roman" w:eastAsia="Times New Roman" w:hAnsi="Times New Roman" w:cs="Times New Roman"/>
            <w:color w:val="000000"/>
            <w:u w:val="single"/>
          </w:rPr>
          <w:t>02941</w:t>
        </w:r>
      </w:hyperlink>
    </w:p>
    <w:p w14:paraId="7A43AEB5"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Perez-</w:t>
      </w:r>
      <w:proofErr w:type="spellStart"/>
      <w:r>
        <w:rPr>
          <w:rFonts w:ascii="Times New Roman" w:eastAsia="Times New Roman" w:hAnsi="Times New Roman" w:cs="Times New Roman"/>
          <w:color w:val="000000"/>
        </w:rPr>
        <w:t>Cerrolaza</w:t>
      </w:r>
      <w:proofErr w:type="spellEnd"/>
      <w:r>
        <w:rPr>
          <w:rFonts w:ascii="Times New Roman" w:eastAsia="Times New Roman" w:hAnsi="Times New Roman" w:cs="Times New Roman"/>
          <w:color w:val="000000"/>
        </w:rPr>
        <w:t xml:space="preserve">, J., </w:t>
      </w:r>
      <w:proofErr w:type="spellStart"/>
      <w:r>
        <w:rPr>
          <w:rFonts w:ascii="Times New Roman" w:eastAsia="Times New Roman" w:hAnsi="Times New Roman" w:cs="Times New Roman"/>
          <w:color w:val="000000"/>
        </w:rPr>
        <w:t>Abella</w:t>
      </w:r>
      <w:proofErr w:type="spellEnd"/>
      <w:r>
        <w:rPr>
          <w:rFonts w:ascii="Times New Roman" w:eastAsia="Times New Roman" w:hAnsi="Times New Roman" w:cs="Times New Roman"/>
          <w:color w:val="000000"/>
        </w:rPr>
        <w:t xml:space="preserve">, J., Borg, M., </w:t>
      </w:r>
      <w:proofErr w:type="spellStart"/>
      <w:r>
        <w:rPr>
          <w:rFonts w:ascii="Times New Roman" w:eastAsia="Times New Roman" w:hAnsi="Times New Roman" w:cs="Times New Roman"/>
          <w:color w:val="000000"/>
        </w:rPr>
        <w:t>Donzella</w:t>
      </w:r>
      <w:proofErr w:type="spellEnd"/>
      <w:r>
        <w:rPr>
          <w:rFonts w:ascii="Times New Roman" w:eastAsia="Times New Roman" w:hAnsi="Times New Roman" w:cs="Times New Roman"/>
          <w:color w:val="000000"/>
        </w:rPr>
        <w:t xml:space="preserve">, C., </w:t>
      </w:r>
      <w:proofErr w:type="spellStart"/>
      <w:r>
        <w:rPr>
          <w:rFonts w:ascii="Times New Roman" w:eastAsia="Times New Roman" w:hAnsi="Times New Roman" w:cs="Times New Roman"/>
          <w:color w:val="000000"/>
        </w:rPr>
        <w:t>Cerquides</w:t>
      </w:r>
      <w:proofErr w:type="spellEnd"/>
      <w:r>
        <w:rPr>
          <w:rFonts w:ascii="Times New Roman" w:eastAsia="Times New Roman" w:hAnsi="Times New Roman" w:cs="Times New Roman"/>
          <w:color w:val="000000"/>
        </w:rPr>
        <w:t>, J., Cazorla, F. J., ... &amp; Flores, J. L. (2024). Artificial intelligence for safety-critical systems in industrial and transportation domains: A survey. ACM Computing Surveys, 56(7), 1-</w:t>
      </w:r>
      <w:proofErr w:type="gramStart"/>
      <w:r>
        <w:rPr>
          <w:rFonts w:ascii="Times New Roman" w:eastAsia="Times New Roman" w:hAnsi="Times New Roman" w:cs="Times New Roman"/>
          <w:color w:val="000000"/>
        </w:rPr>
        <w:t>40.h</w:t>
      </w:r>
      <w:r>
        <w:rPr>
          <w:rFonts w:ascii="Times New Roman" w:eastAsia="Times New Roman" w:hAnsi="Times New Roman" w:cs="Times New Roman"/>
          <w:color w:val="000000"/>
        </w:rPr>
        <w:t>ttps://doi.org/10.1145/3626314</w:t>
      </w:r>
      <w:proofErr w:type="gramEnd"/>
      <w:r>
        <w:rPr>
          <w:rFonts w:ascii="Times New Roman" w:eastAsia="Times New Roman" w:hAnsi="Times New Roman" w:cs="Times New Roman"/>
          <w:color w:val="000000"/>
        </w:rPr>
        <w:t xml:space="preserve"> </w:t>
      </w:r>
    </w:p>
    <w:p w14:paraId="11924853"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Poncette</w:t>
      </w:r>
      <w:proofErr w:type="spellEnd"/>
      <w:r>
        <w:rPr>
          <w:rFonts w:ascii="Times New Roman" w:eastAsia="Times New Roman" w:hAnsi="Times New Roman" w:cs="Times New Roman"/>
          <w:color w:val="000000"/>
        </w:rPr>
        <w:t xml:space="preserve">, A. S., Spies, C., </w:t>
      </w:r>
      <w:proofErr w:type="spellStart"/>
      <w:r>
        <w:rPr>
          <w:rFonts w:ascii="Times New Roman" w:eastAsia="Times New Roman" w:hAnsi="Times New Roman" w:cs="Times New Roman"/>
          <w:color w:val="000000"/>
        </w:rPr>
        <w:t>Mosch</w:t>
      </w:r>
      <w:proofErr w:type="spellEnd"/>
      <w:r>
        <w:rPr>
          <w:rFonts w:ascii="Times New Roman" w:eastAsia="Times New Roman" w:hAnsi="Times New Roman" w:cs="Times New Roman"/>
          <w:color w:val="000000"/>
        </w:rPr>
        <w:t xml:space="preserve">, L., </w:t>
      </w:r>
      <w:proofErr w:type="spellStart"/>
      <w:r>
        <w:rPr>
          <w:rFonts w:ascii="Times New Roman" w:eastAsia="Times New Roman" w:hAnsi="Times New Roman" w:cs="Times New Roman"/>
          <w:color w:val="000000"/>
        </w:rPr>
        <w:t>Schieler</w:t>
      </w:r>
      <w:proofErr w:type="spellEnd"/>
      <w:r>
        <w:rPr>
          <w:rFonts w:ascii="Times New Roman" w:eastAsia="Times New Roman" w:hAnsi="Times New Roman" w:cs="Times New Roman"/>
          <w:color w:val="000000"/>
        </w:rPr>
        <w:t xml:space="preserve">, M., Weber-Carstens, S., </w:t>
      </w:r>
      <w:proofErr w:type="spellStart"/>
      <w:r>
        <w:rPr>
          <w:rFonts w:ascii="Times New Roman" w:eastAsia="Times New Roman" w:hAnsi="Times New Roman" w:cs="Times New Roman"/>
          <w:color w:val="000000"/>
        </w:rPr>
        <w:t>Krampe</w:t>
      </w:r>
      <w:proofErr w:type="spellEnd"/>
      <w:r>
        <w:rPr>
          <w:rFonts w:ascii="Times New Roman" w:eastAsia="Times New Roman" w:hAnsi="Times New Roman" w:cs="Times New Roman"/>
          <w:color w:val="000000"/>
        </w:rPr>
        <w:t>, H., &amp; Balzer, F. (2019). Clinical Requirements of Future Patient Monitoring in the Intensive Care Unit: Qualitative Study. JMIR medical informa</w:t>
      </w:r>
      <w:r>
        <w:rPr>
          <w:rFonts w:ascii="Times New Roman" w:eastAsia="Times New Roman" w:hAnsi="Times New Roman" w:cs="Times New Roman"/>
          <w:color w:val="000000"/>
        </w:rPr>
        <w:t xml:space="preserve">tics, 7(2), e13064. </w:t>
      </w:r>
      <w:hyperlink r:id="rId40">
        <w:r>
          <w:rPr>
            <w:rFonts w:ascii="Times New Roman" w:eastAsia="Times New Roman" w:hAnsi="Times New Roman" w:cs="Times New Roman"/>
            <w:color w:val="000000"/>
            <w:u w:val="single"/>
          </w:rPr>
          <w:t>https://doi.org/10.2196/13064</w:t>
        </w:r>
      </w:hyperlink>
    </w:p>
    <w:p w14:paraId="33ED414A"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Prince, E. W., Mirsky, D. M., Hankinson, T. C., &amp; </w:t>
      </w:r>
      <w:proofErr w:type="spellStart"/>
      <w:r>
        <w:rPr>
          <w:rFonts w:ascii="Times New Roman" w:eastAsia="Times New Roman" w:hAnsi="Times New Roman" w:cs="Times New Roman"/>
          <w:color w:val="000000"/>
        </w:rPr>
        <w:t>Görg</w:t>
      </w:r>
      <w:proofErr w:type="spellEnd"/>
      <w:r>
        <w:rPr>
          <w:rFonts w:ascii="Times New Roman" w:eastAsia="Times New Roman" w:hAnsi="Times New Roman" w:cs="Times New Roman"/>
          <w:color w:val="000000"/>
        </w:rPr>
        <w:t xml:space="preserve">, C. (2025). Impact of AI Decision Support on Clinical Experts' Radiographic Interpretation of </w:t>
      </w:r>
      <w:proofErr w:type="spellStart"/>
      <w:r>
        <w:rPr>
          <w:rFonts w:ascii="Times New Roman" w:eastAsia="Times New Roman" w:hAnsi="Times New Roman" w:cs="Times New Roman"/>
          <w:color w:val="000000"/>
        </w:rPr>
        <w:t>Adamanti</w:t>
      </w:r>
      <w:r>
        <w:rPr>
          <w:rFonts w:ascii="Times New Roman" w:eastAsia="Times New Roman" w:hAnsi="Times New Roman" w:cs="Times New Roman"/>
          <w:color w:val="000000"/>
        </w:rPr>
        <w:t>nomatous</w:t>
      </w:r>
      <w:proofErr w:type="spellEnd"/>
      <w:r>
        <w:rPr>
          <w:rFonts w:ascii="Times New Roman" w:eastAsia="Times New Roman" w:hAnsi="Times New Roman" w:cs="Times New Roman"/>
          <w:color w:val="000000"/>
        </w:rPr>
        <w:t xml:space="preserve"> Craniopharyngioma. </w:t>
      </w:r>
      <w:r>
        <w:rPr>
          <w:rFonts w:ascii="Times New Roman" w:eastAsia="Times New Roman" w:hAnsi="Times New Roman" w:cs="Times New Roman"/>
          <w:i/>
          <w:iCs/>
          <w:color w:val="000000"/>
        </w:rPr>
        <w:t>AMIA ... Annual Symposium proceedings. AMIA Symposium</w:t>
      </w:r>
      <w:r>
        <w:rPr>
          <w:rFonts w:ascii="Times New Roman" w:eastAsia="Times New Roman" w:hAnsi="Times New Roman" w:cs="Times New Roman"/>
          <w:color w:val="000000"/>
        </w:rPr>
        <w:t>, </w:t>
      </w:r>
      <w:r>
        <w:rPr>
          <w:rFonts w:ascii="Times New Roman" w:eastAsia="Times New Roman" w:hAnsi="Times New Roman" w:cs="Times New Roman"/>
          <w:i/>
          <w:iCs/>
          <w:color w:val="000000"/>
        </w:rPr>
        <w:t>2024</w:t>
      </w:r>
      <w:r>
        <w:rPr>
          <w:rFonts w:ascii="Times New Roman" w:eastAsia="Times New Roman" w:hAnsi="Times New Roman" w:cs="Times New Roman"/>
          <w:color w:val="000000"/>
        </w:rPr>
        <w:t>, 930–939.</w:t>
      </w:r>
    </w:p>
    <w:p w14:paraId="2FEE8302"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Salimzadeh</w:t>
      </w:r>
      <w:proofErr w:type="spellEnd"/>
      <w:r>
        <w:rPr>
          <w:rFonts w:ascii="Times New Roman" w:eastAsia="Times New Roman" w:hAnsi="Times New Roman" w:cs="Times New Roman"/>
          <w:color w:val="000000"/>
        </w:rPr>
        <w:t xml:space="preserve">, S., He, G., &amp; </w:t>
      </w:r>
      <w:proofErr w:type="spellStart"/>
      <w:r>
        <w:rPr>
          <w:rFonts w:ascii="Times New Roman" w:eastAsia="Times New Roman" w:hAnsi="Times New Roman" w:cs="Times New Roman"/>
          <w:color w:val="000000"/>
        </w:rPr>
        <w:t>Gadiraju</w:t>
      </w:r>
      <w:proofErr w:type="spellEnd"/>
      <w:r>
        <w:rPr>
          <w:rFonts w:ascii="Times New Roman" w:eastAsia="Times New Roman" w:hAnsi="Times New Roman" w:cs="Times New Roman"/>
          <w:color w:val="000000"/>
        </w:rPr>
        <w:t>, U. (2024, May). Dealing with uncertainty: Understanding the impact of prognostic versus diagnostic tasks on trust and reli</w:t>
      </w:r>
      <w:r>
        <w:rPr>
          <w:rFonts w:ascii="Times New Roman" w:eastAsia="Times New Roman" w:hAnsi="Times New Roman" w:cs="Times New Roman"/>
          <w:color w:val="000000"/>
        </w:rPr>
        <w:t>ance in human-AI decision making. In </w:t>
      </w:r>
      <w:r>
        <w:rPr>
          <w:rFonts w:ascii="Times New Roman" w:eastAsia="Times New Roman" w:hAnsi="Times New Roman" w:cs="Times New Roman"/>
          <w:i/>
          <w:iCs/>
          <w:color w:val="000000"/>
        </w:rPr>
        <w:t>Proceedings of the 2024 CHI Conference on Human Factors in Computing Systems</w:t>
      </w:r>
      <w:r>
        <w:rPr>
          <w:rFonts w:ascii="Times New Roman" w:eastAsia="Times New Roman" w:hAnsi="Times New Roman" w:cs="Times New Roman"/>
          <w:color w:val="000000"/>
        </w:rPr>
        <w:t xml:space="preserve"> (pp. 1-17). </w:t>
      </w:r>
      <w:hyperlink r:id="rId41">
        <w:r>
          <w:rPr>
            <w:rFonts w:ascii="Times New Roman" w:eastAsia="Times New Roman" w:hAnsi="Times New Roman" w:cs="Times New Roman"/>
            <w:color w:val="000000"/>
            <w:u w:val="single"/>
          </w:rPr>
          <w:t>https://doi.org/10.1145/3613904.3641905</w:t>
        </w:r>
      </w:hyperlink>
    </w:p>
    <w:p w14:paraId="6C24B65F"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Sivaraman</w:t>
      </w:r>
      <w:proofErr w:type="spellEnd"/>
      <w:r>
        <w:rPr>
          <w:rFonts w:ascii="Times New Roman" w:eastAsia="Times New Roman" w:hAnsi="Times New Roman" w:cs="Times New Roman"/>
          <w:color w:val="000000"/>
        </w:rPr>
        <w:t>, V., Bukowski, L. A.,</w:t>
      </w:r>
      <w:r>
        <w:rPr>
          <w:rFonts w:ascii="Times New Roman" w:eastAsia="Times New Roman" w:hAnsi="Times New Roman" w:cs="Times New Roman"/>
          <w:color w:val="000000"/>
        </w:rPr>
        <w:t xml:space="preserve"> Levin, J., Kahn, J. M., &amp; </w:t>
      </w:r>
      <w:proofErr w:type="spellStart"/>
      <w:r>
        <w:rPr>
          <w:rFonts w:ascii="Times New Roman" w:eastAsia="Times New Roman" w:hAnsi="Times New Roman" w:cs="Times New Roman"/>
          <w:color w:val="000000"/>
        </w:rPr>
        <w:t>Perer</w:t>
      </w:r>
      <w:proofErr w:type="spellEnd"/>
      <w:r>
        <w:rPr>
          <w:rFonts w:ascii="Times New Roman" w:eastAsia="Times New Roman" w:hAnsi="Times New Roman" w:cs="Times New Roman"/>
          <w:color w:val="000000"/>
        </w:rPr>
        <w:t>, A. (2023, April). Ignore, trust, or negotiate: understanding clinician acceptance of AI-based treatment recommendations in health care. In </w:t>
      </w:r>
      <w:r>
        <w:rPr>
          <w:rFonts w:ascii="Times New Roman" w:eastAsia="Times New Roman" w:hAnsi="Times New Roman" w:cs="Times New Roman"/>
          <w:i/>
          <w:iCs/>
          <w:color w:val="000000"/>
        </w:rPr>
        <w:t>Proceedings of the 2023 CHI Conference on Human Factors in Computing Systems</w:t>
      </w:r>
      <w:r>
        <w:rPr>
          <w:rFonts w:ascii="Times New Roman" w:eastAsia="Times New Roman" w:hAnsi="Times New Roman" w:cs="Times New Roman"/>
          <w:color w:val="000000"/>
        </w:rPr>
        <w:t> (pp. 1</w:t>
      </w:r>
      <w:r>
        <w:rPr>
          <w:rFonts w:ascii="Times New Roman" w:eastAsia="Times New Roman" w:hAnsi="Times New Roman" w:cs="Times New Roman"/>
          <w:color w:val="000000"/>
        </w:rPr>
        <w:t>-18).</w:t>
      </w:r>
    </w:p>
    <w:p w14:paraId="577541C3"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Steyvers</w:t>
      </w:r>
      <w:proofErr w:type="spellEnd"/>
      <w:r>
        <w:rPr>
          <w:rFonts w:ascii="Times New Roman" w:eastAsia="Times New Roman" w:hAnsi="Times New Roman" w:cs="Times New Roman"/>
          <w:color w:val="000000"/>
        </w:rPr>
        <w:t>, M., &amp; Kumar, A. (2024). Three Challenges for AI-Assisted Decision-Making. </w:t>
      </w:r>
      <w:r>
        <w:rPr>
          <w:rFonts w:ascii="Times New Roman" w:eastAsia="Times New Roman" w:hAnsi="Times New Roman" w:cs="Times New Roman"/>
          <w:i/>
          <w:iCs/>
          <w:color w:val="000000"/>
        </w:rPr>
        <w:t xml:space="preserve">Perspectives on psychological </w:t>
      </w:r>
      <w:proofErr w:type="gramStart"/>
      <w:r>
        <w:rPr>
          <w:rFonts w:ascii="Times New Roman" w:eastAsia="Times New Roman" w:hAnsi="Times New Roman" w:cs="Times New Roman"/>
          <w:i/>
          <w:iCs/>
          <w:color w:val="000000"/>
        </w:rPr>
        <w:t>science :</w:t>
      </w:r>
      <w:proofErr w:type="gramEnd"/>
      <w:r>
        <w:rPr>
          <w:rFonts w:ascii="Times New Roman" w:eastAsia="Times New Roman" w:hAnsi="Times New Roman" w:cs="Times New Roman"/>
          <w:i/>
          <w:iCs/>
          <w:color w:val="000000"/>
        </w:rPr>
        <w:t xml:space="preserve"> a journal of the Association for Psychological Science</w:t>
      </w:r>
      <w:r>
        <w:rPr>
          <w:rFonts w:ascii="Times New Roman" w:eastAsia="Times New Roman" w:hAnsi="Times New Roman" w:cs="Times New Roman"/>
          <w:color w:val="000000"/>
        </w:rPr>
        <w:t>, </w:t>
      </w:r>
      <w:r>
        <w:rPr>
          <w:rFonts w:ascii="Times New Roman" w:eastAsia="Times New Roman" w:hAnsi="Times New Roman" w:cs="Times New Roman"/>
          <w:i/>
          <w:iCs/>
          <w:color w:val="000000"/>
        </w:rPr>
        <w:t>19</w:t>
      </w:r>
      <w:r>
        <w:rPr>
          <w:rFonts w:ascii="Times New Roman" w:eastAsia="Times New Roman" w:hAnsi="Times New Roman" w:cs="Times New Roman"/>
          <w:color w:val="000000"/>
        </w:rPr>
        <w:t xml:space="preserve">(5), 722–734. </w:t>
      </w:r>
      <w:hyperlink r:id="rId42">
        <w:r>
          <w:rPr>
            <w:rFonts w:ascii="Times New Roman" w:eastAsia="Times New Roman" w:hAnsi="Times New Roman" w:cs="Times New Roman"/>
            <w:color w:val="000000"/>
            <w:u w:val="single"/>
          </w:rPr>
          <w:t>https://doi.org/10.1177/17456916231181102</w:t>
        </w:r>
      </w:hyperlink>
    </w:p>
    <w:p w14:paraId="4868BB5E"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Topol</w:t>
      </w:r>
      <w:proofErr w:type="spellEnd"/>
      <w:r>
        <w:rPr>
          <w:rFonts w:ascii="Times New Roman" w:eastAsia="Times New Roman" w:hAnsi="Times New Roman" w:cs="Times New Roman"/>
          <w:color w:val="000000"/>
        </w:rPr>
        <w:t>, E.J. High-performance medicine: the convergence of human and artificial intelligence. </w:t>
      </w:r>
      <w:r>
        <w:rPr>
          <w:rFonts w:ascii="Times New Roman" w:eastAsia="Times New Roman" w:hAnsi="Times New Roman" w:cs="Times New Roman"/>
          <w:i/>
          <w:iCs/>
          <w:color w:val="000000"/>
        </w:rPr>
        <w:t>Nat Med</w:t>
      </w:r>
      <w:r>
        <w:rPr>
          <w:rFonts w:ascii="Times New Roman" w:eastAsia="Times New Roman" w:hAnsi="Times New Roman" w:cs="Times New Roman"/>
          <w:color w:val="000000"/>
        </w:rPr>
        <w:t> </w:t>
      </w:r>
      <w:r>
        <w:rPr>
          <w:rFonts w:ascii="Times New Roman" w:eastAsia="Times New Roman" w:hAnsi="Times New Roman" w:cs="Times New Roman"/>
          <w:b/>
          <w:bCs/>
          <w:color w:val="000000"/>
        </w:rPr>
        <w:t>25</w:t>
      </w:r>
      <w:r>
        <w:rPr>
          <w:rFonts w:ascii="Times New Roman" w:eastAsia="Times New Roman" w:hAnsi="Times New Roman" w:cs="Times New Roman"/>
          <w:color w:val="000000"/>
        </w:rPr>
        <w:t xml:space="preserve">, 44–56 (2019). </w:t>
      </w:r>
      <w:hyperlink r:id="rId43">
        <w:r>
          <w:rPr>
            <w:rFonts w:ascii="Times New Roman" w:eastAsia="Times New Roman" w:hAnsi="Times New Roman" w:cs="Times New Roman"/>
            <w:color w:val="000000"/>
            <w:u w:val="single"/>
          </w:rPr>
          <w:t>https://doi.org/10.1038/s41</w:t>
        </w:r>
        <w:r>
          <w:rPr>
            <w:rFonts w:ascii="Times New Roman" w:eastAsia="Times New Roman" w:hAnsi="Times New Roman" w:cs="Times New Roman"/>
            <w:color w:val="000000"/>
            <w:u w:val="single"/>
          </w:rPr>
          <w:t>591-018-0300-7</w:t>
        </w:r>
      </w:hyperlink>
    </w:p>
    <w:p w14:paraId="74E8E3B4"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Vicente, L., </w:t>
      </w:r>
      <w:proofErr w:type="spellStart"/>
      <w:r>
        <w:rPr>
          <w:rFonts w:ascii="Times New Roman" w:eastAsia="Times New Roman" w:hAnsi="Times New Roman" w:cs="Times New Roman"/>
          <w:color w:val="000000"/>
        </w:rPr>
        <w:t>Matute</w:t>
      </w:r>
      <w:proofErr w:type="spellEnd"/>
      <w:r>
        <w:rPr>
          <w:rFonts w:ascii="Times New Roman" w:eastAsia="Times New Roman" w:hAnsi="Times New Roman" w:cs="Times New Roman"/>
          <w:color w:val="000000"/>
        </w:rPr>
        <w:t>, H. Humans inherit artificial intelligence biases. </w:t>
      </w:r>
      <w:r>
        <w:rPr>
          <w:rFonts w:ascii="Times New Roman" w:eastAsia="Times New Roman" w:hAnsi="Times New Roman" w:cs="Times New Roman"/>
          <w:i/>
          <w:iCs/>
          <w:color w:val="000000"/>
        </w:rPr>
        <w:t>Sci Rep</w:t>
      </w:r>
      <w:r>
        <w:rPr>
          <w:rFonts w:ascii="Times New Roman" w:eastAsia="Times New Roman" w:hAnsi="Times New Roman" w:cs="Times New Roman"/>
          <w:color w:val="000000"/>
        </w:rPr>
        <w:t> </w:t>
      </w:r>
      <w:r>
        <w:rPr>
          <w:rFonts w:ascii="Times New Roman" w:eastAsia="Times New Roman" w:hAnsi="Times New Roman" w:cs="Times New Roman"/>
          <w:b/>
          <w:bCs/>
          <w:color w:val="000000"/>
        </w:rPr>
        <w:t>13</w:t>
      </w:r>
      <w:r>
        <w:rPr>
          <w:rFonts w:ascii="Times New Roman" w:eastAsia="Times New Roman" w:hAnsi="Times New Roman" w:cs="Times New Roman"/>
          <w:color w:val="000000"/>
        </w:rPr>
        <w:t xml:space="preserve">, 15737 (2023). </w:t>
      </w:r>
      <w:hyperlink r:id="rId44">
        <w:r>
          <w:rPr>
            <w:rFonts w:ascii="Times New Roman" w:eastAsia="Times New Roman" w:hAnsi="Times New Roman" w:cs="Times New Roman"/>
            <w:color w:val="000000"/>
            <w:u w:val="single"/>
          </w:rPr>
          <w:t>https://doi.org/10.1038/s41598-023-42384-8</w:t>
        </w:r>
      </w:hyperlink>
    </w:p>
    <w:p w14:paraId="25747970"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Viebahn¹, J., </w:t>
      </w:r>
      <w:proofErr w:type="spellStart"/>
      <w:r>
        <w:rPr>
          <w:rFonts w:ascii="Times New Roman" w:eastAsia="Times New Roman" w:hAnsi="Times New Roman" w:cs="Times New Roman"/>
          <w:color w:val="000000"/>
        </w:rPr>
        <w:t>Ayedh</w:t>
      </w:r>
      <w:proofErr w:type="spellEnd"/>
      <w:r>
        <w:rPr>
          <w:rFonts w:ascii="Times New Roman" w:eastAsia="Times New Roman" w:hAnsi="Times New Roman" w:cs="Times New Roman"/>
          <w:color w:val="000000"/>
        </w:rPr>
        <w:t xml:space="preserve">, A., Lundberg, J., </w:t>
      </w:r>
      <w:r>
        <w:rPr>
          <w:rFonts w:ascii="Times New Roman" w:eastAsia="Times New Roman" w:hAnsi="Times New Roman" w:cs="Times New Roman"/>
          <w:color w:val="000000"/>
        </w:rPr>
        <w:t xml:space="preserve">Bang, M., &amp; </w:t>
      </w:r>
      <w:proofErr w:type="spellStart"/>
      <w:r>
        <w:rPr>
          <w:rFonts w:ascii="Times New Roman" w:eastAsia="Times New Roman" w:hAnsi="Times New Roman" w:cs="Times New Roman"/>
          <w:color w:val="000000"/>
        </w:rPr>
        <w:t>Keijzers</w:t>
      </w:r>
      <w:proofErr w:type="spellEnd"/>
      <w:r>
        <w:rPr>
          <w:rFonts w:ascii="Times New Roman" w:eastAsia="Times New Roman" w:hAnsi="Times New Roman" w:cs="Times New Roman"/>
          <w:color w:val="000000"/>
        </w:rPr>
        <w:t>, J. (2025). User Experience Evaluation of an Al-Based Decision-Support Tool for Power Grid Congestion Management. </w:t>
      </w:r>
      <w:r>
        <w:rPr>
          <w:rFonts w:ascii="Times New Roman" w:eastAsia="Times New Roman" w:hAnsi="Times New Roman" w:cs="Times New Roman"/>
          <w:i/>
          <w:iCs/>
          <w:color w:val="000000"/>
        </w:rPr>
        <w:t>Human Interaction &amp; Emerging Technologies 2025</w:t>
      </w:r>
      <w:r>
        <w:rPr>
          <w:rFonts w:ascii="Times New Roman" w:eastAsia="Times New Roman" w:hAnsi="Times New Roman" w:cs="Times New Roman"/>
          <w:color w:val="000000"/>
        </w:rPr>
        <w:t>, </w:t>
      </w:r>
      <w:r>
        <w:rPr>
          <w:rFonts w:ascii="Times New Roman" w:eastAsia="Times New Roman" w:hAnsi="Times New Roman" w:cs="Times New Roman"/>
          <w:i/>
          <w:iCs/>
          <w:color w:val="000000"/>
        </w:rPr>
        <w:t>197</w:t>
      </w:r>
      <w:r>
        <w:rPr>
          <w:rFonts w:ascii="Times New Roman" w:eastAsia="Times New Roman" w:hAnsi="Times New Roman" w:cs="Times New Roman"/>
          <w:color w:val="000000"/>
        </w:rPr>
        <w:t xml:space="preserve">, 1.10.54941/ahfe1006694 </w:t>
      </w:r>
    </w:p>
    <w:p w14:paraId="006379B6"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van </w:t>
      </w:r>
      <w:proofErr w:type="spellStart"/>
      <w:r>
        <w:rPr>
          <w:rFonts w:ascii="Times New Roman" w:eastAsia="Times New Roman" w:hAnsi="Times New Roman" w:cs="Times New Roman"/>
          <w:color w:val="000000"/>
        </w:rPr>
        <w:t>Baalen</w:t>
      </w:r>
      <w:proofErr w:type="spellEnd"/>
      <w:r>
        <w:rPr>
          <w:rFonts w:ascii="Times New Roman" w:eastAsia="Times New Roman" w:hAnsi="Times New Roman" w:cs="Times New Roman"/>
          <w:color w:val="000000"/>
        </w:rPr>
        <w:t xml:space="preserve">, S., Boon, M., &amp; </w:t>
      </w:r>
      <w:proofErr w:type="spellStart"/>
      <w:r>
        <w:rPr>
          <w:rFonts w:ascii="Times New Roman" w:eastAsia="Times New Roman" w:hAnsi="Times New Roman" w:cs="Times New Roman"/>
          <w:color w:val="000000"/>
        </w:rPr>
        <w:t>Verhoef</w:t>
      </w:r>
      <w:proofErr w:type="spellEnd"/>
      <w:r>
        <w:rPr>
          <w:rFonts w:ascii="Times New Roman" w:eastAsia="Times New Roman" w:hAnsi="Times New Roman" w:cs="Times New Roman"/>
          <w:color w:val="000000"/>
        </w:rPr>
        <w:t>, P. (202</w:t>
      </w:r>
      <w:r>
        <w:rPr>
          <w:rFonts w:ascii="Times New Roman" w:eastAsia="Times New Roman" w:hAnsi="Times New Roman" w:cs="Times New Roman"/>
          <w:color w:val="000000"/>
        </w:rPr>
        <w:t xml:space="preserve">1). From clinical decision support to clinical reasoning support systems. Journal of evaluation in clinical practice, 27(3), 520–528. </w:t>
      </w:r>
      <w:hyperlink r:id="rId45">
        <w:r>
          <w:rPr>
            <w:rFonts w:ascii="Times New Roman" w:eastAsia="Times New Roman" w:hAnsi="Times New Roman" w:cs="Times New Roman"/>
            <w:color w:val="000000"/>
            <w:u w:val="single"/>
          </w:rPr>
          <w:t>https://doi.org/10.1111/jep.13541</w:t>
        </w:r>
      </w:hyperlink>
      <w:r>
        <w:rPr>
          <w:rFonts w:ascii="Times New Roman" w:eastAsia="Times New Roman" w:hAnsi="Times New Roman" w:cs="Times New Roman"/>
          <w:color w:val="000000"/>
        </w:rPr>
        <w:t xml:space="preserve"> </w:t>
      </w:r>
    </w:p>
    <w:p w14:paraId="0340DB31"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van </w:t>
      </w:r>
      <w:proofErr w:type="spellStart"/>
      <w:r>
        <w:rPr>
          <w:rFonts w:ascii="Times New Roman" w:eastAsia="Times New Roman" w:hAnsi="Times New Roman" w:cs="Times New Roman"/>
          <w:color w:val="000000"/>
        </w:rPr>
        <w:t>Berkel</w:t>
      </w:r>
      <w:proofErr w:type="spellEnd"/>
      <w:r>
        <w:rPr>
          <w:rFonts w:ascii="Times New Roman" w:eastAsia="Times New Roman" w:hAnsi="Times New Roman" w:cs="Times New Roman"/>
          <w:color w:val="000000"/>
        </w:rPr>
        <w:t xml:space="preserve">, N., </w:t>
      </w:r>
      <w:proofErr w:type="spellStart"/>
      <w:r>
        <w:rPr>
          <w:rFonts w:ascii="Times New Roman" w:eastAsia="Times New Roman" w:hAnsi="Times New Roman" w:cs="Times New Roman"/>
          <w:color w:val="000000"/>
        </w:rPr>
        <w:t>Bellio</w:t>
      </w:r>
      <w:proofErr w:type="spellEnd"/>
      <w:r>
        <w:rPr>
          <w:rFonts w:ascii="Times New Roman" w:eastAsia="Times New Roman" w:hAnsi="Times New Roman" w:cs="Times New Roman"/>
          <w:color w:val="000000"/>
        </w:rPr>
        <w:t xml:space="preserve">, M., </w:t>
      </w:r>
      <w:proofErr w:type="spellStart"/>
      <w:r>
        <w:rPr>
          <w:rFonts w:ascii="Times New Roman" w:eastAsia="Times New Roman" w:hAnsi="Times New Roman" w:cs="Times New Roman"/>
          <w:color w:val="000000"/>
        </w:rPr>
        <w:t>Skov</w:t>
      </w:r>
      <w:proofErr w:type="spellEnd"/>
      <w:r>
        <w:rPr>
          <w:rFonts w:ascii="Times New Roman" w:eastAsia="Times New Roman" w:hAnsi="Times New Roman" w:cs="Times New Roman"/>
          <w:color w:val="000000"/>
        </w:rPr>
        <w:t xml:space="preserve">, M. B., &amp; Blandford, A. (2023). Measurements, Algorithms, and Presentations of Reality: Framing Interactions with AI-Enabled Decision Support. ACM Transactions on Computer-Human Interaction, 30(2), 1-33. Article 32. </w:t>
      </w:r>
      <w:hyperlink r:id="rId46">
        <w:r>
          <w:rPr>
            <w:rFonts w:ascii="Times New Roman" w:eastAsia="Times New Roman" w:hAnsi="Times New Roman" w:cs="Times New Roman"/>
            <w:color w:val="000000"/>
            <w:u w:val="single"/>
          </w:rPr>
          <w:t>https://doi.org/10.1145/3571815</w:t>
        </w:r>
      </w:hyperlink>
    </w:p>
    <w:p w14:paraId="6A259063"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van de Merwe, K., Mallam, S., &amp; Nazir, S. (2024). Agent Transparency, Situation Awareness, Mental Workload, and Operator Performance: A Systematic Literature Review. Human factors,</w:t>
      </w:r>
      <w:r>
        <w:rPr>
          <w:rFonts w:ascii="Times New Roman" w:eastAsia="Times New Roman" w:hAnsi="Times New Roman" w:cs="Times New Roman"/>
          <w:color w:val="000000"/>
        </w:rPr>
        <w:t xml:space="preserve"> 66(1), 180–208. </w:t>
      </w:r>
      <w:hyperlink r:id="rId47">
        <w:r>
          <w:rPr>
            <w:rFonts w:ascii="Times New Roman" w:eastAsia="Times New Roman" w:hAnsi="Times New Roman" w:cs="Times New Roman"/>
            <w:color w:val="000000"/>
            <w:u w:val="single"/>
          </w:rPr>
          <w:t>https://doi.org/10.1177/00187208221077804</w:t>
        </w:r>
      </w:hyperlink>
    </w:p>
    <w:p w14:paraId="3E2106E9"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Wischnewski</w:t>
      </w:r>
      <w:proofErr w:type="spellEnd"/>
      <w:r>
        <w:rPr>
          <w:rFonts w:ascii="Times New Roman" w:eastAsia="Times New Roman" w:hAnsi="Times New Roman" w:cs="Times New Roman"/>
          <w:color w:val="000000"/>
        </w:rPr>
        <w:t xml:space="preserve">, M., </w:t>
      </w:r>
      <w:proofErr w:type="spellStart"/>
      <w:r>
        <w:rPr>
          <w:rFonts w:ascii="Times New Roman" w:eastAsia="Times New Roman" w:hAnsi="Times New Roman" w:cs="Times New Roman"/>
          <w:color w:val="000000"/>
        </w:rPr>
        <w:t>Krämer</w:t>
      </w:r>
      <w:proofErr w:type="spellEnd"/>
      <w:r>
        <w:rPr>
          <w:rFonts w:ascii="Times New Roman" w:eastAsia="Times New Roman" w:hAnsi="Times New Roman" w:cs="Times New Roman"/>
          <w:color w:val="000000"/>
        </w:rPr>
        <w:t xml:space="preserve">, N., &amp; Müller, E. (2023, April). Measuring and understanding trust calibrations for automated systems: A survey </w:t>
      </w:r>
      <w:r>
        <w:rPr>
          <w:rFonts w:ascii="Times New Roman" w:eastAsia="Times New Roman" w:hAnsi="Times New Roman" w:cs="Times New Roman"/>
          <w:color w:val="000000"/>
        </w:rPr>
        <w:t>of the state-of-the-art and future directions. In </w:t>
      </w:r>
      <w:r>
        <w:rPr>
          <w:rFonts w:ascii="Times New Roman" w:eastAsia="Times New Roman" w:hAnsi="Times New Roman" w:cs="Times New Roman"/>
          <w:i/>
          <w:iCs/>
          <w:color w:val="000000"/>
        </w:rPr>
        <w:t>Proceedings of the 2023 CHI conference on human factors in computing systems</w:t>
      </w:r>
      <w:r>
        <w:rPr>
          <w:rFonts w:ascii="Times New Roman" w:eastAsia="Times New Roman" w:hAnsi="Times New Roman" w:cs="Times New Roman"/>
          <w:color w:val="000000"/>
        </w:rPr>
        <w:t xml:space="preserve"> (pp. 1-16). </w:t>
      </w:r>
      <w:hyperlink r:id="rId48">
        <w:r>
          <w:rPr>
            <w:rFonts w:ascii="Times New Roman" w:eastAsia="Times New Roman" w:hAnsi="Times New Roman" w:cs="Times New Roman"/>
            <w:color w:val="000000"/>
            <w:u w:val="single"/>
          </w:rPr>
          <w:t>https://doi.org/10.1145/3544548.358119</w:t>
        </w:r>
      </w:hyperlink>
    </w:p>
    <w:p w14:paraId="1412F436"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Xie</w:t>
      </w:r>
      <w:proofErr w:type="spellEnd"/>
      <w:r>
        <w:rPr>
          <w:rFonts w:ascii="Times New Roman" w:eastAsia="Times New Roman" w:hAnsi="Times New Roman" w:cs="Times New Roman"/>
          <w:color w:val="000000"/>
        </w:rPr>
        <w:t xml:space="preserve">, Y., Chen, M., </w:t>
      </w:r>
      <w:r>
        <w:rPr>
          <w:rFonts w:ascii="Times New Roman" w:eastAsia="Times New Roman" w:hAnsi="Times New Roman" w:cs="Times New Roman"/>
          <w:color w:val="000000"/>
        </w:rPr>
        <w:t xml:space="preserve">Kao, D., Gao, G., &amp; Chen, X. A. (2020, April). </w:t>
      </w:r>
      <w:proofErr w:type="spellStart"/>
      <w:r>
        <w:rPr>
          <w:rFonts w:ascii="Times New Roman" w:eastAsia="Times New Roman" w:hAnsi="Times New Roman" w:cs="Times New Roman"/>
          <w:color w:val="000000"/>
        </w:rPr>
        <w:t>CheXplain</w:t>
      </w:r>
      <w:proofErr w:type="spellEnd"/>
      <w:r>
        <w:rPr>
          <w:rFonts w:ascii="Times New Roman" w:eastAsia="Times New Roman" w:hAnsi="Times New Roman" w:cs="Times New Roman"/>
          <w:color w:val="000000"/>
        </w:rPr>
        <w:t xml:space="preserve">: enabling physicians to explore and understand data-driven, AI-enabled medical imaging analysis. In Proceedings of the 2020 CHI Conference on Human Factors in Computing Systems (pp. 1-13). </w:t>
      </w:r>
      <w:hyperlink r:id="rId49">
        <w:r>
          <w:rPr>
            <w:rFonts w:ascii="Times New Roman" w:eastAsia="Times New Roman" w:hAnsi="Times New Roman" w:cs="Times New Roman"/>
            <w:color w:val="000000"/>
            <w:u w:val="single"/>
          </w:rPr>
          <w:t>https://doi.org/10.1145/3313831.3376807</w:t>
        </w:r>
      </w:hyperlink>
    </w:p>
    <w:p w14:paraId="362F6DBF"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Yu, L., &amp; Li, Y. (2022). Artificial intelligence decision-making transparency and employees’ trust: The parallel multiple mediating effect of effectiveness and discomf</w:t>
      </w:r>
      <w:r>
        <w:rPr>
          <w:rFonts w:ascii="Times New Roman" w:eastAsia="Times New Roman" w:hAnsi="Times New Roman" w:cs="Times New Roman"/>
          <w:color w:val="000000"/>
        </w:rPr>
        <w:t>ort. </w:t>
      </w:r>
      <w:r>
        <w:rPr>
          <w:rFonts w:ascii="Times New Roman" w:eastAsia="Times New Roman" w:hAnsi="Times New Roman" w:cs="Times New Roman"/>
          <w:i/>
          <w:iCs/>
          <w:color w:val="000000"/>
        </w:rPr>
        <w:t>Behavioral Sciences</w:t>
      </w:r>
      <w:r>
        <w:rPr>
          <w:rFonts w:ascii="Times New Roman" w:eastAsia="Times New Roman" w:hAnsi="Times New Roman" w:cs="Times New Roman"/>
          <w:color w:val="000000"/>
        </w:rPr>
        <w:t>, </w:t>
      </w:r>
      <w:r>
        <w:rPr>
          <w:rFonts w:ascii="Times New Roman" w:eastAsia="Times New Roman" w:hAnsi="Times New Roman" w:cs="Times New Roman"/>
          <w:i/>
          <w:iCs/>
          <w:color w:val="000000"/>
        </w:rPr>
        <w:t>12</w:t>
      </w:r>
      <w:r>
        <w:rPr>
          <w:rFonts w:ascii="Times New Roman" w:eastAsia="Times New Roman" w:hAnsi="Times New Roman" w:cs="Times New Roman"/>
          <w:color w:val="000000"/>
        </w:rPr>
        <w:t>(5), 127.</w:t>
      </w:r>
      <w:hyperlink r:id="rId50">
        <w:r>
          <w:rPr>
            <w:rFonts w:ascii="Times New Roman" w:eastAsia="Times New Roman" w:hAnsi="Times New Roman" w:cs="Times New Roman"/>
            <w:color w:val="000000"/>
            <w:u w:val="single"/>
          </w:rPr>
          <w:t>https://doi.org/10.3390/bs12050127</w:t>
        </w:r>
      </w:hyperlink>
    </w:p>
    <w:p w14:paraId="5491FFB8"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Zhang, S., Yu, J., Xu, X., Yin, C., Lu, Y., Yao, B., Tory, M., Padilla, L. M., </w:t>
      </w:r>
      <w:proofErr w:type="spellStart"/>
      <w:r>
        <w:rPr>
          <w:rFonts w:ascii="Times New Roman" w:eastAsia="Times New Roman" w:hAnsi="Times New Roman" w:cs="Times New Roman"/>
          <w:color w:val="000000"/>
        </w:rPr>
        <w:t>Caterino</w:t>
      </w:r>
      <w:proofErr w:type="spellEnd"/>
      <w:r>
        <w:rPr>
          <w:rFonts w:ascii="Times New Roman" w:eastAsia="Times New Roman" w:hAnsi="Times New Roman" w:cs="Times New Roman"/>
          <w:color w:val="000000"/>
        </w:rPr>
        <w:t>, J., Zhang, P., &amp; Wang, D. (2024). Rethink</w:t>
      </w:r>
      <w:r>
        <w:rPr>
          <w:rFonts w:ascii="Times New Roman" w:eastAsia="Times New Roman" w:hAnsi="Times New Roman" w:cs="Times New Roman"/>
          <w:color w:val="000000"/>
        </w:rPr>
        <w:t xml:space="preserve">ing Human-AI Collaboration in Complex Medical Decision Making: A Case </w:t>
      </w:r>
      <w:r>
        <w:rPr>
          <w:rFonts w:ascii="Times New Roman" w:eastAsia="Times New Roman" w:hAnsi="Times New Roman" w:cs="Times New Roman"/>
          <w:color w:val="000000"/>
        </w:rPr>
        <w:lastRenderedPageBreak/>
        <w:t>Study in Sepsis Diagnosis. </w:t>
      </w:r>
      <w:r>
        <w:rPr>
          <w:rFonts w:ascii="Times New Roman" w:eastAsia="Times New Roman" w:hAnsi="Times New Roman" w:cs="Times New Roman"/>
          <w:i/>
          <w:iCs/>
          <w:color w:val="000000"/>
        </w:rPr>
        <w:t>Proceedings of the SIGCHI conference on human factors in computing systems. CHI Conference</w:t>
      </w:r>
      <w:r>
        <w:rPr>
          <w:rFonts w:ascii="Times New Roman" w:eastAsia="Times New Roman" w:hAnsi="Times New Roman" w:cs="Times New Roman"/>
          <w:color w:val="000000"/>
        </w:rPr>
        <w:t>, </w:t>
      </w:r>
      <w:r>
        <w:rPr>
          <w:rFonts w:ascii="Times New Roman" w:eastAsia="Times New Roman" w:hAnsi="Times New Roman" w:cs="Times New Roman"/>
          <w:i/>
          <w:iCs/>
          <w:color w:val="000000"/>
        </w:rPr>
        <w:t>2024</w:t>
      </w:r>
      <w:r>
        <w:rPr>
          <w:rFonts w:ascii="Times New Roman" w:eastAsia="Times New Roman" w:hAnsi="Times New Roman" w:cs="Times New Roman"/>
          <w:color w:val="000000"/>
        </w:rPr>
        <w:t xml:space="preserve">, 445. </w:t>
      </w:r>
      <w:hyperlink r:id="rId51">
        <w:r>
          <w:rPr>
            <w:rFonts w:ascii="Times New Roman" w:eastAsia="Times New Roman" w:hAnsi="Times New Roman" w:cs="Times New Roman"/>
            <w:color w:val="000000"/>
            <w:u w:val="single"/>
          </w:rPr>
          <w:t>https://doi.org/10.1145/3613904.3642343</w:t>
        </w:r>
      </w:hyperlink>
    </w:p>
    <w:p w14:paraId="000C0CB1" w14:textId="77777777" w:rsidR="00804CA9" w:rsidRDefault="00992A3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Zhang, Y., Liao, Q. V., &amp; Bellamy, R. K. (2020, January). Effect of confidence and explanation on accuracy and trust calibration in AI-assisted decision making. In </w:t>
      </w:r>
      <w:r>
        <w:rPr>
          <w:rFonts w:ascii="Times New Roman" w:eastAsia="Times New Roman" w:hAnsi="Times New Roman" w:cs="Times New Roman"/>
          <w:i/>
          <w:iCs/>
          <w:color w:val="000000"/>
        </w:rPr>
        <w:t>Proceedings of the 2020 conference on fairness, a</w:t>
      </w:r>
      <w:r>
        <w:rPr>
          <w:rFonts w:ascii="Times New Roman" w:eastAsia="Times New Roman" w:hAnsi="Times New Roman" w:cs="Times New Roman"/>
          <w:i/>
          <w:iCs/>
          <w:color w:val="000000"/>
        </w:rPr>
        <w:t>ccountability, and transparency</w:t>
      </w:r>
      <w:r>
        <w:rPr>
          <w:rFonts w:ascii="Times New Roman" w:eastAsia="Times New Roman" w:hAnsi="Times New Roman" w:cs="Times New Roman"/>
          <w:color w:val="000000"/>
        </w:rPr>
        <w:t xml:space="preserve"> (pp. 295-305). </w:t>
      </w:r>
      <w:hyperlink r:id="rId52">
        <w:r>
          <w:rPr>
            <w:rFonts w:ascii="Times New Roman" w:eastAsia="Times New Roman" w:hAnsi="Times New Roman" w:cs="Times New Roman"/>
            <w:color w:val="000000"/>
            <w:u w:val="single"/>
          </w:rPr>
          <w:t>https://doi.org/10.1145/3351095.3372852</w:t>
        </w:r>
      </w:hyperlink>
    </w:p>
    <w:p w14:paraId="694F836B" w14:textId="77777777" w:rsidR="00804CA9" w:rsidRDefault="00992A30">
      <w:pPr>
        <w:numPr>
          <w:ilvl w:val="0"/>
          <w:numId w:val="3"/>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Zohrevandi</w:t>
      </w:r>
      <w:proofErr w:type="spellEnd"/>
      <w:r>
        <w:rPr>
          <w:rFonts w:ascii="Times New Roman" w:eastAsia="Times New Roman" w:hAnsi="Times New Roman" w:cs="Times New Roman"/>
          <w:color w:val="000000"/>
        </w:rPr>
        <w:t xml:space="preserve">, E., Westin, C. A., </w:t>
      </w:r>
      <w:proofErr w:type="spellStart"/>
      <w:r>
        <w:rPr>
          <w:rFonts w:ascii="Times New Roman" w:eastAsia="Times New Roman" w:hAnsi="Times New Roman" w:cs="Times New Roman"/>
          <w:color w:val="000000"/>
        </w:rPr>
        <w:t>Vrotsou</w:t>
      </w:r>
      <w:proofErr w:type="spellEnd"/>
      <w:r>
        <w:rPr>
          <w:rFonts w:ascii="Times New Roman" w:eastAsia="Times New Roman" w:hAnsi="Times New Roman" w:cs="Times New Roman"/>
          <w:color w:val="000000"/>
        </w:rPr>
        <w:t xml:space="preserve">, K., &amp; Lundberg, J. (2022, June). Exploring Effects of Ecological </w:t>
      </w:r>
      <w:r>
        <w:rPr>
          <w:rFonts w:ascii="Times New Roman" w:eastAsia="Times New Roman" w:hAnsi="Times New Roman" w:cs="Times New Roman"/>
          <w:color w:val="000000"/>
        </w:rPr>
        <w:t>Visual Analytics Interfaces on Experts' and Novices' Decision‐Making Processes: A Case Study in Air Traffic Control. In </w:t>
      </w:r>
      <w:r>
        <w:rPr>
          <w:rFonts w:ascii="Times New Roman" w:eastAsia="Times New Roman" w:hAnsi="Times New Roman" w:cs="Times New Roman"/>
          <w:i/>
          <w:iCs/>
          <w:color w:val="000000"/>
        </w:rPr>
        <w:t>Computer Graphics Forum</w:t>
      </w:r>
      <w:r>
        <w:rPr>
          <w:rFonts w:ascii="Times New Roman" w:eastAsia="Times New Roman" w:hAnsi="Times New Roman" w:cs="Times New Roman"/>
          <w:color w:val="000000"/>
        </w:rPr>
        <w:t xml:space="preserve"> (Vol. 41, No. 3, pp. 453-464).  </w:t>
      </w:r>
      <w:hyperlink r:id="rId53">
        <w:r>
          <w:rPr>
            <w:rFonts w:ascii="Times New Roman" w:eastAsia="Times New Roman" w:hAnsi="Times New Roman" w:cs="Times New Roman"/>
            <w:color w:val="000000"/>
            <w:u w:val="single"/>
          </w:rPr>
          <w:t>https://doi.org/10.1111/cgf</w:t>
        </w:r>
        <w:r>
          <w:rPr>
            <w:rFonts w:ascii="Times New Roman" w:eastAsia="Times New Roman" w:hAnsi="Times New Roman" w:cs="Times New Roman"/>
            <w:color w:val="000000"/>
            <w:u w:val="single"/>
          </w:rPr>
          <w:t>.14554</w:t>
        </w:r>
      </w:hyperlink>
    </w:p>
    <w:p w14:paraId="2A7184A7" w14:textId="77777777" w:rsidR="00804CA9" w:rsidRDefault="00804CA9">
      <w:pPr>
        <w:ind w:left="360"/>
        <w:rPr>
          <w:rFonts w:ascii="Times New Roman" w:eastAsia="Times New Roman" w:hAnsi="Times New Roman" w:cs="Times New Roman"/>
          <w:color w:val="000000"/>
        </w:rPr>
      </w:pPr>
    </w:p>
    <w:p w14:paraId="5FFAC78B" w14:textId="77777777" w:rsidR="00804CA9" w:rsidRDefault="00804CA9">
      <w:pPr>
        <w:rPr>
          <w:rFonts w:ascii="Times New Roman" w:eastAsia="Times New Roman" w:hAnsi="Times New Roman" w:cs="Times New Roman"/>
        </w:rPr>
      </w:pPr>
    </w:p>
    <w:sectPr w:rsidR="00804CA9">
      <w:pgSz w:w="12240" w:h="15840"/>
      <w:pgMar w:top="391"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BC8E93" w14:textId="77777777" w:rsidR="00992A30" w:rsidRDefault="00992A30" w:rsidP="00A61745">
      <w:pPr>
        <w:spacing w:after="0" w:line="240" w:lineRule="auto"/>
      </w:pPr>
      <w:r>
        <w:separator/>
      </w:r>
    </w:p>
  </w:endnote>
  <w:endnote w:type="continuationSeparator" w:id="0">
    <w:p w14:paraId="32D0B355" w14:textId="77777777" w:rsidR="00992A30" w:rsidRDefault="00992A30" w:rsidP="00A61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3EEE421A-8F1A-42F5-8974-93AF29E28BED}"/>
    <w:embedItalic r:id="rId2" w:fontKey="{5583C970-844A-4ED6-A0A0-76E81516CEC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5543912D-89C6-4C03-98C4-9BF5B7F661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E6205" w14:textId="77777777" w:rsidR="00A61745" w:rsidRDefault="00A61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99888" w14:textId="77777777" w:rsidR="00A61745" w:rsidRDefault="00A617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511D8" w14:textId="77777777" w:rsidR="00A61745" w:rsidRDefault="00A61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C497A" w14:textId="77777777" w:rsidR="00992A30" w:rsidRDefault="00992A30" w:rsidP="00A61745">
      <w:pPr>
        <w:spacing w:after="0" w:line="240" w:lineRule="auto"/>
      </w:pPr>
      <w:r>
        <w:separator/>
      </w:r>
    </w:p>
  </w:footnote>
  <w:footnote w:type="continuationSeparator" w:id="0">
    <w:p w14:paraId="7ADA846D" w14:textId="77777777" w:rsidR="00992A30" w:rsidRDefault="00992A30" w:rsidP="00A61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25EBA" w14:textId="74181DE9" w:rsidR="00A61745" w:rsidRDefault="00A61745">
    <w:pPr>
      <w:pStyle w:val="Header"/>
    </w:pPr>
    <w:r>
      <w:rPr>
        <w:noProof/>
      </w:rPr>
      <w:pict w14:anchorId="09D2B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569391" o:spid="_x0000_s2050" type="#_x0000_t136" style="position:absolute;margin-left:0;margin-top:0;width:640.55pt;height:120.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689C7" w14:textId="01FC570F" w:rsidR="00A61745" w:rsidRDefault="00A61745">
    <w:pPr>
      <w:pStyle w:val="Header"/>
    </w:pPr>
    <w:r>
      <w:rPr>
        <w:noProof/>
      </w:rPr>
      <w:pict w14:anchorId="5E4E6E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569392" o:spid="_x0000_s2051" type="#_x0000_t136" style="position:absolute;margin-left:0;margin-top:0;width:640.55pt;height:120.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4766C" w14:textId="73BC3B69" w:rsidR="00A61745" w:rsidRDefault="00A61745">
    <w:pPr>
      <w:pStyle w:val="Header"/>
    </w:pPr>
    <w:r>
      <w:rPr>
        <w:noProof/>
      </w:rPr>
      <w:pict w14:anchorId="1BF3D1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569390" o:spid="_x0000_s2049" type="#_x0000_t136" style="position:absolute;margin-left:0;margin-top:0;width:640.55pt;height:120.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C35ED9"/>
    <w:multiLevelType w:val="multilevel"/>
    <w:tmpl w:val="F9B2CE6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561B174D"/>
    <w:multiLevelType w:val="multilevel"/>
    <w:tmpl w:val="3B28DD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DCB0BD9"/>
    <w:multiLevelType w:val="multilevel"/>
    <w:tmpl w:val="5372912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CA9"/>
    <w:rsid w:val="001B3D13"/>
    <w:rsid w:val="00804CA9"/>
    <w:rsid w:val="00992A30"/>
    <w:rsid w:val="00A61745"/>
    <w:rsid w:val="00D749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9A070D"/>
  <w15:docId w15:val="{AF92089B-C39A-4717-8E86-EFE85BF7D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GB"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rPr>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rPr>
      <w:sz w:val="22"/>
      <w:szCs w:val="22"/>
    </w:r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1B3D13"/>
    <w:rPr>
      <w:color w:val="0000FF" w:themeColor="hyperlink"/>
      <w:u w:val="single"/>
    </w:rPr>
  </w:style>
  <w:style w:type="character" w:styleId="UnresolvedMention">
    <w:name w:val="Unresolved Mention"/>
    <w:basedOn w:val="DefaultParagraphFont"/>
    <w:uiPriority w:val="99"/>
    <w:semiHidden/>
    <w:unhideWhenUsed/>
    <w:rsid w:val="001B3D13"/>
    <w:rPr>
      <w:color w:val="605E5C"/>
      <w:shd w:val="clear" w:color="auto" w:fill="E1DFDD"/>
    </w:rPr>
  </w:style>
  <w:style w:type="paragraph" w:styleId="Header">
    <w:name w:val="header"/>
    <w:basedOn w:val="Normal"/>
    <w:link w:val="HeaderChar"/>
    <w:uiPriority w:val="99"/>
    <w:unhideWhenUsed/>
    <w:rsid w:val="00A617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745"/>
  </w:style>
  <w:style w:type="paragraph" w:styleId="Footer">
    <w:name w:val="footer"/>
    <w:basedOn w:val="Normal"/>
    <w:link w:val="FooterChar"/>
    <w:uiPriority w:val="99"/>
    <w:unhideWhenUsed/>
    <w:rsid w:val="00A617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7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oi.org/10.1145/3449287" TargetMode="External"/><Relationship Id="rId26" Type="http://schemas.openxmlformats.org/officeDocument/2006/relationships/hyperlink" Target="https://doi.org/10.1038/s43856-024-00568-x" TargetMode="External"/><Relationship Id="rId39" Type="http://schemas.openxmlformats.org/officeDocument/2006/relationships/hyperlink" Target="https://doi.org/10.1016/j.ijhcs.2022.102941" TargetMode="External"/><Relationship Id="rId21" Type="http://schemas.openxmlformats.org/officeDocument/2006/relationships/hyperlink" Target="https://doi.org/10.1177/00187208231218156" TargetMode="External"/><Relationship Id="rId34" Type="http://schemas.openxmlformats.org/officeDocument/2006/relationships/hyperlink" Target="https://doi.org/10.1016/j.jbi.2020.103655" TargetMode="External"/><Relationship Id="rId42" Type="http://schemas.openxmlformats.org/officeDocument/2006/relationships/hyperlink" Target="https://doi.org/10.1177/17456916231181102" TargetMode="External"/><Relationship Id="rId47" Type="http://schemas.openxmlformats.org/officeDocument/2006/relationships/hyperlink" Target="https://doi.org/10.1177/00187208221077804" TargetMode="External"/><Relationship Id="rId50" Type="http://schemas.openxmlformats.org/officeDocument/2006/relationships/hyperlink" Target="https://doi.org/10.3390/bs12050127"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2196/28236" TargetMode="External"/><Relationship Id="rId29" Type="http://schemas.openxmlformats.org/officeDocument/2006/relationships/hyperlink" Target="https://doi.org/10.1093/jamia/ocae209" TargetMode="External"/><Relationship Id="rId11" Type="http://schemas.openxmlformats.org/officeDocument/2006/relationships/header" Target="header2.xml"/><Relationship Id="rId24" Type="http://schemas.openxmlformats.org/officeDocument/2006/relationships/hyperlink" Target="https://doi.org/10.1177/00187208211032889" TargetMode="External"/><Relationship Id="rId32" Type="http://schemas.openxmlformats.org/officeDocument/2006/relationships/hyperlink" Target="https://doi.org/10.1177/00187208241234810" TargetMode="External"/><Relationship Id="rId37" Type="http://schemas.openxmlformats.org/officeDocument/2006/relationships/hyperlink" Target="https://doi.org/10.1016/j.apergo.2022.103913" TargetMode="External"/><Relationship Id="rId40" Type="http://schemas.openxmlformats.org/officeDocument/2006/relationships/hyperlink" Target="https://doi.org/10.2196/13064" TargetMode="External"/><Relationship Id="rId45" Type="http://schemas.openxmlformats.org/officeDocument/2006/relationships/hyperlink" Target="https://doi.org/10.1111/jep.13541" TargetMode="External"/><Relationship Id="rId53" Type="http://schemas.openxmlformats.org/officeDocument/2006/relationships/hyperlink" Target="https://doi.org/10.1111/cgf.14554" TargetMode="Externa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s://doi.org/10.1109/ICHI.2015.26" TargetMode="External"/><Relationship Id="rId31" Type="http://schemas.openxmlformats.org/officeDocument/2006/relationships/hyperlink" Target="https://doi.org/10.2196/64902" TargetMode="External"/><Relationship Id="rId44" Type="http://schemas.openxmlformats.org/officeDocument/2006/relationships/hyperlink" Target="https://doi.org/10.1038/s41598-023-42384-8" TargetMode="External"/><Relationship Id="rId52" Type="http://schemas.openxmlformats.org/officeDocument/2006/relationships/hyperlink" Target="https://doi.org/10.1145/3351095.337285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doi.org/10.3389/frobt.2023.1143723" TargetMode="External"/><Relationship Id="rId27" Type="http://schemas.openxmlformats.org/officeDocument/2006/relationships/hyperlink" Target="https://doi.org/10.1093/jamia/ocae076" TargetMode="External"/><Relationship Id="rId30" Type="http://schemas.openxmlformats.org/officeDocument/2006/relationships/hyperlink" Target="https://doi.org/10.1145/3610218" TargetMode="External"/><Relationship Id="rId35" Type="http://schemas.openxmlformats.org/officeDocument/2006/relationships/hyperlink" Target="https://doi.org/10.1145/3696449" TargetMode="External"/><Relationship Id="rId43" Type="http://schemas.openxmlformats.org/officeDocument/2006/relationships/hyperlink" Target="https://doi.org/10.1038/s41591-018-0300-7" TargetMode="External"/><Relationship Id="rId48" Type="http://schemas.openxmlformats.org/officeDocument/2006/relationships/hyperlink" Target="https://doi.org/10.1145/3544548.3581197" TargetMode="External"/><Relationship Id="rId8" Type="http://schemas.openxmlformats.org/officeDocument/2006/relationships/image" Target="media/image1.png"/><Relationship Id="rId51" Type="http://schemas.openxmlformats.org/officeDocument/2006/relationships/hyperlink" Target="https://doi.org/10.1145/3613904.3642343"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oi.org/10.1145/3411764.3445717" TargetMode="External"/><Relationship Id="rId25" Type="http://schemas.openxmlformats.org/officeDocument/2006/relationships/hyperlink" Target="https://doi.org/10.1016/S2589-7500(21)00208-9" TargetMode="External"/><Relationship Id="rId33" Type="http://schemas.openxmlformats.org/officeDocument/2006/relationships/hyperlink" Target="https://doi.org/10.1002/mp.13562" TargetMode="External"/><Relationship Id="rId38" Type="http://schemas.openxmlformats.org/officeDocument/2006/relationships/hyperlink" Target="https://doi.org/10.2196/55571" TargetMode="External"/><Relationship Id="rId46" Type="http://schemas.openxmlformats.org/officeDocument/2006/relationships/hyperlink" Target="https://doi.org/10.1145/3571815" TargetMode="External"/><Relationship Id="rId20" Type="http://schemas.openxmlformats.org/officeDocument/2006/relationships/hyperlink" Target="https://doi.org/10.1145/3555572" TargetMode="External"/><Relationship Id="rId41" Type="http://schemas.openxmlformats.org/officeDocument/2006/relationships/hyperlink" Target="https://doi.org/10.1145/3613904.3641905"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doi.org/10.1148/radiol.222176" TargetMode="External"/><Relationship Id="rId28" Type="http://schemas.openxmlformats.org/officeDocument/2006/relationships/hyperlink" Target="https://doi.org/10.1177/0018720814547570" TargetMode="External"/><Relationship Id="rId36" Type="http://schemas.openxmlformats.org/officeDocument/2006/relationships/hyperlink" Target="https://doi.org/10.1016/j.artint.2018.07.007" TargetMode="External"/><Relationship Id="rId49" Type="http://schemas.openxmlformats.org/officeDocument/2006/relationships/hyperlink" Target="https://doi.org/10.1145/3313831.337680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Ljsj6DzTWPTS1oL54+payGeoZA==">CgMxLjA4AHIhMWJMZkE2M2g4bTBDLW0yLWhRWDROQ1htX0psaFh6SDk0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9544</Words>
  <Characters>54403</Characters>
  <Application>Microsoft Office Word</Application>
  <DocSecurity>0</DocSecurity>
  <Lines>453</Lines>
  <Paragraphs>127</Paragraphs>
  <ScaleCrop>false</ScaleCrop>
  <Company/>
  <LinksUpToDate>false</LinksUpToDate>
  <CharactersWithSpaces>63820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3</cp:revision>
  <dcterms:created xsi:type="dcterms:W3CDTF">2026-04-09T07:09:00Z</dcterms:created>
  <dcterms:modified xsi:type="dcterms:W3CDTF">2026-04-09T11:49:00Z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fa1e4c9f-f403-4333-8471-8ac56ec505da</vt:lpwstr>
  </property>
</Properties>
</file>