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FAB" w:rsidRDefault="00C36FAB" w:rsidP="00C36FAB">
      <w:pPr>
        <w:pStyle w:val="Heading1"/>
      </w:pPr>
      <w:bookmarkStart w:id="0" w:name="_GoBack"/>
      <w:r>
        <w:t>Review of Ergonomic Evaluation and Performance Evaluation of Self-Propelled Agricultural Machineries</w:t>
      </w:r>
    </w:p>
    <w:bookmarkEnd w:id="0"/>
    <w:p w:rsidR="00C36FAB" w:rsidRDefault="00C36FAB" w:rsidP="00C36FAB">
      <w:pPr>
        <w:pStyle w:val="Heading2"/>
      </w:pPr>
    </w:p>
    <w:p w:rsidR="00C36FAB" w:rsidRDefault="00C36FAB" w:rsidP="00C36FAB">
      <w:pPr>
        <w:pStyle w:val="Heading2"/>
      </w:pPr>
      <w:r>
        <w:t>Abstract</w:t>
      </w:r>
    </w:p>
    <w:p w:rsidR="00C36FAB" w:rsidRDefault="00C36FAB" w:rsidP="00C36FAB">
      <w:pPr>
        <w:pStyle w:val="NormalWeb"/>
      </w:pPr>
      <w:r>
        <w:t xml:space="preserve">Self-propelled agricultural machineries such as tractors, self-propelled sprayers, </w:t>
      </w:r>
      <w:proofErr w:type="spellStart"/>
      <w:r>
        <w:t>transplanters</w:t>
      </w:r>
      <w:proofErr w:type="spellEnd"/>
      <w:r>
        <w:t xml:space="preserve">, and combine harvesters have become central to modern crop production because they compress field operations into narrow seasonal windows while reducing dependence on manual </w:t>
      </w:r>
      <w:proofErr w:type="spellStart"/>
      <w:r>
        <w:t>labour</w:t>
      </w:r>
      <w:proofErr w:type="spellEnd"/>
      <w:r>
        <w:t xml:space="preserve">. However, the productivity gains of mechanization are often accompanied by elevated operator exposure to whole-body vibration, noise, awkward or sustained postures, repetitive control actions, visual strain, and fatigue-related safety risks. In parallel, machine performance is frequently reported using technical indicators (e.g., field productivity, work quality, energy use), but these are rarely integrated with operator-centered outcomes in a way that supports design optimization and technology adoption. This review synthesizes recent research on ergonomic evaluation methods and performance evaluation approaches for self-propelled agricultural machineries, highlighting how operator comfort, workload, and health risks interact with operational efficiency and work quality. Evidence from vibration transmissibility studies, machine-learning-based vibration prediction, ergonomics of assisted driving, and experimental evaluations of sprayers, </w:t>
      </w:r>
      <w:proofErr w:type="spellStart"/>
      <w:r>
        <w:t>transplanters</w:t>
      </w:r>
      <w:proofErr w:type="spellEnd"/>
      <w:r>
        <w:t>, and harvesting systems is used to identify converging trends and persistent gaps. The review proposes a structured perspective in which ergonomic risks are treated as measurable constraints that directly affect performance stability, operator decision quality, and system sustainability. Practical implications are outlined for integrated testing protocols, sensor-based monitoring, and design pathways aligned with emerging electrification and automation in agriculture.</w:t>
      </w:r>
    </w:p>
    <w:p w:rsidR="00C36FAB" w:rsidRDefault="00C36FAB" w:rsidP="00C36FAB">
      <w:pPr>
        <w:pStyle w:val="NormalWeb"/>
      </w:pPr>
      <w:r>
        <w:rPr>
          <w:rStyle w:val="Strong"/>
        </w:rPr>
        <w:t>Keywords:</w:t>
      </w:r>
      <w:r>
        <w:t xml:space="preserve"> agricultural ergonomics; self-propelled machinery; whole-body vibration; operator workload; noise exposure; field performance; mechanization; assisted driving</w:t>
      </w:r>
    </w:p>
    <w:p w:rsidR="00C36FAB" w:rsidRDefault="00C36FAB" w:rsidP="00C36FAB"/>
    <w:p w:rsidR="00FC2AE5" w:rsidRPr="00FC2AE5" w:rsidRDefault="00FC2AE5" w:rsidP="00FC2AE5">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1. Introduction</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1.1. Self-propelled agricultural machineries and the new “human–machine productivity frontier”</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Self-propelled agricultural machineries have become a defining feature of contemporary crop production because they integrate mobility and task execution within a single powered unit. In practical terms, this category includes tractors performing traction- and PTO-driven fieldwork, as well as dedicated self-propelled platforms such as sprayers, </w:t>
      </w:r>
      <w:proofErr w:type="spellStart"/>
      <w:r w:rsidRPr="00FC2AE5">
        <w:rPr>
          <w:rFonts w:ascii="Times New Roman" w:eastAsia="Times New Roman" w:hAnsi="Times New Roman" w:cs="Times New Roman"/>
          <w:sz w:val="24"/>
          <w:szCs w:val="24"/>
          <w:lang w:val="en-US"/>
        </w:rPr>
        <w:t>transplanters</w:t>
      </w:r>
      <w:proofErr w:type="spellEnd"/>
      <w:r w:rsidRPr="00FC2AE5">
        <w:rPr>
          <w:rFonts w:ascii="Times New Roman" w:eastAsia="Times New Roman" w:hAnsi="Times New Roman" w:cs="Times New Roman"/>
          <w:sz w:val="24"/>
          <w:szCs w:val="24"/>
          <w:lang w:val="en-US"/>
        </w:rPr>
        <w:t xml:space="preserve">, and combine harvesters. Across these machines, productivity gains are typically pursued through wider working widths, higher travel speeds, longer daily operating hours, and tighter timing of operations to match crop and weather windows. Yet, as mechanization intensifies, the </w:t>
      </w:r>
      <w:r w:rsidRPr="00FC2AE5">
        <w:rPr>
          <w:rFonts w:ascii="Times New Roman" w:eastAsia="Times New Roman" w:hAnsi="Times New Roman" w:cs="Times New Roman"/>
          <w:sz w:val="24"/>
          <w:szCs w:val="24"/>
          <w:lang w:val="en-US"/>
        </w:rPr>
        <w:lastRenderedPageBreak/>
        <w:t xml:space="preserve">operator’s function shifts from direct physical </w:t>
      </w:r>
      <w:proofErr w:type="spellStart"/>
      <w:r w:rsidRPr="00FC2AE5">
        <w:rPr>
          <w:rFonts w:ascii="Times New Roman" w:eastAsia="Times New Roman" w:hAnsi="Times New Roman" w:cs="Times New Roman"/>
          <w:sz w:val="24"/>
          <w:szCs w:val="24"/>
          <w:lang w:val="en-US"/>
        </w:rPr>
        <w:t>labour</w:t>
      </w:r>
      <w:proofErr w:type="spellEnd"/>
      <w:r w:rsidRPr="00FC2AE5">
        <w:rPr>
          <w:rFonts w:ascii="Times New Roman" w:eastAsia="Times New Roman" w:hAnsi="Times New Roman" w:cs="Times New Roman"/>
          <w:sz w:val="24"/>
          <w:szCs w:val="24"/>
          <w:lang w:val="en-US"/>
        </w:rPr>
        <w:t xml:space="preserve"> to sustained supervision, navigation, and fine control of machine settings in variable terrain and crop conditions. This shift does not remove human limitations; it transforms them. Instead of short bursts of heavy manual effort, operators often face prolonged exposures to whole-body vibration, repetitive control actions, sustained seated postures, and fatigue-related reductions in attention and reaction quality. In mechanized operations, these ergonomic demands are increasingly recognized as a core determinant of system effectiveness, because operator discomfort and fatigue can shape how a machine is driven, how consistently tasks are executed, and how safely long work shifts can be maintained. A mechanization strategy that seeks output alone can therefore create hidden constraints: reduced endurance, increased musculoskeletal risk, and heightened likelihood of operational errors that undermine both safety and work quality. This broader framing aligns with recent ergonomics syntheses in agriculture that emphasize mechanized operations as a major contributor to ergonomic risk profiles, even as they reduce manual drudgery (</w:t>
      </w:r>
      <w:proofErr w:type="spellStart"/>
      <w:r w:rsidRPr="00FC2AE5">
        <w:rPr>
          <w:rFonts w:ascii="Times New Roman" w:eastAsia="Times New Roman" w:hAnsi="Times New Roman" w:cs="Times New Roman"/>
          <w:sz w:val="24"/>
          <w:szCs w:val="24"/>
          <w:lang w:val="en-US"/>
        </w:rPr>
        <w:t>Benos</w:t>
      </w:r>
      <w:proofErr w:type="spellEnd"/>
      <w:r w:rsidRPr="00FC2AE5">
        <w:rPr>
          <w:rFonts w:ascii="Times New Roman" w:eastAsia="Times New Roman" w:hAnsi="Times New Roman" w:cs="Times New Roman"/>
          <w:sz w:val="24"/>
          <w:szCs w:val="24"/>
          <w:lang w:val="en-US"/>
        </w:rPr>
        <w:t xml:space="preserve"> et al., 2020).</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The relevance of ergonomics in self-propelled machinery is also reinforced by the nature of agricultural work environments. Fields often present uneven ground, varying traction, and transient shocks from ruts or residue, and these are transmitted through the machine structure to the operator interface. As operating speeds rise to meet time constraints, vibration and postural load can increase, while the time available for corrective action decreases. The operator, in effect, becomes part of the machine’s performance loop: their comfort, fatigue state, and ability to maintain stable control inputs influence the machine’s realized productivity and quality, not just its nominal capacity. This makes ergonomics central to the “human–machine productivity frontier,” where sustainable performance depends on aligning machine capability with the operator’s physiological and cognitive capacity over realistic duty cycles (</w:t>
      </w:r>
      <w:proofErr w:type="spellStart"/>
      <w:r w:rsidRPr="00FC2AE5">
        <w:rPr>
          <w:rFonts w:ascii="Times New Roman" w:eastAsia="Times New Roman" w:hAnsi="Times New Roman" w:cs="Times New Roman"/>
          <w:sz w:val="24"/>
          <w:szCs w:val="24"/>
          <w:lang w:val="en-US"/>
        </w:rPr>
        <w:t>Benos</w:t>
      </w:r>
      <w:proofErr w:type="spellEnd"/>
      <w:r w:rsidRPr="00FC2AE5">
        <w:rPr>
          <w:rFonts w:ascii="Times New Roman" w:eastAsia="Times New Roman" w:hAnsi="Times New Roman" w:cs="Times New Roman"/>
          <w:sz w:val="24"/>
          <w:szCs w:val="24"/>
          <w:lang w:val="en-US"/>
        </w:rPr>
        <w:t xml:space="preserve"> et al., 2020).</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1.2. Why ergonomic evaluation and performance evaluation must be reviewed together</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Ergonomic evaluation and performance evaluation are often treated as separate domains—one focusing on the operator and the other on the machine. However, the operational reality of self-propelled agricultural machinery shows that they are tightly coupled and should be interpreted together. Whole-body vibration is an illustrative case: vibration exposure is shaped not only by the machine and terrain, but also by the operator’s posture, sitting strategy, and the magnitude of excitation. Evidence indicates that posture and vibration magnitude can alter vibration transmissibility through the tractor suspension/seat system, meaning that “exposure” is not merely an external condition but a dynamic interaction between operator biomechanics and machine dynamics (Adam et al., 2020). When vibration and discomfort rise, operators may unconsciously change posture, reduce speed, alter driving lines, or take breaks; each response can change productivity and task uniformity. Conversely, when operators push speed to increase coverage rate, they may amplify vibration exposure and fatigue, potentially compromising precision and safety.</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Task-specific operations also matter. For example, loader work introduces distinct dynamic patterns compared with straight-line travel or tillage, and seat-to-head transmissibility characterization has shown that vibration pathways to the upper body can be operation-dependent (Singh et al., 2023). This matters for performance evaluation because many agricultural tasks—material handling, headland turning, repeated acceleration/deceleration—are rich in transient events that do not appear in simplified, steady-state tests. A performance </w:t>
      </w:r>
      <w:r w:rsidRPr="00FC2AE5">
        <w:rPr>
          <w:rFonts w:ascii="Times New Roman" w:eastAsia="Times New Roman" w:hAnsi="Times New Roman" w:cs="Times New Roman"/>
          <w:sz w:val="24"/>
          <w:szCs w:val="24"/>
          <w:lang w:val="en-US"/>
        </w:rPr>
        <w:lastRenderedPageBreak/>
        <w:t>assessment that ignores these operational realities risks overestimating what can be sustained in practice and underestimating fatigue-driven degradation in control quality.</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The coupling is even more pronounced in harvesters, where internal machine subsystems can generate strong vibrations that co-exist with terrain-induced excitation. In combine harvesters operating with time-varying mass systems and non-stationary random vibration, machine vibration characteristics can change dynamically during operation, complicating both ergonomic exposure estimation and stable performance benchmarking (Yao et al., 2022). From a systems perspective, this means that “performance” should not be understood only as output per hour, but also as the stability and reliability of output under real operating variability, including the operator’s ability to sustain attention and precision in a challenging sensory environment.</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Accordingly, the most useful evaluation logic for self-propelled agricultural machineries is one that treats ergonomic conditions as performance-relevant constraints rather than secondary considerations. Ergonomic evaluation provides insight into whether the operator can maintain effective control inputs and decision quality across long duty cycles, while performance evaluation clarifies whether machine outputs remain consistent when operated within acceptable exposure boundaries. This integrated view is increasingly necessary as mechanization scales and as agricultural systems rely on extended daily operating hours, raising the importance of fatigue, discomfort accumulation, and safety-critical human performance under vibration and operational complexity (</w:t>
      </w:r>
      <w:proofErr w:type="spellStart"/>
      <w:r w:rsidRPr="00FC2AE5">
        <w:rPr>
          <w:rFonts w:ascii="Times New Roman" w:eastAsia="Times New Roman" w:hAnsi="Times New Roman" w:cs="Times New Roman"/>
          <w:sz w:val="24"/>
          <w:szCs w:val="24"/>
          <w:lang w:val="en-US"/>
        </w:rPr>
        <w:t>Benos</w:t>
      </w:r>
      <w:proofErr w:type="spellEnd"/>
      <w:r w:rsidRPr="00FC2AE5">
        <w:rPr>
          <w:rFonts w:ascii="Times New Roman" w:eastAsia="Times New Roman" w:hAnsi="Times New Roman" w:cs="Times New Roman"/>
          <w:sz w:val="24"/>
          <w:szCs w:val="24"/>
          <w:lang w:val="en-US"/>
        </w:rPr>
        <w:t xml:space="preserve"> et al., 2020; Singh et al., 2023; Yao et al., 2022).</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1.3. Scope and objectives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This review focuses on self-propelled agricultural machineries from a combined human–machine evaluation perspective. The scope emphasizes ergonomic evaluation approaches that quantify operator exposure and response—particularly vibration-related interaction effects and task-dependent transmissibility—because these mechanisms help explain why similar machines can yield different real-world outcomes when operated by different users or in different conditions (Adam et al., 2020; Singh et al., 2023). In parallel, the review treats performance evaluation not only as a measure of productivity but also as a measure of operational stability under non-stationary conditions, with special attention to harvesting environments where machine vibrations may evolve during operation (Yao et al., 2022).</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The objective is to synthesize recent evidence to clarify how ergonomic risks and operator responses influence realized machine performance and how performance-driven operational choices influence ergonomic exposure. By consolidating these linkages, the review aims to support more integrated testing protocols and design priorities that improve sustained usability and safety while preserving or enhancing field productivity. This framing aligns with the broader ergonomics perspective that mechanized agriculture requires systematic attention to operator risk factors as a prerequisite for sustainable performance and adoption (</w:t>
      </w:r>
      <w:proofErr w:type="spellStart"/>
      <w:r w:rsidRPr="00FC2AE5">
        <w:rPr>
          <w:rFonts w:ascii="Times New Roman" w:eastAsia="Times New Roman" w:hAnsi="Times New Roman" w:cs="Times New Roman"/>
          <w:sz w:val="24"/>
          <w:szCs w:val="24"/>
          <w:lang w:val="en-US"/>
        </w:rPr>
        <w:t>Benos</w:t>
      </w:r>
      <w:proofErr w:type="spellEnd"/>
      <w:r w:rsidRPr="00FC2AE5">
        <w:rPr>
          <w:rFonts w:ascii="Times New Roman" w:eastAsia="Times New Roman" w:hAnsi="Times New Roman" w:cs="Times New Roman"/>
          <w:sz w:val="24"/>
          <w:szCs w:val="24"/>
          <w:lang w:val="en-US"/>
        </w:rPr>
        <w:t xml:space="preserve"> et al., 2020).</w:t>
      </w:r>
    </w:p>
    <w:p w:rsidR="00C36FAB" w:rsidRDefault="00C36FAB" w:rsidP="00C36FAB"/>
    <w:p w:rsidR="00C36FAB" w:rsidRDefault="00C36FAB" w:rsidP="00C36FAB">
      <w:pPr>
        <w:pStyle w:val="Heading2"/>
      </w:pPr>
      <w:r>
        <w:t>2. Methods for literature selection</w:t>
      </w:r>
    </w:p>
    <w:p w:rsidR="00C36FAB" w:rsidRDefault="00C36FAB" w:rsidP="00C36FAB">
      <w:pPr>
        <w:pStyle w:val="Heading3"/>
      </w:pPr>
      <w:r>
        <w:lastRenderedPageBreak/>
        <w:t>2.1. Databases, search strings, and date range</w:t>
      </w:r>
    </w:p>
    <w:p w:rsidR="00C36FAB" w:rsidRDefault="00C36FAB" w:rsidP="00C36FAB">
      <w:pPr>
        <w:pStyle w:val="NormalWeb"/>
      </w:pPr>
      <w:r>
        <w:t xml:space="preserve">A targeted literature search was designed to capture peer-reviewed studies addressing ergonomic evaluation and/or performance evaluation of self-propelled agricultural machineries. Searches were conducted using multidisciplinary databases (Scopus and Web of Science and DOAJ for open-access indexing). The primary search window emphasized the last decade, with priority given to studies published from 2015 through 2025, while including a small number of earlier but highly relevant methodological contributions where needed to maintain continuity of evidence. Search strings combined machinery terms with ergonomics and performance terms, using variations such as: “self-propelled” AND (tractor OR sprayer OR </w:t>
      </w:r>
      <w:proofErr w:type="spellStart"/>
      <w:r>
        <w:t>transplanter</w:t>
      </w:r>
      <w:proofErr w:type="spellEnd"/>
      <w:r>
        <w:t xml:space="preserve"> OR combine harvester) AND (</w:t>
      </w:r>
      <w:proofErr w:type="spellStart"/>
      <w:r>
        <w:t>ergonom</w:t>
      </w:r>
      <w:proofErr w:type="spellEnd"/>
      <w:r>
        <w:t xml:space="preserve">* OR vibration OR noise OR workload OR fatigue OR posture); and “field performance” AND “self-propelled” AND (sprayer OR </w:t>
      </w:r>
      <w:proofErr w:type="spellStart"/>
      <w:r>
        <w:t>transplanter</w:t>
      </w:r>
      <w:proofErr w:type="spellEnd"/>
      <w:r>
        <w:t xml:space="preserve"> OR harvester) AND (efficiency OR quality OR evaluation).</w:t>
      </w:r>
    </w:p>
    <w:p w:rsidR="00C36FAB" w:rsidRDefault="00C36FAB" w:rsidP="00C36FAB">
      <w:pPr>
        <w:pStyle w:val="Heading3"/>
      </w:pPr>
      <w:r>
        <w:t>2.2. Inclusion and exclusion logic</w:t>
      </w:r>
    </w:p>
    <w:p w:rsidR="00C36FAB" w:rsidRDefault="00C36FAB" w:rsidP="00C36FAB">
      <w:pPr>
        <w:pStyle w:val="NormalWeb"/>
      </w:pPr>
      <w:r>
        <w:t>Studies were included if they (</w:t>
      </w:r>
      <w:proofErr w:type="spellStart"/>
      <w:r>
        <w:t>i</w:t>
      </w:r>
      <w:proofErr w:type="spellEnd"/>
      <w:r>
        <w:t>) focused on self-propelled agricultural machines or tractor-based operations where the operator station and vehicle dynamics were central; (ii) reported measurable ergonomic outcomes (e.g., vibration indices, noise exposure, workload indicators, physiological measures, seat/workstation evaluation) and/or measurable field performance outcomes (e.g., operational productivity, work quality, system evaluation in realistic conditions); and (iii) were published in reputable peer-reviewed journals. Studies were excluded if they lacked empirical methods (unless they were structured reviews), were not centered on agricultural machinery operation, or did not provide traceable bibliographic metadata (including DOI). Evidence synthesis followed a narrative integrative approach, grouping findings by ergonomic exposure domain and by performance evaluation domain, then highlighting cross-domain linkages supported by recent empirical work.</w:t>
      </w:r>
    </w:p>
    <w:p w:rsidR="00C36FAB" w:rsidRDefault="00C36FAB" w:rsidP="00C36FAB"/>
    <w:p w:rsidR="00FC2AE5" w:rsidRPr="00FC2AE5" w:rsidRDefault="00FC2AE5" w:rsidP="00FC2AE5">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3. Self-propelled machinery contexts that shape ergonomic and performance outcomes</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3.1. Task diversity and exposure profiles across machine classes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Self-propelled agricultural machinery does not represent a single exposure environment; instead, each machine class creates a distinct combination of mechanical excitation sources, operator tasks, and operational constraints that jointly determine ergonomic risk and field performance. Tractors, for example, are “multi-role” platforms used for traction-intensive draft work, transport, and material handling. The same operator may shift between steady forward travel, frequent headland turning, repeated gear/speed changes, and intermittent clutch–brake actions, often within a single workday. This task variability is important because workload and exposure cannot be inferred simply from engine power or machine weight; rather, it is shaped by how the tractor is actually used, how often the operator must intervene, and how rapidly control inputs must be made under changing field conditions. Workload-focused evaluation of tractor operations using ergonomic transducers and machine learning has highlighted that operational phases (e.g., turning, alignment, repeated control actions) can impose measurable workload differences even when the machine and field are </w:t>
      </w:r>
      <w:r w:rsidRPr="00FC2AE5">
        <w:rPr>
          <w:rFonts w:ascii="Times New Roman" w:eastAsia="Times New Roman" w:hAnsi="Times New Roman" w:cs="Times New Roman"/>
          <w:sz w:val="24"/>
          <w:szCs w:val="24"/>
          <w:lang w:val="en-US"/>
        </w:rPr>
        <w:lastRenderedPageBreak/>
        <w:t>nominally “the same,” reinforcing the need to consider duty-cycle structure when interpreting both ergonomic outcomes and performance outputs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Self-propelled spraying systems introduce a different exposure–performance coupling because spraying is simultaneously a mobility task and a precision delivery task. Field performance is not only about hectares covered per hour, but about maintaining stable application patterns under real constraints such as plot geometry, refilling logistics, and repeated turning. In small farms or fragmented fields, frequent accelerations and headland </w:t>
      </w:r>
      <w:proofErr w:type="spellStart"/>
      <w:r w:rsidRPr="00FC2AE5">
        <w:rPr>
          <w:rFonts w:ascii="Times New Roman" w:eastAsia="Times New Roman" w:hAnsi="Times New Roman" w:cs="Times New Roman"/>
          <w:sz w:val="24"/>
          <w:szCs w:val="24"/>
          <w:lang w:val="en-US"/>
        </w:rPr>
        <w:t>manoeuvres</w:t>
      </w:r>
      <w:proofErr w:type="spellEnd"/>
      <w:r w:rsidRPr="00FC2AE5">
        <w:rPr>
          <w:rFonts w:ascii="Times New Roman" w:eastAsia="Times New Roman" w:hAnsi="Times New Roman" w:cs="Times New Roman"/>
          <w:sz w:val="24"/>
          <w:szCs w:val="24"/>
          <w:lang w:val="en-US"/>
        </w:rPr>
        <w:t xml:space="preserve"> can increase transient vibration events and operator steering demands, while also raising the risk of overlaps or misses. The development and evaluation of a prototype self-propelled crop sprayer explicitly reflects this “context dependence” by emphasizing suitability for small-farm realities, where </w:t>
      </w:r>
      <w:proofErr w:type="spellStart"/>
      <w:r w:rsidRPr="00FC2AE5">
        <w:rPr>
          <w:rFonts w:ascii="Times New Roman" w:eastAsia="Times New Roman" w:hAnsi="Times New Roman" w:cs="Times New Roman"/>
          <w:sz w:val="24"/>
          <w:szCs w:val="24"/>
          <w:lang w:val="en-US"/>
        </w:rPr>
        <w:t>manoeuvrability</w:t>
      </w:r>
      <w:proofErr w:type="spellEnd"/>
      <w:r w:rsidRPr="00FC2AE5">
        <w:rPr>
          <w:rFonts w:ascii="Times New Roman" w:eastAsia="Times New Roman" w:hAnsi="Times New Roman" w:cs="Times New Roman"/>
          <w:sz w:val="24"/>
          <w:szCs w:val="24"/>
          <w:lang w:val="en-US"/>
        </w:rPr>
        <w:t xml:space="preserve"> and operational practicality influence whether performance gains are realized at all (Ghafoor et al., 2022). In ergonomic terms, these constraints often translate into higher cognitive and attentional load during navigation and boundary tracking, particularly when visibility is limited or field edges are irregular. Thus, the sprayer context highlights that performance metrics must be interpreted alongside the operator’s monitoring burden and the transient, repetitive nature of steering and speed adjustments.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Riding-type </w:t>
      </w:r>
      <w:proofErr w:type="spellStart"/>
      <w:r w:rsidRPr="00FC2AE5">
        <w:rPr>
          <w:rFonts w:ascii="Times New Roman" w:eastAsia="Times New Roman" w:hAnsi="Times New Roman" w:cs="Times New Roman"/>
          <w:sz w:val="24"/>
          <w:szCs w:val="24"/>
          <w:lang w:val="en-US"/>
        </w:rPr>
        <w:t>transplanters</w:t>
      </w:r>
      <w:proofErr w:type="spellEnd"/>
      <w:r w:rsidRPr="00FC2AE5">
        <w:rPr>
          <w:rFonts w:ascii="Times New Roman" w:eastAsia="Times New Roman" w:hAnsi="Times New Roman" w:cs="Times New Roman"/>
          <w:sz w:val="24"/>
          <w:szCs w:val="24"/>
          <w:lang w:val="en-US"/>
        </w:rPr>
        <w:t xml:space="preserve"> create another distinct context in which low travel speed does not necessarily mean low ergonomic exposure. Transplanting operations often occur on wet or uneven paddy soil, where persistent micro-shocks and oscillations can be transmitted through the operator station over long durations. At the same time, transplanting performance depends on placement consistency and stable operation, meaning that discomfort or fatigue can influence the steadiness of supervision and control. Vibration assessment of a self-propelled riding-type automatic onion </w:t>
      </w:r>
      <w:proofErr w:type="spellStart"/>
      <w:r w:rsidRPr="00FC2AE5">
        <w:rPr>
          <w:rFonts w:ascii="Times New Roman" w:eastAsia="Times New Roman" w:hAnsi="Times New Roman" w:cs="Times New Roman"/>
          <w:sz w:val="24"/>
          <w:szCs w:val="24"/>
          <w:lang w:val="en-US"/>
        </w:rPr>
        <w:t>transplanter</w:t>
      </w:r>
      <w:proofErr w:type="spellEnd"/>
      <w:r w:rsidRPr="00FC2AE5">
        <w:rPr>
          <w:rFonts w:ascii="Times New Roman" w:eastAsia="Times New Roman" w:hAnsi="Times New Roman" w:cs="Times New Roman"/>
          <w:sz w:val="24"/>
          <w:szCs w:val="24"/>
          <w:lang w:val="en-US"/>
        </w:rPr>
        <w:t xml:space="preserve"> has directly connected operator comfort considerations with transplanting performance, illustrating how machine dynamics in challenging ground conditions can affect both the human experience and the operational result (Chowdhury et al., 2023). This machine class therefore underscores the importance of evaluating “slow but long” duty cycles, where cumulative exposure over time may be more consequential than peak intensity.</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Combine harvesters present perhaps the most complex context because they combine terrain-induced excitation with substantial internally generated vibration from threshing, separation, and material flow. Unlike many tractor tasks where terrain and speed dominate excitation, harvesting introduces vibration sources that can change as crop throughput varies and as mass distribution evolves during operation. This matters for both ergonomics and performance: non-stationary vibration can contribute to operator fatigue and discomfort, while also affecting machine stability, component wear, and the consistency of harvesting quality. Research examining damping </w:t>
      </w:r>
      <w:proofErr w:type="spellStart"/>
      <w:r w:rsidRPr="00FC2AE5">
        <w:rPr>
          <w:rFonts w:ascii="Times New Roman" w:eastAsia="Times New Roman" w:hAnsi="Times New Roman" w:cs="Times New Roman"/>
          <w:sz w:val="24"/>
          <w:szCs w:val="24"/>
          <w:lang w:val="en-US"/>
        </w:rPr>
        <w:t>behaviour</w:t>
      </w:r>
      <w:proofErr w:type="spellEnd"/>
      <w:r w:rsidRPr="00FC2AE5">
        <w:rPr>
          <w:rFonts w:ascii="Times New Roman" w:eastAsia="Times New Roman" w:hAnsi="Times New Roman" w:cs="Times New Roman"/>
          <w:sz w:val="24"/>
          <w:szCs w:val="24"/>
          <w:lang w:val="en-US"/>
        </w:rPr>
        <w:t xml:space="preserve"> for a composite beam designed for a combine harvester thresher reflects the intertwined nature of vibration control and machine functional performance (Tang et al., 2021). Similarly, analysis of vibration characteristics in a corn combine harvester with time-varying mass under non-stationary random vibration highlights that vibration is not a fixed background condition but can evolve with operational state, complicating both exposure assessment and performance benchmarking in real harvesting conditions (Yao et al., 2022). In this context, evaluation protocols that rely on short, steady tests can miss critical variability that operators experience during real harvesting sequences.</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3.2. Operator diversity and the “fit problem” as a performance determinant</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lastRenderedPageBreak/>
        <w:t>Even within the same machine class, outcomes vary substantially because operators differ in anthropometry, experience, habitual posture, and fatigue tolerance. These differences matter because the operator does not simply “receive” the machine environment; the operator adapts continuously, changing posture, seat settings (when available), and control strategies to cope with discomfort or to meet task demands. Where controls, seat geometry, and visibility are poorly matched to the operator population, the resulting strain can accumulate and influence performance consistency. The “fit problem” therefore becomes a mechanism linking ergonomics to productivity: an operator who must sustain awkward trunk rotation to monitor rear operations, or who must elevate shoulders to reach controls, may experience faster fatigue, reduced willingness to maintain optimal operating speed, or degraded attention during precision tasks.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This issue is especially pronounced in settings where machines are used by a diverse workforce or shared across multiple operators, limiting personalization and encouraging “good enough” adjustments rather than optimal fit. Seat and workstation design are central here because they shape posture, reach, and stability at the operator station. A population-focused ergonomic assessment of self-propelled combine harvester seats provides a clear illustration of how seat design can diverge from operator anthropometry and thereby impose systematic discomfort risks for specific user groups (Shukla et al., 2022). In practical terms, such mismatch can influence how long operators can sustain harvesting without breaks, how steadily they can monitor machine status, and how reliably they can make fine adjustments under time pressure. This is not only a health concern; it is a performance reliability concern, because harvesting windows are time-bound and quality losses can occur when fatigue reduces vigilance.</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Operator diversity also shapes how machines are evaluated and compared. A machine that performs well in standardized testing with a single experienced operator may yield different real-world outcomes when used by a broader population with different body sizes and skill levels. Similarly, a machine optimized for one cropping system or terrain may impose higher steering demand, higher vibration exposure, or higher monitoring burden in another. The studies spanning tractor workload modelling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 small-farm sprayer development and evaluation (Ghafoor et al., 2022), </w:t>
      </w:r>
      <w:proofErr w:type="spellStart"/>
      <w:r w:rsidRPr="00FC2AE5">
        <w:rPr>
          <w:rFonts w:ascii="Times New Roman" w:eastAsia="Times New Roman" w:hAnsi="Times New Roman" w:cs="Times New Roman"/>
          <w:sz w:val="24"/>
          <w:szCs w:val="24"/>
          <w:lang w:val="en-US"/>
        </w:rPr>
        <w:t>transplanter</w:t>
      </w:r>
      <w:proofErr w:type="spellEnd"/>
      <w:r w:rsidRPr="00FC2AE5">
        <w:rPr>
          <w:rFonts w:ascii="Times New Roman" w:eastAsia="Times New Roman" w:hAnsi="Times New Roman" w:cs="Times New Roman"/>
          <w:sz w:val="24"/>
          <w:szCs w:val="24"/>
          <w:lang w:val="en-US"/>
        </w:rPr>
        <w:t xml:space="preserve"> vibration assessment linked to comfort and performance (Chowdhury et al., 2023), and harvester vibration-focused analyses tied to machine function and non-stationary dynamics (Tang et al., 2021; Yao et al., 2022) collectively reinforce a central point: context is not a background variable to be controlled away, but a primary driver of both ergonomic risk and performance expression. Therefore, evaluation frameworks that aim to guide design or adoption should treat operator characteristics, duty-cycle structure, and field constraints as essential components of the assessment context rather than incidental noise.</w:t>
      </w:r>
    </w:p>
    <w:p w:rsidR="00C36FAB" w:rsidRDefault="00C36FAB" w:rsidP="00C36FAB"/>
    <w:p w:rsidR="00FC2AE5" w:rsidRPr="00FC2AE5" w:rsidRDefault="00FC2AE5" w:rsidP="00FC2AE5">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4. Ergonomic evaluation of self-propelled agricultural machineries</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4.1. Operator station design, anthropometric fit, and usability as the starting point</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lastRenderedPageBreak/>
        <w:t xml:space="preserve">Ergonomic evaluation of self-propelled agricultural machineries begins at the operator station because it is the physical and cognitive “interface” through which the machine becomes usable. Even when two machines have comparable power and functional capacity, differences in seat geometry, adjustability, control placement, and visibility can change the operator’s posture and micro-movements throughout a shift, which in turn affects fatigue accumulation and error propensity. The importance of systematically evaluating seat and workstation fit is evident in population-focused work on self-propelled combine harvester seats, where mismatches between seat dimensions and operator anthropometry were shown to be a practical concern rather than a theoretical one (Shukla et al., 2022). Such mismatch is not only associated with discomfort; it also affects how reliably an operator can maintain stable monitoring </w:t>
      </w:r>
      <w:proofErr w:type="spellStart"/>
      <w:r w:rsidRPr="00FC2AE5">
        <w:rPr>
          <w:rFonts w:ascii="Times New Roman" w:eastAsia="Times New Roman" w:hAnsi="Times New Roman" w:cs="Times New Roman"/>
          <w:sz w:val="24"/>
          <w:szCs w:val="24"/>
          <w:lang w:val="en-US"/>
        </w:rPr>
        <w:t>behaviour</w:t>
      </w:r>
      <w:proofErr w:type="spellEnd"/>
      <w:r w:rsidRPr="00FC2AE5">
        <w:rPr>
          <w:rFonts w:ascii="Times New Roman" w:eastAsia="Times New Roman" w:hAnsi="Times New Roman" w:cs="Times New Roman"/>
          <w:sz w:val="24"/>
          <w:szCs w:val="24"/>
          <w:lang w:val="en-US"/>
        </w:rPr>
        <w:t xml:space="preserve"> and quick responses under time pressure, particularly in harvesting windows where prolonged hours are common. Broader ergonomics syntheses similarly emphasize that mechanized agriculture continues to carry significant ergonomic risk, but the risk shifts from manual exertion toward prolonged seated work, constrained postures, and continuous interaction with machine controls and displays (</w:t>
      </w:r>
      <w:proofErr w:type="spellStart"/>
      <w:r w:rsidRPr="00FC2AE5">
        <w:rPr>
          <w:rFonts w:ascii="Times New Roman" w:eastAsia="Times New Roman" w:hAnsi="Times New Roman" w:cs="Times New Roman"/>
          <w:sz w:val="24"/>
          <w:szCs w:val="24"/>
          <w:lang w:val="en-US"/>
        </w:rPr>
        <w:t>Benos</w:t>
      </w:r>
      <w:proofErr w:type="spellEnd"/>
      <w:r w:rsidRPr="00FC2AE5">
        <w:rPr>
          <w:rFonts w:ascii="Times New Roman" w:eastAsia="Times New Roman" w:hAnsi="Times New Roman" w:cs="Times New Roman"/>
          <w:sz w:val="24"/>
          <w:szCs w:val="24"/>
          <w:lang w:val="en-US"/>
        </w:rPr>
        <w:t xml:space="preserve"> et al., 2020).</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In evaluation practice, the operator station should be assessed not only for geometric fit but also for “usability under work tempo.” This includes the effort and time required to make seat and steering adjustments, the intuitive clarity of control labelling, and the visibility of critical zones (e.g., implement zones, boom ends, header edges, and rearward paths). A seat may technically be adjustable, yet be ergonomically ineffective if adjustments are hard to access or not stable under vibration. Therefore, station evaluation is most informative when conducted alongside representative tasks rather than in static showroom settings, an approach consistent with mechanized-operations-focused ergonomics perspectives (</w:t>
      </w:r>
      <w:proofErr w:type="spellStart"/>
      <w:r w:rsidRPr="00FC2AE5">
        <w:rPr>
          <w:rFonts w:ascii="Times New Roman" w:eastAsia="Times New Roman" w:hAnsi="Times New Roman" w:cs="Times New Roman"/>
          <w:sz w:val="24"/>
          <w:szCs w:val="24"/>
          <w:lang w:val="en-US"/>
        </w:rPr>
        <w:t>Benos</w:t>
      </w:r>
      <w:proofErr w:type="spellEnd"/>
      <w:r w:rsidRPr="00FC2AE5">
        <w:rPr>
          <w:rFonts w:ascii="Times New Roman" w:eastAsia="Times New Roman" w:hAnsi="Times New Roman" w:cs="Times New Roman"/>
          <w:sz w:val="24"/>
          <w:szCs w:val="24"/>
          <w:lang w:val="en-US"/>
        </w:rPr>
        <w:t xml:space="preserve"> et al., 2020; Shukla et al., 2022).</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4.2. Posture, musculoskeletal risk, and the cumulative nature of mechanized work</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Musculoskeletal risk in self-propelled machinery operation often emerges through cumulative mechanisms rather than single-event overload. Operators frequently maintain sustained trunk postures, especially when monitoring rear implements or machine discharge pathways, and they perform repeated small-amplitude movements such as steering corrections, pedal actions, and reaching for levers or touch interfaces. Over time, these actions can create discomfort in the lower back, neck, and shoulders, and the risk can be amplified when whole-body vibration is superimposed on a constrained sitting posture. Reviews of agricultural ergonomics in mechanized operations emphasize that reducing manual </w:t>
      </w:r>
      <w:proofErr w:type="spellStart"/>
      <w:r w:rsidRPr="00FC2AE5">
        <w:rPr>
          <w:rFonts w:ascii="Times New Roman" w:eastAsia="Times New Roman" w:hAnsi="Times New Roman" w:cs="Times New Roman"/>
          <w:sz w:val="24"/>
          <w:szCs w:val="24"/>
          <w:lang w:val="en-US"/>
        </w:rPr>
        <w:t>labour</w:t>
      </w:r>
      <w:proofErr w:type="spellEnd"/>
      <w:r w:rsidRPr="00FC2AE5">
        <w:rPr>
          <w:rFonts w:ascii="Times New Roman" w:eastAsia="Times New Roman" w:hAnsi="Times New Roman" w:cs="Times New Roman"/>
          <w:sz w:val="24"/>
          <w:szCs w:val="24"/>
          <w:lang w:val="en-US"/>
        </w:rPr>
        <w:t xml:space="preserve"> does not automatically reduce ergonomic hazards; the nature of hazard changes, making long-duration exposures and constrained postures central targets for evaluation and intervention (</w:t>
      </w:r>
      <w:proofErr w:type="spellStart"/>
      <w:r w:rsidRPr="00FC2AE5">
        <w:rPr>
          <w:rFonts w:ascii="Times New Roman" w:eastAsia="Times New Roman" w:hAnsi="Times New Roman" w:cs="Times New Roman"/>
          <w:sz w:val="24"/>
          <w:szCs w:val="24"/>
          <w:lang w:val="en-US"/>
        </w:rPr>
        <w:t>Benos</w:t>
      </w:r>
      <w:proofErr w:type="spellEnd"/>
      <w:r w:rsidRPr="00FC2AE5">
        <w:rPr>
          <w:rFonts w:ascii="Times New Roman" w:eastAsia="Times New Roman" w:hAnsi="Times New Roman" w:cs="Times New Roman"/>
          <w:sz w:val="24"/>
          <w:szCs w:val="24"/>
          <w:lang w:val="en-US"/>
        </w:rPr>
        <w:t xml:space="preserve"> et al., 2020).</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Accordingly, ergonomic evaluation should treat posture as a dynamic variable that interacts with task demands. Operators do not maintain one posture throughout a shift; they adjust continuously to field conditions, machine feedback, and discomfort. These adjustments can be protective, but they can also indicate poor workstation fit or high exposure intensity. In practice, observational posture analysis, discomfort mapping, and task segmentation (e.g., straight passes, headland turns, refilling/adjustment periods, and harvesting transitions) can help link musculoskeletal loading to specific phases of operation, building a more actionable understanding than a single “overall discomfort score” captured at the end of a day. This </w:t>
      </w:r>
      <w:r w:rsidRPr="00FC2AE5">
        <w:rPr>
          <w:rFonts w:ascii="Times New Roman" w:eastAsia="Times New Roman" w:hAnsi="Times New Roman" w:cs="Times New Roman"/>
          <w:sz w:val="24"/>
          <w:szCs w:val="24"/>
          <w:lang w:val="en-US"/>
        </w:rPr>
        <w:lastRenderedPageBreak/>
        <w:t>approach aligns with the broader argument that mechanized agricultural ergonomics must be task- and context-specific to guide design and operational improvements (</w:t>
      </w:r>
      <w:proofErr w:type="spellStart"/>
      <w:r w:rsidRPr="00FC2AE5">
        <w:rPr>
          <w:rFonts w:ascii="Times New Roman" w:eastAsia="Times New Roman" w:hAnsi="Times New Roman" w:cs="Times New Roman"/>
          <w:sz w:val="24"/>
          <w:szCs w:val="24"/>
          <w:lang w:val="en-US"/>
        </w:rPr>
        <w:t>Benos</w:t>
      </w:r>
      <w:proofErr w:type="spellEnd"/>
      <w:r w:rsidRPr="00FC2AE5">
        <w:rPr>
          <w:rFonts w:ascii="Times New Roman" w:eastAsia="Times New Roman" w:hAnsi="Times New Roman" w:cs="Times New Roman"/>
          <w:sz w:val="24"/>
          <w:szCs w:val="24"/>
          <w:lang w:val="en-US"/>
        </w:rPr>
        <w:t xml:space="preserve"> et al., 2020).</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4.3. Whole-body vibration measurement and the human–machine transmissibility problem</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Whole-body vibration (WBV) is among the most consistently studied hazards in self-propelled agricultural machinery, and ergonomic evaluation increasingly recognizes that exposure is shaped by both machine dynamics and operator biomechanics. Traditional vibration assessment measures acceleration at the seat and floor, often guided by standard vibration evaluation frameworks, but recent work underscores that transmissibility is not fixed: operator posture and vibration magnitude can alter the vertical vibration transmissibility of tractor suspension systems (Adam et al., 2020). This means that two operators experiencing the same machine vibration input may receive different effective vibration at the upper body depending on how they sit and brace, which has important implications for both exposure estimation and design testing.</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The “human–seat system” can be made more explicit through seat-to-head transmissibility assessments, which capture how vibration transmitted at the seat ultimately reaches the operator’s head and upper body. Task-specific studies during loader operation demonstrate that the vibration pathway depends on operational mode, highlighting that work phases rich in transient excitation may generate exposure patterns distinct from those observed in steady travel (Singh et al., 2023). For ergonomic evaluation, this reinforces the need to test across representative duty cycles rather than only on smooth tracks or simplified steady-state conditions. It also suggests that seat and suspension evaluation should be paired with operator posture monitoring, because posture is part of the vibration transmission chain rather than an independent, secondary concern (Adam et al., 2020; Singh et al., 2023).</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4.4. Predictive and data-driven approaches to vibration and exposure management</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 major development in recent ergonomic evaluation is the shift from purely descriptive measurement toward predictive modelling of exposure under varying operational parameters. Machine-learning-based approaches have been used to estimate whole-body vibration in agricultural tractors from selected operational variables, offering a pathway to anticipate risk levels without repeating extensive field tests for every condition (</w:t>
      </w:r>
      <w:proofErr w:type="spellStart"/>
      <w:r w:rsidRPr="00FC2AE5">
        <w:rPr>
          <w:rFonts w:ascii="Times New Roman" w:eastAsia="Times New Roman" w:hAnsi="Times New Roman" w:cs="Times New Roman"/>
          <w:sz w:val="24"/>
          <w:szCs w:val="24"/>
          <w:lang w:val="en-US"/>
        </w:rPr>
        <w:t>Barač</w:t>
      </w:r>
      <w:proofErr w:type="spellEnd"/>
      <w:r w:rsidRPr="00FC2AE5">
        <w:rPr>
          <w:rFonts w:ascii="Times New Roman" w:eastAsia="Times New Roman" w:hAnsi="Times New Roman" w:cs="Times New Roman"/>
          <w:sz w:val="24"/>
          <w:szCs w:val="24"/>
          <w:lang w:val="en-US"/>
        </w:rPr>
        <w:t xml:space="preserve"> et al., 2025). For design teams and evaluators, this is significant because tractor and self-propelled machine exposure is inherently context-dependent; terrain roughness, speed, implement coupling, and work pattern can change daily. Predictive modelling allows evaluation to move from “what happened in this test” to “what is likely to happen under this operating envelope,” which can support both safer operational recommendations and faster design iteration (</w:t>
      </w:r>
      <w:proofErr w:type="spellStart"/>
      <w:r w:rsidRPr="00FC2AE5">
        <w:rPr>
          <w:rFonts w:ascii="Times New Roman" w:eastAsia="Times New Roman" w:hAnsi="Times New Roman" w:cs="Times New Roman"/>
          <w:sz w:val="24"/>
          <w:szCs w:val="24"/>
          <w:lang w:val="en-US"/>
        </w:rPr>
        <w:t>Barač</w:t>
      </w:r>
      <w:proofErr w:type="spellEnd"/>
      <w:r w:rsidRPr="00FC2AE5">
        <w:rPr>
          <w:rFonts w:ascii="Times New Roman" w:eastAsia="Times New Roman" w:hAnsi="Times New Roman" w:cs="Times New Roman"/>
          <w:sz w:val="24"/>
          <w:szCs w:val="24"/>
          <w:lang w:val="en-US"/>
        </w:rPr>
        <w:t xml:space="preserve"> et al., 2025).</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However, predictive methods become ergonomically meaningful only if they are anchored to operator-relevant outcomes. In this respect, coupling vibration prediction with fatigue indicators is essential, because the practical concern is not vibration magnitude alone but its contribution to fatigue and degraded performance capacity across long shifts. Multi-parameter physiological evaluation approaches, which link vibration exposure to measurable physiological responses, provide an empirical bridge between mechanical inputs and human </w:t>
      </w:r>
      <w:r w:rsidRPr="00FC2AE5">
        <w:rPr>
          <w:rFonts w:ascii="Times New Roman" w:eastAsia="Times New Roman" w:hAnsi="Times New Roman" w:cs="Times New Roman"/>
          <w:sz w:val="24"/>
          <w:szCs w:val="24"/>
          <w:lang w:val="en-US"/>
        </w:rPr>
        <w:lastRenderedPageBreak/>
        <w:t>consequences (Gao et al., 2021). This connection strengthens the case for data-driven systems that do not merely forecast vibration, but also inform when operational choices might accelerate fatigue development and when rest, speed adjustment, or route selection may be warranted.</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4.5. Workload and fatigue assessment: combining subjective, physiological, and task-phase evidence</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Workload and fatigue evaluation in self-propelled machinery has expanded from subjective ratings toward hybrid assessment frameworks that combine instrumented measurements with task analytics. Tractor operations are a clear example: ergonomic transducers and machine learning have been used to assess workload across different tractor tasks, indicating that specific operation phases can be distinguished by their workload signatures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 This type of evidence supports a more precise ergonomic interpretation—fatigue is not an abstract end-of-day state, but an accumulation shaped by repeated task segments, control effort, and environmental demands.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Physiological approaches further strengthen fatigue evaluation by providing indicators that can detect strain and fatigue development even when operators underreport discomfort or normalize high exposure as “part of the job.” Vibration-related fatigue assessment based on multiple physiological parameters demonstrates that fatigue can be quantified in ways that correspond to exposure and task demands, improving the interpretability of ergonomic outcomes and their relevance to safe work duration (Gao et al., 2021). When combined, task-phase workload modelling and physiological tracking can identify which micro-tasks or operation phases are the main fatigue drivers, enabling interventions that are both practical and targeted—for example, redesigning a control layout that drives repeated awkward reaching, or adjusting operational sequences to reduce high-load transitions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 Gao et al., 2021).</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4.6. Noise exposure and cabin acoustic comfort in modern machinery</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Noise remains a major ergonomic hazard in agricultural machinery, affecting hearing health, contributing to fatigue, and interfering with communication and hazard awareness. As cabins become more enclosed and digitally instrumented, noise control is increasingly treated as an active engineering problem rather than a passive insulation problem. Experimental evaluation of multi-channel feedforward active noise control in a tractor cabin illustrates both the potential for meaningful reductions and the implementation challenges posed by real cabin conditions, changing load states, and system robustness requirements (Mori et al., 2026). For ergonomic evaluation, this work underscores that acoustic comfort must be assessed under realistic operating conditions because noise signatures change with engine load, ground interaction, and attached operations. It also suggests that future ergonomic assessments of cabins may need to include the performance of adaptive acoustic systems across representative duty cycles, rather than treating cabin noise as a static property of the machine (Mori et al., 2026).</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4.7. Human–automation interaction and the ergonomics of assisted driving systems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lastRenderedPageBreak/>
        <w:t>Assisted driving and guidance systems are increasingly used in precision agriculture, but their ergonomic impact is not automatically beneficial. When steering effort is reduced, cognitive and visual monitoring demands can increase, and poorly designed alerts or displays can elevate mental workload during long operations. Ergonomic risk assessment of assisted driving systems highlights that evaluation should include cognitive ergonomics and attention demands, not only mechanical comfort (Vitale et al., 2024). This is particularly important for self-propelled tasks that require continuous precision, where lapses in monitoring can produce immediate agronomic losses or safety hazards. Therefore, ergonomic evaluation in the automation context must examine task allocation between human and system, the clarity of system state feedback, and how monitoring demands evolve over time as vigilance decreases (Vitale et al., 2024).</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4.8. Electrification and changing exposure baselines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The shift toward electric agricultural tractors and hybridized systems is often expected to improve ergonomics via reduced engine noise and altered vibration spectra, yet comparative evidence indicates that the net effect depends on operating conditions. Comparative vibration analysis between diesel and electric tractors shows that operator vibration impact must be measured rather than assumed, since terrain-induced vibration and structural resonances can remain dominant and may not be eliminated by powertrain changes alone (</w:t>
      </w:r>
      <w:proofErr w:type="spellStart"/>
      <w:r w:rsidRPr="00FC2AE5">
        <w:rPr>
          <w:rFonts w:ascii="Times New Roman" w:eastAsia="Times New Roman" w:hAnsi="Times New Roman" w:cs="Times New Roman"/>
          <w:sz w:val="24"/>
          <w:szCs w:val="24"/>
          <w:lang w:val="en-US"/>
        </w:rPr>
        <w:t>Oncescu</w:t>
      </w:r>
      <w:proofErr w:type="spellEnd"/>
      <w:r w:rsidRPr="00FC2AE5">
        <w:rPr>
          <w:rFonts w:ascii="Times New Roman" w:eastAsia="Times New Roman" w:hAnsi="Times New Roman" w:cs="Times New Roman"/>
          <w:sz w:val="24"/>
          <w:szCs w:val="24"/>
          <w:lang w:val="en-US"/>
        </w:rPr>
        <w:t xml:space="preserve"> et al., 2025). From an evaluation standpoint, electrification therefore calls for updated baseline testing that captures realistic duty cycles and operating speeds, ensuring that ergonomic claims (reduced vibration, reduced fatigue, improved comfort) are validated under the conditions where adoption decisions are made (</w:t>
      </w:r>
      <w:proofErr w:type="spellStart"/>
      <w:r w:rsidRPr="00FC2AE5">
        <w:rPr>
          <w:rFonts w:ascii="Times New Roman" w:eastAsia="Times New Roman" w:hAnsi="Times New Roman" w:cs="Times New Roman"/>
          <w:sz w:val="24"/>
          <w:szCs w:val="24"/>
          <w:lang w:val="en-US"/>
        </w:rPr>
        <w:t>Oncescu</w:t>
      </w:r>
      <w:proofErr w:type="spellEnd"/>
      <w:r w:rsidRPr="00FC2AE5">
        <w:rPr>
          <w:rFonts w:ascii="Times New Roman" w:eastAsia="Times New Roman" w:hAnsi="Times New Roman" w:cs="Times New Roman"/>
          <w:sz w:val="24"/>
          <w:szCs w:val="24"/>
          <w:lang w:val="en-US"/>
        </w:rPr>
        <w:t xml:space="preserve"> et al., 2025).</w:t>
      </w:r>
    </w:p>
    <w:p w:rsidR="00C36FAB" w:rsidRDefault="00C36FAB" w:rsidP="00C36FAB"/>
    <w:p w:rsidR="00FC2AE5" w:rsidRPr="00FC2AE5" w:rsidRDefault="00FC2AE5" w:rsidP="00FC2AE5">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5. Performance evaluation of self-propelled agricultural machineries</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5.1. Field productivity and operational efficiency under real operating constraints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Performance evaluation of self-propelled agricultural machinery is often introduced through productivity indicators such as area covered per unit time and the proportion of time spent in effective work versus non-productive activities (turning, refilling, adjustments, waiting, or troubleshooting). While these indicators remain useful, their meaning changes substantially with field context. In fragmented or smallholder settings, for instance, travel distance between plots, headland space, boundary irregularity, and refilling logistics can dominate time losses and thereby compress realized capacity well below theoretical capability. In such conditions, a machine that is marginally smaller or less powerful may still outperform a larger machine because it turns more efficiently, aligns more quickly, or refills and re-enters work with less disruption. The development and evaluation of a prototype self-propelled crop sprayer aimed at small farms highlights this point by framing “good performance” not solely as maximum coverage rate, but as practical operational performance in constrained plots where </w:t>
      </w:r>
      <w:proofErr w:type="spellStart"/>
      <w:r w:rsidRPr="00FC2AE5">
        <w:rPr>
          <w:rFonts w:ascii="Times New Roman" w:eastAsia="Times New Roman" w:hAnsi="Times New Roman" w:cs="Times New Roman"/>
          <w:sz w:val="24"/>
          <w:szCs w:val="24"/>
          <w:lang w:val="en-US"/>
        </w:rPr>
        <w:t>manoeuvrability</w:t>
      </w:r>
      <w:proofErr w:type="spellEnd"/>
      <w:r w:rsidRPr="00FC2AE5">
        <w:rPr>
          <w:rFonts w:ascii="Times New Roman" w:eastAsia="Times New Roman" w:hAnsi="Times New Roman" w:cs="Times New Roman"/>
          <w:sz w:val="24"/>
          <w:szCs w:val="24"/>
          <w:lang w:val="en-US"/>
        </w:rPr>
        <w:t xml:space="preserve"> and workflow simplicity govern whether the machine can maintain a stable pace without excessive interruptions (Ghafoor et al., 2022).</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lastRenderedPageBreak/>
        <w:t>A robust performance evaluation, therefore, should interpret productivity as “achievable sustained output” rather than a peak value from idealized test runs. For self-propelled machines, sustained output depends on how smoothly the operation proceeds across repeated cycles—straight passes, turns, refilling or material handling, and re-alignment. This is especially relevant where machines are used for long seasonal shifts: even small inefficiencies in turning and workflow can aggregate into substantial productivity losses over days of operation. The evaluation logic implied by small-farm sprayer testing is that operational efficiency must be anchored in realistic duty cycles and context-specific constraints, because these determine the real value of mechanization to users (Ghafoor et al., 2022).</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5.2. Quality of operation as a core dimension of performance</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Performance evaluation is incomplete if it focuses on speed and output while neglecting quality of work. In spraying, this means that deposition uniformity and avoidance of skips/overlaps are central to agronomic effectiveness; in transplanting, it means consistent spacing, placement, and minimized damage; and in harvesting, it includes losses, grain quality, and consistency of separation/cleaning. These quality outcomes often depend on the machine’s mechanical stability and the operator’s ability to maintain steady supervision and control under varying field conditions. In the case of riding-type self-propelled </w:t>
      </w:r>
      <w:proofErr w:type="spellStart"/>
      <w:r w:rsidRPr="00FC2AE5">
        <w:rPr>
          <w:rFonts w:ascii="Times New Roman" w:eastAsia="Times New Roman" w:hAnsi="Times New Roman" w:cs="Times New Roman"/>
          <w:sz w:val="24"/>
          <w:szCs w:val="24"/>
          <w:lang w:val="en-US"/>
        </w:rPr>
        <w:t>transplanters</w:t>
      </w:r>
      <w:proofErr w:type="spellEnd"/>
      <w:r w:rsidRPr="00FC2AE5">
        <w:rPr>
          <w:rFonts w:ascii="Times New Roman" w:eastAsia="Times New Roman" w:hAnsi="Times New Roman" w:cs="Times New Roman"/>
          <w:sz w:val="24"/>
          <w:szCs w:val="24"/>
          <w:lang w:val="en-US"/>
        </w:rPr>
        <w:t>, vibration and operator comfort can become performance-relevant because discomfort and fatigue may influence steadiness and attentional consistency over long transplanting sessions. Evidence linking vibration assessment with both transplanting performance and operator comfort demonstrates that evaluation must treat work quality and operator state as interdependent rather than independent outcomes (Chowdhury et al., 2023).</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This coupling is important because quality losses can be “silent” in conventional performance reporting. A machine may achieve high area coverage, yet produce agronomically meaningful errors that only become visible later through uneven crop establishment or pest/disease patterns. Therefore, performance evaluation should incorporate quality stability across time, capturing whether quality degrades as sessions extend or as field conditions become more demanding. The </w:t>
      </w:r>
      <w:proofErr w:type="spellStart"/>
      <w:r w:rsidRPr="00FC2AE5">
        <w:rPr>
          <w:rFonts w:ascii="Times New Roman" w:eastAsia="Times New Roman" w:hAnsi="Times New Roman" w:cs="Times New Roman"/>
          <w:sz w:val="24"/>
          <w:szCs w:val="24"/>
          <w:lang w:val="en-US"/>
        </w:rPr>
        <w:t>transplanter</w:t>
      </w:r>
      <w:proofErr w:type="spellEnd"/>
      <w:r w:rsidRPr="00FC2AE5">
        <w:rPr>
          <w:rFonts w:ascii="Times New Roman" w:eastAsia="Times New Roman" w:hAnsi="Times New Roman" w:cs="Times New Roman"/>
          <w:sz w:val="24"/>
          <w:szCs w:val="24"/>
          <w:lang w:val="en-US"/>
        </w:rPr>
        <w:t xml:space="preserve"> evidence supports the broader interpretation that quality metrics should be collected alongside operational indicators so that high throughput is not mistakenly interpreted as high effectiveness when quality is drifting (Chowdhury et al., 2023).</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5.3. Energy use, sustainability framing, and technology transitions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Energy consumption and sustainability metrics are increasingly treated as part of performance evaluation rather than external considerations. For self-propelled machinery, the operational cost and environmental footprint depend on powertrain efficiency, duty-cycle intensity, and the extent to which time losses (turning, refilling, idling) increase non-productive energy use. In smallholder contexts, sustainability-oriented development of self-propelled spraying systems shows that a machine’s performance value includes its ability to deliver practical service with manageable resource use and without introducing operational complexity that increases downtime and waste (Ghafoor et al., 2022). In other words, performance can be understood as a combined function of productivity, operational practicality, and resource efficiency in the context where the machine will actually be adopted.</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lastRenderedPageBreak/>
        <w:t>Technology transitions also affect how performance should be evaluated. Comparative analysis of vibration impacts in diesel versus electric agricultural tractors indicates that electrification can change the operating experience and may influence how machines are used, which in turn can affect realized performance through operator acceptability and operational planning (</w:t>
      </w:r>
      <w:proofErr w:type="spellStart"/>
      <w:r w:rsidRPr="00FC2AE5">
        <w:rPr>
          <w:rFonts w:ascii="Times New Roman" w:eastAsia="Times New Roman" w:hAnsi="Times New Roman" w:cs="Times New Roman"/>
          <w:sz w:val="24"/>
          <w:szCs w:val="24"/>
          <w:lang w:val="en-US"/>
        </w:rPr>
        <w:t>Oncescu</w:t>
      </w:r>
      <w:proofErr w:type="spellEnd"/>
      <w:r w:rsidRPr="00FC2AE5">
        <w:rPr>
          <w:rFonts w:ascii="Times New Roman" w:eastAsia="Times New Roman" w:hAnsi="Times New Roman" w:cs="Times New Roman"/>
          <w:sz w:val="24"/>
          <w:szCs w:val="24"/>
          <w:lang w:val="en-US"/>
        </w:rPr>
        <w:t xml:space="preserve"> et al., 2025). Even though electrification is often discussed as an energy and emissions transition, the evaluation implication is broader: performance comparisons should account for how new powertrain characteristics interact with duty cycles, terrain constraints, and the practical organization of work. When a technology changes the baseline operating environment, performance evaluation should examine not only nominal energy metrics but also whether the new configuration maintains stable effectiveness under representative working conditions (</w:t>
      </w:r>
      <w:proofErr w:type="spellStart"/>
      <w:r w:rsidRPr="00FC2AE5">
        <w:rPr>
          <w:rFonts w:ascii="Times New Roman" w:eastAsia="Times New Roman" w:hAnsi="Times New Roman" w:cs="Times New Roman"/>
          <w:sz w:val="24"/>
          <w:szCs w:val="24"/>
          <w:lang w:val="en-US"/>
        </w:rPr>
        <w:t>Oncescu</w:t>
      </w:r>
      <w:proofErr w:type="spellEnd"/>
      <w:r w:rsidRPr="00FC2AE5">
        <w:rPr>
          <w:rFonts w:ascii="Times New Roman" w:eastAsia="Times New Roman" w:hAnsi="Times New Roman" w:cs="Times New Roman"/>
          <w:sz w:val="24"/>
          <w:szCs w:val="24"/>
          <w:lang w:val="en-US"/>
        </w:rPr>
        <w:t xml:space="preserve"> et al., 2025).</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5.4. Machine dynamics, harvesting stability, and performance reliability</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Performance evaluation in harvesting machinery is strongly shaped by machine dynamics because the harvesting process itself generates internal excitation and variability. In combine harvesters, component vibration is not merely a comfort issue; it can influence reliability, mechanical stability, and the consistency of separation and cleaning performance. Work on damping </w:t>
      </w:r>
      <w:proofErr w:type="spellStart"/>
      <w:r w:rsidRPr="00FC2AE5">
        <w:rPr>
          <w:rFonts w:ascii="Times New Roman" w:eastAsia="Times New Roman" w:hAnsi="Times New Roman" w:cs="Times New Roman"/>
          <w:sz w:val="24"/>
          <w:szCs w:val="24"/>
          <w:lang w:val="en-US"/>
        </w:rPr>
        <w:t>behaviour</w:t>
      </w:r>
      <w:proofErr w:type="spellEnd"/>
      <w:r w:rsidRPr="00FC2AE5">
        <w:rPr>
          <w:rFonts w:ascii="Times New Roman" w:eastAsia="Times New Roman" w:hAnsi="Times New Roman" w:cs="Times New Roman"/>
          <w:sz w:val="24"/>
          <w:szCs w:val="24"/>
          <w:lang w:val="en-US"/>
        </w:rPr>
        <w:t xml:space="preserve"> for a prestressed composite beam designed for a combine harvester thresher reflects how vibration control can be directly tied to functional performance, because improved damping can support more stable operation and potentially reduce performance variability associated with oscillation and wear (Tang et al., 2021).</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 further complication is that harvester vibration conditions can be non-stationary. Vibration characterization under time-varying mass and non-stationary random excitation in corn combine harvesters shows that vibration signatures can change with operating state, implying that performance stability cannot be fully inferred from short, steady-condition tests (Yao et al., 2022). From a performance evaluation standpoint, this means that reliability and consistency should be assessed across realistic harvesting transitions rather than only at one “optimal” operating point. If vibration and system dynamics vary during operation, then performance indicators such as losses, grain quality, and throughput stability may also vary—and evaluations should be designed to capture that variability as part of true field performance (Yao et al., 2022).</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Overall, performance evaluation of self-propelled agricultural machineries is most informative when it treats productivity, quality, resource use, and stability as jointly meaningful outcomes. Evidence from sprayer development for small farms, </w:t>
      </w:r>
      <w:proofErr w:type="spellStart"/>
      <w:r w:rsidRPr="00FC2AE5">
        <w:rPr>
          <w:rFonts w:ascii="Times New Roman" w:eastAsia="Times New Roman" w:hAnsi="Times New Roman" w:cs="Times New Roman"/>
          <w:sz w:val="24"/>
          <w:szCs w:val="24"/>
          <w:lang w:val="en-US"/>
        </w:rPr>
        <w:t>transplanter</w:t>
      </w:r>
      <w:proofErr w:type="spellEnd"/>
      <w:r w:rsidRPr="00FC2AE5">
        <w:rPr>
          <w:rFonts w:ascii="Times New Roman" w:eastAsia="Times New Roman" w:hAnsi="Times New Roman" w:cs="Times New Roman"/>
          <w:sz w:val="24"/>
          <w:szCs w:val="24"/>
          <w:lang w:val="en-US"/>
        </w:rPr>
        <w:t xml:space="preserve"> vibration linked to operational performance, powertrain transition considerations, and harvester vibration–function relationships collectively supports the view that performance is a context-dependent property expressed through real duty cycles and constrained workflows rather than an intrinsic machine constant (Ghafoor et al., 2022; Chowdhury et al., 2023; </w:t>
      </w:r>
      <w:proofErr w:type="spellStart"/>
      <w:r w:rsidRPr="00FC2AE5">
        <w:rPr>
          <w:rFonts w:ascii="Times New Roman" w:eastAsia="Times New Roman" w:hAnsi="Times New Roman" w:cs="Times New Roman"/>
          <w:sz w:val="24"/>
          <w:szCs w:val="24"/>
          <w:lang w:val="en-US"/>
        </w:rPr>
        <w:t>Oncescu</w:t>
      </w:r>
      <w:proofErr w:type="spellEnd"/>
      <w:r w:rsidRPr="00FC2AE5">
        <w:rPr>
          <w:rFonts w:ascii="Times New Roman" w:eastAsia="Times New Roman" w:hAnsi="Times New Roman" w:cs="Times New Roman"/>
          <w:sz w:val="24"/>
          <w:szCs w:val="24"/>
          <w:lang w:val="en-US"/>
        </w:rPr>
        <w:t xml:space="preserve"> et al., 2025; Tang et al., 2021; Yao et al., 2022).</w:t>
      </w:r>
    </w:p>
    <w:p w:rsidR="00C36FAB" w:rsidRDefault="00C36FAB" w:rsidP="00C36FAB"/>
    <w:p w:rsidR="00FC2AE5" w:rsidRPr="00FC2AE5" w:rsidRDefault="00FC2AE5" w:rsidP="00FC2AE5">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6. Integrating ergonomics with performance evaluation</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6.1. Why integration is methodologically necessary in self-propelled operations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lastRenderedPageBreak/>
        <w:t>Integrating ergonomics with performance evaluation is not simply an interdisciplinary preference; it is a methodological requirement if evaluations are intended to predict real-world outcomes of self-propelled agricultural machineries. In many studies, ergonomic measurements and performance measurements are captured separately, sometimes even in different field conditions or time scales. However, self-propelled operations are inherently interactive systems in which the operator’s comfort, fatigue state, and attention directly influence how machine capacity is translated into effective field output. When ergonomic load rises, operators adapt—by reducing travel speed, changing driving lines, increasing micro-pauses, or simplifying machine settings. These adaptations can protect the operator but can also reduce coverage rate, degrade work uniformity, or increase operational losses. Conversely, when operators attempt to maximize throughput through higher speed or longer continuous operation, they may intensify exposure to vibration and workload, accelerating fatigue and increasing the risk of performance instability later in the shift.</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Whole-body vibration research provides a concrete example of this interdependence. Vibration transmissibility in tractors is not solely a property of the machine’s suspension; it is modulated by operator posture and vibration magnitude, meaning the same machine can produce different effective exposures depending on how an operator sits and how aggressively the machine is driven (Adam et al., 2020). This has direct performance implications because posture itself can be an adaptive response to discomfort or field variability, and speed choices that improve productivity can simultaneously amplify vibration intensity. Therefore, any evaluation that reports field productivity without the exposure envelope under which that productivity was achieved risks overstating what is sustainably achievable.</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Task specificity further strengthens the integration argument. Loader work, for example, can create vibration pathways and transient excitation patterns that differ substantially from steady travel. Seat-to-head transmissibility characterization during loader operation demonstrates that exposure reaching the upper body depends on operation mode, which implies that “performance time” is not homogeneous time—different task segments can impose different ergonomic costs that influence subsequent operator capability and precision (Singh et al., 2023). In practice, an operator may maintain high performance in early operation phases but experience degraded fine control later as fatigue accumulates, making performance stability an ergonomic outcome as much as a machine outcome.</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In harvesters, the integration problem becomes even more critical because machine vibration conditions can change dynamically during operation. Non-stationary random vibration under time-varying mass conditions in corn combine harvesters indicates that vibration signatures evolve with operating state, implying that both ergonomic exposure and mechanical stability vary across time (Yao et al., 2022). This is exactly the kind of environment where separating ergonomics and performance produces incomplete conclusions: changes in machine vibration can alter operator comfort and vigilance, while also influencing functional performance and reliability under real crop flow variability.</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6.2. Sensor-based monitoring and predictive modelling as integration mechanisms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Recent research indicates a shift from isolated measurement toward integrated, data-driven evaluation frameworks that can capture operator state and machine output together. One pathway is predictive modelling of vibration exposure using operational parameters. A </w:t>
      </w:r>
      <w:r w:rsidRPr="00FC2AE5">
        <w:rPr>
          <w:rFonts w:ascii="Times New Roman" w:eastAsia="Times New Roman" w:hAnsi="Times New Roman" w:cs="Times New Roman"/>
          <w:sz w:val="24"/>
          <w:szCs w:val="24"/>
          <w:lang w:val="en-US"/>
        </w:rPr>
        <w:lastRenderedPageBreak/>
        <w:t>machine-learning-based approach to assessing whole-body vibration in agricultural tractors illustrates how exposure can be estimated from measurable operating variables, enabling evaluators to map vibration risk across different working conditions without physically testing every scenario (</w:t>
      </w:r>
      <w:proofErr w:type="spellStart"/>
      <w:r w:rsidRPr="00FC2AE5">
        <w:rPr>
          <w:rFonts w:ascii="Times New Roman" w:eastAsia="Times New Roman" w:hAnsi="Times New Roman" w:cs="Times New Roman"/>
          <w:sz w:val="24"/>
          <w:szCs w:val="24"/>
          <w:lang w:val="en-US"/>
        </w:rPr>
        <w:t>Barač</w:t>
      </w:r>
      <w:proofErr w:type="spellEnd"/>
      <w:r w:rsidRPr="00FC2AE5">
        <w:rPr>
          <w:rFonts w:ascii="Times New Roman" w:eastAsia="Times New Roman" w:hAnsi="Times New Roman" w:cs="Times New Roman"/>
          <w:sz w:val="24"/>
          <w:szCs w:val="24"/>
          <w:lang w:val="en-US"/>
        </w:rPr>
        <w:t xml:space="preserve"> et al., 2025). From an integration standpoint, the most important implication is that performance planning can incorporate exposure predictions: instead of choosing operating settings solely for productivity, settings can be chosen to balance productivity against predicted ergonomic risk.</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 second pathway is direct workload quantification using instrumented transducers and machine learning during tractor operations. Workload assessment research demonstrates that workload signatures can be associated with specific operation phases and task patterns, enabling fine-grained identification of “high-cost” segments of work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 This supports a more actionable integration: if a specific turning pattern or control interaction drives disproportionate workload, redesign or operational changes can target that segment to improve both operator endurance and performance continuity. In other words, workload modelling can function as a performance-stability tool, because it identifies where fatigue is likely to accumulate and where errors or slowdowns may later emerge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 third mechanism is physiological evaluation of fatigue under vibration exposure. Multi-parameter physiological assessment of tractor driving vibration fatigue demonstrates that fatigue can be quantified using physiological indicators, strengthening the causal connection between mechanical exposure and human performance capability (Gao et al., 2021). When combined with vibration prediction (</w:t>
      </w:r>
      <w:proofErr w:type="spellStart"/>
      <w:r w:rsidRPr="00FC2AE5">
        <w:rPr>
          <w:rFonts w:ascii="Times New Roman" w:eastAsia="Times New Roman" w:hAnsi="Times New Roman" w:cs="Times New Roman"/>
          <w:sz w:val="24"/>
          <w:szCs w:val="24"/>
          <w:lang w:val="en-US"/>
        </w:rPr>
        <w:t>Barač</w:t>
      </w:r>
      <w:proofErr w:type="spellEnd"/>
      <w:r w:rsidRPr="00FC2AE5">
        <w:rPr>
          <w:rFonts w:ascii="Times New Roman" w:eastAsia="Times New Roman" w:hAnsi="Times New Roman" w:cs="Times New Roman"/>
          <w:sz w:val="24"/>
          <w:szCs w:val="24"/>
          <w:lang w:val="en-US"/>
        </w:rPr>
        <w:t xml:space="preserve"> et al., 2025) and task-phase workload modelling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 physiological evidence enables a three-layer integration: the machine produces measurable excitation, excitation interacts with operational choices and task phases, and the operator exhibits measurable fatigue responses that can forecast performance degradation.</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6.3. Assisted driving systems: shifting workload and redefining “good performance”</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Assisted driving and guidance systems in precision agriculture further complicate integration because they do not simply reduce workload; they redistribute it. Ergonomic risk assessment of assisted driving systems emphasizes that reduced steering effort may be accompanied by increased monitoring demands, changes in attention allocation, and potential vigilance decrement over time (Vitale et al., 2024). This has direct performance relevance: a machine may follow guidance lines accurately in the short term, but performance quality may degrade if the operator becomes disengaged, misses alerts, or fails to detect boundary hazards. Therefore, integrated evaluation must broaden the definition of performance from “path accuracy and coverage rate” to include “sustained reliability under realistic monitoring demands.” Ergonomic assessment becomes a performance safeguard: it helps determine whether automation improves field outcomes over full-shift durations, not only during short demonstrations (Vitale et al., 2024).</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6.4. Toward operator-aware optimization and integrated testing protocols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The combined evidence suggests that future evaluation frameworks should treat ergonomic constraints as design and operational boundary conditions for performance. Vibration transmissibility dependence on posture and magnitude (Adam et al., 2020), task-dependent vibration pathways (Singh et al., 2023), predictive vibration modelling (</w:t>
      </w:r>
      <w:proofErr w:type="spellStart"/>
      <w:r w:rsidRPr="00FC2AE5">
        <w:rPr>
          <w:rFonts w:ascii="Times New Roman" w:eastAsia="Times New Roman" w:hAnsi="Times New Roman" w:cs="Times New Roman"/>
          <w:sz w:val="24"/>
          <w:szCs w:val="24"/>
          <w:lang w:val="en-US"/>
        </w:rPr>
        <w:t>Barač</w:t>
      </w:r>
      <w:proofErr w:type="spellEnd"/>
      <w:r w:rsidRPr="00FC2AE5">
        <w:rPr>
          <w:rFonts w:ascii="Times New Roman" w:eastAsia="Times New Roman" w:hAnsi="Times New Roman" w:cs="Times New Roman"/>
          <w:sz w:val="24"/>
          <w:szCs w:val="24"/>
          <w:lang w:val="en-US"/>
        </w:rPr>
        <w:t xml:space="preserve"> et al., 2025), </w:t>
      </w:r>
      <w:r w:rsidRPr="00FC2AE5">
        <w:rPr>
          <w:rFonts w:ascii="Times New Roman" w:eastAsia="Times New Roman" w:hAnsi="Times New Roman" w:cs="Times New Roman"/>
          <w:sz w:val="24"/>
          <w:szCs w:val="24"/>
          <w:lang w:val="en-US"/>
        </w:rPr>
        <w:lastRenderedPageBreak/>
        <w:t>phase-resolved workload modelling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 physiological fatigue quantification (Gao et al., 2021), and cognitive ergonomics in assisted driving (Vitale et al., 2024) collectively support an “operator-aware optimization” perspective. In this view, optimal performance is not the maximum instantaneous output but the maximum sustainable output that can be maintained without accelerating fatigue to levels that compromise safety, precision, or willingness to continue operation.</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For non-stationary environments such as combine harvesting, integrated protocols should also explicitly include operational variability as part of performance and exposure evaluation rather than treating it as noise. Since harvester vibration can evolve during operation with time-varying mass and non-stationary excitation, both ergonomic exposure and performance stability should be tracked across representative harvesting sequences (Yao et al., 2022). This implies that future evaluation designs should prioritize duty-cycle completeness: capturing transitions, turning events, load changes, and long-duration exposure accumulation, so that the resulting conclusions reflect real farm work rather than simplified test conditions.</w:t>
      </w:r>
    </w:p>
    <w:p w:rsidR="00C36FAB" w:rsidRDefault="00C36FAB" w:rsidP="00C36FAB"/>
    <w:p w:rsidR="00FC2AE5" w:rsidRPr="00FC2AE5" w:rsidRDefault="00FC2AE5" w:rsidP="00FC2AE5">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7. Emerging directions and research priorities</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7.1. From short tests to long-shift, duty-cycle–complete evaluation</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 consistent limitation in current research is that ergonomic and performance evaluations are often conducted over short test windows, while real agricultural work commonly involves extended seasonal shifts. Emerging research priorities therefore include designing evaluation protocols that explicitly capture fatigue accumulation and performance stability across representative duty cycles. Physiological multi-parameter approaches to vibration-related fatigue evaluation demonstrate that fatigue can be detected and quantified beyond immediate discomfort, supporting the need for longer-duration measurement designs that reflect real exposure accumulation rather than “snapshot” testing (Gao et al., 2021). In parallel, workload assessment approaches that combine ergonomic transducers with machine learning show that workload is phase-dependent; turning, alignment, and repeated control actions can drive disproportionate fatigue even when average operating conditions appear moderate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 A priority direction is to integrate these approaches into standardized, duty-cycle–complete evaluation templates that include transitions, headland </w:t>
      </w:r>
      <w:proofErr w:type="spellStart"/>
      <w:r w:rsidRPr="00FC2AE5">
        <w:rPr>
          <w:rFonts w:ascii="Times New Roman" w:eastAsia="Times New Roman" w:hAnsi="Times New Roman" w:cs="Times New Roman"/>
          <w:sz w:val="24"/>
          <w:szCs w:val="24"/>
          <w:lang w:val="en-US"/>
        </w:rPr>
        <w:t>manoeuvres</w:t>
      </w:r>
      <w:proofErr w:type="spellEnd"/>
      <w:r w:rsidRPr="00FC2AE5">
        <w:rPr>
          <w:rFonts w:ascii="Times New Roman" w:eastAsia="Times New Roman" w:hAnsi="Times New Roman" w:cs="Times New Roman"/>
          <w:sz w:val="24"/>
          <w:szCs w:val="24"/>
          <w:lang w:val="en-US"/>
        </w:rPr>
        <w:t>, refilling/servicing events, and task interruptions—because these are exactly where workload spikes and errors often emerge under time pressure.</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7.2. Context-first design and evaluation for small and fragmented farms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Another research priority is designing and evaluating self-propelled machines for the field geometries and workflow constraints that dominate many regions, especially small and fragmented farms. Performance metrics become misleading if they assume large uninterrupted passes and minimal turning losses, because the operational reality is often dominated by </w:t>
      </w:r>
      <w:proofErr w:type="spellStart"/>
      <w:r w:rsidRPr="00FC2AE5">
        <w:rPr>
          <w:rFonts w:ascii="Times New Roman" w:eastAsia="Times New Roman" w:hAnsi="Times New Roman" w:cs="Times New Roman"/>
          <w:sz w:val="24"/>
          <w:szCs w:val="24"/>
          <w:lang w:val="en-US"/>
        </w:rPr>
        <w:t>manoeuvrability</w:t>
      </w:r>
      <w:proofErr w:type="spellEnd"/>
      <w:r w:rsidRPr="00FC2AE5">
        <w:rPr>
          <w:rFonts w:ascii="Times New Roman" w:eastAsia="Times New Roman" w:hAnsi="Times New Roman" w:cs="Times New Roman"/>
          <w:sz w:val="24"/>
          <w:szCs w:val="24"/>
          <w:lang w:val="en-US"/>
        </w:rPr>
        <w:t xml:space="preserve">, refill logistics, and boundary complexity. Development and evaluation of a prototype self-propelled crop sprayer framed around small-farm sustainability illustrates how context can determine whether performance is actually realized in practice, not just in theory (Ghafoor et al., 2022). Future work should treat “system fit” as a first-class performance criterion and evaluate ergonomic outcomes within those same constrained </w:t>
      </w:r>
      <w:r w:rsidRPr="00FC2AE5">
        <w:rPr>
          <w:rFonts w:ascii="Times New Roman" w:eastAsia="Times New Roman" w:hAnsi="Times New Roman" w:cs="Times New Roman"/>
          <w:sz w:val="24"/>
          <w:szCs w:val="24"/>
          <w:lang w:val="en-US"/>
        </w:rPr>
        <w:lastRenderedPageBreak/>
        <w:t>workflows, since frequent turning and repeated operator interventions can increase cognitive load, discomfort, and fatigue in ways that directly impact effective productivity over a day.</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7.3. Harvester stability, vibration control, and performance reliability under non-stationary conditions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For harvesting systems, emerging priorities center on performance reliability under non-stationary dynamics. Combine harvesters operate with changing crop flow conditions and time-varying states that can shift vibration signatures during real work. Evidence on non-stationary random vibration with time-varying mass in corn combine harvesters reinforces that vibration is not constant over time, complicating both ergonomic exposure estimation and stable performance benchmarking (Yao et al., 2022). In this context, vibration control and damping are not only comfort improvements; they are functional performance enablers that can support stability and potentially reduce variability in harvesting outcomes. Research on damping </w:t>
      </w:r>
      <w:proofErr w:type="spellStart"/>
      <w:r w:rsidRPr="00FC2AE5">
        <w:rPr>
          <w:rFonts w:ascii="Times New Roman" w:eastAsia="Times New Roman" w:hAnsi="Times New Roman" w:cs="Times New Roman"/>
          <w:sz w:val="24"/>
          <w:szCs w:val="24"/>
          <w:lang w:val="en-US"/>
        </w:rPr>
        <w:t>behaviour</w:t>
      </w:r>
      <w:proofErr w:type="spellEnd"/>
      <w:r w:rsidRPr="00FC2AE5">
        <w:rPr>
          <w:rFonts w:ascii="Times New Roman" w:eastAsia="Times New Roman" w:hAnsi="Times New Roman" w:cs="Times New Roman"/>
          <w:sz w:val="24"/>
          <w:szCs w:val="24"/>
          <w:lang w:val="en-US"/>
        </w:rPr>
        <w:t xml:space="preserve"> of components designed for combine harvester threshers reflects this coupled objective, where vibration mitigation intersects with machine functional integrity and operational consistency (Tang et al., 2021). A key priority is robust vibration-management design that maintains performance stability across variable harvesting states, rather than optimizing for a single “ideal” operating point.</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7.4. Operator-aware optimization through prediction, sensing, and decision support</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 major emerging direction is the transition from descriptive assessment to operator-aware optimization, enabled by predictive modelling and integrated sensing. Machine-learning-based approaches that estimate tractor whole-body vibration from operational parameters point toward real-time or planning-stage tools that can forecast exposure under different speed–terrain–task combinations (</w:t>
      </w:r>
      <w:proofErr w:type="spellStart"/>
      <w:r w:rsidRPr="00FC2AE5">
        <w:rPr>
          <w:rFonts w:ascii="Times New Roman" w:eastAsia="Times New Roman" w:hAnsi="Times New Roman" w:cs="Times New Roman"/>
          <w:sz w:val="24"/>
          <w:szCs w:val="24"/>
          <w:lang w:val="en-US"/>
        </w:rPr>
        <w:t>Barač</w:t>
      </w:r>
      <w:proofErr w:type="spellEnd"/>
      <w:r w:rsidRPr="00FC2AE5">
        <w:rPr>
          <w:rFonts w:ascii="Times New Roman" w:eastAsia="Times New Roman" w:hAnsi="Times New Roman" w:cs="Times New Roman"/>
          <w:sz w:val="24"/>
          <w:szCs w:val="24"/>
          <w:lang w:val="en-US"/>
        </w:rPr>
        <w:t xml:space="preserve"> et al., 2025). When combined with phase-resolved workload modelling, these tools can support decision support that balances output targets with fatigue management, shifting evaluation from “maximum possible output” to “maximum sustainable output” across realistic work durations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 The research priority here is not only developing models, but validating them against meaningful operator endpoints (fatigue, discomfort, vigilance) and embedding them into evaluation frameworks that designers and practitioners can apply consistently.</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7.5. Automation and electrification: redefining evaluation baselines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Assisted driving and electrification are reshaping what “good performance” means and how ergonomic risks manifest. Ergonomic assessment of assisted driving systems shows that automation may reduce some physical demands while increasing monitoring and cognitive demands, making sustained vigilance a new determinant of performance reliability (Vitale et al., 2024). Meanwhile, comparative vibration analysis between diesel and electric tractors indicates that technology transitions change exposure baselines but do not automatically eliminate vibration risks, particularly where terrain-induced excitation remains dominant (</w:t>
      </w:r>
      <w:proofErr w:type="spellStart"/>
      <w:r w:rsidRPr="00FC2AE5">
        <w:rPr>
          <w:rFonts w:ascii="Times New Roman" w:eastAsia="Times New Roman" w:hAnsi="Times New Roman" w:cs="Times New Roman"/>
          <w:sz w:val="24"/>
          <w:szCs w:val="24"/>
          <w:lang w:val="en-US"/>
        </w:rPr>
        <w:t>Oncescu</w:t>
      </w:r>
      <w:proofErr w:type="spellEnd"/>
      <w:r w:rsidRPr="00FC2AE5">
        <w:rPr>
          <w:rFonts w:ascii="Times New Roman" w:eastAsia="Times New Roman" w:hAnsi="Times New Roman" w:cs="Times New Roman"/>
          <w:sz w:val="24"/>
          <w:szCs w:val="24"/>
          <w:lang w:val="en-US"/>
        </w:rPr>
        <w:t xml:space="preserve"> et al., 2025). Research priorities therefore include developing evaluation protocols that explicitly account for (</w:t>
      </w:r>
      <w:proofErr w:type="spellStart"/>
      <w:r w:rsidRPr="00FC2AE5">
        <w:rPr>
          <w:rFonts w:ascii="Times New Roman" w:eastAsia="Times New Roman" w:hAnsi="Times New Roman" w:cs="Times New Roman"/>
          <w:sz w:val="24"/>
          <w:szCs w:val="24"/>
          <w:lang w:val="en-US"/>
        </w:rPr>
        <w:t>i</w:t>
      </w:r>
      <w:proofErr w:type="spellEnd"/>
      <w:r w:rsidRPr="00FC2AE5">
        <w:rPr>
          <w:rFonts w:ascii="Times New Roman" w:eastAsia="Times New Roman" w:hAnsi="Times New Roman" w:cs="Times New Roman"/>
          <w:sz w:val="24"/>
          <w:szCs w:val="24"/>
          <w:lang w:val="en-US"/>
        </w:rPr>
        <w:t>) cognitive workload and vigilance dynamics under assisted driving, and (ii) revised vibration/noise baselines under electrified platforms, tested under representative duty cycles rather than idealized conditions.</w:t>
      </w:r>
    </w:p>
    <w:p w:rsidR="00C36FAB" w:rsidRDefault="00C36FAB" w:rsidP="00C36FAB"/>
    <w:p w:rsidR="00C36FAB" w:rsidRDefault="00C36FAB" w:rsidP="00C36FAB">
      <w:pPr>
        <w:pStyle w:val="Heading2"/>
      </w:pPr>
      <w:r>
        <w:t>8. Conclusions</w:t>
      </w:r>
    </w:p>
    <w:p w:rsidR="00BF4599" w:rsidRPr="00BF4599" w:rsidRDefault="00BF4599" w:rsidP="00BF459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Self-propelled agricultural machineries deliver major gains in timeliness and field capacity, but their real-world effectiveness depends on how sustainably operators can control and monitor them across long duty cycles.</w:t>
      </w:r>
    </w:p>
    <w:p w:rsidR="00BF4599" w:rsidRPr="00BF4599" w:rsidRDefault="00BF4599" w:rsidP="00BF459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Operator station design—seat comfort, adjustability, visibility, and control layout—remains a primary determinant of endurance, precision, and safe work continuation, especially during peak-season extended shifts.</w:t>
      </w:r>
    </w:p>
    <w:p w:rsidR="00BF4599" w:rsidRPr="00BF4599" w:rsidRDefault="00BF4599" w:rsidP="00BF459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Whole-body vibration, noise, and sustained postural demands are the most persistent ergonomic challenges and can accelerate fatigue, reduce attention, and increase error likelihood during precision-critical operations such as spraying, transplanting, and harvesting.</w:t>
      </w:r>
    </w:p>
    <w:p w:rsidR="00BF4599" w:rsidRPr="00BF4599" w:rsidRDefault="00BF4599" w:rsidP="00BF459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Performance should be evaluated as achievable sustained output rather than peak capacity, incorporating the effects of turning losses, refilling/servicing interruptions, field fragmentation, and operational variability.</w:t>
      </w:r>
    </w:p>
    <w:p w:rsidR="00BF4599" w:rsidRPr="00BF4599" w:rsidRDefault="00BF4599" w:rsidP="00BF459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Work quality metrics (uniformity, losses, placement accuracy, application consistency) must be treated as equal to productivity metrics because quality drift can occur when fatigue accumulates even if coverage rate remains high.</w:t>
      </w:r>
    </w:p>
    <w:p w:rsidR="00BF4599" w:rsidRPr="00BF4599" w:rsidRDefault="00BF4599" w:rsidP="00BF459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Integrated evaluation frameworks that monitor operator state and machine outputs together are essential for identifying trade-offs and preventing productivity gains from being achieved at unacceptable health and safety costs.</w:t>
      </w:r>
    </w:p>
    <w:p w:rsidR="00BF4599" w:rsidRPr="00BF4599" w:rsidRDefault="00BF4599" w:rsidP="00BF459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Data-driven tools and sensor-based monitoring create a pathway toward operator-aware optimization, where operating settings and workflows are selected to maximize sustainable productivity while managing fatigue and exposure.</w:t>
      </w:r>
    </w:p>
    <w:p w:rsidR="00BF4599" w:rsidRPr="00BF4599" w:rsidRDefault="00BF4599" w:rsidP="00BF459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Emerging automation and electrification will reshape ergonomic baselines and workload distribution, making updated duty-cycle–based testing protocols critical for ensuring that new technologies improve both usability and performance reliability.</w:t>
      </w:r>
    </w:p>
    <w:p w:rsidR="00C36FAB" w:rsidRDefault="00C36FAB" w:rsidP="00C36FAB">
      <w:pPr>
        <w:pStyle w:val="Heading2"/>
      </w:pPr>
      <w:r>
        <w:t>9. Limitations</w:t>
      </w:r>
    </w:p>
    <w:p w:rsidR="00BF4599" w:rsidRDefault="00BF4599" w:rsidP="00BF4599">
      <w:pPr>
        <w:pStyle w:val="NormalWeb"/>
        <w:numPr>
          <w:ilvl w:val="0"/>
          <w:numId w:val="36"/>
        </w:numPr>
      </w:pPr>
      <w:r>
        <w:t>This manuscript follows a narrative review approach, which is inherently limited by non-exhaustive searching and the absence of formal systematic-review procedures such as protocol registration, structured bias assessment, and quantitative synthesis.</w:t>
      </w:r>
    </w:p>
    <w:p w:rsidR="00BF4599" w:rsidRDefault="00BF4599" w:rsidP="00BF4599">
      <w:pPr>
        <w:pStyle w:val="NormalWeb"/>
        <w:numPr>
          <w:ilvl w:val="0"/>
          <w:numId w:val="36"/>
        </w:numPr>
      </w:pPr>
      <w:r>
        <w:t>Direct comparison across studies remains constrained because ergonomic and performance outcomes are often measured using different instruments, duty cycles, terrains, operator populations, and reporting conventions, reducing metric-to-metric comparability.</w:t>
      </w:r>
    </w:p>
    <w:p w:rsidR="00BF4599" w:rsidRDefault="00BF4599" w:rsidP="00BF4599">
      <w:pPr>
        <w:pStyle w:val="NormalWeb"/>
        <w:numPr>
          <w:ilvl w:val="0"/>
          <w:numId w:val="36"/>
        </w:numPr>
      </w:pPr>
      <w:r>
        <w:t>Many evaluations emphasize short-duration trials or controlled test segments, which may not fully capture long-shift fatigue accumulation, seasonal work intensity, and real operational interruptions such as refilling, troubleshooting, and variable field traffic.</w:t>
      </w:r>
    </w:p>
    <w:p w:rsidR="00BF4599" w:rsidRDefault="00BF4599" w:rsidP="00BF4599">
      <w:pPr>
        <w:pStyle w:val="NormalWeb"/>
        <w:numPr>
          <w:ilvl w:val="0"/>
          <w:numId w:val="36"/>
        </w:numPr>
      </w:pPr>
      <w:r>
        <w:t>Machinery categories, cropping systems, and farm sizes vary widely, so findings derived from specific machines or regional contexts may not generalize to other settings with different soil conditions, field geometries, maintenance quality, or operator skill distributions.</w:t>
      </w:r>
    </w:p>
    <w:p w:rsidR="00BF4599" w:rsidRDefault="00BF4599" w:rsidP="00BF4599">
      <w:pPr>
        <w:pStyle w:val="NormalWeb"/>
        <w:numPr>
          <w:ilvl w:val="0"/>
          <w:numId w:val="36"/>
        </w:numPr>
      </w:pPr>
      <w:r>
        <w:lastRenderedPageBreak/>
        <w:t>Rapid technology change (automation features, electrification, sensor integration) means that some conclusions may evolve as newer machine generations, updated standards, and improved evaluation protocols become more widely adopted.</w:t>
      </w:r>
    </w:p>
    <w:p w:rsidR="00C36FAB" w:rsidRDefault="00C36FAB" w:rsidP="00C36FAB"/>
    <w:p w:rsidR="00C36FAB" w:rsidRDefault="00C36FAB" w:rsidP="00C36FAB">
      <w:pPr>
        <w:pStyle w:val="Heading2"/>
      </w:pPr>
      <w:r>
        <w:t xml:space="preserve">References </w:t>
      </w:r>
    </w:p>
    <w:p w:rsidR="00C36FAB" w:rsidRDefault="00C36FAB" w:rsidP="00C36FAB">
      <w:pPr>
        <w:pStyle w:val="NormalWeb"/>
      </w:pPr>
      <w:r>
        <w:t xml:space="preserve">Adam, S. A., Jalil, N. A. A., </w:t>
      </w:r>
      <w:proofErr w:type="spellStart"/>
      <w:r>
        <w:t>Rezali</w:t>
      </w:r>
      <w:proofErr w:type="spellEnd"/>
      <w:r>
        <w:t xml:space="preserve">, K. A. M., &amp; Ng, Y. G. (2020). The effect of posture and vibration magnitude on the vertical vibration transmissibility of tractor suspension system. </w:t>
      </w:r>
      <w:r>
        <w:rPr>
          <w:rStyle w:val="Emphasis"/>
        </w:rPr>
        <w:t>International Journal of Industrial Ergonomics, 80</w:t>
      </w:r>
      <w:r>
        <w:t xml:space="preserve">, 103014. </w:t>
      </w:r>
      <w:hyperlink r:id="rId8" w:history="1">
        <w:r w:rsidR="00054E6E" w:rsidRPr="006C38C0">
          <w:rPr>
            <w:rStyle w:val="Hyperlink"/>
          </w:rPr>
          <w:t>https://doi.org/10.1016/j.ergon.2020.103014</w:t>
        </w:r>
      </w:hyperlink>
      <w:r w:rsidR="00054E6E">
        <w:t xml:space="preserve"> </w:t>
      </w:r>
    </w:p>
    <w:p w:rsidR="00C36FAB" w:rsidRDefault="00C36FAB" w:rsidP="00C36FAB">
      <w:pPr>
        <w:pStyle w:val="NormalWeb"/>
      </w:pPr>
      <w:proofErr w:type="spellStart"/>
      <w:r>
        <w:t>Barač</w:t>
      </w:r>
      <w:proofErr w:type="spellEnd"/>
      <w:r>
        <w:t xml:space="preserve">, Ž., </w:t>
      </w:r>
      <w:proofErr w:type="spellStart"/>
      <w:r>
        <w:t>Jurić</w:t>
      </w:r>
      <w:proofErr w:type="spellEnd"/>
      <w:r>
        <w:t xml:space="preserve">, M., </w:t>
      </w:r>
      <w:proofErr w:type="spellStart"/>
      <w:r>
        <w:t>Plaščak</w:t>
      </w:r>
      <w:proofErr w:type="spellEnd"/>
      <w:r>
        <w:t xml:space="preserve">, I., </w:t>
      </w:r>
      <w:proofErr w:type="spellStart"/>
      <w:r>
        <w:t>Jurić</w:t>
      </w:r>
      <w:proofErr w:type="spellEnd"/>
      <w:r>
        <w:t xml:space="preserve">, T., &amp; </w:t>
      </w:r>
      <w:proofErr w:type="spellStart"/>
      <w:r>
        <w:t>Marković</w:t>
      </w:r>
      <w:proofErr w:type="spellEnd"/>
      <w:r>
        <w:t xml:space="preserve">, M. (2025). Assessing whole-body vibrations in an agricultural tractor based on selected operational parameters: A machine learning-based approach. </w:t>
      </w:r>
      <w:proofErr w:type="spellStart"/>
      <w:r>
        <w:rPr>
          <w:rStyle w:val="Emphasis"/>
        </w:rPr>
        <w:t>AgriEngineering</w:t>
      </w:r>
      <w:proofErr w:type="spellEnd"/>
      <w:r>
        <w:rPr>
          <w:rStyle w:val="Emphasis"/>
        </w:rPr>
        <w:t>, 7</w:t>
      </w:r>
      <w:r>
        <w:t xml:space="preserve">(3), 72. </w:t>
      </w:r>
      <w:hyperlink r:id="rId9" w:history="1">
        <w:r w:rsidR="00054E6E" w:rsidRPr="006C38C0">
          <w:rPr>
            <w:rStyle w:val="Hyperlink"/>
          </w:rPr>
          <w:t>https://doi.org/10.3390/agriengineering7030072</w:t>
        </w:r>
      </w:hyperlink>
      <w:r w:rsidR="00054E6E">
        <w:t xml:space="preserve"> </w:t>
      </w:r>
    </w:p>
    <w:p w:rsidR="00C36FAB" w:rsidRDefault="00C36FAB" w:rsidP="00C36FAB">
      <w:pPr>
        <w:pStyle w:val="NormalWeb"/>
      </w:pPr>
      <w:proofErr w:type="spellStart"/>
      <w:r>
        <w:t>Benos</w:t>
      </w:r>
      <w:proofErr w:type="spellEnd"/>
      <w:r>
        <w:t xml:space="preserve">, L., </w:t>
      </w:r>
      <w:proofErr w:type="spellStart"/>
      <w:r>
        <w:t>Tsaopoulos</w:t>
      </w:r>
      <w:proofErr w:type="spellEnd"/>
      <w:r>
        <w:t xml:space="preserve">, D., &amp; </w:t>
      </w:r>
      <w:proofErr w:type="spellStart"/>
      <w:r>
        <w:t>Bochtis</w:t>
      </w:r>
      <w:proofErr w:type="spellEnd"/>
      <w:r>
        <w:t xml:space="preserve">, D. (2020). A review on ergonomics in agriculture. Part II: Mechanized operations. </w:t>
      </w:r>
      <w:r>
        <w:rPr>
          <w:rStyle w:val="Emphasis"/>
        </w:rPr>
        <w:t>Applied Sciences, 10</w:t>
      </w:r>
      <w:r>
        <w:t xml:space="preserve">(10), 3484. </w:t>
      </w:r>
      <w:hyperlink r:id="rId10" w:tgtFrame="_new" w:history="1">
        <w:r>
          <w:rPr>
            <w:rStyle w:val="Hyperlink"/>
          </w:rPr>
          <w:t>https://doi.org/10.3390/app10103484</w:t>
        </w:r>
      </w:hyperlink>
    </w:p>
    <w:p w:rsidR="00C36FAB" w:rsidRDefault="00C36FAB" w:rsidP="00C36FAB">
      <w:pPr>
        <w:pStyle w:val="NormalWeb"/>
      </w:pPr>
      <w:r>
        <w:t xml:space="preserve">Chowdhury, M., Ali, M., </w:t>
      </w:r>
      <w:proofErr w:type="spellStart"/>
      <w:r>
        <w:t>Habineza</w:t>
      </w:r>
      <w:proofErr w:type="spellEnd"/>
      <w:r>
        <w:t xml:space="preserve">, E., Reza, M. N., Kabir, M. S. N., Lim, S.-J., Choi, I.-S., &amp; Chung, S.-O. (2023). Vibration assessment of a 12-kW self-propelled riding-type automatic onion </w:t>
      </w:r>
      <w:proofErr w:type="spellStart"/>
      <w:r>
        <w:t>transplanter</w:t>
      </w:r>
      <w:proofErr w:type="spellEnd"/>
      <w:r>
        <w:t xml:space="preserve"> for transplanting performance and operator comfort. </w:t>
      </w:r>
      <w:r>
        <w:rPr>
          <w:rStyle w:val="Emphasis"/>
        </w:rPr>
        <w:t>Applied Sciences, 13</w:t>
      </w:r>
      <w:r>
        <w:t xml:space="preserve">(3), 1927. </w:t>
      </w:r>
      <w:hyperlink r:id="rId11" w:history="1">
        <w:r w:rsidR="00054E6E" w:rsidRPr="006C38C0">
          <w:rPr>
            <w:rStyle w:val="Hyperlink"/>
          </w:rPr>
          <w:t>https://doi.org/10.3390/app13031927</w:t>
        </w:r>
      </w:hyperlink>
      <w:r w:rsidR="00054E6E">
        <w:t xml:space="preserve"> </w:t>
      </w:r>
    </w:p>
    <w:p w:rsidR="00C36FAB" w:rsidRDefault="00054E6E" w:rsidP="00C36FAB">
      <w:pPr>
        <w:pStyle w:val="NormalWeb"/>
      </w:pPr>
      <w:proofErr w:type="spellStart"/>
      <w:r w:rsidRPr="00054E6E">
        <w:t>Cutini</w:t>
      </w:r>
      <w:proofErr w:type="spellEnd"/>
      <w:r w:rsidRPr="00054E6E">
        <w:t xml:space="preserve">, M., Brambilla, M., &amp; </w:t>
      </w:r>
      <w:proofErr w:type="spellStart"/>
      <w:r w:rsidRPr="00054E6E">
        <w:t>Bisaglia</w:t>
      </w:r>
      <w:proofErr w:type="spellEnd"/>
      <w:r w:rsidRPr="00054E6E">
        <w:t>, C. (2017). Whole-body vibration in farming: Background document for creating a simplified procedure to determine agricultural tractor vibration comfort. Agriculture, 7(10), 84.</w:t>
      </w:r>
      <w:r>
        <w:t xml:space="preserve"> </w:t>
      </w:r>
      <w:hyperlink r:id="rId12" w:history="1">
        <w:r w:rsidRPr="006C38C0">
          <w:rPr>
            <w:rStyle w:val="Hyperlink"/>
          </w:rPr>
          <w:t>https://doi.org/10.3390/agriculture7100084</w:t>
        </w:r>
      </w:hyperlink>
      <w:r>
        <w:t xml:space="preserve"> </w:t>
      </w:r>
      <w:r w:rsidR="00C36FAB">
        <w:t xml:space="preserve"> </w:t>
      </w:r>
    </w:p>
    <w:p w:rsidR="00C36FAB" w:rsidRDefault="00C36FAB" w:rsidP="00C36FAB">
      <w:pPr>
        <w:pStyle w:val="NormalWeb"/>
      </w:pPr>
      <w:r>
        <w:t xml:space="preserve">Fu, Q., Li, X., Zhang, G., &amp; Ma, Y. (2022). Improved greenhouse self-propelled precision spraying machine—Multiple targets matching horizontal-leveling control system. </w:t>
      </w:r>
      <w:r>
        <w:rPr>
          <w:rStyle w:val="Emphasis"/>
        </w:rPr>
        <w:t>Computers and Electronics in Agriculture, 202</w:t>
      </w:r>
      <w:r>
        <w:t xml:space="preserve">, 107265. </w:t>
      </w:r>
      <w:hyperlink r:id="rId13" w:history="1">
        <w:r w:rsidR="00054E6E" w:rsidRPr="006C38C0">
          <w:rPr>
            <w:rStyle w:val="Hyperlink"/>
          </w:rPr>
          <w:t>https://doi.org/10.1016/j.compag.2022.107265</w:t>
        </w:r>
      </w:hyperlink>
      <w:r w:rsidR="00054E6E">
        <w:t xml:space="preserve"> </w:t>
      </w:r>
    </w:p>
    <w:p w:rsidR="00C36FAB" w:rsidRDefault="00C36FAB" w:rsidP="00C36FAB">
      <w:pPr>
        <w:pStyle w:val="NormalWeb"/>
      </w:pPr>
      <w:r>
        <w:t xml:space="preserve">Gao, R., Yang, H., &amp; Yang, Z. (2021). Evaluation of tractor driving vibrations fatigue based on multiple physiological parameters. </w:t>
      </w:r>
      <w:r>
        <w:rPr>
          <w:rStyle w:val="Emphasis"/>
        </w:rPr>
        <w:t>PLOS ONE, 16</w:t>
      </w:r>
      <w:r>
        <w:t xml:space="preserve">(7), e0254636. </w:t>
      </w:r>
      <w:hyperlink r:id="rId14" w:history="1">
        <w:r w:rsidR="00054E6E" w:rsidRPr="006C38C0">
          <w:rPr>
            <w:rStyle w:val="Hyperlink"/>
          </w:rPr>
          <w:t>https://doi.org/10.1371/journal.pone.0254636</w:t>
        </w:r>
      </w:hyperlink>
      <w:r w:rsidR="00054E6E">
        <w:t xml:space="preserve"> </w:t>
      </w:r>
    </w:p>
    <w:p w:rsidR="00C36FAB" w:rsidRDefault="00C36FAB" w:rsidP="00C36FAB">
      <w:pPr>
        <w:pStyle w:val="NormalWeb"/>
      </w:pPr>
      <w:r>
        <w:t xml:space="preserve">Ghafoor, A., Khan, F. A., </w:t>
      </w:r>
      <w:proofErr w:type="spellStart"/>
      <w:r>
        <w:t>Khorsandi</w:t>
      </w:r>
      <w:proofErr w:type="spellEnd"/>
      <w:r>
        <w:t xml:space="preserve">, F., Khan, M. A., Nauman, H. M., &amp; Farid, M. U. (2022). Development and evaluation of a prototype self-propelled crop sprayer for agricultural sustainability in small farms. </w:t>
      </w:r>
      <w:r>
        <w:rPr>
          <w:rStyle w:val="Emphasis"/>
        </w:rPr>
        <w:t>Sustainability, 14</w:t>
      </w:r>
      <w:r>
        <w:t xml:space="preserve">(15), 9204. </w:t>
      </w:r>
      <w:hyperlink r:id="rId15" w:history="1">
        <w:r w:rsidR="00054E6E" w:rsidRPr="006C38C0">
          <w:rPr>
            <w:rStyle w:val="Hyperlink"/>
          </w:rPr>
          <w:t>https://doi.org/10.3390/su14159204</w:t>
        </w:r>
      </w:hyperlink>
      <w:r w:rsidR="00054E6E">
        <w:t xml:space="preserve"> </w:t>
      </w:r>
    </w:p>
    <w:p w:rsidR="00C36FAB" w:rsidRDefault="00C36FAB" w:rsidP="00C36FAB">
      <w:pPr>
        <w:pStyle w:val="NormalWeb"/>
      </w:pPr>
      <w:proofErr w:type="spellStart"/>
      <w:r>
        <w:t>Hota</w:t>
      </w:r>
      <w:proofErr w:type="spellEnd"/>
      <w:r>
        <w:t xml:space="preserve">, S., Tewari, V. K., &amp; </w:t>
      </w:r>
      <w:proofErr w:type="spellStart"/>
      <w:r>
        <w:t>Chandel</w:t>
      </w:r>
      <w:proofErr w:type="spellEnd"/>
      <w:r>
        <w:t xml:space="preserve">, A. K. (2023). Workload assessment of tractor operations with ergonomic transducers and machine learning techniques. </w:t>
      </w:r>
      <w:r>
        <w:rPr>
          <w:rStyle w:val="Emphasis"/>
        </w:rPr>
        <w:t>Sensors, 23</w:t>
      </w:r>
      <w:r>
        <w:t xml:space="preserve">(3), 1408. </w:t>
      </w:r>
      <w:hyperlink r:id="rId16" w:history="1">
        <w:r w:rsidR="00054E6E" w:rsidRPr="006C38C0">
          <w:rPr>
            <w:rStyle w:val="Hyperlink"/>
          </w:rPr>
          <w:t>https://doi.org/10.3390/s23031408</w:t>
        </w:r>
      </w:hyperlink>
      <w:r w:rsidR="00054E6E">
        <w:t xml:space="preserve"> </w:t>
      </w:r>
    </w:p>
    <w:p w:rsidR="00C36FAB" w:rsidRDefault="00C36FAB" w:rsidP="00C36FAB">
      <w:pPr>
        <w:pStyle w:val="NormalWeb"/>
      </w:pPr>
      <w:r>
        <w:lastRenderedPageBreak/>
        <w:t xml:space="preserve">Mori, G., </w:t>
      </w:r>
      <w:proofErr w:type="spellStart"/>
      <w:r>
        <w:t>Santoni</w:t>
      </w:r>
      <w:proofErr w:type="spellEnd"/>
      <w:r>
        <w:t xml:space="preserve">, A., </w:t>
      </w:r>
      <w:proofErr w:type="spellStart"/>
      <w:r>
        <w:t>Marescotti</w:t>
      </w:r>
      <w:proofErr w:type="spellEnd"/>
      <w:r>
        <w:t xml:space="preserve">, P., </w:t>
      </w:r>
      <w:proofErr w:type="spellStart"/>
      <w:r>
        <w:t>Fausti</w:t>
      </w:r>
      <w:proofErr w:type="spellEnd"/>
      <w:r>
        <w:t xml:space="preserve">, P., </w:t>
      </w:r>
      <w:proofErr w:type="spellStart"/>
      <w:r>
        <w:t>Pompoli</w:t>
      </w:r>
      <w:proofErr w:type="spellEnd"/>
      <w:r>
        <w:t xml:space="preserve">, F., </w:t>
      </w:r>
      <w:proofErr w:type="spellStart"/>
      <w:r>
        <w:t>Preti</w:t>
      </w:r>
      <w:proofErr w:type="spellEnd"/>
      <w:r>
        <w:t xml:space="preserve">, G., </w:t>
      </w:r>
      <w:proofErr w:type="spellStart"/>
      <w:r>
        <w:t>Nataletti</w:t>
      </w:r>
      <w:proofErr w:type="spellEnd"/>
      <w:r>
        <w:t xml:space="preserve">, P., &amp; </w:t>
      </w:r>
      <w:proofErr w:type="spellStart"/>
      <w:r>
        <w:t>Bonfiglio</w:t>
      </w:r>
      <w:proofErr w:type="spellEnd"/>
      <w:r>
        <w:t xml:space="preserve">, P. (2026). Active noise control in a tractor cabin: Implementation challenges and experimental evaluation of a multi-channel feedforward system. </w:t>
      </w:r>
      <w:r>
        <w:rPr>
          <w:rStyle w:val="Emphasis"/>
        </w:rPr>
        <w:t>Applied Acoustics, 226</w:t>
      </w:r>
      <w:r>
        <w:t xml:space="preserve">, 111087. </w:t>
      </w:r>
      <w:hyperlink r:id="rId17" w:history="1">
        <w:r w:rsidR="00054E6E" w:rsidRPr="006C38C0">
          <w:rPr>
            <w:rStyle w:val="Hyperlink"/>
          </w:rPr>
          <w:t>https://doi.org/10.1016/j.apacoust.2025.111087</w:t>
        </w:r>
      </w:hyperlink>
      <w:r w:rsidR="00054E6E">
        <w:t xml:space="preserve"> </w:t>
      </w:r>
    </w:p>
    <w:p w:rsidR="00C36FAB" w:rsidRDefault="00C36FAB" w:rsidP="00C36FAB">
      <w:pPr>
        <w:pStyle w:val="NormalWeb"/>
      </w:pPr>
      <w:proofErr w:type="spellStart"/>
      <w:r>
        <w:t>Oncescu</w:t>
      </w:r>
      <w:proofErr w:type="spellEnd"/>
      <w:r>
        <w:t xml:space="preserve">, T.-A., </w:t>
      </w:r>
      <w:proofErr w:type="spellStart"/>
      <w:r>
        <w:t>Persu</w:t>
      </w:r>
      <w:proofErr w:type="spellEnd"/>
      <w:r>
        <w:t xml:space="preserve">, I. C., </w:t>
      </w:r>
      <w:proofErr w:type="spellStart"/>
      <w:r>
        <w:t>Bostina</w:t>
      </w:r>
      <w:proofErr w:type="spellEnd"/>
      <w:r>
        <w:t xml:space="preserve">, S., </w:t>
      </w:r>
      <w:proofErr w:type="spellStart"/>
      <w:r>
        <w:t>Biris</w:t>
      </w:r>
      <w:proofErr w:type="spellEnd"/>
      <w:r>
        <w:t xml:space="preserve">, S. S., </w:t>
      </w:r>
      <w:proofErr w:type="spellStart"/>
      <w:r>
        <w:t>Vilceleanu</w:t>
      </w:r>
      <w:proofErr w:type="spellEnd"/>
      <w:r>
        <w:t xml:space="preserve">, M.-V., </w:t>
      </w:r>
      <w:proofErr w:type="spellStart"/>
      <w:r>
        <w:t>Nenciu</w:t>
      </w:r>
      <w:proofErr w:type="spellEnd"/>
      <w:r>
        <w:t xml:space="preserve">, F., </w:t>
      </w:r>
      <w:proofErr w:type="spellStart"/>
      <w:r>
        <w:t>Matache</w:t>
      </w:r>
      <w:proofErr w:type="spellEnd"/>
      <w:r>
        <w:t xml:space="preserve">, M.-G., &amp; </w:t>
      </w:r>
      <w:proofErr w:type="spellStart"/>
      <w:r>
        <w:t>Tarnita</w:t>
      </w:r>
      <w:proofErr w:type="spellEnd"/>
      <w:r>
        <w:t xml:space="preserve">, D. (2025). Comparative analysis of vibration impact on operator safety for diesel and electric agricultural tractors. </w:t>
      </w:r>
      <w:proofErr w:type="spellStart"/>
      <w:r>
        <w:rPr>
          <w:rStyle w:val="Emphasis"/>
        </w:rPr>
        <w:t>AgriEngineering</w:t>
      </w:r>
      <w:proofErr w:type="spellEnd"/>
      <w:r>
        <w:rPr>
          <w:rStyle w:val="Emphasis"/>
        </w:rPr>
        <w:t>, 7</w:t>
      </w:r>
      <w:r>
        <w:t xml:space="preserve">(2), 40. </w:t>
      </w:r>
      <w:hyperlink r:id="rId18" w:history="1">
        <w:r w:rsidR="00054E6E" w:rsidRPr="006C38C0">
          <w:rPr>
            <w:rStyle w:val="Hyperlink"/>
          </w:rPr>
          <w:t>https://doi.org/10.3390/agriengineering7020040</w:t>
        </w:r>
      </w:hyperlink>
    </w:p>
    <w:p w:rsidR="00054E6E" w:rsidRDefault="00054E6E" w:rsidP="00C36FAB">
      <w:pPr>
        <w:pStyle w:val="NormalWeb"/>
      </w:pPr>
      <w:r w:rsidRPr="00054E6E">
        <w:t xml:space="preserve">Shukla, P., Mehta, C. R., Agrawal, K. N., </w:t>
      </w:r>
      <w:proofErr w:type="spellStart"/>
      <w:r w:rsidRPr="00054E6E">
        <w:t>Potdar</w:t>
      </w:r>
      <w:proofErr w:type="spellEnd"/>
      <w:r w:rsidRPr="00054E6E">
        <w:t>, R. R., Kumar, M., &amp; Singh, K. (2023). Approach for ergonomic assessment of self-propelled combine harvester seats based on anthropometric body dimensions. International Journal of Occupational Safety and Ergonomics, 29(1), 282-293.</w:t>
      </w:r>
      <w:r>
        <w:t xml:space="preserve">  </w:t>
      </w:r>
      <w:hyperlink r:id="rId19" w:history="1">
        <w:r w:rsidRPr="006C38C0">
          <w:rPr>
            <w:rStyle w:val="Hyperlink"/>
          </w:rPr>
          <w:t>https://doi.org/10.1080/10803548.2022.2038460</w:t>
        </w:r>
      </w:hyperlink>
      <w:r>
        <w:t xml:space="preserve"> </w:t>
      </w:r>
    </w:p>
    <w:p w:rsidR="00C36FAB" w:rsidRDefault="00C36FAB" w:rsidP="00C36FAB">
      <w:pPr>
        <w:pStyle w:val="NormalWeb"/>
      </w:pPr>
      <w:r>
        <w:t xml:space="preserve">Singh, A., Samuel, S., Dhabi, Y. K., &amp; Singh, H. (2023). Whole-body vibration: Characterization of seat-to-head transmissibility for agricultural tractor drivers during loader operation. </w:t>
      </w:r>
      <w:r>
        <w:rPr>
          <w:rStyle w:val="Emphasis"/>
        </w:rPr>
        <w:t>Smart Agricultural Technology, 4</w:t>
      </w:r>
      <w:r>
        <w:t xml:space="preserve">, 100164. </w:t>
      </w:r>
      <w:hyperlink r:id="rId20" w:history="1">
        <w:r w:rsidR="00054E6E" w:rsidRPr="006C38C0">
          <w:rPr>
            <w:rStyle w:val="Hyperlink"/>
          </w:rPr>
          <w:t>https://doi.org/10.1016/j.atech.2022.100164</w:t>
        </w:r>
      </w:hyperlink>
      <w:r w:rsidR="00054E6E">
        <w:t xml:space="preserve"> </w:t>
      </w:r>
    </w:p>
    <w:p w:rsidR="00C36FAB" w:rsidRDefault="00C36FAB" w:rsidP="00C36FAB">
      <w:pPr>
        <w:pStyle w:val="NormalWeb"/>
      </w:pPr>
      <w:r>
        <w:t xml:space="preserve">Tang, Z., Zhang, B., Wang, M., &amp; Zhang, H. (2021). Damping </w:t>
      </w:r>
      <w:proofErr w:type="spellStart"/>
      <w:r>
        <w:t>behaviour</w:t>
      </w:r>
      <w:proofErr w:type="spellEnd"/>
      <w:r>
        <w:t xml:space="preserve"> of a prestressed composite beam designed for the thresher of a combine harvester. </w:t>
      </w:r>
      <w:r>
        <w:rPr>
          <w:rStyle w:val="Emphasis"/>
        </w:rPr>
        <w:t>Biosystems Engineering, 204</w:t>
      </w:r>
      <w:r>
        <w:t xml:space="preserve">, 130–146. </w:t>
      </w:r>
      <w:hyperlink r:id="rId21" w:history="1">
        <w:r w:rsidR="00054E6E" w:rsidRPr="006C38C0">
          <w:rPr>
            <w:rStyle w:val="Hyperlink"/>
          </w:rPr>
          <w:t>https://doi.org/10.1016/j.biosystemseng.2021.01.020</w:t>
        </w:r>
      </w:hyperlink>
      <w:r w:rsidR="00054E6E">
        <w:t xml:space="preserve"> </w:t>
      </w:r>
    </w:p>
    <w:p w:rsidR="00C36FAB" w:rsidRDefault="00C36FAB" w:rsidP="00C36FAB">
      <w:pPr>
        <w:pStyle w:val="NormalWeb"/>
      </w:pPr>
      <w:r>
        <w:t xml:space="preserve">Vitale, E., Vella, F., Matera, S., Rizzo, G. C., </w:t>
      </w:r>
      <w:proofErr w:type="spellStart"/>
      <w:r>
        <w:t>Rapisarda</w:t>
      </w:r>
      <w:proofErr w:type="spellEnd"/>
      <w:r>
        <w:t xml:space="preserve">, L., Roggio, F., </w:t>
      </w:r>
      <w:proofErr w:type="spellStart"/>
      <w:r>
        <w:t>Musumeci</w:t>
      </w:r>
      <w:proofErr w:type="spellEnd"/>
      <w:r>
        <w:t xml:space="preserve">, G., </w:t>
      </w:r>
      <w:proofErr w:type="spellStart"/>
      <w:r>
        <w:t>Rapisarda</w:t>
      </w:r>
      <w:proofErr w:type="spellEnd"/>
      <w:r>
        <w:t xml:space="preserve">, V., Romano, E., &amp; </w:t>
      </w:r>
      <w:proofErr w:type="spellStart"/>
      <w:r>
        <w:t>Filetti</w:t>
      </w:r>
      <w:proofErr w:type="spellEnd"/>
      <w:r>
        <w:t xml:space="preserve">, V. (2024). Precision agriculture: Assessment of ergonomic risks of assisted driving system. </w:t>
      </w:r>
      <w:r>
        <w:rPr>
          <w:rStyle w:val="Emphasis"/>
        </w:rPr>
        <w:t>Applied Sciences, 14</w:t>
      </w:r>
      <w:r>
        <w:t xml:space="preserve">(9), 3738. </w:t>
      </w:r>
      <w:hyperlink r:id="rId22" w:tgtFrame="_new" w:history="1">
        <w:r>
          <w:rPr>
            <w:rStyle w:val="Hyperlink"/>
          </w:rPr>
          <w:t>https://doi.org/10.3390/app14093738</w:t>
        </w:r>
      </w:hyperlink>
    </w:p>
    <w:p w:rsidR="00C36FAB" w:rsidRDefault="00C36FAB" w:rsidP="00C36FAB">
      <w:pPr>
        <w:pStyle w:val="NormalWeb"/>
      </w:pPr>
      <w:r>
        <w:t xml:space="preserve">Yao, Y., Li, X., Yang, Z., Li, L., </w:t>
      </w:r>
      <w:proofErr w:type="spellStart"/>
      <w:r>
        <w:t>Geng</w:t>
      </w:r>
      <w:proofErr w:type="spellEnd"/>
      <w:r>
        <w:t xml:space="preserve">, D., Huang, P., Li, Y., &amp; Song, Z. (2022). Vibration characteristics of corn combine harvester with the time-varying mass system under non-stationary random vibration. </w:t>
      </w:r>
      <w:r>
        <w:rPr>
          <w:rStyle w:val="Emphasis"/>
        </w:rPr>
        <w:t>Agriculture, 12</w:t>
      </w:r>
      <w:r>
        <w:t xml:space="preserve">(11), 1963. </w:t>
      </w:r>
      <w:hyperlink r:id="rId23" w:history="1">
        <w:r w:rsidR="00054E6E" w:rsidRPr="006C38C0">
          <w:rPr>
            <w:rStyle w:val="Hyperlink"/>
          </w:rPr>
          <w:t>https://doi.org/10.3390/agriculture12111963</w:t>
        </w:r>
      </w:hyperlink>
      <w:r w:rsidR="00054E6E">
        <w:t xml:space="preserve"> </w:t>
      </w:r>
    </w:p>
    <w:p w:rsidR="005F1FE6" w:rsidRPr="00C36FAB" w:rsidRDefault="00D055EE" w:rsidP="00C36FAB">
      <w:r w:rsidRPr="00C36FAB">
        <w:t xml:space="preserve"> </w:t>
      </w:r>
    </w:p>
    <w:sectPr w:rsidR="005F1FE6" w:rsidRPr="00C36FAB" w:rsidSect="00CB6EB6">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6E4" w:rsidRDefault="002E76E4" w:rsidP="00CE1266">
      <w:pPr>
        <w:spacing w:after="0" w:line="240" w:lineRule="auto"/>
      </w:pPr>
      <w:r>
        <w:separator/>
      </w:r>
    </w:p>
  </w:endnote>
  <w:endnote w:type="continuationSeparator" w:id="0">
    <w:p w:rsidR="002E76E4" w:rsidRDefault="002E76E4" w:rsidP="00CE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266" w:rsidRDefault="00CE1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266" w:rsidRDefault="00CE12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266" w:rsidRDefault="00CE1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6E4" w:rsidRDefault="002E76E4" w:rsidP="00CE1266">
      <w:pPr>
        <w:spacing w:after="0" w:line="240" w:lineRule="auto"/>
      </w:pPr>
      <w:r>
        <w:separator/>
      </w:r>
    </w:p>
  </w:footnote>
  <w:footnote w:type="continuationSeparator" w:id="0">
    <w:p w:rsidR="002E76E4" w:rsidRDefault="002E76E4" w:rsidP="00CE1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266" w:rsidRDefault="00CE12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69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266" w:rsidRDefault="00CE12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69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266" w:rsidRDefault="00CE12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69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D17F9"/>
    <w:multiLevelType w:val="multilevel"/>
    <w:tmpl w:val="0510B1A4"/>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AD1528"/>
    <w:multiLevelType w:val="hybridMultilevel"/>
    <w:tmpl w:val="B34E6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B35A22"/>
    <w:multiLevelType w:val="multilevel"/>
    <w:tmpl w:val="0510B1A4"/>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3"/>
  </w:num>
  <w:num w:numId="4">
    <w:abstractNumId w:val="6"/>
  </w:num>
  <w:num w:numId="5">
    <w:abstractNumId w:val="22"/>
  </w:num>
  <w:num w:numId="6">
    <w:abstractNumId w:val="8"/>
  </w:num>
  <w:num w:numId="7">
    <w:abstractNumId w:val="2"/>
  </w:num>
  <w:num w:numId="8">
    <w:abstractNumId w:val="35"/>
  </w:num>
  <w:num w:numId="9">
    <w:abstractNumId w:val="9"/>
  </w:num>
  <w:num w:numId="10">
    <w:abstractNumId w:val="10"/>
  </w:num>
  <w:num w:numId="11">
    <w:abstractNumId w:val="16"/>
  </w:num>
  <w:num w:numId="12">
    <w:abstractNumId w:val="15"/>
  </w:num>
  <w:num w:numId="13">
    <w:abstractNumId w:val="17"/>
  </w:num>
  <w:num w:numId="14">
    <w:abstractNumId w:val="7"/>
  </w:num>
  <w:num w:numId="15">
    <w:abstractNumId w:val="1"/>
  </w:num>
  <w:num w:numId="16">
    <w:abstractNumId w:val="20"/>
  </w:num>
  <w:num w:numId="17">
    <w:abstractNumId w:val="31"/>
  </w:num>
  <w:num w:numId="18">
    <w:abstractNumId w:val="29"/>
  </w:num>
  <w:num w:numId="19">
    <w:abstractNumId w:val="28"/>
  </w:num>
  <w:num w:numId="20">
    <w:abstractNumId w:val="13"/>
  </w:num>
  <w:num w:numId="21">
    <w:abstractNumId w:val="24"/>
  </w:num>
  <w:num w:numId="22">
    <w:abstractNumId w:val="26"/>
  </w:num>
  <w:num w:numId="23">
    <w:abstractNumId w:val="0"/>
  </w:num>
  <w:num w:numId="24">
    <w:abstractNumId w:val="34"/>
  </w:num>
  <w:num w:numId="25">
    <w:abstractNumId w:val="4"/>
  </w:num>
  <w:num w:numId="26">
    <w:abstractNumId w:val="21"/>
  </w:num>
  <w:num w:numId="27">
    <w:abstractNumId w:val="27"/>
  </w:num>
  <w:num w:numId="28">
    <w:abstractNumId w:val="25"/>
  </w:num>
  <w:num w:numId="29">
    <w:abstractNumId w:val="14"/>
  </w:num>
  <w:num w:numId="30">
    <w:abstractNumId w:val="32"/>
  </w:num>
  <w:num w:numId="31">
    <w:abstractNumId w:val="12"/>
  </w:num>
  <w:num w:numId="32">
    <w:abstractNumId w:val="30"/>
  </w:num>
  <w:num w:numId="33">
    <w:abstractNumId w:val="3"/>
  </w:num>
  <w:num w:numId="34">
    <w:abstractNumId w:val="18"/>
  </w:num>
  <w:num w:numId="35">
    <w:abstractNumId w:val="19"/>
  </w:num>
  <w:num w:numId="36">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4E6E"/>
    <w:rsid w:val="0005616C"/>
    <w:rsid w:val="0006037D"/>
    <w:rsid w:val="0006413B"/>
    <w:rsid w:val="000643E7"/>
    <w:rsid w:val="0006527C"/>
    <w:rsid w:val="000652AA"/>
    <w:rsid w:val="00086EDD"/>
    <w:rsid w:val="000A0EB4"/>
    <w:rsid w:val="000A79B2"/>
    <w:rsid w:val="000C4F0E"/>
    <w:rsid w:val="000D461E"/>
    <w:rsid w:val="000D6AAA"/>
    <w:rsid w:val="000E67D1"/>
    <w:rsid w:val="000E709D"/>
    <w:rsid w:val="000F27AA"/>
    <w:rsid w:val="00114147"/>
    <w:rsid w:val="001261CC"/>
    <w:rsid w:val="00126ADF"/>
    <w:rsid w:val="00131E50"/>
    <w:rsid w:val="00135191"/>
    <w:rsid w:val="00142919"/>
    <w:rsid w:val="001514E1"/>
    <w:rsid w:val="001560E3"/>
    <w:rsid w:val="00166050"/>
    <w:rsid w:val="00186E2A"/>
    <w:rsid w:val="0019059D"/>
    <w:rsid w:val="0019667B"/>
    <w:rsid w:val="001A165A"/>
    <w:rsid w:val="001A3703"/>
    <w:rsid w:val="001A7A4E"/>
    <w:rsid w:val="001B2FA4"/>
    <w:rsid w:val="001B5753"/>
    <w:rsid w:val="001E6EC5"/>
    <w:rsid w:val="00202F35"/>
    <w:rsid w:val="0022042D"/>
    <w:rsid w:val="002312EA"/>
    <w:rsid w:val="0024324D"/>
    <w:rsid w:val="00257AC1"/>
    <w:rsid w:val="00260455"/>
    <w:rsid w:val="00260B1D"/>
    <w:rsid w:val="00267B17"/>
    <w:rsid w:val="00271A26"/>
    <w:rsid w:val="002778DD"/>
    <w:rsid w:val="00284F1F"/>
    <w:rsid w:val="002A01F2"/>
    <w:rsid w:val="002A4C47"/>
    <w:rsid w:val="002B76E6"/>
    <w:rsid w:val="002C0DF9"/>
    <w:rsid w:val="002C48BB"/>
    <w:rsid w:val="002D6FFA"/>
    <w:rsid w:val="002E0776"/>
    <w:rsid w:val="002E76E4"/>
    <w:rsid w:val="002F0434"/>
    <w:rsid w:val="002F4C0C"/>
    <w:rsid w:val="00307595"/>
    <w:rsid w:val="0031286E"/>
    <w:rsid w:val="00332243"/>
    <w:rsid w:val="0035701C"/>
    <w:rsid w:val="003664CE"/>
    <w:rsid w:val="003740DE"/>
    <w:rsid w:val="00391BB6"/>
    <w:rsid w:val="003975AE"/>
    <w:rsid w:val="003A104D"/>
    <w:rsid w:val="003A4787"/>
    <w:rsid w:val="003B010E"/>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C1A63"/>
    <w:rsid w:val="004C6306"/>
    <w:rsid w:val="004C7547"/>
    <w:rsid w:val="004E7311"/>
    <w:rsid w:val="004F2BB5"/>
    <w:rsid w:val="004F5E1D"/>
    <w:rsid w:val="00516AA1"/>
    <w:rsid w:val="00523936"/>
    <w:rsid w:val="0052448D"/>
    <w:rsid w:val="0054487D"/>
    <w:rsid w:val="00554C7D"/>
    <w:rsid w:val="005577C6"/>
    <w:rsid w:val="0056389E"/>
    <w:rsid w:val="00564FB4"/>
    <w:rsid w:val="00571246"/>
    <w:rsid w:val="005A5DEC"/>
    <w:rsid w:val="005B22C5"/>
    <w:rsid w:val="005B4ADB"/>
    <w:rsid w:val="005D2267"/>
    <w:rsid w:val="005F1FE6"/>
    <w:rsid w:val="00605701"/>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20F41"/>
    <w:rsid w:val="00721966"/>
    <w:rsid w:val="00737A32"/>
    <w:rsid w:val="00755BDC"/>
    <w:rsid w:val="00761CB6"/>
    <w:rsid w:val="00773599"/>
    <w:rsid w:val="00774395"/>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20C75"/>
    <w:rsid w:val="0083179B"/>
    <w:rsid w:val="008374C4"/>
    <w:rsid w:val="00855A4C"/>
    <w:rsid w:val="00856AFD"/>
    <w:rsid w:val="0087023A"/>
    <w:rsid w:val="00870945"/>
    <w:rsid w:val="00876190"/>
    <w:rsid w:val="008811F8"/>
    <w:rsid w:val="00881487"/>
    <w:rsid w:val="00883166"/>
    <w:rsid w:val="008A2470"/>
    <w:rsid w:val="008A4BFC"/>
    <w:rsid w:val="008A7416"/>
    <w:rsid w:val="008E71C6"/>
    <w:rsid w:val="008F3850"/>
    <w:rsid w:val="00916DED"/>
    <w:rsid w:val="00921557"/>
    <w:rsid w:val="00925CAF"/>
    <w:rsid w:val="00935182"/>
    <w:rsid w:val="00951A3D"/>
    <w:rsid w:val="009536DC"/>
    <w:rsid w:val="009929A7"/>
    <w:rsid w:val="00992B92"/>
    <w:rsid w:val="00994A4A"/>
    <w:rsid w:val="009B3A8A"/>
    <w:rsid w:val="009B55DE"/>
    <w:rsid w:val="009D05A9"/>
    <w:rsid w:val="009D0B9D"/>
    <w:rsid w:val="009D5BA5"/>
    <w:rsid w:val="009E5244"/>
    <w:rsid w:val="009F0120"/>
    <w:rsid w:val="00A00B22"/>
    <w:rsid w:val="00A029C3"/>
    <w:rsid w:val="00A2270F"/>
    <w:rsid w:val="00A27BF4"/>
    <w:rsid w:val="00A478B2"/>
    <w:rsid w:val="00A50845"/>
    <w:rsid w:val="00A5299F"/>
    <w:rsid w:val="00A54719"/>
    <w:rsid w:val="00A57A87"/>
    <w:rsid w:val="00A62C46"/>
    <w:rsid w:val="00A7055A"/>
    <w:rsid w:val="00A8506E"/>
    <w:rsid w:val="00A97AEF"/>
    <w:rsid w:val="00AA2B64"/>
    <w:rsid w:val="00AA4644"/>
    <w:rsid w:val="00AA4B35"/>
    <w:rsid w:val="00AB0C7A"/>
    <w:rsid w:val="00AB1103"/>
    <w:rsid w:val="00AD7B8B"/>
    <w:rsid w:val="00AE651D"/>
    <w:rsid w:val="00AE79C2"/>
    <w:rsid w:val="00AF7425"/>
    <w:rsid w:val="00B06888"/>
    <w:rsid w:val="00B1065D"/>
    <w:rsid w:val="00B451DB"/>
    <w:rsid w:val="00B6043D"/>
    <w:rsid w:val="00B84C19"/>
    <w:rsid w:val="00BB0BE1"/>
    <w:rsid w:val="00BB6828"/>
    <w:rsid w:val="00BC43AE"/>
    <w:rsid w:val="00BD22E5"/>
    <w:rsid w:val="00BE2004"/>
    <w:rsid w:val="00BF0896"/>
    <w:rsid w:val="00BF26BF"/>
    <w:rsid w:val="00BF31D8"/>
    <w:rsid w:val="00BF4599"/>
    <w:rsid w:val="00C00621"/>
    <w:rsid w:val="00C033E1"/>
    <w:rsid w:val="00C04B81"/>
    <w:rsid w:val="00C077F0"/>
    <w:rsid w:val="00C100D0"/>
    <w:rsid w:val="00C1225B"/>
    <w:rsid w:val="00C13468"/>
    <w:rsid w:val="00C27740"/>
    <w:rsid w:val="00C3420C"/>
    <w:rsid w:val="00C36FAB"/>
    <w:rsid w:val="00C40318"/>
    <w:rsid w:val="00C404E0"/>
    <w:rsid w:val="00C41BA6"/>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1266"/>
    <w:rsid w:val="00CE5BFA"/>
    <w:rsid w:val="00CF3244"/>
    <w:rsid w:val="00D055EE"/>
    <w:rsid w:val="00D07932"/>
    <w:rsid w:val="00D2322A"/>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643E8"/>
    <w:rsid w:val="00E6564A"/>
    <w:rsid w:val="00E7044C"/>
    <w:rsid w:val="00E76785"/>
    <w:rsid w:val="00E93BAE"/>
    <w:rsid w:val="00E97F4E"/>
    <w:rsid w:val="00EA45FD"/>
    <w:rsid w:val="00EC266D"/>
    <w:rsid w:val="00EC4D6C"/>
    <w:rsid w:val="00EE2E7D"/>
    <w:rsid w:val="00EF4D40"/>
    <w:rsid w:val="00F13040"/>
    <w:rsid w:val="00F278AB"/>
    <w:rsid w:val="00F36C5B"/>
    <w:rsid w:val="00F43CC2"/>
    <w:rsid w:val="00F45317"/>
    <w:rsid w:val="00F4728A"/>
    <w:rsid w:val="00F6047F"/>
    <w:rsid w:val="00F754E8"/>
    <w:rsid w:val="00FA03AB"/>
    <w:rsid w:val="00FA5C8B"/>
    <w:rsid w:val="00FA7321"/>
    <w:rsid w:val="00FB6475"/>
    <w:rsid w:val="00FC1A30"/>
    <w:rsid w:val="00FC2AE5"/>
    <w:rsid w:val="00FC3FB3"/>
    <w:rsid w:val="00FD1C43"/>
    <w:rsid w:val="00FD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2AF34F8-9482-494C-9290-6133DC46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CE1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266"/>
  </w:style>
  <w:style w:type="paragraph" w:styleId="Footer">
    <w:name w:val="footer"/>
    <w:basedOn w:val="Normal"/>
    <w:link w:val="FooterChar"/>
    <w:uiPriority w:val="99"/>
    <w:unhideWhenUsed/>
    <w:rsid w:val="00CE1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1738302">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050747">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5021922">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86671252">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959560">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8835278">
      <w:bodyDiv w:val="1"/>
      <w:marLeft w:val="0"/>
      <w:marRight w:val="0"/>
      <w:marTop w:val="0"/>
      <w:marBottom w:val="0"/>
      <w:divBdr>
        <w:top w:val="none" w:sz="0" w:space="0" w:color="auto"/>
        <w:left w:val="none" w:sz="0" w:space="0" w:color="auto"/>
        <w:bottom w:val="none" w:sz="0" w:space="0" w:color="auto"/>
        <w:right w:val="none" w:sz="0" w:space="0" w:color="auto"/>
      </w:divBdr>
    </w:div>
    <w:div w:id="1555504719">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97456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3403824">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rgon.2020.103014" TargetMode="External"/><Relationship Id="rId13" Type="http://schemas.openxmlformats.org/officeDocument/2006/relationships/hyperlink" Target="https://doi.org/10.1016/j.compag.2022.107265" TargetMode="External"/><Relationship Id="rId18" Type="http://schemas.openxmlformats.org/officeDocument/2006/relationships/hyperlink" Target="https://doi.org/10.3390/agriengineering702004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j.biosystemseng.2021.01.020" TargetMode="External"/><Relationship Id="rId7" Type="http://schemas.openxmlformats.org/officeDocument/2006/relationships/endnotes" Target="endnotes.xml"/><Relationship Id="rId12" Type="http://schemas.openxmlformats.org/officeDocument/2006/relationships/hyperlink" Target="https://doi.org/10.3390/agriculture7100084" TargetMode="External"/><Relationship Id="rId17" Type="http://schemas.openxmlformats.org/officeDocument/2006/relationships/hyperlink" Target="https://doi.org/10.1016/j.apacoust.2025.11108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3390/s23031408" TargetMode="External"/><Relationship Id="rId20" Type="http://schemas.openxmlformats.org/officeDocument/2006/relationships/hyperlink" Target="https://doi.org/10.1016/j.atech.2022.10016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pp1303192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3390/su14159204" TargetMode="External"/><Relationship Id="rId23" Type="http://schemas.openxmlformats.org/officeDocument/2006/relationships/hyperlink" Target="https://doi.org/10.3390/agriculture12111963" TargetMode="External"/><Relationship Id="rId28" Type="http://schemas.openxmlformats.org/officeDocument/2006/relationships/header" Target="header3.xml"/><Relationship Id="rId10" Type="http://schemas.openxmlformats.org/officeDocument/2006/relationships/hyperlink" Target="https://doi.org/10.3390/app10103484" TargetMode="External"/><Relationship Id="rId19" Type="http://schemas.openxmlformats.org/officeDocument/2006/relationships/hyperlink" Target="https://doi.org/10.1080/10803548.2022.203846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90/agriengineering7030072" TargetMode="External"/><Relationship Id="rId14" Type="http://schemas.openxmlformats.org/officeDocument/2006/relationships/hyperlink" Target="https://doi.org/10.1371/journal.pone.0254636" TargetMode="External"/><Relationship Id="rId22" Type="http://schemas.openxmlformats.org/officeDocument/2006/relationships/hyperlink" Target="https://doi.org/10.3390/app1409373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B1F62-DC55-4BEA-A3F7-18A522F8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5486</TotalTime>
  <Pages>19</Pages>
  <Words>9588</Words>
  <Characters>54652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78</cp:revision>
  <cp:lastPrinted>2025-12-13T07:14:00Z</cp:lastPrinted>
  <dcterms:created xsi:type="dcterms:W3CDTF">2025-09-24T12:44:00Z</dcterms:created>
  <dcterms:modified xsi:type="dcterms:W3CDTF">2026-01-09T10:35:00Z</dcterms:modified>
</cp:coreProperties>
</file>