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72A2" w14:textId="2522D1DB" w:rsidR="005323D6" w:rsidRPr="005323D6" w:rsidRDefault="005323D6" w:rsidP="005323D6">
      <w:pPr>
        <w:spacing w:line="480" w:lineRule="auto"/>
        <w:rPr>
          <w:rFonts w:ascii="Arial" w:hAnsi="Arial" w:cs="Arial"/>
          <w:b/>
          <w:bCs/>
          <w:sz w:val="32"/>
          <w:szCs w:val="32"/>
          <w:u w:val="single"/>
        </w:rPr>
      </w:pPr>
      <w:r w:rsidRPr="005323D6">
        <w:rPr>
          <w:rFonts w:ascii="Arial" w:hAnsi="Arial" w:cs="Arial"/>
          <w:b/>
          <w:bCs/>
          <w:sz w:val="32"/>
          <w:szCs w:val="32"/>
          <w:u w:val="single"/>
        </w:rPr>
        <w:t>Original Research Article</w:t>
      </w:r>
    </w:p>
    <w:p w14:paraId="2F62E63D" w14:textId="5948FF2E" w:rsidR="00435684" w:rsidRDefault="00B15C2F" w:rsidP="00435684">
      <w:pPr>
        <w:spacing w:line="480" w:lineRule="auto"/>
        <w:jc w:val="center"/>
        <w:rPr>
          <w:rFonts w:ascii="Arial" w:hAnsi="Arial" w:cs="Arial"/>
          <w:b/>
          <w:bCs/>
          <w:sz w:val="32"/>
          <w:szCs w:val="32"/>
        </w:rPr>
      </w:pPr>
      <w:r w:rsidRPr="00B15C2F">
        <w:rPr>
          <w:rFonts w:ascii="Arial" w:hAnsi="Arial" w:cs="Arial"/>
          <w:b/>
          <w:bCs/>
          <w:sz w:val="32"/>
          <w:szCs w:val="32"/>
        </w:rPr>
        <w:t>COMPARATIVE EVALUATION OF BRACKET POSITIONING ACCURACY USING MBT GAUGE AND MGBP POSITIONER: A SPLIT-MOUTH CLINICAL STUDY</w:t>
      </w:r>
    </w:p>
    <w:p w14:paraId="4A420735" w14:textId="77777777" w:rsidR="005323D6" w:rsidRDefault="005323D6" w:rsidP="00435684">
      <w:pPr>
        <w:spacing w:line="480" w:lineRule="auto"/>
        <w:jc w:val="center"/>
        <w:rPr>
          <w:rFonts w:ascii="Arial" w:hAnsi="Arial" w:cs="Arial"/>
          <w:b/>
          <w:bCs/>
          <w:sz w:val="32"/>
          <w:szCs w:val="32"/>
        </w:rPr>
      </w:pPr>
    </w:p>
    <w:p w14:paraId="4BE57DDC" w14:textId="77777777" w:rsidR="005323D6" w:rsidRPr="00B15C2F" w:rsidRDefault="005323D6" w:rsidP="00435684">
      <w:pPr>
        <w:spacing w:line="480" w:lineRule="auto"/>
        <w:jc w:val="center"/>
        <w:rPr>
          <w:rFonts w:ascii="Arial" w:hAnsi="Arial" w:cs="Arial"/>
          <w:b/>
          <w:bCs/>
          <w:sz w:val="32"/>
          <w:szCs w:val="32"/>
        </w:rPr>
      </w:pPr>
      <w:bookmarkStart w:id="0" w:name="_GoBack"/>
      <w:bookmarkEnd w:id="0"/>
    </w:p>
    <w:p w14:paraId="27FDA3D3" w14:textId="06024A10" w:rsidR="00107FA9" w:rsidRPr="00B15C2F" w:rsidRDefault="00B15C2F" w:rsidP="00107FA9">
      <w:pPr>
        <w:spacing w:line="480" w:lineRule="auto"/>
        <w:rPr>
          <w:rFonts w:ascii="Arial" w:hAnsi="Arial" w:cs="Arial"/>
          <w:b/>
          <w:bCs/>
          <w:sz w:val="20"/>
          <w:szCs w:val="20"/>
        </w:rPr>
      </w:pPr>
      <w:r w:rsidRPr="00B15C2F">
        <w:rPr>
          <w:rFonts w:ascii="Arial" w:hAnsi="Arial" w:cs="Arial"/>
          <w:b/>
          <w:bCs/>
        </w:rPr>
        <w:t>ABSTRACT</w:t>
      </w:r>
    </w:p>
    <w:p w14:paraId="75936CF2" w14:textId="3DC51F7E" w:rsidR="00EA2972" w:rsidRPr="00B15C2F" w:rsidRDefault="00B606BD" w:rsidP="00EA2972">
      <w:pPr>
        <w:pStyle w:val="NormalWeb"/>
        <w:spacing w:line="480" w:lineRule="auto"/>
        <w:jc w:val="both"/>
        <w:rPr>
          <w:rFonts w:ascii="Arial" w:hAnsi="Arial" w:cs="Arial"/>
          <w:sz w:val="20"/>
          <w:szCs w:val="20"/>
        </w:rPr>
      </w:pPr>
      <w:r w:rsidRPr="00B15C2F">
        <w:rPr>
          <w:rStyle w:val="Strong"/>
          <w:rFonts w:ascii="Arial" w:hAnsi="Arial" w:cs="Arial"/>
          <w:sz w:val="20"/>
          <w:szCs w:val="20"/>
        </w:rPr>
        <w:t>Background:</w:t>
      </w:r>
      <w:r w:rsidRPr="00B15C2F">
        <w:rPr>
          <w:rFonts w:ascii="Arial" w:hAnsi="Arial" w:cs="Arial"/>
          <w:sz w:val="20"/>
          <w:szCs w:val="20"/>
        </w:rPr>
        <w:br/>
      </w:r>
      <w:r w:rsidR="00EA2972" w:rsidRPr="00B15C2F">
        <w:rPr>
          <w:rFonts w:ascii="Arial" w:hAnsi="Arial" w:cs="Arial"/>
          <w:sz w:val="20"/>
          <w:szCs w:val="20"/>
        </w:rPr>
        <w:t>Accurate bracket placement is essential for achieving optimal orthodontic treatment outcomes. Errors in vertical or axial positioning can alter torque expression, tip, and in–out relationships, thereby affecting the final occlusal result. Although several gauges assist in vertical positioning, their ability to ensure accuracy in both vertical and horizontal planes remains limited. Therefore, the present study aimed to compare the accuracy of bracket positioning between the MBT gauge and the</w:t>
      </w:r>
      <w:r w:rsidR="00112A59" w:rsidRPr="00B15C2F">
        <w:rPr>
          <w:rFonts w:ascii="Arial" w:hAnsi="Arial" w:cs="Arial"/>
          <w:sz w:val="20"/>
          <w:szCs w:val="20"/>
        </w:rPr>
        <w:t xml:space="preserve"> self-designed</w:t>
      </w:r>
      <w:r w:rsidR="00EA2972" w:rsidRPr="00B15C2F">
        <w:rPr>
          <w:rFonts w:ascii="Arial" w:hAnsi="Arial" w:cs="Arial"/>
          <w:sz w:val="20"/>
          <w:szCs w:val="20"/>
        </w:rPr>
        <w:t xml:space="preserve"> Mirror-Guided Bracket Positioner (MGBP) in maxillary anterior teeth.</w:t>
      </w:r>
    </w:p>
    <w:p w14:paraId="26392DDE" w14:textId="60C1602C" w:rsidR="00E707AA" w:rsidRPr="00B15C2F" w:rsidRDefault="00B606BD" w:rsidP="00EA2972">
      <w:pPr>
        <w:pStyle w:val="NormalWeb"/>
        <w:spacing w:line="480" w:lineRule="auto"/>
        <w:jc w:val="both"/>
        <w:rPr>
          <w:rStyle w:val="Strong"/>
          <w:rFonts w:ascii="Arial" w:hAnsi="Arial" w:cs="Arial"/>
          <w:sz w:val="20"/>
          <w:szCs w:val="20"/>
        </w:rPr>
      </w:pPr>
      <w:r w:rsidRPr="00B15C2F">
        <w:rPr>
          <w:rStyle w:val="Strong"/>
          <w:rFonts w:ascii="Arial" w:hAnsi="Arial" w:cs="Arial"/>
          <w:sz w:val="20"/>
          <w:szCs w:val="20"/>
        </w:rPr>
        <w:t xml:space="preserve">Materials and Methods: </w:t>
      </w:r>
    </w:p>
    <w:p w14:paraId="79F67D0E" w14:textId="5C033F48" w:rsidR="004E6A08" w:rsidRPr="00B15C2F" w:rsidRDefault="004E6A08" w:rsidP="00B606BD">
      <w:pPr>
        <w:pStyle w:val="NormalWeb"/>
        <w:spacing w:line="480" w:lineRule="auto"/>
        <w:jc w:val="both"/>
        <w:rPr>
          <w:rFonts w:ascii="Arial" w:hAnsi="Arial" w:cs="Arial"/>
          <w:sz w:val="20"/>
          <w:szCs w:val="20"/>
        </w:rPr>
      </w:pPr>
      <w:r w:rsidRPr="00B15C2F">
        <w:rPr>
          <w:rFonts w:ascii="Arial" w:hAnsi="Arial" w:cs="Arial"/>
          <w:sz w:val="20"/>
          <w:szCs w:val="20"/>
        </w:rPr>
        <w:t>This prospective split-mouth in vivo clinical study was conducted on 25 orthodontic patients. The maxillary arch was divided into right and left segments (central incisor to canine), with each patient serving as their own control. A balanced randomization protocol was followed, wherein in 12 patients the right side was bonded using the MBT gauge and the left side using the MGBP</w:t>
      </w:r>
      <w:r w:rsidR="00C91026" w:rsidRPr="00B15C2F">
        <w:rPr>
          <w:rFonts w:ascii="Arial" w:hAnsi="Arial" w:cs="Arial"/>
          <w:sz w:val="20"/>
          <w:szCs w:val="20"/>
        </w:rPr>
        <w:t xml:space="preserve"> positioner</w:t>
      </w:r>
      <w:r w:rsidRPr="00B15C2F">
        <w:rPr>
          <w:rFonts w:ascii="Arial" w:hAnsi="Arial" w:cs="Arial"/>
          <w:sz w:val="20"/>
          <w:szCs w:val="20"/>
        </w:rPr>
        <w:t xml:space="preserve">, while in the remaining 13 patients the allocation was reversed to minimize site bias. Bracket positioning was performed by a single operator using composite resin and LED curing. </w:t>
      </w:r>
      <w:r w:rsidRPr="00B15C2F">
        <w:rPr>
          <w:rStyle w:val="Strong"/>
          <w:rFonts w:ascii="Arial" w:hAnsi="Arial" w:cs="Arial"/>
          <w:b w:val="0"/>
          <w:bCs w:val="0"/>
          <w:sz w:val="20"/>
          <w:szCs w:val="20"/>
        </w:rPr>
        <w:t xml:space="preserve">The accuracy of bracket positioning between the two devices was assessed using a digital Vernier </w:t>
      </w:r>
      <w:proofErr w:type="spellStart"/>
      <w:r w:rsidRPr="00B15C2F">
        <w:rPr>
          <w:rStyle w:val="Strong"/>
          <w:rFonts w:ascii="Arial" w:hAnsi="Arial" w:cs="Arial"/>
          <w:b w:val="0"/>
          <w:bCs w:val="0"/>
          <w:sz w:val="20"/>
          <w:szCs w:val="20"/>
        </w:rPr>
        <w:t>caliper</w:t>
      </w:r>
      <w:proofErr w:type="spellEnd"/>
      <w:r w:rsidRPr="00B15C2F">
        <w:rPr>
          <w:rFonts w:ascii="Arial" w:hAnsi="Arial" w:cs="Arial"/>
          <w:b/>
          <w:bCs/>
          <w:sz w:val="20"/>
          <w:szCs w:val="20"/>
        </w:rPr>
        <w:t>,</w:t>
      </w:r>
      <w:r w:rsidRPr="00B15C2F">
        <w:rPr>
          <w:rFonts w:ascii="Arial" w:hAnsi="Arial" w:cs="Arial"/>
          <w:sz w:val="20"/>
          <w:szCs w:val="20"/>
        </w:rPr>
        <w:t xml:space="preserve"> by measuring </w:t>
      </w:r>
      <w:r w:rsidRPr="00B15C2F">
        <w:rPr>
          <w:rFonts w:ascii="Arial" w:hAnsi="Arial" w:cs="Arial"/>
          <w:sz w:val="20"/>
          <w:szCs w:val="20"/>
        </w:rPr>
        <w:lastRenderedPageBreak/>
        <w:t xml:space="preserve">distances from the bracket scribe line to mesial, distal, incisal, and gingival reference points. Data were </w:t>
      </w:r>
      <w:proofErr w:type="spellStart"/>
      <w:r w:rsidRPr="00B15C2F">
        <w:rPr>
          <w:rFonts w:ascii="Arial" w:hAnsi="Arial" w:cs="Arial"/>
          <w:sz w:val="20"/>
          <w:szCs w:val="20"/>
        </w:rPr>
        <w:t>analyzed</w:t>
      </w:r>
      <w:proofErr w:type="spellEnd"/>
      <w:r w:rsidRPr="00B15C2F">
        <w:rPr>
          <w:rFonts w:ascii="Arial" w:hAnsi="Arial" w:cs="Arial"/>
          <w:sz w:val="20"/>
          <w:szCs w:val="20"/>
        </w:rPr>
        <w:t xml:space="preserve"> using appropriate paired statistical tests, with </w:t>
      </w:r>
      <w:r w:rsidR="00C91026" w:rsidRPr="00B15C2F">
        <w:rPr>
          <w:rFonts w:ascii="Arial" w:hAnsi="Arial" w:cs="Arial"/>
          <w:sz w:val="20"/>
          <w:szCs w:val="20"/>
        </w:rPr>
        <w:t>P</w:t>
      </w:r>
      <w:r w:rsidRPr="00B15C2F">
        <w:rPr>
          <w:rFonts w:ascii="Arial" w:hAnsi="Arial" w:cs="Arial"/>
          <w:sz w:val="20"/>
          <w:szCs w:val="20"/>
        </w:rPr>
        <w:t xml:space="preserve"> &lt; 0.05 considered statistically significant.</w:t>
      </w:r>
    </w:p>
    <w:p w14:paraId="0B4CA800" w14:textId="601AA9F1" w:rsidR="00B606BD" w:rsidRPr="00C86A5E" w:rsidRDefault="00B606BD" w:rsidP="00B606BD">
      <w:pPr>
        <w:pStyle w:val="NormalWeb"/>
        <w:spacing w:line="480" w:lineRule="auto"/>
        <w:jc w:val="both"/>
      </w:pPr>
      <w:r w:rsidRPr="00B15C2F">
        <w:rPr>
          <w:rStyle w:val="Strong"/>
          <w:rFonts w:ascii="Arial" w:hAnsi="Arial" w:cs="Arial"/>
          <w:sz w:val="20"/>
          <w:szCs w:val="20"/>
        </w:rPr>
        <w:t>Results:</w:t>
      </w:r>
      <w:r w:rsidRPr="00C86A5E">
        <w:br/>
      </w:r>
      <w:r w:rsidRPr="00B15C2F">
        <w:rPr>
          <w:rFonts w:ascii="Arial" w:hAnsi="Arial" w:cs="Arial"/>
          <w:sz w:val="20"/>
          <w:szCs w:val="20"/>
        </w:rPr>
        <w:t>The MGBP group demonstrated higher mean surface scores across all tooth surfaces compared to the MBT group. Statistically significant differences were observed in the mesial and occlusal surfaces of central incisors, the gingival surface of lateral incisors, and the mesial, distal, and occlusal surfaces of canines, indicating superior bracket positioning accuracy with the MGBP technique.</w:t>
      </w:r>
    </w:p>
    <w:p w14:paraId="16D5C6F1" w14:textId="77777777" w:rsidR="00B606BD" w:rsidRPr="00B15C2F" w:rsidRDefault="00B606BD" w:rsidP="00B606BD">
      <w:pPr>
        <w:pStyle w:val="NormalWeb"/>
        <w:spacing w:line="480" w:lineRule="auto"/>
        <w:jc w:val="both"/>
        <w:rPr>
          <w:rFonts w:ascii="Arial" w:hAnsi="Arial" w:cs="Arial"/>
          <w:sz w:val="20"/>
          <w:szCs w:val="20"/>
        </w:rPr>
      </w:pPr>
      <w:r w:rsidRPr="00B15C2F">
        <w:rPr>
          <w:rStyle w:val="Strong"/>
          <w:rFonts w:ascii="Arial" w:hAnsi="Arial" w:cs="Arial"/>
          <w:sz w:val="20"/>
          <w:szCs w:val="20"/>
        </w:rPr>
        <w:t>Conclusion:</w:t>
      </w:r>
      <w:r w:rsidRPr="00B15C2F">
        <w:rPr>
          <w:rFonts w:ascii="Arial" w:hAnsi="Arial" w:cs="Arial"/>
          <w:sz w:val="20"/>
          <w:szCs w:val="20"/>
        </w:rPr>
        <w:br/>
        <w:t xml:space="preserve">The MGBP technique demonstrated enhanced accuracy and more </w:t>
      </w:r>
      <w:proofErr w:type="spellStart"/>
      <w:r w:rsidRPr="00B15C2F">
        <w:rPr>
          <w:rFonts w:ascii="Arial" w:hAnsi="Arial" w:cs="Arial"/>
          <w:sz w:val="20"/>
          <w:szCs w:val="20"/>
        </w:rPr>
        <w:t>favorable</w:t>
      </w:r>
      <w:proofErr w:type="spellEnd"/>
      <w:r w:rsidRPr="00B15C2F">
        <w:rPr>
          <w:rFonts w:ascii="Arial" w:hAnsi="Arial" w:cs="Arial"/>
          <w:sz w:val="20"/>
          <w:szCs w:val="20"/>
        </w:rPr>
        <w:t xml:space="preserve"> surface outcomes compared to the conventional MBT gauge. Its dual-arm design improves visualization, reduces parallax error, and facilitates precise bracket placement, making it an efficient and reliable alternative for clinical use.</w:t>
      </w:r>
    </w:p>
    <w:p w14:paraId="2B18272C" w14:textId="77777777" w:rsidR="004E0886" w:rsidRPr="00C86A5E" w:rsidRDefault="00435684" w:rsidP="00435684">
      <w:pPr>
        <w:pStyle w:val="NormalWeb"/>
        <w:spacing w:line="480" w:lineRule="auto"/>
        <w:jc w:val="both"/>
      </w:pPr>
      <w:r w:rsidRPr="00B15C2F">
        <w:rPr>
          <w:rStyle w:val="Strong"/>
          <w:rFonts w:ascii="Arial" w:hAnsi="Arial" w:cs="Arial"/>
          <w:sz w:val="20"/>
          <w:szCs w:val="20"/>
        </w:rPr>
        <w:t>Keywords:</w:t>
      </w:r>
      <w:r w:rsidRPr="00C86A5E">
        <w:br/>
      </w:r>
      <w:r w:rsidR="004E0886" w:rsidRPr="00B15C2F">
        <w:rPr>
          <w:rFonts w:ascii="Arial" w:hAnsi="Arial" w:cs="Arial"/>
          <w:i/>
          <w:iCs/>
          <w:sz w:val="20"/>
          <w:szCs w:val="20"/>
        </w:rPr>
        <w:t>Bracket positioning, MBT gauge, Mirror-guided bracket positioner, Orthodontic accuracy, Split-mouth study</w:t>
      </w:r>
    </w:p>
    <w:p w14:paraId="2AA2F0F1" w14:textId="3C30C648" w:rsidR="004E0886" w:rsidRPr="008A0A90" w:rsidRDefault="008A0A90" w:rsidP="004E0886">
      <w:pPr>
        <w:pStyle w:val="NormalWeb"/>
        <w:spacing w:line="480" w:lineRule="auto"/>
        <w:jc w:val="both"/>
        <w:rPr>
          <w:rFonts w:ascii="Arial" w:hAnsi="Arial" w:cs="Arial"/>
          <w:b/>
          <w:bCs/>
          <w:sz w:val="22"/>
          <w:szCs w:val="22"/>
        </w:rPr>
      </w:pPr>
      <w:r w:rsidRPr="008A0A90">
        <w:rPr>
          <w:rFonts w:ascii="Arial" w:hAnsi="Arial" w:cs="Arial"/>
          <w:b/>
          <w:bCs/>
          <w:sz w:val="22"/>
          <w:szCs w:val="22"/>
        </w:rPr>
        <w:t>1. INTRODUCTION</w:t>
      </w:r>
    </w:p>
    <w:p w14:paraId="2C97743B" w14:textId="2914B3E6" w:rsidR="00C91026" w:rsidRPr="008A0A90" w:rsidRDefault="00D216E2" w:rsidP="00990257">
      <w:pPr>
        <w:spacing w:line="480" w:lineRule="auto"/>
        <w:jc w:val="both"/>
        <w:rPr>
          <w:rFonts w:ascii="Arial" w:hAnsi="Arial" w:cs="Arial"/>
          <w:sz w:val="20"/>
          <w:szCs w:val="20"/>
        </w:rPr>
      </w:pPr>
      <w:r w:rsidRPr="008A0A90">
        <w:rPr>
          <w:rFonts w:ascii="Arial" w:hAnsi="Arial" w:cs="Arial"/>
          <w:sz w:val="20"/>
          <w:szCs w:val="20"/>
        </w:rPr>
        <w:t>Precision in bracket placement is a critical determinant of successful orthodontic treatment, as inaccuracies in initial positioning can lead to improper torque expression, tip discrepancies, and in–out errors that may persist throughout treatment and compromise final occlusal outcomes</w:t>
      </w:r>
      <w:r w:rsidR="008A0A90" w:rsidRPr="008A0A90">
        <w:rPr>
          <w:rFonts w:ascii="Arial" w:hAnsi="Arial" w:cs="Arial"/>
          <w:sz w:val="20"/>
          <w:szCs w:val="20"/>
        </w:rPr>
        <w:t xml:space="preserve"> (Rathor et al., 2024; </w:t>
      </w:r>
      <w:proofErr w:type="spellStart"/>
      <w:r w:rsidR="008A0A90" w:rsidRPr="008A0A90">
        <w:rPr>
          <w:rFonts w:ascii="Arial" w:hAnsi="Arial" w:cs="Arial"/>
          <w:sz w:val="20"/>
          <w:szCs w:val="20"/>
        </w:rPr>
        <w:t>Shenoi</w:t>
      </w:r>
      <w:proofErr w:type="spellEnd"/>
      <w:r w:rsidR="008A0A90" w:rsidRPr="008A0A90">
        <w:rPr>
          <w:rFonts w:ascii="Arial" w:hAnsi="Arial" w:cs="Arial"/>
          <w:sz w:val="20"/>
          <w:szCs w:val="20"/>
        </w:rPr>
        <w:t xml:space="preserve"> et al</w:t>
      </w:r>
      <w:r w:rsidRPr="008A0A90">
        <w:rPr>
          <w:rFonts w:ascii="Arial" w:hAnsi="Arial" w:cs="Arial"/>
          <w:sz w:val="20"/>
          <w:szCs w:val="20"/>
        </w:rPr>
        <w:t>.</w:t>
      </w:r>
      <w:r w:rsidR="008A0A90" w:rsidRPr="008A0A90">
        <w:rPr>
          <w:rFonts w:ascii="Arial" w:hAnsi="Arial" w:cs="Arial"/>
          <w:sz w:val="20"/>
          <w:szCs w:val="20"/>
        </w:rPr>
        <w:t>, 2021).</w:t>
      </w:r>
      <w:r w:rsidRPr="008A0A90">
        <w:rPr>
          <w:rFonts w:ascii="Arial" w:hAnsi="Arial" w:cs="Arial"/>
          <w:sz w:val="20"/>
          <w:szCs w:val="20"/>
        </w:rPr>
        <w:t xml:space="preserve"> Accurate vertical and axial positioning of brackets is therefore essential for optimal expression of built-in appliance prescriptions </w:t>
      </w:r>
      <w:r w:rsidR="008A0A90" w:rsidRPr="008A0A90">
        <w:rPr>
          <w:rFonts w:ascii="Arial" w:hAnsi="Arial" w:cs="Arial"/>
          <w:sz w:val="20"/>
          <w:szCs w:val="20"/>
        </w:rPr>
        <w:t>(Gaur et al., 2020)</w:t>
      </w:r>
      <w:r w:rsidRPr="008A0A90">
        <w:rPr>
          <w:rFonts w:ascii="Arial" w:hAnsi="Arial" w:cs="Arial"/>
          <w:sz w:val="20"/>
          <w:szCs w:val="20"/>
        </w:rPr>
        <w:t xml:space="preserve">. </w:t>
      </w:r>
      <w:r w:rsidR="00775F7B" w:rsidRPr="008A0A90">
        <w:rPr>
          <w:rFonts w:ascii="Arial" w:hAnsi="Arial" w:cs="Arial"/>
          <w:sz w:val="20"/>
          <w:szCs w:val="20"/>
        </w:rPr>
        <w:t xml:space="preserve">MBT gauge is </w:t>
      </w:r>
      <w:r w:rsidRPr="008A0A90">
        <w:rPr>
          <w:rFonts w:ascii="Arial" w:hAnsi="Arial" w:cs="Arial"/>
          <w:sz w:val="20"/>
          <w:szCs w:val="20"/>
        </w:rPr>
        <w:t xml:space="preserve">primarily designed to aid vertical placement; however, they provide limited control over horizontal and axial accuracy, which may result in positioning errors </w:t>
      </w:r>
      <w:r w:rsidR="008A0A90" w:rsidRPr="008A0A90">
        <w:rPr>
          <w:rFonts w:ascii="Arial" w:hAnsi="Arial" w:cs="Arial"/>
          <w:sz w:val="20"/>
          <w:szCs w:val="20"/>
        </w:rPr>
        <w:t>(Mohammadi et al., 2011; Bhide et al., 2019)</w:t>
      </w:r>
      <w:r w:rsidRPr="008A0A90">
        <w:rPr>
          <w:rFonts w:ascii="Arial" w:hAnsi="Arial" w:cs="Arial"/>
          <w:sz w:val="20"/>
          <w:szCs w:val="20"/>
        </w:rPr>
        <w:t xml:space="preserve">. Several modified gauges and positioning instruments have been introduced to improve placement accuracy, yet an instrument that consistently ensures precision in both planes remains lacking </w:t>
      </w:r>
      <w:r w:rsidR="008A0A90" w:rsidRPr="008A0A90">
        <w:rPr>
          <w:rFonts w:ascii="Arial" w:hAnsi="Arial" w:cs="Arial"/>
          <w:sz w:val="20"/>
          <w:szCs w:val="20"/>
        </w:rPr>
        <w:t>(</w:t>
      </w:r>
      <w:proofErr w:type="spellStart"/>
      <w:r w:rsidR="008A0A90" w:rsidRPr="008A0A90">
        <w:rPr>
          <w:rFonts w:ascii="Arial" w:hAnsi="Arial" w:cs="Arial"/>
          <w:sz w:val="20"/>
          <w:szCs w:val="20"/>
        </w:rPr>
        <w:t>Raghuraj</w:t>
      </w:r>
      <w:proofErr w:type="spellEnd"/>
      <w:r w:rsidR="008A0A90" w:rsidRPr="008A0A90">
        <w:rPr>
          <w:rFonts w:ascii="Arial" w:hAnsi="Arial" w:cs="Arial"/>
          <w:sz w:val="20"/>
          <w:szCs w:val="20"/>
        </w:rPr>
        <w:t xml:space="preserve"> et al., 2011; </w:t>
      </w:r>
      <w:proofErr w:type="spellStart"/>
      <w:r w:rsidR="008A0A90" w:rsidRPr="008A0A90">
        <w:rPr>
          <w:rFonts w:ascii="Arial" w:hAnsi="Arial" w:cs="Arial"/>
          <w:sz w:val="20"/>
          <w:szCs w:val="20"/>
        </w:rPr>
        <w:t>Hattarki</w:t>
      </w:r>
      <w:proofErr w:type="spellEnd"/>
      <w:r w:rsidR="008A0A90" w:rsidRPr="008A0A90">
        <w:rPr>
          <w:rFonts w:ascii="Arial" w:hAnsi="Arial" w:cs="Arial"/>
          <w:sz w:val="20"/>
          <w:szCs w:val="20"/>
        </w:rPr>
        <w:t xml:space="preserve"> RS, </w:t>
      </w:r>
      <w:proofErr w:type="spellStart"/>
      <w:r w:rsidR="008A0A90" w:rsidRPr="008A0A90">
        <w:rPr>
          <w:rFonts w:ascii="Arial" w:hAnsi="Arial" w:cs="Arial"/>
          <w:sz w:val="20"/>
          <w:szCs w:val="20"/>
        </w:rPr>
        <w:t>Malag</w:t>
      </w:r>
      <w:proofErr w:type="spellEnd"/>
      <w:r w:rsidR="008A0A90" w:rsidRPr="008A0A90">
        <w:rPr>
          <w:rFonts w:ascii="Arial" w:hAnsi="Arial" w:cs="Arial"/>
          <w:sz w:val="20"/>
          <w:szCs w:val="20"/>
        </w:rPr>
        <w:t xml:space="preserve"> S, 2011; Sharma et al., 2011)</w:t>
      </w:r>
      <w:r w:rsidRPr="008A0A90">
        <w:rPr>
          <w:rFonts w:ascii="Arial" w:hAnsi="Arial" w:cs="Arial"/>
          <w:sz w:val="20"/>
          <w:szCs w:val="20"/>
        </w:rPr>
        <w:t xml:space="preserve">. </w:t>
      </w:r>
    </w:p>
    <w:p w14:paraId="762F5C0A" w14:textId="48BBCC72" w:rsidR="005F5538" w:rsidRPr="008A0A90" w:rsidRDefault="00E97FD9" w:rsidP="005F5538">
      <w:pPr>
        <w:pStyle w:val="NormalWeb"/>
        <w:spacing w:line="480" w:lineRule="auto"/>
        <w:jc w:val="both"/>
        <w:rPr>
          <w:rFonts w:ascii="Arial" w:hAnsi="Arial" w:cs="Arial"/>
          <w:sz w:val="20"/>
          <w:szCs w:val="20"/>
        </w:rPr>
      </w:pPr>
      <w:r w:rsidRPr="008A0A90">
        <w:rPr>
          <w:rFonts w:ascii="Arial" w:hAnsi="Arial" w:cs="Arial"/>
          <w:sz w:val="20"/>
          <w:szCs w:val="20"/>
        </w:rPr>
        <w:lastRenderedPageBreak/>
        <w:t xml:space="preserve">A custom-made </w:t>
      </w:r>
      <w:r w:rsidRPr="008A0A90">
        <w:rPr>
          <w:rStyle w:val="Strong"/>
          <w:rFonts w:ascii="Arial" w:hAnsi="Arial" w:cs="Arial"/>
          <w:b w:val="0"/>
          <w:bCs w:val="0"/>
          <w:sz w:val="20"/>
          <w:szCs w:val="20"/>
        </w:rPr>
        <w:t xml:space="preserve">MGBP </w:t>
      </w:r>
      <w:r w:rsidR="00C91026" w:rsidRPr="008A0A90">
        <w:rPr>
          <w:rStyle w:val="Strong"/>
          <w:rFonts w:ascii="Arial" w:hAnsi="Arial" w:cs="Arial"/>
          <w:b w:val="0"/>
          <w:bCs w:val="0"/>
          <w:sz w:val="20"/>
          <w:szCs w:val="20"/>
        </w:rPr>
        <w:t xml:space="preserve">positioner </w:t>
      </w:r>
      <w:r w:rsidRPr="008A0A90">
        <w:rPr>
          <w:rFonts w:ascii="Arial" w:hAnsi="Arial" w:cs="Arial"/>
          <w:sz w:val="20"/>
          <w:szCs w:val="20"/>
        </w:rPr>
        <w:t xml:space="preserve">was developed by modifying a William’s periodontal probe. In this modification, a dental mouth mirror was soldered to the probe at a right angle to facilitate improved visualization of the tooth surface during bracket bonding. Additionally, a 0.017 × 0.025-inch stainless steel wire measuring approximately 8 mm in length was welded 6 mm from the probe tip to minimize errors in horizontal bracket positioning. </w:t>
      </w:r>
      <w:r w:rsidR="00D216E2" w:rsidRPr="008A0A90">
        <w:rPr>
          <w:rFonts w:ascii="Arial" w:hAnsi="Arial" w:cs="Arial"/>
          <w:sz w:val="20"/>
          <w:szCs w:val="20"/>
        </w:rPr>
        <w:t xml:space="preserve">The present study aimed to evaluate and compare the accuracy of bracket positioning using the MBT gauge and the </w:t>
      </w:r>
      <w:r w:rsidR="00775F7B" w:rsidRPr="008A0A90">
        <w:rPr>
          <w:rFonts w:ascii="Arial" w:hAnsi="Arial" w:cs="Arial"/>
          <w:sz w:val="20"/>
          <w:szCs w:val="20"/>
        </w:rPr>
        <w:t>MGBP</w:t>
      </w:r>
      <w:r w:rsidR="005F5538" w:rsidRPr="008A0A90">
        <w:rPr>
          <w:rFonts w:ascii="Arial" w:hAnsi="Arial" w:cs="Arial"/>
          <w:sz w:val="20"/>
          <w:szCs w:val="20"/>
        </w:rPr>
        <w:t xml:space="preserve"> positioner</w:t>
      </w:r>
      <w:r w:rsidR="00775F7B" w:rsidRPr="008A0A90">
        <w:rPr>
          <w:rFonts w:ascii="Arial" w:hAnsi="Arial" w:cs="Arial"/>
          <w:sz w:val="22"/>
          <w:szCs w:val="22"/>
        </w:rPr>
        <w:t xml:space="preserve"> </w:t>
      </w:r>
      <w:r w:rsidR="00D216E2" w:rsidRPr="008A0A90">
        <w:rPr>
          <w:rFonts w:ascii="Arial" w:hAnsi="Arial" w:cs="Arial"/>
          <w:sz w:val="20"/>
          <w:szCs w:val="20"/>
        </w:rPr>
        <w:t>in maxillary anterior teeth.</w:t>
      </w:r>
      <w:r w:rsidR="005F5538" w:rsidRPr="008A0A90">
        <w:rPr>
          <w:rFonts w:ascii="Arial" w:hAnsi="Arial" w:cs="Arial"/>
          <w:sz w:val="20"/>
          <w:szCs w:val="20"/>
        </w:rPr>
        <w:t xml:space="preserve"> </w:t>
      </w:r>
      <w:r w:rsidR="005F5538" w:rsidRPr="008A0A90">
        <w:rPr>
          <w:rStyle w:val="Strong"/>
          <w:rFonts w:ascii="Arial" w:hAnsi="Arial" w:cs="Arial"/>
          <w:b w:val="0"/>
          <w:bCs w:val="0"/>
          <w:sz w:val="20"/>
          <w:szCs w:val="20"/>
        </w:rPr>
        <w:t xml:space="preserve">The null hypothesis of the study was that there would be no statistically significant difference in the accuracy of bracket positioning between the MBT gauge and the MGBP </w:t>
      </w:r>
      <w:r w:rsidR="005F5538" w:rsidRPr="008A0A90">
        <w:rPr>
          <w:rFonts w:ascii="Arial" w:hAnsi="Arial" w:cs="Arial"/>
          <w:sz w:val="20"/>
          <w:szCs w:val="20"/>
        </w:rPr>
        <w:t>positioner</w:t>
      </w:r>
      <w:r w:rsidR="005F5538" w:rsidRPr="008A0A90">
        <w:rPr>
          <w:rStyle w:val="Strong"/>
          <w:rFonts w:ascii="Arial" w:hAnsi="Arial" w:cs="Arial"/>
          <w:b w:val="0"/>
          <w:bCs w:val="0"/>
          <w:sz w:val="20"/>
          <w:szCs w:val="20"/>
        </w:rPr>
        <w:t>.</w:t>
      </w:r>
    </w:p>
    <w:p w14:paraId="43C7F83B" w14:textId="7A7298E1" w:rsidR="00334801" w:rsidRPr="008A0A90" w:rsidRDefault="008A0A90" w:rsidP="00990257">
      <w:pPr>
        <w:spacing w:line="480" w:lineRule="auto"/>
        <w:jc w:val="both"/>
        <w:rPr>
          <w:rFonts w:ascii="Arial" w:hAnsi="Arial" w:cs="Arial"/>
          <w:b/>
          <w:bCs/>
          <w:sz w:val="28"/>
          <w:szCs w:val="28"/>
        </w:rPr>
      </w:pPr>
      <w:r>
        <w:rPr>
          <w:rFonts w:ascii="Arial" w:hAnsi="Arial" w:cs="Arial"/>
          <w:b/>
          <w:bCs/>
        </w:rPr>
        <w:t xml:space="preserve">2. </w:t>
      </w:r>
      <w:r w:rsidRPr="008A0A90">
        <w:rPr>
          <w:rFonts w:ascii="Arial" w:hAnsi="Arial" w:cs="Arial"/>
          <w:b/>
          <w:bCs/>
        </w:rPr>
        <w:t>MATERIALS AND METHODS:</w:t>
      </w:r>
    </w:p>
    <w:p w14:paraId="20AA7D67" w14:textId="2410EB33" w:rsidR="004E6A08" w:rsidRPr="008A0A90" w:rsidRDefault="004E6A08" w:rsidP="004E6A08">
      <w:pPr>
        <w:pStyle w:val="NormalWeb"/>
        <w:spacing w:line="480" w:lineRule="auto"/>
        <w:jc w:val="both"/>
        <w:rPr>
          <w:rFonts w:ascii="Arial" w:hAnsi="Arial" w:cs="Arial"/>
          <w:sz w:val="20"/>
          <w:szCs w:val="20"/>
        </w:rPr>
      </w:pPr>
      <w:r w:rsidRPr="008A0A90">
        <w:rPr>
          <w:rFonts w:ascii="Arial" w:hAnsi="Arial" w:cs="Arial"/>
          <w:sz w:val="20"/>
          <w:szCs w:val="20"/>
        </w:rPr>
        <w:t xml:space="preserve">This prospective split-mouth in vivo clinical study was conducted in the Department of Orthodontics and Dentofacial </w:t>
      </w:r>
      <w:proofErr w:type="spellStart"/>
      <w:r w:rsidRPr="008A0A90">
        <w:rPr>
          <w:rFonts w:ascii="Arial" w:hAnsi="Arial" w:cs="Arial"/>
          <w:sz w:val="20"/>
          <w:szCs w:val="20"/>
        </w:rPr>
        <w:t>Orthopedics</w:t>
      </w:r>
      <w:proofErr w:type="spellEnd"/>
      <w:r w:rsidRPr="008A0A90">
        <w:rPr>
          <w:rFonts w:ascii="Arial" w:hAnsi="Arial" w:cs="Arial"/>
          <w:sz w:val="20"/>
          <w:szCs w:val="20"/>
        </w:rPr>
        <w:t xml:space="preserve">, Chhattisgarh Dental College and Research Institute, </w:t>
      </w:r>
      <w:proofErr w:type="spellStart"/>
      <w:r w:rsidRPr="008A0A90">
        <w:rPr>
          <w:rFonts w:ascii="Arial" w:hAnsi="Arial" w:cs="Arial"/>
          <w:sz w:val="20"/>
          <w:szCs w:val="20"/>
        </w:rPr>
        <w:t>Rajnandgaon</w:t>
      </w:r>
      <w:proofErr w:type="spellEnd"/>
      <w:r w:rsidRPr="008A0A90">
        <w:rPr>
          <w:rFonts w:ascii="Arial" w:hAnsi="Arial" w:cs="Arial"/>
          <w:sz w:val="20"/>
          <w:szCs w:val="20"/>
        </w:rPr>
        <w:t>, Chhattisgarh, after obtaining approval from the Institutional Ethics Committee (Approval No: CDCRI/DEAN/ETHICSCOMMITTEE/ORTHO-01/2024). Written informed consent was obtained from all participants prior to enrollment. A total of 25 patients requiring fixed orthodontic treatment and fulfilling the inclusion criteria were selected using a convenient sampling technique. Patients with normal tooth size and morphology were included in the study. Patients with a history of previous orthodontic treatment, tooth wear (attrition, abrasion, or abfraction), fractured incisal edges, or developmental dental anomalies were excluded.</w:t>
      </w:r>
    </w:p>
    <w:p w14:paraId="48798491" w14:textId="49868F49" w:rsidR="004E6A08" w:rsidRPr="008A0A90" w:rsidRDefault="004E6A08" w:rsidP="004E6A08">
      <w:pPr>
        <w:pStyle w:val="NormalWeb"/>
        <w:spacing w:line="480" w:lineRule="auto"/>
        <w:jc w:val="both"/>
        <w:rPr>
          <w:rFonts w:ascii="Arial" w:hAnsi="Arial" w:cs="Arial"/>
          <w:sz w:val="20"/>
          <w:szCs w:val="20"/>
        </w:rPr>
      </w:pPr>
      <w:r w:rsidRPr="008A0A90">
        <w:rPr>
          <w:rFonts w:ascii="Arial" w:hAnsi="Arial" w:cs="Arial"/>
          <w:sz w:val="20"/>
          <w:szCs w:val="20"/>
        </w:rPr>
        <w:t>The maxillary arch was divided into right and left segments from the central incisor to canine. To ensure methodological standardization and to minimize site-related bias, a balanced randomization protocol was employed. In 12 patients, the right maxillary anterior segment was bonded using the MBT gauge and the left side using the MGBP</w:t>
      </w:r>
      <w:r w:rsidR="004A0949" w:rsidRPr="008A0A90">
        <w:rPr>
          <w:rFonts w:ascii="Arial" w:hAnsi="Arial" w:cs="Arial"/>
          <w:sz w:val="20"/>
          <w:szCs w:val="20"/>
        </w:rPr>
        <w:t xml:space="preserve"> positioner</w:t>
      </w:r>
      <w:r w:rsidRPr="008A0A90">
        <w:rPr>
          <w:rFonts w:ascii="Arial" w:hAnsi="Arial" w:cs="Arial"/>
          <w:sz w:val="20"/>
          <w:szCs w:val="20"/>
        </w:rPr>
        <w:t>, whereas in the remaining 13 patients, the allocation was reversed, with the right side bonded using the MGBP</w:t>
      </w:r>
      <w:r w:rsidR="004A0949" w:rsidRPr="008A0A90">
        <w:rPr>
          <w:rFonts w:ascii="Arial" w:hAnsi="Arial" w:cs="Arial"/>
          <w:sz w:val="20"/>
          <w:szCs w:val="20"/>
        </w:rPr>
        <w:t xml:space="preserve"> positioner</w:t>
      </w:r>
      <w:r w:rsidRPr="008A0A90">
        <w:rPr>
          <w:rFonts w:ascii="Arial" w:hAnsi="Arial" w:cs="Arial"/>
          <w:sz w:val="20"/>
          <w:szCs w:val="20"/>
        </w:rPr>
        <w:t xml:space="preserve"> and the left side using the MBT gauge. This near-equal distribution ensured that both techniques were applied on both sides of the arch, thereby reducing the influence of operator handedness, visual accessibility, and side preference.</w:t>
      </w:r>
    </w:p>
    <w:p w14:paraId="74C5037F" w14:textId="45AC270E" w:rsidR="000D06A1" w:rsidRPr="008A0A90" w:rsidRDefault="008A0A90" w:rsidP="000D06A1">
      <w:pPr>
        <w:pStyle w:val="Heading3"/>
        <w:spacing w:line="480" w:lineRule="auto"/>
        <w:jc w:val="both"/>
        <w:rPr>
          <w:rFonts w:ascii="Arial" w:hAnsi="Arial" w:cs="Arial"/>
          <w:sz w:val="22"/>
          <w:szCs w:val="22"/>
        </w:rPr>
      </w:pPr>
      <w:r w:rsidRPr="008A0A90">
        <w:rPr>
          <w:rFonts w:ascii="Arial" w:hAnsi="Arial" w:cs="Arial"/>
          <w:sz w:val="22"/>
          <w:szCs w:val="22"/>
        </w:rPr>
        <w:t xml:space="preserve">2.1 </w:t>
      </w:r>
      <w:r w:rsidR="000D06A1" w:rsidRPr="008A0A90">
        <w:rPr>
          <w:rFonts w:ascii="Arial" w:hAnsi="Arial" w:cs="Arial"/>
          <w:sz w:val="22"/>
          <w:szCs w:val="22"/>
        </w:rPr>
        <w:t xml:space="preserve">Sample Size </w:t>
      </w:r>
      <w:r w:rsidR="004E6A08" w:rsidRPr="008A0A90">
        <w:rPr>
          <w:rFonts w:ascii="Arial" w:hAnsi="Arial" w:cs="Arial"/>
          <w:sz w:val="22"/>
          <w:szCs w:val="22"/>
        </w:rPr>
        <w:t>Calculation</w:t>
      </w:r>
    </w:p>
    <w:p w14:paraId="484BEF9E" w14:textId="17057571" w:rsidR="00DE17CC" w:rsidRDefault="00DE17CC" w:rsidP="000D06A1">
      <w:pPr>
        <w:pStyle w:val="NormalWeb"/>
        <w:spacing w:line="480" w:lineRule="auto"/>
        <w:jc w:val="both"/>
        <w:rPr>
          <w:rFonts w:ascii="Arial" w:hAnsi="Arial" w:cs="Arial"/>
          <w:sz w:val="20"/>
          <w:szCs w:val="20"/>
        </w:rPr>
      </w:pPr>
      <w:r w:rsidRPr="008A0A90">
        <w:rPr>
          <w:rFonts w:ascii="Arial" w:hAnsi="Arial" w:cs="Arial"/>
          <w:sz w:val="20"/>
          <w:szCs w:val="20"/>
        </w:rPr>
        <w:lastRenderedPageBreak/>
        <w:t>The sample size was calculated using G*Power software version 3.0.1. An a priori power analysis was performed based on comparison of two related means (paired design), considering the split-mouth nature of the study. The level of significance (α) was set at 5% (0.05), with a power of 80% (1–β = 0.80) and a two-tailed test. The expected effect size (d) was 1.35. The minimum required sample size was estimated to be 20 subjects. However, the final sample size was increased to 25 subjects to enhance the reliability of the results and to compensate for potential dropouts.</w:t>
      </w:r>
    </w:p>
    <w:p w14:paraId="47773CC7" w14:textId="44637822" w:rsidR="008A0A90" w:rsidRDefault="008A0A90" w:rsidP="000D06A1">
      <w:pPr>
        <w:pStyle w:val="NormalWeb"/>
        <w:spacing w:line="480" w:lineRule="auto"/>
        <w:jc w:val="both"/>
        <w:rPr>
          <w:rFonts w:ascii="Arial" w:hAnsi="Arial" w:cs="Arial"/>
          <w:sz w:val="20"/>
          <w:szCs w:val="20"/>
        </w:rPr>
      </w:pPr>
    </w:p>
    <w:p w14:paraId="37048206" w14:textId="77777777" w:rsidR="008A0A90" w:rsidRPr="008A0A90" w:rsidRDefault="008A0A90" w:rsidP="000D06A1">
      <w:pPr>
        <w:pStyle w:val="NormalWeb"/>
        <w:spacing w:line="480" w:lineRule="auto"/>
        <w:jc w:val="both"/>
        <w:rPr>
          <w:rFonts w:ascii="Arial" w:hAnsi="Arial" w:cs="Arial"/>
          <w:sz w:val="20"/>
          <w:szCs w:val="20"/>
        </w:rPr>
      </w:pPr>
    </w:p>
    <w:p w14:paraId="393F5F4C" w14:textId="62CABEC5" w:rsidR="00990257" w:rsidRPr="008A0A90" w:rsidRDefault="008A0A90" w:rsidP="000D06A1">
      <w:pPr>
        <w:pStyle w:val="NormalWeb"/>
        <w:spacing w:line="480" w:lineRule="auto"/>
        <w:jc w:val="both"/>
        <w:rPr>
          <w:rFonts w:ascii="Arial" w:hAnsi="Arial" w:cs="Arial"/>
          <w:sz w:val="22"/>
          <w:szCs w:val="22"/>
        </w:rPr>
      </w:pPr>
      <w:r w:rsidRPr="008A0A90">
        <w:rPr>
          <w:rFonts w:ascii="Arial" w:hAnsi="Arial" w:cs="Arial"/>
          <w:b/>
          <w:bCs/>
          <w:sz w:val="22"/>
          <w:szCs w:val="22"/>
        </w:rPr>
        <w:t xml:space="preserve">2.2 </w:t>
      </w:r>
      <w:r w:rsidR="00990257" w:rsidRPr="008A0A90">
        <w:rPr>
          <w:rFonts w:ascii="Arial" w:hAnsi="Arial" w:cs="Arial"/>
          <w:b/>
          <w:bCs/>
          <w:sz w:val="22"/>
          <w:szCs w:val="22"/>
        </w:rPr>
        <w:t xml:space="preserve">Study </w:t>
      </w:r>
      <w:r w:rsidR="00DE17CC" w:rsidRPr="008A0A90">
        <w:rPr>
          <w:rFonts w:ascii="Arial" w:hAnsi="Arial" w:cs="Arial"/>
          <w:b/>
          <w:bCs/>
          <w:sz w:val="22"/>
          <w:szCs w:val="22"/>
        </w:rPr>
        <w:t>Intervention</w:t>
      </w:r>
    </w:p>
    <w:p w14:paraId="20893E52" w14:textId="78B41BE7" w:rsidR="007724C1" w:rsidRPr="008A0A90" w:rsidRDefault="00990257" w:rsidP="000D06A1">
      <w:pPr>
        <w:spacing w:before="100" w:beforeAutospacing="1" w:after="100" w:afterAutospacing="1" w:line="480" w:lineRule="auto"/>
        <w:jc w:val="both"/>
        <w:outlineLvl w:val="2"/>
        <w:rPr>
          <w:rFonts w:ascii="Arial" w:eastAsia="Times New Roman" w:hAnsi="Arial" w:cs="Arial"/>
          <w:b/>
          <w:bCs/>
          <w:sz w:val="20"/>
          <w:szCs w:val="20"/>
          <w:lang w:eastAsia="en-IN"/>
        </w:rPr>
      </w:pPr>
      <w:r w:rsidRPr="008A0A90">
        <w:rPr>
          <w:rFonts w:ascii="Arial" w:eastAsia="Times New Roman" w:hAnsi="Arial" w:cs="Arial"/>
          <w:sz w:val="20"/>
          <w:szCs w:val="20"/>
          <w:lang w:eastAsia="en-IN"/>
        </w:rPr>
        <w:t xml:space="preserve">Upper and lower alginate impressions were made for all participants, and dental casts were prepared. </w:t>
      </w:r>
      <w:proofErr w:type="spellStart"/>
      <w:r w:rsidRPr="008A0A90">
        <w:rPr>
          <w:rFonts w:ascii="Arial" w:eastAsia="Times New Roman" w:hAnsi="Arial" w:cs="Arial"/>
          <w:sz w:val="20"/>
          <w:szCs w:val="20"/>
          <w:lang w:eastAsia="en-IN"/>
        </w:rPr>
        <w:t>Cervico</w:t>
      </w:r>
      <w:proofErr w:type="spellEnd"/>
      <w:r w:rsidRPr="008A0A90">
        <w:rPr>
          <w:rFonts w:ascii="Arial" w:eastAsia="Times New Roman" w:hAnsi="Arial" w:cs="Arial"/>
          <w:sz w:val="20"/>
          <w:szCs w:val="20"/>
          <w:lang w:eastAsia="en-IN"/>
        </w:rPr>
        <w:t xml:space="preserve">-incisal and mesiodistal dimensions of the maxillary anterior teeth were measured on the casts using a digital Vernier </w:t>
      </w:r>
      <w:proofErr w:type="spellStart"/>
      <w:r w:rsidRPr="008A0A90">
        <w:rPr>
          <w:rFonts w:ascii="Arial" w:eastAsia="Times New Roman" w:hAnsi="Arial" w:cs="Arial"/>
          <w:sz w:val="20"/>
          <w:szCs w:val="20"/>
          <w:lang w:eastAsia="en-IN"/>
        </w:rPr>
        <w:t>caliper</w:t>
      </w:r>
      <w:proofErr w:type="spellEnd"/>
      <w:r w:rsidRPr="008A0A90">
        <w:rPr>
          <w:rFonts w:ascii="Arial" w:eastAsia="Times New Roman" w:hAnsi="Arial" w:cs="Arial"/>
          <w:sz w:val="20"/>
          <w:szCs w:val="20"/>
          <w:lang w:eastAsia="en-IN"/>
        </w:rPr>
        <w:t>.</w:t>
      </w:r>
      <w:r w:rsidR="000D06A1" w:rsidRPr="008A0A90">
        <w:rPr>
          <w:rFonts w:ascii="Arial" w:eastAsia="Times New Roman" w:hAnsi="Arial" w:cs="Arial"/>
          <w:b/>
          <w:bCs/>
          <w:sz w:val="20"/>
          <w:szCs w:val="20"/>
          <w:lang w:eastAsia="en-IN"/>
        </w:rPr>
        <w:t xml:space="preserve"> </w:t>
      </w:r>
      <w:r w:rsidRPr="008A0A90">
        <w:rPr>
          <w:rFonts w:ascii="Arial" w:eastAsia="Times New Roman" w:hAnsi="Arial" w:cs="Arial"/>
          <w:sz w:val="20"/>
          <w:szCs w:val="20"/>
          <w:lang w:eastAsia="en-IN"/>
        </w:rPr>
        <w:t xml:space="preserve">The study focused on maxillary anterior teeth due to the higher probability of positioning errors during indirect vision bonding. The maxillary arch was divided into right and left sides. Brackets from the central incisor to canine on one side were bonded using the MBT gauge, while the contralateral side was bonded using the </w:t>
      </w:r>
      <w:r w:rsidR="00775F7B" w:rsidRPr="008A0A90">
        <w:rPr>
          <w:rFonts w:ascii="Arial" w:hAnsi="Arial" w:cs="Arial"/>
          <w:sz w:val="20"/>
          <w:szCs w:val="20"/>
        </w:rPr>
        <w:t>MGBP</w:t>
      </w:r>
      <w:r w:rsidRPr="008A0A90">
        <w:rPr>
          <w:rFonts w:ascii="Arial" w:eastAsia="Times New Roman" w:hAnsi="Arial" w:cs="Arial"/>
          <w:sz w:val="20"/>
          <w:szCs w:val="20"/>
          <w:lang w:eastAsia="en-IN"/>
        </w:rPr>
        <w:t>. All brackets were bonded</w:t>
      </w:r>
      <w:r w:rsidR="007724C1" w:rsidRPr="008A0A90">
        <w:rPr>
          <w:rFonts w:ascii="Arial" w:eastAsia="Times New Roman" w:hAnsi="Arial" w:cs="Arial"/>
          <w:sz w:val="20"/>
          <w:szCs w:val="20"/>
          <w:lang w:eastAsia="en-IN"/>
        </w:rPr>
        <w:t xml:space="preserve"> by the same operator</w:t>
      </w:r>
      <w:r w:rsidRPr="008A0A90">
        <w:rPr>
          <w:rFonts w:ascii="Arial" w:eastAsia="Times New Roman" w:hAnsi="Arial" w:cs="Arial"/>
          <w:sz w:val="20"/>
          <w:szCs w:val="20"/>
          <w:lang w:eastAsia="en-IN"/>
        </w:rPr>
        <w:t xml:space="preserve"> using composite resin and cured with an LED curing light.</w:t>
      </w:r>
    </w:p>
    <w:p w14:paraId="26D3A4FD" w14:textId="00E8AD4A" w:rsidR="00990257" w:rsidRPr="008A0A90" w:rsidRDefault="008A0A90" w:rsidP="00990257">
      <w:pPr>
        <w:spacing w:before="100" w:beforeAutospacing="1" w:after="100" w:afterAutospacing="1" w:line="480" w:lineRule="auto"/>
        <w:jc w:val="both"/>
        <w:rPr>
          <w:rFonts w:ascii="Arial" w:eastAsia="Times New Roman" w:hAnsi="Arial" w:cs="Arial"/>
          <w:lang w:eastAsia="en-IN"/>
        </w:rPr>
      </w:pPr>
      <w:r w:rsidRPr="008A0A90">
        <w:rPr>
          <w:rFonts w:ascii="Arial" w:hAnsi="Arial" w:cs="Arial"/>
          <w:b/>
          <w:bCs/>
        </w:rPr>
        <w:t xml:space="preserve">2.3 </w:t>
      </w:r>
      <w:r w:rsidR="00990257" w:rsidRPr="008A0A90">
        <w:rPr>
          <w:rFonts w:ascii="Arial" w:hAnsi="Arial" w:cs="Arial"/>
          <w:b/>
          <w:bCs/>
        </w:rPr>
        <w:t xml:space="preserve">Measurement </w:t>
      </w:r>
      <w:r w:rsidR="00DE17CC" w:rsidRPr="008A0A90">
        <w:rPr>
          <w:rFonts w:ascii="Arial" w:hAnsi="Arial" w:cs="Arial"/>
          <w:b/>
          <w:bCs/>
        </w:rPr>
        <w:t>of Bracket Positioning Accuracy</w:t>
      </w:r>
    </w:p>
    <w:p w14:paraId="420E1051" w14:textId="77777777" w:rsidR="00990257" w:rsidRPr="008A0A90" w:rsidRDefault="00990257" w:rsidP="00990257">
      <w:pPr>
        <w:spacing w:before="100" w:beforeAutospacing="1" w:after="100" w:afterAutospacing="1" w:line="480" w:lineRule="auto"/>
        <w:jc w:val="both"/>
        <w:rPr>
          <w:rFonts w:ascii="Arial" w:eastAsia="Times New Roman" w:hAnsi="Arial" w:cs="Arial"/>
          <w:sz w:val="20"/>
          <w:szCs w:val="20"/>
          <w:lang w:eastAsia="en-IN"/>
        </w:rPr>
      </w:pPr>
      <w:r w:rsidRPr="008A0A90">
        <w:rPr>
          <w:rFonts w:ascii="Arial" w:hAnsi="Arial" w:cs="Arial"/>
          <w:sz w:val="20"/>
          <w:szCs w:val="20"/>
        </w:rPr>
        <w:t xml:space="preserve">Measurements were recorded using a digital Vernier </w:t>
      </w:r>
      <w:proofErr w:type="spellStart"/>
      <w:r w:rsidRPr="008A0A90">
        <w:rPr>
          <w:rFonts w:ascii="Arial" w:hAnsi="Arial" w:cs="Arial"/>
          <w:sz w:val="20"/>
          <w:szCs w:val="20"/>
        </w:rPr>
        <w:t>caliper</w:t>
      </w:r>
      <w:proofErr w:type="spellEnd"/>
      <w:r w:rsidRPr="008A0A90">
        <w:rPr>
          <w:rFonts w:ascii="Arial" w:hAnsi="Arial" w:cs="Arial"/>
          <w:sz w:val="20"/>
          <w:szCs w:val="20"/>
        </w:rPr>
        <w:t xml:space="preserve"> from the </w:t>
      </w:r>
      <w:proofErr w:type="spellStart"/>
      <w:r w:rsidRPr="008A0A90">
        <w:rPr>
          <w:rFonts w:ascii="Arial" w:hAnsi="Arial" w:cs="Arial"/>
          <w:sz w:val="20"/>
          <w:szCs w:val="20"/>
        </w:rPr>
        <w:t>center</w:t>
      </w:r>
      <w:proofErr w:type="spellEnd"/>
      <w:r w:rsidRPr="008A0A90">
        <w:rPr>
          <w:rFonts w:ascii="Arial" w:hAnsi="Arial" w:cs="Arial"/>
          <w:sz w:val="20"/>
          <w:szCs w:val="20"/>
        </w:rPr>
        <w:t xml:space="preserve"> of the vertical scribe line on the bracket to the following reference points:</w:t>
      </w:r>
    </w:p>
    <w:p w14:paraId="26B375B8" w14:textId="158FA087" w:rsidR="001A371E" w:rsidRPr="008A0A90" w:rsidRDefault="001A371E" w:rsidP="00990257">
      <w:pPr>
        <w:numPr>
          <w:ilvl w:val="0"/>
          <w:numId w:val="2"/>
        </w:numPr>
        <w:spacing w:before="100" w:beforeAutospacing="1" w:after="100" w:afterAutospacing="1" w:line="480" w:lineRule="auto"/>
        <w:jc w:val="both"/>
        <w:rPr>
          <w:rFonts w:ascii="Arial" w:eastAsia="Times New Roman" w:hAnsi="Arial" w:cs="Arial"/>
          <w:sz w:val="20"/>
          <w:szCs w:val="20"/>
          <w:lang w:eastAsia="en-IN"/>
        </w:rPr>
      </w:pPr>
      <w:r w:rsidRPr="008A0A90">
        <w:rPr>
          <w:rFonts w:ascii="Arial" w:eastAsia="Times New Roman" w:hAnsi="Arial" w:cs="Arial"/>
          <w:sz w:val="20"/>
          <w:szCs w:val="20"/>
          <w:lang w:eastAsia="en-IN"/>
        </w:rPr>
        <w:t>Mesial – to the adjacent mesial interproximal surface</w:t>
      </w:r>
    </w:p>
    <w:p w14:paraId="4DB7D16F" w14:textId="77777777" w:rsidR="001A371E" w:rsidRPr="008A0A90" w:rsidRDefault="001A371E" w:rsidP="00990257">
      <w:pPr>
        <w:numPr>
          <w:ilvl w:val="0"/>
          <w:numId w:val="2"/>
        </w:numPr>
        <w:spacing w:before="100" w:beforeAutospacing="1" w:after="100" w:afterAutospacing="1" w:line="480" w:lineRule="auto"/>
        <w:jc w:val="both"/>
        <w:rPr>
          <w:rFonts w:ascii="Arial" w:eastAsia="Times New Roman" w:hAnsi="Arial" w:cs="Arial"/>
          <w:sz w:val="20"/>
          <w:szCs w:val="20"/>
          <w:lang w:eastAsia="en-IN"/>
        </w:rPr>
      </w:pPr>
      <w:r w:rsidRPr="008A0A90">
        <w:rPr>
          <w:rFonts w:ascii="Arial" w:eastAsia="Times New Roman" w:hAnsi="Arial" w:cs="Arial"/>
          <w:sz w:val="20"/>
          <w:szCs w:val="20"/>
          <w:lang w:eastAsia="en-IN"/>
        </w:rPr>
        <w:t>Distal – to the adjacent distal interproximal surface</w:t>
      </w:r>
    </w:p>
    <w:p w14:paraId="1FEA7501" w14:textId="77777777" w:rsidR="001A371E" w:rsidRPr="008A0A90" w:rsidRDefault="001A371E" w:rsidP="00990257">
      <w:pPr>
        <w:numPr>
          <w:ilvl w:val="0"/>
          <w:numId w:val="2"/>
        </w:numPr>
        <w:spacing w:before="100" w:beforeAutospacing="1" w:after="100" w:afterAutospacing="1" w:line="480" w:lineRule="auto"/>
        <w:jc w:val="both"/>
        <w:rPr>
          <w:rFonts w:ascii="Arial" w:eastAsia="Times New Roman" w:hAnsi="Arial" w:cs="Arial"/>
          <w:sz w:val="20"/>
          <w:szCs w:val="20"/>
          <w:lang w:eastAsia="en-IN"/>
        </w:rPr>
      </w:pPr>
      <w:r w:rsidRPr="008A0A90">
        <w:rPr>
          <w:rFonts w:ascii="Arial" w:eastAsia="Times New Roman" w:hAnsi="Arial" w:cs="Arial"/>
          <w:sz w:val="20"/>
          <w:szCs w:val="20"/>
          <w:lang w:eastAsia="en-IN"/>
        </w:rPr>
        <w:t>Incisal – to the incisal edge or cusp tip</w:t>
      </w:r>
    </w:p>
    <w:p w14:paraId="402071FB" w14:textId="3C7D7899" w:rsidR="00990257" w:rsidRPr="008A0A90" w:rsidRDefault="001A371E" w:rsidP="00990257">
      <w:pPr>
        <w:numPr>
          <w:ilvl w:val="0"/>
          <w:numId w:val="2"/>
        </w:numPr>
        <w:spacing w:before="100" w:beforeAutospacing="1" w:after="100" w:afterAutospacing="1" w:line="480" w:lineRule="auto"/>
        <w:jc w:val="both"/>
        <w:rPr>
          <w:rFonts w:ascii="Arial" w:eastAsia="Times New Roman" w:hAnsi="Arial" w:cs="Arial"/>
          <w:sz w:val="20"/>
          <w:szCs w:val="20"/>
          <w:lang w:eastAsia="en-IN"/>
        </w:rPr>
      </w:pPr>
      <w:r w:rsidRPr="008A0A90">
        <w:rPr>
          <w:rFonts w:ascii="Arial" w:eastAsia="Times New Roman" w:hAnsi="Arial" w:cs="Arial"/>
          <w:sz w:val="20"/>
          <w:szCs w:val="20"/>
          <w:lang w:eastAsia="en-IN"/>
        </w:rPr>
        <w:t>Gingival – to the gingival zenith</w:t>
      </w:r>
    </w:p>
    <w:p w14:paraId="34885EF9" w14:textId="409ACCBA" w:rsidR="00990257" w:rsidRPr="008A0A90" w:rsidRDefault="00990257" w:rsidP="008A0A90">
      <w:pPr>
        <w:spacing w:before="100" w:beforeAutospacing="1" w:after="100" w:afterAutospacing="1" w:line="480" w:lineRule="auto"/>
        <w:jc w:val="both"/>
        <w:rPr>
          <w:rFonts w:ascii="Arial" w:hAnsi="Arial" w:cs="Arial"/>
          <w:sz w:val="20"/>
          <w:szCs w:val="20"/>
        </w:rPr>
      </w:pPr>
      <w:r w:rsidRPr="008A0A90">
        <w:rPr>
          <w:rFonts w:ascii="Arial" w:hAnsi="Arial" w:cs="Arial"/>
          <w:sz w:val="20"/>
          <w:szCs w:val="20"/>
        </w:rPr>
        <w:t xml:space="preserve">All measurements were recorded by the </w:t>
      </w:r>
      <w:r w:rsidR="00775F7B" w:rsidRPr="008A0A90">
        <w:rPr>
          <w:rFonts w:ascii="Arial" w:hAnsi="Arial" w:cs="Arial"/>
          <w:sz w:val="20"/>
          <w:szCs w:val="20"/>
        </w:rPr>
        <w:t>same investigator</w:t>
      </w:r>
      <w:r w:rsidRPr="008A0A90">
        <w:rPr>
          <w:rFonts w:ascii="Arial" w:hAnsi="Arial" w:cs="Arial"/>
          <w:sz w:val="20"/>
          <w:szCs w:val="20"/>
        </w:rPr>
        <w:t xml:space="preserve"> to ensure consistency.</w:t>
      </w:r>
    </w:p>
    <w:p w14:paraId="1C480552" w14:textId="77777777" w:rsidR="008A0A90" w:rsidRDefault="008A0A90" w:rsidP="008A0A90">
      <w:pPr>
        <w:spacing w:before="100" w:beforeAutospacing="1" w:after="100" w:afterAutospacing="1" w:line="480" w:lineRule="auto"/>
        <w:jc w:val="both"/>
        <w:rPr>
          <w:rFonts w:ascii="Arial" w:hAnsi="Arial" w:cs="Arial"/>
          <w:b/>
          <w:bCs/>
        </w:rPr>
      </w:pPr>
      <w:r w:rsidRPr="008A0A90">
        <w:rPr>
          <w:rFonts w:ascii="Arial" w:hAnsi="Arial" w:cs="Arial"/>
          <w:b/>
          <w:bCs/>
        </w:rPr>
        <w:t xml:space="preserve">2.4 </w:t>
      </w:r>
      <w:r w:rsidR="00990257" w:rsidRPr="008A0A90">
        <w:rPr>
          <w:rFonts w:ascii="Arial" w:hAnsi="Arial" w:cs="Arial"/>
          <w:b/>
          <w:bCs/>
        </w:rPr>
        <w:t>Statistical Analysis</w:t>
      </w:r>
    </w:p>
    <w:p w14:paraId="645868FE" w14:textId="716A7644" w:rsidR="00DE17CC" w:rsidRPr="008A0A90" w:rsidRDefault="00DE17CC" w:rsidP="008A0A90">
      <w:pPr>
        <w:spacing w:before="100" w:beforeAutospacing="1" w:after="100" w:afterAutospacing="1" w:line="480" w:lineRule="auto"/>
        <w:jc w:val="both"/>
        <w:rPr>
          <w:rFonts w:ascii="Arial" w:eastAsia="Times New Roman" w:hAnsi="Arial" w:cs="Arial"/>
          <w:b/>
          <w:bCs/>
          <w:sz w:val="18"/>
          <w:szCs w:val="18"/>
          <w:lang w:eastAsia="en-IN"/>
        </w:rPr>
      </w:pPr>
      <w:r w:rsidRPr="008A0A90">
        <w:rPr>
          <w:rFonts w:ascii="Arial" w:hAnsi="Arial" w:cs="Arial"/>
          <w:color w:val="000000" w:themeColor="text1"/>
          <w:sz w:val="20"/>
          <w:szCs w:val="20"/>
        </w:rPr>
        <w:lastRenderedPageBreak/>
        <w:t xml:space="preserve">Data were tabulated using Microsoft Excel and </w:t>
      </w:r>
      <w:proofErr w:type="spellStart"/>
      <w:r w:rsidRPr="008A0A90">
        <w:rPr>
          <w:rFonts w:ascii="Arial" w:hAnsi="Arial" w:cs="Arial"/>
          <w:color w:val="000000" w:themeColor="text1"/>
          <w:sz w:val="20"/>
          <w:szCs w:val="20"/>
        </w:rPr>
        <w:t>analyzed</w:t>
      </w:r>
      <w:proofErr w:type="spellEnd"/>
      <w:r w:rsidRPr="008A0A90">
        <w:rPr>
          <w:rFonts w:ascii="Arial" w:hAnsi="Arial" w:cs="Arial"/>
          <w:color w:val="000000" w:themeColor="text1"/>
          <w:sz w:val="20"/>
          <w:szCs w:val="20"/>
        </w:rPr>
        <w:t xml:space="preserve"> using SPSS software version 26.0 (IBM Corp., Chicago, IL, USA). Descriptive statistics were expressed as mean and standard deviation. Data normality was assessed using the Shapiro–Wilk test. As this was a split-mouth study, intergroup comparisons between the MBT gauge and M</w:t>
      </w:r>
      <w:r w:rsidR="005944F5" w:rsidRPr="008A0A90">
        <w:rPr>
          <w:rFonts w:ascii="Arial" w:hAnsi="Arial" w:cs="Arial"/>
          <w:color w:val="000000" w:themeColor="text1"/>
          <w:sz w:val="20"/>
          <w:szCs w:val="20"/>
        </w:rPr>
        <w:t xml:space="preserve">GBP </w:t>
      </w:r>
      <w:r w:rsidR="004A0949" w:rsidRPr="008A0A90">
        <w:rPr>
          <w:rFonts w:ascii="Arial" w:hAnsi="Arial" w:cs="Arial"/>
          <w:color w:val="000000" w:themeColor="text1"/>
          <w:sz w:val="20"/>
          <w:szCs w:val="20"/>
        </w:rPr>
        <w:t>Positioner sides</w:t>
      </w:r>
      <w:r w:rsidRPr="008A0A90">
        <w:rPr>
          <w:rFonts w:ascii="Arial" w:hAnsi="Arial" w:cs="Arial"/>
          <w:color w:val="000000" w:themeColor="text1"/>
          <w:sz w:val="20"/>
          <w:szCs w:val="20"/>
        </w:rPr>
        <w:t xml:space="preserve"> were performed using the paired t-test. A </w:t>
      </w:r>
      <w:r w:rsidR="005944F5" w:rsidRPr="008A0A90">
        <w:rPr>
          <w:rFonts w:ascii="Arial" w:hAnsi="Arial" w:cs="Arial"/>
          <w:color w:val="000000" w:themeColor="text1"/>
          <w:sz w:val="20"/>
          <w:szCs w:val="20"/>
        </w:rPr>
        <w:t>P</w:t>
      </w:r>
      <w:r w:rsidRPr="008A0A90">
        <w:rPr>
          <w:rFonts w:ascii="Arial" w:hAnsi="Arial" w:cs="Arial"/>
          <w:color w:val="000000" w:themeColor="text1"/>
          <w:sz w:val="20"/>
          <w:szCs w:val="20"/>
        </w:rPr>
        <w:t>-value of less than 0.05 was considered statistically significant.</w:t>
      </w:r>
    </w:p>
    <w:p w14:paraId="5324BEB2" w14:textId="568C73A4" w:rsidR="00BA2E86" w:rsidRPr="008A0A90" w:rsidRDefault="008A0A90" w:rsidP="00E57285">
      <w:pPr>
        <w:pStyle w:val="Heading2"/>
        <w:rPr>
          <w:rFonts w:ascii="Arial" w:hAnsi="Arial" w:cs="Arial"/>
          <w:b/>
          <w:bCs/>
          <w:color w:val="000000" w:themeColor="text1"/>
          <w:sz w:val="22"/>
          <w:szCs w:val="22"/>
        </w:rPr>
      </w:pPr>
      <w:r w:rsidRPr="008A0A90">
        <w:rPr>
          <w:rFonts w:ascii="Arial" w:hAnsi="Arial" w:cs="Arial"/>
          <w:b/>
          <w:bCs/>
          <w:color w:val="000000" w:themeColor="text1"/>
          <w:sz w:val="22"/>
          <w:szCs w:val="22"/>
        </w:rPr>
        <w:t>3. RESULTS</w:t>
      </w:r>
    </w:p>
    <w:p w14:paraId="4A4E23B0" w14:textId="5D3A03A2" w:rsidR="009A3E03" w:rsidRPr="00F604CB" w:rsidRDefault="009A3E03" w:rsidP="009A3E03">
      <w:pPr>
        <w:pStyle w:val="NormalWeb"/>
        <w:spacing w:line="480" w:lineRule="auto"/>
        <w:jc w:val="both"/>
        <w:rPr>
          <w:rFonts w:ascii="Arial" w:hAnsi="Arial" w:cs="Arial"/>
          <w:sz w:val="20"/>
          <w:szCs w:val="20"/>
        </w:rPr>
      </w:pPr>
      <w:r w:rsidRPr="00F604CB">
        <w:rPr>
          <w:rFonts w:ascii="Arial" w:hAnsi="Arial" w:cs="Arial"/>
          <w:sz w:val="20"/>
          <w:szCs w:val="20"/>
        </w:rPr>
        <w:t xml:space="preserve">A total of 25 patients were included in the study, and all participants completed the evaluation. Comparison of bracket positioning accuracy between the MBT gauge and MGBP positioner was performed using paired statistical analysis. </w:t>
      </w:r>
    </w:p>
    <w:p w14:paraId="32BC011D" w14:textId="3572F689" w:rsidR="009A3E03" w:rsidRPr="00F604CB" w:rsidRDefault="009A3E03" w:rsidP="009A3E03">
      <w:pPr>
        <w:pStyle w:val="NormalWeb"/>
        <w:spacing w:line="480" w:lineRule="auto"/>
        <w:jc w:val="both"/>
        <w:rPr>
          <w:rFonts w:ascii="Arial" w:hAnsi="Arial" w:cs="Arial"/>
          <w:sz w:val="20"/>
          <w:szCs w:val="20"/>
        </w:rPr>
      </w:pPr>
      <w:r w:rsidRPr="00F604CB">
        <w:rPr>
          <w:rFonts w:ascii="Arial" w:hAnsi="Arial" w:cs="Arial"/>
          <w:sz w:val="20"/>
          <w:szCs w:val="20"/>
        </w:rPr>
        <w:t xml:space="preserve">For the </w:t>
      </w:r>
      <w:r w:rsidRPr="00F604CB">
        <w:rPr>
          <w:rStyle w:val="Strong"/>
          <w:rFonts w:ascii="Arial" w:hAnsi="Arial" w:cs="Arial"/>
          <w:b w:val="0"/>
          <w:bCs w:val="0"/>
          <w:sz w:val="20"/>
          <w:szCs w:val="20"/>
        </w:rPr>
        <w:t>central incisors</w:t>
      </w:r>
      <w:r w:rsidRPr="00F604CB">
        <w:rPr>
          <w:rFonts w:ascii="Arial" w:hAnsi="Arial" w:cs="Arial"/>
          <w:sz w:val="20"/>
          <w:szCs w:val="20"/>
        </w:rPr>
        <w:t xml:space="preserve"> (Table 1), the mean mesial surface score was significantly higher on the MGBP side (4.17 ± 0.24) compared to the MBT side (4.01 ± 0.26) (P = 0.030). The mean distal surface scores were 4.18 ± 0.20 on the MGBP side and 4.02 ± 0.33 on the MBT side, with no statistically significant difference between the two sides (P = 0.052). The occlusal surface score was also significantly greater on the MGBP side (4.57 ± 0.35) compared to the MBT side (4.33 ± 0.37) (P = 0.021). However, no statistically significant difference was observed in the gingival surface scores between the MGBP side (4.45 ± 0.34) and the MBT side (4.26 ± 0.45) (P = 0.104).</w:t>
      </w:r>
    </w:p>
    <w:p w14:paraId="49D3C921" w14:textId="77777777" w:rsidR="00F604CB" w:rsidRPr="00F604CB" w:rsidRDefault="00F604CB" w:rsidP="00F604CB">
      <w:pPr>
        <w:spacing w:line="480" w:lineRule="auto"/>
        <w:ind w:right="-330"/>
        <w:rPr>
          <w:rFonts w:ascii="Arial" w:hAnsi="Arial" w:cs="Arial"/>
          <w:b/>
          <w:bCs/>
          <w:sz w:val="20"/>
          <w:szCs w:val="20"/>
        </w:rPr>
      </w:pPr>
      <w:r w:rsidRPr="00F604CB">
        <w:rPr>
          <w:rFonts w:ascii="Arial" w:hAnsi="Arial" w:cs="Arial"/>
          <w:b/>
          <w:bCs/>
          <w:sz w:val="20"/>
          <w:szCs w:val="20"/>
        </w:rPr>
        <w:t>Table 1: Comparison of mean surface scores between MBT group and MGBP group for central incisors</w:t>
      </w:r>
    </w:p>
    <w:tbl>
      <w:tblPr>
        <w:tblStyle w:val="TableGrid"/>
        <w:tblW w:w="9201" w:type="dxa"/>
        <w:tblLook w:val="04A0" w:firstRow="1" w:lastRow="0" w:firstColumn="1" w:lastColumn="0" w:noHBand="0" w:noVBand="1"/>
      </w:tblPr>
      <w:tblGrid>
        <w:gridCol w:w="1408"/>
        <w:gridCol w:w="3367"/>
        <w:gridCol w:w="2833"/>
        <w:gridCol w:w="1593"/>
      </w:tblGrid>
      <w:tr w:rsidR="00F604CB" w:rsidRPr="00F604CB" w14:paraId="4793F85B" w14:textId="77777777" w:rsidTr="00AE2D0E">
        <w:trPr>
          <w:trHeight w:val="767"/>
        </w:trPr>
        <w:tc>
          <w:tcPr>
            <w:tcW w:w="1408" w:type="dxa"/>
            <w:vAlign w:val="center"/>
          </w:tcPr>
          <w:p w14:paraId="5CD7E116" w14:textId="77777777" w:rsidR="00F604CB" w:rsidRPr="00F604CB" w:rsidRDefault="00F604CB" w:rsidP="00AE2D0E">
            <w:pPr>
              <w:jc w:val="both"/>
              <w:rPr>
                <w:rFonts w:ascii="Arial" w:hAnsi="Arial" w:cs="Arial"/>
                <w:sz w:val="20"/>
                <w:szCs w:val="20"/>
              </w:rPr>
            </w:pPr>
            <w:r w:rsidRPr="00F604CB">
              <w:rPr>
                <w:rFonts w:ascii="Arial" w:hAnsi="Arial" w:cs="Arial"/>
                <w:b/>
                <w:bCs/>
                <w:sz w:val="20"/>
                <w:szCs w:val="20"/>
              </w:rPr>
              <w:t>Surface</w:t>
            </w:r>
          </w:p>
        </w:tc>
        <w:tc>
          <w:tcPr>
            <w:tcW w:w="3367" w:type="dxa"/>
            <w:vAlign w:val="center"/>
          </w:tcPr>
          <w:p w14:paraId="60E2EA9F" w14:textId="77777777" w:rsidR="00F604CB" w:rsidRPr="00F604CB" w:rsidRDefault="00F604CB" w:rsidP="00AE2D0E">
            <w:pPr>
              <w:jc w:val="center"/>
              <w:rPr>
                <w:rFonts w:ascii="Arial" w:hAnsi="Arial" w:cs="Arial"/>
                <w:b/>
                <w:bCs/>
                <w:sz w:val="20"/>
                <w:szCs w:val="20"/>
              </w:rPr>
            </w:pPr>
            <w:r w:rsidRPr="00F604CB">
              <w:rPr>
                <w:rFonts w:ascii="Arial" w:hAnsi="Arial" w:cs="Arial"/>
                <w:b/>
                <w:bCs/>
                <w:sz w:val="20"/>
                <w:szCs w:val="20"/>
              </w:rPr>
              <w:t>MBT group</w:t>
            </w:r>
          </w:p>
          <w:p w14:paraId="7C4FC999"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Mean ± SD</w:t>
            </w:r>
          </w:p>
        </w:tc>
        <w:tc>
          <w:tcPr>
            <w:tcW w:w="2833" w:type="dxa"/>
            <w:vAlign w:val="center"/>
          </w:tcPr>
          <w:p w14:paraId="1BF5EBBE" w14:textId="77777777" w:rsidR="00F604CB" w:rsidRPr="00F604CB" w:rsidRDefault="00F604CB" w:rsidP="00AE2D0E">
            <w:pPr>
              <w:jc w:val="center"/>
              <w:rPr>
                <w:rFonts w:ascii="Arial" w:hAnsi="Arial" w:cs="Arial"/>
                <w:b/>
                <w:bCs/>
                <w:sz w:val="20"/>
                <w:szCs w:val="20"/>
              </w:rPr>
            </w:pPr>
            <w:r w:rsidRPr="00F604CB">
              <w:rPr>
                <w:rFonts w:ascii="Arial" w:hAnsi="Arial" w:cs="Arial"/>
                <w:b/>
                <w:bCs/>
                <w:sz w:val="20"/>
                <w:szCs w:val="20"/>
              </w:rPr>
              <w:t>MGBP group</w:t>
            </w:r>
          </w:p>
          <w:p w14:paraId="4461A6EC"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Mean ± SD</w:t>
            </w:r>
          </w:p>
        </w:tc>
        <w:tc>
          <w:tcPr>
            <w:tcW w:w="1593" w:type="dxa"/>
            <w:vAlign w:val="center"/>
          </w:tcPr>
          <w:p w14:paraId="714D8FD6" w14:textId="77777777" w:rsidR="00F604CB" w:rsidRPr="00F604CB" w:rsidRDefault="00F604CB" w:rsidP="00AE2D0E">
            <w:pPr>
              <w:jc w:val="both"/>
              <w:rPr>
                <w:rFonts w:ascii="Arial" w:hAnsi="Arial" w:cs="Arial"/>
                <w:sz w:val="20"/>
                <w:szCs w:val="20"/>
              </w:rPr>
            </w:pPr>
            <w:r w:rsidRPr="00F604CB">
              <w:rPr>
                <w:rFonts w:ascii="Arial" w:hAnsi="Arial" w:cs="Arial"/>
                <w:b/>
                <w:bCs/>
                <w:sz w:val="20"/>
                <w:szCs w:val="20"/>
              </w:rPr>
              <w:t>P-value</w:t>
            </w:r>
          </w:p>
        </w:tc>
      </w:tr>
      <w:tr w:rsidR="00F604CB" w:rsidRPr="00F604CB" w14:paraId="27073022" w14:textId="77777777" w:rsidTr="00AE2D0E">
        <w:trPr>
          <w:trHeight w:val="376"/>
        </w:trPr>
        <w:tc>
          <w:tcPr>
            <w:tcW w:w="1408" w:type="dxa"/>
            <w:vAlign w:val="center"/>
          </w:tcPr>
          <w:p w14:paraId="12AB9F64"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Mesial</w:t>
            </w:r>
          </w:p>
        </w:tc>
        <w:tc>
          <w:tcPr>
            <w:tcW w:w="3367" w:type="dxa"/>
            <w:vAlign w:val="center"/>
          </w:tcPr>
          <w:p w14:paraId="5D0E7B1F"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4.01 ± 0.26</w:t>
            </w:r>
          </w:p>
        </w:tc>
        <w:tc>
          <w:tcPr>
            <w:tcW w:w="2833" w:type="dxa"/>
            <w:vAlign w:val="center"/>
          </w:tcPr>
          <w:p w14:paraId="0F962C28"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4.17 ± 0.24</w:t>
            </w:r>
          </w:p>
        </w:tc>
        <w:tc>
          <w:tcPr>
            <w:tcW w:w="1593" w:type="dxa"/>
            <w:vAlign w:val="center"/>
          </w:tcPr>
          <w:p w14:paraId="0F28B07C"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0.030</w:t>
            </w:r>
            <w:r w:rsidRPr="00F604CB">
              <w:rPr>
                <w:rFonts w:ascii="Arial" w:hAnsi="Arial" w:cs="Arial"/>
                <w:sz w:val="20"/>
                <w:szCs w:val="20"/>
                <w:vertAlign w:val="superscript"/>
              </w:rPr>
              <w:t>b</w:t>
            </w:r>
          </w:p>
        </w:tc>
      </w:tr>
      <w:tr w:rsidR="00F604CB" w:rsidRPr="00F604CB" w14:paraId="10E46B8B" w14:textId="77777777" w:rsidTr="00AE2D0E">
        <w:trPr>
          <w:trHeight w:val="376"/>
        </w:trPr>
        <w:tc>
          <w:tcPr>
            <w:tcW w:w="1408" w:type="dxa"/>
            <w:vAlign w:val="center"/>
          </w:tcPr>
          <w:p w14:paraId="59CE4CD6"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Distal</w:t>
            </w:r>
          </w:p>
        </w:tc>
        <w:tc>
          <w:tcPr>
            <w:tcW w:w="3367" w:type="dxa"/>
            <w:vAlign w:val="center"/>
          </w:tcPr>
          <w:p w14:paraId="5A668854"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4.02 ± 0.33</w:t>
            </w:r>
          </w:p>
        </w:tc>
        <w:tc>
          <w:tcPr>
            <w:tcW w:w="2833" w:type="dxa"/>
            <w:vAlign w:val="center"/>
          </w:tcPr>
          <w:p w14:paraId="2A88EF82"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4.18 ± 0.20</w:t>
            </w:r>
          </w:p>
        </w:tc>
        <w:tc>
          <w:tcPr>
            <w:tcW w:w="1593" w:type="dxa"/>
            <w:vAlign w:val="center"/>
          </w:tcPr>
          <w:p w14:paraId="625924C4"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0.052</w:t>
            </w:r>
            <w:r w:rsidRPr="00F604CB">
              <w:rPr>
                <w:rFonts w:ascii="Arial" w:hAnsi="Arial" w:cs="Arial"/>
                <w:sz w:val="20"/>
                <w:szCs w:val="20"/>
                <w:vertAlign w:val="superscript"/>
              </w:rPr>
              <w:t>a</w:t>
            </w:r>
          </w:p>
        </w:tc>
      </w:tr>
      <w:tr w:rsidR="00F604CB" w:rsidRPr="00F604CB" w14:paraId="6C59BB1B" w14:textId="77777777" w:rsidTr="00AE2D0E">
        <w:trPr>
          <w:trHeight w:val="376"/>
        </w:trPr>
        <w:tc>
          <w:tcPr>
            <w:tcW w:w="1408" w:type="dxa"/>
            <w:vAlign w:val="center"/>
          </w:tcPr>
          <w:p w14:paraId="25FE5C09"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Occlusal</w:t>
            </w:r>
          </w:p>
        </w:tc>
        <w:tc>
          <w:tcPr>
            <w:tcW w:w="3367" w:type="dxa"/>
            <w:vAlign w:val="center"/>
          </w:tcPr>
          <w:p w14:paraId="2A1D8303"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4.33 ± 0.37</w:t>
            </w:r>
          </w:p>
        </w:tc>
        <w:tc>
          <w:tcPr>
            <w:tcW w:w="2833" w:type="dxa"/>
            <w:vAlign w:val="center"/>
          </w:tcPr>
          <w:p w14:paraId="4937D757"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4.57 ± 0.35</w:t>
            </w:r>
          </w:p>
        </w:tc>
        <w:tc>
          <w:tcPr>
            <w:tcW w:w="1593" w:type="dxa"/>
            <w:vAlign w:val="center"/>
          </w:tcPr>
          <w:p w14:paraId="7E4D08DB"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0.021</w:t>
            </w:r>
            <w:r w:rsidRPr="00F604CB">
              <w:rPr>
                <w:rFonts w:ascii="Arial" w:hAnsi="Arial" w:cs="Arial"/>
                <w:sz w:val="20"/>
                <w:szCs w:val="20"/>
                <w:vertAlign w:val="superscript"/>
              </w:rPr>
              <w:t>b</w:t>
            </w:r>
          </w:p>
        </w:tc>
      </w:tr>
      <w:tr w:rsidR="00F604CB" w:rsidRPr="00F604CB" w14:paraId="777FFE7E" w14:textId="77777777" w:rsidTr="00AE2D0E">
        <w:trPr>
          <w:trHeight w:val="376"/>
        </w:trPr>
        <w:tc>
          <w:tcPr>
            <w:tcW w:w="1408" w:type="dxa"/>
            <w:vAlign w:val="center"/>
          </w:tcPr>
          <w:p w14:paraId="496BFD42"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Gingival</w:t>
            </w:r>
          </w:p>
        </w:tc>
        <w:tc>
          <w:tcPr>
            <w:tcW w:w="3367" w:type="dxa"/>
            <w:vAlign w:val="center"/>
          </w:tcPr>
          <w:p w14:paraId="4EDFAFF5"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4.26 ± 0.45</w:t>
            </w:r>
          </w:p>
        </w:tc>
        <w:tc>
          <w:tcPr>
            <w:tcW w:w="2833" w:type="dxa"/>
            <w:vAlign w:val="center"/>
          </w:tcPr>
          <w:p w14:paraId="766E21D1"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4.45 ± 0.34</w:t>
            </w:r>
          </w:p>
        </w:tc>
        <w:tc>
          <w:tcPr>
            <w:tcW w:w="1593" w:type="dxa"/>
            <w:vAlign w:val="center"/>
          </w:tcPr>
          <w:p w14:paraId="7A144AA1"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0.104</w:t>
            </w:r>
            <w:r w:rsidRPr="00F604CB">
              <w:rPr>
                <w:rFonts w:ascii="Arial" w:hAnsi="Arial" w:cs="Arial"/>
                <w:sz w:val="20"/>
                <w:szCs w:val="20"/>
                <w:vertAlign w:val="superscript"/>
              </w:rPr>
              <w:t>a</w:t>
            </w:r>
          </w:p>
        </w:tc>
      </w:tr>
    </w:tbl>
    <w:p w14:paraId="0453194B" w14:textId="77777777" w:rsidR="00F604CB" w:rsidRPr="00F604CB" w:rsidRDefault="00F604CB" w:rsidP="00F604CB">
      <w:pPr>
        <w:spacing w:line="480" w:lineRule="auto"/>
        <w:ind w:right="-188"/>
        <w:jc w:val="both"/>
        <w:rPr>
          <w:rFonts w:ascii="Arial" w:hAnsi="Arial" w:cs="Arial"/>
          <w:sz w:val="20"/>
          <w:szCs w:val="20"/>
        </w:rPr>
      </w:pPr>
      <w:proofErr w:type="spellStart"/>
      <w:r w:rsidRPr="00F604CB">
        <w:rPr>
          <w:rFonts w:ascii="Arial" w:hAnsi="Arial" w:cs="Arial"/>
          <w:sz w:val="20"/>
          <w:szCs w:val="20"/>
        </w:rPr>
        <w:t>aP</w:t>
      </w:r>
      <w:proofErr w:type="spellEnd"/>
      <w:r w:rsidRPr="00F604CB">
        <w:rPr>
          <w:rFonts w:ascii="Arial" w:hAnsi="Arial" w:cs="Arial"/>
          <w:sz w:val="20"/>
          <w:szCs w:val="20"/>
        </w:rPr>
        <w:t xml:space="preserve">&gt;0.05: no significant difference, </w:t>
      </w:r>
      <w:proofErr w:type="spellStart"/>
      <w:r w:rsidRPr="00F604CB">
        <w:rPr>
          <w:rFonts w:ascii="Arial" w:hAnsi="Arial" w:cs="Arial"/>
          <w:sz w:val="20"/>
          <w:szCs w:val="20"/>
        </w:rPr>
        <w:t>bP</w:t>
      </w:r>
      <w:proofErr w:type="spellEnd"/>
      <w:r w:rsidRPr="00F604CB">
        <w:rPr>
          <w:rFonts w:ascii="Arial" w:hAnsi="Arial" w:cs="Arial"/>
          <w:sz w:val="20"/>
          <w:szCs w:val="20"/>
        </w:rPr>
        <w:t xml:space="preserve">&lt;0.05: significant difference, </w:t>
      </w:r>
      <w:proofErr w:type="spellStart"/>
      <w:r w:rsidRPr="00F604CB">
        <w:rPr>
          <w:rFonts w:ascii="Arial" w:hAnsi="Arial" w:cs="Arial"/>
          <w:sz w:val="20"/>
          <w:szCs w:val="20"/>
        </w:rPr>
        <w:t>cP</w:t>
      </w:r>
      <w:proofErr w:type="spellEnd"/>
      <w:r w:rsidRPr="00F604CB">
        <w:rPr>
          <w:rFonts w:ascii="Arial" w:hAnsi="Arial" w:cs="Arial"/>
          <w:sz w:val="20"/>
          <w:szCs w:val="20"/>
        </w:rPr>
        <w:t>&lt;0.001: highly significant difference</w:t>
      </w:r>
    </w:p>
    <w:p w14:paraId="210ABAA2" w14:textId="2746B8EA" w:rsidR="009A3E03" w:rsidRPr="00F604CB" w:rsidRDefault="009A3E03" w:rsidP="009A3E03">
      <w:pPr>
        <w:pStyle w:val="NormalWeb"/>
        <w:spacing w:line="480" w:lineRule="auto"/>
        <w:jc w:val="both"/>
        <w:rPr>
          <w:rFonts w:ascii="Arial" w:hAnsi="Arial" w:cs="Arial"/>
          <w:sz w:val="20"/>
          <w:szCs w:val="20"/>
        </w:rPr>
      </w:pPr>
      <w:r w:rsidRPr="00F604CB">
        <w:rPr>
          <w:rFonts w:ascii="Arial" w:hAnsi="Arial" w:cs="Arial"/>
          <w:sz w:val="20"/>
          <w:szCs w:val="20"/>
        </w:rPr>
        <w:t xml:space="preserve">For the </w:t>
      </w:r>
      <w:r w:rsidRPr="00F604CB">
        <w:rPr>
          <w:rStyle w:val="Strong"/>
          <w:rFonts w:ascii="Arial" w:hAnsi="Arial" w:cs="Arial"/>
          <w:b w:val="0"/>
          <w:bCs w:val="0"/>
          <w:sz w:val="20"/>
          <w:szCs w:val="20"/>
        </w:rPr>
        <w:t>lateral incisors</w:t>
      </w:r>
      <w:r w:rsidRPr="00F604CB">
        <w:rPr>
          <w:rFonts w:ascii="Arial" w:hAnsi="Arial" w:cs="Arial"/>
          <w:sz w:val="20"/>
          <w:szCs w:val="20"/>
        </w:rPr>
        <w:t xml:space="preserve"> (Table 2), the mean mesial surface scores were 3.61 ± 0.28 on the MGBP side and 3.49 ± 0.31 on the MBT side, with no statistically significant difference (P = 0.156). Similarly, no significant difference was observed in the distal surface scores between the MGBP side (3.58 ± 0.25) </w:t>
      </w:r>
      <w:r w:rsidRPr="00F604CB">
        <w:rPr>
          <w:rFonts w:ascii="Arial" w:hAnsi="Arial" w:cs="Arial"/>
          <w:sz w:val="20"/>
          <w:szCs w:val="20"/>
        </w:rPr>
        <w:lastRenderedPageBreak/>
        <w:t>and the MBT side (3.47 ± 0.32) (P = 0.152), or in the occlusal surface scores (4.00 ± 0.35 vs 3.94 ± 0.38; P = 0.557). However, the gingival surface score was significantly higher on the MGBP side (4.07 ± 0.33) compared to the MBT side (3.83 ± 0.36) (P = 0.021).</w:t>
      </w:r>
    </w:p>
    <w:p w14:paraId="5F30B3EF" w14:textId="0BC4CD21" w:rsidR="00F604CB" w:rsidRDefault="00F604CB" w:rsidP="009A3E03">
      <w:pPr>
        <w:pStyle w:val="NormalWeb"/>
        <w:spacing w:line="480" w:lineRule="auto"/>
        <w:jc w:val="both"/>
      </w:pPr>
    </w:p>
    <w:p w14:paraId="70DE135E" w14:textId="77777777" w:rsidR="00F604CB" w:rsidRPr="00F604CB" w:rsidRDefault="00F604CB" w:rsidP="00F604CB">
      <w:pPr>
        <w:spacing w:line="480" w:lineRule="auto"/>
        <w:ind w:right="-472"/>
        <w:rPr>
          <w:rFonts w:ascii="Arial" w:hAnsi="Arial" w:cs="Arial"/>
          <w:b/>
          <w:bCs/>
          <w:sz w:val="20"/>
          <w:szCs w:val="20"/>
        </w:rPr>
      </w:pPr>
      <w:r w:rsidRPr="00F604CB">
        <w:rPr>
          <w:rFonts w:ascii="Arial" w:hAnsi="Arial" w:cs="Arial"/>
          <w:b/>
          <w:bCs/>
          <w:sz w:val="20"/>
          <w:szCs w:val="20"/>
        </w:rPr>
        <w:t>Table 2: Comparison of mean surface scores between MBT group and MGBP group for lateral incisors</w:t>
      </w:r>
    </w:p>
    <w:tbl>
      <w:tblPr>
        <w:tblStyle w:val="TableGrid"/>
        <w:tblW w:w="9170" w:type="dxa"/>
        <w:tblLook w:val="04A0" w:firstRow="1" w:lastRow="0" w:firstColumn="1" w:lastColumn="0" w:noHBand="0" w:noVBand="1"/>
      </w:tblPr>
      <w:tblGrid>
        <w:gridCol w:w="1404"/>
        <w:gridCol w:w="3355"/>
        <w:gridCol w:w="2824"/>
        <w:gridCol w:w="1587"/>
      </w:tblGrid>
      <w:tr w:rsidR="00F604CB" w:rsidRPr="00F604CB" w14:paraId="43F40C85" w14:textId="77777777" w:rsidTr="00AE2D0E">
        <w:trPr>
          <w:trHeight w:val="738"/>
        </w:trPr>
        <w:tc>
          <w:tcPr>
            <w:tcW w:w="1404" w:type="dxa"/>
            <w:vAlign w:val="center"/>
          </w:tcPr>
          <w:p w14:paraId="1299EF91"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Surface</w:t>
            </w:r>
          </w:p>
        </w:tc>
        <w:tc>
          <w:tcPr>
            <w:tcW w:w="3355" w:type="dxa"/>
            <w:vAlign w:val="center"/>
          </w:tcPr>
          <w:p w14:paraId="36884F3D" w14:textId="77777777" w:rsidR="00F604CB" w:rsidRPr="00F604CB" w:rsidRDefault="00F604CB" w:rsidP="00AE2D0E">
            <w:pPr>
              <w:jc w:val="center"/>
              <w:rPr>
                <w:rFonts w:ascii="Arial" w:hAnsi="Arial" w:cs="Arial"/>
                <w:b/>
                <w:bCs/>
                <w:sz w:val="20"/>
                <w:szCs w:val="20"/>
              </w:rPr>
            </w:pPr>
            <w:r w:rsidRPr="00F604CB">
              <w:rPr>
                <w:rFonts w:ascii="Arial" w:hAnsi="Arial" w:cs="Arial"/>
                <w:b/>
                <w:bCs/>
                <w:sz w:val="20"/>
                <w:szCs w:val="20"/>
              </w:rPr>
              <w:t>MBT group</w:t>
            </w:r>
          </w:p>
          <w:p w14:paraId="2654AE87"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Mean ± SD</w:t>
            </w:r>
          </w:p>
        </w:tc>
        <w:tc>
          <w:tcPr>
            <w:tcW w:w="2824" w:type="dxa"/>
            <w:vAlign w:val="center"/>
          </w:tcPr>
          <w:p w14:paraId="19B842F1" w14:textId="77777777" w:rsidR="00F604CB" w:rsidRPr="00F604CB" w:rsidRDefault="00F604CB" w:rsidP="00AE2D0E">
            <w:pPr>
              <w:jc w:val="center"/>
              <w:rPr>
                <w:rFonts w:ascii="Arial" w:hAnsi="Arial" w:cs="Arial"/>
                <w:b/>
                <w:bCs/>
                <w:sz w:val="20"/>
                <w:szCs w:val="20"/>
              </w:rPr>
            </w:pPr>
            <w:r w:rsidRPr="00F604CB">
              <w:rPr>
                <w:rFonts w:ascii="Arial" w:hAnsi="Arial" w:cs="Arial"/>
                <w:b/>
                <w:bCs/>
                <w:sz w:val="20"/>
                <w:szCs w:val="20"/>
              </w:rPr>
              <w:t>MGBP group</w:t>
            </w:r>
          </w:p>
          <w:p w14:paraId="4CECDF7B"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Mean ± SD</w:t>
            </w:r>
          </w:p>
        </w:tc>
        <w:tc>
          <w:tcPr>
            <w:tcW w:w="1587" w:type="dxa"/>
            <w:vAlign w:val="center"/>
          </w:tcPr>
          <w:p w14:paraId="364659E9"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P-value</w:t>
            </w:r>
          </w:p>
        </w:tc>
      </w:tr>
      <w:tr w:rsidR="00F604CB" w:rsidRPr="00F604CB" w14:paraId="6A3B6623" w14:textId="77777777" w:rsidTr="00AE2D0E">
        <w:trPr>
          <w:trHeight w:val="375"/>
        </w:trPr>
        <w:tc>
          <w:tcPr>
            <w:tcW w:w="1404" w:type="dxa"/>
            <w:vAlign w:val="center"/>
          </w:tcPr>
          <w:p w14:paraId="04913219"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Mesial</w:t>
            </w:r>
          </w:p>
        </w:tc>
        <w:tc>
          <w:tcPr>
            <w:tcW w:w="3355" w:type="dxa"/>
            <w:vAlign w:val="center"/>
          </w:tcPr>
          <w:p w14:paraId="513B8C26"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3.49 ± 0.31</w:t>
            </w:r>
          </w:p>
        </w:tc>
        <w:tc>
          <w:tcPr>
            <w:tcW w:w="2824" w:type="dxa"/>
            <w:vAlign w:val="center"/>
          </w:tcPr>
          <w:p w14:paraId="747C67F1"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3.61 ± 0.28</w:t>
            </w:r>
          </w:p>
        </w:tc>
        <w:tc>
          <w:tcPr>
            <w:tcW w:w="1587" w:type="dxa"/>
            <w:vAlign w:val="center"/>
          </w:tcPr>
          <w:p w14:paraId="63AC7618"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0.156</w:t>
            </w:r>
            <w:r w:rsidRPr="00F604CB">
              <w:rPr>
                <w:rFonts w:ascii="Arial" w:hAnsi="Arial" w:cs="Arial"/>
                <w:sz w:val="20"/>
                <w:szCs w:val="20"/>
                <w:vertAlign w:val="superscript"/>
              </w:rPr>
              <w:t>a</w:t>
            </w:r>
          </w:p>
        </w:tc>
      </w:tr>
      <w:tr w:rsidR="00F604CB" w:rsidRPr="00F604CB" w14:paraId="48ABD272" w14:textId="77777777" w:rsidTr="00AE2D0E">
        <w:trPr>
          <w:trHeight w:val="361"/>
        </w:trPr>
        <w:tc>
          <w:tcPr>
            <w:tcW w:w="1404" w:type="dxa"/>
            <w:vAlign w:val="center"/>
          </w:tcPr>
          <w:p w14:paraId="03CA2A61"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Distal</w:t>
            </w:r>
          </w:p>
        </w:tc>
        <w:tc>
          <w:tcPr>
            <w:tcW w:w="3355" w:type="dxa"/>
            <w:vAlign w:val="center"/>
          </w:tcPr>
          <w:p w14:paraId="7DC880A9"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3.47 ± 0.32</w:t>
            </w:r>
          </w:p>
        </w:tc>
        <w:tc>
          <w:tcPr>
            <w:tcW w:w="2824" w:type="dxa"/>
            <w:vAlign w:val="center"/>
          </w:tcPr>
          <w:p w14:paraId="0FFCC0CB"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3.58 ± 0.25</w:t>
            </w:r>
          </w:p>
        </w:tc>
        <w:tc>
          <w:tcPr>
            <w:tcW w:w="1587" w:type="dxa"/>
            <w:vAlign w:val="center"/>
          </w:tcPr>
          <w:p w14:paraId="6E7CE6B6"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0.152</w:t>
            </w:r>
            <w:r w:rsidRPr="00F604CB">
              <w:rPr>
                <w:rFonts w:ascii="Arial" w:hAnsi="Arial" w:cs="Arial"/>
                <w:sz w:val="20"/>
                <w:szCs w:val="20"/>
                <w:vertAlign w:val="superscript"/>
              </w:rPr>
              <w:t>a</w:t>
            </w:r>
          </w:p>
        </w:tc>
      </w:tr>
      <w:tr w:rsidR="00F604CB" w:rsidRPr="00F604CB" w14:paraId="74CF5B4A" w14:textId="77777777" w:rsidTr="00AE2D0E">
        <w:trPr>
          <w:trHeight w:val="375"/>
        </w:trPr>
        <w:tc>
          <w:tcPr>
            <w:tcW w:w="1404" w:type="dxa"/>
            <w:vAlign w:val="center"/>
          </w:tcPr>
          <w:p w14:paraId="02B542D9"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Occlusal</w:t>
            </w:r>
          </w:p>
        </w:tc>
        <w:tc>
          <w:tcPr>
            <w:tcW w:w="3355" w:type="dxa"/>
            <w:vAlign w:val="center"/>
          </w:tcPr>
          <w:p w14:paraId="7ED233BA"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3.94 ± 0.38</w:t>
            </w:r>
          </w:p>
        </w:tc>
        <w:tc>
          <w:tcPr>
            <w:tcW w:w="2824" w:type="dxa"/>
            <w:vAlign w:val="center"/>
          </w:tcPr>
          <w:p w14:paraId="61176FEA"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4.00 ± 0.35</w:t>
            </w:r>
          </w:p>
        </w:tc>
        <w:tc>
          <w:tcPr>
            <w:tcW w:w="1587" w:type="dxa"/>
            <w:vAlign w:val="center"/>
          </w:tcPr>
          <w:p w14:paraId="5B2D52D3"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0.557</w:t>
            </w:r>
            <w:r w:rsidRPr="00F604CB">
              <w:rPr>
                <w:rFonts w:ascii="Arial" w:hAnsi="Arial" w:cs="Arial"/>
                <w:sz w:val="20"/>
                <w:szCs w:val="20"/>
                <w:vertAlign w:val="superscript"/>
              </w:rPr>
              <w:t>a</w:t>
            </w:r>
          </w:p>
        </w:tc>
      </w:tr>
      <w:tr w:rsidR="00F604CB" w:rsidRPr="00F604CB" w14:paraId="0539DDE4" w14:textId="77777777" w:rsidTr="00AE2D0E">
        <w:trPr>
          <w:trHeight w:val="361"/>
        </w:trPr>
        <w:tc>
          <w:tcPr>
            <w:tcW w:w="1404" w:type="dxa"/>
            <w:vAlign w:val="center"/>
          </w:tcPr>
          <w:p w14:paraId="51EE22A3"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Gingival</w:t>
            </w:r>
          </w:p>
        </w:tc>
        <w:tc>
          <w:tcPr>
            <w:tcW w:w="3355" w:type="dxa"/>
            <w:vAlign w:val="center"/>
          </w:tcPr>
          <w:p w14:paraId="37B3B1B0"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3.83 ± 0.36</w:t>
            </w:r>
          </w:p>
        </w:tc>
        <w:tc>
          <w:tcPr>
            <w:tcW w:w="2824" w:type="dxa"/>
            <w:vAlign w:val="center"/>
          </w:tcPr>
          <w:p w14:paraId="03B48B0D"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4.07 ± 0.33</w:t>
            </w:r>
          </w:p>
        </w:tc>
        <w:tc>
          <w:tcPr>
            <w:tcW w:w="1587" w:type="dxa"/>
            <w:vAlign w:val="center"/>
          </w:tcPr>
          <w:p w14:paraId="40472A98"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0.021</w:t>
            </w:r>
            <w:r w:rsidRPr="00F604CB">
              <w:rPr>
                <w:rFonts w:ascii="Arial" w:hAnsi="Arial" w:cs="Arial"/>
                <w:sz w:val="20"/>
                <w:szCs w:val="20"/>
                <w:vertAlign w:val="superscript"/>
              </w:rPr>
              <w:t>b</w:t>
            </w:r>
          </w:p>
        </w:tc>
      </w:tr>
    </w:tbl>
    <w:p w14:paraId="1802310C" w14:textId="77777777" w:rsidR="00F604CB" w:rsidRPr="00F604CB" w:rsidRDefault="00F604CB" w:rsidP="00F604CB">
      <w:pPr>
        <w:spacing w:line="480" w:lineRule="auto"/>
        <w:ind w:right="-188"/>
        <w:jc w:val="both"/>
        <w:rPr>
          <w:rFonts w:ascii="Arial" w:hAnsi="Arial" w:cs="Arial"/>
          <w:sz w:val="20"/>
          <w:szCs w:val="20"/>
        </w:rPr>
      </w:pPr>
      <w:proofErr w:type="spellStart"/>
      <w:r w:rsidRPr="00F604CB">
        <w:rPr>
          <w:rFonts w:ascii="Arial" w:hAnsi="Arial" w:cs="Arial"/>
          <w:sz w:val="20"/>
          <w:szCs w:val="20"/>
        </w:rPr>
        <w:t>aP</w:t>
      </w:r>
      <w:proofErr w:type="spellEnd"/>
      <w:r w:rsidRPr="00F604CB">
        <w:rPr>
          <w:rFonts w:ascii="Arial" w:hAnsi="Arial" w:cs="Arial"/>
          <w:sz w:val="20"/>
          <w:szCs w:val="20"/>
        </w:rPr>
        <w:t xml:space="preserve">&gt;0.05: no significant difference, </w:t>
      </w:r>
      <w:proofErr w:type="spellStart"/>
      <w:r w:rsidRPr="00F604CB">
        <w:rPr>
          <w:rFonts w:ascii="Arial" w:hAnsi="Arial" w:cs="Arial"/>
          <w:sz w:val="20"/>
          <w:szCs w:val="20"/>
        </w:rPr>
        <w:t>bP</w:t>
      </w:r>
      <w:proofErr w:type="spellEnd"/>
      <w:r w:rsidRPr="00F604CB">
        <w:rPr>
          <w:rFonts w:ascii="Arial" w:hAnsi="Arial" w:cs="Arial"/>
          <w:sz w:val="20"/>
          <w:szCs w:val="20"/>
        </w:rPr>
        <w:t xml:space="preserve">&lt;0.05: significant difference, </w:t>
      </w:r>
      <w:proofErr w:type="spellStart"/>
      <w:r w:rsidRPr="00F604CB">
        <w:rPr>
          <w:rFonts w:ascii="Arial" w:hAnsi="Arial" w:cs="Arial"/>
          <w:sz w:val="20"/>
          <w:szCs w:val="20"/>
        </w:rPr>
        <w:t>cP</w:t>
      </w:r>
      <w:proofErr w:type="spellEnd"/>
      <w:r w:rsidRPr="00F604CB">
        <w:rPr>
          <w:rFonts w:ascii="Arial" w:hAnsi="Arial" w:cs="Arial"/>
          <w:sz w:val="20"/>
          <w:szCs w:val="20"/>
        </w:rPr>
        <w:t>&lt;0.001: highly significant difference</w:t>
      </w:r>
    </w:p>
    <w:p w14:paraId="33A698FE" w14:textId="29758340" w:rsidR="009A3E03" w:rsidRPr="00F604CB" w:rsidRDefault="009A3E03" w:rsidP="009A3E03">
      <w:pPr>
        <w:pStyle w:val="NormalWeb"/>
        <w:spacing w:line="480" w:lineRule="auto"/>
        <w:jc w:val="both"/>
        <w:rPr>
          <w:rFonts w:ascii="Arial" w:hAnsi="Arial" w:cs="Arial"/>
          <w:sz w:val="20"/>
          <w:szCs w:val="20"/>
        </w:rPr>
      </w:pPr>
      <w:r w:rsidRPr="00F604CB">
        <w:rPr>
          <w:rFonts w:ascii="Arial" w:hAnsi="Arial" w:cs="Arial"/>
          <w:sz w:val="20"/>
          <w:szCs w:val="20"/>
        </w:rPr>
        <w:t xml:space="preserve">For the </w:t>
      </w:r>
      <w:r w:rsidRPr="00F604CB">
        <w:rPr>
          <w:rStyle w:val="Strong"/>
          <w:rFonts w:ascii="Arial" w:hAnsi="Arial" w:cs="Arial"/>
          <w:b w:val="0"/>
          <w:bCs w:val="0"/>
          <w:sz w:val="20"/>
          <w:szCs w:val="20"/>
        </w:rPr>
        <w:t>canines</w:t>
      </w:r>
      <w:r w:rsidRPr="00F604CB">
        <w:rPr>
          <w:rFonts w:ascii="Arial" w:hAnsi="Arial" w:cs="Arial"/>
          <w:sz w:val="20"/>
          <w:szCs w:val="20"/>
        </w:rPr>
        <w:t xml:space="preserve"> (Table 3), the mean mesial surface score was significantly higher on the MGBP side (4.31 ± 0.35) compared to the MBT side (4.03 ± 0.38) (P = 0.009). The distal surface score also demonstrated a statistically significant difference, with higher values observed on the MGBP side (4.26 ± 0.31) compared to the MBT side (3.92 ± 0.37) (P = 0.001). Similarly, the occlusal surface score was significantly greater on the MGBP side (4.57 ± 0.31) than on the MBT side (4.31 ± 0.32) (P = 0.004). No statistically significant difference was found in the gingival surface scores between the two sides (P = 0.226).</w:t>
      </w:r>
    </w:p>
    <w:p w14:paraId="50350BD7" w14:textId="77777777" w:rsidR="00F604CB" w:rsidRPr="00F604CB" w:rsidRDefault="00F604CB" w:rsidP="00F604CB">
      <w:pPr>
        <w:spacing w:line="480" w:lineRule="auto"/>
        <w:ind w:right="-330"/>
        <w:rPr>
          <w:rFonts w:ascii="Arial" w:hAnsi="Arial" w:cs="Arial"/>
          <w:b/>
          <w:bCs/>
          <w:sz w:val="20"/>
          <w:szCs w:val="20"/>
        </w:rPr>
      </w:pPr>
      <w:r w:rsidRPr="00F604CB">
        <w:rPr>
          <w:rFonts w:ascii="Arial" w:hAnsi="Arial" w:cs="Arial"/>
          <w:b/>
          <w:bCs/>
          <w:sz w:val="20"/>
          <w:szCs w:val="20"/>
        </w:rPr>
        <w:t>Table 3: Comparison of mean surface scores between MBT group and MGBP group for canines</w:t>
      </w:r>
    </w:p>
    <w:tbl>
      <w:tblPr>
        <w:tblStyle w:val="TableGrid"/>
        <w:tblW w:w="9190" w:type="dxa"/>
        <w:tblLook w:val="04A0" w:firstRow="1" w:lastRow="0" w:firstColumn="1" w:lastColumn="0" w:noHBand="0" w:noVBand="1"/>
      </w:tblPr>
      <w:tblGrid>
        <w:gridCol w:w="1307"/>
        <w:gridCol w:w="3120"/>
        <w:gridCol w:w="3288"/>
        <w:gridCol w:w="1475"/>
      </w:tblGrid>
      <w:tr w:rsidR="00F604CB" w:rsidRPr="00F604CB" w14:paraId="7C76709F" w14:textId="77777777" w:rsidTr="00AE2D0E">
        <w:trPr>
          <w:trHeight w:val="722"/>
        </w:trPr>
        <w:tc>
          <w:tcPr>
            <w:tcW w:w="1307" w:type="dxa"/>
            <w:vAlign w:val="center"/>
          </w:tcPr>
          <w:p w14:paraId="1E1420D5"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Surface</w:t>
            </w:r>
          </w:p>
        </w:tc>
        <w:tc>
          <w:tcPr>
            <w:tcW w:w="3120" w:type="dxa"/>
            <w:vAlign w:val="center"/>
          </w:tcPr>
          <w:p w14:paraId="053C4A2C" w14:textId="77777777" w:rsidR="00F604CB" w:rsidRPr="00F604CB" w:rsidRDefault="00F604CB" w:rsidP="00AE2D0E">
            <w:pPr>
              <w:jc w:val="center"/>
              <w:rPr>
                <w:rFonts w:ascii="Arial" w:hAnsi="Arial" w:cs="Arial"/>
                <w:b/>
                <w:bCs/>
                <w:sz w:val="20"/>
                <w:szCs w:val="20"/>
              </w:rPr>
            </w:pPr>
            <w:r w:rsidRPr="00F604CB">
              <w:rPr>
                <w:rFonts w:ascii="Arial" w:hAnsi="Arial" w:cs="Arial"/>
                <w:b/>
                <w:bCs/>
                <w:sz w:val="20"/>
                <w:szCs w:val="20"/>
              </w:rPr>
              <w:t>MBT group</w:t>
            </w:r>
          </w:p>
          <w:p w14:paraId="74F635B3"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Mean ± SD</w:t>
            </w:r>
          </w:p>
        </w:tc>
        <w:tc>
          <w:tcPr>
            <w:tcW w:w="3288" w:type="dxa"/>
            <w:vAlign w:val="center"/>
          </w:tcPr>
          <w:p w14:paraId="24770B51" w14:textId="77777777" w:rsidR="00F604CB" w:rsidRPr="00F604CB" w:rsidRDefault="00F604CB" w:rsidP="00AE2D0E">
            <w:pPr>
              <w:jc w:val="center"/>
              <w:rPr>
                <w:rFonts w:ascii="Arial" w:hAnsi="Arial" w:cs="Arial"/>
                <w:b/>
                <w:bCs/>
                <w:sz w:val="20"/>
                <w:szCs w:val="20"/>
              </w:rPr>
            </w:pPr>
            <w:r w:rsidRPr="00F604CB">
              <w:rPr>
                <w:rFonts w:ascii="Arial" w:hAnsi="Arial" w:cs="Arial"/>
                <w:b/>
                <w:bCs/>
                <w:sz w:val="20"/>
                <w:szCs w:val="20"/>
              </w:rPr>
              <w:t>MGBP group</w:t>
            </w:r>
          </w:p>
          <w:p w14:paraId="05F9DC80"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Mean ± SD</w:t>
            </w:r>
          </w:p>
        </w:tc>
        <w:tc>
          <w:tcPr>
            <w:tcW w:w="1475" w:type="dxa"/>
            <w:vAlign w:val="center"/>
          </w:tcPr>
          <w:p w14:paraId="5D8CC535" w14:textId="77777777" w:rsidR="00F604CB" w:rsidRPr="00F604CB" w:rsidRDefault="00F604CB" w:rsidP="00AE2D0E">
            <w:pPr>
              <w:jc w:val="center"/>
              <w:rPr>
                <w:rFonts w:ascii="Arial" w:hAnsi="Arial" w:cs="Arial"/>
                <w:sz w:val="20"/>
                <w:szCs w:val="20"/>
              </w:rPr>
            </w:pPr>
            <w:r w:rsidRPr="00F604CB">
              <w:rPr>
                <w:rFonts w:ascii="Arial" w:hAnsi="Arial" w:cs="Arial"/>
                <w:b/>
                <w:bCs/>
                <w:sz w:val="20"/>
                <w:szCs w:val="20"/>
              </w:rPr>
              <w:t>P-value</w:t>
            </w:r>
          </w:p>
        </w:tc>
      </w:tr>
      <w:tr w:rsidR="00F604CB" w:rsidRPr="00F604CB" w14:paraId="30547397" w14:textId="77777777" w:rsidTr="00AE2D0E">
        <w:trPr>
          <w:trHeight w:val="354"/>
        </w:trPr>
        <w:tc>
          <w:tcPr>
            <w:tcW w:w="1307" w:type="dxa"/>
            <w:vAlign w:val="center"/>
          </w:tcPr>
          <w:p w14:paraId="66CB72F4"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Mesial</w:t>
            </w:r>
          </w:p>
        </w:tc>
        <w:tc>
          <w:tcPr>
            <w:tcW w:w="3120" w:type="dxa"/>
            <w:vAlign w:val="center"/>
          </w:tcPr>
          <w:p w14:paraId="2605E9C3"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4.03 ± 0.38</w:t>
            </w:r>
          </w:p>
        </w:tc>
        <w:tc>
          <w:tcPr>
            <w:tcW w:w="3288" w:type="dxa"/>
            <w:vAlign w:val="center"/>
          </w:tcPr>
          <w:p w14:paraId="4BE59FA0"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4.31 ± 0.35</w:t>
            </w:r>
          </w:p>
        </w:tc>
        <w:tc>
          <w:tcPr>
            <w:tcW w:w="1475" w:type="dxa"/>
            <w:vAlign w:val="center"/>
          </w:tcPr>
          <w:p w14:paraId="4329A966"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0.009</w:t>
            </w:r>
            <w:r w:rsidRPr="00F604CB">
              <w:rPr>
                <w:rFonts w:ascii="Arial" w:hAnsi="Arial" w:cs="Arial"/>
                <w:sz w:val="20"/>
                <w:szCs w:val="20"/>
                <w:vertAlign w:val="superscript"/>
              </w:rPr>
              <w:t>b</w:t>
            </w:r>
          </w:p>
        </w:tc>
      </w:tr>
      <w:tr w:rsidR="00F604CB" w:rsidRPr="00F604CB" w14:paraId="0DCF1C5E" w14:textId="77777777" w:rsidTr="00AE2D0E">
        <w:trPr>
          <w:trHeight w:val="354"/>
        </w:trPr>
        <w:tc>
          <w:tcPr>
            <w:tcW w:w="1307" w:type="dxa"/>
            <w:vAlign w:val="center"/>
          </w:tcPr>
          <w:p w14:paraId="32E330E9"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Distal</w:t>
            </w:r>
          </w:p>
        </w:tc>
        <w:tc>
          <w:tcPr>
            <w:tcW w:w="3120" w:type="dxa"/>
            <w:vAlign w:val="center"/>
          </w:tcPr>
          <w:p w14:paraId="50D8384E"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3.92 ± 0.37</w:t>
            </w:r>
          </w:p>
        </w:tc>
        <w:tc>
          <w:tcPr>
            <w:tcW w:w="3288" w:type="dxa"/>
            <w:vAlign w:val="center"/>
          </w:tcPr>
          <w:p w14:paraId="11F4E420"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4.26 ± 0.31</w:t>
            </w:r>
          </w:p>
        </w:tc>
        <w:tc>
          <w:tcPr>
            <w:tcW w:w="1475" w:type="dxa"/>
            <w:vAlign w:val="center"/>
          </w:tcPr>
          <w:p w14:paraId="7AE066A7"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0.001</w:t>
            </w:r>
            <w:r w:rsidRPr="00F604CB">
              <w:rPr>
                <w:rFonts w:ascii="Arial" w:hAnsi="Arial" w:cs="Arial"/>
                <w:sz w:val="20"/>
                <w:szCs w:val="20"/>
                <w:vertAlign w:val="superscript"/>
              </w:rPr>
              <w:t>b</w:t>
            </w:r>
          </w:p>
        </w:tc>
      </w:tr>
      <w:tr w:rsidR="00F604CB" w:rsidRPr="00F604CB" w14:paraId="568B0577" w14:textId="77777777" w:rsidTr="00AE2D0E">
        <w:trPr>
          <w:trHeight w:val="354"/>
        </w:trPr>
        <w:tc>
          <w:tcPr>
            <w:tcW w:w="1307" w:type="dxa"/>
            <w:vAlign w:val="center"/>
          </w:tcPr>
          <w:p w14:paraId="5D7FF3D3"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Occlusal</w:t>
            </w:r>
          </w:p>
        </w:tc>
        <w:tc>
          <w:tcPr>
            <w:tcW w:w="3120" w:type="dxa"/>
            <w:vAlign w:val="center"/>
          </w:tcPr>
          <w:p w14:paraId="10B9CFE7"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4.31 ± 0.32</w:t>
            </w:r>
          </w:p>
        </w:tc>
        <w:tc>
          <w:tcPr>
            <w:tcW w:w="3288" w:type="dxa"/>
            <w:vAlign w:val="center"/>
          </w:tcPr>
          <w:p w14:paraId="43699A1F"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4.57 ± 0.31</w:t>
            </w:r>
          </w:p>
        </w:tc>
        <w:tc>
          <w:tcPr>
            <w:tcW w:w="1475" w:type="dxa"/>
            <w:vAlign w:val="center"/>
          </w:tcPr>
          <w:p w14:paraId="454A82DC"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0.004</w:t>
            </w:r>
            <w:r w:rsidRPr="00F604CB">
              <w:rPr>
                <w:rFonts w:ascii="Arial" w:hAnsi="Arial" w:cs="Arial"/>
                <w:sz w:val="20"/>
                <w:szCs w:val="20"/>
                <w:vertAlign w:val="superscript"/>
              </w:rPr>
              <w:t>b</w:t>
            </w:r>
          </w:p>
        </w:tc>
      </w:tr>
      <w:tr w:rsidR="00F604CB" w:rsidRPr="00F604CB" w14:paraId="58B51864" w14:textId="77777777" w:rsidTr="00AE2D0E">
        <w:trPr>
          <w:trHeight w:val="354"/>
        </w:trPr>
        <w:tc>
          <w:tcPr>
            <w:tcW w:w="1307" w:type="dxa"/>
            <w:vAlign w:val="center"/>
          </w:tcPr>
          <w:p w14:paraId="2E5D9460"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Gingival</w:t>
            </w:r>
          </w:p>
        </w:tc>
        <w:tc>
          <w:tcPr>
            <w:tcW w:w="3120" w:type="dxa"/>
            <w:vAlign w:val="center"/>
          </w:tcPr>
          <w:p w14:paraId="5712012A"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4.41 ± 0.41</w:t>
            </w:r>
          </w:p>
        </w:tc>
        <w:tc>
          <w:tcPr>
            <w:tcW w:w="3288" w:type="dxa"/>
            <w:vAlign w:val="center"/>
          </w:tcPr>
          <w:p w14:paraId="68C37D60"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4.55 ± 0.38</w:t>
            </w:r>
          </w:p>
        </w:tc>
        <w:tc>
          <w:tcPr>
            <w:tcW w:w="1475" w:type="dxa"/>
            <w:vAlign w:val="center"/>
          </w:tcPr>
          <w:p w14:paraId="2EADB2E7" w14:textId="77777777" w:rsidR="00F604CB" w:rsidRPr="00F604CB" w:rsidRDefault="00F604CB" w:rsidP="00AE2D0E">
            <w:pPr>
              <w:jc w:val="center"/>
              <w:rPr>
                <w:rFonts w:ascii="Arial" w:hAnsi="Arial" w:cs="Arial"/>
                <w:sz w:val="20"/>
                <w:szCs w:val="20"/>
              </w:rPr>
            </w:pPr>
            <w:r w:rsidRPr="00F604CB">
              <w:rPr>
                <w:rFonts w:ascii="Arial" w:hAnsi="Arial" w:cs="Arial"/>
                <w:sz w:val="20"/>
                <w:szCs w:val="20"/>
              </w:rPr>
              <w:t>0.226</w:t>
            </w:r>
            <w:r w:rsidRPr="00F604CB">
              <w:rPr>
                <w:rFonts w:ascii="Arial" w:hAnsi="Arial" w:cs="Arial"/>
                <w:sz w:val="20"/>
                <w:szCs w:val="20"/>
                <w:vertAlign w:val="superscript"/>
              </w:rPr>
              <w:t>a</w:t>
            </w:r>
          </w:p>
        </w:tc>
      </w:tr>
    </w:tbl>
    <w:p w14:paraId="36759151" w14:textId="77777777" w:rsidR="00F604CB" w:rsidRPr="00F604CB" w:rsidRDefault="00F604CB" w:rsidP="00F604CB">
      <w:pPr>
        <w:spacing w:line="480" w:lineRule="auto"/>
        <w:ind w:right="-188"/>
        <w:jc w:val="both"/>
        <w:rPr>
          <w:rFonts w:ascii="Arial" w:hAnsi="Arial" w:cs="Arial"/>
          <w:sz w:val="20"/>
          <w:szCs w:val="20"/>
        </w:rPr>
      </w:pPr>
      <w:proofErr w:type="spellStart"/>
      <w:r w:rsidRPr="00F604CB">
        <w:rPr>
          <w:rFonts w:ascii="Arial" w:hAnsi="Arial" w:cs="Arial"/>
          <w:sz w:val="20"/>
          <w:szCs w:val="20"/>
        </w:rPr>
        <w:t>aP</w:t>
      </w:r>
      <w:proofErr w:type="spellEnd"/>
      <w:r w:rsidRPr="00F604CB">
        <w:rPr>
          <w:rFonts w:ascii="Arial" w:hAnsi="Arial" w:cs="Arial"/>
          <w:sz w:val="20"/>
          <w:szCs w:val="20"/>
        </w:rPr>
        <w:t xml:space="preserve">&gt;0.05: no significant difference, </w:t>
      </w:r>
      <w:proofErr w:type="spellStart"/>
      <w:r w:rsidRPr="00F604CB">
        <w:rPr>
          <w:rFonts w:ascii="Arial" w:hAnsi="Arial" w:cs="Arial"/>
          <w:sz w:val="20"/>
          <w:szCs w:val="20"/>
        </w:rPr>
        <w:t>bP</w:t>
      </w:r>
      <w:proofErr w:type="spellEnd"/>
      <w:r w:rsidRPr="00F604CB">
        <w:rPr>
          <w:rFonts w:ascii="Arial" w:hAnsi="Arial" w:cs="Arial"/>
          <w:sz w:val="20"/>
          <w:szCs w:val="20"/>
        </w:rPr>
        <w:t xml:space="preserve">&lt;0.05: significant difference, </w:t>
      </w:r>
      <w:proofErr w:type="spellStart"/>
      <w:r w:rsidRPr="00F604CB">
        <w:rPr>
          <w:rFonts w:ascii="Arial" w:hAnsi="Arial" w:cs="Arial"/>
          <w:sz w:val="20"/>
          <w:szCs w:val="20"/>
        </w:rPr>
        <w:t>cP</w:t>
      </w:r>
      <w:proofErr w:type="spellEnd"/>
      <w:r w:rsidRPr="00F604CB">
        <w:rPr>
          <w:rFonts w:ascii="Arial" w:hAnsi="Arial" w:cs="Arial"/>
          <w:sz w:val="20"/>
          <w:szCs w:val="20"/>
        </w:rPr>
        <w:t>&lt;0.001: highly significant difference</w:t>
      </w:r>
    </w:p>
    <w:p w14:paraId="19480E56" w14:textId="107BF4D4" w:rsidR="009A3E03" w:rsidRPr="00F604CB" w:rsidRDefault="009A3E03" w:rsidP="009A3E03">
      <w:pPr>
        <w:pStyle w:val="NormalWeb"/>
        <w:spacing w:line="480" w:lineRule="auto"/>
        <w:jc w:val="both"/>
        <w:rPr>
          <w:rFonts w:ascii="Arial" w:hAnsi="Arial" w:cs="Arial"/>
          <w:sz w:val="20"/>
          <w:szCs w:val="20"/>
        </w:rPr>
      </w:pPr>
      <w:r w:rsidRPr="00F604CB">
        <w:rPr>
          <w:rFonts w:ascii="Arial" w:hAnsi="Arial" w:cs="Arial"/>
          <w:sz w:val="20"/>
          <w:szCs w:val="20"/>
        </w:rPr>
        <w:lastRenderedPageBreak/>
        <w:t>Overall, the MGBP positioner demonstrated consistently higher mean surface scores across most parameters compared to the MBT gauge. Statistically significant differences were primarily observed in the mesial and occlusal surfaces of central incisors, the gingival surface of lateral incisors, and the mesial, distal, and occlusal surfaces of canines, indicating superior bracket positioning accuracy with the MGBP technique.</w:t>
      </w:r>
    </w:p>
    <w:p w14:paraId="5922A4FA" w14:textId="221760A4" w:rsidR="00CA7AE5" w:rsidRPr="00F604CB" w:rsidRDefault="00F604CB" w:rsidP="00E57285">
      <w:pPr>
        <w:pStyle w:val="NormalWeb"/>
        <w:spacing w:line="480" w:lineRule="auto"/>
        <w:jc w:val="both"/>
        <w:rPr>
          <w:rFonts w:ascii="Arial" w:hAnsi="Arial" w:cs="Arial"/>
          <w:sz w:val="22"/>
          <w:szCs w:val="22"/>
        </w:rPr>
      </w:pPr>
      <w:r w:rsidRPr="00F604CB">
        <w:rPr>
          <w:rFonts w:ascii="Arial" w:hAnsi="Arial" w:cs="Arial"/>
          <w:b/>
          <w:bCs/>
          <w:sz w:val="22"/>
          <w:szCs w:val="22"/>
        </w:rPr>
        <w:t>4. DISCUSSION</w:t>
      </w:r>
    </w:p>
    <w:p w14:paraId="3089E598" w14:textId="16E57902" w:rsidR="0097437B" w:rsidRPr="00751A29" w:rsidRDefault="0097437B" w:rsidP="0097437B">
      <w:pPr>
        <w:pStyle w:val="NormalWeb"/>
        <w:spacing w:line="480" w:lineRule="auto"/>
        <w:jc w:val="both"/>
        <w:rPr>
          <w:rFonts w:ascii="Arial" w:hAnsi="Arial" w:cs="Arial"/>
          <w:sz w:val="20"/>
          <w:szCs w:val="20"/>
        </w:rPr>
      </w:pPr>
      <w:r w:rsidRPr="00751A29">
        <w:rPr>
          <w:rFonts w:ascii="Arial" w:hAnsi="Arial" w:cs="Arial"/>
          <w:sz w:val="20"/>
          <w:szCs w:val="20"/>
        </w:rPr>
        <w:t>The present study evaluated the accuracy of bracket positioning using the MBT gauge and the MGBP positioner in maxillary anterior teeth using a split-mouth design. The findings demonstrated that the MGBP positioner provided significantly greater accuracy compared to the MBT gauge in several parameters, particularly in the mesial and occlusal surfaces of central incisors, the gingival surface of lateral incisors, and the mesial, distal, and occlusal surfaces of canines. However, no statistically significant differences were observed in certain parameters, indicating that both methods performed comparably in selected regions.</w:t>
      </w:r>
    </w:p>
    <w:p w14:paraId="3539D5F4" w14:textId="159E90A8" w:rsidR="0097437B" w:rsidRPr="00751A29" w:rsidRDefault="0097437B" w:rsidP="0097437B">
      <w:pPr>
        <w:pStyle w:val="NormalWeb"/>
        <w:spacing w:line="480" w:lineRule="auto"/>
        <w:jc w:val="both"/>
        <w:rPr>
          <w:rFonts w:ascii="Arial" w:hAnsi="Arial" w:cs="Arial"/>
          <w:sz w:val="20"/>
          <w:szCs w:val="20"/>
        </w:rPr>
      </w:pPr>
      <w:r w:rsidRPr="00751A29">
        <w:rPr>
          <w:rFonts w:ascii="Arial" w:hAnsi="Arial" w:cs="Arial"/>
          <w:sz w:val="20"/>
          <w:szCs w:val="20"/>
        </w:rPr>
        <w:t xml:space="preserve">Accurate bracket placement is a critical step in orthodontic treatment, as it directly influences the expression of built-in bracket prescriptions and overall treatment outcomes. Inaccurate placement of orthodontic brackets at the initial stage can adversely affect the expression of built-in prescription features, leading to undesirable torque control, tipping discrepancies, and in–out variations that may continue throughout the course of treatment, often necessitating additional wire adjustments at later stages. McLaughlin et al. stated that precise bracket positioning is necessary to </w:t>
      </w:r>
      <w:r w:rsidR="00751A29" w:rsidRPr="00751A29">
        <w:rPr>
          <w:rFonts w:ascii="Arial" w:hAnsi="Arial" w:cs="Arial"/>
          <w:sz w:val="20"/>
          <w:szCs w:val="20"/>
        </w:rPr>
        <w:t>express the built-in characteristics of the bracket system completely and effectively</w:t>
      </w:r>
      <w:r w:rsidRPr="00751A29">
        <w:rPr>
          <w:rFonts w:ascii="Arial" w:hAnsi="Arial" w:cs="Arial"/>
          <w:sz w:val="20"/>
          <w:szCs w:val="20"/>
        </w:rPr>
        <w:t xml:space="preserve">. In the original edgewise appliance, standard </w:t>
      </w:r>
      <w:proofErr w:type="spellStart"/>
      <w:r w:rsidRPr="00751A29">
        <w:rPr>
          <w:rFonts w:ascii="Arial" w:hAnsi="Arial" w:cs="Arial"/>
          <w:sz w:val="20"/>
          <w:szCs w:val="20"/>
        </w:rPr>
        <w:t>millimeter</w:t>
      </w:r>
      <w:proofErr w:type="spellEnd"/>
      <w:r w:rsidRPr="00751A29">
        <w:rPr>
          <w:rFonts w:ascii="Arial" w:hAnsi="Arial" w:cs="Arial"/>
          <w:sz w:val="20"/>
          <w:szCs w:val="20"/>
        </w:rPr>
        <w:t xml:space="preserve"> measurements were collected from each tooth's incisal edge, regardless of tooth size, and bracket installation was often done using gauges. For large incisors, this resulted in incisal bracket placement, which changed the torque and in–out that the brackets produced. It is necessary to visualize the vertical long axis of the clinical crown of each tooth to achieve accuracy because errors may cause incorrect tip positioning of the teeth. McLaughlin et al. proposed that the bracket wings need to be parallel to the long axis. However, obtaining axial accuracy remains the most difficult aspect.</w:t>
      </w:r>
    </w:p>
    <w:p w14:paraId="06D1D466" w14:textId="10B42968" w:rsidR="0097437B" w:rsidRPr="00751A29" w:rsidRDefault="0097437B" w:rsidP="0097437B">
      <w:pPr>
        <w:pStyle w:val="NormalWeb"/>
        <w:spacing w:line="480" w:lineRule="auto"/>
        <w:jc w:val="both"/>
        <w:rPr>
          <w:rFonts w:ascii="Arial" w:hAnsi="Arial" w:cs="Arial"/>
          <w:sz w:val="20"/>
          <w:szCs w:val="20"/>
        </w:rPr>
      </w:pPr>
      <w:r w:rsidRPr="00751A29">
        <w:rPr>
          <w:rFonts w:ascii="Arial" w:hAnsi="Arial" w:cs="Arial"/>
          <w:sz w:val="20"/>
          <w:szCs w:val="20"/>
        </w:rPr>
        <w:t xml:space="preserve">The superior performance of the MGBP positioner observed in the present study can be attributed to its design characteristics. The incorporation of a mirror enables improved indirect visualization during </w:t>
      </w:r>
      <w:r w:rsidRPr="00751A29">
        <w:rPr>
          <w:rFonts w:ascii="Arial" w:hAnsi="Arial" w:cs="Arial"/>
          <w:sz w:val="20"/>
          <w:szCs w:val="20"/>
        </w:rPr>
        <w:lastRenderedPageBreak/>
        <w:t>bracket bonding, particularly in regions where direct access is limited. Furthermore, the presence of both vertical and horizontal reference components allows better alignment of the bracket with the long axis of the tooth, thereby reducing errors in both vertical and mesiodistal positioning. This dual-plane control likely contributed to the significantly higher accuracy observed in multiple parameters with the MGBP positioner compared to the MBT gauge, which primarily aids vertical positioning and offers limited control over horizontal and axial alignment.</w:t>
      </w:r>
    </w:p>
    <w:p w14:paraId="3ACE0FF7" w14:textId="5537851A" w:rsidR="0097437B" w:rsidRPr="00751A29" w:rsidRDefault="0097437B" w:rsidP="0097437B">
      <w:pPr>
        <w:pStyle w:val="NormalWeb"/>
        <w:spacing w:line="480" w:lineRule="auto"/>
        <w:jc w:val="both"/>
        <w:rPr>
          <w:rFonts w:ascii="Arial" w:hAnsi="Arial" w:cs="Arial"/>
          <w:sz w:val="20"/>
          <w:szCs w:val="20"/>
        </w:rPr>
      </w:pPr>
      <w:r w:rsidRPr="00751A29">
        <w:rPr>
          <w:rFonts w:ascii="Arial" w:hAnsi="Arial" w:cs="Arial"/>
          <w:sz w:val="20"/>
          <w:szCs w:val="20"/>
        </w:rPr>
        <w:t>The greater differences observed in canines compared to incisors may be explained by anatomical and clinical considerations. Canines are positioned more posteriorly in the arch and exhibit greater crown convexity, making accurate bracket placement more challenging using conventional gauges. In such situations, enhanced visualization and guidance provided by the MGBP positioner may have a more pronounced effect, resulting in significantly improved accuracy in mesial, distal, and occlusal parameters. In contrast, the relatively accessible position of incisors may explain the lack of statistically significant differences in certain measurements.</w:t>
      </w:r>
    </w:p>
    <w:p w14:paraId="0E475871" w14:textId="486087F2" w:rsidR="0097437B" w:rsidRPr="00751A29" w:rsidRDefault="0097437B" w:rsidP="0097437B">
      <w:pPr>
        <w:pStyle w:val="NormalWeb"/>
        <w:spacing w:line="480" w:lineRule="auto"/>
        <w:jc w:val="both"/>
        <w:rPr>
          <w:rFonts w:ascii="Arial" w:hAnsi="Arial" w:cs="Arial"/>
          <w:sz w:val="20"/>
          <w:szCs w:val="20"/>
        </w:rPr>
      </w:pPr>
      <w:r w:rsidRPr="00751A29">
        <w:rPr>
          <w:rFonts w:ascii="Arial" w:hAnsi="Arial" w:cs="Arial"/>
          <w:sz w:val="20"/>
          <w:szCs w:val="20"/>
        </w:rPr>
        <w:t xml:space="preserve">Several modified bracket positioning instruments have been introduced to improve accuracy. </w:t>
      </w:r>
      <w:proofErr w:type="spellStart"/>
      <w:r w:rsidRPr="00751A29">
        <w:rPr>
          <w:rFonts w:ascii="Arial" w:hAnsi="Arial" w:cs="Arial"/>
          <w:sz w:val="20"/>
          <w:szCs w:val="20"/>
        </w:rPr>
        <w:t>Droschl</w:t>
      </w:r>
      <w:proofErr w:type="spellEnd"/>
      <w:r w:rsidRPr="00751A29">
        <w:rPr>
          <w:rFonts w:ascii="Arial" w:hAnsi="Arial" w:cs="Arial"/>
          <w:sz w:val="20"/>
          <w:szCs w:val="20"/>
        </w:rPr>
        <w:t xml:space="preserve"> </w:t>
      </w:r>
      <w:r w:rsidR="00751A29" w:rsidRPr="00751A29">
        <w:rPr>
          <w:rFonts w:ascii="Arial" w:hAnsi="Arial" w:cs="Arial"/>
          <w:sz w:val="20"/>
          <w:szCs w:val="20"/>
        </w:rPr>
        <w:t>(1986)</w:t>
      </w:r>
      <w:r w:rsidRPr="00751A29">
        <w:rPr>
          <w:rFonts w:ascii="Arial" w:hAnsi="Arial" w:cs="Arial"/>
          <w:sz w:val="20"/>
          <w:szCs w:val="20"/>
        </w:rPr>
        <w:t xml:space="preserve"> introduced a modification of the Boone gauge in which the sharp metal pins were replaced by pencil leads at various heights. Samuels </w:t>
      </w:r>
      <w:r w:rsidR="00751A29" w:rsidRPr="00751A29">
        <w:rPr>
          <w:rFonts w:ascii="Arial" w:hAnsi="Arial" w:cs="Arial"/>
          <w:sz w:val="20"/>
          <w:szCs w:val="20"/>
        </w:rPr>
        <w:t>(2005)</w:t>
      </w:r>
      <w:r w:rsidRPr="00751A29">
        <w:rPr>
          <w:rFonts w:ascii="Arial" w:hAnsi="Arial" w:cs="Arial"/>
          <w:sz w:val="20"/>
          <w:szCs w:val="20"/>
        </w:rPr>
        <w:t xml:space="preserve"> designed the TN3™ bracket positioning instrument to facilitate bracket placement and removal of excess composite. Geron </w:t>
      </w:r>
      <w:r w:rsidR="00751A29" w:rsidRPr="00751A29">
        <w:rPr>
          <w:rFonts w:ascii="Arial" w:hAnsi="Arial" w:cs="Arial"/>
          <w:sz w:val="20"/>
          <w:szCs w:val="20"/>
        </w:rPr>
        <w:t>(2002)</w:t>
      </w:r>
      <w:r w:rsidRPr="00751A29">
        <w:rPr>
          <w:rFonts w:ascii="Arial" w:hAnsi="Arial" w:cs="Arial"/>
          <w:sz w:val="20"/>
          <w:szCs w:val="20"/>
        </w:rPr>
        <w:t xml:space="preserve"> introduced a height gauge tweezer that measures bracket height simultaneously at two points, thereby minimizing angulation errors and in–out discrepancies. Sharma et al. </w:t>
      </w:r>
      <w:r w:rsidR="00751A29" w:rsidRPr="00751A29">
        <w:rPr>
          <w:rFonts w:ascii="Arial" w:hAnsi="Arial" w:cs="Arial"/>
          <w:sz w:val="20"/>
          <w:szCs w:val="20"/>
        </w:rPr>
        <w:t>(2011)</w:t>
      </w:r>
      <w:r w:rsidRPr="00751A29">
        <w:rPr>
          <w:rFonts w:ascii="Arial" w:hAnsi="Arial" w:cs="Arial"/>
          <w:sz w:val="20"/>
          <w:szCs w:val="20"/>
        </w:rPr>
        <w:t xml:space="preserve"> introduced a two-dimensional bracket positioning gauge, while other modified gauges have also been reported in the literature. However, most of these instruments are designed for specific applications and may require precise positioning during use. Improper handling or variation in angulation during placement can lead to bracket positioning errors.</w:t>
      </w:r>
    </w:p>
    <w:p w14:paraId="62189521" w14:textId="117C8FC4" w:rsidR="0097437B" w:rsidRDefault="0097437B" w:rsidP="0097437B">
      <w:pPr>
        <w:pStyle w:val="NormalWeb"/>
        <w:spacing w:line="480" w:lineRule="auto"/>
        <w:jc w:val="both"/>
        <w:rPr>
          <w:rFonts w:ascii="Arial" w:hAnsi="Arial" w:cs="Arial"/>
          <w:sz w:val="20"/>
          <w:szCs w:val="20"/>
        </w:rPr>
      </w:pPr>
      <w:r w:rsidRPr="00751A29">
        <w:rPr>
          <w:rFonts w:ascii="Arial" w:hAnsi="Arial" w:cs="Arial"/>
          <w:sz w:val="20"/>
          <w:szCs w:val="20"/>
        </w:rPr>
        <w:t xml:space="preserve">Aguirre et al. </w:t>
      </w:r>
      <w:r w:rsidR="00751A29" w:rsidRPr="00751A29">
        <w:rPr>
          <w:rFonts w:ascii="Arial" w:hAnsi="Arial" w:cs="Arial"/>
          <w:sz w:val="20"/>
          <w:szCs w:val="20"/>
        </w:rPr>
        <w:t>(1982)</w:t>
      </w:r>
      <w:r w:rsidRPr="00751A29">
        <w:rPr>
          <w:rFonts w:ascii="Arial" w:hAnsi="Arial" w:cs="Arial"/>
          <w:sz w:val="20"/>
          <w:szCs w:val="20"/>
        </w:rPr>
        <w:t xml:space="preserve"> reported that measurement error in bracket placement was greater in angulation compared to vertical and mesiodistal positioning. Similarly, Balut et al. </w:t>
      </w:r>
      <w:r w:rsidR="00751A29" w:rsidRPr="00751A29">
        <w:rPr>
          <w:rFonts w:ascii="Arial" w:hAnsi="Arial" w:cs="Arial"/>
          <w:sz w:val="20"/>
          <w:szCs w:val="20"/>
        </w:rPr>
        <w:t>(</w:t>
      </w:r>
      <w:r w:rsidRPr="00751A29">
        <w:rPr>
          <w:rFonts w:ascii="Arial" w:hAnsi="Arial" w:cs="Arial"/>
          <w:sz w:val="20"/>
          <w:szCs w:val="20"/>
        </w:rPr>
        <w:t>1</w:t>
      </w:r>
      <w:r w:rsidR="00751A29" w:rsidRPr="00751A29">
        <w:rPr>
          <w:rFonts w:ascii="Arial" w:hAnsi="Arial" w:cs="Arial"/>
          <w:sz w:val="20"/>
          <w:szCs w:val="20"/>
        </w:rPr>
        <w:t>99</w:t>
      </w:r>
      <w:r w:rsidRPr="00751A29">
        <w:rPr>
          <w:rFonts w:ascii="Arial" w:hAnsi="Arial" w:cs="Arial"/>
          <w:sz w:val="20"/>
          <w:szCs w:val="20"/>
        </w:rPr>
        <w:t>2</w:t>
      </w:r>
      <w:r w:rsidR="00751A29" w:rsidRPr="00751A29">
        <w:rPr>
          <w:rFonts w:ascii="Arial" w:hAnsi="Arial" w:cs="Arial"/>
          <w:sz w:val="20"/>
          <w:szCs w:val="20"/>
        </w:rPr>
        <w:t xml:space="preserve">) </w:t>
      </w:r>
      <w:r w:rsidRPr="00751A29">
        <w:rPr>
          <w:rFonts w:ascii="Arial" w:hAnsi="Arial" w:cs="Arial"/>
          <w:sz w:val="20"/>
          <w:szCs w:val="20"/>
        </w:rPr>
        <w:t xml:space="preserve">reported average vertical errors of 0.34 mm in placing preadjusted brackets. </w:t>
      </w:r>
      <w:proofErr w:type="spellStart"/>
      <w:r w:rsidRPr="00751A29">
        <w:rPr>
          <w:rFonts w:ascii="Arial" w:hAnsi="Arial" w:cs="Arial"/>
          <w:sz w:val="20"/>
          <w:szCs w:val="20"/>
        </w:rPr>
        <w:t>Ousehal</w:t>
      </w:r>
      <w:proofErr w:type="spellEnd"/>
      <w:r w:rsidRPr="00751A29">
        <w:rPr>
          <w:rFonts w:ascii="Arial" w:hAnsi="Arial" w:cs="Arial"/>
          <w:sz w:val="20"/>
          <w:szCs w:val="20"/>
        </w:rPr>
        <w:t xml:space="preserve"> and </w:t>
      </w:r>
      <w:proofErr w:type="spellStart"/>
      <w:r w:rsidRPr="00751A29">
        <w:rPr>
          <w:rFonts w:ascii="Arial" w:hAnsi="Arial" w:cs="Arial"/>
          <w:sz w:val="20"/>
          <w:szCs w:val="20"/>
        </w:rPr>
        <w:t>Lazrak</w:t>
      </w:r>
      <w:proofErr w:type="spellEnd"/>
      <w:r w:rsidRPr="00751A29">
        <w:rPr>
          <w:rFonts w:ascii="Arial" w:hAnsi="Arial" w:cs="Arial"/>
          <w:sz w:val="20"/>
          <w:szCs w:val="20"/>
        </w:rPr>
        <w:t xml:space="preserve"> </w:t>
      </w:r>
      <w:r w:rsidR="00751A29" w:rsidRPr="00751A29">
        <w:rPr>
          <w:rFonts w:ascii="Arial" w:hAnsi="Arial" w:cs="Arial"/>
          <w:sz w:val="20"/>
          <w:szCs w:val="20"/>
        </w:rPr>
        <w:t>(2011)</w:t>
      </w:r>
      <w:r w:rsidRPr="00751A29">
        <w:rPr>
          <w:rFonts w:ascii="Arial" w:hAnsi="Arial" w:cs="Arial"/>
          <w:sz w:val="20"/>
          <w:szCs w:val="20"/>
        </w:rPr>
        <w:t xml:space="preserve"> and Mohammadi</w:t>
      </w:r>
      <w:r w:rsidR="00751A29" w:rsidRPr="00751A29">
        <w:rPr>
          <w:rFonts w:ascii="Arial" w:hAnsi="Arial" w:cs="Arial"/>
          <w:sz w:val="20"/>
          <w:szCs w:val="20"/>
        </w:rPr>
        <w:t xml:space="preserve"> et al., (2011)</w:t>
      </w:r>
      <w:r w:rsidRPr="00751A29">
        <w:rPr>
          <w:rFonts w:ascii="Arial" w:hAnsi="Arial" w:cs="Arial"/>
          <w:sz w:val="20"/>
          <w:szCs w:val="20"/>
        </w:rPr>
        <w:t xml:space="preserve"> evaluated bracket positioning accuracy using photographic methods; however, measurements obtained using a digital Vernier </w:t>
      </w:r>
      <w:proofErr w:type="spellStart"/>
      <w:r w:rsidRPr="00751A29">
        <w:rPr>
          <w:rFonts w:ascii="Arial" w:hAnsi="Arial" w:cs="Arial"/>
          <w:sz w:val="20"/>
          <w:szCs w:val="20"/>
        </w:rPr>
        <w:t>caliper</w:t>
      </w:r>
      <w:proofErr w:type="spellEnd"/>
      <w:r w:rsidRPr="00751A29">
        <w:rPr>
          <w:rFonts w:ascii="Arial" w:hAnsi="Arial" w:cs="Arial"/>
          <w:sz w:val="20"/>
          <w:szCs w:val="20"/>
        </w:rPr>
        <w:t xml:space="preserve"> have been shown to provide greater precision and reliability. The present study utilized a digital Vernier </w:t>
      </w:r>
      <w:proofErr w:type="spellStart"/>
      <w:r w:rsidRPr="00751A29">
        <w:rPr>
          <w:rFonts w:ascii="Arial" w:hAnsi="Arial" w:cs="Arial"/>
          <w:sz w:val="20"/>
          <w:szCs w:val="20"/>
        </w:rPr>
        <w:t>caliper</w:t>
      </w:r>
      <w:proofErr w:type="spellEnd"/>
      <w:r w:rsidRPr="00751A29">
        <w:rPr>
          <w:rFonts w:ascii="Arial" w:hAnsi="Arial" w:cs="Arial"/>
          <w:sz w:val="20"/>
          <w:szCs w:val="20"/>
        </w:rPr>
        <w:t xml:space="preserve"> for measurement, thereby enhancing the accuracy of recorded values.</w:t>
      </w:r>
    </w:p>
    <w:p w14:paraId="72A407D9" w14:textId="19CE1223" w:rsidR="001635D2" w:rsidRDefault="001635D2" w:rsidP="0097437B">
      <w:pPr>
        <w:pStyle w:val="NormalWeb"/>
        <w:spacing w:line="480" w:lineRule="auto"/>
        <w:jc w:val="both"/>
        <w:rPr>
          <w:rFonts w:ascii="Arial" w:hAnsi="Arial" w:cs="Arial"/>
          <w:sz w:val="20"/>
          <w:szCs w:val="20"/>
        </w:rPr>
      </w:pPr>
    </w:p>
    <w:p w14:paraId="119A7766" w14:textId="77777777" w:rsidR="001635D2" w:rsidRPr="00751A29" w:rsidRDefault="001635D2" w:rsidP="0097437B">
      <w:pPr>
        <w:pStyle w:val="NormalWeb"/>
        <w:spacing w:line="480" w:lineRule="auto"/>
        <w:jc w:val="both"/>
        <w:rPr>
          <w:rFonts w:ascii="Arial" w:hAnsi="Arial" w:cs="Arial"/>
          <w:sz w:val="20"/>
          <w:szCs w:val="20"/>
        </w:rPr>
      </w:pPr>
    </w:p>
    <w:p w14:paraId="69E2B254" w14:textId="6D8D903D" w:rsidR="00D45377" w:rsidRPr="001635D2" w:rsidRDefault="001635D2" w:rsidP="000D06A1">
      <w:pPr>
        <w:pStyle w:val="NormalWeb"/>
        <w:spacing w:line="480" w:lineRule="auto"/>
        <w:jc w:val="both"/>
        <w:rPr>
          <w:rFonts w:ascii="Arial" w:hAnsi="Arial" w:cs="Arial"/>
          <w:sz w:val="22"/>
          <w:szCs w:val="22"/>
        </w:rPr>
      </w:pPr>
      <w:r w:rsidRPr="001635D2">
        <w:rPr>
          <w:rFonts w:ascii="Arial" w:hAnsi="Arial" w:cs="Arial"/>
          <w:b/>
          <w:bCs/>
          <w:sz w:val="22"/>
          <w:szCs w:val="22"/>
        </w:rPr>
        <w:t>5. CONCLUSION</w:t>
      </w:r>
    </w:p>
    <w:p w14:paraId="7352A912" w14:textId="71F1516B" w:rsidR="0097437B" w:rsidRDefault="0097437B" w:rsidP="00E57285">
      <w:pPr>
        <w:spacing w:line="480" w:lineRule="auto"/>
        <w:jc w:val="both"/>
        <w:rPr>
          <w:rFonts w:ascii="Arial" w:hAnsi="Arial" w:cs="Arial"/>
          <w:b/>
        </w:rPr>
      </w:pPr>
      <w:r w:rsidRPr="001635D2">
        <w:rPr>
          <w:rFonts w:ascii="Arial" w:hAnsi="Arial" w:cs="Arial"/>
          <w:sz w:val="20"/>
          <w:szCs w:val="20"/>
        </w:rPr>
        <w:t>Within the limitations of the present study, the Mirror-Guided Bracket Positioner demonstrated superior accuracy in bracket positioning compared to the conventional MBT gauge, particularly in the mesial and occlusal surfaces of central incisors, gingival surface of lateral incisors, and mesial, distal, and occlusal surfaces of canines. These findings indicate that the enhanced visualization and dual-plane guidance provided by the MGBP positioner contribute to improved precision in bracket placement. The null hypothesis was therefore rejected. Clinically, the use of the MGBP positioner may facilitate more accurate bracket positioning, potentially reducing the need for finishing adjustments and improving overall treatment efficiency.</w:t>
      </w:r>
      <w:r w:rsidRPr="001635D2">
        <w:rPr>
          <w:rFonts w:ascii="Arial" w:hAnsi="Arial" w:cs="Arial"/>
          <w:b/>
        </w:rPr>
        <w:t xml:space="preserve"> </w:t>
      </w:r>
    </w:p>
    <w:p w14:paraId="5345BC7E" w14:textId="75D37393" w:rsidR="001635D2" w:rsidRPr="001635D2" w:rsidRDefault="001635D2" w:rsidP="001635D2">
      <w:pPr>
        <w:spacing w:before="120" w:after="80" w:line="480" w:lineRule="auto"/>
        <w:rPr>
          <w:sz w:val="20"/>
          <w:szCs w:val="20"/>
        </w:rPr>
      </w:pPr>
      <w:r w:rsidRPr="001635D2">
        <w:rPr>
          <w:rFonts w:ascii="Arial" w:eastAsia="Arial" w:hAnsi="Arial"/>
          <w:b/>
          <w:szCs w:val="20"/>
        </w:rPr>
        <w:t>6. STRENGTHS AND LIMITATIONS</w:t>
      </w:r>
    </w:p>
    <w:p w14:paraId="355D0A63" w14:textId="77777777" w:rsidR="001635D2" w:rsidRDefault="001635D2" w:rsidP="001635D2">
      <w:pPr>
        <w:spacing w:after="60" w:line="480" w:lineRule="auto"/>
        <w:jc w:val="both"/>
      </w:pPr>
      <w:r>
        <w:rPr>
          <w:rFonts w:ascii="Arial" w:eastAsia="Arial" w:hAnsi="Arial"/>
          <w:sz w:val="20"/>
        </w:rPr>
        <w:t>A notable strength of the present study is its split-mouth design, in which each participant served as their own control. This approach minimizes inter-individual variability and allows a more reliable comparison between the two bracket positioning methods. Additionally, the use of a single operator for bracket bonding and a single investigator for measurements ensured procedural consistency and reduced operator-related bias.</w:t>
      </w:r>
    </w:p>
    <w:p w14:paraId="4D643EEC" w14:textId="2AC1D74A" w:rsidR="001635D2" w:rsidRDefault="001635D2" w:rsidP="001635D2">
      <w:pPr>
        <w:spacing w:after="60" w:line="480" w:lineRule="auto"/>
        <w:jc w:val="both"/>
        <w:rPr>
          <w:rFonts w:ascii="Arial" w:eastAsia="Arial" w:hAnsi="Arial"/>
          <w:sz w:val="20"/>
        </w:rPr>
      </w:pPr>
      <w:r>
        <w:rPr>
          <w:rFonts w:ascii="Arial" w:eastAsia="Arial" w:hAnsi="Arial"/>
          <w:sz w:val="20"/>
        </w:rPr>
        <w:t xml:space="preserve">Nevertheless, certain limitations must be acknowledged. The present study was conducted at a single </w:t>
      </w:r>
      <w:proofErr w:type="spellStart"/>
      <w:r>
        <w:rPr>
          <w:rFonts w:ascii="Arial" w:eastAsia="Arial" w:hAnsi="Arial"/>
          <w:sz w:val="20"/>
        </w:rPr>
        <w:t>center</w:t>
      </w:r>
      <w:proofErr w:type="spellEnd"/>
      <w:r>
        <w:rPr>
          <w:rFonts w:ascii="Arial" w:eastAsia="Arial" w:hAnsi="Arial"/>
          <w:sz w:val="20"/>
        </w:rPr>
        <w:t xml:space="preserve"> with a relatively small sample size, which may limit generalizability. The evaluation was restricted to maxillary anterior teeth and immediate bracket positioning accuracy, without assessing long-term outcomes such as torque expression or treatment efficiency. Although procedures were standardized using a single operator, operator-dependent bias cannot be completely eliminated. Measurements obtained using a digital Vernier </w:t>
      </w:r>
      <w:proofErr w:type="spellStart"/>
      <w:r>
        <w:rPr>
          <w:rFonts w:ascii="Arial" w:eastAsia="Arial" w:hAnsi="Arial"/>
          <w:sz w:val="20"/>
        </w:rPr>
        <w:t>caliper</w:t>
      </w:r>
      <w:proofErr w:type="spellEnd"/>
      <w:r>
        <w:rPr>
          <w:rFonts w:ascii="Arial" w:eastAsia="Arial" w:hAnsi="Arial"/>
          <w:sz w:val="20"/>
        </w:rPr>
        <w:t xml:space="preserve"> may be subject to minor variations. Additionally, the split-mouth design, while reducing inter-individual variability, may introduce a potential crossover effect.</w:t>
      </w:r>
    </w:p>
    <w:p w14:paraId="1132433F" w14:textId="45853784" w:rsidR="006309A5" w:rsidRPr="006309A5" w:rsidRDefault="006309A5" w:rsidP="006309A5">
      <w:pPr>
        <w:pStyle w:val="NormalWeb"/>
        <w:rPr>
          <w:rFonts w:ascii="Arial" w:hAnsi="Arial" w:cs="Arial"/>
          <w:b/>
          <w:bCs/>
          <w:sz w:val="22"/>
          <w:szCs w:val="22"/>
        </w:rPr>
      </w:pPr>
      <w:r w:rsidRPr="006309A5">
        <w:rPr>
          <w:rFonts w:ascii="Arial" w:eastAsia="Arial" w:hAnsi="Arial" w:cs="Arial"/>
          <w:b/>
          <w:bCs/>
          <w:sz w:val="22"/>
          <w:szCs w:val="22"/>
        </w:rPr>
        <w:t xml:space="preserve">7. </w:t>
      </w:r>
      <w:r w:rsidRPr="006309A5">
        <w:rPr>
          <w:rStyle w:val="Strong"/>
          <w:rFonts w:ascii="Arial" w:hAnsi="Arial" w:cs="Arial"/>
          <w:sz w:val="22"/>
          <w:szCs w:val="22"/>
        </w:rPr>
        <w:t>FUTURE DIRECTIONS</w:t>
      </w:r>
    </w:p>
    <w:p w14:paraId="504A73F2" w14:textId="77777777" w:rsidR="006309A5" w:rsidRPr="006309A5" w:rsidRDefault="006309A5" w:rsidP="006309A5">
      <w:pPr>
        <w:pStyle w:val="NormalWeb"/>
        <w:spacing w:line="480" w:lineRule="auto"/>
        <w:jc w:val="both"/>
        <w:rPr>
          <w:rFonts w:ascii="Arial" w:hAnsi="Arial" w:cs="Arial"/>
          <w:sz w:val="20"/>
          <w:szCs w:val="20"/>
        </w:rPr>
      </w:pPr>
      <w:r w:rsidRPr="006309A5">
        <w:rPr>
          <w:rFonts w:ascii="Arial" w:hAnsi="Arial" w:cs="Arial"/>
          <w:sz w:val="20"/>
          <w:szCs w:val="20"/>
        </w:rPr>
        <w:t xml:space="preserve">Future studies with larger sample sizes and </w:t>
      </w:r>
      <w:proofErr w:type="spellStart"/>
      <w:r w:rsidRPr="006309A5">
        <w:rPr>
          <w:rFonts w:ascii="Arial" w:hAnsi="Arial" w:cs="Arial"/>
          <w:sz w:val="20"/>
          <w:szCs w:val="20"/>
        </w:rPr>
        <w:t>multicenter</w:t>
      </w:r>
      <w:proofErr w:type="spellEnd"/>
      <w:r w:rsidRPr="006309A5">
        <w:rPr>
          <w:rFonts w:ascii="Arial" w:hAnsi="Arial" w:cs="Arial"/>
          <w:sz w:val="20"/>
          <w:szCs w:val="20"/>
        </w:rPr>
        <w:t xml:space="preserve"> designs are recommended to improve the generalizability of the findings. Long-term studies should evaluate the effect of improved bracket </w:t>
      </w:r>
      <w:r w:rsidRPr="006309A5">
        <w:rPr>
          <w:rFonts w:ascii="Arial" w:hAnsi="Arial" w:cs="Arial"/>
          <w:sz w:val="20"/>
          <w:szCs w:val="20"/>
        </w:rPr>
        <w:lastRenderedPageBreak/>
        <w:t>positioning on torque expression, treatment efficiency, and finishing outcomes. Further research should include posterior teeth, mandibular arches, and different malocclusion patterns. Comparative studies with other conventional and digital bracket positioning techniques are also warranted. The use of three-dimensional digital assessment methods may provide more precise evaluation of bracket positioning accuracy. In addition, further refinement of the MGBP design may enhance its clinical applicability and ease of use.</w:t>
      </w:r>
    </w:p>
    <w:p w14:paraId="0096B49E" w14:textId="7FF48984" w:rsidR="001635D2" w:rsidRPr="001635D2" w:rsidRDefault="001635D2" w:rsidP="001635D2">
      <w:pPr>
        <w:spacing w:before="120" w:after="80" w:line="480" w:lineRule="auto"/>
        <w:rPr>
          <w:sz w:val="20"/>
          <w:szCs w:val="20"/>
        </w:rPr>
      </w:pPr>
      <w:r w:rsidRPr="001635D2">
        <w:rPr>
          <w:rFonts w:ascii="Arial" w:eastAsia="Arial" w:hAnsi="Arial"/>
          <w:b/>
          <w:szCs w:val="20"/>
        </w:rPr>
        <w:t>CONSENT AND ETHICAL APPROVAL</w:t>
      </w:r>
    </w:p>
    <w:p w14:paraId="309BBDD5" w14:textId="77777777" w:rsidR="001635D2" w:rsidRDefault="001635D2" w:rsidP="001635D2">
      <w:pPr>
        <w:spacing w:after="60" w:line="480" w:lineRule="auto"/>
      </w:pPr>
      <w:r>
        <w:rPr>
          <w:rFonts w:ascii="Arial" w:eastAsia="Arial" w:hAnsi="Arial"/>
          <w:sz w:val="20"/>
        </w:rPr>
        <w:t>Ethical approval was obtained from the Institutional Ethics Committee of Chhattisgarh Dental College and Research Institute (Approval No: CDCRI/DEAN/ETHICSCOMMITTEE/ORTHO-01/2024). Written informed consent was obtained from all participants prior to enrollment.</w:t>
      </w:r>
    </w:p>
    <w:p w14:paraId="61CE6334" w14:textId="31C5B176" w:rsidR="001635D2" w:rsidRPr="001635D2" w:rsidRDefault="001635D2" w:rsidP="001635D2">
      <w:pPr>
        <w:spacing w:before="120" w:after="80" w:line="480" w:lineRule="auto"/>
        <w:rPr>
          <w:sz w:val="20"/>
          <w:szCs w:val="20"/>
        </w:rPr>
      </w:pPr>
      <w:r w:rsidRPr="001635D2">
        <w:rPr>
          <w:rFonts w:ascii="Arial" w:eastAsia="Arial" w:hAnsi="Arial"/>
          <w:b/>
          <w:szCs w:val="20"/>
        </w:rPr>
        <w:t>DISCLAIMER (ARTIFICIAL INTELLIGENCE)</w:t>
      </w:r>
    </w:p>
    <w:p w14:paraId="45C0AA87" w14:textId="1D88533E" w:rsidR="001635D2" w:rsidRDefault="001635D2" w:rsidP="001635D2">
      <w:pPr>
        <w:spacing w:after="60" w:line="480" w:lineRule="auto"/>
        <w:jc w:val="both"/>
      </w:pPr>
      <w:r>
        <w:rPr>
          <w:rFonts w:ascii="Arial" w:eastAsia="Arial" w:hAnsi="Arial"/>
          <w:sz w:val="20"/>
        </w:rPr>
        <w:t>Author(s) hereby declare</w:t>
      </w:r>
      <w:r w:rsidR="00D51C12">
        <w:rPr>
          <w:rFonts w:ascii="Arial" w:eastAsia="Arial" w:hAnsi="Arial"/>
          <w:sz w:val="20"/>
        </w:rPr>
        <w:t>s</w:t>
      </w:r>
      <w:r>
        <w:rPr>
          <w:rFonts w:ascii="Arial" w:eastAsia="Arial" w:hAnsi="Arial"/>
          <w:sz w:val="20"/>
        </w:rPr>
        <w:t xml:space="preserve"> that NO generative AI technologies such as Large Language Models (ChatGPT, Copilot, etc.) and text-to-image generators have been used during writing or editing of this manuscript.</w:t>
      </w:r>
    </w:p>
    <w:p w14:paraId="77A08DCE" w14:textId="77777777" w:rsidR="00C4441E" w:rsidRPr="00C4441E" w:rsidRDefault="00C4441E" w:rsidP="00C4441E">
      <w:pPr>
        <w:spacing w:line="480" w:lineRule="auto"/>
        <w:jc w:val="both"/>
        <w:rPr>
          <w:rFonts w:ascii="Arial" w:eastAsia="Arial" w:hAnsi="Arial"/>
          <w:b/>
          <w:szCs w:val="20"/>
        </w:rPr>
      </w:pPr>
      <w:r w:rsidRPr="00C4441E">
        <w:rPr>
          <w:rFonts w:ascii="Arial" w:eastAsia="Arial" w:hAnsi="Arial"/>
          <w:b/>
          <w:szCs w:val="20"/>
        </w:rPr>
        <w:t>COMPETING INTERESTS DISCLAIMER:</w:t>
      </w:r>
    </w:p>
    <w:p w14:paraId="7F76DB8C" w14:textId="77777777" w:rsidR="00C4441E" w:rsidRDefault="00C4441E" w:rsidP="00C4441E">
      <w:pPr>
        <w:spacing w:line="480" w:lineRule="auto"/>
        <w:jc w:val="both"/>
        <w:rPr>
          <w:rFonts w:ascii="Arial" w:eastAsia="Arial" w:hAnsi="Arial"/>
          <w:b/>
          <w:szCs w:val="20"/>
        </w:rPr>
      </w:pPr>
      <w:r w:rsidRPr="00C4441E">
        <w:rPr>
          <w:rFonts w:ascii="Arial" w:eastAsia="Arial" w:hAnsi="Arial"/>
          <w:b/>
          <w:szCs w:val="20"/>
        </w:rPr>
        <w:t>Authors have declared that they have no known competing financial interests OR non-financial interests OR personal relationships that could have appeared to influence the work reported in this paper.</w:t>
      </w:r>
    </w:p>
    <w:p w14:paraId="64DCCA6E" w14:textId="2423761C" w:rsidR="0076308B" w:rsidRDefault="006309A5" w:rsidP="00C4441E">
      <w:pPr>
        <w:spacing w:line="480" w:lineRule="auto"/>
        <w:jc w:val="both"/>
        <w:rPr>
          <w:rFonts w:ascii="Arial" w:hAnsi="Arial" w:cs="Arial"/>
          <w:b/>
        </w:rPr>
      </w:pPr>
      <w:r w:rsidRPr="006309A5">
        <w:rPr>
          <w:rFonts w:ascii="Arial" w:hAnsi="Arial" w:cs="Arial"/>
          <w:b/>
        </w:rPr>
        <w:t>REFERENCES</w:t>
      </w:r>
    </w:p>
    <w:p w14:paraId="559F4410" w14:textId="7621EA0E" w:rsidR="004A4302" w:rsidRDefault="004A4302" w:rsidP="004A4302">
      <w:pPr>
        <w:pStyle w:val="ListParagraph"/>
        <w:numPr>
          <w:ilvl w:val="0"/>
          <w:numId w:val="24"/>
        </w:numPr>
        <w:spacing w:after="40" w:line="480" w:lineRule="auto"/>
        <w:jc w:val="both"/>
        <w:rPr>
          <w:rFonts w:ascii="Arial" w:hAnsi="Arial" w:cs="Arial"/>
          <w:sz w:val="20"/>
          <w:szCs w:val="20"/>
        </w:rPr>
      </w:pPr>
      <w:r w:rsidRPr="004A4302">
        <w:rPr>
          <w:rFonts w:ascii="Arial" w:eastAsia="Arial" w:hAnsi="Arial" w:cs="Arial"/>
          <w:sz w:val="20"/>
          <w:szCs w:val="20"/>
        </w:rPr>
        <w:t>Rathor, A. S., Jani, B., Shah, A., Prasad, A., &amp; Thakore, K. (2024). A new versatile tool for accurate bracket positioning—an in vitro study. Journal of Indian Orthodontic Society, 58, 268–275.</w:t>
      </w:r>
      <w:hyperlink r:id="rId8" w:history="1">
        <w:r w:rsidRPr="001C1508">
          <w:rPr>
            <w:rStyle w:val="Hyperlink"/>
            <w:rFonts w:ascii="Arial" w:hAnsi="Arial" w:cs="Arial"/>
            <w:color w:val="000000" w:themeColor="text1"/>
            <w:sz w:val="20"/>
            <w:szCs w:val="20"/>
            <w:shd w:val="clear" w:color="auto" w:fill="FFFFFF"/>
          </w:rPr>
          <w:t>https://doi.org/10.1177/03015742241226513</w:t>
        </w:r>
      </w:hyperlink>
    </w:p>
    <w:p w14:paraId="0E1D2196" w14:textId="28F2CB5A" w:rsidR="004A4302" w:rsidRDefault="004A4302" w:rsidP="004A4302">
      <w:pPr>
        <w:pStyle w:val="ListParagraph"/>
        <w:numPr>
          <w:ilvl w:val="0"/>
          <w:numId w:val="24"/>
        </w:numPr>
        <w:spacing w:after="40" w:line="480" w:lineRule="auto"/>
        <w:jc w:val="both"/>
        <w:rPr>
          <w:rFonts w:ascii="Arial" w:hAnsi="Arial" w:cs="Arial"/>
          <w:sz w:val="20"/>
          <w:szCs w:val="20"/>
        </w:rPr>
      </w:pPr>
      <w:proofErr w:type="spellStart"/>
      <w:r w:rsidRPr="004A4302">
        <w:rPr>
          <w:rFonts w:ascii="Arial" w:eastAsia="Arial" w:hAnsi="Arial" w:cs="Arial"/>
          <w:sz w:val="20"/>
          <w:szCs w:val="20"/>
        </w:rPr>
        <w:t>Shenoi</w:t>
      </w:r>
      <w:proofErr w:type="spellEnd"/>
      <w:r w:rsidRPr="004A4302">
        <w:rPr>
          <w:rFonts w:ascii="Arial" w:eastAsia="Arial" w:hAnsi="Arial" w:cs="Arial"/>
          <w:sz w:val="20"/>
          <w:szCs w:val="20"/>
        </w:rPr>
        <w:t xml:space="preserve">, S. B., Deshpande, S., &amp; </w:t>
      </w:r>
      <w:proofErr w:type="spellStart"/>
      <w:r w:rsidRPr="004A4302">
        <w:rPr>
          <w:rFonts w:ascii="Arial" w:eastAsia="Arial" w:hAnsi="Arial" w:cs="Arial"/>
          <w:sz w:val="20"/>
          <w:szCs w:val="20"/>
        </w:rPr>
        <w:t>Hattarki</w:t>
      </w:r>
      <w:proofErr w:type="spellEnd"/>
      <w:r w:rsidRPr="004A4302">
        <w:rPr>
          <w:rFonts w:ascii="Arial" w:eastAsia="Arial" w:hAnsi="Arial" w:cs="Arial"/>
          <w:sz w:val="20"/>
          <w:szCs w:val="20"/>
        </w:rPr>
        <w:t>, R. S. (2021). Multipurpose bracket positioning tool: a modified probe for accurate bracket placement. Journal of Indian Orthodontic Society, 56, 186–188.</w:t>
      </w:r>
      <w:r w:rsidRPr="001C1508">
        <w:rPr>
          <w:rFonts w:ascii="Arial" w:hAnsi="Arial" w:cs="Arial"/>
          <w:color w:val="000000" w:themeColor="text1"/>
          <w:sz w:val="20"/>
          <w:szCs w:val="20"/>
          <w:shd w:val="clear" w:color="auto" w:fill="FFFFFF"/>
        </w:rPr>
        <w:t>DOI:</w:t>
      </w:r>
      <w:hyperlink r:id="rId9" w:tgtFrame="_blank" w:history="1">
        <w:r w:rsidRPr="001C1508">
          <w:rPr>
            <w:rStyle w:val="Hyperlink"/>
            <w:rFonts w:ascii="Arial" w:hAnsi="Arial" w:cs="Arial"/>
            <w:color w:val="000000" w:themeColor="text1"/>
            <w:sz w:val="20"/>
            <w:szCs w:val="20"/>
            <w:bdr w:val="none" w:sz="0" w:space="0" w:color="auto" w:frame="1"/>
            <w:shd w:val="clear" w:color="auto" w:fill="FFFFFF"/>
          </w:rPr>
          <w:t>10.1177/03015742211013754</w:t>
        </w:r>
      </w:hyperlink>
    </w:p>
    <w:p w14:paraId="056FF505" w14:textId="1EC877AF" w:rsidR="004A4302" w:rsidRDefault="00ED5895" w:rsidP="004A4302">
      <w:pPr>
        <w:pStyle w:val="ListParagraph"/>
        <w:numPr>
          <w:ilvl w:val="0"/>
          <w:numId w:val="24"/>
        </w:numPr>
        <w:spacing w:after="40" w:line="480" w:lineRule="auto"/>
        <w:jc w:val="both"/>
        <w:rPr>
          <w:rFonts w:ascii="Arial" w:hAnsi="Arial" w:cs="Arial"/>
          <w:sz w:val="20"/>
          <w:szCs w:val="20"/>
        </w:rPr>
      </w:pPr>
      <w:r w:rsidRPr="004A4302">
        <w:rPr>
          <w:rFonts w:ascii="Arial" w:eastAsia="Arial" w:hAnsi="Arial" w:cs="Arial"/>
          <w:sz w:val="20"/>
          <w:szCs w:val="20"/>
        </w:rPr>
        <w:lastRenderedPageBreak/>
        <w:t xml:space="preserve">Gaur, G., Mehta, S., Bajaj, K., et al. (2020). </w:t>
      </w:r>
      <w:proofErr w:type="spellStart"/>
      <w:r w:rsidRPr="004A4302">
        <w:rPr>
          <w:rFonts w:ascii="Arial" w:eastAsia="Arial" w:hAnsi="Arial" w:cs="Arial"/>
          <w:sz w:val="20"/>
          <w:szCs w:val="20"/>
        </w:rPr>
        <w:t>Visiogauge</w:t>
      </w:r>
      <w:proofErr w:type="spellEnd"/>
      <w:r w:rsidRPr="004A4302">
        <w:rPr>
          <w:rFonts w:ascii="Arial" w:eastAsia="Arial" w:hAnsi="Arial" w:cs="Arial"/>
          <w:sz w:val="20"/>
          <w:szCs w:val="20"/>
        </w:rPr>
        <w:t>: a modified MBT gauge. Journal of Mahatma Gandhi University of Medical Sciences and Technology, 2, 66–68.</w:t>
      </w:r>
      <w:r w:rsidRPr="004A4302">
        <w:rPr>
          <w:rFonts w:ascii="Arial" w:hAnsi="Arial" w:cs="Arial"/>
          <w:sz w:val="20"/>
          <w:szCs w:val="20"/>
        </w:rPr>
        <w:t xml:space="preserve"> </w:t>
      </w:r>
      <w:hyperlink r:id="rId10" w:history="1">
        <w:r w:rsidRPr="001C1508">
          <w:rPr>
            <w:rStyle w:val="Hyperlink"/>
            <w:rFonts w:ascii="Arial" w:hAnsi="Arial" w:cs="Arial"/>
            <w:color w:val="000000" w:themeColor="text1"/>
            <w:sz w:val="20"/>
            <w:szCs w:val="20"/>
            <w:shd w:val="clear" w:color="auto" w:fill="FFFFFF"/>
          </w:rPr>
          <w:t>https://doi.org/10.5005/jp-journals-10057-0140</w:t>
        </w:r>
      </w:hyperlink>
    </w:p>
    <w:p w14:paraId="63DE0356" w14:textId="77777777" w:rsidR="00ED5895" w:rsidRPr="00ED5895" w:rsidRDefault="00ED5895" w:rsidP="00ED5895">
      <w:pPr>
        <w:pStyle w:val="ListParagraph"/>
        <w:numPr>
          <w:ilvl w:val="0"/>
          <w:numId w:val="24"/>
        </w:numPr>
        <w:shd w:val="clear" w:color="auto" w:fill="FFFFFF"/>
        <w:spacing w:before="100" w:beforeAutospacing="1" w:after="100" w:afterAutospacing="1" w:line="480" w:lineRule="auto"/>
        <w:jc w:val="both"/>
        <w:rPr>
          <w:rFonts w:ascii="Arial" w:eastAsia="Times New Roman" w:hAnsi="Arial" w:cs="Arial"/>
          <w:color w:val="212121"/>
          <w:sz w:val="20"/>
          <w:szCs w:val="20"/>
          <w:lang w:eastAsia="en-IN"/>
        </w:rPr>
      </w:pPr>
      <w:r w:rsidRPr="00ED5895">
        <w:rPr>
          <w:rFonts w:ascii="Arial" w:eastAsia="Arial" w:hAnsi="Arial" w:cs="Arial"/>
          <w:sz w:val="20"/>
          <w:szCs w:val="20"/>
        </w:rPr>
        <w:t xml:space="preserve">Mohammadi, A., &amp; </w:t>
      </w:r>
      <w:proofErr w:type="spellStart"/>
      <w:r w:rsidRPr="00ED5895">
        <w:rPr>
          <w:rFonts w:ascii="Arial" w:eastAsia="Arial" w:hAnsi="Arial" w:cs="Arial"/>
          <w:sz w:val="20"/>
          <w:szCs w:val="20"/>
        </w:rPr>
        <w:t>Moslemzadeh</w:t>
      </w:r>
      <w:proofErr w:type="spellEnd"/>
      <w:r w:rsidRPr="00ED5895">
        <w:rPr>
          <w:rFonts w:ascii="Arial" w:eastAsia="Arial" w:hAnsi="Arial" w:cs="Arial"/>
          <w:sz w:val="20"/>
          <w:szCs w:val="20"/>
        </w:rPr>
        <w:t xml:space="preserve">, S. H. (2011). Comparison of the accuracy of bracket placement with height bracket positioning gauge and Boone gauge. Journal of Dental Research, Dental Clinics, Dental Prospects, 5, 111–118. </w:t>
      </w:r>
      <w:r w:rsidRPr="001C1508">
        <w:rPr>
          <w:rFonts w:ascii="Arial" w:eastAsia="Times New Roman" w:hAnsi="Arial" w:cs="Arial"/>
          <w:color w:val="000000" w:themeColor="text1"/>
          <w:sz w:val="20"/>
          <w:szCs w:val="20"/>
          <w:lang w:eastAsia="en-IN"/>
        </w:rPr>
        <w:t>DOI: </w:t>
      </w:r>
      <w:hyperlink r:id="rId11" w:tgtFrame="_blank" w:history="1">
        <w:r w:rsidRPr="001C1508">
          <w:rPr>
            <w:rFonts w:ascii="Arial" w:eastAsia="Times New Roman" w:hAnsi="Arial" w:cs="Arial"/>
            <w:color w:val="000000" w:themeColor="text1"/>
            <w:sz w:val="20"/>
            <w:szCs w:val="20"/>
            <w:u w:val="single"/>
            <w:lang w:eastAsia="en-IN"/>
          </w:rPr>
          <w:t>10.5681/joddd.2011.026</w:t>
        </w:r>
      </w:hyperlink>
    </w:p>
    <w:p w14:paraId="56845428" w14:textId="77777777" w:rsidR="00ED5895" w:rsidRPr="00ED5895" w:rsidRDefault="00ED5895" w:rsidP="00ED5895">
      <w:pPr>
        <w:pStyle w:val="ListParagraph"/>
        <w:numPr>
          <w:ilvl w:val="0"/>
          <w:numId w:val="24"/>
        </w:numPr>
        <w:spacing w:after="40" w:line="480" w:lineRule="auto"/>
        <w:jc w:val="both"/>
        <w:rPr>
          <w:rFonts w:ascii="Arial" w:hAnsi="Arial" w:cs="Arial"/>
          <w:sz w:val="20"/>
          <w:szCs w:val="20"/>
        </w:rPr>
      </w:pPr>
      <w:r w:rsidRPr="00ED5895">
        <w:rPr>
          <w:rFonts w:ascii="Arial" w:eastAsia="Arial" w:hAnsi="Arial" w:cs="Arial"/>
          <w:sz w:val="20"/>
          <w:szCs w:val="20"/>
        </w:rPr>
        <w:t>Bhide, D. V., Hazarey, P. V., Atram, D. H., Kale, D. G., Waghmare, S., &amp; Dharmadhikari, D. M. (2019). A comparative study of accuracy in bracket positioning with modified height bracket positioning gauge and Boone gauge: an in vivo study. International Journal of Medical Science and Current Research, 2, 132–141.</w:t>
      </w:r>
    </w:p>
    <w:p w14:paraId="0BA424E8" w14:textId="10E81D14" w:rsidR="00ED5895" w:rsidRPr="00ED5895" w:rsidRDefault="00ED5895" w:rsidP="004A4302">
      <w:pPr>
        <w:pStyle w:val="ListParagraph"/>
        <w:numPr>
          <w:ilvl w:val="0"/>
          <w:numId w:val="24"/>
        </w:numPr>
        <w:spacing w:after="40" w:line="480" w:lineRule="auto"/>
        <w:jc w:val="both"/>
        <w:rPr>
          <w:rFonts w:ascii="Arial" w:hAnsi="Arial" w:cs="Arial"/>
          <w:sz w:val="20"/>
          <w:szCs w:val="20"/>
        </w:rPr>
      </w:pPr>
      <w:r w:rsidRPr="004A4302">
        <w:rPr>
          <w:rFonts w:ascii="Arial" w:eastAsia="Arial" w:hAnsi="Arial" w:cs="Arial"/>
          <w:sz w:val="20"/>
          <w:szCs w:val="20"/>
        </w:rPr>
        <w:t>Raghuraj, M. B., Shetty, N., &amp; Sharan. (2011). Modified bracket positioning holder. Contemporary Clinical Dentistry, 2, 142.</w:t>
      </w:r>
      <w:r w:rsidRPr="004A4302">
        <w:rPr>
          <w:rFonts w:ascii="Arial" w:hAnsi="Arial" w:cs="Arial"/>
          <w:color w:val="1B1B1B"/>
          <w:sz w:val="20"/>
          <w:szCs w:val="20"/>
          <w:shd w:val="clear" w:color="auto" w:fill="FFFFFF"/>
        </w:rPr>
        <w:t xml:space="preserve"> </w:t>
      </w:r>
      <w:r w:rsidRPr="001C1508">
        <w:rPr>
          <w:rFonts w:ascii="Arial" w:hAnsi="Arial" w:cs="Arial"/>
          <w:color w:val="000000" w:themeColor="text1"/>
          <w:sz w:val="20"/>
          <w:szCs w:val="20"/>
          <w:shd w:val="clear" w:color="auto" w:fill="FFFFFF"/>
        </w:rPr>
        <w:t>DOI: </w:t>
      </w:r>
      <w:hyperlink r:id="rId12" w:tgtFrame="_blank" w:history="1">
        <w:r w:rsidRPr="001C1508">
          <w:rPr>
            <w:rStyle w:val="Hyperlink"/>
            <w:rFonts w:ascii="Arial" w:hAnsi="Arial" w:cs="Arial"/>
            <w:color w:val="000000" w:themeColor="text1"/>
            <w:sz w:val="20"/>
            <w:szCs w:val="20"/>
            <w:shd w:val="clear" w:color="auto" w:fill="FFFFFF"/>
          </w:rPr>
          <w:t>10.4103/0976-237X.83070</w:t>
        </w:r>
      </w:hyperlink>
    </w:p>
    <w:p w14:paraId="048FE23F" w14:textId="5ACAA9A1" w:rsidR="00ED5895" w:rsidRPr="00ED5895" w:rsidRDefault="00ED5895" w:rsidP="004A4302">
      <w:pPr>
        <w:pStyle w:val="ListParagraph"/>
        <w:numPr>
          <w:ilvl w:val="0"/>
          <w:numId w:val="24"/>
        </w:numPr>
        <w:spacing w:after="40" w:line="480" w:lineRule="auto"/>
        <w:jc w:val="both"/>
        <w:rPr>
          <w:rFonts w:ascii="Arial" w:hAnsi="Arial" w:cs="Arial"/>
          <w:sz w:val="20"/>
          <w:szCs w:val="20"/>
        </w:rPr>
      </w:pPr>
      <w:proofErr w:type="spellStart"/>
      <w:r w:rsidRPr="004A4302">
        <w:rPr>
          <w:rFonts w:ascii="Arial" w:eastAsia="Arial" w:hAnsi="Arial" w:cs="Arial"/>
          <w:sz w:val="20"/>
          <w:szCs w:val="20"/>
        </w:rPr>
        <w:t>Hattarki</w:t>
      </w:r>
      <w:proofErr w:type="spellEnd"/>
      <w:r w:rsidRPr="004A4302">
        <w:rPr>
          <w:rFonts w:ascii="Arial" w:eastAsia="Arial" w:hAnsi="Arial" w:cs="Arial"/>
          <w:sz w:val="20"/>
          <w:szCs w:val="20"/>
        </w:rPr>
        <w:t>, R. S., &amp; Malag, S. (2011). A modified bracket-positioning gauge. Orthodontics (Chic), 12, 268–269.</w:t>
      </w:r>
      <w:r w:rsidRPr="004A4302">
        <w:rPr>
          <w:rStyle w:val="id-label"/>
          <w:rFonts w:ascii="Arial" w:hAnsi="Arial" w:cs="Arial"/>
          <w:color w:val="212121"/>
          <w:sz w:val="20"/>
          <w:szCs w:val="20"/>
        </w:rPr>
        <w:t xml:space="preserve"> </w:t>
      </w:r>
      <w:r w:rsidRPr="004A4302">
        <w:rPr>
          <w:rFonts w:ascii="Arial" w:eastAsia="Times New Roman" w:hAnsi="Arial" w:cs="Arial"/>
          <w:color w:val="212121"/>
          <w:sz w:val="20"/>
          <w:szCs w:val="20"/>
          <w:lang w:eastAsia="en-IN"/>
        </w:rPr>
        <w:t>PMID: 22022698</w:t>
      </w:r>
    </w:p>
    <w:p w14:paraId="2BDA5E0E" w14:textId="3C45B0DB" w:rsidR="00ED5895" w:rsidRPr="001C1508" w:rsidRDefault="00ED5895" w:rsidP="004A4302">
      <w:pPr>
        <w:pStyle w:val="ListParagraph"/>
        <w:numPr>
          <w:ilvl w:val="0"/>
          <w:numId w:val="24"/>
        </w:numPr>
        <w:spacing w:after="40" w:line="480" w:lineRule="auto"/>
        <w:jc w:val="both"/>
        <w:rPr>
          <w:rFonts w:ascii="Arial" w:hAnsi="Arial" w:cs="Arial"/>
          <w:color w:val="000000" w:themeColor="text1"/>
          <w:sz w:val="20"/>
          <w:szCs w:val="20"/>
        </w:rPr>
      </w:pPr>
      <w:r w:rsidRPr="004A4302">
        <w:rPr>
          <w:rFonts w:ascii="Arial" w:eastAsia="Arial" w:hAnsi="Arial" w:cs="Arial"/>
          <w:sz w:val="20"/>
          <w:szCs w:val="20"/>
        </w:rPr>
        <w:t xml:space="preserve">Sharma, N. S., Shrivastav, S. S., &amp; </w:t>
      </w:r>
      <w:proofErr w:type="spellStart"/>
      <w:r w:rsidRPr="004A4302">
        <w:rPr>
          <w:rFonts w:ascii="Arial" w:eastAsia="Arial" w:hAnsi="Arial" w:cs="Arial"/>
          <w:sz w:val="20"/>
          <w:szCs w:val="20"/>
        </w:rPr>
        <w:t>Hazarey</w:t>
      </w:r>
      <w:proofErr w:type="spellEnd"/>
      <w:r w:rsidRPr="004A4302">
        <w:rPr>
          <w:rFonts w:ascii="Arial" w:eastAsia="Arial" w:hAnsi="Arial" w:cs="Arial"/>
          <w:sz w:val="20"/>
          <w:szCs w:val="20"/>
        </w:rPr>
        <w:t>, P. V. (2011). A new two-dimensional bracket positioning gauge. Journal of Indian Orthodontic Society, 45, 202–204.</w:t>
      </w:r>
      <w:r w:rsidRPr="004A4302">
        <w:rPr>
          <w:rFonts w:ascii="Arial" w:hAnsi="Arial" w:cs="Arial"/>
          <w:color w:val="555555"/>
          <w:sz w:val="20"/>
          <w:szCs w:val="20"/>
          <w:shd w:val="clear" w:color="auto" w:fill="FFFFFF"/>
        </w:rPr>
        <w:t xml:space="preserve"> </w:t>
      </w:r>
      <w:r w:rsidRPr="001C1508">
        <w:rPr>
          <w:rFonts w:ascii="Arial" w:hAnsi="Arial" w:cs="Arial"/>
          <w:color w:val="000000" w:themeColor="text1"/>
          <w:sz w:val="20"/>
          <w:szCs w:val="20"/>
          <w:shd w:val="clear" w:color="auto" w:fill="FFFFFF"/>
        </w:rPr>
        <w:t>DOI:</w:t>
      </w:r>
      <w:hyperlink r:id="rId13" w:tgtFrame="_blank" w:history="1">
        <w:r w:rsidRPr="001C1508">
          <w:rPr>
            <w:rStyle w:val="Hyperlink"/>
            <w:rFonts w:ascii="Arial" w:hAnsi="Arial" w:cs="Arial"/>
            <w:color w:val="000000" w:themeColor="text1"/>
            <w:sz w:val="20"/>
            <w:szCs w:val="20"/>
            <w:bdr w:val="none" w:sz="0" w:space="0" w:color="auto" w:frame="1"/>
            <w:shd w:val="clear" w:color="auto" w:fill="FFFFFF"/>
          </w:rPr>
          <w:t>10.5005/jp-journals-10021-1036</w:t>
        </w:r>
      </w:hyperlink>
    </w:p>
    <w:p w14:paraId="589E8C69" w14:textId="6621FBAA" w:rsidR="00ED5895" w:rsidRDefault="00ED5895" w:rsidP="004A4302">
      <w:pPr>
        <w:pStyle w:val="ListParagraph"/>
        <w:numPr>
          <w:ilvl w:val="0"/>
          <w:numId w:val="24"/>
        </w:numPr>
        <w:spacing w:after="40" w:line="480" w:lineRule="auto"/>
        <w:jc w:val="both"/>
        <w:rPr>
          <w:rFonts w:ascii="Arial" w:hAnsi="Arial" w:cs="Arial"/>
          <w:sz w:val="20"/>
          <w:szCs w:val="20"/>
        </w:rPr>
      </w:pPr>
      <w:proofErr w:type="spellStart"/>
      <w:r w:rsidRPr="004A4302">
        <w:rPr>
          <w:rFonts w:ascii="Arial" w:eastAsia="Arial" w:hAnsi="Arial" w:cs="Arial"/>
          <w:sz w:val="20"/>
          <w:szCs w:val="20"/>
        </w:rPr>
        <w:t>Ousehal</w:t>
      </w:r>
      <w:proofErr w:type="spellEnd"/>
      <w:r w:rsidRPr="004A4302">
        <w:rPr>
          <w:rFonts w:ascii="Arial" w:eastAsia="Arial" w:hAnsi="Arial" w:cs="Arial"/>
          <w:sz w:val="20"/>
          <w:szCs w:val="20"/>
        </w:rPr>
        <w:t>, L., &amp; Lazrak, L. (2011). The accuracy of bracket placement in direct bonding technique: a comparison between the pole-like bracket positioning gauge and the star-like bracket positioning gauge. Open Journal of Stomatology, 1, 121–125.</w:t>
      </w:r>
      <w:r w:rsidRPr="001C1508">
        <w:rPr>
          <w:rFonts w:ascii="Arial" w:eastAsia="Arial" w:hAnsi="Arial" w:cs="Arial"/>
          <w:color w:val="000000" w:themeColor="text1"/>
          <w:sz w:val="20"/>
          <w:szCs w:val="20"/>
        </w:rPr>
        <w:t>DOI:</w:t>
      </w:r>
      <w:r w:rsidRPr="001C1508">
        <w:rPr>
          <w:rFonts w:ascii="Arial" w:hAnsi="Arial" w:cs="Arial"/>
          <w:color w:val="000000" w:themeColor="text1"/>
          <w:sz w:val="20"/>
          <w:szCs w:val="20"/>
          <w:shd w:val="clear" w:color="auto" w:fill="FFFFFF"/>
        </w:rPr>
        <w:t xml:space="preserve">  </w:t>
      </w:r>
      <w:hyperlink r:id="rId14" w:tgtFrame="_blank" w:history="1">
        <w:r w:rsidRPr="001C1508">
          <w:rPr>
            <w:rStyle w:val="Hyperlink"/>
            <w:rFonts w:ascii="Arial" w:hAnsi="Arial" w:cs="Arial"/>
            <w:color w:val="000000" w:themeColor="text1"/>
            <w:sz w:val="20"/>
            <w:szCs w:val="20"/>
            <w:shd w:val="clear" w:color="auto" w:fill="FFFFFF"/>
          </w:rPr>
          <w:t>10.4236/ojst.2011.14019</w:t>
        </w:r>
      </w:hyperlink>
    </w:p>
    <w:p w14:paraId="40C0A883" w14:textId="4D8DB8E5" w:rsidR="00ED5895" w:rsidRPr="00ED5895" w:rsidRDefault="00ED5895" w:rsidP="004A4302">
      <w:pPr>
        <w:pStyle w:val="ListParagraph"/>
        <w:numPr>
          <w:ilvl w:val="0"/>
          <w:numId w:val="24"/>
        </w:numPr>
        <w:spacing w:after="40" w:line="480" w:lineRule="auto"/>
        <w:jc w:val="both"/>
        <w:rPr>
          <w:rFonts w:ascii="Arial" w:hAnsi="Arial" w:cs="Arial"/>
          <w:sz w:val="20"/>
          <w:szCs w:val="20"/>
        </w:rPr>
      </w:pPr>
      <w:r w:rsidRPr="004A4302">
        <w:rPr>
          <w:rFonts w:ascii="Arial" w:eastAsia="Arial" w:hAnsi="Arial" w:cs="Arial"/>
          <w:sz w:val="20"/>
          <w:szCs w:val="20"/>
        </w:rPr>
        <w:t>Samuels, R. H. (2005). TN3—a bracket positioning instrument. Journal of Orthodontics, 32, 98–99.</w:t>
      </w:r>
      <w:r w:rsidRPr="004A4302">
        <w:rPr>
          <w:rFonts w:ascii="Arial" w:hAnsi="Arial" w:cs="Arial"/>
          <w:color w:val="212121"/>
          <w:sz w:val="20"/>
          <w:szCs w:val="20"/>
        </w:rPr>
        <w:t xml:space="preserve"> </w:t>
      </w:r>
      <w:r w:rsidRPr="001C1508">
        <w:rPr>
          <w:rFonts w:ascii="Arial" w:eastAsia="Times New Roman" w:hAnsi="Arial" w:cs="Arial"/>
          <w:color w:val="000000" w:themeColor="text1"/>
          <w:sz w:val="20"/>
          <w:szCs w:val="20"/>
          <w:lang w:eastAsia="en-IN"/>
        </w:rPr>
        <w:t>DOI: </w:t>
      </w:r>
      <w:hyperlink r:id="rId15" w:tgtFrame="_blank" w:history="1">
        <w:r w:rsidRPr="001C1508">
          <w:rPr>
            <w:rFonts w:ascii="Arial" w:eastAsia="Times New Roman" w:hAnsi="Arial" w:cs="Arial"/>
            <w:color w:val="000000" w:themeColor="text1"/>
            <w:sz w:val="20"/>
            <w:szCs w:val="20"/>
            <w:u w:val="single"/>
            <w:lang w:eastAsia="en-IN"/>
          </w:rPr>
          <w:t>10.1179/146531205225020961</w:t>
        </w:r>
      </w:hyperlink>
    </w:p>
    <w:p w14:paraId="50FB0F9E" w14:textId="4EA500D4" w:rsidR="00ED5895" w:rsidRPr="00ED5895" w:rsidRDefault="00ED5895" w:rsidP="004A4302">
      <w:pPr>
        <w:pStyle w:val="ListParagraph"/>
        <w:numPr>
          <w:ilvl w:val="0"/>
          <w:numId w:val="24"/>
        </w:numPr>
        <w:spacing w:after="40" w:line="480" w:lineRule="auto"/>
        <w:jc w:val="both"/>
        <w:rPr>
          <w:rFonts w:ascii="Arial" w:hAnsi="Arial" w:cs="Arial"/>
          <w:sz w:val="20"/>
          <w:szCs w:val="20"/>
        </w:rPr>
      </w:pPr>
      <w:r w:rsidRPr="004A4302">
        <w:rPr>
          <w:rFonts w:ascii="Arial" w:eastAsia="Arial" w:hAnsi="Arial" w:cs="Arial"/>
          <w:sz w:val="20"/>
          <w:szCs w:val="20"/>
        </w:rPr>
        <w:t>Geron, S. (2002). A new instrument for controlled bracket positioning. Journal of Clinical Orthodontics, 36, 206–207.</w:t>
      </w:r>
      <w:r w:rsidRPr="004A4302">
        <w:rPr>
          <w:rStyle w:val="id-label"/>
          <w:rFonts w:ascii="Arial" w:hAnsi="Arial" w:cs="Arial"/>
          <w:color w:val="212121"/>
          <w:sz w:val="20"/>
          <w:szCs w:val="20"/>
        </w:rPr>
        <w:t xml:space="preserve"> </w:t>
      </w:r>
      <w:r w:rsidRPr="001C1508">
        <w:rPr>
          <w:rFonts w:ascii="Arial" w:eastAsia="Times New Roman" w:hAnsi="Arial" w:cs="Arial"/>
          <w:color w:val="212121"/>
          <w:sz w:val="20"/>
          <w:szCs w:val="20"/>
          <w:lang w:eastAsia="en-IN"/>
        </w:rPr>
        <w:t>PMID: 12025355</w:t>
      </w:r>
    </w:p>
    <w:p w14:paraId="2B1D9EB5" w14:textId="1FEDE74A" w:rsidR="00ED5895" w:rsidRPr="00ED5895" w:rsidRDefault="00ED5895" w:rsidP="004A4302">
      <w:pPr>
        <w:pStyle w:val="ListParagraph"/>
        <w:numPr>
          <w:ilvl w:val="0"/>
          <w:numId w:val="24"/>
        </w:numPr>
        <w:spacing w:after="40" w:line="480" w:lineRule="auto"/>
        <w:jc w:val="both"/>
        <w:rPr>
          <w:rFonts w:ascii="Arial" w:hAnsi="Arial" w:cs="Arial"/>
          <w:sz w:val="20"/>
          <w:szCs w:val="20"/>
        </w:rPr>
      </w:pPr>
      <w:r w:rsidRPr="004A4302">
        <w:rPr>
          <w:rFonts w:ascii="Arial" w:eastAsia="Arial" w:hAnsi="Arial" w:cs="Arial"/>
          <w:sz w:val="20"/>
          <w:szCs w:val="20"/>
        </w:rPr>
        <w:t xml:space="preserve">Balut, N., Klapper, L., Sandrik, J., &amp; Bowman, D. (1992). Variations in bracket placement in the preadjusted orthodontic appliance. American Journal of Orthodontics and Dentofacial </w:t>
      </w:r>
      <w:proofErr w:type="spellStart"/>
      <w:r w:rsidRPr="004A4302">
        <w:rPr>
          <w:rFonts w:ascii="Arial" w:eastAsia="Arial" w:hAnsi="Arial" w:cs="Arial"/>
          <w:sz w:val="20"/>
          <w:szCs w:val="20"/>
        </w:rPr>
        <w:t>Orthopedics</w:t>
      </w:r>
      <w:proofErr w:type="spellEnd"/>
      <w:r w:rsidRPr="004A4302">
        <w:rPr>
          <w:rFonts w:ascii="Arial" w:eastAsia="Arial" w:hAnsi="Arial" w:cs="Arial"/>
          <w:sz w:val="20"/>
          <w:szCs w:val="20"/>
        </w:rPr>
        <w:t>, 102, 62–67.</w:t>
      </w:r>
      <w:r w:rsidRPr="001C1508">
        <w:rPr>
          <w:rFonts w:ascii="Arial" w:eastAsia="Times New Roman" w:hAnsi="Arial" w:cs="Arial"/>
          <w:color w:val="000000" w:themeColor="text1"/>
          <w:sz w:val="20"/>
          <w:szCs w:val="20"/>
          <w:lang w:eastAsia="en-IN"/>
        </w:rPr>
        <w:t>DOI: </w:t>
      </w:r>
      <w:hyperlink r:id="rId16" w:tgtFrame="_blank" w:history="1">
        <w:r w:rsidRPr="001C1508">
          <w:rPr>
            <w:rFonts w:ascii="Arial" w:eastAsia="Times New Roman" w:hAnsi="Arial" w:cs="Arial"/>
            <w:color w:val="000000" w:themeColor="text1"/>
            <w:sz w:val="20"/>
            <w:szCs w:val="20"/>
            <w:u w:val="single"/>
            <w:lang w:eastAsia="en-IN"/>
          </w:rPr>
          <w:t>10.1016/0889-5406(92)70015-3</w:t>
        </w:r>
      </w:hyperlink>
    </w:p>
    <w:p w14:paraId="04CED31C" w14:textId="6845AE36" w:rsidR="00ED5895" w:rsidRPr="00ED5895" w:rsidRDefault="00ED5895" w:rsidP="004A4302">
      <w:pPr>
        <w:pStyle w:val="ListParagraph"/>
        <w:numPr>
          <w:ilvl w:val="0"/>
          <w:numId w:val="24"/>
        </w:numPr>
        <w:spacing w:after="40" w:line="480" w:lineRule="auto"/>
        <w:jc w:val="both"/>
        <w:rPr>
          <w:rFonts w:ascii="Arial" w:hAnsi="Arial" w:cs="Arial"/>
          <w:sz w:val="20"/>
          <w:szCs w:val="20"/>
        </w:rPr>
      </w:pPr>
      <w:proofErr w:type="spellStart"/>
      <w:r w:rsidRPr="004A4302">
        <w:rPr>
          <w:rFonts w:ascii="Arial" w:eastAsia="Arial" w:hAnsi="Arial" w:cs="Arial"/>
          <w:sz w:val="20"/>
          <w:szCs w:val="20"/>
        </w:rPr>
        <w:t>Droschl</w:t>
      </w:r>
      <w:proofErr w:type="spellEnd"/>
      <w:r w:rsidRPr="004A4302">
        <w:rPr>
          <w:rFonts w:ascii="Arial" w:eastAsia="Arial" w:hAnsi="Arial" w:cs="Arial"/>
          <w:sz w:val="20"/>
          <w:szCs w:val="20"/>
        </w:rPr>
        <w:t xml:space="preserve">, H., &amp; </w:t>
      </w:r>
      <w:proofErr w:type="spellStart"/>
      <w:r w:rsidRPr="004A4302">
        <w:rPr>
          <w:rFonts w:ascii="Arial" w:eastAsia="Arial" w:hAnsi="Arial" w:cs="Arial"/>
          <w:sz w:val="20"/>
          <w:szCs w:val="20"/>
        </w:rPr>
        <w:t>Bantleon</w:t>
      </w:r>
      <w:proofErr w:type="spellEnd"/>
      <w:r w:rsidRPr="004A4302">
        <w:rPr>
          <w:rFonts w:ascii="Arial" w:eastAsia="Arial" w:hAnsi="Arial" w:cs="Arial"/>
          <w:sz w:val="20"/>
          <w:szCs w:val="20"/>
        </w:rPr>
        <w:t xml:space="preserve">, H. P. (1986). Bracket positioning gauge. Journal of Clinical </w:t>
      </w:r>
      <w:r>
        <w:rPr>
          <w:rFonts w:ascii="Arial" w:eastAsia="Arial" w:hAnsi="Arial" w:cs="Arial"/>
          <w:sz w:val="20"/>
          <w:szCs w:val="20"/>
        </w:rPr>
        <w:t xml:space="preserve">   </w:t>
      </w:r>
      <w:r w:rsidRPr="004A4302">
        <w:rPr>
          <w:rFonts w:ascii="Arial" w:eastAsia="Arial" w:hAnsi="Arial" w:cs="Arial"/>
          <w:sz w:val="20"/>
          <w:szCs w:val="20"/>
        </w:rPr>
        <w:t>Orthodontics, 20, 266–268.</w:t>
      </w:r>
      <w:r w:rsidRPr="004A4302">
        <w:rPr>
          <w:rStyle w:val="id-label"/>
          <w:rFonts w:ascii="Arial" w:hAnsi="Arial" w:cs="Arial"/>
          <w:color w:val="212121"/>
          <w:sz w:val="20"/>
          <w:szCs w:val="20"/>
        </w:rPr>
        <w:t xml:space="preserve"> </w:t>
      </w:r>
      <w:r w:rsidRPr="001C1508">
        <w:rPr>
          <w:rFonts w:ascii="Arial" w:eastAsia="Times New Roman" w:hAnsi="Arial" w:cs="Arial"/>
          <w:color w:val="212121"/>
          <w:sz w:val="20"/>
          <w:szCs w:val="20"/>
          <w:lang w:eastAsia="en-IN"/>
        </w:rPr>
        <w:t>PMID: 3519674</w:t>
      </w:r>
    </w:p>
    <w:p w14:paraId="54392D73" w14:textId="2B66791C" w:rsidR="00ED5895" w:rsidRPr="001C1508" w:rsidRDefault="00ED5895" w:rsidP="004A4302">
      <w:pPr>
        <w:pStyle w:val="ListParagraph"/>
        <w:numPr>
          <w:ilvl w:val="0"/>
          <w:numId w:val="24"/>
        </w:numPr>
        <w:spacing w:after="40" w:line="480" w:lineRule="auto"/>
        <w:jc w:val="both"/>
        <w:rPr>
          <w:rFonts w:ascii="Arial" w:hAnsi="Arial" w:cs="Arial"/>
          <w:sz w:val="20"/>
          <w:szCs w:val="20"/>
        </w:rPr>
      </w:pPr>
      <w:r w:rsidRPr="004A4302">
        <w:rPr>
          <w:rFonts w:ascii="Arial" w:eastAsia="Arial" w:hAnsi="Arial" w:cs="Arial"/>
          <w:sz w:val="20"/>
          <w:szCs w:val="20"/>
        </w:rPr>
        <w:lastRenderedPageBreak/>
        <w:t>Aguirre, M. J., King, G. J., &amp; Waldron, J. M. (1982). Assessment of bracket placement and bond strength when comparing direct bonding to indirect bonding techniques. American Journal of Orthodontics, 82, 269–276.</w:t>
      </w:r>
      <w:r w:rsidRPr="004A4302">
        <w:rPr>
          <w:rFonts w:ascii="Arial" w:hAnsi="Arial" w:cs="Arial"/>
          <w:color w:val="212121"/>
          <w:sz w:val="20"/>
          <w:szCs w:val="20"/>
        </w:rPr>
        <w:t xml:space="preserve"> </w:t>
      </w:r>
      <w:r w:rsidRPr="001C1508">
        <w:rPr>
          <w:rFonts w:ascii="Arial" w:eastAsia="Times New Roman" w:hAnsi="Arial" w:cs="Arial"/>
          <w:color w:val="000000" w:themeColor="text1"/>
          <w:sz w:val="20"/>
          <w:szCs w:val="20"/>
          <w:lang w:eastAsia="en-IN"/>
        </w:rPr>
        <w:t>DOI: </w:t>
      </w:r>
      <w:hyperlink r:id="rId17" w:tgtFrame="_blank" w:history="1">
        <w:r w:rsidRPr="001C1508">
          <w:rPr>
            <w:rFonts w:ascii="Arial" w:eastAsia="Times New Roman" w:hAnsi="Arial" w:cs="Arial"/>
            <w:color w:val="000000" w:themeColor="text1"/>
            <w:sz w:val="20"/>
            <w:szCs w:val="20"/>
            <w:u w:val="single"/>
            <w:lang w:eastAsia="en-IN"/>
          </w:rPr>
          <w:t>10.1016/0002-9416(82)90461-4</w:t>
        </w:r>
      </w:hyperlink>
    </w:p>
    <w:p w14:paraId="5B6E28CF" w14:textId="77777777" w:rsidR="004A4302" w:rsidRPr="004A4302" w:rsidRDefault="004A4302" w:rsidP="004A4302">
      <w:pPr>
        <w:spacing w:line="480" w:lineRule="auto"/>
        <w:jc w:val="both"/>
        <w:rPr>
          <w:rFonts w:ascii="Arial" w:hAnsi="Arial" w:cs="Arial"/>
          <w:b/>
          <w:sz w:val="24"/>
          <w:szCs w:val="24"/>
        </w:rPr>
      </w:pPr>
    </w:p>
    <w:p w14:paraId="722800A0" w14:textId="0378CA9F" w:rsidR="00587271" w:rsidRPr="00587271" w:rsidRDefault="00587271" w:rsidP="004A4302">
      <w:pPr>
        <w:pStyle w:val="ListParagraph"/>
        <w:spacing w:after="40" w:line="480" w:lineRule="auto"/>
        <w:jc w:val="both"/>
        <w:rPr>
          <w:sz w:val="20"/>
          <w:szCs w:val="20"/>
        </w:rPr>
      </w:pPr>
    </w:p>
    <w:p w14:paraId="483B8945" w14:textId="436775D1" w:rsidR="00176A07" w:rsidRPr="006309A5" w:rsidRDefault="00176A07" w:rsidP="006309A5">
      <w:pPr>
        <w:pStyle w:val="NormalWeb"/>
        <w:spacing w:line="480" w:lineRule="auto"/>
        <w:ind w:left="567"/>
        <w:jc w:val="both"/>
        <w:rPr>
          <w:rFonts w:ascii="Arial" w:hAnsi="Arial" w:cs="Arial"/>
          <w:sz w:val="22"/>
          <w:szCs w:val="22"/>
        </w:rPr>
      </w:pPr>
    </w:p>
    <w:sectPr w:rsidR="00176A07" w:rsidRPr="006309A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90376" w14:textId="77777777" w:rsidR="00871985" w:rsidRDefault="00871985" w:rsidP="002C7B41">
      <w:pPr>
        <w:spacing w:after="0" w:line="240" w:lineRule="auto"/>
      </w:pPr>
      <w:r>
        <w:separator/>
      </w:r>
    </w:p>
  </w:endnote>
  <w:endnote w:type="continuationSeparator" w:id="0">
    <w:p w14:paraId="21EEDCD6" w14:textId="77777777" w:rsidR="00871985" w:rsidRDefault="00871985" w:rsidP="002C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5CE9" w14:textId="77777777" w:rsidR="009A6DA7" w:rsidRDefault="009A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953581"/>
      <w:docPartObj>
        <w:docPartGallery w:val="Page Numbers (Bottom of Page)"/>
        <w:docPartUnique/>
      </w:docPartObj>
    </w:sdtPr>
    <w:sdtEndPr>
      <w:rPr>
        <w:noProof/>
      </w:rPr>
    </w:sdtEndPr>
    <w:sdtContent>
      <w:p w14:paraId="32015C72" w14:textId="3873476A" w:rsidR="002C7B41" w:rsidRDefault="002C7B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ABB5D" w14:textId="77777777" w:rsidR="002C7B41" w:rsidRDefault="002C7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271B" w14:textId="77777777" w:rsidR="009A6DA7" w:rsidRDefault="009A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FF278" w14:textId="77777777" w:rsidR="00871985" w:rsidRDefault="00871985" w:rsidP="002C7B41">
      <w:pPr>
        <w:spacing w:after="0" w:line="240" w:lineRule="auto"/>
      </w:pPr>
      <w:r>
        <w:separator/>
      </w:r>
    </w:p>
  </w:footnote>
  <w:footnote w:type="continuationSeparator" w:id="0">
    <w:p w14:paraId="6C201F87" w14:textId="77777777" w:rsidR="00871985" w:rsidRDefault="00871985" w:rsidP="002C7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95F0" w14:textId="455704E3" w:rsidR="009A6DA7" w:rsidRDefault="009A6DA7">
    <w:pPr>
      <w:pStyle w:val="Header"/>
    </w:pPr>
    <w:r>
      <w:rPr>
        <w:noProof/>
      </w:rPr>
      <w:pict w14:anchorId="16869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946D" w14:textId="5ABFB243" w:rsidR="009A6DA7" w:rsidRDefault="009A6DA7">
    <w:pPr>
      <w:pStyle w:val="Header"/>
    </w:pPr>
    <w:r>
      <w:rPr>
        <w:noProof/>
      </w:rPr>
      <w:pict w14:anchorId="3600E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0574" w14:textId="092DB655" w:rsidR="009A6DA7" w:rsidRDefault="009A6DA7">
    <w:pPr>
      <w:pStyle w:val="Header"/>
    </w:pPr>
    <w:r>
      <w:rPr>
        <w:noProof/>
      </w:rPr>
      <w:pict w14:anchorId="6CE0D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332"/>
    <w:multiLevelType w:val="hybridMultilevel"/>
    <w:tmpl w:val="23A02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922D4F"/>
    <w:multiLevelType w:val="multilevel"/>
    <w:tmpl w:val="D270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775B6"/>
    <w:multiLevelType w:val="hybridMultilevel"/>
    <w:tmpl w:val="306ADD8E"/>
    <w:lvl w:ilvl="0" w:tplc="F23C7D3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8D7B2E"/>
    <w:multiLevelType w:val="multilevel"/>
    <w:tmpl w:val="F1A4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77F53"/>
    <w:multiLevelType w:val="hybridMultilevel"/>
    <w:tmpl w:val="C1102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987C78"/>
    <w:multiLevelType w:val="multilevel"/>
    <w:tmpl w:val="C45A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C7802"/>
    <w:multiLevelType w:val="hybridMultilevel"/>
    <w:tmpl w:val="103E87E4"/>
    <w:lvl w:ilvl="0" w:tplc="9D6A5FA8">
      <w:start w:val="1"/>
      <w:numFmt w:val="decimal"/>
      <w:lvlText w:val="%1."/>
      <w:lvlJc w:val="left"/>
      <w:pPr>
        <w:ind w:left="785"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3B51B5"/>
    <w:multiLevelType w:val="multilevel"/>
    <w:tmpl w:val="C6F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4028C"/>
    <w:multiLevelType w:val="multilevel"/>
    <w:tmpl w:val="C3FC3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E04DB"/>
    <w:multiLevelType w:val="hybridMultilevel"/>
    <w:tmpl w:val="DEA63AC8"/>
    <w:lvl w:ilvl="0" w:tplc="7076D07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2C5D1C09"/>
    <w:multiLevelType w:val="multilevel"/>
    <w:tmpl w:val="68B6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E59F1"/>
    <w:multiLevelType w:val="multilevel"/>
    <w:tmpl w:val="9C9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43D21"/>
    <w:multiLevelType w:val="multilevel"/>
    <w:tmpl w:val="BDA8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A4304"/>
    <w:multiLevelType w:val="hybridMultilevel"/>
    <w:tmpl w:val="81F4F582"/>
    <w:lvl w:ilvl="0" w:tplc="254AF842">
      <w:start w:val="1"/>
      <w:numFmt w:val="bullet"/>
      <w:lvlText w:val="•"/>
      <w:lvlJc w:val="left"/>
      <w:pPr>
        <w:tabs>
          <w:tab w:val="num" w:pos="720"/>
        </w:tabs>
        <w:ind w:left="720" w:hanging="360"/>
      </w:pPr>
      <w:rPr>
        <w:rFonts w:ascii="Times New Roman" w:hAnsi="Times New Roman" w:hint="default"/>
      </w:rPr>
    </w:lvl>
    <w:lvl w:ilvl="1" w:tplc="C4523078" w:tentative="1">
      <w:start w:val="1"/>
      <w:numFmt w:val="bullet"/>
      <w:lvlText w:val="•"/>
      <w:lvlJc w:val="left"/>
      <w:pPr>
        <w:tabs>
          <w:tab w:val="num" w:pos="1440"/>
        </w:tabs>
        <w:ind w:left="1440" w:hanging="360"/>
      </w:pPr>
      <w:rPr>
        <w:rFonts w:ascii="Times New Roman" w:hAnsi="Times New Roman" w:hint="default"/>
      </w:rPr>
    </w:lvl>
    <w:lvl w:ilvl="2" w:tplc="F0AECED2" w:tentative="1">
      <w:start w:val="1"/>
      <w:numFmt w:val="bullet"/>
      <w:lvlText w:val="•"/>
      <w:lvlJc w:val="left"/>
      <w:pPr>
        <w:tabs>
          <w:tab w:val="num" w:pos="2160"/>
        </w:tabs>
        <w:ind w:left="2160" w:hanging="360"/>
      </w:pPr>
      <w:rPr>
        <w:rFonts w:ascii="Times New Roman" w:hAnsi="Times New Roman" w:hint="default"/>
      </w:rPr>
    </w:lvl>
    <w:lvl w:ilvl="3" w:tplc="F794A55C" w:tentative="1">
      <w:start w:val="1"/>
      <w:numFmt w:val="bullet"/>
      <w:lvlText w:val="•"/>
      <w:lvlJc w:val="left"/>
      <w:pPr>
        <w:tabs>
          <w:tab w:val="num" w:pos="2880"/>
        </w:tabs>
        <w:ind w:left="2880" w:hanging="360"/>
      </w:pPr>
      <w:rPr>
        <w:rFonts w:ascii="Times New Roman" w:hAnsi="Times New Roman" w:hint="default"/>
      </w:rPr>
    </w:lvl>
    <w:lvl w:ilvl="4" w:tplc="2B027B08" w:tentative="1">
      <w:start w:val="1"/>
      <w:numFmt w:val="bullet"/>
      <w:lvlText w:val="•"/>
      <w:lvlJc w:val="left"/>
      <w:pPr>
        <w:tabs>
          <w:tab w:val="num" w:pos="3600"/>
        </w:tabs>
        <w:ind w:left="3600" w:hanging="360"/>
      </w:pPr>
      <w:rPr>
        <w:rFonts w:ascii="Times New Roman" w:hAnsi="Times New Roman" w:hint="default"/>
      </w:rPr>
    </w:lvl>
    <w:lvl w:ilvl="5" w:tplc="55C83106" w:tentative="1">
      <w:start w:val="1"/>
      <w:numFmt w:val="bullet"/>
      <w:lvlText w:val="•"/>
      <w:lvlJc w:val="left"/>
      <w:pPr>
        <w:tabs>
          <w:tab w:val="num" w:pos="4320"/>
        </w:tabs>
        <w:ind w:left="4320" w:hanging="360"/>
      </w:pPr>
      <w:rPr>
        <w:rFonts w:ascii="Times New Roman" w:hAnsi="Times New Roman" w:hint="default"/>
      </w:rPr>
    </w:lvl>
    <w:lvl w:ilvl="6" w:tplc="4300C160" w:tentative="1">
      <w:start w:val="1"/>
      <w:numFmt w:val="bullet"/>
      <w:lvlText w:val="•"/>
      <w:lvlJc w:val="left"/>
      <w:pPr>
        <w:tabs>
          <w:tab w:val="num" w:pos="5040"/>
        </w:tabs>
        <w:ind w:left="5040" w:hanging="360"/>
      </w:pPr>
      <w:rPr>
        <w:rFonts w:ascii="Times New Roman" w:hAnsi="Times New Roman" w:hint="default"/>
      </w:rPr>
    </w:lvl>
    <w:lvl w:ilvl="7" w:tplc="313C1A40" w:tentative="1">
      <w:start w:val="1"/>
      <w:numFmt w:val="bullet"/>
      <w:lvlText w:val="•"/>
      <w:lvlJc w:val="left"/>
      <w:pPr>
        <w:tabs>
          <w:tab w:val="num" w:pos="5760"/>
        </w:tabs>
        <w:ind w:left="5760" w:hanging="360"/>
      </w:pPr>
      <w:rPr>
        <w:rFonts w:ascii="Times New Roman" w:hAnsi="Times New Roman" w:hint="default"/>
      </w:rPr>
    </w:lvl>
    <w:lvl w:ilvl="8" w:tplc="53A2FE3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C7C026B"/>
    <w:multiLevelType w:val="hybridMultilevel"/>
    <w:tmpl w:val="CE1EFEE6"/>
    <w:lvl w:ilvl="0" w:tplc="68D8906C">
      <w:start w:val="1"/>
      <w:numFmt w:val="bullet"/>
      <w:lvlText w:val="•"/>
      <w:lvlJc w:val="left"/>
      <w:pPr>
        <w:tabs>
          <w:tab w:val="num" w:pos="720"/>
        </w:tabs>
        <w:ind w:left="720" w:hanging="360"/>
      </w:pPr>
      <w:rPr>
        <w:rFonts w:ascii="Times New Roman" w:hAnsi="Times New Roman" w:hint="default"/>
      </w:rPr>
    </w:lvl>
    <w:lvl w:ilvl="1" w:tplc="29B46620" w:tentative="1">
      <w:start w:val="1"/>
      <w:numFmt w:val="bullet"/>
      <w:lvlText w:val="•"/>
      <w:lvlJc w:val="left"/>
      <w:pPr>
        <w:tabs>
          <w:tab w:val="num" w:pos="1440"/>
        </w:tabs>
        <w:ind w:left="1440" w:hanging="360"/>
      </w:pPr>
      <w:rPr>
        <w:rFonts w:ascii="Times New Roman" w:hAnsi="Times New Roman" w:hint="default"/>
      </w:rPr>
    </w:lvl>
    <w:lvl w:ilvl="2" w:tplc="6BE0E8D0" w:tentative="1">
      <w:start w:val="1"/>
      <w:numFmt w:val="bullet"/>
      <w:lvlText w:val="•"/>
      <w:lvlJc w:val="left"/>
      <w:pPr>
        <w:tabs>
          <w:tab w:val="num" w:pos="2160"/>
        </w:tabs>
        <w:ind w:left="2160" w:hanging="360"/>
      </w:pPr>
      <w:rPr>
        <w:rFonts w:ascii="Times New Roman" w:hAnsi="Times New Roman" w:hint="default"/>
      </w:rPr>
    </w:lvl>
    <w:lvl w:ilvl="3" w:tplc="39F27732" w:tentative="1">
      <w:start w:val="1"/>
      <w:numFmt w:val="bullet"/>
      <w:lvlText w:val="•"/>
      <w:lvlJc w:val="left"/>
      <w:pPr>
        <w:tabs>
          <w:tab w:val="num" w:pos="2880"/>
        </w:tabs>
        <w:ind w:left="2880" w:hanging="360"/>
      </w:pPr>
      <w:rPr>
        <w:rFonts w:ascii="Times New Roman" w:hAnsi="Times New Roman" w:hint="default"/>
      </w:rPr>
    </w:lvl>
    <w:lvl w:ilvl="4" w:tplc="36DACE70" w:tentative="1">
      <w:start w:val="1"/>
      <w:numFmt w:val="bullet"/>
      <w:lvlText w:val="•"/>
      <w:lvlJc w:val="left"/>
      <w:pPr>
        <w:tabs>
          <w:tab w:val="num" w:pos="3600"/>
        </w:tabs>
        <w:ind w:left="3600" w:hanging="360"/>
      </w:pPr>
      <w:rPr>
        <w:rFonts w:ascii="Times New Roman" w:hAnsi="Times New Roman" w:hint="default"/>
      </w:rPr>
    </w:lvl>
    <w:lvl w:ilvl="5" w:tplc="545236A0" w:tentative="1">
      <w:start w:val="1"/>
      <w:numFmt w:val="bullet"/>
      <w:lvlText w:val="•"/>
      <w:lvlJc w:val="left"/>
      <w:pPr>
        <w:tabs>
          <w:tab w:val="num" w:pos="4320"/>
        </w:tabs>
        <w:ind w:left="4320" w:hanging="360"/>
      </w:pPr>
      <w:rPr>
        <w:rFonts w:ascii="Times New Roman" w:hAnsi="Times New Roman" w:hint="default"/>
      </w:rPr>
    </w:lvl>
    <w:lvl w:ilvl="6" w:tplc="2A348A58" w:tentative="1">
      <w:start w:val="1"/>
      <w:numFmt w:val="bullet"/>
      <w:lvlText w:val="•"/>
      <w:lvlJc w:val="left"/>
      <w:pPr>
        <w:tabs>
          <w:tab w:val="num" w:pos="5040"/>
        </w:tabs>
        <w:ind w:left="5040" w:hanging="360"/>
      </w:pPr>
      <w:rPr>
        <w:rFonts w:ascii="Times New Roman" w:hAnsi="Times New Roman" w:hint="default"/>
      </w:rPr>
    </w:lvl>
    <w:lvl w:ilvl="7" w:tplc="FA5C3374" w:tentative="1">
      <w:start w:val="1"/>
      <w:numFmt w:val="bullet"/>
      <w:lvlText w:val="•"/>
      <w:lvlJc w:val="left"/>
      <w:pPr>
        <w:tabs>
          <w:tab w:val="num" w:pos="5760"/>
        </w:tabs>
        <w:ind w:left="5760" w:hanging="360"/>
      </w:pPr>
      <w:rPr>
        <w:rFonts w:ascii="Times New Roman" w:hAnsi="Times New Roman" w:hint="default"/>
      </w:rPr>
    </w:lvl>
    <w:lvl w:ilvl="8" w:tplc="7B40B17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9A4468"/>
    <w:multiLevelType w:val="hybridMultilevel"/>
    <w:tmpl w:val="2F289F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77447B9"/>
    <w:multiLevelType w:val="hybridMultilevel"/>
    <w:tmpl w:val="940ABF00"/>
    <w:lvl w:ilvl="0" w:tplc="D9122712">
      <w:start w:val="1"/>
      <w:numFmt w:val="bullet"/>
      <w:lvlText w:val="•"/>
      <w:lvlJc w:val="left"/>
      <w:pPr>
        <w:tabs>
          <w:tab w:val="num" w:pos="720"/>
        </w:tabs>
        <w:ind w:left="720" w:hanging="360"/>
      </w:pPr>
      <w:rPr>
        <w:rFonts w:ascii="Times New Roman" w:hAnsi="Times New Roman" w:hint="default"/>
      </w:rPr>
    </w:lvl>
    <w:lvl w:ilvl="1" w:tplc="505C3AEC" w:tentative="1">
      <w:start w:val="1"/>
      <w:numFmt w:val="bullet"/>
      <w:lvlText w:val="•"/>
      <w:lvlJc w:val="left"/>
      <w:pPr>
        <w:tabs>
          <w:tab w:val="num" w:pos="1440"/>
        </w:tabs>
        <w:ind w:left="1440" w:hanging="360"/>
      </w:pPr>
      <w:rPr>
        <w:rFonts w:ascii="Times New Roman" w:hAnsi="Times New Roman" w:hint="default"/>
      </w:rPr>
    </w:lvl>
    <w:lvl w:ilvl="2" w:tplc="DB9A55A8" w:tentative="1">
      <w:start w:val="1"/>
      <w:numFmt w:val="bullet"/>
      <w:lvlText w:val="•"/>
      <w:lvlJc w:val="left"/>
      <w:pPr>
        <w:tabs>
          <w:tab w:val="num" w:pos="2160"/>
        </w:tabs>
        <w:ind w:left="2160" w:hanging="360"/>
      </w:pPr>
      <w:rPr>
        <w:rFonts w:ascii="Times New Roman" w:hAnsi="Times New Roman" w:hint="default"/>
      </w:rPr>
    </w:lvl>
    <w:lvl w:ilvl="3" w:tplc="7E6EA256" w:tentative="1">
      <w:start w:val="1"/>
      <w:numFmt w:val="bullet"/>
      <w:lvlText w:val="•"/>
      <w:lvlJc w:val="left"/>
      <w:pPr>
        <w:tabs>
          <w:tab w:val="num" w:pos="2880"/>
        </w:tabs>
        <w:ind w:left="2880" w:hanging="360"/>
      </w:pPr>
      <w:rPr>
        <w:rFonts w:ascii="Times New Roman" w:hAnsi="Times New Roman" w:hint="default"/>
      </w:rPr>
    </w:lvl>
    <w:lvl w:ilvl="4" w:tplc="55E80E04" w:tentative="1">
      <w:start w:val="1"/>
      <w:numFmt w:val="bullet"/>
      <w:lvlText w:val="•"/>
      <w:lvlJc w:val="left"/>
      <w:pPr>
        <w:tabs>
          <w:tab w:val="num" w:pos="3600"/>
        </w:tabs>
        <w:ind w:left="3600" w:hanging="360"/>
      </w:pPr>
      <w:rPr>
        <w:rFonts w:ascii="Times New Roman" w:hAnsi="Times New Roman" w:hint="default"/>
      </w:rPr>
    </w:lvl>
    <w:lvl w:ilvl="5" w:tplc="EAAECD7C" w:tentative="1">
      <w:start w:val="1"/>
      <w:numFmt w:val="bullet"/>
      <w:lvlText w:val="•"/>
      <w:lvlJc w:val="left"/>
      <w:pPr>
        <w:tabs>
          <w:tab w:val="num" w:pos="4320"/>
        </w:tabs>
        <w:ind w:left="4320" w:hanging="360"/>
      </w:pPr>
      <w:rPr>
        <w:rFonts w:ascii="Times New Roman" w:hAnsi="Times New Roman" w:hint="default"/>
      </w:rPr>
    </w:lvl>
    <w:lvl w:ilvl="6" w:tplc="8B9E9046" w:tentative="1">
      <w:start w:val="1"/>
      <w:numFmt w:val="bullet"/>
      <w:lvlText w:val="•"/>
      <w:lvlJc w:val="left"/>
      <w:pPr>
        <w:tabs>
          <w:tab w:val="num" w:pos="5040"/>
        </w:tabs>
        <w:ind w:left="5040" w:hanging="360"/>
      </w:pPr>
      <w:rPr>
        <w:rFonts w:ascii="Times New Roman" w:hAnsi="Times New Roman" w:hint="default"/>
      </w:rPr>
    </w:lvl>
    <w:lvl w:ilvl="7" w:tplc="5DE6A490" w:tentative="1">
      <w:start w:val="1"/>
      <w:numFmt w:val="bullet"/>
      <w:lvlText w:val="•"/>
      <w:lvlJc w:val="left"/>
      <w:pPr>
        <w:tabs>
          <w:tab w:val="num" w:pos="5760"/>
        </w:tabs>
        <w:ind w:left="5760" w:hanging="360"/>
      </w:pPr>
      <w:rPr>
        <w:rFonts w:ascii="Times New Roman" w:hAnsi="Times New Roman" w:hint="default"/>
      </w:rPr>
    </w:lvl>
    <w:lvl w:ilvl="8" w:tplc="975C14B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0607E1E"/>
    <w:multiLevelType w:val="hybridMultilevel"/>
    <w:tmpl w:val="1A4EA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A534AD1"/>
    <w:multiLevelType w:val="hybridMultilevel"/>
    <w:tmpl w:val="A4802DBE"/>
    <w:lvl w:ilvl="0" w:tplc="9DA8CD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2795CA6"/>
    <w:multiLevelType w:val="multilevel"/>
    <w:tmpl w:val="4842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9F0746"/>
    <w:multiLevelType w:val="hybridMultilevel"/>
    <w:tmpl w:val="58D664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643485E"/>
    <w:multiLevelType w:val="hybridMultilevel"/>
    <w:tmpl w:val="101435BC"/>
    <w:lvl w:ilvl="0" w:tplc="BF64F31A">
      <w:start w:val="1"/>
      <w:numFmt w:val="bullet"/>
      <w:lvlText w:val="•"/>
      <w:lvlJc w:val="left"/>
      <w:pPr>
        <w:tabs>
          <w:tab w:val="num" w:pos="720"/>
        </w:tabs>
        <w:ind w:left="720" w:hanging="360"/>
      </w:pPr>
      <w:rPr>
        <w:rFonts w:ascii="Times New Roman" w:hAnsi="Times New Roman" w:hint="default"/>
      </w:rPr>
    </w:lvl>
    <w:lvl w:ilvl="1" w:tplc="C38A247E" w:tentative="1">
      <w:start w:val="1"/>
      <w:numFmt w:val="bullet"/>
      <w:lvlText w:val="•"/>
      <w:lvlJc w:val="left"/>
      <w:pPr>
        <w:tabs>
          <w:tab w:val="num" w:pos="1440"/>
        </w:tabs>
        <w:ind w:left="1440" w:hanging="360"/>
      </w:pPr>
      <w:rPr>
        <w:rFonts w:ascii="Times New Roman" w:hAnsi="Times New Roman" w:hint="default"/>
      </w:rPr>
    </w:lvl>
    <w:lvl w:ilvl="2" w:tplc="667069A6" w:tentative="1">
      <w:start w:val="1"/>
      <w:numFmt w:val="bullet"/>
      <w:lvlText w:val="•"/>
      <w:lvlJc w:val="left"/>
      <w:pPr>
        <w:tabs>
          <w:tab w:val="num" w:pos="2160"/>
        </w:tabs>
        <w:ind w:left="2160" w:hanging="360"/>
      </w:pPr>
      <w:rPr>
        <w:rFonts w:ascii="Times New Roman" w:hAnsi="Times New Roman" w:hint="default"/>
      </w:rPr>
    </w:lvl>
    <w:lvl w:ilvl="3" w:tplc="A20C32A6" w:tentative="1">
      <w:start w:val="1"/>
      <w:numFmt w:val="bullet"/>
      <w:lvlText w:val="•"/>
      <w:lvlJc w:val="left"/>
      <w:pPr>
        <w:tabs>
          <w:tab w:val="num" w:pos="2880"/>
        </w:tabs>
        <w:ind w:left="2880" w:hanging="360"/>
      </w:pPr>
      <w:rPr>
        <w:rFonts w:ascii="Times New Roman" w:hAnsi="Times New Roman" w:hint="default"/>
      </w:rPr>
    </w:lvl>
    <w:lvl w:ilvl="4" w:tplc="9A5AFDB6" w:tentative="1">
      <w:start w:val="1"/>
      <w:numFmt w:val="bullet"/>
      <w:lvlText w:val="•"/>
      <w:lvlJc w:val="left"/>
      <w:pPr>
        <w:tabs>
          <w:tab w:val="num" w:pos="3600"/>
        </w:tabs>
        <w:ind w:left="3600" w:hanging="360"/>
      </w:pPr>
      <w:rPr>
        <w:rFonts w:ascii="Times New Roman" w:hAnsi="Times New Roman" w:hint="default"/>
      </w:rPr>
    </w:lvl>
    <w:lvl w:ilvl="5" w:tplc="E03AD0B8" w:tentative="1">
      <w:start w:val="1"/>
      <w:numFmt w:val="bullet"/>
      <w:lvlText w:val="•"/>
      <w:lvlJc w:val="left"/>
      <w:pPr>
        <w:tabs>
          <w:tab w:val="num" w:pos="4320"/>
        </w:tabs>
        <w:ind w:left="4320" w:hanging="360"/>
      </w:pPr>
      <w:rPr>
        <w:rFonts w:ascii="Times New Roman" w:hAnsi="Times New Roman" w:hint="default"/>
      </w:rPr>
    </w:lvl>
    <w:lvl w:ilvl="6" w:tplc="99FE3D4A" w:tentative="1">
      <w:start w:val="1"/>
      <w:numFmt w:val="bullet"/>
      <w:lvlText w:val="•"/>
      <w:lvlJc w:val="left"/>
      <w:pPr>
        <w:tabs>
          <w:tab w:val="num" w:pos="5040"/>
        </w:tabs>
        <w:ind w:left="5040" w:hanging="360"/>
      </w:pPr>
      <w:rPr>
        <w:rFonts w:ascii="Times New Roman" w:hAnsi="Times New Roman" w:hint="default"/>
      </w:rPr>
    </w:lvl>
    <w:lvl w:ilvl="7" w:tplc="8AF0B82A" w:tentative="1">
      <w:start w:val="1"/>
      <w:numFmt w:val="bullet"/>
      <w:lvlText w:val="•"/>
      <w:lvlJc w:val="left"/>
      <w:pPr>
        <w:tabs>
          <w:tab w:val="num" w:pos="5760"/>
        </w:tabs>
        <w:ind w:left="5760" w:hanging="360"/>
      </w:pPr>
      <w:rPr>
        <w:rFonts w:ascii="Times New Roman" w:hAnsi="Times New Roman" w:hint="default"/>
      </w:rPr>
    </w:lvl>
    <w:lvl w:ilvl="8" w:tplc="C38A21E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C3B4368"/>
    <w:multiLevelType w:val="hybridMultilevel"/>
    <w:tmpl w:val="5CFA645C"/>
    <w:lvl w:ilvl="0" w:tplc="823828F4">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D4F02A3"/>
    <w:multiLevelType w:val="hybridMultilevel"/>
    <w:tmpl w:val="C0C87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8"/>
  </w:num>
  <w:num w:numId="3">
    <w:abstractNumId w:val="13"/>
  </w:num>
  <w:num w:numId="4">
    <w:abstractNumId w:val="16"/>
  </w:num>
  <w:num w:numId="5">
    <w:abstractNumId w:val="21"/>
  </w:num>
  <w:num w:numId="6">
    <w:abstractNumId w:val="14"/>
  </w:num>
  <w:num w:numId="7">
    <w:abstractNumId w:val="7"/>
  </w:num>
  <w:num w:numId="8">
    <w:abstractNumId w:val="15"/>
  </w:num>
  <w:num w:numId="9">
    <w:abstractNumId w:val="18"/>
  </w:num>
  <w:num w:numId="10">
    <w:abstractNumId w:val="6"/>
  </w:num>
  <w:num w:numId="11">
    <w:abstractNumId w:val="20"/>
  </w:num>
  <w:num w:numId="12">
    <w:abstractNumId w:val="2"/>
  </w:num>
  <w:num w:numId="13">
    <w:abstractNumId w:val="9"/>
  </w:num>
  <w:num w:numId="14">
    <w:abstractNumId w:val="22"/>
  </w:num>
  <w:num w:numId="15">
    <w:abstractNumId w:val="4"/>
  </w:num>
  <w:num w:numId="16">
    <w:abstractNumId w:val="3"/>
  </w:num>
  <w:num w:numId="17">
    <w:abstractNumId w:val="0"/>
  </w:num>
  <w:num w:numId="18">
    <w:abstractNumId w:val="1"/>
  </w:num>
  <w:num w:numId="19">
    <w:abstractNumId w:val="19"/>
  </w:num>
  <w:num w:numId="20">
    <w:abstractNumId w:val="11"/>
  </w:num>
  <w:num w:numId="21">
    <w:abstractNumId w:val="12"/>
  </w:num>
  <w:num w:numId="22">
    <w:abstractNumId w:val="10"/>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01"/>
    <w:rsid w:val="00000FB4"/>
    <w:rsid w:val="000477DB"/>
    <w:rsid w:val="000A644C"/>
    <w:rsid w:val="000D06A1"/>
    <w:rsid w:val="00101586"/>
    <w:rsid w:val="00107FA9"/>
    <w:rsid w:val="00112A59"/>
    <w:rsid w:val="00151B7B"/>
    <w:rsid w:val="001635D2"/>
    <w:rsid w:val="00176A07"/>
    <w:rsid w:val="00193A7E"/>
    <w:rsid w:val="001A371E"/>
    <w:rsid w:val="001B7C8B"/>
    <w:rsid w:val="001C1508"/>
    <w:rsid w:val="001E7F49"/>
    <w:rsid w:val="001F58C3"/>
    <w:rsid w:val="00287EE7"/>
    <w:rsid w:val="002969D0"/>
    <w:rsid w:val="002C7B41"/>
    <w:rsid w:val="00334801"/>
    <w:rsid w:val="0036037D"/>
    <w:rsid w:val="00386297"/>
    <w:rsid w:val="003C4373"/>
    <w:rsid w:val="00435684"/>
    <w:rsid w:val="004537F8"/>
    <w:rsid w:val="0049577D"/>
    <w:rsid w:val="004A0949"/>
    <w:rsid w:val="004A29BF"/>
    <w:rsid w:val="004A4302"/>
    <w:rsid w:val="004A5EDC"/>
    <w:rsid w:val="004D64CE"/>
    <w:rsid w:val="004E0886"/>
    <w:rsid w:val="004E6A08"/>
    <w:rsid w:val="005323D6"/>
    <w:rsid w:val="00533E2D"/>
    <w:rsid w:val="00587271"/>
    <w:rsid w:val="005944F5"/>
    <w:rsid w:val="005F5538"/>
    <w:rsid w:val="006309A5"/>
    <w:rsid w:val="00645753"/>
    <w:rsid w:val="006A4F40"/>
    <w:rsid w:val="006C654E"/>
    <w:rsid w:val="00720A3E"/>
    <w:rsid w:val="0073553E"/>
    <w:rsid w:val="00742AB0"/>
    <w:rsid w:val="00751A29"/>
    <w:rsid w:val="00751BAA"/>
    <w:rsid w:val="0076308B"/>
    <w:rsid w:val="007724C1"/>
    <w:rsid w:val="00775F7B"/>
    <w:rsid w:val="0082799E"/>
    <w:rsid w:val="008339EF"/>
    <w:rsid w:val="008432FD"/>
    <w:rsid w:val="00871985"/>
    <w:rsid w:val="00887104"/>
    <w:rsid w:val="008A0A90"/>
    <w:rsid w:val="008A1425"/>
    <w:rsid w:val="008A6285"/>
    <w:rsid w:val="008B0BAF"/>
    <w:rsid w:val="008E0426"/>
    <w:rsid w:val="008E6142"/>
    <w:rsid w:val="00905E9D"/>
    <w:rsid w:val="00915480"/>
    <w:rsid w:val="00931A8F"/>
    <w:rsid w:val="00937727"/>
    <w:rsid w:val="0095051B"/>
    <w:rsid w:val="0097437B"/>
    <w:rsid w:val="009811CB"/>
    <w:rsid w:val="00982CD6"/>
    <w:rsid w:val="00990257"/>
    <w:rsid w:val="009A3E03"/>
    <w:rsid w:val="009A6DA7"/>
    <w:rsid w:val="00A14516"/>
    <w:rsid w:val="00A35727"/>
    <w:rsid w:val="00A61513"/>
    <w:rsid w:val="00A723B7"/>
    <w:rsid w:val="00B15C2F"/>
    <w:rsid w:val="00B606BD"/>
    <w:rsid w:val="00B620B3"/>
    <w:rsid w:val="00BA2E86"/>
    <w:rsid w:val="00BB128C"/>
    <w:rsid w:val="00BB1336"/>
    <w:rsid w:val="00BE533C"/>
    <w:rsid w:val="00BF4AC7"/>
    <w:rsid w:val="00C339A1"/>
    <w:rsid w:val="00C4441E"/>
    <w:rsid w:val="00C4627E"/>
    <w:rsid w:val="00C701FB"/>
    <w:rsid w:val="00C86A5E"/>
    <w:rsid w:val="00C91026"/>
    <w:rsid w:val="00CA7166"/>
    <w:rsid w:val="00CA7AE5"/>
    <w:rsid w:val="00D216E2"/>
    <w:rsid w:val="00D45377"/>
    <w:rsid w:val="00D51C12"/>
    <w:rsid w:val="00D82490"/>
    <w:rsid w:val="00DA2426"/>
    <w:rsid w:val="00DD3B19"/>
    <w:rsid w:val="00DE17CC"/>
    <w:rsid w:val="00E57285"/>
    <w:rsid w:val="00E707AA"/>
    <w:rsid w:val="00E77A5E"/>
    <w:rsid w:val="00E97FD9"/>
    <w:rsid w:val="00EA2972"/>
    <w:rsid w:val="00EC7C65"/>
    <w:rsid w:val="00ED5895"/>
    <w:rsid w:val="00F60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3F506B"/>
  <w15:chartTrackingRefBased/>
  <w15:docId w15:val="{B647DFE7-726D-4B5C-A939-181043DD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CB"/>
  </w:style>
  <w:style w:type="paragraph" w:styleId="Heading2">
    <w:name w:val="heading 2"/>
    <w:basedOn w:val="Normal"/>
    <w:next w:val="Normal"/>
    <w:link w:val="Heading2Char"/>
    <w:uiPriority w:val="9"/>
    <w:semiHidden/>
    <w:unhideWhenUsed/>
    <w:qFormat/>
    <w:rsid w:val="00BA2E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025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F4AC7"/>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BF4AC7"/>
    <w:pPr>
      <w:ind w:left="720"/>
      <w:contextualSpacing/>
    </w:pPr>
  </w:style>
  <w:style w:type="paragraph" w:styleId="NormalWeb">
    <w:name w:val="Normal (Web)"/>
    <w:basedOn w:val="Normal"/>
    <w:uiPriority w:val="99"/>
    <w:unhideWhenUsed/>
    <w:rsid w:val="007630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6308B"/>
    <w:rPr>
      <w:i/>
      <w:iCs/>
    </w:rPr>
  </w:style>
  <w:style w:type="character" w:customStyle="1" w:styleId="citation-authors-year">
    <w:name w:val="citation-authors-year"/>
    <w:basedOn w:val="DefaultParagraphFont"/>
    <w:rsid w:val="0076308B"/>
  </w:style>
  <w:style w:type="character" w:customStyle="1" w:styleId="name">
    <w:name w:val="name"/>
    <w:basedOn w:val="DefaultParagraphFont"/>
    <w:rsid w:val="0076308B"/>
  </w:style>
  <w:style w:type="character" w:customStyle="1" w:styleId="surname">
    <w:name w:val="surname"/>
    <w:basedOn w:val="DefaultParagraphFont"/>
    <w:rsid w:val="0076308B"/>
  </w:style>
  <w:style w:type="character" w:customStyle="1" w:styleId="given-names">
    <w:name w:val="given-names"/>
    <w:basedOn w:val="DefaultParagraphFont"/>
    <w:rsid w:val="0076308B"/>
  </w:style>
  <w:style w:type="character" w:customStyle="1" w:styleId="volume">
    <w:name w:val="volume"/>
    <w:basedOn w:val="DefaultParagraphFont"/>
    <w:rsid w:val="0076308B"/>
  </w:style>
  <w:style w:type="character" w:customStyle="1" w:styleId="source">
    <w:name w:val="source"/>
    <w:basedOn w:val="DefaultParagraphFont"/>
    <w:rsid w:val="0076308B"/>
  </w:style>
  <w:style w:type="character" w:customStyle="1" w:styleId="lpage">
    <w:name w:val="lpage"/>
    <w:basedOn w:val="DefaultParagraphFont"/>
    <w:rsid w:val="0076308B"/>
  </w:style>
  <w:style w:type="character" w:styleId="Strong">
    <w:name w:val="Strong"/>
    <w:basedOn w:val="DefaultParagraphFont"/>
    <w:uiPriority w:val="22"/>
    <w:qFormat/>
    <w:rsid w:val="008E6142"/>
    <w:rPr>
      <w:b/>
      <w:bCs/>
    </w:rPr>
  </w:style>
  <w:style w:type="character" w:customStyle="1" w:styleId="Heading3Char">
    <w:name w:val="Heading 3 Char"/>
    <w:basedOn w:val="DefaultParagraphFont"/>
    <w:link w:val="Heading3"/>
    <w:uiPriority w:val="9"/>
    <w:rsid w:val="00990257"/>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BA2E8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01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0D06A1"/>
  </w:style>
  <w:style w:type="paragraph" w:styleId="Header">
    <w:name w:val="header"/>
    <w:basedOn w:val="Normal"/>
    <w:link w:val="HeaderChar"/>
    <w:uiPriority w:val="99"/>
    <w:unhideWhenUsed/>
    <w:rsid w:val="002C7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B41"/>
  </w:style>
  <w:style w:type="paragraph" w:styleId="Footer">
    <w:name w:val="footer"/>
    <w:basedOn w:val="Normal"/>
    <w:link w:val="FooterChar"/>
    <w:uiPriority w:val="99"/>
    <w:unhideWhenUsed/>
    <w:rsid w:val="002C7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B41"/>
  </w:style>
  <w:style w:type="character" w:styleId="Hyperlink">
    <w:name w:val="Hyperlink"/>
    <w:basedOn w:val="DefaultParagraphFont"/>
    <w:uiPriority w:val="99"/>
    <w:unhideWhenUsed/>
    <w:rsid w:val="00C701FB"/>
    <w:rPr>
      <w:color w:val="0000FF"/>
      <w:u w:val="single"/>
    </w:rPr>
  </w:style>
  <w:style w:type="character" w:customStyle="1" w:styleId="identifier">
    <w:name w:val="identifier"/>
    <w:basedOn w:val="DefaultParagraphFont"/>
    <w:rsid w:val="00587271"/>
  </w:style>
  <w:style w:type="character" w:customStyle="1" w:styleId="id-label">
    <w:name w:val="id-label"/>
    <w:basedOn w:val="DefaultParagraphFont"/>
    <w:rsid w:val="00587271"/>
  </w:style>
  <w:style w:type="character" w:styleId="UnresolvedMention">
    <w:name w:val="Unresolved Mention"/>
    <w:basedOn w:val="DefaultParagraphFont"/>
    <w:uiPriority w:val="99"/>
    <w:semiHidden/>
    <w:unhideWhenUsed/>
    <w:rsid w:val="008A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1426">
      <w:bodyDiv w:val="1"/>
      <w:marLeft w:val="0"/>
      <w:marRight w:val="0"/>
      <w:marTop w:val="0"/>
      <w:marBottom w:val="0"/>
      <w:divBdr>
        <w:top w:val="none" w:sz="0" w:space="0" w:color="auto"/>
        <w:left w:val="none" w:sz="0" w:space="0" w:color="auto"/>
        <w:bottom w:val="none" w:sz="0" w:space="0" w:color="auto"/>
        <w:right w:val="none" w:sz="0" w:space="0" w:color="auto"/>
      </w:divBdr>
    </w:div>
    <w:div w:id="32660184">
      <w:bodyDiv w:val="1"/>
      <w:marLeft w:val="0"/>
      <w:marRight w:val="0"/>
      <w:marTop w:val="0"/>
      <w:marBottom w:val="0"/>
      <w:divBdr>
        <w:top w:val="none" w:sz="0" w:space="0" w:color="auto"/>
        <w:left w:val="none" w:sz="0" w:space="0" w:color="auto"/>
        <w:bottom w:val="none" w:sz="0" w:space="0" w:color="auto"/>
        <w:right w:val="none" w:sz="0" w:space="0" w:color="auto"/>
      </w:divBdr>
    </w:div>
    <w:div w:id="338194067">
      <w:bodyDiv w:val="1"/>
      <w:marLeft w:val="0"/>
      <w:marRight w:val="0"/>
      <w:marTop w:val="0"/>
      <w:marBottom w:val="0"/>
      <w:divBdr>
        <w:top w:val="none" w:sz="0" w:space="0" w:color="auto"/>
        <w:left w:val="none" w:sz="0" w:space="0" w:color="auto"/>
        <w:bottom w:val="none" w:sz="0" w:space="0" w:color="auto"/>
        <w:right w:val="none" w:sz="0" w:space="0" w:color="auto"/>
      </w:divBdr>
    </w:div>
    <w:div w:id="402992394">
      <w:bodyDiv w:val="1"/>
      <w:marLeft w:val="0"/>
      <w:marRight w:val="0"/>
      <w:marTop w:val="0"/>
      <w:marBottom w:val="0"/>
      <w:divBdr>
        <w:top w:val="none" w:sz="0" w:space="0" w:color="auto"/>
        <w:left w:val="none" w:sz="0" w:space="0" w:color="auto"/>
        <w:bottom w:val="none" w:sz="0" w:space="0" w:color="auto"/>
        <w:right w:val="none" w:sz="0" w:space="0" w:color="auto"/>
      </w:divBdr>
      <w:divsChild>
        <w:div w:id="1959295302">
          <w:marLeft w:val="547"/>
          <w:marRight w:val="0"/>
          <w:marTop w:val="0"/>
          <w:marBottom w:val="0"/>
          <w:divBdr>
            <w:top w:val="none" w:sz="0" w:space="0" w:color="auto"/>
            <w:left w:val="none" w:sz="0" w:space="0" w:color="auto"/>
            <w:bottom w:val="none" w:sz="0" w:space="0" w:color="auto"/>
            <w:right w:val="none" w:sz="0" w:space="0" w:color="auto"/>
          </w:divBdr>
        </w:div>
      </w:divsChild>
    </w:div>
    <w:div w:id="506940592">
      <w:bodyDiv w:val="1"/>
      <w:marLeft w:val="0"/>
      <w:marRight w:val="0"/>
      <w:marTop w:val="0"/>
      <w:marBottom w:val="0"/>
      <w:divBdr>
        <w:top w:val="none" w:sz="0" w:space="0" w:color="auto"/>
        <w:left w:val="none" w:sz="0" w:space="0" w:color="auto"/>
        <w:bottom w:val="none" w:sz="0" w:space="0" w:color="auto"/>
        <w:right w:val="none" w:sz="0" w:space="0" w:color="auto"/>
      </w:divBdr>
    </w:div>
    <w:div w:id="521667034">
      <w:bodyDiv w:val="1"/>
      <w:marLeft w:val="0"/>
      <w:marRight w:val="0"/>
      <w:marTop w:val="0"/>
      <w:marBottom w:val="0"/>
      <w:divBdr>
        <w:top w:val="none" w:sz="0" w:space="0" w:color="auto"/>
        <w:left w:val="none" w:sz="0" w:space="0" w:color="auto"/>
        <w:bottom w:val="none" w:sz="0" w:space="0" w:color="auto"/>
        <w:right w:val="none" w:sz="0" w:space="0" w:color="auto"/>
      </w:divBdr>
    </w:div>
    <w:div w:id="530844910">
      <w:bodyDiv w:val="1"/>
      <w:marLeft w:val="0"/>
      <w:marRight w:val="0"/>
      <w:marTop w:val="0"/>
      <w:marBottom w:val="0"/>
      <w:divBdr>
        <w:top w:val="none" w:sz="0" w:space="0" w:color="auto"/>
        <w:left w:val="none" w:sz="0" w:space="0" w:color="auto"/>
        <w:bottom w:val="none" w:sz="0" w:space="0" w:color="auto"/>
        <w:right w:val="none" w:sz="0" w:space="0" w:color="auto"/>
      </w:divBdr>
    </w:div>
    <w:div w:id="628513544">
      <w:bodyDiv w:val="1"/>
      <w:marLeft w:val="0"/>
      <w:marRight w:val="0"/>
      <w:marTop w:val="0"/>
      <w:marBottom w:val="0"/>
      <w:divBdr>
        <w:top w:val="none" w:sz="0" w:space="0" w:color="auto"/>
        <w:left w:val="none" w:sz="0" w:space="0" w:color="auto"/>
        <w:bottom w:val="none" w:sz="0" w:space="0" w:color="auto"/>
        <w:right w:val="none" w:sz="0" w:space="0" w:color="auto"/>
      </w:divBdr>
    </w:div>
    <w:div w:id="783382261">
      <w:bodyDiv w:val="1"/>
      <w:marLeft w:val="0"/>
      <w:marRight w:val="0"/>
      <w:marTop w:val="0"/>
      <w:marBottom w:val="0"/>
      <w:divBdr>
        <w:top w:val="none" w:sz="0" w:space="0" w:color="auto"/>
        <w:left w:val="none" w:sz="0" w:space="0" w:color="auto"/>
        <w:bottom w:val="none" w:sz="0" w:space="0" w:color="auto"/>
        <w:right w:val="none" w:sz="0" w:space="0" w:color="auto"/>
      </w:divBdr>
    </w:div>
    <w:div w:id="815951462">
      <w:bodyDiv w:val="1"/>
      <w:marLeft w:val="0"/>
      <w:marRight w:val="0"/>
      <w:marTop w:val="0"/>
      <w:marBottom w:val="0"/>
      <w:divBdr>
        <w:top w:val="none" w:sz="0" w:space="0" w:color="auto"/>
        <w:left w:val="none" w:sz="0" w:space="0" w:color="auto"/>
        <w:bottom w:val="none" w:sz="0" w:space="0" w:color="auto"/>
        <w:right w:val="none" w:sz="0" w:space="0" w:color="auto"/>
      </w:divBdr>
      <w:divsChild>
        <w:div w:id="246578666">
          <w:marLeft w:val="547"/>
          <w:marRight w:val="0"/>
          <w:marTop w:val="0"/>
          <w:marBottom w:val="0"/>
          <w:divBdr>
            <w:top w:val="none" w:sz="0" w:space="0" w:color="auto"/>
            <w:left w:val="none" w:sz="0" w:space="0" w:color="auto"/>
            <w:bottom w:val="none" w:sz="0" w:space="0" w:color="auto"/>
            <w:right w:val="none" w:sz="0" w:space="0" w:color="auto"/>
          </w:divBdr>
        </w:div>
      </w:divsChild>
    </w:div>
    <w:div w:id="816268622">
      <w:bodyDiv w:val="1"/>
      <w:marLeft w:val="0"/>
      <w:marRight w:val="0"/>
      <w:marTop w:val="0"/>
      <w:marBottom w:val="0"/>
      <w:divBdr>
        <w:top w:val="none" w:sz="0" w:space="0" w:color="auto"/>
        <w:left w:val="none" w:sz="0" w:space="0" w:color="auto"/>
        <w:bottom w:val="none" w:sz="0" w:space="0" w:color="auto"/>
        <w:right w:val="none" w:sz="0" w:space="0" w:color="auto"/>
      </w:divBdr>
    </w:div>
    <w:div w:id="838813737">
      <w:bodyDiv w:val="1"/>
      <w:marLeft w:val="0"/>
      <w:marRight w:val="0"/>
      <w:marTop w:val="0"/>
      <w:marBottom w:val="0"/>
      <w:divBdr>
        <w:top w:val="none" w:sz="0" w:space="0" w:color="auto"/>
        <w:left w:val="none" w:sz="0" w:space="0" w:color="auto"/>
        <w:bottom w:val="none" w:sz="0" w:space="0" w:color="auto"/>
        <w:right w:val="none" w:sz="0" w:space="0" w:color="auto"/>
      </w:divBdr>
    </w:div>
    <w:div w:id="850993446">
      <w:bodyDiv w:val="1"/>
      <w:marLeft w:val="0"/>
      <w:marRight w:val="0"/>
      <w:marTop w:val="0"/>
      <w:marBottom w:val="0"/>
      <w:divBdr>
        <w:top w:val="none" w:sz="0" w:space="0" w:color="auto"/>
        <w:left w:val="none" w:sz="0" w:space="0" w:color="auto"/>
        <w:bottom w:val="none" w:sz="0" w:space="0" w:color="auto"/>
        <w:right w:val="none" w:sz="0" w:space="0" w:color="auto"/>
      </w:divBdr>
    </w:div>
    <w:div w:id="947157911">
      <w:bodyDiv w:val="1"/>
      <w:marLeft w:val="0"/>
      <w:marRight w:val="0"/>
      <w:marTop w:val="0"/>
      <w:marBottom w:val="0"/>
      <w:divBdr>
        <w:top w:val="none" w:sz="0" w:space="0" w:color="auto"/>
        <w:left w:val="none" w:sz="0" w:space="0" w:color="auto"/>
        <w:bottom w:val="none" w:sz="0" w:space="0" w:color="auto"/>
        <w:right w:val="none" w:sz="0" w:space="0" w:color="auto"/>
      </w:divBdr>
    </w:div>
    <w:div w:id="1028724812">
      <w:bodyDiv w:val="1"/>
      <w:marLeft w:val="0"/>
      <w:marRight w:val="0"/>
      <w:marTop w:val="0"/>
      <w:marBottom w:val="0"/>
      <w:divBdr>
        <w:top w:val="none" w:sz="0" w:space="0" w:color="auto"/>
        <w:left w:val="none" w:sz="0" w:space="0" w:color="auto"/>
        <w:bottom w:val="none" w:sz="0" w:space="0" w:color="auto"/>
        <w:right w:val="none" w:sz="0" w:space="0" w:color="auto"/>
      </w:divBdr>
    </w:div>
    <w:div w:id="1099789156">
      <w:bodyDiv w:val="1"/>
      <w:marLeft w:val="0"/>
      <w:marRight w:val="0"/>
      <w:marTop w:val="0"/>
      <w:marBottom w:val="0"/>
      <w:divBdr>
        <w:top w:val="none" w:sz="0" w:space="0" w:color="auto"/>
        <w:left w:val="none" w:sz="0" w:space="0" w:color="auto"/>
        <w:bottom w:val="none" w:sz="0" w:space="0" w:color="auto"/>
        <w:right w:val="none" w:sz="0" w:space="0" w:color="auto"/>
      </w:divBdr>
    </w:div>
    <w:div w:id="1128743641">
      <w:bodyDiv w:val="1"/>
      <w:marLeft w:val="0"/>
      <w:marRight w:val="0"/>
      <w:marTop w:val="0"/>
      <w:marBottom w:val="0"/>
      <w:divBdr>
        <w:top w:val="none" w:sz="0" w:space="0" w:color="auto"/>
        <w:left w:val="none" w:sz="0" w:space="0" w:color="auto"/>
        <w:bottom w:val="none" w:sz="0" w:space="0" w:color="auto"/>
        <w:right w:val="none" w:sz="0" w:space="0" w:color="auto"/>
      </w:divBdr>
    </w:div>
    <w:div w:id="1130786336">
      <w:bodyDiv w:val="1"/>
      <w:marLeft w:val="0"/>
      <w:marRight w:val="0"/>
      <w:marTop w:val="0"/>
      <w:marBottom w:val="0"/>
      <w:divBdr>
        <w:top w:val="none" w:sz="0" w:space="0" w:color="auto"/>
        <w:left w:val="none" w:sz="0" w:space="0" w:color="auto"/>
        <w:bottom w:val="none" w:sz="0" w:space="0" w:color="auto"/>
        <w:right w:val="none" w:sz="0" w:space="0" w:color="auto"/>
      </w:divBdr>
    </w:div>
    <w:div w:id="1132333298">
      <w:bodyDiv w:val="1"/>
      <w:marLeft w:val="0"/>
      <w:marRight w:val="0"/>
      <w:marTop w:val="0"/>
      <w:marBottom w:val="0"/>
      <w:divBdr>
        <w:top w:val="none" w:sz="0" w:space="0" w:color="auto"/>
        <w:left w:val="none" w:sz="0" w:space="0" w:color="auto"/>
        <w:bottom w:val="none" w:sz="0" w:space="0" w:color="auto"/>
        <w:right w:val="none" w:sz="0" w:space="0" w:color="auto"/>
      </w:divBdr>
    </w:div>
    <w:div w:id="1243759512">
      <w:bodyDiv w:val="1"/>
      <w:marLeft w:val="0"/>
      <w:marRight w:val="0"/>
      <w:marTop w:val="0"/>
      <w:marBottom w:val="0"/>
      <w:divBdr>
        <w:top w:val="none" w:sz="0" w:space="0" w:color="auto"/>
        <w:left w:val="none" w:sz="0" w:space="0" w:color="auto"/>
        <w:bottom w:val="none" w:sz="0" w:space="0" w:color="auto"/>
        <w:right w:val="none" w:sz="0" w:space="0" w:color="auto"/>
      </w:divBdr>
    </w:div>
    <w:div w:id="1258439720">
      <w:bodyDiv w:val="1"/>
      <w:marLeft w:val="0"/>
      <w:marRight w:val="0"/>
      <w:marTop w:val="0"/>
      <w:marBottom w:val="0"/>
      <w:divBdr>
        <w:top w:val="none" w:sz="0" w:space="0" w:color="auto"/>
        <w:left w:val="none" w:sz="0" w:space="0" w:color="auto"/>
        <w:bottom w:val="none" w:sz="0" w:space="0" w:color="auto"/>
        <w:right w:val="none" w:sz="0" w:space="0" w:color="auto"/>
      </w:divBdr>
    </w:div>
    <w:div w:id="1355888388">
      <w:bodyDiv w:val="1"/>
      <w:marLeft w:val="0"/>
      <w:marRight w:val="0"/>
      <w:marTop w:val="0"/>
      <w:marBottom w:val="0"/>
      <w:divBdr>
        <w:top w:val="none" w:sz="0" w:space="0" w:color="auto"/>
        <w:left w:val="none" w:sz="0" w:space="0" w:color="auto"/>
        <w:bottom w:val="none" w:sz="0" w:space="0" w:color="auto"/>
        <w:right w:val="none" w:sz="0" w:space="0" w:color="auto"/>
      </w:divBdr>
      <w:divsChild>
        <w:div w:id="303970910">
          <w:marLeft w:val="547"/>
          <w:marRight w:val="0"/>
          <w:marTop w:val="0"/>
          <w:marBottom w:val="0"/>
          <w:divBdr>
            <w:top w:val="none" w:sz="0" w:space="0" w:color="auto"/>
            <w:left w:val="none" w:sz="0" w:space="0" w:color="auto"/>
            <w:bottom w:val="none" w:sz="0" w:space="0" w:color="auto"/>
            <w:right w:val="none" w:sz="0" w:space="0" w:color="auto"/>
          </w:divBdr>
        </w:div>
      </w:divsChild>
    </w:div>
    <w:div w:id="1430849876">
      <w:bodyDiv w:val="1"/>
      <w:marLeft w:val="0"/>
      <w:marRight w:val="0"/>
      <w:marTop w:val="0"/>
      <w:marBottom w:val="0"/>
      <w:divBdr>
        <w:top w:val="none" w:sz="0" w:space="0" w:color="auto"/>
        <w:left w:val="none" w:sz="0" w:space="0" w:color="auto"/>
        <w:bottom w:val="none" w:sz="0" w:space="0" w:color="auto"/>
        <w:right w:val="none" w:sz="0" w:space="0" w:color="auto"/>
      </w:divBdr>
      <w:divsChild>
        <w:div w:id="1493177521">
          <w:marLeft w:val="547"/>
          <w:marRight w:val="0"/>
          <w:marTop w:val="0"/>
          <w:marBottom w:val="0"/>
          <w:divBdr>
            <w:top w:val="none" w:sz="0" w:space="0" w:color="auto"/>
            <w:left w:val="none" w:sz="0" w:space="0" w:color="auto"/>
            <w:bottom w:val="none" w:sz="0" w:space="0" w:color="auto"/>
            <w:right w:val="none" w:sz="0" w:space="0" w:color="auto"/>
          </w:divBdr>
        </w:div>
      </w:divsChild>
    </w:div>
    <w:div w:id="1481459133">
      <w:bodyDiv w:val="1"/>
      <w:marLeft w:val="0"/>
      <w:marRight w:val="0"/>
      <w:marTop w:val="0"/>
      <w:marBottom w:val="0"/>
      <w:divBdr>
        <w:top w:val="none" w:sz="0" w:space="0" w:color="auto"/>
        <w:left w:val="none" w:sz="0" w:space="0" w:color="auto"/>
        <w:bottom w:val="none" w:sz="0" w:space="0" w:color="auto"/>
        <w:right w:val="none" w:sz="0" w:space="0" w:color="auto"/>
      </w:divBdr>
    </w:div>
    <w:div w:id="1574125583">
      <w:bodyDiv w:val="1"/>
      <w:marLeft w:val="0"/>
      <w:marRight w:val="0"/>
      <w:marTop w:val="0"/>
      <w:marBottom w:val="0"/>
      <w:divBdr>
        <w:top w:val="none" w:sz="0" w:space="0" w:color="auto"/>
        <w:left w:val="none" w:sz="0" w:space="0" w:color="auto"/>
        <w:bottom w:val="none" w:sz="0" w:space="0" w:color="auto"/>
        <w:right w:val="none" w:sz="0" w:space="0" w:color="auto"/>
      </w:divBdr>
    </w:div>
    <w:div w:id="1767995494">
      <w:bodyDiv w:val="1"/>
      <w:marLeft w:val="0"/>
      <w:marRight w:val="0"/>
      <w:marTop w:val="0"/>
      <w:marBottom w:val="0"/>
      <w:divBdr>
        <w:top w:val="none" w:sz="0" w:space="0" w:color="auto"/>
        <w:left w:val="none" w:sz="0" w:space="0" w:color="auto"/>
        <w:bottom w:val="none" w:sz="0" w:space="0" w:color="auto"/>
        <w:right w:val="none" w:sz="0" w:space="0" w:color="auto"/>
      </w:divBdr>
    </w:div>
    <w:div w:id="1771270693">
      <w:bodyDiv w:val="1"/>
      <w:marLeft w:val="0"/>
      <w:marRight w:val="0"/>
      <w:marTop w:val="0"/>
      <w:marBottom w:val="0"/>
      <w:divBdr>
        <w:top w:val="none" w:sz="0" w:space="0" w:color="auto"/>
        <w:left w:val="none" w:sz="0" w:space="0" w:color="auto"/>
        <w:bottom w:val="none" w:sz="0" w:space="0" w:color="auto"/>
        <w:right w:val="none" w:sz="0" w:space="0" w:color="auto"/>
      </w:divBdr>
    </w:div>
    <w:div w:id="1900629940">
      <w:bodyDiv w:val="1"/>
      <w:marLeft w:val="0"/>
      <w:marRight w:val="0"/>
      <w:marTop w:val="0"/>
      <w:marBottom w:val="0"/>
      <w:divBdr>
        <w:top w:val="none" w:sz="0" w:space="0" w:color="auto"/>
        <w:left w:val="none" w:sz="0" w:space="0" w:color="auto"/>
        <w:bottom w:val="none" w:sz="0" w:space="0" w:color="auto"/>
        <w:right w:val="none" w:sz="0" w:space="0" w:color="auto"/>
      </w:divBdr>
    </w:div>
    <w:div w:id="1953244855">
      <w:bodyDiv w:val="1"/>
      <w:marLeft w:val="0"/>
      <w:marRight w:val="0"/>
      <w:marTop w:val="0"/>
      <w:marBottom w:val="0"/>
      <w:divBdr>
        <w:top w:val="none" w:sz="0" w:space="0" w:color="auto"/>
        <w:left w:val="none" w:sz="0" w:space="0" w:color="auto"/>
        <w:bottom w:val="none" w:sz="0" w:space="0" w:color="auto"/>
        <w:right w:val="none" w:sz="0" w:space="0" w:color="auto"/>
      </w:divBdr>
    </w:div>
    <w:div w:id="1987276628">
      <w:bodyDiv w:val="1"/>
      <w:marLeft w:val="0"/>
      <w:marRight w:val="0"/>
      <w:marTop w:val="0"/>
      <w:marBottom w:val="0"/>
      <w:divBdr>
        <w:top w:val="none" w:sz="0" w:space="0" w:color="auto"/>
        <w:left w:val="none" w:sz="0" w:space="0" w:color="auto"/>
        <w:bottom w:val="none" w:sz="0" w:space="0" w:color="auto"/>
        <w:right w:val="none" w:sz="0" w:space="0" w:color="auto"/>
      </w:divBdr>
    </w:div>
    <w:div w:id="2068336914">
      <w:bodyDiv w:val="1"/>
      <w:marLeft w:val="0"/>
      <w:marRight w:val="0"/>
      <w:marTop w:val="0"/>
      <w:marBottom w:val="0"/>
      <w:divBdr>
        <w:top w:val="none" w:sz="0" w:space="0" w:color="auto"/>
        <w:left w:val="none" w:sz="0" w:space="0" w:color="auto"/>
        <w:bottom w:val="none" w:sz="0" w:space="0" w:color="auto"/>
        <w:right w:val="none" w:sz="0" w:space="0" w:color="auto"/>
      </w:divBdr>
    </w:div>
    <w:div w:id="20978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15742241226513" TargetMode="External"/><Relationship Id="rId13" Type="http://schemas.openxmlformats.org/officeDocument/2006/relationships/hyperlink" Target="https://doi.org/10.5005/jp-journals-10021-103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4103/0976-237X.83070" TargetMode="External"/><Relationship Id="rId17" Type="http://schemas.openxmlformats.org/officeDocument/2006/relationships/hyperlink" Target="https://doi.org/10.1016/0002-9416(82)9046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0889-5406(92)7001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81/joddd.2011.0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9/146531205225020961" TargetMode="External"/><Relationship Id="rId23" Type="http://schemas.openxmlformats.org/officeDocument/2006/relationships/footer" Target="footer3.xml"/><Relationship Id="rId10" Type="http://schemas.openxmlformats.org/officeDocument/2006/relationships/hyperlink" Target="https://doi.org/10.5005/jp-journals-10057-01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77/03015742211013754" TargetMode="External"/><Relationship Id="rId14" Type="http://schemas.openxmlformats.org/officeDocument/2006/relationships/hyperlink" Target="http://dx.doi.org/10.4236/ojst.2011.1401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2830-D0E1-4754-8BB1-6A711EC5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12</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918380892584</dc:creator>
  <cp:keywords/>
  <dc:description/>
  <cp:lastModifiedBy>SDI 1084</cp:lastModifiedBy>
  <cp:revision>94</cp:revision>
  <dcterms:created xsi:type="dcterms:W3CDTF">2025-04-13T07:21:00Z</dcterms:created>
  <dcterms:modified xsi:type="dcterms:W3CDTF">2026-05-13T11:26:00Z</dcterms:modified>
</cp:coreProperties>
</file>