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03DBD" w14:textId="77777777" w:rsidR="00915A04" w:rsidRPr="00915A04" w:rsidRDefault="00915A04" w:rsidP="00915A04">
      <w:pPr>
        <w:spacing w:line="360" w:lineRule="auto"/>
        <w:jc w:val="right"/>
        <w:rPr>
          <w:rFonts w:ascii="Arial" w:hAnsi="Arial" w:cs="Arial"/>
          <w:b/>
          <w:bCs/>
          <w:i/>
          <w:sz w:val="36"/>
          <w:szCs w:val="28"/>
          <w:u w:val="single"/>
        </w:rPr>
      </w:pPr>
      <w:r w:rsidRPr="00915A04">
        <w:rPr>
          <w:rFonts w:ascii="Arial" w:hAnsi="Arial" w:cs="Arial"/>
          <w:b/>
          <w:bCs/>
          <w:i/>
          <w:sz w:val="36"/>
          <w:szCs w:val="28"/>
          <w:u w:val="single"/>
        </w:rPr>
        <w:t xml:space="preserve">Original Research Article </w:t>
      </w:r>
    </w:p>
    <w:p w14:paraId="6DE802D4" w14:textId="389FDC39" w:rsidR="00A222DA" w:rsidRPr="0092511B" w:rsidRDefault="00A222DA" w:rsidP="00A222DA">
      <w:pPr>
        <w:spacing w:line="360" w:lineRule="auto"/>
        <w:jc w:val="center"/>
        <w:rPr>
          <w:rFonts w:ascii="Arial" w:hAnsi="Arial" w:cs="Arial"/>
          <w:b/>
          <w:bCs/>
          <w:sz w:val="28"/>
          <w:szCs w:val="28"/>
        </w:rPr>
      </w:pPr>
      <w:r w:rsidRPr="0092511B">
        <w:rPr>
          <w:rFonts w:ascii="Arial" w:hAnsi="Arial" w:cs="Arial"/>
          <w:b/>
          <w:bCs/>
          <w:sz w:val="28"/>
          <w:szCs w:val="28"/>
        </w:rPr>
        <w:t>Design and Biological Potential of New 6-Aryl-2-(4-(1,3-dioxoisoindolin-2-</w:t>
      </w:r>
      <w:proofErr w:type="gramStart"/>
      <w:r w:rsidRPr="0092511B">
        <w:rPr>
          <w:rFonts w:ascii="Arial" w:hAnsi="Arial" w:cs="Arial"/>
          <w:b/>
          <w:bCs/>
          <w:sz w:val="28"/>
          <w:szCs w:val="28"/>
        </w:rPr>
        <w:t>yl)phenyl</w:t>
      </w:r>
      <w:proofErr w:type="gramEnd"/>
      <w:r w:rsidRPr="0092511B">
        <w:rPr>
          <w:rFonts w:ascii="Arial" w:hAnsi="Arial" w:cs="Arial"/>
          <w:b/>
          <w:bCs/>
          <w:sz w:val="28"/>
          <w:szCs w:val="28"/>
        </w:rPr>
        <w:t>)imidazo(2,1-b)1,3,4-thiadiazoles: Synthesis and Molecular Docking Studies</w:t>
      </w:r>
    </w:p>
    <w:p w14:paraId="4B31661F" w14:textId="77777777" w:rsidR="00CE01A3" w:rsidRPr="0092511B" w:rsidRDefault="00CE01A3" w:rsidP="00A222DA">
      <w:pPr>
        <w:spacing w:line="360" w:lineRule="auto"/>
        <w:jc w:val="both"/>
        <w:rPr>
          <w:rFonts w:ascii="Arial" w:hAnsi="Arial" w:cs="Arial"/>
          <w:sz w:val="24"/>
          <w:szCs w:val="24"/>
        </w:rPr>
      </w:pPr>
    </w:p>
    <w:p w14:paraId="514B5397" w14:textId="1BF0548A" w:rsidR="00A222DA" w:rsidRPr="0092511B" w:rsidRDefault="00326032" w:rsidP="00326032">
      <w:pPr>
        <w:spacing w:line="360" w:lineRule="auto"/>
        <w:jc w:val="both"/>
        <w:rPr>
          <w:rFonts w:ascii="Arial" w:hAnsi="Arial" w:cs="Arial"/>
          <w:b/>
          <w:bCs/>
        </w:rPr>
      </w:pPr>
      <w:r w:rsidRPr="0092511B">
        <w:rPr>
          <w:rFonts w:ascii="Arial" w:hAnsi="Arial" w:cs="Arial"/>
          <w:b/>
          <w:bCs/>
        </w:rPr>
        <w:t>Abstract</w:t>
      </w:r>
    </w:p>
    <w:p w14:paraId="22169744" w14:textId="052EADBB" w:rsidR="006D60C4" w:rsidRPr="0092511B" w:rsidRDefault="006D60C4" w:rsidP="00326032">
      <w:pPr>
        <w:spacing w:line="360" w:lineRule="auto"/>
        <w:jc w:val="both"/>
        <w:rPr>
          <w:rFonts w:ascii="Arial" w:hAnsi="Arial" w:cs="Arial"/>
        </w:rPr>
      </w:pPr>
      <w:r w:rsidRPr="0092511B">
        <w:rPr>
          <w:rFonts w:ascii="Arial" w:hAnsi="Arial" w:cs="Arial"/>
        </w:rPr>
        <w:t xml:space="preserve">By </w:t>
      </w:r>
      <w:proofErr w:type="spellStart"/>
      <w:r w:rsidRPr="0092511B">
        <w:rPr>
          <w:rFonts w:ascii="Arial" w:hAnsi="Arial" w:cs="Arial"/>
        </w:rPr>
        <w:t>cyclocondensing</w:t>
      </w:r>
      <w:proofErr w:type="spellEnd"/>
      <w:r w:rsidRPr="0092511B">
        <w:rPr>
          <w:rFonts w:ascii="Arial" w:hAnsi="Arial" w:cs="Arial"/>
        </w:rPr>
        <w:t xml:space="preserve"> 4-(1,3-dioxoisoindolin-2-</w:t>
      </w:r>
      <w:proofErr w:type="gramStart"/>
      <w:r w:rsidRPr="0092511B">
        <w:rPr>
          <w:rFonts w:ascii="Arial" w:hAnsi="Arial" w:cs="Arial"/>
        </w:rPr>
        <w:t>yl)benzoic</w:t>
      </w:r>
      <w:proofErr w:type="gramEnd"/>
      <w:r w:rsidRPr="0092511B">
        <w:rPr>
          <w:rFonts w:ascii="Arial" w:hAnsi="Arial" w:cs="Arial"/>
        </w:rPr>
        <w:t xml:space="preserve"> acid with </w:t>
      </w:r>
      <w:proofErr w:type="spellStart"/>
      <w:r w:rsidRPr="0092511B">
        <w:rPr>
          <w:rFonts w:ascii="Arial" w:hAnsi="Arial" w:cs="Arial"/>
        </w:rPr>
        <w:t>thiosemicarbazide</w:t>
      </w:r>
      <w:proofErr w:type="spellEnd"/>
      <w:r w:rsidRPr="0092511B">
        <w:rPr>
          <w:rFonts w:ascii="Arial" w:hAnsi="Arial" w:cs="Arial"/>
        </w:rPr>
        <w:t xml:space="preserve"> to form a crucial intermediate and then reacting with different substituted phenacyl chlorides, a novel series of 6-aryl-2-(4-(1,3-dioxoisoindolin-2-yl)phenyl)imidazo(2,1-b)1,3,4-thiadiazoles (3a</w:t>
      </w:r>
      <w:r w:rsidR="002E2781" w:rsidRPr="0092511B">
        <w:rPr>
          <w:rFonts w:ascii="Arial" w:hAnsi="Arial" w:cs="Arial"/>
        </w:rPr>
        <w:t>-3</w:t>
      </w:r>
      <w:r w:rsidRPr="0092511B">
        <w:rPr>
          <w:rFonts w:ascii="Arial" w:hAnsi="Arial" w:cs="Arial"/>
        </w:rPr>
        <w:t xml:space="preserve">e). FTIR, </w:t>
      </w:r>
      <w:r w:rsidRPr="0092511B">
        <w:rPr>
          <w:rFonts w:ascii="Arial" w:hAnsi="Arial" w:cs="Arial"/>
          <w:vertAlign w:val="superscript"/>
        </w:rPr>
        <w:t>1</w:t>
      </w:r>
      <w:r w:rsidRPr="0092511B">
        <w:rPr>
          <w:rFonts w:ascii="Arial" w:hAnsi="Arial" w:cs="Arial"/>
        </w:rPr>
        <w:t xml:space="preserve">H NMR, </w:t>
      </w:r>
      <w:r w:rsidRPr="0092511B">
        <w:rPr>
          <w:rFonts w:ascii="Arial" w:hAnsi="Arial" w:cs="Arial"/>
          <w:vertAlign w:val="superscript"/>
        </w:rPr>
        <w:t>13</w:t>
      </w:r>
      <w:r w:rsidRPr="0092511B">
        <w:rPr>
          <w:rFonts w:ascii="Arial" w:hAnsi="Arial" w:cs="Arial"/>
        </w:rPr>
        <w:t xml:space="preserve">C NMR and elemental analysis were used to confirm the chemical structures of these derivatives. Compound 3d demonstrated the greatest antifungal inhibition against </w:t>
      </w:r>
      <w:proofErr w:type="spellStart"/>
      <w:r w:rsidRPr="0092511B">
        <w:rPr>
          <w:rFonts w:ascii="Arial" w:hAnsi="Arial" w:cs="Arial"/>
        </w:rPr>
        <w:t>Botryodiplodia</w:t>
      </w:r>
      <w:proofErr w:type="spellEnd"/>
      <w:r w:rsidRPr="0092511B">
        <w:rPr>
          <w:rFonts w:ascii="Arial" w:hAnsi="Arial" w:cs="Arial"/>
        </w:rPr>
        <w:t xml:space="preserve"> </w:t>
      </w:r>
      <w:proofErr w:type="spellStart"/>
      <w:r w:rsidRPr="0092511B">
        <w:rPr>
          <w:rFonts w:ascii="Arial" w:hAnsi="Arial" w:cs="Arial"/>
        </w:rPr>
        <w:t>theobromae</w:t>
      </w:r>
      <w:proofErr w:type="spellEnd"/>
      <w:r w:rsidRPr="0092511B">
        <w:rPr>
          <w:rFonts w:ascii="Arial" w:hAnsi="Arial" w:cs="Arial"/>
        </w:rPr>
        <w:t>, whereas compound 3e had the most reliable and strong antibacterial activity against both Gram-positive and Gram-negative strains, according to biological evaluation utilizing the Agar-Cup diffusion method.</w:t>
      </w:r>
      <w:r w:rsidRPr="0092511B">
        <w:rPr>
          <w:rFonts w:ascii="Arial" w:eastAsia="Times New Roman" w:hAnsi="Arial" w:cs="Arial"/>
          <w:kern w:val="0"/>
          <w:lang w:eastAsia="en-IN" w:bidi="gu-IN"/>
          <w14:ligatures w14:val="none"/>
        </w:rPr>
        <w:t xml:space="preserve"> </w:t>
      </w:r>
      <w:r w:rsidRPr="0092511B">
        <w:rPr>
          <w:rFonts w:ascii="Arial" w:hAnsi="Arial" w:cs="Arial"/>
        </w:rPr>
        <w:t>These experimental findings were corroborated by molecular docking investigations, which revealed significant binding affinities between -7.7 and -8.4 kcal/mol. With a docking score of -8.4 kcal/mol, compound 3a in particular showed the most stable interaction, establishing crucial connections with residues like ARG-52 and ARG-219</w:t>
      </w:r>
      <w:r w:rsidR="008F4D31" w:rsidRPr="0092511B">
        <w:rPr>
          <w:rFonts w:ascii="Arial" w:hAnsi="Arial" w:cs="Arial"/>
        </w:rPr>
        <w:t>(pdbid-</w:t>
      </w:r>
      <w:r w:rsidR="00076140" w:rsidRPr="0092511B">
        <w:rPr>
          <w:rFonts w:ascii="Arial" w:hAnsi="Arial" w:cs="Arial"/>
        </w:rPr>
        <w:t>1</w:t>
      </w:r>
      <w:r w:rsidR="008F4D31" w:rsidRPr="0092511B">
        <w:rPr>
          <w:rFonts w:ascii="Arial" w:hAnsi="Arial" w:cs="Arial"/>
        </w:rPr>
        <w:t>AD4)</w:t>
      </w:r>
      <w:r w:rsidRPr="0092511B">
        <w:rPr>
          <w:rFonts w:ascii="Arial" w:hAnsi="Arial" w:cs="Arial"/>
        </w:rPr>
        <w:t xml:space="preserve">. These results demonstrate the potential of an </w:t>
      </w:r>
      <w:proofErr w:type="spellStart"/>
      <w:r w:rsidRPr="0092511B">
        <w:rPr>
          <w:rFonts w:ascii="Arial" w:hAnsi="Arial" w:cs="Arial"/>
        </w:rPr>
        <w:t>isoindoline</w:t>
      </w:r>
      <w:proofErr w:type="spellEnd"/>
      <w:r w:rsidRPr="0092511B">
        <w:rPr>
          <w:rFonts w:ascii="Arial" w:hAnsi="Arial" w:cs="Arial"/>
        </w:rPr>
        <w:t xml:space="preserve"> moiety combined with the </w:t>
      </w:r>
      <w:proofErr w:type="spellStart"/>
      <w:r w:rsidRPr="0092511B">
        <w:rPr>
          <w:rFonts w:ascii="Arial" w:hAnsi="Arial" w:cs="Arial"/>
        </w:rPr>
        <w:t>imidazo</w:t>
      </w:r>
      <w:proofErr w:type="spellEnd"/>
      <w:r w:rsidRPr="0092511B">
        <w:rPr>
          <w:rFonts w:ascii="Arial" w:hAnsi="Arial" w:cs="Arial"/>
        </w:rPr>
        <w:t>[2,1-</w:t>
      </w:r>
      <w:proofErr w:type="gramStart"/>
      <w:r w:rsidRPr="0092511B">
        <w:rPr>
          <w:rFonts w:ascii="Arial" w:hAnsi="Arial" w:cs="Arial"/>
        </w:rPr>
        <w:t>b][</w:t>
      </w:r>
      <w:proofErr w:type="gramEnd"/>
      <w:r w:rsidRPr="0092511B">
        <w:rPr>
          <w:rFonts w:ascii="Arial" w:hAnsi="Arial" w:cs="Arial"/>
        </w:rPr>
        <w:t>1,3,4]</w:t>
      </w:r>
      <w:proofErr w:type="spellStart"/>
      <w:r w:rsidRPr="0092511B">
        <w:rPr>
          <w:rFonts w:ascii="Arial" w:hAnsi="Arial" w:cs="Arial"/>
        </w:rPr>
        <w:t>thiadiazole</w:t>
      </w:r>
      <w:proofErr w:type="spellEnd"/>
      <w:r w:rsidRPr="0092511B">
        <w:rPr>
          <w:rFonts w:ascii="Arial" w:hAnsi="Arial" w:cs="Arial"/>
        </w:rPr>
        <w:t xml:space="preserve"> scaffold as a promising template for the development of powerful antibacterial medicines.</w:t>
      </w:r>
    </w:p>
    <w:p w14:paraId="206BCA64" w14:textId="6B186639" w:rsidR="0088498C" w:rsidRPr="0092511B" w:rsidRDefault="0088498C" w:rsidP="00326032">
      <w:pPr>
        <w:spacing w:line="360" w:lineRule="auto"/>
        <w:jc w:val="both"/>
        <w:rPr>
          <w:rFonts w:ascii="Arial" w:hAnsi="Arial" w:cs="Arial"/>
        </w:rPr>
      </w:pPr>
      <w:r w:rsidRPr="0092511B">
        <w:rPr>
          <w:rFonts w:ascii="Arial" w:hAnsi="Arial" w:cs="Arial"/>
          <w:b/>
          <w:bCs/>
        </w:rPr>
        <w:t>Key-</w:t>
      </w:r>
      <w:r w:rsidR="00CF091F" w:rsidRPr="0092511B">
        <w:rPr>
          <w:rFonts w:ascii="Arial" w:hAnsi="Arial" w:cs="Arial"/>
          <w:b/>
          <w:bCs/>
        </w:rPr>
        <w:t>words</w:t>
      </w:r>
      <w:r w:rsidR="00CF091F" w:rsidRPr="0092511B">
        <w:rPr>
          <w:rFonts w:ascii="Arial" w:hAnsi="Arial" w:cs="Arial"/>
        </w:rPr>
        <w:t>: -</w:t>
      </w:r>
      <w:r w:rsidRPr="0092511B">
        <w:rPr>
          <w:rFonts w:ascii="Arial" w:hAnsi="Arial" w:cs="Arial"/>
        </w:rPr>
        <w:t xml:space="preserve"> </w:t>
      </w:r>
      <w:r w:rsidR="00DD268C" w:rsidRPr="0092511B">
        <w:rPr>
          <w:rFonts w:ascii="Arial" w:hAnsi="Arial" w:cs="Arial"/>
        </w:rPr>
        <w:t xml:space="preserve">1,3,5-Thiadiazole, </w:t>
      </w:r>
      <w:r w:rsidR="0052412E" w:rsidRPr="0092511B">
        <w:rPr>
          <w:rFonts w:ascii="Arial" w:hAnsi="Arial" w:cs="Arial"/>
        </w:rPr>
        <w:t>Phenyl acyl</w:t>
      </w:r>
      <w:r w:rsidR="00D5305D" w:rsidRPr="0092511B">
        <w:rPr>
          <w:rFonts w:ascii="Arial" w:hAnsi="Arial" w:cs="Arial"/>
        </w:rPr>
        <w:t>, Molecular-Docking,</w:t>
      </w:r>
      <w:r w:rsidR="00C9666C" w:rsidRPr="0092511B">
        <w:rPr>
          <w:rFonts w:ascii="Arial" w:hAnsi="Arial" w:cs="Arial"/>
        </w:rPr>
        <w:t xml:space="preserve"> Antibacterial, Antifungal</w:t>
      </w:r>
      <w:r w:rsidR="00D5305D" w:rsidRPr="0092511B">
        <w:rPr>
          <w:rFonts w:ascii="Arial" w:hAnsi="Arial" w:cs="Arial"/>
        </w:rPr>
        <w:t xml:space="preserve">. </w:t>
      </w:r>
    </w:p>
    <w:p w14:paraId="333CFE9B" w14:textId="43DEE2A3" w:rsidR="00B248DD" w:rsidRPr="0092511B" w:rsidRDefault="002E2781" w:rsidP="00326032">
      <w:pPr>
        <w:spacing w:line="360" w:lineRule="auto"/>
        <w:jc w:val="both"/>
        <w:rPr>
          <w:rFonts w:ascii="Arial" w:hAnsi="Arial" w:cs="Arial"/>
          <w:b/>
          <w:bCs/>
        </w:rPr>
      </w:pPr>
      <w:r w:rsidRPr="0092511B">
        <w:rPr>
          <w:rFonts w:ascii="Arial" w:hAnsi="Arial" w:cs="Arial"/>
          <w:b/>
          <w:bCs/>
        </w:rPr>
        <w:t xml:space="preserve">1.0 </w:t>
      </w:r>
      <w:r w:rsidR="008E4314" w:rsidRPr="0092511B">
        <w:rPr>
          <w:rFonts w:ascii="Arial" w:hAnsi="Arial" w:cs="Arial"/>
          <w:b/>
          <w:bCs/>
        </w:rPr>
        <w:t>Introduction</w:t>
      </w:r>
    </w:p>
    <w:p w14:paraId="30B07EF7" w14:textId="600ABCB5" w:rsidR="008E4314" w:rsidRPr="0092511B" w:rsidRDefault="008E4314" w:rsidP="008E4314">
      <w:pPr>
        <w:spacing w:line="360" w:lineRule="auto"/>
        <w:jc w:val="both"/>
        <w:rPr>
          <w:rFonts w:ascii="Arial" w:hAnsi="Arial" w:cs="Arial"/>
          <w:sz w:val="20"/>
          <w:szCs w:val="20"/>
        </w:rPr>
      </w:pPr>
      <w:r w:rsidRPr="0092511B">
        <w:rPr>
          <w:rFonts w:ascii="Arial" w:hAnsi="Arial" w:cs="Arial"/>
          <w:sz w:val="20"/>
          <w:szCs w:val="20"/>
        </w:rPr>
        <w:t>More and more antibiotic-resistant microbial strains have been discovered in recent years. Infection with multidrug-resistant microbes is leading in increased mortality. Human health is becoming more and more threatened by the issue of microbial antibiotic resistance</w:t>
      </w:r>
      <w:r w:rsidR="00F318BB" w:rsidRPr="0092511B">
        <w:rPr>
          <w:rFonts w:ascii="Arial" w:hAnsi="Arial" w:cs="Arial"/>
          <w:sz w:val="20"/>
          <w:szCs w:val="20"/>
        </w:rPr>
        <w:t xml:space="preserve"> </w:t>
      </w:r>
      <w:r w:rsidRPr="0092511B">
        <w:rPr>
          <w:rFonts w:ascii="Arial" w:hAnsi="Arial" w:cs="Arial"/>
          <w:sz w:val="20"/>
          <w:szCs w:val="20"/>
        </w:rPr>
        <w:t>[1]</w:t>
      </w:r>
      <w:r w:rsidR="00F318BB" w:rsidRPr="0092511B">
        <w:rPr>
          <w:rFonts w:ascii="Arial" w:hAnsi="Arial" w:cs="Arial"/>
          <w:sz w:val="20"/>
          <w:szCs w:val="20"/>
        </w:rPr>
        <w:t>.</w:t>
      </w:r>
      <w:r w:rsidRPr="0092511B">
        <w:rPr>
          <w:rFonts w:ascii="Arial" w:hAnsi="Arial" w:cs="Arial"/>
          <w:sz w:val="20"/>
          <w:szCs w:val="20"/>
        </w:rPr>
        <w:t xml:space="preserve"> With every antimicrobial medication on the market for decades, antibiotic resistance has progressively become a global issue</w:t>
      </w:r>
      <w:r w:rsidR="001D301B" w:rsidRPr="0092511B">
        <w:rPr>
          <w:rFonts w:ascii="Arial" w:hAnsi="Arial" w:cs="Arial"/>
          <w:sz w:val="20"/>
          <w:szCs w:val="20"/>
        </w:rPr>
        <w:t xml:space="preserve"> </w:t>
      </w:r>
      <w:r w:rsidRPr="0092511B">
        <w:rPr>
          <w:rFonts w:ascii="Arial" w:hAnsi="Arial" w:cs="Arial"/>
          <w:sz w:val="20"/>
          <w:szCs w:val="20"/>
        </w:rPr>
        <w:t>[2]</w:t>
      </w:r>
      <w:r w:rsidR="001D301B" w:rsidRPr="0092511B">
        <w:rPr>
          <w:rFonts w:ascii="Arial" w:hAnsi="Arial" w:cs="Arial"/>
          <w:sz w:val="20"/>
          <w:szCs w:val="20"/>
        </w:rPr>
        <w:t>.</w:t>
      </w:r>
      <w:r w:rsidRPr="0092511B">
        <w:rPr>
          <w:rFonts w:ascii="Arial" w:hAnsi="Arial" w:cs="Arial"/>
          <w:sz w:val="20"/>
          <w:szCs w:val="20"/>
        </w:rPr>
        <w:t xml:space="preserve"> One effective strategy to address clinical drug resistance is the development of antibacterial medications with distinct chemical structures.</w:t>
      </w:r>
      <w:r w:rsidR="00723069" w:rsidRPr="0092511B">
        <w:rPr>
          <w:rFonts w:ascii="Arial" w:hAnsi="Arial" w:cs="Arial"/>
          <w:sz w:val="20"/>
          <w:szCs w:val="20"/>
        </w:rPr>
        <w:t xml:space="preserve"> </w:t>
      </w:r>
    </w:p>
    <w:p w14:paraId="230B1FF0" w14:textId="6E46294C" w:rsidR="0062706B" w:rsidRPr="0092511B" w:rsidRDefault="00723069" w:rsidP="0062706B">
      <w:pPr>
        <w:spacing w:line="360" w:lineRule="auto"/>
        <w:jc w:val="both"/>
        <w:rPr>
          <w:rFonts w:ascii="Arial" w:hAnsi="Arial" w:cs="Arial"/>
          <w:sz w:val="20"/>
          <w:szCs w:val="20"/>
        </w:rPr>
      </w:pPr>
      <w:proofErr w:type="spellStart"/>
      <w:r w:rsidRPr="0092511B">
        <w:rPr>
          <w:rFonts w:ascii="Arial" w:hAnsi="Arial" w:cs="Arial"/>
          <w:sz w:val="20"/>
          <w:szCs w:val="20"/>
        </w:rPr>
        <w:t>Thiosemicarbazides</w:t>
      </w:r>
      <w:proofErr w:type="spellEnd"/>
      <w:r w:rsidRPr="0092511B">
        <w:rPr>
          <w:rFonts w:ascii="Arial" w:hAnsi="Arial" w:cs="Arial"/>
          <w:sz w:val="20"/>
          <w:szCs w:val="20"/>
        </w:rPr>
        <w:t xml:space="preserve"> significance in the synthesis of various heterocycles is demonstrated by their use in organic synthesis. One way to generate physiologically active compounds, such as </w:t>
      </w:r>
      <w:proofErr w:type="spellStart"/>
      <w:r w:rsidRPr="0092511B">
        <w:rPr>
          <w:rFonts w:ascii="Arial" w:hAnsi="Arial" w:cs="Arial"/>
          <w:sz w:val="20"/>
          <w:szCs w:val="20"/>
        </w:rPr>
        <w:t>pyrazole</w:t>
      </w:r>
      <w:proofErr w:type="spellEnd"/>
      <w:r w:rsidRPr="0092511B">
        <w:rPr>
          <w:rFonts w:ascii="Arial" w:hAnsi="Arial" w:cs="Arial"/>
          <w:sz w:val="20"/>
          <w:szCs w:val="20"/>
        </w:rPr>
        <w:t xml:space="preserve">, </w:t>
      </w:r>
      <w:proofErr w:type="spellStart"/>
      <w:r w:rsidRPr="0092511B">
        <w:rPr>
          <w:rFonts w:ascii="Arial" w:hAnsi="Arial" w:cs="Arial"/>
          <w:sz w:val="20"/>
          <w:szCs w:val="20"/>
        </w:rPr>
        <w:t>thiazole</w:t>
      </w:r>
      <w:proofErr w:type="spellEnd"/>
      <w:r w:rsidRPr="0092511B">
        <w:rPr>
          <w:rFonts w:ascii="Arial" w:hAnsi="Arial" w:cs="Arial"/>
          <w:sz w:val="20"/>
          <w:szCs w:val="20"/>
        </w:rPr>
        <w:t xml:space="preserve">, triazole, </w:t>
      </w:r>
      <w:r w:rsidR="00AD3B28" w:rsidRPr="0092511B">
        <w:rPr>
          <w:rFonts w:ascii="Arial" w:hAnsi="Arial" w:cs="Arial"/>
          <w:sz w:val="20"/>
          <w:szCs w:val="20"/>
        </w:rPr>
        <w:t>thiadiazol</w:t>
      </w:r>
      <w:r w:rsidRPr="0092511B">
        <w:rPr>
          <w:rFonts w:ascii="Arial" w:hAnsi="Arial" w:cs="Arial"/>
          <w:sz w:val="20"/>
          <w:szCs w:val="20"/>
        </w:rPr>
        <w:t xml:space="preserve">, oxadiazole, triazine, and </w:t>
      </w:r>
      <w:proofErr w:type="spellStart"/>
      <w:r w:rsidRPr="0092511B">
        <w:rPr>
          <w:rFonts w:ascii="Arial" w:hAnsi="Arial" w:cs="Arial"/>
          <w:sz w:val="20"/>
          <w:szCs w:val="20"/>
        </w:rPr>
        <w:t>thiadiazine</w:t>
      </w:r>
      <w:proofErr w:type="spellEnd"/>
      <w:r w:rsidRPr="0092511B">
        <w:rPr>
          <w:rFonts w:ascii="Arial" w:hAnsi="Arial" w:cs="Arial"/>
          <w:sz w:val="20"/>
          <w:szCs w:val="20"/>
        </w:rPr>
        <w:t>, is through their reactions with systems that include C=O and C=N groups. Their widespread utilization in the production of these heterocycles in high yields reflects the development of C−N and C=N bonds as opposed to N−N bond formation</w:t>
      </w:r>
      <w:r w:rsidR="0096539A" w:rsidRPr="0092511B">
        <w:rPr>
          <w:rFonts w:ascii="Arial" w:hAnsi="Arial" w:cs="Arial"/>
          <w:sz w:val="20"/>
          <w:szCs w:val="20"/>
        </w:rPr>
        <w:t xml:space="preserve"> </w:t>
      </w:r>
      <w:r w:rsidR="002C350A" w:rsidRPr="0092511B">
        <w:rPr>
          <w:rFonts w:ascii="Arial" w:hAnsi="Arial" w:cs="Arial"/>
          <w:sz w:val="20"/>
          <w:szCs w:val="20"/>
        </w:rPr>
        <w:t>[3].</w:t>
      </w:r>
      <w:r w:rsidR="00554074" w:rsidRPr="0092511B">
        <w:rPr>
          <w:rFonts w:ascii="Arial" w:hAnsi="Arial" w:cs="Arial"/>
          <w:sz w:val="20"/>
          <w:szCs w:val="20"/>
        </w:rPr>
        <w:t xml:space="preserve"> </w:t>
      </w:r>
      <w:r w:rsidR="001A2F24" w:rsidRPr="0092511B">
        <w:rPr>
          <w:rFonts w:ascii="Arial" w:hAnsi="Arial" w:cs="Arial"/>
          <w:sz w:val="20"/>
          <w:szCs w:val="20"/>
        </w:rPr>
        <w:t xml:space="preserve">A significant class of five-membered heterocycle rings with nitrogen and </w:t>
      </w:r>
      <w:proofErr w:type="spellStart"/>
      <w:r w:rsidR="001A2F24" w:rsidRPr="0092511B">
        <w:rPr>
          <w:rFonts w:ascii="Arial" w:hAnsi="Arial" w:cs="Arial"/>
          <w:sz w:val="20"/>
          <w:szCs w:val="20"/>
        </w:rPr>
        <w:t>sulfur</w:t>
      </w:r>
      <w:proofErr w:type="spellEnd"/>
      <w:r w:rsidR="001A2F24" w:rsidRPr="0092511B">
        <w:rPr>
          <w:rFonts w:ascii="Arial" w:hAnsi="Arial" w:cs="Arial"/>
          <w:sz w:val="20"/>
          <w:szCs w:val="20"/>
        </w:rPr>
        <w:t>, 1,3,4-thiadiazole has a wide range of biological activities, including antimicrobial [</w:t>
      </w:r>
      <w:r w:rsidR="005810D8" w:rsidRPr="0092511B">
        <w:rPr>
          <w:rFonts w:ascii="Arial" w:hAnsi="Arial" w:cs="Arial"/>
          <w:sz w:val="20"/>
          <w:szCs w:val="20"/>
        </w:rPr>
        <w:t>4</w:t>
      </w:r>
      <w:r w:rsidR="001A2F24" w:rsidRPr="0092511B">
        <w:rPr>
          <w:rFonts w:ascii="Arial" w:hAnsi="Arial" w:cs="Arial"/>
          <w:sz w:val="20"/>
          <w:szCs w:val="20"/>
        </w:rPr>
        <w:t>], anti-inflammatory [</w:t>
      </w:r>
      <w:r w:rsidR="005810D8" w:rsidRPr="0092511B">
        <w:rPr>
          <w:rFonts w:ascii="Arial" w:hAnsi="Arial" w:cs="Arial"/>
          <w:sz w:val="20"/>
          <w:szCs w:val="20"/>
        </w:rPr>
        <w:t>5</w:t>
      </w:r>
      <w:r w:rsidR="001A2F24" w:rsidRPr="0092511B">
        <w:rPr>
          <w:rFonts w:ascii="Arial" w:hAnsi="Arial" w:cs="Arial"/>
          <w:sz w:val="20"/>
          <w:szCs w:val="20"/>
        </w:rPr>
        <w:t>], antibacterial [</w:t>
      </w:r>
      <w:r w:rsidR="00FA1056" w:rsidRPr="0092511B">
        <w:rPr>
          <w:rFonts w:ascii="Arial" w:hAnsi="Arial" w:cs="Arial"/>
          <w:sz w:val="20"/>
          <w:szCs w:val="20"/>
        </w:rPr>
        <w:t>6</w:t>
      </w:r>
      <w:r w:rsidR="001A2F24" w:rsidRPr="0092511B">
        <w:rPr>
          <w:rFonts w:ascii="Arial" w:hAnsi="Arial" w:cs="Arial"/>
          <w:sz w:val="20"/>
          <w:szCs w:val="20"/>
        </w:rPr>
        <w:t>], insecticidal [</w:t>
      </w:r>
      <w:r w:rsidR="00FA1056" w:rsidRPr="0092511B">
        <w:rPr>
          <w:rFonts w:ascii="Arial" w:hAnsi="Arial" w:cs="Arial"/>
          <w:sz w:val="20"/>
          <w:szCs w:val="20"/>
        </w:rPr>
        <w:t>7</w:t>
      </w:r>
      <w:r w:rsidR="001A2F24" w:rsidRPr="0092511B">
        <w:rPr>
          <w:rFonts w:ascii="Arial" w:hAnsi="Arial" w:cs="Arial"/>
          <w:sz w:val="20"/>
          <w:szCs w:val="20"/>
        </w:rPr>
        <w:t>], and herbicidal [</w:t>
      </w:r>
      <w:r w:rsidR="00FA1056" w:rsidRPr="0092511B">
        <w:rPr>
          <w:rFonts w:ascii="Arial" w:hAnsi="Arial" w:cs="Arial"/>
          <w:sz w:val="20"/>
          <w:szCs w:val="20"/>
        </w:rPr>
        <w:t>8</w:t>
      </w:r>
      <w:r w:rsidR="001A2F24" w:rsidRPr="0092511B">
        <w:rPr>
          <w:rFonts w:ascii="Arial" w:hAnsi="Arial" w:cs="Arial"/>
          <w:sz w:val="20"/>
          <w:szCs w:val="20"/>
        </w:rPr>
        <w:t>].</w:t>
      </w:r>
      <w:r w:rsidR="00936C52" w:rsidRPr="0092511B">
        <w:rPr>
          <w:rFonts w:ascii="Arial" w:hAnsi="Arial" w:cs="Arial"/>
          <w:sz w:val="20"/>
          <w:szCs w:val="20"/>
        </w:rPr>
        <w:t xml:space="preserve"> </w:t>
      </w:r>
      <w:proofErr w:type="spellStart"/>
      <w:r w:rsidR="00936C52" w:rsidRPr="0092511B">
        <w:rPr>
          <w:rFonts w:ascii="Arial" w:hAnsi="Arial" w:cs="Arial"/>
          <w:color w:val="000000" w:themeColor="text1"/>
          <w:sz w:val="20"/>
          <w:szCs w:val="20"/>
        </w:rPr>
        <w:t>Thiazoles</w:t>
      </w:r>
      <w:proofErr w:type="spellEnd"/>
      <w:r w:rsidR="00936C52" w:rsidRPr="0092511B">
        <w:rPr>
          <w:rFonts w:ascii="Arial" w:hAnsi="Arial" w:cs="Arial"/>
          <w:color w:val="000000" w:themeColor="text1"/>
          <w:sz w:val="20"/>
          <w:szCs w:val="20"/>
        </w:rPr>
        <w:t xml:space="preserve"> are not carcinogenic and are readily broken down by normal </w:t>
      </w:r>
      <w:r w:rsidR="00936C52" w:rsidRPr="0092511B">
        <w:rPr>
          <w:rFonts w:ascii="Arial" w:hAnsi="Arial" w:cs="Arial"/>
          <w:color w:val="000000" w:themeColor="text1"/>
          <w:sz w:val="20"/>
          <w:szCs w:val="20"/>
        </w:rPr>
        <w:lastRenderedPageBreak/>
        <w:t xml:space="preserve">metabolic processes [9]. </w:t>
      </w:r>
      <w:proofErr w:type="spellStart"/>
      <w:r w:rsidR="00936C52" w:rsidRPr="0092511B">
        <w:rPr>
          <w:rFonts w:ascii="Arial" w:hAnsi="Arial" w:cs="Arial"/>
          <w:color w:val="000000" w:themeColor="text1"/>
          <w:sz w:val="20"/>
          <w:szCs w:val="20"/>
        </w:rPr>
        <w:t>Pyrazoles</w:t>
      </w:r>
      <w:proofErr w:type="spellEnd"/>
      <w:r w:rsidR="00936C52" w:rsidRPr="0092511B">
        <w:rPr>
          <w:rFonts w:ascii="Arial" w:hAnsi="Arial" w:cs="Arial"/>
          <w:color w:val="000000" w:themeColor="text1"/>
          <w:sz w:val="20"/>
          <w:szCs w:val="20"/>
        </w:rPr>
        <w:t xml:space="preserve"> have also been described as anti-microbial [10], analgesic [11], anti-hypertensive [13], inflammatory [12], anti-depressant [14], and anticancer [15] agents.</w:t>
      </w:r>
      <w:r w:rsidR="0093589F" w:rsidRPr="0092511B">
        <w:rPr>
          <w:rFonts w:ascii="Arial" w:eastAsia="Times New Roman" w:hAnsi="Arial" w:cs="Arial"/>
          <w:color w:val="000000" w:themeColor="text1"/>
          <w:kern w:val="0"/>
          <w:sz w:val="20"/>
          <w:szCs w:val="20"/>
          <w:lang w:eastAsia="en-IN"/>
          <w14:ligatures w14:val="none"/>
        </w:rPr>
        <w:t xml:space="preserve"> </w:t>
      </w:r>
      <w:r w:rsidR="0093589F" w:rsidRPr="0092511B">
        <w:rPr>
          <w:rFonts w:ascii="Arial" w:hAnsi="Arial" w:cs="Arial"/>
          <w:color w:val="000000" w:themeColor="text1"/>
          <w:sz w:val="20"/>
          <w:szCs w:val="20"/>
        </w:rPr>
        <w:t xml:space="preserve">The aforementioned discovery led us to synthesize the title compounds (3a–e) with the assumption that </w:t>
      </w:r>
      <w:proofErr w:type="spellStart"/>
      <w:r w:rsidR="0093589F" w:rsidRPr="0092511B">
        <w:rPr>
          <w:rFonts w:ascii="Arial" w:hAnsi="Arial" w:cs="Arial"/>
          <w:color w:val="000000" w:themeColor="text1"/>
          <w:sz w:val="20"/>
          <w:szCs w:val="20"/>
        </w:rPr>
        <w:t>thiosemicarbazide</w:t>
      </w:r>
      <w:proofErr w:type="spellEnd"/>
      <w:r w:rsidR="0093589F" w:rsidRPr="0092511B">
        <w:rPr>
          <w:rFonts w:ascii="Arial" w:hAnsi="Arial" w:cs="Arial"/>
          <w:color w:val="000000" w:themeColor="text1"/>
          <w:sz w:val="20"/>
          <w:szCs w:val="20"/>
        </w:rPr>
        <w:t xml:space="preserve">-based therapeutic intermediates with different </w:t>
      </w:r>
      <w:r w:rsidR="00A279FB" w:rsidRPr="0092511B">
        <w:rPr>
          <w:rFonts w:ascii="Arial" w:hAnsi="Arial" w:cs="Arial"/>
          <w:color w:val="000000" w:themeColor="text1"/>
          <w:sz w:val="20"/>
          <w:szCs w:val="20"/>
        </w:rPr>
        <w:t>phenyl acyl</w:t>
      </w:r>
      <w:r w:rsidR="0093589F" w:rsidRPr="0092511B">
        <w:rPr>
          <w:rFonts w:ascii="Arial" w:hAnsi="Arial" w:cs="Arial"/>
          <w:color w:val="000000" w:themeColor="text1"/>
          <w:sz w:val="20"/>
          <w:szCs w:val="20"/>
        </w:rPr>
        <w:t xml:space="preserve"> will provide</w:t>
      </w:r>
      <w:r w:rsidR="0062706B" w:rsidRPr="0092511B">
        <w:rPr>
          <w:rFonts w:ascii="Arial" w:hAnsi="Arial" w:cs="Arial"/>
          <w:color w:val="000000" w:themeColor="text1"/>
          <w:sz w:val="20"/>
          <w:szCs w:val="20"/>
        </w:rPr>
        <w:t xml:space="preserve"> </w:t>
      </w:r>
      <w:r w:rsidR="0093589F" w:rsidRPr="0092511B">
        <w:rPr>
          <w:rFonts w:ascii="Arial" w:hAnsi="Arial" w:cs="Arial"/>
          <w:color w:val="000000" w:themeColor="text1"/>
          <w:sz w:val="20"/>
          <w:szCs w:val="20"/>
        </w:rPr>
        <w:t xml:space="preserve">new </w:t>
      </w:r>
      <w:proofErr w:type="spellStart"/>
      <w:r w:rsidR="0093589F" w:rsidRPr="0092511B">
        <w:rPr>
          <w:rFonts w:ascii="Arial" w:hAnsi="Arial" w:cs="Arial"/>
          <w:color w:val="000000" w:themeColor="text1"/>
          <w:sz w:val="20"/>
          <w:szCs w:val="20"/>
        </w:rPr>
        <w:t>thiadiazole</w:t>
      </w:r>
      <w:proofErr w:type="spellEnd"/>
      <w:r w:rsidR="0093589F" w:rsidRPr="0092511B">
        <w:rPr>
          <w:rFonts w:ascii="Arial" w:hAnsi="Arial" w:cs="Arial"/>
          <w:color w:val="000000" w:themeColor="text1"/>
          <w:sz w:val="20"/>
          <w:szCs w:val="20"/>
        </w:rPr>
        <w:t xml:space="preserve"> derivatives with strong biological activity. IR, </w:t>
      </w:r>
      <w:r w:rsidR="0093589F" w:rsidRPr="0092511B">
        <w:rPr>
          <w:rFonts w:ascii="Arial" w:hAnsi="Arial" w:cs="Arial"/>
          <w:color w:val="000000" w:themeColor="text1"/>
          <w:sz w:val="20"/>
          <w:szCs w:val="20"/>
          <w:vertAlign w:val="superscript"/>
        </w:rPr>
        <w:t>1</w:t>
      </w:r>
      <w:r w:rsidR="0093589F" w:rsidRPr="0092511B">
        <w:rPr>
          <w:rFonts w:ascii="Arial" w:hAnsi="Arial" w:cs="Arial"/>
          <w:color w:val="000000" w:themeColor="text1"/>
          <w:sz w:val="20"/>
          <w:szCs w:val="20"/>
        </w:rPr>
        <w:t>H</w:t>
      </w:r>
      <w:r w:rsidR="00A279FB" w:rsidRPr="0092511B">
        <w:rPr>
          <w:rFonts w:ascii="Arial" w:hAnsi="Arial" w:cs="Arial"/>
          <w:color w:val="000000" w:themeColor="text1"/>
          <w:sz w:val="20"/>
          <w:szCs w:val="20"/>
        </w:rPr>
        <w:t xml:space="preserve"> </w:t>
      </w:r>
      <w:r w:rsidR="0093589F" w:rsidRPr="0092511B">
        <w:rPr>
          <w:rFonts w:ascii="Arial" w:hAnsi="Arial" w:cs="Arial"/>
          <w:color w:val="000000" w:themeColor="text1"/>
          <w:sz w:val="20"/>
          <w:szCs w:val="20"/>
        </w:rPr>
        <w:t xml:space="preserve">NMR, and nitrogen estimates were used to establish their chemical structure. Using the paper disc diffusion technique, these compounds were tested for antibacterial activity against two </w:t>
      </w:r>
      <w:proofErr w:type="gramStart"/>
      <w:r w:rsidR="0093589F" w:rsidRPr="0092511B">
        <w:rPr>
          <w:rFonts w:ascii="Arial" w:hAnsi="Arial" w:cs="Arial"/>
          <w:color w:val="000000" w:themeColor="text1"/>
          <w:sz w:val="20"/>
          <w:szCs w:val="20"/>
        </w:rPr>
        <w:t>gram</w:t>
      </w:r>
      <w:proofErr w:type="gramEnd"/>
      <w:r w:rsidR="0093589F" w:rsidRPr="0092511B">
        <w:rPr>
          <w:rFonts w:ascii="Arial" w:hAnsi="Arial" w:cs="Arial"/>
          <w:color w:val="000000" w:themeColor="text1"/>
          <w:sz w:val="20"/>
          <w:szCs w:val="20"/>
        </w:rPr>
        <w:t xml:space="preserve"> +</w:t>
      </w:r>
      <w:proofErr w:type="spellStart"/>
      <w:r w:rsidR="0093589F" w:rsidRPr="0092511B">
        <w:rPr>
          <w:rFonts w:ascii="Arial" w:hAnsi="Arial" w:cs="Arial"/>
          <w:color w:val="000000" w:themeColor="text1"/>
          <w:sz w:val="20"/>
          <w:szCs w:val="20"/>
        </w:rPr>
        <w:t>ve</w:t>
      </w:r>
      <w:proofErr w:type="spellEnd"/>
      <w:r w:rsidR="0093589F" w:rsidRPr="0092511B">
        <w:rPr>
          <w:rFonts w:ascii="Arial" w:hAnsi="Arial" w:cs="Arial"/>
          <w:color w:val="000000" w:themeColor="text1"/>
          <w:sz w:val="20"/>
          <w:szCs w:val="20"/>
        </w:rPr>
        <w:t xml:space="preserve"> bacteria (Staphylococcus aureus, Bacillus Cereus) and two gram -</w:t>
      </w:r>
      <w:proofErr w:type="spellStart"/>
      <w:r w:rsidR="0093589F" w:rsidRPr="0092511B">
        <w:rPr>
          <w:rFonts w:ascii="Arial" w:hAnsi="Arial" w:cs="Arial"/>
          <w:color w:val="000000" w:themeColor="text1"/>
          <w:sz w:val="20"/>
          <w:szCs w:val="20"/>
        </w:rPr>
        <w:t>ve</w:t>
      </w:r>
      <w:proofErr w:type="spellEnd"/>
      <w:r w:rsidR="0093589F" w:rsidRPr="0092511B">
        <w:rPr>
          <w:rFonts w:ascii="Arial" w:hAnsi="Arial" w:cs="Arial"/>
          <w:color w:val="000000" w:themeColor="text1"/>
          <w:sz w:val="20"/>
          <w:szCs w:val="20"/>
        </w:rPr>
        <w:t xml:space="preserve"> bacteria (Escherichia coli, Pseudomonas aeruginosa) as well as antifungal activity (Aspergillus </w:t>
      </w:r>
      <w:proofErr w:type="spellStart"/>
      <w:r w:rsidR="0093589F" w:rsidRPr="0092511B">
        <w:rPr>
          <w:rFonts w:ascii="Arial" w:hAnsi="Arial" w:cs="Arial"/>
          <w:color w:val="000000" w:themeColor="text1"/>
          <w:sz w:val="20"/>
          <w:szCs w:val="20"/>
        </w:rPr>
        <w:t>niger</w:t>
      </w:r>
      <w:proofErr w:type="spellEnd"/>
      <w:r w:rsidR="0093589F" w:rsidRPr="0092511B">
        <w:rPr>
          <w:rFonts w:ascii="Arial" w:hAnsi="Arial" w:cs="Arial"/>
          <w:color w:val="000000" w:themeColor="text1"/>
          <w:sz w:val="20"/>
          <w:szCs w:val="20"/>
        </w:rPr>
        <w:t xml:space="preserve"> and Aspergillus fumigatus).</w:t>
      </w:r>
      <w:r w:rsidR="003E43A6" w:rsidRPr="0092511B">
        <w:rPr>
          <w:rFonts w:ascii="Arial" w:hAnsi="Arial" w:cs="Arial"/>
          <w:color w:val="000000" w:themeColor="text1"/>
          <w:sz w:val="20"/>
          <w:szCs w:val="20"/>
        </w:rPr>
        <w:t xml:space="preserve"> </w:t>
      </w:r>
      <w:r w:rsidR="001A2F24" w:rsidRPr="0092511B">
        <w:rPr>
          <w:rFonts w:ascii="Arial" w:hAnsi="Arial" w:cs="Arial"/>
          <w:sz w:val="20"/>
          <w:szCs w:val="20"/>
        </w:rPr>
        <w:t>It is frequently used in the fields of agricultural and pharmaceutical chemistry.</w:t>
      </w:r>
      <w:r w:rsidR="003E43A6" w:rsidRPr="0092511B">
        <w:rPr>
          <w:rFonts w:ascii="Arial" w:hAnsi="Arial" w:cs="Arial"/>
          <w:color w:val="EE0000"/>
          <w:sz w:val="20"/>
          <w:szCs w:val="20"/>
        </w:rPr>
        <w:t xml:space="preserve"> </w:t>
      </w:r>
      <w:r w:rsidR="00554074" w:rsidRPr="0092511B">
        <w:rPr>
          <w:rFonts w:ascii="Arial" w:hAnsi="Arial" w:cs="Arial"/>
          <w:sz w:val="20"/>
          <w:szCs w:val="20"/>
        </w:rPr>
        <w:t xml:space="preserve">We have synthesized </w:t>
      </w:r>
      <w:r w:rsidR="009D02DC" w:rsidRPr="0092511B">
        <w:rPr>
          <w:rFonts w:ascii="Arial" w:hAnsi="Arial" w:cs="Arial"/>
          <w:sz w:val="20"/>
          <w:szCs w:val="20"/>
        </w:rPr>
        <w:t xml:space="preserve">many </w:t>
      </w:r>
      <w:r w:rsidR="00E47D21" w:rsidRPr="0092511B">
        <w:rPr>
          <w:rFonts w:ascii="Arial" w:hAnsi="Arial" w:cs="Arial"/>
          <w:sz w:val="20"/>
          <w:szCs w:val="20"/>
        </w:rPr>
        <w:t>2-Amino-5-(4-(1,3-dioxoisoindolin-2-</w:t>
      </w:r>
      <w:proofErr w:type="gramStart"/>
      <w:r w:rsidR="00E47D21" w:rsidRPr="0092511B">
        <w:rPr>
          <w:rFonts w:ascii="Arial" w:hAnsi="Arial" w:cs="Arial"/>
          <w:sz w:val="20"/>
          <w:szCs w:val="20"/>
        </w:rPr>
        <w:t>yl)phenyl</w:t>
      </w:r>
      <w:proofErr w:type="gramEnd"/>
      <w:r w:rsidR="00E47D21" w:rsidRPr="0092511B">
        <w:rPr>
          <w:rFonts w:ascii="Arial" w:hAnsi="Arial" w:cs="Arial"/>
          <w:sz w:val="20"/>
          <w:szCs w:val="20"/>
        </w:rPr>
        <w:t xml:space="preserve">)-1,3,4- </w:t>
      </w:r>
      <w:proofErr w:type="spellStart"/>
      <w:r w:rsidR="00E47D21" w:rsidRPr="0092511B">
        <w:rPr>
          <w:rFonts w:ascii="Arial" w:hAnsi="Arial" w:cs="Arial"/>
          <w:sz w:val="20"/>
          <w:szCs w:val="20"/>
        </w:rPr>
        <w:t>thiadiazole</w:t>
      </w:r>
      <w:proofErr w:type="spellEnd"/>
      <w:r w:rsidR="00E47D21" w:rsidRPr="0092511B">
        <w:rPr>
          <w:rFonts w:ascii="Arial" w:hAnsi="Arial" w:cs="Arial"/>
          <w:sz w:val="20"/>
          <w:szCs w:val="20"/>
        </w:rPr>
        <w:t>(1)</w:t>
      </w:r>
      <w:r w:rsidR="002563EC" w:rsidRPr="0092511B">
        <w:rPr>
          <w:rFonts w:ascii="Arial" w:hAnsi="Arial" w:cs="Arial"/>
          <w:sz w:val="20"/>
          <w:szCs w:val="20"/>
        </w:rPr>
        <w:t xml:space="preserve"> and found that the introduction of </w:t>
      </w:r>
      <w:r w:rsidR="00337C14" w:rsidRPr="0092511B">
        <w:rPr>
          <w:rFonts w:ascii="Arial" w:hAnsi="Arial" w:cs="Arial"/>
          <w:sz w:val="20"/>
          <w:szCs w:val="20"/>
        </w:rPr>
        <w:t xml:space="preserve">phenyl, </w:t>
      </w:r>
      <w:r w:rsidR="00E3393E" w:rsidRPr="0092511B">
        <w:rPr>
          <w:rFonts w:ascii="Arial" w:hAnsi="Arial" w:cs="Arial"/>
          <w:sz w:val="20"/>
          <w:szCs w:val="20"/>
        </w:rPr>
        <w:t>4-methylphenyl, 4-methoxyphenyl, 4-chlorophenyl and 4-Nitrophenyl</w:t>
      </w:r>
      <w:r w:rsidR="00CD42E5" w:rsidRPr="0092511B">
        <w:rPr>
          <w:rFonts w:ascii="Arial" w:hAnsi="Arial" w:cs="Arial"/>
          <w:sz w:val="20"/>
          <w:szCs w:val="20"/>
        </w:rPr>
        <w:t xml:space="preserve"> linkage</w:t>
      </w:r>
      <w:r w:rsidR="008F7FBD" w:rsidRPr="0092511B">
        <w:rPr>
          <w:rFonts w:ascii="Arial" w:hAnsi="Arial" w:cs="Arial"/>
          <w:sz w:val="20"/>
          <w:szCs w:val="20"/>
        </w:rPr>
        <w:t xml:space="preserve"> </w:t>
      </w:r>
      <w:r w:rsidR="00096269" w:rsidRPr="0092511B">
        <w:rPr>
          <w:rFonts w:ascii="Arial" w:hAnsi="Arial" w:cs="Arial"/>
          <w:sz w:val="20"/>
          <w:szCs w:val="20"/>
        </w:rPr>
        <w:t>can increase biological activity of synthesised compound.</w:t>
      </w:r>
      <w:r w:rsidR="0062706B" w:rsidRPr="0092511B">
        <w:rPr>
          <w:rFonts w:ascii="Arial" w:hAnsi="Arial" w:cs="Arial"/>
          <w:sz w:val="20"/>
          <w:szCs w:val="20"/>
        </w:rPr>
        <w:t xml:space="preserve"> The molecular docking study is used to ascertain the probability that a ligand will bind to the dynamic site of a receptor. It creates a graphic representation of the dynamic site using interaction points, or grid. It then uses either grid search or energy search to fit the ligand in the binding site [</w:t>
      </w:r>
      <w:r w:rsidR="00712400" w:rsidRPr="0092511B">
        <w:rPr>
          <w:rFonts w:ascii="Arial" w:hAnsi="Arial" w:cs="Arial"/>
          <w:sz w:val="20"/>
          <w:szCs w:val="20"/>
        </w:rPr>
        <w:t>16</w:t>
      </w:r>
      <w:r w:rsidR="0062706B" w:rsidRPr="0092511B">
        <w:rPr>
          <w:rFonts w:ascii="Arial" w:hAnsi="Arial" w:cs="Arial"/>
          <w:sz w:val="20"/>
          <w:szCs w:val="20"/>
        </w:rPr>
        <w:t>-</w:t>
      </w:r>
      <w:r w:rsidR="00712400" w:rsidRPr="0092511B">
        <w:rPr>
          <w:rFonts w:ascii="Arial" w:hAnsi="Arial" w:cs="Arial"/>
          <w:sz w:val="20"/>
          <w:szCs w:val="20"/>
        </w:rPr>
        <w:t>17</w:t>
      </w:r>
      <w:r w:rsidR="0062706B" w:rsidRPr="0092511B">
        <w:rPr>
          <w:rFonts w:ascii="Arial" w:hAnsi="Arial" w:cs="Arial"/>
          <w:sz w:val="20"/>
          <w:szCs w:val="20"/>
        </w:rPr>
        <w:t>].</w:t>
      </w:r>
    </w:p>
    <w:p w14:paraId="44D7B4A6" w14:textId="1423CCF2" w:rsidR="00121FD7" w:rsidRPr="0092511B" w:rsidRDefault="002E2781" w:rsidP="00E83223">
      <w:pPr>
        <w:spacing w:line="360" w:lineRule="auto"/>
        <w:jc w:val="both"/>
        <w:rPr>
          <w:rFonts w:ascii="Arial" w:hAnsi="Arial" w:cs="Arial"/>
          <w:b/>
          <w:bCs/>
        </w:rPr>
      </w:pPr>
      <w:r w:rsidRPr="0092511B">
        <w:rPr>
          <w:rFonts w:ascii="Arial" w:hAnsi="Arial" w:cs="Arial"/>
          <w:b/>
          <w:bCs/>
          <w:color w:val="000000" w:themeColor="text1"/>
        </w:rPr>
        <w:t xml:space="preserve">2.0 </w:t>
      </w:r>
      <w:r w:rsidR="00121FD7" w:rsidRPr="0092511B">
        <w:rPr>
          <w:rFonts w:ascii="Arial" w:hAnsi="Arial" w:cs="Arial"/>
          <w:b/>
          <w:bCs/>
          <w:color w:val="000000" w:themeColor="text1"/>
        </w:rPr>
        <w:t xml:space="preserve">Experimental </w:t>
      </w:r>
      <w:r w:rsidR="00121FD7" w:rsidRPr="0092511B">
        <w:rPr>
          <w:rFonts w:ascii="Arial" w:hAnsi="Arial" w:cs="Arial"/>
          <w:b/>
          <w:bCs/>
        </w:rPr>
        <w:t>Section</w:t>
      </w:r>
    </w:p>
    <w:p w14:paraId="223A3034" w14:textId="6B7A823A" w:rsidR="00121FD7" w:rsidRPr="0092511B" w:rsidRDefault="002E2781" w:rsidP="00E83223">
      <w:pPr>
        <w:spacing w:line="360" w:lineRule="auto"/>
        <w:jc w:val="both"/>
        <w:rPr>
          <w:rFonts w:ascii="Arial" w:hAnsi="Arial" w:cs="Arial"/>
          <w:b/>
          <w:bCs/>
        </w:rPr>
      </w:pPr>
      <w:r w:rsidRPr="0092511B">
        <w:rPr>
          <w:rFonts w:ascii="Arial" w:hAnsi="Arial" w:cs="Arial"/>
          <w:b/>
          <w:bCs/>
        </w:rPr>
        <w:t xml:space="preserve">2.1 </w:t>
      </w:r>
      <w:r w:rsidR="00121FD7" w:rsidRPr="0092511B">
        <w:rPr>
          <w:rFonts w:ascii="Arial" w:hAnsi="Arial" w:cs="Arial"/>
          <w:b/>
          <w:bCs/>
        </w:rPr>
        <w:t>Materials and Methods</w:t>
      </w:r>
    </w:p>
    <w:p w14:paraId="2D5803F2" w14:textId="7F5C23C6" w:rsidR="00121FD7" w:rsidRPr="0092511B" w:rsidRDefault="00121FD7" w:rsidP="00E83223">
      <w:pPr>
        <w:spacing w:line="360" w:lineRule="auto"/>
        <w:jc w:val="both"/>
        <w:rPr>
          <w:rFonts w:ascii="Arial" w:hAnsi="Arial" w:cs="Arial"/>
          <w:sz w:val="20"/>
          <w:szCs w:val="20"/>
        </w:rPr>
      </w:pPr>
      <w:r w:rsidRPr="0092511B">
        <w:rPr>
          <w:rFonts w:ascii="Arial" w:hAnsi="Arial" w:cs="Arial"/>
          <w:sz w:val="20"/>
          <w:szCs w:val="20"/>
        </w:rPr>
        <w:t>All chemicals and reagents were of analytical grade and used without further purification. 4-(1,3-Dioxoisoindolin-2-</w:t>
      </w:r>
      <w:proofErr w:type="gramStart"/>
      <w:r w:rsidRPr="0092511B">
        <w:rPr>
          <w:rFonts w:ascii="Arial" w:hAnsi="Arial" w:cs="Arial"/>
          <w:sz w:val="20"/>
          <w:szCs w:val="20"/>
        </w:rPr>
        <w:t>yl)benzoic</w:t>
      </w:r>
      <w:proofErr w:type="gramEnd"/>
      <w:r w:rsidRPr="0092511B">
        <w:rPr>
          <w:rFonts w:ascii="Arial" w:hAnsi="Arial" w:cs="Arial"/>
          <w:sz w:val="20"/>
          <w:szCs w:val="20"/>
        </w:rPr>
        <w:t xml:space="preserve"> acid</w:t>
      </w:r>
      <w:r w:rsidR="00753D45" w:rsidRPr="0092511B">
        <w:rPr>
          <w:rFonts w:ascii="Arial" w:hAnsi="Arial" w:cs="Arial"/>
          <w:sz w:val="20"/>
          <w:szCs w:val="20"/>
        </w:rPr>
        <w:t xml:space="preserve"> and </w:t>
      </w:r>
      <w:proofErr w:type="spellStart"/>
      <w:r w:rsidRPr="0092511B">
        <w:rPr>
          <w:rFonts w:ascii="Arial" w:hAnsi="Arial" w:cs="Arial"/>
          <w:sz w:val="20"/>
          <w:szCs w:val="20"/>
        </w:rPr>
        <w:t>thiosemicarbazide</w:t>
      </w:r>
      <w:proofErr w:type="spellEnd"/>
      <w:r w:rsidR="00753D45" w:rsidRPr="0092511B">
        <w:rPr>
          <w:rFonts w:ascii="Arial" w:hAnsi="Arial" w:cs="Arial"/>
          <w:sz w:val="20"/>
          <w:szCs w:val="20"/>
        </w:rPr>
        <w:t xml:space="preserve"> purchased from Sisco Research Laboratory </w:t>
      </w:r>
      <w:proofErr w:type="spellStart"/>
      <w:r w:rsidR="00753D45" w:rsidRPr="0092511B">
        <w:rPr>
          <w:rFonts w:ascii="Arial" w:hAnsi="Arial" w:cs="Arial"/>
          <w:sz w:val="20"/>
          <w:szCs w:val="20"/>
        </w:rPr>
        <w:t>pvt.</w:t>
      </w:r>
      <w:proofErr w:type="spellEnd"/>
      <w:r w:rsidR="00753D45" w:rsidRPr="0092511B">
        <w:rPr>
          <w:rFonts w:ascii="Arial" w:hAnsi="Arial" w:cs="Arial"/>
          <w:sz w:val="20"/>
          <w:szCs w:val="20"/>
        </w:rPr>
        <w:t xml:space="preserve"> Ltd Mumbai India. S</w:t>
      </w:r>
      <w:r w:rsidRPr="0092511B">
        <w:rPr>
          <w:rFonts w:ascii="Arial" w:hAnsi="Arial" w:cs="Arial"/>
          <w:sz w:val="20"/>
          <w:szCs w:val="20"/>
        </w:rPr>
        <w:t xml:space="preserve">ubstituted phenacyl chlorides </w:t>
      </w:r>
      <w:r w:rsidR="00753D45" w:rsidRPr="0092511B">
        <w:rPr>
          <w:rFonts w:ascii="Arial" w:hAnsi="Arial" w:cs="Arial"/>
          <w:sz w:val="20"/>
          <w:szCs w:val="20"/>
        </w:rPr>
        <w:t xml:space="preserve">also purchased from Sisco Research Laboratory </w:t>
      </w:r>
      <w:proofErr w:type="spellStart"/>
      <w:r w:rsidR="00753D45" w:rsidRPr="0092511B">
        <w:rPr>
          <w:rFonts w:ascii="Arial" w:hAnsi="Arial" w:cs="Arial"/>
          <w:sz w:val="20"/>
          <w:szCs w:val="20"/>
        </w:rPr>
        <w:t>pvt.</w:t>
      </w:r>
      <w:proofErr w:type="spellEnd"/>
      <w:r w:rsidR="00753D45" w:rsidRPr="0092511B">
        <w:rPr>
          <w:rFonts w:ascii="Arial" w:hAnsi="Arial" w:cs="Arial"/>
          <w:sz w:val="20"/>
          <w:szCs w:val="20"/>
        </w:rPr>
        <w:t xml:space="preserve"> Ltd Mumbai India</w:t>
      </w:r>
      <w:r w:rsidRPr="0092511B">
        <w:rPr>
          <w:rFonts w:ascii="Arial" w:hAnsi="Arial" w:cs="Arial"/>
          <w:sz w:val="20"/>
          <w:szCs w:val="20"/>
        </w:rPr>
        <w:t xml:space="preserve">. Melting points were determined in open capillary tubes and are uncorrected. FT-IR spectra were recorded using </w:t>
      </w:r>
      <w:proofErr w:type="spellStart"/>
      <w:r w:rsidRPr="0092511B">
        <w:rPr>
          <w:rFonts w:ascii="Arial" w:hAnsi="Arial" w:cs="Arial"/>
          <w:sz w:val="20"/>
          <w:szCs w:val="20"/>
        </w:rPr>
        <w:t>KB</w:t>
      </w:r>
      <w:r w:rsidR="00544ABA" w:rsidRPr="0092511B">
        <w:rPr>
          <w:rFonts w:ascii="Arial" w:hAnsi="Arial" w:cs="Arial"/>
          <w:sz w:val="20"/>
          <w:szCs w:val="20"/>
        </w:rPr>
        <w:t>r</w:t>
      </w:r>
      <w:proofErr w:type="spellEnd"/>
      <w:r w:rsidRPr="0092511B">
        <w:rPr>
          <w:rFonts w:ascii="Arial" w:hAnsi="Arial" w:cs="Arial"/>
          <w:sz w:val="20"/>
          <w:szCs w:val="20"/>
        </w:rPr>
        <w:t xml:space="preserve"> pellets.</w:t>
      </w:r>
      <w:r w:rsidR="00753D45" w:rsidRPr="0092511B">
        <w:rPr>
          <w:rFonts w:ascii="Arial" w:hAnsi="Arial" w:cs="Arial"/>
          <w:sz w:val="20"/>
          <w:szCs w:val="20"/>
        </w:rPr>
        <w:t xml:space="preserve"> </w:t>
      </w:r>
      <w:r w:rsidR="00753D45" w:rsidRPr="0092511B">
        <w:rPr>
          <w:rFonts w:ascii="Arial" w:hAnsi="Arial" w:cs="Arial"/>
          <w:sz w:val="20"/>
          <w:szCs w:val="20"/>
          <w:vertAlign w:val="superscript"/>
        </w:rPr>
        <w:t>1</w:t>
      </w:r>
      <w:r w:rsidRPr="0092511B">
        <w:rPr>
          <w:rFonts w:ascii="Arial" w:hAnsi="Arial" w:cs="Arial"/>
          <w:sz w:val="20"/>
          <w:szCs w:val="20"/>
        </w:rPr>
        <w:t xml:space="preserve">H and </w:t>
      </w:r>
      <w:r w:rsidR="00544ABA" w:rsidRPr="0092511B">
        <w:rPr>
          <w:rFonts w:ascii="Arial" w:hAnsi="Arial" w:cs="Arial"/>
          <w:sz w:val="20"/>
          <w:szCs w:val="20"/>
          <w:vertAlign w:val="superscript"/>
        </w:rPr>
        <w:t>13</w:t>
      </w:r>
      <w:r w:rsidRPr="0092511B">
        <w:rPr>
          <w:rFonts w:ascii="Arial" w:hAnsi="Arial" w:cs="Arial"/>
          <w:sz w:val="20"/>
          <w:szCs w:val="20"/>
        </w:rPr>
        <w:t>C NMR spectra were recorded in DMSO-</w:t>
      </w:r>
      <w:r w:rsidR="00753D45" w:rsidRPr="0092511B">
        <w:rPr>
          <w:rFonts w:ascii="Arial" w:hAnsi="Arial" w:cs="Arial"/>
          <w:sz w:val="20"/>
          <w:szCs w:val="20"/>
        </w:rPr>
        <w:t>d</w:t>
      </w:r>
      <w:r w:rsidR="00753D45" w:rsidRPr="0092511B">
        <w:rPr>
          <w:rFonts w:ascii="Arial" w:hAnsi="Arial" w:cs="Arial"/>
          <w:sz w:val="20"/>
          <w:szCs w:val="20"/>
          <w:vertAlign w:val="subscript"/>
        </w:rPr>
        <w:t>6</w:t>
      </w:r>
      <w:r w:rsidR="00753D45" w:rsidRPr="0092511B">
        <w:rPr>
          <w:rFonts w:ascii="Arial" w:hAnsi="Arial" w:cs="Arial"/>
          <w:sz w:val="20"/>
          <w:szCs w:val="20"/>
        </w:rPr>
        <w:t xml:space="preserve"> </w:t>
      </w:r>
      <w:r w:rsidRPr="0092511B">
        <w:rPr>
          <w:rFonts w:ascii="Arial" w:hAnsi="Arial" w:cs="Arial"/>
          <w:sz w:val="20"/>
          <w:szCs w:val="20"/>
        </w:rPr>
        <w:t>using TMS as an internal standard. Elemental analyses (CHNS) were carried out and found values were within ±0.4% of the calculated values.</w:t>
      </w:r>
    </w:p>
    <w:p w14:paraId="18333B31" w14:textId="55ECF47F" w:rsidR="00121FD7" w:rsidRPr="0092511B" w:rsidRDefault="002E2781" w:rsidP="00E83223">
      <w:pPr>
        <w:spacing w:line="360" w:lineRule="auto"/>
        <w:jc w:val="both"/>
        <w:rPr>
          <w:rFonts w:ascii="Arial" w:hAnsi="Arial" w:cs="Arial"/>
          <w:b/>
          <w:bCs/>
        </w:rPr>
      </w:pPr>
      <w:r w:rsidRPr="0092511B">
        <w:rPr>
          <w:rFonts w:ascii="Arial" w:hAnsi="Arial" w:cs="Arial"/>
          <w:b/>
          <w:bCs/>
        </w:rPr>
        <w:t xml:space="preserve">2.2 </w:t>
      </w:r>
      <w:r w:rsidR="00121FD7" w:rsidRPr="0092511B">
        <w:rPr>
          <w:rFonts w:ascii="Arial" w:hAnsi="Arial" w:cs="Arial"/>
          <w:b/>
          <w:bCs/>
        </w:rPr>
        <w:t>Synthesis of 2-Amino-</w:t>
      </w:r>
      <w:r w:rsidR="00804090" w:rsidRPr="0092511B">
        <w:rPr>
          <w:rFonts w:ascii="Arial" w:hAnsi="Arial" w:cs="Arial"/>
          <w:b/>
          <w:bCs/>
        </w:rPr>
        <w:t>5</w:t>
      </w:r>
      <w:r w:rsidR="00121FD7" w:rsidRPr="0092511B">
        <w:rPr>
          <w:rFonts w:ascii="Arial" w:hAnsi="Arial" w:cs="Arial"/>
          <w:b/>
          <w:bCs/>
        </w:rPr>
        <w:t>-(4-(1,3-dioxoisoindolin-2-</w:t>
      </w:r>
      <w:proofErr w:type="gramStart"/>
      <w:r w:rsidR="00121FD7" w:rsidRPr="0092511B">
        <w:rPr>
          <w:rFonts w:ascii="Arial" w:hAnsi="Arial" w:cs="Arial"/>
          <w:b/>
          <w:bCs/>
        </w:rPr>
        <w:t>yl)phenyl</w:t>
      </w:r>
      <w:proofErr w:type="gramEnd"/>
      <w:r w:rsidR="00121FD7" w:rsidRPr="0092511B">
        <w:rPr>
          <w:rFonts w:ascii="Arial" w:hAnsi="Arial" w:cs="Arial"/>
          <w:b/>
          <w:bCs/>
        </w:rPr>
        <w:t>)-1,3,4-thiadiazole (1)</w:t>
      </w:r>
    </w:p>
    <w:p w14:paraId="03E3C167" w14:textId="049ED939" w:rsidR="002B161A" w:rsidRPr="0092511B" w:rsidRDefault="002B161A" w:rsidP="002B161A">
      <w:pPr>
        <w:spacing w:line="360" w:lineRule="auto"/>
        <w:jc w:val="both"/>
        <w:rPr>
          <w:rFonts w:ascii="Arial" w:hAnsi="Arial" w:cs="Arial"/>
          <w:sz w:val="20"/>
          <w:szCs w:val="20"/>
        </w:rPr>
      </w:pPr>
      <w:r w:rsidRPr="0092511B">
        <w:rPr>
          <w:rFonts w:ascii="Arial" w:hAnsi="Arial" w:cs="Arial"/>
          <w:sz w:val="20"/>
          <w:szCs w:val="20"/>
        </w:rPr>
        <w:t>4-(1,3-dioxoisoindolin-2-</w:t>
      </w:r>
      <w:proofErr w:type="gramStart"/>
      <w:r w:rsidRPr="0092511B">
        <w:rPr>
          <w:rFonts w:ascii="Arial" w:hAnsi="Arial" w:cs="Arial"/>
          <w:sz w:val="20"/>
          <w:szCs w:val="20"/>
        </w:rPr>
        <w:t>yl)benzoic</w:t>
      </w:r>
      <w:proofErr w:type="gramEnd"/>
      <w:r w:rsidRPr="0092511B">
        <w:rPr>
          <w:rFonts w:ascii="Arial" w:hAnsi="Arial" w:cs="Arial"/>
          <w:sz w:val="20"/>
          <w:szCs w:val="20"/>
        </w:rPr>
        <w:t xml:space="preserve"> acid (0.01 mol) and </w:t>
      </w:r>
      <w:proofErr w:type="spellStart"/>
      <w:r w:rsidRPr="0092511B">
        <w:rPr>
          <w:rFonts w:ascii="Arial" w:hAnsi="Arial" w:cs="Arial"/>
          <w:sz w:val="20"/>
          <w:szCs w:val="20"/>
        </w:rPr>
        <w:t>thiosemicarbazide</w:t>
      </w:r>
      <w:proofErr w:type="spellEnd"/>
      <w:r w:rsidRPr="0092511B">
        <w:rPr>
          <w:rFonts w:ascii="Arial" w:hAnsi="Arial" w:cs="Arial"/>
          <w:sz w:val="20"/>
          <w:szCs w:val="20"/>
        </w:rPr>
        <w:t xml:space="preserve"> (0.01 mol) were thoroughly mixed with 25 mL of 100% ethanol in a round-bottom flask fitted with a reflux condenser. A few drops of strong sulfuric acid were carefully added to this reaction mixture as a catalyst to speed up the cyclization process. In order to maintain a consistent reaction temperature, the reaction mixture was then heated by reflux for </w:t>
      </w:r>
      <w:r w:rsidR="00A5672F" w:rsidRPr="0092511B">
        <w:rPr>
          <w:rFonts w:ascii="Arial" w:hAnsi="Arial" w:cs="Arial"/>
          <w:sz w:val="20"/>
          <w:szCs w:val="20"/>
        </w:rPr>
        <w:t>6</w:t>
      </w:r>
      <w:r w:rsidRPr="0092511B">
        <w:rPr>
          <w:rFonts w:ascii="Arial" w:hAnsi="Arial" w:cs="Arial"/>
          <w:sz w:val="20"/>
          <w:szCs w:val="20"/>
        </w:rPr>
        <w:t xml:space="preserve"> hours. This ensured that the solvent was continuously boiling and condensing. Thin-layer chromatography (TLC) with </w:t>
      </w:r>
      <w:r w:rsidR="00A5672F" w:rsidRPr="0092511B">
        <w:rPr>
          <w:rFonts w:ascii="Arial" w:hAnsi="Arial" w:cs="Arial"/>
          <w:sz w:val="20"/>
          <w:szCs w:val="20"/>
        </w:rPr>
        <w:t>mobile phase ethyl acetate: n-hexane (7:3)</w:t>
      </w:r>
      <w:r w:rsidRPr="0092511B">
        <w:rPr>
          <w:rFonts w:ascii="Arial" w:hAnsi="Arial" w:cs="Arial"/>
          <w:sz w:val="20"/>
          <w:szCs w:val="20"/>
        </w:rPr>
        <w:t xml:space="preserve"> was used to regularly monitor the reaction's progress in order to verify the consumption of starting materials and the </w:t>
      </w:r>
      <w:r w:rsidR="00A5672F" w:rsidRPr="0092511B">
        <w:rPr>
          <w:rFonts w:ascii="Arial" w:hAnsi="Arial" w:cs="Arial"/>
          <w:sz w:val="20"/>
          <w:szCs w:val="20"/>
        </w:rPr>
        <w:t>product</w:t>
      </w:r>
      <w:r w:rsidRPr="0092511B">
        <w:rPr>
          <w:rFonts w:ascii="Arial" w:hAnsi="Arial" w:cs="Arial"/>
          <w:sz w:val="20"/>
          <w:szCs w:val="20"/>
        </w:rPr>
        <w:t xml:space="preserve"> of the required intermediate.</w:t>
      </w:r>
      <w:r w:rsidRPr="0092511B">
        <w:rPr>
          <w:rFonts w:ascii="Arial" w:eastAsia="Times New Roman" w:hAnsi="Arial" w:cs="Arial"/>
          <w:kern w:val="0"/>
          <w:sz w:val="20"/>
          <w:szCs w:val="20"/>
          <w:lang w:eastAsia="en-IN" w:bidi="gu-IN"/>
          <w14:ligatures w14:val="none"/>
        </w:rPr>
        <w:t xml:space="preserve"> </w:t>
      </w:r>
      <w:r w:rsidRPr="0092511B">
        <w:rPr>
          <w:rFonts w:ascii="Arial" w:hAnsi="Arial" w:cs="Arial"/>
          <w:sz w:val="20"/>
          <w:szCs w:val="20"/>
        </w:rPr>
        <w:t>The reaction mixture was allowed to cool to room temperature after the reaction was finished, as shown by TLC, and then it was slowly added to ice-cold water while being continuously stirred. A solid substance precipitated as a result of this process. The resulting solid was collected using vacuum filtration, extensively cleaned with cold water to get rid of any remaining acid and contaminants, and then dried in a desiccator or at room temperature. Ultimately, the desired intermediate substance (Int-1) was obtained in pure form by recrystallizing the crude product from ethanol.</w:t>
      </w:r>
    </w:p>
    <w:p w14:paraId="74B677DE" w14:textId="32C63086" w:rsidR="009A726A" w:rsidRPr="0092511B" w:rsidRDefault="002E2781" w:rsidP="009A726A">
      <w:pPr>
        <w:spacing w:line="360" w:lineRule="auto"/>
        <w:jc w:val="both"/>
        <w:rPr>
          <w:rFonts w:ascii="Arial" w:hAnsi="Arial" w:cs="Arial"/>
          <w:b/>
          <w:bCs/>
        </w:rPr>
      </w:pPr>
      <w:r w:rsidRPr="0092511B">
        <w:rPr>
          <w:rFonts w:ascii="Arial" w:hAnsi="Arial" w:cs="Arial"/>
          <w:b/>
          <w:bCs/>
        </w:rPr>
        <w:t xml:space="preserve">2.3 </w:t>
      </w:r>
      <w:r w:rsidR="009A726A" w:rsidRPr="0092511B">
        <w:rPr>
          <w:rFonts w:ascii="Arial" w:hAnsi="Arial" w:cs="Arial"/>
          <w:b/>
          <w:bCs/>
        </w:rPr>
        <w:t>General Procedure for the Synthesis of Compounds (3a–e)</w:t>
      </w:r>
    </w:p>
    <w:p w14:paraId="60E93A35" w14:textId="56A75561" w:rsidR="0008777C" w:rsidRPr="0092511B" w:rsidRDefault="002B161A" w:rsidP="0008777C">
      <w:pPr>
        <w:spacing w:line="360" w:lineRule="auto"/>
        <w:jc w:val="both"/>
        <w:rPr>
          <w:rFonts w:ascii="Arial" w:hAnsi="Arial" w:cs="Arial"/>
          <w:color w:val="000000" w:themeColor="text1"/>
          <w:sz w:val="20"/>
          <w:szCs w:val="20"/>
        </w:rPr>
      </w:pPr>
      <w:r w:rsidRPr="0092511B">
        <w:rPr>
          <w:rFonts w:ascii="Arial" w:hAnsi="Arial" w:cs="Arial"/>
          <w:color w:val="000000" w:themeColor="text1"/>
          <w:sz w:val="20"/>
          <w:szCs w:val="20"/>
        </w:rPr>
        <w:t>Absolute ethanol (20–30 mL) was used to dissolve a combination of 2-amino-5-[4-(1,3-dioxoisoindolin-</w:t>
      </w:r>
      <w:r w:rsidRPr="0092511B">
        <w:rPr>
          <w:rFonts w:ascii="Arial" w:hAnsi="Arial" w:cs="Arial"/>
          <w:color w:val="000000" w:themeColor="text1"/>
          <w:sz w:val="20"/>
          <w:szCs w:val="20"/>
        </w:rPr>
        <w:lastRenderedPageBreak/>
        <w:t>2-</w:t>
      </w:r>
      <w:proofErr w:type="gramStart"/>
      <w:r w:rsidRPr="0092511B">
        <w:rPr>
          <w:rFonts w:ascii="Arial" w:hAnsi="Arial" w:cs="Arial"/>
          <w:color w:val="000000" w:themeColor="text1"/>
          <w:sz w:val="20"/>
          <w:szCs w:val="20"/>
        </w:rPr>
        <w:t>yl)phenyl</w:t>
      </w:r>
      <w:proofErr w:type="gramEnd"/>
      <w:r w:rsidRPr="0092511B">
        <w:rPr>
          <w:rFonts w:ascii="Arial" w:hAnsi="Arial" w:cs="Arial"/>
          <w:color w:val="000000" w:themeColor="text1"/>
          <w:sz w:val="20"/>
          <w:szCs w:val="20"/>
        </w:rPr>
        <w:t xml:space="preserve">]-1,3,4-thiadiazole (1 </w:t>
      </w:r>
      <w:proofErr w:type="spellStart"/>
      <w:r w:rsidRPr="0092511B">
        <w:rPr>
          <w:rFonts w:ascii="Arial" w:hAnsi="Arial" w:cs="Arial"/>
          <w:color w:val="000000" w:themeColor="text1"/>
          <w:sz w:val="20"/>
          <w:szCs w:val="20"/>
        </w:rPr>
        <w:t>equiv</w:t>
      </w:r>
      <w:proofErr w:type="spellEnd"/>
      <w:r w:rsidRPr="0092511B">
        <w:rPr>
          <w:rFonts w:ascii="Arial" w:hAnsi="Arial" w:cs="Arial"/>
          <w:color w:val="000000" w:themeColor="text1"/>
          <w:sz w:val="20"/>
          <w:szCs w:val="20"/>
        </w:rPr>
        <w:t xml:space="preserve">) and suitably substituted phenacyl bromide (1.1 </w:t>
      </w:r>
      <w:proofErr w:type="spellStart"/>
      <w:r w:rsidRPr="0092511B">
        <w:rPr>
          <w:rFonts w:ascii="Arial" w:hAnsi="Arial" w:cs="Arial"/>
          <w:color w:val="000000" w:themeColor="text1"/>
          <w:sz w:val="20"/>
          <w:szCs w:val="20"/>
        </w:rPr>
        <w:t>equiv</w:t>
      </w:r>
      <w:proofErr w:type="spellEnd"/>
      <w:r w:rsidRPr="0092511B">
        <w:rPr>
          <w:rFonts w:ascii="Arial" w:hAnsi="Arial" w:cs="Arial"/>
          <w:color w:val="000000" w:themeColor="text1"/>
          <w:sz w:val="20"/>
          <w:szCs w:val="20"/>
        </w:rPr>
        <w:t>), such as</w:t>
      </w:r>
      <w:r w:rsidR="008C21D6" w:rsidRPr="0092511B">
        <w:rPr>
          <w:rFonts w:ascii="Arial" w:hAnsi="Arial" w:cs="Arial"/>
          <w:color w:val="000000" w:themeColor="text1"/>
          <w:sz w:val="20"/>
          <w:szCs w:val="20"/>
        </w:rPr>
        <w:t xml:space="preserve"> 4-bromo,</w:t>
      </w:r>
      <w:r w:rsidRPr="0092511B">
        <w:rPr>
          <w:rFonts w:ascii="Arial" w:hAnsi="Arial" w:cs="Arial"/>
          <w:color w:val="000000" w:themeColor="text1"/>
          <w:sz w:val="20"/>
          <w:szCs w:val="20"/>
        </w:rPr>
        <w:t xml:space="preserve"> 4-hydroxy, 4-chloro, 4-fluoro</w:t>
      </w:r>
      <w:r w:rsidR="008C21D6" w:rsidRPr="0092511B">
        <w:rPr>
          <w:rFonts w:ascii="Arial" w:hAnsi="Arial" w:cs="Arial"/>
          <w:color w:val="000000" w:themeColor="text1"/>
          <w:sz w:val="20"/>
          <w:szCs w:val="20"/>
        </w:rPr>
        <w:t xml:space="preserve"> and 4-nitro</w:t>
      </w:r>
      <w:r w:rsidRPr="0092511B">
        <w:rPr>
          <w:rFonts w:ascii="Arial" w:hAnsi="Arial" w:cs="Arial"/>
          <w:color w:val="000000" w:themeColor="text1"/>
          <w:sz w:val="20"/>
          <w:szCs w:val="20"/>
        </w:rPr>
        <w:t xml:space="preserve"> derivatives</w:t>
      </w:r>
      <w:r w:rsidR="008C21D6" w:rsidRPr="0092511B">
        <w:rPr>
          <w:rFonts w:ascii="Arial" w:hAnsi="Arial" w:cs="Arial"/>
          <w:color w:val="000000" w:themeColor="text1"/>
          <w:sz w:val="20"/>
          <w:szCs w:val="20"/>
        </w:rPr>
        <w:t xml:space="preserve"> (2a-2e)</w:t>
      </w:r>
      <w:r w:rsidRPr="0092511B">
        <w:rPr>
          <w:rFonts w:ascii="Arial" w:hAnsi="Arial" w:cs="Arial"/>
          <w:color w:val="000000" w:themeColor="text1"/>
          <w:sz w:val="20"/>
          <w:szCs w:val="20"/>
        </w:rPr>
        <w:t xml:space="preserve">. For </w:t>
      </w:r>
      <w:r w:rsidR="008C21D6" w:rsidRPr="0092511B">
        <w:rPr>
          <w:rFonts w:ascii="Arial" w:hAnsi="Arial" w:cs="Arial"/>
          <w:color w:val="000000" w:themeColor="text1"/>
          <w:sz w:val="20"/>
          <w:szCs w:val="20"/>
        </w:rPr>
        <w:t>5</w:t>
      </w:r>
      <w:r w:rsidRPr="0092511B">
        <w:rPr>
          <w:rFonts w:ascii="Arial" w:hAnsi="Arial" w:cs="Arial"/>
          <w:color w:val="000000" w:themeColor="text1"/>
          <w:sz w:val="20"/>
          <w:szCs w:val="20"/>
        </w:rPr>
        <w:t xml:space="preserve"> hours, the reaction mixture was refluxed while being constantly stirred. Using ethyl </w:t>
      </w:r>
      <w:proofErr w:type="spellStart"/>
      <w:proofErr w:type="gramStart"/>
      <w:r w:rsidRPr="0092511B">
        <w:rPr>
          <w:rFonts w:ascii="Arial" w:hAnsi="Arial" w:cs="Arial"/>
          <w:color w:val="000000" w:themeColor="text1"/>
          <w:sz w:val="20"/>
          <w:szCs w:val="20"/>
        </w:rPr>
        <w:t>acetate:n</w:t>
      </w:r>
      <w:proofErr w:type="gramEnd"/>
      <w:r w:rsidRPr="0092511B">
        <w:rPr>
          <w:rFonts w:ascii="Arial" w:hAnsi="Arial" w:cs="Arial"/>
          <w:color w:val="000000" w:themeColor="text1"/>
          <w:sz w:val="20"/>
          <w:szCs w:val="20"/>
        </w:rPr>
        <w:t>-hexane</w:t>
      </w:r>
      <w:proofErr w:type="spellEnd"/>
      <w:r w:rsidRPr="0092511B">
        <w:rPr>
          <w:rFonts w:ascii="Arial" w:hAnsi="Arial" w:cs="Arial"/>
          <w:color w:val="000000" w:themeColor="text1"/>
          <w:sz w:val="20"/>
          <w:szCs w:val="20"/>
        </w:rPr>
        <w:t xml:space="preserve"> (7:3) as the mobile phase, thin-layer chromatography (TLC) was used to track the reaction's development. Following completion, the solid precipitate was filtered, cleaned with cold ethanol, and dried once the reaction liquid had cooled to room temperature. To obtain pure </w:t>
      </w:r>
      <w:proofErr w:type="spellStart"/>
      <w:r w:rsidRPr="0092511B">
        <w:rPr>
          <w:rFonts w:ascii="Arial" w:hAnsi="Arial" w:cs="Arial"/>
          <w:color w:val="000000" w:themeColor="text1"/>
          <w:sz w:val="20"/>
          <w:szCs w:val="20"/>
        </w:rPr>
        <w:t>imidazo</w:t>
      </w:r>
      <w:proofErr w:type="spellEnd"/>
      <w:r w:rsidRPr="0092511B">
        <w:rPr>
          <w:rFonts w:ascii="Arial" w:hAnsi="Arial" w:cs="Arial"/>
          <w:color w:val="000000" w:themeColor="text1"/>
          <w:sz w:val="20"/>
          <w:szCs w:val="20"/>
        </w:rPr>
        <w:t>[2,1-</w:t>
      </w:r>
      <w:proofErr w:type="gramStart"/>
      <w:r w:rsidRPr="0092511B">
        <w:rPr>
          <w:rFonts w:ascii="Arial" w:hAnsi="Arial" w:cs="Arial"/>
          <w:color w:val="000000" w:themeColor="text1"/>
          <w:sz w:val="20"/>
          <w:szCs w:val="20"/>
        </w:rPr>
        <w:t>b][</w:t>
      </w:r>
      <w:proofErr w:type="gramEnd"/>
      <w:r w:rsidRPr="0092511B">
        <w:rPr>
          <w:rFonts w:ascii="Arial" w:hAnsi="Arial" w:cs="Arial"/>
          <w:color w:val="000000" w:themeColor="text1"/>
          <w:sz w:val="20"/>
          <w:szCs w:val="20"/>
        </w:rPr>
        <w:t>1,3,4]</w:t>
      </w:r>
      <w:proofErr w:type="spellStart"/>
      <w:r w:rsidRPr="0092511B">
        <w:rPr>
          <w:rFonts w:ascii="Arial" w:hAnsi="Arial" w:cs="Arial"/>
          <w:color w:val="000000" w:themeColor="text1"/>
          <w:sz w:val="20"/>
          <w:szCs w:val="20"/>
        </w:rPr>
        <w:t>thiadiazole</w:t>
      </w:r>
      <w:proofErr w:type="spellEnd"/>
      <w:r w:rsidRPr="0092511B">
        <w:rPr>
          <w:rFonts w:ascii="Arial" w:hAnsi="Arial" w:cs="Arial"/>
          <w:color w:val="000000" w:themeColor="text1"/>
          <w:sz w:val="20"/>
          <w:szCs w:val="20"/>
        </w:rPr>
        <w:t xml:space="preserve"> derivatives (</w:t>
      </w:r>
      <w:r w:rsidR="00625911" w:rsidRPr="0092511B">
        <w:rPr>
          <w:rFonts w:ascii="Arial" w:hAnsi="Arial" w:cs="Arial"/>
          <w:color w:val="000000" w:themeColor="text1"/>
          <w:sz w:val="20"/>
          <w:szCs w:val="20"/>
        </w:rPr>
        <w:t>3a-3e</w:t>
      </w:r>
      <w:r w:rsidRPr="0092511B">
        <w:rPr>
          <w:rFonts w:ascii="Arial" w:hAnsi="Arial" w:cs="Arial"/>
          <w:color w:val="000000" w:themeColor="text1"/>
          <w:sz w:val="20"/>
          <w:szCs w:val="20"/>
        </w:rPr>
        <w:t>), the crude product was further recrystallized from ethanol or ethanol–DMF combination.</w:t>
      </w:r>
    </w:p>
    <w:p w14:paraId="59F3F1E0" w14:textId="77777777" w:rsidR="0008777C" w:rsidRPr="0092511B" w:rsidRDefault="0008777C" w:rsidP="00E83223">
      <w:pPr>
        <w:spacing w:line="360" w:lineRule="auto"/>
        <w:jc w:val="both"/>
        <w:rPr>
          <w:rFonts w:ascii="Arial" w:hAnsi="Arial" w:cs="Arial"/>
          <w:color w:val="EE0000"/>
          <w:sz w:val="20"/>
          <w:szCs w:val="20"/>
        </w:rPr>
      </w:pPr>
    </w:p>
    <w:p w14:paraId="3CCA78F6" w14:textId="699D241F" w:rsidR="00DC39E9" w:rsidRPr="0092511B" w:rsidRDefault="00D2319A" w:rsidP="007375AD">
      <w:pPr>
        <w:spacing w:line="360" w:lineRule="auto"/>
        <w:jc w:val="center"/>
        <w:rPr>
          <w:rFonts w:ascii="Arial" w:hAnsi="Arial" w:cs="Arial"/>
          <w:sz w:val="20"/>
          <w:szCs w:val="20"/>
        </w:rPr>
      </w:pPr>
      <w:r w:rsidRPr="0092511B">
        <w:rPr>
          <w:rFonts w:ascii="Arial" w:hAnsi="Arial" w:cs="Arial"/>
          <w:sz w:val="20"/>
          <w:szCs w:val="20"/>
        </w:rPr>
        <w:object w:dxaOrig="10681" w:dyaOrig="13285" w14:anchorId="55B8D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50.05pt" o:ole="">
            <v:imagedata r:id="rId7" o:title=""/>
          </v:shape>
          <o:OLEObject Type="Embed" ProgID="ChemDraw.Document.6.0" ShapeID="_x0000_i1025" DrawAspect="Content" ObjectID="_1840018042" r:id="rId8"/>
        </w:object>
      </w:r>
    </w:p>
    <w:p w14:paraId="1CF14D7D" w14:textId="77777777" w:rsidR="008C21D6" w:rsidRPr="0092511B" w:rsidRDefault="008C21D6" w:rsidP="00845FC2">
      <w:pPr>
        <w:spacing w:line="360" w:lineRule="auto"/>
        <w:jc w:val="center"/>
        <w:rPr>
          <w:rFonts w:ascii="Arial" w:hAnsi="Arial" w:cs="Arial"/>
          <w:sz w:val="20"/>
          <w:szCs w:val="20"/>
        </w:rPr>
      </w:pPr>
    </w:p>
    <w:p w14:paraId="743BEA1D" w14:textId="77777777" w:rsidR="008C21D6" w:rsidRPr="0092511B" w:rsidRDefault="008C21D6" w:rsidP="00845FC2">
      <w:pPr>
        <w:spacing w:line="360" w:lineRule="auto"/>
        <w:jc w:val="center"/>
        <w:rPr>
          <w:rFonts w:ascii="Arial" w:hAnsi="Arial" w:cs="Arial"/>
          <w:sz w:val="20"/>
          <w:szCs w:val="20"/>
        </w:rPr>
      </w:pPr>
    </w:p>
    <w:p w14:paraId="7015EC76" w14:textId="70367538" w:rsidR="00DC39E9" w:rsidRPr="0092511B" w:rsidRDefault="00545E0F" w:rsidP="00845FC2">
      <w:pPr>
        <w:spacing w:line="360" w:lineRule="auto"/>
        <w:jc w:val="center"/>
        <w:rPr>
          <w:rFonts w:ascii="Arial" w:hAnsi="Arial" w:cs="Arial"/>
          <w:sz w:val="20"/>
          <w:szCs w:val="20"/>
        </w:rPr>
      </w:pPr>
      <w:r w:rsidRPr="0092511B">
        <w:rPr>
          <w:rFonts w:ascii="Arial" w:hAnsi="Arial" w:cs="Arial"/>
          <w:sz w:val="20"/>
          <w:szCs w:val="20"/>
        </w:rPr>
        <w:t>Figure 1: General Reaction Mechanism</w:t>
      </w:r>
    </w:p>
    <w:p w14:paraId="67ACD473" w14:textId="5C3027F5" w:rsidR="009A36F8" w:rsidRPr="0092511B" w:rsidRDefault="002E2781" w:rsidP="009A36F8">
      <w:pPr>
        <w:spacing w:line="360" w:lineRule="auto"/>
        <w:jc w:val="both"/>
        <w:rPr>
          <w:rFonts w:ascii="Arial" w:hAnsi="Arial" w:cs="Arial"/>
          <w:b/>
          <w:bCs/>
          <w:noProof/>
        </w:rPr>
      </w:pPr>
      <w:r w:rsidRPr="0092511B">
        <w:rPr>
          <w:rFonts w:ascii="Arial" w:hAnsi="Arial" w:cs="Arial"/>
          <w:b/>
          <w:bCs/>
          <w:noProof/>
        </w:rPr>
        <w:t xml:space="preserve">2.4 </w:t>
      </w:r>
      <w:r w:rsidR="009A36F8" w:rsidRPr="0092511B">
        <w:rPr>
          <w:rFonts w:ascii="Arial" w:hAnsi="Arial" w:cs="Arial"/>
          <w:b/>
          <w:bCs/>
          <w:noProof/>
        </w:rPr>
        <w:t>Computation Preparation</w:t>
      </w:r>
    </w:p>
    <w:p w14:paraId="17ADEC34" w14:textId="3E79C7AF" w:rsidR="0083105B" w:rsidRPr="0092511B" w:rsidRDefault="0083105B" w:rsidP="0083105B">
      <w:pPr>
        <w:spacing w:line="360" w:lineRule="auto"/>
        <w:jc w:val="both"/>
        <w:rPr>
          <w:rFonts w:ascii="Arial" w:hAnsi="Arial" w:cs="Arial"/>
          <w:noProof/>
          <w:sz w:val="20"/>
          <w:szCs w:val="20"/>
        </w:rPr>
      </w:pPr>
      <w:r w:rsidRPr="0092511B">
        <w:rPr>
          <w:rFonts w:ascii="Arial" w:hAnsi="Arial" w:cs="Arial"/>
          <w:noProof/>
          <w:sz w:val="20"/>
          <w:szCs w:val="20"/>
        </w:rPr>
        <w:t>ChemBioDraw Ultra 12 was used to construct the structures of compounds 3a–5e. The Prepare Ligand technique in Discovery Studio was then used to create optimized 3D conformations with the proper bond ordering, ionization states, and canonical tautomers. The Protein Report, Clean Protein, and Prepare Protein protocols were used to fix bond ordering, standardize atom names, and protonate the proteins at pH 7.4 after the crystal structures of specific antibacterial targets were obtained from the Protein Data Bank. After minimizing energy and solvating the produced proteins in a TIP3P water box, the binding sites were determined using the co-crystallized ligands [</w:t>
      </w:r>
      <w:r w:rsidR="00D2319A" w:rsidRPr="0092511B">
        <w:rPr>
          <w:rFonts w:ascii="Arial" w:hAnsi="Arial" w:cs="Arial"/>
          <w:noProof/>
          <w:sz w:val="20"/>
          <w:szCs w:val="20"/>
        </w:rPr>
        <w:t>18</w:t>
      </w:r>
      <w:r w:rsidRPr="0092511B">
        <w:rPr>
          <w:rFonts w:ascii="Arial" w:hAnsi="Arial" w:cs="Arial"/>
          <w:noProof/>
          <w:sz w:val="20"/>
          <w:szCs w:val="20"/>
        </w:rPr>
        <w:t>]. By redocking each co-crystallized ligand into its matching binding site and computing the RMSD between the docked and native postures, the docking process was verified. The CDOCKER methodology was then used with default parameters to dock the produced compounds into the designated binding sites. LigScore1, LigScore2, PLP1, PLP2, Jain, PMF, and PMF04 scoring functions were used to rescore the resulting docked postures. To determine the most likely antibacterial targets, a Pearson correlation analysis was conducted between docking scores and experimental MIC values</w:t>
      </w:r>
      <w:r w:rsidR="005F4A0E" w:rsidRPr="0092511B">
        <w:rPr>
          <w:rFonts w:ascii="Arial" w:hAnsi="Arial" w:cs="Arial"/>
          <w:noProof/>
          <w:sz w:val="20"/>
          <w:szCs w:val="20"/>
        </w:rPr>
        <w:t>[</w:t>
      </w:r>
      <w:r w:rsidR="00D2319A" w:rsidRPr="0092511B">
        <w:rPr>
          <w:rFonts w:ascii="Arial" w:hAnsi="Arial" w:cs="Arial"/>
          <w:noProof/>
          <w:sz w:val="20"/>
          <w:szCs w:val="20"/>
        </w:rPr>
        <w:t>19</w:t>
      </w:r>
      <w:r w:rsidR="005F4A0E" w:rsidRPr="0092511B">
        <w:rPr>
          <w:rFonts w:ascii="Arial" w:hAnsi="Arial" w:cs="Arial"/>
          <w:noProof/>
          <w:sz w:val="20"/>
          <w:szCs w:val="20"/>
        </w:rPr>
        <w:t>]</w:t>
      </w:r>
      <w:r w:rsidRPr="0092511B">
        <w:rPr>
          <w:rFonts w:ascii="Arial" w:hAnsi="Arial" w:cs="Arial"/>
          <w:noProof/>
          <w:sz w:val="20"/>
          <w:szCs w:val="20"/>
        </w:rPr>
        <w:t>.</w:t>
      </w:r>
    </w:p>
    <w:p w14:paraId="1EBBFE4B" w14:textId="5A8F7E57" w:rsidR="0036331B" w:rsidRPr="0092511B" w:rsidRDefault="002E2781" w:rsidP="00E83223">
      <w:pPr>
        <w:spacing w:line="360" w:lineRule="auto"/>
        <w:jc w:val="both"/>
        <w:rPr>
          <w:rFonts w:ascii="Arial" w:hAnsi="Arial" w:cs="Arial"/>
          <w:b/>
          <w:bCs/>
        </w:rPr>
      </w:pPr>
      <w:r w:rsidRPr="0092511B">
        <w:rPr>
          <w:rFonts w:ascii="Arial" w:hAnsi="Arial" w:cs="Arial"/>
          <w:b/>
          <w:bCs/>
        </w:rPr>
        <w:t xml:space="preserve">3.0 </w:t>
      </w:r>
      <w:r w:rsidR="009B319B" w:rsidRPr="0092511B">
        <w:rPr>
          <w:rFonts w:ascii="Arial" w:hAnsi="Arial" w:cs="Arial"/>
          <w:b/>
          <w:bCs/>
        </w:rPr>
        <w:t xml:space="preserve">Spectral </w:t>
      </w:r>
      <w:r w:rsidR="009F6039" w:rsidRPr="0092511B">
        <w:rPr>
          <w:rFonts w:ascii="Arial" w:hAnsi="Arial" w:cs="Arial"/>
          <w:b/>
          <w:bCs/>
        </w:rPr>
        <w:t>Characterization</w:t>
      </w:r>
    </w:p>
    <w:p w14:paraId="166BD547" w14:textId="03E75CC5" w:rsidR="005F29EF" w:rsidRPr="0092511B" w:rsidRDefault="00D6682A" w:rsidP="005F29EF">
      <w:pPr>
        <w:spacing w:line="360" w:lineRule="auto"/>
        <w:jc w:val="both"/>
        <w:rPr>
          <w:rFonts w:ascii="Arial" w:hAnsi="Arial" w:cs="Arial"/>
          <w:b/>
          <w:bCs/>
        </w:rPr>
      </w:pPr>
      <w:r w:rsidRPr="0092511B">
        <w:rPr>
          <w:rFonts w:ascii="Arial" w:hAnsi="Arial" w:cs="Arial"/>
          <w:b/>
          <w:bCs/>
        </w:rPr>
        <w:t>2-(4-(2-phenylimidazo[2,1-b][1,3,4]thiadiazol-6-yl)phenyl)isoindoline-1,3-dione</w:t>
      </w:r>
      <w:r w:rsidR="00350B68" w:rsidRPr="0092511B">
        <w:rPr>
          <w:rFonts w:ascii="Arial" w:hAnsi="Arial" w:cs="Arial"/>
          <w:b/>
          <w:bCs/>
        </w:rPr>
        <w:t xml:space="preserve"> (3a)</w:t>
      </w:r>
    </w:p>
    <w:p w14:paraId="7100B577" w14:textId="7F69C757" w:rsidR="00D6682A" w:rsidRPr="0092511B" w:rsidRDefault="005F29EF" w:rsidP="00E83223">
      <w:pPr>
        <w:spacing w:line="360" w:lineRule="auto"/>
        <w:jc w:val="both"/>
        <w:rPr>
          <w:rFonts w:ascii="Arial" w:hAnsi="Arial" w:cs="Arial"/>
          <w:b/>
          <w:bCs/>
          <w:sz w:val="20"/>
          <w:szCs w:val="20"/>
        </w:rPr>
      </w:pPr>
      <w:r w:rsidRPr="0092511B">
        <w:rPr>
          <w:rFonts w:ascii="Arial" w:hAnsi="Arial" w:cs="Arial"/>
          <w:sz w:val="20"/>
          <w:szCs w:val="20"/>
        </w:rPr>
        <w:t xml:space="preserve">68.5% yield, brown colour solid compound with M.P &gt; 280 </w:t>
      </w:r>
      <w:r w:rsidRPr="0092511B">
        <w:rPr>
          <w:rFonts w:ascii="Arial" w:hAnsi="Arial" w:cs="Arial"/>
          <w:sz w:val="20"/>
          <w:szCs w:val="20"/>
          <w:vertAlign w:val="superscript"/>
        </w:rPr>
        <w:t>0</w:t>
      </w:r>
      <w:r w:rsidRPr="0092511B">
        <w:rPr>
          <w:rFonts w:ascii="Arial" w:hAnsi="Arial" w:cs="Arial"/>
          <w:sz w:val="20"/>
          <w:szCs w:val="20"/>
        </w:rPr>
        <w:t>C, 2-(4-(2-phenylimidazo[2,1-b][1,3,4]thiadiazol-6-yl)phenyl)isoindoline-1,3-dione exhibited FTIR bands at 3062 cm</w:t>
      </w:r>
      <w:r w:rsidRPr="0092511B">
        <w:rPr>
          <w:rFonts w:ascii="Arial" w:hAnsi="Arial" w:cs="Arial"/>
          <w:sz w:val="20"/>
          <w:szCs w:val="20"/>
          <w:vertAlign w:val="superscript"/>
        </w:rPr>
        <w:t>-1</w:t>
      </w:r>
      <w:r w:rsidRPr="0092511B">
        <w:rPr>
          <w:rFonts w:ascii="Arial" w:hAnsi="Arial" w:cs="Arial"/>
          <w:sz w:val="20"/>
          <w:szCs w:val="20"/>
        </w:rPr>
        <w:t xml:space="preserve"> (</w:t>
      </w:r>
      <w:proofErr w:type="spellStart"/>
      <w:r w:rsidRPr="0092511B">
        <w:rPr>
          <w:rFonts w:ascii="Arial" w:hAnsi="Arial" w:cs="Arial"/>
          <w:sz w:val="20"/>
          <w:szCs w:val="20"/>
        </w:rPr>
        <w:t>Ar</w:t>
      </w:r>
      <w:proofErr w:type="spellEnd"/>
      <w:r w:rsidRPr="0092511B">
        <w:rPr>
          <w:rFonts w:ascii="Arial" w:hAnsi="Arial" w:cs="Arial"/>
          <w:sz w:val="20"/>
          <w:szCs w:val="20"/>
        </w:rPr>
        <w:t>–H), 1776 and 1718 cm</w:t>
      </w:r>
      <w:r w:rsidRPr="0092511B">
        <w:rPr>
          <w:rFonts w:ascii="Arial" w:hAnsi="Arial" w:cs="Arial"/>
          <w:sz w:val="20"/>
          <w:szCs w:val="20"/>
          <w:vertAlign w:val="superscript"/>
        </w:rPr>
        <w:t>-1</w:t>
      </w:r>
      <w:r w:rsidRPr="0092511B">
        <w:rPr>
          <w:rFonts w:ascii="Arial" w:hAnsi="Arial" w:cs="Arial"/>
          <w:sz w:val="20"/>
          <w:szCs w:val="20"/>
        </w:rPr>
        <w:t xml:space="preserve"> (imide C=O), and 1595 cm</w:t>
      </w:r>
      <w:r w:rsidRPr="0092511B">
        <w:rPr>
          <w:rFonts w:ascii="Arial" w:hAnsi="Arial" w:cs="Arial"/>
          <w:sz w:val="20"/>
          <w:szCs w:val="20"/>
          <w:vertAlign w:val="superscript"/>
        </w:rPr>
        <w:t>-1</w:t>
      </w:r>
      <w:r w:rsidRPr="0092511B">
        <w:rPr>
          <w:rFonts w:ascii="Arial" w:hAnsi="Arial" w:cs="Arial"/>
          <w:sz w:val="20"/>
          <w:szCs w:val="20"/>
        </w:rPr>
        <w:t xml:space="preserve"> (C=N). The </w:t>
      </w:r>
      <w:r w:rsidRPr="0092511B">
        <w:rPr>
          <w:rFonts w:ascii="Arial" w:hAnsi="Arial" w:cs="Arial"/>
          <w:sz w:val="20"/>
          <w:szCs w:val="20"/>
          <w:vertAlign w:val="superscript"/>
        </w:rPr>
        <w:t>1</w:t>
      </w:r>
      <w:r w:rsidRPr="0092511B">
        <w:rPr>
          <w:rFonts w:ascii="Arial" w:hAnsi="Arial" w:cs="Arial"/>
          <w:sz w:val="20"/>
          <w:szCs w:val="20"/>
        </w:rPr>
        <w:t>H NMR (DMSO-d</w:t>
      </w:r>
      <w:r w:rsidRPr="0092511B">
        <w:rPr>
          <w:rFonts w:ascii="Arial" w:hAnsi="Arial" w:cs="Arial"/>
          <w:sz w:val="20"/>
          <w:szCs w:val="20"/>
          <w:vertAlign w:val="superscript"/>
        </w:rPr>
        <w:t>2</w:t>
      </w:r>
      <w:r w:rsidRPr="0092511B">
        <w:rPr>
          <w:rFonts w:ascii="Arial" w:hAnsi="Arial" w:cs="Arial"/>
          <w:sz w:val="20"/>
          <w:szCs w:val="20"/>
        </w:rPr>
        <w:t xml:space="preserve">) showed doublets at 7.62 and 7.42 ppm (para-phenyl), δ 8.12–7.25 (m, </w:t>
      </w:r>
      <w:proofErr w:type="spellStart"/>
      <w:r w:rsidRPr="0092511B">
        <w:rPr>
          <w:rFonts w:ascii="Arial" w:hAnsi="Arial" w:cs="Arial"/>
          <w:sz w:val="20"/>
          <w:szCs w:val="20"/>
        </w:rPr>
        <w:t>Ar</w:t>
      </w:r>
      <w:proofErr w:type="spellEnd"/>
      <w:r w:rsidRPr="0092511B">
        <w:rPr>
          <w:rFonts w:ascii="Arial" w:hAnsi="Arial" w:cs="Arial"/>
          <w:sz w:val="20"/>
          <w:szCs w:val="20"/>
        </w:rPr>
        <w:t xml:space="preserve">–H), and 7.88 (s, imidazole–H). Signals at δ 167–164 (C=O), 154–150 (C=N), and 141–110 ppm (aromatic and heterocyclic carbons) were detected by the </w:t>
      </w:r>
      <w:r w:rsidRPr="0092511B">
        <w:rPr>
          <w:rFonts w:ascii="Arial" w:hAnsi="Arial" w:cs="Arial"/>
          <w:sz w:val="20"/>
          <w:szCs w:val="20"/>
          <w:vertAlign w:val="superscript"/>
        </w:rPr>
        <w:t>13</w:t>
      </w:r>
      <w:r w:rsidRPr="0092511B">
        <w:rPr>
          <w:rFonts w:ascii="Arial" w:hAnsi="Arial" w:cs="Arial"/>
          <w:sz w:val="20"/>
          <w:szCs w:val="20"/>
        </w:rPr>
        <w:t>C NMR. For 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14</w:t>
      </w:r>
      <w:r w:rsidRPr="0092511B">
        <w:rPr>
          <w:rFonts w:ascii="Arial" w:hAnsi="Arial" w:cs="Arial"/>
          <w:sz w:val="20"/>
          <w:szCs w:val="20"/>
        </w:rPr>
        <w:t>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 elemental analysis agreed with computed values (C, 70.58; H, 3.45; N, 13.72; S, 7.85). The suggested structure was confirmed by the mass spectrum, which showed m/z 409 [M+H]</w:t>
      </w:r>
      <w:r w:rsidRPr="0092511B">
        <w:rPr>
          <w:rFonts w:ascii="Cambria Math" w:hAnsi="Cambria Math" w:cs="Cambria Math"/>
          <w:sz w:val="20"/>
          <w:szCs w:val="20"/>
        </w:rPr>
        <w:t>⁺</w:t>
      </w:r>
      <w:r w:rsidRPr="0092511B">
        <w:rPr>
          <w:rFonts w:ascii="Arial" w:hAnsi="Arial" w:cs="Arial"/>
          <w:sz w:val="20"/>
          <w:szCs w:val="20"/>
        </w:rPr>
        <w:t xml:space="preserve"> along with distinctive fragment peaks.</w:t>
      </w:r>
    </w:p>
    <w:p w14:paraId="52409C1A" w14:textId="6AF5F9D9" w:rsidR="00D6682A" w:rsidRPr="0092511B" w:rsidRDefault="00D6682A" w:rsidP="00E83223">
      <w:pPr>
        <w:spacing w:line="360" w:lineRule="auto"/>
        <w:jc w:val="both"/>
        <w:rPr>
          <w:rFonts w:ascii="Arial" w:hAnsi="Arial" w:cs="Arial"/>
          <w:b/>
          <w:bCs/>
        </w:rPr>
      </w:pPr>
      <w:r w:rsidRPr="0092511B">
        <w:rPr>
          <w:rFonts w:ascii="Arial" w:hAnsi="Arial" w:cs="Arial"/>
          <w:b/>
          <w:bCs/>
        </w:rPr>
        <w:t>2-(4-fluorophenyl)-6-[4-(1,3-dioxoisoindolin-2-yl)phenyl]imidazo[2,1-b][1,3,4]thiadiazole</w:t>
      </w:r>
      <w:r w:rsidR="00350B68" w:rsidRPr="0092511B">
        <w:rPr>
          <w:rFonts w:ascii="Arial" w:hAnsi="Arial" w:cs="Arial"/>
          <w:b/>
          <w:bCs/>
        </w:rPr>
        <w:t xml:space="preserve"> (3b)</w:t>
      </w:r>
    </w:p>
    <w:p w14:paraId="2DD3E5FD" w14:textId="349BC5C2" w:rsidR="00D6682A" w:rsidRPr="0092511B" w:rsidRDefault="003968F1" w:rsidP="00E83223">
      <w:pPr>
        <w:spacing w:line="360" w:lineRule="auto"/>
        <w:jc w:val="both"/>
        <w:rPr>
          <w:rFonts w:ascii="Arial" w:hAnsi="Arial" w:cs="Arial"/>
          <w:sz w:val="20"/>
          <w:szCs w:val="20"/>
        </w:rPr>
      </w:pPr>
      <w:r w:rsidRPr="0092511B">
        <w:rPr>
          <w:rFonts w:ascii="Arial" w:hAnsi="Arial" w:cs="Arial"/>
          <w:sz w:val="20"/>
          <w:szCs w:val="20"/>
        </w:rPr>
        <w:t xml:space="preserve">69.00 % yield, pale yellow colour solid compound with M.P &gt; 278 </w:t>
      </w:r>
      <w:proofErr w:type="spellStart"/>
      <w:r w:rsidRPr="0092511B">
        <w:rPr>
          <w:rFonts w:ascii="Arial" w:hAnsi="Arial" w:cs="Arial"/>
          <w:sz w:val="20"/>
          <w:szCs w:val="20"/>
          <w:vertAlign w:val="superscript"/>
        </w:rPr>
        <w:t>o</w:t>
      </w:r>
      <w:r w:rsidRPr="0092511B">
        <w:rPr>
          <w:rFonts w:ascii="Arial" w:hAnsi="Arial" w:cs="Arial"/>
          <w:sz w:val="20"/>
          <w:szCs w:val="20"/>
        </w:rPr>
        <w:t>C</w:t>
      </w:r>
      <w:proofErr w:type="spellEnd"/>
      <w:r w:rsidRPr="0092511B">
        <w:rPr>
          <w:rFonts w:ascii="Arial" w:hAnsi="Arial" w:cs="Arial"/>
          <w:sz w:val="20"/>
          <w:szCs w:val="20"/>
        </w:rPr>
        <w:t xml:space="preserve"> ,</w:t>
      </w:r>
      <w:r w:rsidRPr="0092511B">
        <w:rPr>
          <w:rFonts w:ascii="Arial" w:eastAsia="Times New Roman" w:hAnsi="Arial" w:cs="Arial"/>
          <w:kern w:val="0"/>
          <w:sz w:val="20"/>
          <w:szCs w:val="20"/>
          <w:lang w:eastAsia="en-IN" w:bidi="gu-IN"/>
          <w14:ligatures w14:val="none"/>
        </w:rPr>
        <w:t xml:space="preserve"> </w:t>
      </w:r>
      <w:r w:rsidRPr="0092511B">
        <w:rPr>
          <w:rFonts w:ascii="Arial" w:hAnsi="Arial" w:cs="Arial"/>
          <w:sz w:val="20"/>
          <w:szCs w:val="20"/>
        </w:rPr>
        <w:t xml:space="preserve">the </w:t>
      </w:r>
      <w:proofErr w:type="spellStart"/>
      <w:r w:rsidRPr="0092511B">
        <w:rPr>
          <w:rFonts w:ascii="Arial" w:hAnsi="Arial" w:cs="Arial"/>
          <w:sz w:val="20"/>
          <w:szCs w:val="20"/>
        </w:rPr>
        <w:t>imidazo</w:t>
      </w:r>
      <w:proofErr w:type="spellEnd"/>
      <w:r w:rsidRPr="0092511B">
        <w:rPr>
          <w:rFonts w:ascii="Arial" w:hAnsi="Arial" w:cs="Arial"/>
          <w:sz w:val="20"/>
          <w:szCs w:val="20"/>
        </w:rPr>
        <w:t xml:space="preserve"> proton was represented by a singlet at δ 8.44 ppm in the </w:t>
      </w:r>
      <w:r w:rsidR="00B52B82" w:rsidRPr="0092511B">
        <w:rPr>
          <w:rFonts w:ascii="Arial" w:hAnsi="Arial" w:cs="Arial"/>
          <w:sz w:val="20"/>
          <w:szCs w:val="20"/>
          <w:vertAlign w:val="superscript"/>
        </w:rPr>
        <w:t>1</w:t>
      </w:r>
      <w:r w:rsidRPr="0092511B">
        <w:rPr>
          <w:rFonts w:ascii="Arial" w:hAnsi="Arial" w:cs="Arial"/>
          <w:sz w:val="20"/>
          <w:szCs w:val="20"/>
        </w:rPr>
        <w:t xml:space="preserve">H NMR spectrum of 2-(4-fluorophenyl)-6-[4-(1,3-dioxoisoindolin-2-yl)phenyl]imidazo[2,1-b][1,3,4]thiadiazole in DMSO-d6, whereas the fluorophenyl, phenylene, and phthalimide rings appeared as doublets and </w:t>
      </w:r>
      <w:proofErr w:type="spellStart"/>
      <w:r w:rsidRPr="0092511B">
        <w:rPr>
          <w:rFonts w:ascii="Arial" w:hAnsi="Arial" w:cs="Arial"/>
          <w:sz w:val="20"/>
          <w:szCs w:val="20"/>
        </w:rPr>
        <w:t>multiplets</w:t>
      </w:r>
      <w:proofErr w:type="spellEnd"/>
      <w:r w:rsidRPr="0092511B">
        <w:rPr>
          <w:rFonts w:ascii="Arial" w:hAnsi="Arial" w:cs="Arial"/>
          <w:sz w:val="20"/>
          <w:szCs w:val="20"/>
        </w:rPr>
        <w:t xml:space="preserve"> in the δ 7.31–7.93 ppm. The </w:t>
      </w:r>
      <w:r w:rsidR="00B52B82" w:rsidRPr="0092511B">
        <w:rPr>
          <w:rFonts w:ascii="Arial" w:hAnsi="Arial" w:cs="Arial"/>
          <w:sz w:val="20"/>
          <w:szCs w:val="20"/>
          <w:vertAlign w:val="superscript"/>
        </w:rPr>
        <w:t>13</w:t>
      </w:r>
      <w:r w:rsidRPr="0092511B">
        <w:rPr>
          <w:rFonts w:ascii="Arial" w:hAnsi="Arial" w:cs="Arial"/>
          <w:sz w:val="20"/>
          <w:szCs w:val="20"/>
        </w:rPr>
        <w:t>C NMR spectra showed distinctive signals at δ 167.1 ppm for imide carbonyl carbons, δ 162.9 ppm for aromatic carbons substituted with C–F, and δ 116.0–143.3 ppm for aromatic and heterocyclic carbons. The molecular weight of the synthesized molecule was confirmed by the mass spectrum, which revealed a molecular ion peak at m/z 441 [M</w:t>
      </w:r>
      <w:r w:rsidR="005278C7" w:rsidRPr="0092511B">
        <w:rPr>
          <w:rFonts w:ascii="Arial" w:hAnsi="Arial" w:cs="Arial"/>
          <w:sz w:val="20"/>
          <w:szCs w:val="20"/>
        </w:rPr>
        <w:t>+H</w:t>
      </w:r>
      <w:r w:rsidRPr="0092511B">
        <w:rPr>
          <w:rFonts w:ascii="Arial" w:hAnsi="Arial" w:cs="Arial"/>
          <w:sz w:val="20"/>
          <w:szCs w:val="20"/>
        </w:rPr>
        <w:t>]</w:t>
      </w:r>
      <w:r w:rsidRPr="0092511B">
        <w:rPr>
          <w:rFonts w:ascii="Cambria Math" w:hAnsi="Cambria Math" w:cs="Cambria Math"/>
          <w:sz w:val="20"/>
          <w:szCs w:val="20"/>
        </w:rPr>
        <w:t>⁺</w:t>
      </w:r>
      <w:r w:rsidRPr="0092511B">
        <w:rPr>
          <w:rFonts w:ascii="Arial" w:hAnsi="Arial" w:cs="Arial"/>
          <w:sz w:val="20"/>
          <w:szCs w:val="20"/>
        </w:rPr>
        <w:t xml:space="preserve"> matching to the molecular formula</w:t>
      </w:r>
      <w:r w:rsidR="00B52B82" w:rsidRPr="0092511B">
        <w:rPr>
          <w:rFonts w:ascii="Arial" w:hAnsi="Arial" w:cs="Arial"/>
          <w:sz w:val="20"/>
          <w:szCs w:val="20"/>
        </w:rPr>
        <w:t xml:space="preserve"> C</w:t>
      </w:r>
      <w:r w:rsidR="00B52B82" w:rsidRPr="0092511B">
        <w:rPr>
          <w:rFonts w:ascii="Arial" w:hAnsi="Arial" w:cs="Arial"/>
          <w:sz w:val="20"/>
          <w:szCs w:val="20"/>
          <w:vertAlign w:val="subscript"/>
        </w:rPr>
        <w:t>24</w:t>
      </w:r>
      <w:r w:rsidR="00B52B82" w:rsidRPr="0092511B">
        <w:rPr>
          <w:rFonts w:ascii="Arial" w:hAnsi="Arial" w:cs="Arial"/>
          <w:sz w:val="20"/>
          <w:szCs w:val="20"/>
        </w:rPr>
        <w:t>H</w:t>
      </w:r>
      <w:r w:rsidR="00B52B82" w:rsidRPr="0092511B">
        <w:rPr>
          <w:rFonts w:ascii="Arial" w:hAnsi="Arial" w:cs="Arial"/>
          <w:sz w:val="20"/>
          <w:szCs w:val="20"/>
          <w:vertAlign w:val="subscript"/>
        </w:rPr>
        <w:t>13</w:t>
      </w:r>
      <w:r w:rsidR="00B52B82" w:rsidRPr="0092511B">
        <w:rPr>
          <w:rFonts w:ascii="Arial" w:hAnsi="Arial" w:cs="Arial"/>
          <w:sz w:val="20"/>
          <w:szCs w:val="20"/>
        </w:rPr>
        <w:t>FN4O</w:t>
      </w:r>
      <w:r w:rsidR="00B52B82" w:rsidRPr="0092511B">
        <w:rPr>
          <w:rFonts w:ascii="Arial" w:hAnsi="Arial" w:cs="Arial"/>
          <w:sz w:val="20"/>
          <w:szCs w:val="20"/>
          <w:vertAlign w:val="subscript"/>
        </w:rPr>
        <w:t>2</w:t>
      </w:r>
      <w:r w:rsidR="00B52B82" w:rsidRPr="0092511B">
        <w:rPr>
          <w:rFonts w:ascii="Arial" w:hAnsi="Arial" w:cs="Arial"/>
          <w:sz w:val="20"/>
          <w:szCs w:val="20"/>
        </w:rPr>
        <w:t>S</w:t>
      </w:r>
      <w:r w:rsidRPr="0092511B">
        <w:rPr>
          <w:rFonts w:ascii="Arial" w:hAnsi="Arial" w:cs="Arial"/>
          <w:sz w:val="20"/>
          <w:szCs w:val="20"/>
        </w:rPr>
        <w:t>. The suggested structure and purity of the compound were supported by elemental analysis values (C,</w:t>
      </w:r>
      <w:r w:rsidR="00B52B82" w:rsidRPr="0092511B">
        <w:rPr>
          <w:rFonts w:ascii="Arial" w:hAnsi="Arial" w:cs="Arial"/>
          <w:sz w:val="20"/>
          <w:szCs w:val="20"/>
        </w:rPr>
        <w:t xml:space="preserve"> 65.45;</w:t>
      </w:r>
      <w:r w:rsidRPr="0092511B">
        <w:rPr>
          <w:rFonts w:ascii="Arial" w:hAnsi="Arial" w:cs="Arial"/>
          <w:sz w:val="20"/>
          <w:szCs w:val="20"/>
        </w:rPr>
        <w:t xml:space="preserve"> H,</w:t>
      </w:r>
      <w:r w:rsidR="00B52B82" w:rsidRPr="0092511B">
        <w:rPr>
          <w:rFonts w:ascii="Arial" w:hAnsi="Arial" w:cs="Arial"/>
          <w:sz w:val="20"/>
          <w:szCs w:val="20"/>
        </w:rPr>
        <w:t xml:space="preserve"> 2.98;</w:t>
      </w:r>
      <w:r w:rsidRPr="0092511B">
        <w:rPr>
          <w:rFonts w:ascii="Arial" w:hAnsi="Arial" w:cs="Arial"/>
          <w:sz w:val="20"/>
          <w:szCs w:val="20"/>
        </w:rPr>
        <w:t xml:space="preserve"> N,</w:t>
      </w:r>
      <w:r w:rsidR="00B52B82" w:rsidRPr="0092511B">
        <w:rPr>
          <w:rFonts w:ascii="Arial" w:hAnsi="Arial" w:cs="Arial"/>
          <w:sz w:val="20"/>
          <w:szCs w:val="20"/>
        </w:rPr>
        <w:t xml:space="preserve"> 12.72; </w:t>
      </w:r>
      <w:r w:rsidRPr="0092511B">
        <w:rPr>
          <w:rFonts w:ascii="Arial" w:hAnsi="Arial" w:cs="Arial"/>
          <w:sz w:val="20"/>
          <w:szCs w:val="20"/>
        </w:rPr>
        <w:t xml:space="preserve"> and S</w:t>
      </w:r>
      <w:r w:rsidR="00B52B82" w:rsidRPr="0092511B">
        <w:rPr>
          <w:rFonts w:ascii="Arial" w:hAnsi="Arial" w:cs="Arial"/>
          <w:sz w:val="20"/>
          <w:szCs w:val="20"/>
        </w:rPr>
        <w:t>, 7.28</w:t>
      </w:r>
      <w:r w:rsidRPr="0092511B">
        <w:rPr>
          <w:rFonts w:ascii="Arial" w:hAnsi="Arial" w:cs="Arial"/>
          <w:sz w:val="20"/>
          <w:szCs w:val="20"/>
        </w:rPr>
        <w:t>) that closely matched the computed values.</w:t>
      </w:r>
    </w:p>
    <w:p w14:paraId="49DCF3DD" w14:textId="6836B832" w:rsidR="00D6682A" w:rsidRPr="0092511B" w:rsidRDefault="00D6682A" w:rsidP="00E83223">
      <w:pPr>
        <w:spacing w:line="360" w:lineRule="auto"/>
        <w:jc w:val="both"/>
        <w:rPr>
          <w:rFonts w:ascii="Arial" w:hAnsi="Arial" w:cs="Arial"/>
          <w:b/>
          <w:bCs/>
        </w:rPr>
      </w:pPr>
      <w:r w:rsidRPr="0092511B">
        <w:rPr>
          <w:rFonts w:ascii="Arial" w:hAnsi="Arial" w:cs="Arial"/>
          <w:b/>
          <w:bCs/>
        </w:rPr>
        <w:t>2-(4-(2-(4-bromophenyl)imidazo[2,1-b][1,3,4]thiadiazol-6-yl)phenyl)isoindoline-1,3-</w:t>
      </w:r>
      <w:r w:rsidRPr="0092511B">
        <w:rPr>
          <w:rFonts w:ascii="Arial" w:hAnsi="Arial" w:cs="Arial"/>
          <w:b/>
          <w:bCs/>
        </w:rPr>
        <w:lastRenderedPageBreak/>
        <w:t>dione</w:t>
      </w:r>
      <w:r w:rsidR="00350B68" w:rsidRPr="0092511B">
        <w:rPr>
          <w:rFonts w:ascii="Arial" w:hAnsi="Arial" w:cs="Arial"/>
          <w:b/>
          <w:bCs/>
        </w:rPr>
        <w:t xml:space="preserve"> (3c)</w:t>
      </w:r>
    </w:p>
    <w:p w14:paraId="20744BEE" w14:textId="16453361" w:rsidR="00333C1E" w:rsidRPr="0092511B" w:rsidRDefault="00FC5124" w:rsidP="00E83223">
      <w:pPr>
        <w:spacing w:line="360" w:lineRule="auto"/>
        <w:jc w:val="both"/>
        <w:rPr>
          <w:rFonts w:ascii="Arial" w:hAnsi="Arial" w:cs="Arial"/>
          <w:sz w:val="20"/>
          <w:szCs w:val="20"/>
        </w:rPr>
      </w:pPr>
      <w:r w:rsidRPr="0092511B">
        <w:rPr>
          <w:rFonts w:ascii="Arial" w:hAnsi="Arial" w:cs="Arial"/>
          <w:sz w:val="20"/>
          <w:szCs w:val="20"/>
        </w:rPr>
        <w:t>71.00 % yields, pale yellow solid compound with M.P &gt;</w:t>
      </w:r>
      <w:r w:rsidR="001C54D0" w:rsidRPr="0092511B">
        <w:rPr>
          <w:rFonts w:ascii="Arial" w:hAnsi="Arial" w:cs="Arial"/>
          <w:sz w:val="20"/>
          <w:szCs w:val="20"/>
        </w:rPr>
        <w:t xml:space="preserve"> 286 </w:t>
      </w:r>
      <w:proofErr w:type="spellStart"/>
      <w:r w:rsidR="001C54D0" w:rsidRPr="0092511B">
        <w:rPr>
          <w:rFonts w:ascii="Arial" w:hAnsi="Arial" w:cs="Arial"/>
          <w:sz w:val="20"/>
          <w:szCs w:val="20"/>
          <w:vertAlign w:val="superscript"/>
        </w:rPr>
        <w:t>o</w:t>
      </w:r>
      <w:r w:rsidR="001C54D0" w:rsidRPr="0092511B">
        <w:rPr>
          <w:rFonts w:ascii="Arial" w:hAnsi="Arial" w:cs="Arial"/>
          <w:sz w:val="20"/>
          <w:szCs w:val="20"/>
        </w:rPr>
        <w:t>C</w:t>
      </w:r>
      <w:r w:rsidRPr="0092511B">
        <w:rPr>
          <w:rFonts w:ascii="Arial" w:hAnsi="Arial" w:cs="Arial"/>
          <w:sz w:val="20"/>
          <w:szCs w:val="20"/>
        </w:rPr>
        <w:t>.</w:t>
      </w:r>
      <w:proofErr w:type="spellEnd"/>
      <w:r w:rsidRPr="0092511B">
        <w:rPr>
          <w:rFonts w:ascii="Arial" w:hAnsi="Arial" w:cs="Arial"/>
          <w:sz w:val="20"/>
          <w:szCs w:val="20"/>
        </w:rPr>
        <w:t xml:space="preserve"> </w:t>
      </w:r>
      <w:r w:rsidRPr="0092511B">
        <w:rPr>
          <w:rFonts w:ascii="Arial" w:hAnsi="Arial" w:cs="Arial"/>
          <w:sz w:val="20"/>
          <w:szCs w:val="20"/>
          <w:vertAlign w:val="superscript"/>
        </w:rPr>
        <w:t>1</w:t>
      </w:r>
      <w:r w:rsidRPr="0092511B">
        <w:rPr>
          <w:rFonts w:ascii="Arial" w:hAnsi="Arial" w:cs="Arial"/>
          <w:sz w:val="20"/>
          <w:szCs w:val="20"/>
        </w:rPr>
        <w:t>H NMR (DMSO d6)</w:t>
      </w:r>
      <w:r w:rsidR="00333C1E" w:rsidRPr="0092511B">
        <w:rPr>
          <w:rFonts w:ascii="Arial" w:hAnsi="Arial" w:cs="Arial"/>
          <w:sz w:val="20"/>
          <w:szCs w:val="20"/>
        </w:rPr>
        <w:t xml:space="preserve"> </w:t>
      </w:r>
      <w:r w:rsidRPr="0092511B">
        <w:rPr>
          <w:rFonts w:ascii="Arial" w:hAnsi="Arial" w:cs="Arial"/>
          <w:sz w:val="20"/>
          <w:szCs w:val="20"/>
        </w:rPr>
        <w:t xml:space="preserve">Signals were detected at δ 8.44 (s, 1H, imidazole-H), 7.92–7.93 (m, 4H, phthalimide aromatic protons), 7.86–7.87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7.67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and 7.32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The formation of the intended heterocyclic scaffold was confirmed by the </w:t>
      </w:r>
      <w:r w:rsidRPr="0092511B">
        <w:rPr>
          <w:rFonts w:ascii="Arial" w:hAnsi="Arial" w:cs="Arial"/>
          <w:sz w:val="20"/>
          <w:szCs w:val="20"/>
          <w:vertAlign w:val="superscript"/>
        </w:rPr>
        <w:t>13</w:t>
      </w:r>
      <w:r w:rsidRPr="0092511B">
        <w:rPr>
          <w:rFonts w:ascii="Arial" w:hAnsi="Arial" w:cs="Arial"/>
          <w:sz w:val="20"/>
          <w:szCs w:val="20"/>
        </w:rPr>
        <w:t>C NMR spectrum (75 MHz, DMSO-d6), which showed distinctive signals at δ 167.2 (C=O), 162.8, 149.5, 138.7, 135.9, 134.2, 132.8, 131.4, 129.7, 128.5, 127.9, 126.8, 124.6, 123.2, and aromatic carbons. The molecular weight of synthesized molecule was confirmed by the mass spectrum, which revealed a molecular ion peak at m/z 4</w:t>
      </w:r>
      <w:r w:rsidR="00333C1E" w:rsidRPr="0092511B">
        <w:rPr>
          <w:rFonts w:ascii="Arial" w:hAnsi="Arial" w:cs="Arial"/>
          <w:sz w:val="20"/>
          <w:szCs w:val="20"/>
        </w:rPr>
        <w:t>98</w:t>
      </w:r>
      <w:r w:rsidRPr="0092511B">
        <w:rPr>
          <w:rFonts w:ascii="Arial" w:hAnsi="Arial" w:cs="Arial"/>
          <w:sz w:val="20"/>
          <w:szCs w:val="20"/>
        </w:rPr>
        <w:t xml:space="preserve"> [M</w:t>
      </w:r>
      <w:r w:rsidR="005278C7" w:rsidRPr="0092511B">
        <w:rPr>
          <w:rFonts w:ascii="Arial" w:hAnsi="Arial" w:cs="Arial"/>
          <w:sz w:val="20"/>
          <w:szCs w:val="20"/>
        </w:rPr>
        <w:t>+H</w:t>
      </w:r>
      <w:r w:rsidRPr="0092511B">
        <w:rPr>
          <w:rFonts w:ascii="Arial" w:hAnsi="Arial" w:cs="Arial"/>
          <w:sz w:val="20"/>
          <w:szCs w:val="20"/>
        </w:rPr>
        <w:t>]</w:t>
      </w:r>
      <w:r w:rsidRPr="0092511B">
        <w:rPr>
          <w:rFonts w:ascii="Cambria Math" w:hAnsi="Cambria Math" w:cs="Cambria Math"/>
          <w:sz w:val="20"/>
          <w:szCs w:val="20"/>
        </w:rPr>
        <w:t>⁺</w:t>
      </w:r>
      <w:r w:rsidRPr="0092511B">
        <w:rPr>
          <w:rFonts w:ascii="Arial" w:hAnsi="Arial" w:cs="Arial"/>
          <w:sz w:val="20"/>
          <w:szCs w:val="20"/>
        </w:rPr>
        <w:t xml:space="preserve"> matching to the molecular formula 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13</w:t>
      </w:r>
      <w:r w:rsidR="001C54D0" w:rsidRPr="0092511B">
        <w:rPr>
          <w:rFonts w:ascii="Arial" w:hAnsi="Arial" w:cs="Arial"/>
          <w:sz w:val="20"/>
          <w:szCs w:val="20"/>
        </w:rPr>
        <w:t>Br</w:t>
      </w:r>
      <w:r w:rsidRPr="0092511B">
        <w:rPr>
          <w:rFonts w:ascii="Arial" w:hAnsi="Arial" w:cs="Arial"/>
          <w:sz w:val="20"/>
          <w:szCs w:val="20"/>
        </w:rPr>
        <w:t>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 The suggested structure and purity of the compound were supported by elemental analysis values (C, 57.50; H, 2.61; N, 11.18; Br, 15.94 and S, 6.39) that closely matched the computed values.</w:t>
      </w:r>
    </w:p>
    <w:p w14:paraId="71951119" w14:textId="42DEB880" w:rsidR="00D6682A" w:rsidRPr="0092511B" w:rsidRDefault="00D6682A" w:rsidP="00E83223">
      <w:pPr>
        <w:spacing w:line="360" w:lineRule="auto"/>
        <w:jc w:val="both"/>
        <w:rPr>
          <w:rFonts w:ascii="Arial" w:hAnsi="Arial" w:cs="Arial"/>
          <w:b/>
          <w:bCs/>
        </w:rPr>
      </w:pPr>
      <w:r w:rsidRPr="0092511B">
        <w:rPr>
          <w:rFonts w:ascii="Arial" w:hAnsi="Arial" w:cs="Arial"/>
          <w:b/>
          <w:bCs/>
        </w:rPr>
        <w:t>2-(4-(2-(4-chlorophenyl)imidazo[2,1-b][1,3,4]thiadiazol-6-yl)phenyl)isoindoline-1,3-dione</w:t>
      </w:r>
      <w:r w:rsidR="00350B68" w:rsidRPr="0092511B">
        <w:rPr>
          <w:rFonts w:ascii="Arial" w:hAnsi="Arial" w:cs="Arial"/>
          <w:b/>
          <w:bCs/>
        </w:rPr>
        <w:t xml:space="preserve"> (3d)</w:t>
      </w:r>
    </w:p>
    <w:p w14:paraId="38E01ADF" w14:textId="4E09539C" w:rsidR="00D6682A" w:rsidRPr="0092511B" w:rsidRDefault="00333C1E" w:rsidP="00E83223">
      <w:pPr>
        <w:spacing w:line="360" w:lineRule="auto"/>
        <w:jc w:val="both"/>
        <w:rPr>
          <w:rFonts w:ascii="Arial" w:hAnsi="Arial" w:cs="Arial"/>
          <w:sz w:val="20"/>
          <w:szCs w:val="20"/>
        </w:rPr>
      </w:pPr>
      <w:r w:rsidRPr="0092511B">
        <w:rPr>
          <w:rFonts w:ascii="Arial" w:hAnsi="Arial" w:cs="Arial"/>
          <w:sz w:val="20"/>
          <w:szCs w:val="20"/>
        </w:rPr>
        <w:t>69.00 % yields; light yellow compound with</w:t>
      </w:r>
      <w:r w:rsidR="003A7B95" w:rsidRPr="0092511B">
        <w:rPr>
          <w:rFonts w:ascii="Arial" w:hAnsi="Arial" w:cs="Arial"/>
          <w:sz w:val="20"/>
          <w:szCs w:val="20"/>
        </w:rPr>
        <w:t xml:space="preserve"> </w:t>
      </w:r>
      <w:r w:rsidRPr="0092511B">
        <w:rPr>
          <w:rFonts w:ascii="Arial" w:hAnsi="Arial" w:cs="Arial"/>
          <w:sz w:val="20"/>
          <w:szCs w:val="20"/>
        </w:rPr>
        <w:t>M. P &gt;</w:t>
      </w:r>
      <w:r w:rsidR="003A7B95" w:rsidRPr="0092511B">
        <w:rPr>
          <w:rFonts w:ascii="Arial" w:hAnsi="Arial" w:cs="Arial"/>
          <w:sz w:val="20"/>
          <w:szCs w:val="20"/>
        </w:rPr>
        <w:t xml:space="preserve"> 265 </w:t>
      </w:r>
      <w:proofErr w:type="spellStart"/>
      <w:r w:rsidR="003A7B95" w:rsidRPr="0092511B">
        <w:rPr>
          <w:rFonts w:ascii="Arial" w:hAnsi="Arial" w:cs="Arial"/>
          <w:sz w:val="20"/>
          <w:szCs w:val="20"/>
          <w:vertAlign w:val="superscript"/>
        </w:rPr>
        <w:t>o</w:t>
      </w:r>
      <w:r w:rsidR="003A7B95" w:rsidRPr="0092511B">
        <w:rPr>
          <w:rFonts w:ascii="Arial" w:hAnsi="Arial" w:cs="Arial"/>
          <w:sz w:val="20"/>
          <w:szCs w:val="20"/>
        </w:rPr>
        <w:t>C.</w:t>
      </w:r>
      <w:proofErr w:type="spellEnd"/>
      <w:r w:rsidRPr="0092511B">
        <w:rPr>
          <w:rFonts w:ascii="Arial" w:hAnsi="Arial" w:cs="Arial"/>
          <w:sz w:val="20"/>
          <w:szCs w:val="20"/>
        </w:rPr>
        <w:t xml:space="preserve"> NMR and mass spectral analysis were used to describe the synthesized molecule, 2-(4-(2-(4-chlorophenyl)imidazo[2,1-b][1,3,4]thiadiazol-6-yl)phenyl)isoindoline-1,3-dione, with molecular formula</w:t>
      </w:r>
      <w:r w:rsidR="003A7B95" w:rsidRPr="0092511B">
        <w:rPr>
          <w:rFonts w:ascii="Arial" w:hAnsi="Arial" w:cs="Arial"/>
          <w:sz w:val="20"/>
          <w:szCs w:val="20"/>
        </w:rPr>
        <w:t xml:space="preserve"> C</w:t>
      </w:r>
      <w:r w:rsidR="003A7B95" w:rsidRPr="0092511B">
        <w:rPr>
          <w:rFonts w:ascii="Arial" w:hAnsi="Arial" w:cs="Arial"/>
          <w:sz w:val="20"/>
          <w:szCs w:val="20"/>
          <w:vertAlign w:val="subscript"/>
        </w:rPr>
        <w:t>24</w:t>
      </w:r>
      <w:r w:rsidR="003A7B95" w:rsidRPr="0092511B">
        <w:rPr>
          <w:rFonts w:ascii="Arial" w:hAnsi="Arial" w:cs="Arial"/>
          <w:sz w:val="20"/>
          <w:szCs w:val="20"/>
        </w:rPr>
        <w:t>H</w:t>
      </w:r>
      <w:r w:rsidR="003A7B95" w:rsidRPr="0092511B">
        <w:rPr>
          <w:rFonts w:ascii="Arial" w:hAnsi="Arial" w:cs="Arial"/>
          <w:sz w:val="20"/>
          <w:szCs w:val="20"/>
          <w:vertAlign w:val="subscript"/>
        </w:rPr>
        <w:t>13</w:t>
      </w:r>
      <w:r w:rsidR="003A7B95" w:rsidRPr="0092511B">
        <w:rPr>
          <w:rFonts w:ascii="Arial" w:hAnsi="Arial" w:cs="Arial"/>
          <w:sz w:val="20"/>
          <w:szCs w:val="20"/>
        </w:rPr>
        <w:t>ClN</w:t>
      </w:r>
      <w:r w:rsidR="003A7B95" w:rsidRPr="0092511B">
        <w:rPr>
          <w:rFonts w:ascii="Arial" w:hAnsi="Arial" w:cs="Arial"/>
          <w:sz w:val="20"/>
          <w:szCs w:val="20"/>
          <w:vertAlign w:val="subscript"/>
        </w:rPr>
        <w:t>4</w:t>
      </w:r>
      <w:r w:rsidR="003A7B95" w:rsidRPr="0092511B">
        <w:rPr>
          <w:rFonts w:ascii="Arial" w:hAnsi="Arial" w:cs="Arial"/>
          <w:sz w:val="20"/>
          <w:szCs w:val="20"/>
        </w:rPr>
        <w:t>O</w:t>
      </w:r>
      <w:r w:rsidR="003A7B95" w:rsidRPr="0092511B">
        <w:rPr>
          <w:rFonts w:ascii="Arial" w:hAnsi="Arial" w:cs="Arial"/>
          <w:sz w:val="20"/>
          <w:szCs w:val="20"/>
          <w:vertAlign w:val="subscript"/>
        </w:rPr>
        <w:t>2</w:t>
      </w:r>
      <w:r w:rsidR="003A7B95" w:rsidRPr="0092511B">
        <w:rPr>
          <w:rFonts w:ascii="Arial" w:hAnsi="Arial" w:cs="Arial"/>
          <w:sz w:val="20"/>
          <w:szCs w:val="20"/>
        </w:rPr>
        <w:t>S</w:t>
      </w:r>
      <w:r w:rsidRPr="0092511B">
        <w:rPr>
          <w:rFonts w:ascii="Arial" w:hAnsi="Arial" w:cs="Arial"/>
          <w:sz w:val="20"/>
          <w:szCs w:val="20"/>
        </w:rPr>
        <w:t xml:space="preserve"> and</w:t>
      </w:r>
      <w:r w:rsidR="005278C7" w:rsidRPr="0092511B">
        <w:rPr>
          <w:rFonts w:ascii="Arial" w:hAnsi="Arial" w:cs="Arial"/>
          <w:sz w:val="20"/>
          <w:szCs w:val="20"/>
        </w:rPr>
        <w:t xml:space="preserve"> 1H NMR (DMSO-d6)</w:t>
      </w:r>
      <w:r w:rsidRPr="0092511B">
        <w:rPr>
          <w:rFonts w:ascii="Arial" w:hAnsi="Arial" w:cs="Arial"/>
          <w:sz w:val="20"/>
          <w:szCs w:val="20"/>
        </w:rPr>
        <w:t xml:space="preserve">. Signals were detected at δ 8.44 (s, 1H, imidazole-H), 8.02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7.92–7.93 (m, 4H, phthalimide aromatic protons), 7.87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7.53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and 7.32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w:t>
      </w:r>
      <w:r w:rsidR="005278C7" w:rsidRPr="0092511B">
        <w:rPr>
          <w:rFonts w:ascii="Arial" w:hAnsi="Arial" w:cs="Arial"/>
          <w:sz w:val="20"/>
          <w:szCs w:val="20"/>
        </w:rPr>
        <w:t xml:space="preserve">The </w:t>
      </w:r>
      <w:r w:rsidR="005278C7" w:rsidRPr="0092511B">
        <w:rPr>
          <w:rFonts w:ascii="Arial" w:hAnsi="Arial" w:cs="Arial"/>
          <w:sz w:val="20"/>
          <w:szCs w:val="20"/>
          <w:vertAlign w:val="superscript"/>
        </w:rPr>
        <w:t>13</w:t>
      </w:r>
      <w:r w:rsidR="005278C7" w:rsidRPr="0092511B">
        <w:rPr>
          <w:rFonts w:ascii="Arial" w:hAnsi="Arial" w:cs="Arial"/>
          <w:sz w:val="20"/>
          <w:szCs w:val="20"/>
        </w:rPr>
        <w:t>C NMR spectra (75 MHz, DMSO-d6) at</w:t>
      </w:r>
      <w:r w:rsidRPr="0092511B">
        <w:rPr>
          <w:rFonts w:ascii="Arial" w:hAnsi="Arial" w:cs="Arial"/>
          <w:sz w:val="20"/>
          <w:szCs w:val="20"/>
        </w:rPr>
        <w:t xml:space="preserve"> δ 167.1 (C=O), 143.3, 140.1, 136.2, 134.3, 132.7, 132.2, 132.0, 131.6, 129.4, 129.3, 128.9, 128.6, 127.7, 123.7, and 122.3 ppm, which correspond to carbonyl, heteroaromatic, and aromatic carbons. The molecular weight of the produced molecule was confirmed by the mass spectrum, which showed a molecular ion peak at m/z 456.04 [M</w:t>
      </w:r>
      <w:r w:rsidR="005278C7" w:rsidRPr="0092511B">
        <w:rPr>
          <w:rFonts w:ascii="Arial" w:hAnsi="Arial" w:cs="Arial"/>
          <w:sz w:val="20"/>
          <w:szCs w:val="20"/>
        </w:rPr>
        <w:t>+H</w:t>
      </w:r>
      <w:r w:rsidRPr="0092511B">
        <w:rPr>
          <w:rFonts w:ascii="Arial" w:hAnsi="Arial" w:cs="Arial"/>
          <w:sz w:val="20"/>
          <w:szCs w:val="20"/>
        </w:rPr>
        <w:t>]</w:t>
      </w:r>
      <w:r w:rsidR="005278C7" w:rsidRPr="0092511B">
        <w:rPr>
          <w:rFonts w:ascii="Arial" w:hAnsi="Arial" w:cs="Arial"/>
          <w:sz w:val="20"/>
          <w:szCs w:val="20"/>
        </w:rPr>
        <w:t>+</w:t>
      </w:r>
      <w:r w:rsidRPr="0092511B">
        <w:rPr>
          <w:rFonts w:ascii="Arial" w:hAnsi="Arial" w:cs="Arial"/>
          <w:sz w:val="20"/>
          <w:szCs w:val="20"/>
        </w:rPr>
        <w:t>.</w:t>
      </w:r>
      <w:r w:rsidR="005278C7" w:rsidRPr="0092511B">
        <w:rPr>
          <w:rFonts w:ascii="Arial" w:hAnsi="Arial" w:cs="Arial"/>
          <w:sz w:val="20"/>
          <w:szCs w:val="20"/>
        </w:rPr>
        <w:t xml:space="preserve"> The suggested structure and purity of the compound were supported by elemental analysis values (C, 57.50; H, 2.61; N, 11.18; Br, 15.94 and S, 6.39) that closely </w:t>
      </w:r>
      <w:r w:rsidR="005278C7" w:rsidRPr="0092511B">
        <w:rPr>
          <w:rFonts w:ascii="Arial" w:hAnsi="Arial" w:cs="Arial"/>
          <w:sz w:val="20"/>
          <w:szCs w:val="20"/>
        </w:rPr>
        <w:br/>
        <w:t>matched the computed values.</w:t>
      </w:r>
    </w:p>
    <w:p w14:paraId="5BBBC989" w14:textId="4B9C3735" w:rsidR="00D6682A" w:rsidRPr="0092511B" w:rsidRDefault="00D6682A" w:rsidP="00E83223">
      <w:pPr>
        <w:spacing w:line="360" w:lineRule="auto"/>
        <w:jc w:val="both"/>
        <w:rPr>
          <w:rFonts w:ascii="Arial" w:hAnsi="Arial" w:cs="Arial"/>
          <w:b/>
          <w:bCs/>
        </w:rPr>
      </w:pPr>
      <w:r w:rsidRPr="0092511B">
        <w:rPr>
          <w:rFonts w:ascii="Arial" w:hAnsi="Arial" w:cs="Arial"/>
          <w:b/>
          <w:bCs/>
        </w:rPr>
        <w:t>2-(4-(2-(4-nitrophenyl)imidazo[2,1-b][1,3,4]thiadiazol-6-yl)phenyl)isoindoline-1,3-dione</w:t>
      </w:r>
      <w:r w:rsidR="00350B68" w:rsidRPr="0092511B">
        <w:rPr>
          <w:rFonts w:ascii="Arial" w:hAnsi="Arial" w:cs="Arial"/>
          <w:b/>
          <w:bCs/>
        </w:rPr>
        <w:t xml:space="preserve"> (3e)</w:t>
      </w:r>
    </w:p>
    <w:p w14:paraId="1503A87B" w14:textId="617E7F8E" w:rsidR="001C54D0" w:rsidRPr="0092511B" w:rsidRDefault="003A7B95" w:rsidP="00EF78FA">
      <w:pPr>
        <w:spacing w:line="360" w:lineRule="auto"/>
        <w:jc w:val="both"/>
        <w:rPr>
          <w:rFonts w:ascii="Arial" w:hAnsi="Arial" w:cs="Arial"/>
          <w:sz w:val="20"/>
          <w:szCs w:val="20"/>
        </w:rPr>
      </w:pPr>
      <w:r w:rsidRPr="0092511B">
        <w:rPr>
          <w:rFonts w:ascii="Arial" w:hAnsi="Arial" w:cs="Arial"/>
          <w:sz w:val="20"/>
          <w:szCs w:val="20"/>
        </w:rPr>
        <w:t xml:space="preserve">68.00 % yields; pale yellow compounds with M. P &gt; 275 </w:t>
      </w:r>
      <w:proofErr w:type="spellStart"/>
      <w:r w:rsidRPr="0092511B">
        <w:rPr>
          <w:rFonts w:ascii="Arial" w:hAnsi="Arial" w:cs="Arial"/>
          <w:sz w:val="20"/>
          <w:szCs w:val="20"/>
          <w:vertAlign w:val="superscript"/>
        </w:rPr>
        <w:t>o</w:t>
      </w:r>
      <w:r w:rsidRPr="0092511B">
        <w:rPr>
          <w:rFonts w:ascii="Arial" w:hAnsi="Arial" w:cs="Arial"/>
          <w:sz w:val="20"/>
          <w:szCs w:val="20"/>
        </w:rPr>
        <w:t>C.</w:t>
      </w:r>
      <w:proofErr w:type="spellEnd"/>
      <w:r w:rsidRPr="0092511B">
        <w:rPr>
          <w:rFonts w:ascii="Arial" w:hAnsi="Arial" w:cs="Arial"/>
          <w:sz w:val="20"/>
          <w:szCs w:val="20"/>
        </w:rPr>
        <w:t xml:space="preserve"> Mass spectrometry, elemental analysis, </w:t>
      </w:r>
      <w:r w:rsidRPr="0092511B">
        <w:rPr>
          <w:rFonts w:ascii="Arial" w:hAnsi="Arial" w:cs="Arial"/>
          <w:sz w:val="20"/>
          <w:szCs w:val="20"/>
          <w:vertAlign w:val="superscript"/>
        </w:rPr>
        <w:t>1</w:t>
      </w:r>
      <w:r w:rsidRPr="0092511B">
        <w:rPr>
          <w:rFonts w:ascii="Arial" w:hAnsi="Arial" w:cs="Arial"/>
          <w:sz w:val="20"/>
          <w:szCs w:val="20"/>
        </w:rPr>
        <w:t xml:space="preserve">H NMR, and </w:t>
      </w:r>
      <w:r w:rsidRPr="0092511B">
        <w:rPr>
          <w:rFonts w:ascii="Arial" w:hAnsi="Arial" w:cs="Arial"/>
          <w:sz w:val="20"/>
          <w:szCs w:val="20"/>
          <w:vertAlign w:val="superscript"/>
        </w:rPr>
        <w:t>13</w:t>
      </w:r>
      <w:r w:rsidRPr="0092511B">
        <w:rPr>
          <w:rFonts w:ascii="Arial" w:hAnsi="Arial" w:cs="Arial"/>
          <w:sz w:val="20"/>
          <w:szCs w:val="20"/>
        </w:rPr>
        <w:t>C NMR were used to characterize the synthesized molecule, 2-(4-(2-(4-nitrophenyl)imidazo[2,1-b][1,3,4]thiadiazol-6-yl)phenyl)isoindoline-1,3-dione, with molecular formula C</w:t>
      </w:r>
      <w:r w:rsidR="005278C7" w:rsidRPr="0092511B">
        <w:rPr>
          <w:rFonts w:ascii="Arial" w:hAnsi="Arial" w:cs="Arial"/>
          <w:sz w:val="20"/>
          <w:szCs w:val="20"/>
          <w:vertAlign w:val="subscript"/>
        </w:rPr>
        <w:t>24</w:t>
      </w:r>
      <w:r w:rsidR="005278C7" w:rsidRPr="0092511B">
        <w:rPr>
          <w:rFonts w:ascii="Arial" w:hAnsi="Arial" w:cs="Arial"/>
          <w:sz w:val="20"/>
          <w:szCs w:val="20"/>
        </w:rPr>
        <w:t>H</w:t>
      </w:r>
      <w:r w:rsidR="005278C7" w:rsidRPr="0092511B">
        <w:rPr>
          <w:rFonts w:ascii="Arial" w:hAnsi="Arial" w:cs="Arial"/>
          <w:sz w:val="20"/>
          <w:szCs w:val="20"/>
          <w:vertAlign w:val="subscript"/>
        </w:rPr>
        <w:t>13</w:t>
      </w:r>
      <w:r w:rsidR="005278C7" w:rsidRPr="0092511B">
        <w:rPr>
          <w:rFonts w:ascii="Arial" w:hAnsi="Arial" w:cs="Arial"/>
          <w:sz w:val="20"/>
          <w:szCs w:val="20"/>
        </w:rPr>
        <w:t>N</w:t>
      </w:r>
      <w:r w:rsidR="005278C7" w:rsidRPr="0092511B">
        <w:rPr>
          <w:rFonts w:ascii="Arial" w:hAnsi="Arial" w:cs="Arial"/>
          <w:sz w:val="20"/>
          <w:szCs w:val="20"/>
          <w:vertAlign w:val="subscript"/>
        </w:rPr>
        <w:t>5</w:t>
      </w:r>
      <w:r w:rsidR="005278C7" w:rsidRPr="0092511B">
        <w:rPr>
          <w:rFonts w:ascii="Arial" w:hAnsi="Arial" w:cs="Arial"/>
          <w:sz w:val="20"/>
          <w:szCs w:val="20"/>
        </w:rPr>
        <w:t>O</w:t>
      </w:r>
      <w:r w:rsidR="005278C7" w:rsidRPr="0092511B">
        <w:rPr>
          <w:rFonts w:ascii="Arial" w:hAnsi="Arial" w:cs="Arial"/>
          <w:sz w:val="20"/>
          <w:szCs w:val="20"/>
          <w:vertAlign w:val="subscript"/>
        </w:rPr>
        <w:t>4</w:t>
      </w:r>
      <w:r w:rsidR="005278C7" w:rsidRPr="0092511B">
        <w:rPr>
          <w:rFonts w:ascii="Arial" w:hAnsi="Arial" w:cs="Arial"/>
          <w:sz w:val="20"/>
          <w:szCs w:val="20"/>
        </w:rPr>
        <w:t>S</w:t>
      </w:r>
      <w:r w:rsidRPr="0092511B">
        <w:rPr>
          <w:rFonts w:ascii="Arial" w:hAnsi="Arial" w:cs="Arial"/>
          <w:sz w:val="20"/>
          <w:szCs w:val="20"/>
        </w:rPr>
        <w:t xml:space="preserve"> and molecular weight 467.46. Signals were detected at δ 8.44 (s, 1H, imidazole-H), 8.27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8.03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7.92–7.93 (m, 4H, phthalimide aromatic protons), 7.87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and 7.32 (d, 2H, </w:t>
      </w:r>
      <w:proofErr w:type="spellStart"/>
      <w:r w:rsidRPr="0092511B">
        <w:rPr>
          <w:rFonts w:ascii="Arial" w:hAnsi="Arial" w:cs="Arial"/>
          <w:sz w:val="20"/>
          <w:szCs w:val="20"/>
        </w:rPr>
        <w:t>Ar</w:t>
      </w:r>
      <w:proofErr w:type="spellEnd"/>
      <w:r w:rsidRPr="0092511B">
        <w:rPr>
          <w:rFonts w:ascii="Arial" w:hAnsi="Arial" w:cs="Arial"/>
          <w:sz w:val="20"/>
          <w:szCs w:val="20"/>
        </w:rPr>
        <w:t xml:space="preserve">–H, J = 7.5 Hz). The </w:t>
      </w:r>
      <w:r w:rsidR="005278C7" w:rsidRPr="0092511B">
        <w:rPr>
          <w:rFonts w:ascii="Arial" w:hAnsi="Arial" w:cs="Arial"/>
          <w:sz w:val="20"/>
          <w:szCs w:val="20"/>
          <w:vertAlign w:val="superscript"/>
        </w:rPr>
        <w:t>13</w:t>
      </w:r>
      <w:r w:rsidRPr="0092511B">
        <w:rPr>
          <w:rFonts w:ascii="Arial" w:hAnsi="Arial" w:cs="Arial"/>
          <w:sz w:val="20"/>
          <w:szCs w:val="20"/>
        </w:rPr>
        <w:t>C NMR spectra (75 MHz, DMSO-d6) showed distinctive peaks at δ 167.1 (C=O), 147.9, 143.3, 140.1, 139.6, 136.2, 132.7, 132.2, 132.0, 129.4, 128.6, 128.4, 127.7, 124.4, 123.7, and phenyl carbons.</w:t>
      </w:r>
      <w:r w:rsidR="00984F4A" w:rsidRPr="0092511B">
        <w:rPr>
          <w:rFonts w:ascii="Arial" w:hAnsi="Arial" w:cs="Arial"/>
          <w:sz w:val="20"/>
          <w:szCs w:val="20"/>
        </w:rPr>
        <w:t xml:space="preserve"> The suggested structure and purity of the compound were supported by elemental analysis values (C, 61.67; H, 2.80; N, 14.98; O, 13.69 and S, 6.86) that closely matched the computed values. The molecular weight of the produced molecule was confirmed by the mass spectrum, which showed a molecular ion peak at m/z 467.07 ([M+H]+.</w:t>
      </w:r>
    </w:p>
    <w:p w14:paraId="080B8B8B" w14:textId="73BC2C7D" w:rsidR="00B17C69" w:rsidRPr="0092511B" w:rsidRDefault="00D867F2" w:rsidP="00901DE8">
      <w:pPr>
        <w:spacing w:line="360" w:lineRule="auto"/>
        <w:jc w:val="center"/>
        <w:rPr>
          <w:rFonts w:ascii="Arial" w:hAnsi="Arial" w:cs="Arial"/>
          <w:b/>
          <w:bCs/>
          <w:sz w:val="20"/>
          <w:szCs w:val="20"/>
        </w:rPr>
      </w:pPr>
      <w:r w:rsidRPr="0092511B">
        <w:rPr>
          <w:rFonts w:ascii="Arial" w:hAnsi="Arial" w:cs="Arial"/>
          <w:b/>
          <w:bCs/>
          <w:sz w:val="20"/>
          <w:szCs w:val="20"/>
        </w:rPr>
        <w:t xml:space="preserve">Table 1 Melting point, </w:t>
      </w:r>
      <w:r w:rsidR="00121392" w:rsidRPr="0092511B">
        <w:rPr>
          <w:rFonts w:ascii="Arial" w:hAnsi="Arial" w:cs="Arial"/>
          <w:b/>
          <w:bCs/>
          <w:sz w:val="20"/>
          <w:szCs w:val="20"/>
        </w:rPr>
        <w:t>%yield, Molecular formula and Molecular weight of Compounds 3a-3e</w:t>
      </w:r>
    </w:p>
    <w:tbl>
      <w:tblPr>
        <w:tblStyle w:val="TableGridLight"/>
        <w:tblW w:w="9576" w:type="dxa"/>
        <w:tblLook w:val="04A0" w:firstRow="1" w:lastRow="0" w:firstColumn="1" w:lastColumn="0" w:noHBand="0" w:noVBand="1"/>
      </w:tblPr>
      <w:tblGrid>
        <w:gridCol w:w="1915"/>
        <w:gridCol w:w="1915"/>
        <w:gridCol w:w="1915"/>
        <w:gridCol w:w="1915"/>
        <w:gridCol w:w="1916"/>
      </w:tblGrid>
      <w:tr w:rsidR="008E4E66" w:rsidRPr="0092511B" w14:paraId="2240239C" w14:textId="77777777" w:rsidTr="00271040">
        <w:trPr>
          <w:trHeight w:val="999"/>
        </w:trPr>
        <w:tc>
          <w:tcPr>
            <w:tcW w:w="1915" w:type="dxa"/>
          </w:tcPr>
          <w:p w14:paraId="780A1692" w14:textId="41F2EACF" w:rsidR="008E4E66" w:rsidRPr="0092511B" w:rsidRDefault="001316C2" w:rsidP="00F23172">
            <w:pPr>
              <w:spacing w:line="360" w:lineRule="auto"/>
              <w:jc w:val="both"/>
              <w:rPr>
                <w:rFonts w:ascii="Arial" w:hAnsi="Arial" w:cs="Arial"/>
                <w:b/>
                <w:bCs/>
                <w:sz w:val="20"/>
                <w:szCs w:val="20"/>
              </w:rPr>
            </w:pPr>
            <w:r w:rsidRPr="0092511B">
              <w:rPr>
                <w:rFonts w:ascii="Arial" w:hAnsi="Arial" w:cs="Arial"/>
                <w:b/>
                <w:bCs/>
                <w:sz w:val="20"/>
                <w:szCs w:val="20"/>
              </w:rPr>
              <w:lastRenderedPageBreak/>
              <w:t>Compound</w:t>
            </w:r>
          </w:p>
        </w:tc>
        <w:tc>
          <w:tcPr>
            <w:tcW w:w="1915" w:type="dxa"/>
          </w:tcPr>
          <w:p w14:paraId="3610C757" w14:textId="1E284C51" w:rsidR="008E4E66" w:rsidRPr="0092511B" w:rsidRDefault="00AD450D" w:rsidP="00F23172">
            <w:pPr>
              <w:spacing w:line="360" w:lineRule="auto"/>
              <w:jc w:val="both"/>
              <w:rPr>
                <w:rFonts w:ascii="Arial" w:hAnsi="Arial" w:cs="Arial"/>
                <w:b/>
                <w:bCs/>
                <w:sz w:val="20"/>
                <w:szCs w:val="20"/>
              </w:rPr>
            </w:pPr>
            <w:r w:rsidRPr="0092511B">
              <w:rPr>
                <w:rFonts w:ascii="Arial" w:hAnsi="Arial" w:cs="Arial"/>
                <w:b/>
                <w:bCs/>
                <w:sz w:val="20"/>
                <w:szCs w:val="20"/>
              </w:rPr>
              <w:t>Melting point(</w:t>
            </w:r>
            <w:r w:rsidRPr="0092511B">
              <w:rPr>
                <w:rFonts w:ascii="Arial" w:hAnsi="Arial" w:cs="Arial"/>
                <w:b/>
                <w:bCs/>
                <w:sz w:val="20"/>
                <w:szCs w:val="20"/>
                <w:vertAlign w:val="superscript"/>
              </w:rPr>
              <w:t>0</w:t>
            </w:r>
            <w:r w:rsidRPr="0092511B">
              <w:rPr>
                <w:rFonts w:ascii="Arial" w:hAnsi="Arial" w:cs="Arial"/>
                <w:b/>
                <w:bCs/>
                <w:sz w:val="20"/>
                <w:szCs w:val="20"/>
              </w:rPr>
              <w:t>C)</w:t>
            </w:r>
          </w:p>
        </w:tc>
        <w:tc>
          <w:tcPr>
            <w:tcW w:w="1915" w:type="dxa"/>
          </w:tcPr>
          <w:p w14:paraId="3CBC2873" w14:textId="1889E91B" w:rsidR="008E4E66" w:rsidRPr="0092511B" w:rsidRDefault="00DC1F53" w:rsidP="00F23172">
            <w:pPr>
              <w:spacing w:line="360" w:lineRule="auto"/>
              <w:jc w:val="both"/>
              <w:rPr>
                <w:rFonts w:ascii="Arial" w:hAnsi="Arial" w:cs="Arial"/>
                <w:b/>
                <w:bCs/>
                <w:sz w:val="20"/>
                <w:szCs w:val="20"/>
              </w:rPr>
            </w:pPr>
            <w:r w:rsidRPr="0092511B">
              <w:rPr>
                <w:rFonts w:ascii="Arial" w:hAnsi="Arial" w:cs="Arial"/>
                <w:b/>
                <w:bCs/>
                <w:sz w:val="20"/>
                <w:szCs w:val="20"/>
              </w:rPr>
              <w:t>Yield</w:t>
            </w:r>
          </w:p>
        </w:tc>
        <w:tc>
          <w:tcPr>
            <w:tcW w:w="1915" w:type="dxa"/>
          </w:tcPr>
          <w:p w14:paraId="1968A76F" w14:textId="3AEE3624" w:rsidR="008E4E66" w:rsidRPr="0092511B" w:rsidRDefault="00FD446E" w:rsidP="00F23172">
            <w:pPr>
              <w:spacing w:line="360" w:lineRule="auto"/>
              <w:jc w:val="both"/>
              <w:rPr>
                <w:rFonts w:ascii="Arial" w:hAnsi="Arial" w:cs="Arial"/>
                <w:b/>
                <w:bCs/>
                <w:sz w:val="20"/>
                <w:szCs w:val="20"/>
              </w:rPr>
            </w:pPr>
            <w:r w:rsidRPr="0092511B">
              <w:rPr>
                <w:rFonts w:ascii="Arial" w:hAnsi="Arial" w:cs="Arial"/>
                <w:b/>
                <w:bCs/>
                <w:sz w:val="20"/>
                <w:szCs w:val="20"/>
              </w:rPr>
              <w:t>Mol. Formula</w:t>
            </w:r>
          </w:p>
        </w:tc>
        <w:tc>
          <w:tcPr>
            <w:tcW w:w="1916" w:type="dxa"/>
          </w:tcPr>
          <w:p w14:paraId="5EEC1721" w14:textId="6B33973F" w:rsidR="008E4E66" w:rsidRPr="0092511B" w:rsidRDefault="00FD446E" w:rsidP="00F23172">
            <w:pPr>
              <w:spacing w:line="360" w:lineRule="auto"/>
              <w:jc w:val="both"/>
              <w:rPr>
                <w:rFonts w:ascii="Arial" w:hAnsi="Arial" w:cs="Arial"/>
                <w:b/>
                <w:bCs/>
                <w:sz w:val="20"/>
                <w:szCs w:val="20"/>
              </w:rPr>
            </w:pPr>
            <w:proofErr w:type="spellStart"/>
            <w:r w:rsidRPr="0092511B">
              <w:rPr>
                <w:rFonts w:ascii="Arial" w:hAnsi="Arial" w:cs="Arial"/>
                <w:b/>
                <w:bCs/>
                <w:sz w:val="20"/>
                <w:szCs w:val="20"/>
              </w:rPr>
              <w:t>Mol.wt</w:t>
            </w:r>
            <w:proofErr w:type="spellEnd"/>
          </w:p>
        </w:tc>
      </w:tr>
      <w:tr w:rsidR="008E4E66" w:rsidRPr="0092511B" w14:paraId="134AE350" w14:textId="77777777" w:rsidTr="00271040">
        <w:trPr>
          <w:trHeight w:val="492"/>
        </w:trPr>
        <w:tc>
          <w:tcPr>
            <w:tcW w:w="1915" w:type="dxa"/>
          </w:tcPr>
          <w:p w14:paraId="11A2CA40" w14:textId="6B688C64" w:rsidR="008E4E66" w:rsidRPr="0092511B" w:rsidRDefault="00C5405B" w:rsidP="00F23172">
            <w:pPr>
              <w:spacing w:line="360" w:lineRule="auto"/>
              <w:jc w:val="both"/>
              <w:rPr>
                <w:rFonts w:ascii="Arial" w:hAnsi="Arial" w:cs="Arial"/>
                <w:b/>
                <w:bCs/>
                <w:sz w:val="20"/>
                <w:szCs w:val="20"/>
              </w:rPr>
            </w:pPr>
            <w:r w:rsidRPr="0092511B">
              <w:rPr>
                <w:rFonts w:ascii="Arial" w:hAnsi="Arial" w:cs="Arial"/>
                <w:b/>
                <w:bCs/>
                <w:sz w:val="20"/>
                <w:szCs w:val="20"/>
              </w:rPr>
              <w:t>3a</w:t>
            </w:r>
          </w:p>
        </w:tc>
        <w:tc>
          <w:tcPr>
            <w:tcW w:w="1915" w:type="dxa"/>
          </w:tcPr>
          <w:p w14:paraId="2D35C408" w14:textId="29E7B3C5"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 xml:space="preserve">&gt;280 </w:t>
            </w:r>
            <w:proofErr w:type="spellStart"/>
            <w:r w:rsidRPr="0092511B">
              <w:rPr>
                <w:rFonts w:ascii="Arial" w:hAnsi="Arial" w:cs="Arial"/>
                <w:sz w:val="20"/>
                <w:szCs w:val="20"/>
                <w:vertAlign w:val="superscript"/>
              </w:rPr>
              <w:t>o</w:t>
            </w:r>
            <w:r w:rsidRPr="0092511B">
              <w:rPr>
                <w:rFonts w:ascii="Arial" w:hAnsi="Arial" w:cs="Arial"/>
                <w:sz w:val="20"/>
                <w:szCs w:val="20"/>
              </w:rPr>
              <w:t>C</w:t>
            </w:r>
            <w:proofErr w:type="spellEnd"/>
          </w:p>
        </w:tc>
        <w:tc>
          <w:tcPr>
            <w:tcW w:w="1915" w:type="dxa"/>
          </w:tcPr>
          <w:p w14:paraId="02AE2507" w14:textId="1A610A4F" w:rsidR="008E4E66" w:rsidRPr="0092511B" w:rsidRDefault="0042237C" w:rsidP="00F23172">
            <w:pPr>
              <w:spacing w:line="360" w:lineRule="auto"/>
              <w:jc w:val="both"/>
              <w:rPr>
                <w:rFonts w:ascii="Arial" w:hAnsi="Arial" w:cs="Arial"/>
                <w:sz w:val="20"/>
                <w:szCs w:val="20"/>
              </w:rPr>
            </w:pPr>
            <w:r w:rsidRPr="0092511B">
              <w:rPr>
                <w:rFonts w:ascii="Arial" w:hAnsi="Arial" w:cs="Arial"/>
                <w:sz w:val="20"/>
                <w:szCs w:val="20"/>
              </w:rPr>
              <w:t>68.5 %</w:t>
            </w:r>
          </w:p>
        </w:tc>
        <w:tc>
          <w:tcPr>
            <w:tcW w:w="1915" w:type="dxa"/>
          </w:tcPr>
          <w:p w14:paraId="6DCF20E8" w14:textId="2D289A9A"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14</w:t>
            </w:r>
            <w:r w:rsidRPr="0092511B">
              <w:rPr>
                <w:rFonts w:ascii="Arial" w:hAnsi="Arial" w:cs="Arial"/>
                <w:sz w:val="20"/>
                <w:szCs w:val="20"/>
              </w:rPr>
              <w:t>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w:t>
            </w:r>
          </w:p>
        </w:tc>
        <w:tc>
          <w:tcPr>
            <w:tcW w:w="1916" w:type="dxa"/>
          </w:tcPr>
          <w:p w14:paraId="3E2E5A4C" w14:textId="0D85CFF0" w:rsidR="008E4E66" w:rsidRPr="0092511B" w:rsidRDefault="00C34C6E" w:rsidP="00F23172">
            <w:pPr>
              <w:spacing w:line="360" w:lineRule="auto"/>
              <w:jc w:val="both"/>
              <w:rPr>
                <w:rFonts w:ascii="Arial" w:hAnsi="Arial" w:cs="Arial"/>
                <w:sz w:val="20"/>
                <w:szCs w:val="20"/>
              </w:rPr>
            </w:pPr>
            <w:r w:rsidRPr="0092511B">
              <w:rPr>
                <w:rFonts w:ascii="Arial" w:hAnsi="Arial" w:cs="Arial"/>
                <w:sz w:val="20"/>
                <w:szCs w:val="20"/>
              </w:rPr>
              <w:t>409</w:t>
            </w:r>
          </w:p>
        </w:tc>
      </w:tr>
      <w:tr w:rsidR="008E4E66" w:rsidRPr="0092511B" w14:paraId="74DEF51A" w14:textId="77777777" w:rsidTr="00271040">
        <w:trPr>
          <w:trHeight w:val="492"/>
        </w:trPr>
        <w:tc>
          <w:tcPr>
            <w:tcW w:w="1915" w:type="dxa"/>
          </w:tcPr>
          <w:p w14:paraId="3AFF3567" w14:textId="7AD43E03" w:rsidR="008E4E66" w:rsidRPr="0092511B" w:rsidRDefault="00381124" w:rsidP="00F23172">
            <w:pPr>
              <w:spacing w:line="360" w:lineRule="auto"/>
              <w:jc w:val="both"/>
              <w:rPr>
                <w:rFonts w:ascii="Arial" w:hAnsi="Arial" w:cs="Arial"/>
                <w:b/>
                <w:bCs/>
                <w:sz w:val="20"/>
                <w:szCs w:val="20"/>
              </w:rPr>
            </w:pPr>
            <w:r w:rsidRPr="0092511B">
              <w:rPr>
                <w:rFonts w:ascii="Arial" w:hAnsi="Arial" w:cs="Arial"/>
                <w:b/>
                <w:bCs/>
                <w:sz w:val="20"/>
                <w:szCs w:val="20"/>
              </w:rPr>
              <w:t>3b</w:t>
            </w:r>
          </w:p>
        </w:tc>
        <w:tc>
          <w:tcPr>
            <w:tcW w:w="1915" w:type="dxa"/>
          </w:tcPr>
          <w:p w14:paraId="6BB072E1" w14:textId="38E8576C"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 xml:space="preserve">&gt;278 </w:t>
            </w:r>
            <w:proofErr w:type="spellStart"/>
            <w:r w:rsidRPr="0092511B">
              <w:rPr>
                <w:rFonts w:ascii="Arial" w:hAnsi="Arial" w:cs="Arial"/>
                <w:sz w:val="20"/>
                <w:szCs w:val="20"/>
                <w:vertAlign w:val="superscript"/>
              </w:rPr>
              <w:t>o</w:t>
            </w:r>
            <w:r w:rsidRPr="0092511B">
              <w:rPr>
                <w:rFonts w:ascii="Arial" w:hAnsi="Arial" w:cs="Arial"/>
                <w:sz w:val="20"/>
                <w:szCs w:val="20"/>
              </w:rPr>
              <w:t>C</w:t>
            </w:r>
            <w:proofErr w:type="spellEnd"/>
          </w:p>
        </w:tc>
        <w:tc>
          <w:tcPr>
            <w:tcW w:w="1915" w:type="dxa"/>
          </w:tcPr>
          <w:p w14:paraId="6B33FFFF" w14:textId="1A00C4DB" w:rsidR="008E4E66" w:rsidRPr="0092511B" w:rsidRDefault="006B0E5A" w:rsidP="00F23172">
            <w:pPr>
              <w:spacing w:line="360" w:lineRule="auto"/>
              <w:jc w:val="both"/>
              <w:rPr>
                <w:rFonts w:ascii="Arial" w:hAnsi="Arial" w:cs="Arial"/>
                <w:sz w:val="20"/>
                <w:szCs w:val="20"/>
              </w:rPr>
            </w:pPr>
            <w:r w:rsidRPr="0092511B">
              <w:rPr>
                <w:rFonts w:ascii="Arial" w:hAnsi="Arial" w:cs="Arial"/>
                <w:sz w:val="20"/>
                <w:szCs w:val="20"/>
              </w:rPr>
              <w:t>69.00 %</w:t>
            </w:r>
          </w:p>
        </w:tc>
        <w:tc>
          <w:tcPr>
            <w:tcW w:w="1915" w:type="dxa"/>
          </w:tcPr>
          <w:p w14:paraId="44F0C6F5" w14:textId="68F72A48"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13</w:t>
            </w:r>
            <w:r w:rsidRPr="0092511B">
              <w:rPr>
                <w:rFonts w:ascii="Arial" w:hAnsi="Arial" w:cs="Arial"/>
                <w:sz w:val="20"/>
                <w:szCs w:val="20"/>
              </w:rPr>
              <w:t>FN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w:t>
            </w:r>
          </w:p>
        </w:tc>
        <w:tc>
          <w:tcPr>
            <w:tcW w:w="1916" w:type="dxa"/>
          </w:tcPr>
          <w:p w14:paraId="640D7F71" w14:textId="4F661B20" w:rsidR="008E4E66" w:rsidRPr="0092511B" w:rsidRDefault="00C34C6E" w:rsidP="00F23172">
            <w:pPr>
              <w:spacing w:line="360" w:lineRule="auto"/>
              <w:jc w:val="both"/>
              <w:rPr>
                <w:rFonts w:ascii="Arial" w:hAnsi="Arial" w:cs="Arial"/>
                <w:sz w:val="20"/>
                <w:szCs w:val="20"/>
              </w:rPr>
            </w:pPr>
            <w:r w:rsidRPr="0092511B">
              <w:rPr>
                <w:rFonts w:ascii="Arial" w:hAnsi="Arial" w:cs="Arial"/>
                <w:sz w:val="20"/>
                <w:szCs w:val="20"/>
              </w:rPr>
              <w:t>441</w:t>
            </w:r>
          </w:p>
        </w:tc>
      </w:tr>
      <w:tr w:rsidR="008E4E66" w:rsidRPr="0092511B" w14:paraId="1C515BC0" w14:textId="77777777" w:rsidTr="00271040">
        <w:trPr>
          <w:trHeight w:val="507"/>
        </w:trPr>
        <w:tc>
          <w:tcPr>
            <w:tcW w:w="1915" w:type="dxa"/>
          </w:tcPr>
          <w:p w14:paraId="286DEB98" w14:textId="5409F1E3" w:rsidR="008E4E66" w:rsidRPr="0092511B" w:rsidRDefault="00381124" w:rsidP="00F23172">
            <w:pPr>
              <w:spacing w:line="360" w:lineRule="auto"/>
              <w:jc w:val="both"/>
              <w:rPr>
                <w:rFonts w:ascii="Arial" w:hAnsi="Arial" w:cs="Arial"/>
                <w:b/>
                <w:bCs/>
                <w:sz w:val="20"/>
                <w:szCs w:val="20"/>
              </w:rPr>
            </w:pPr>
            <w:r w:rsidRPr="0092511B">
              <w:rPr>
                <w:rFonts w:ascii="Arial" w:hAnsi="Arial" w:cs="Arial"/>
                <w:b/>
                <w:bCs/>
                <w:sz w:val="20"/>
                <w:szCs w:val="20"/>
              </w:rPr>
              <w:t>3c</w:t>
            </w:r>
          </w:p>
        </w:tc>
        <w:tc>
          <w:tcPr>
            <w:tcW w:w="1915" w:type="dxa"/>
          </w:tcPr>
          <w:p w14:paraId="1BF3F785" w14:textId="1548AAB9"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 xml:space="preserve">&gt;286 </w:t>
            </w:r>
            <w:proofErr w:type="spellStart"/>
            <w:r w:rsidRPr="0092511B">
              <w:rPr>
                <w:rFonts w:ascii="Arial" w:hAnsi="Arial" w:cs="Arial"/>
                <w:sz w:val="20"/>
                <w:szCs w:val="20"/>
                <w:vertAlign w:val="superscript"/>
              </w:rPr>
              <w:t>o</w:t>
            </w:r>
            <w:r w:rsidRPr="0092511B">
              <w:rPr>
                <w:rFonts w:ascii="Arial" w:hAnsi="Arial" w:cs="Arial"/>
                <w:sz w:val="20"/>
                <w:szCs w:val="20"/>
              </w:rPr>
              <w:t>C</w:t>
            </w:r>
            <w:proofErr w:type="spellEnd"/>
          </w:p>
        </w:tc>
        <w:tc>
          <w:tcPr>
            <w:tcW w:w="1915" w:type="dxa"/>
          </w:tcPr>
          <w:p w14:paraId="796B5FDC" w14:textId="774C4C86" w:rsidR="008E4E66" w:rsidRPr="0092511B" w:rsidRDefault="00B1592C" w:rsidP="00F23172">
            <w:pPr>
              <w:spacing w:line="360" w:lineRule="auto"/>
              <w:jc w:val="both"/>
              <w:rPr>
                <w:rFonts w:ascii="Arial" w:hAnsi="Arial" w:cs="Arial"/>
                <w:sz w:val="20"/>
                <w:szCs w:val="20"/>
              </w:rPr>
            </w:pPr>
            <w:r w:rsidRPr="0092511B">
              <w:rPr>
                <w:rFonts w:ascii="Arial" w:hAnsi="Arial" w:cs="Arial"/>
                <w:sz w:val="20"/>
                <w:szCs w:val="20"/>
              </w:rPr>
              <w:t>71.00 %</w:t>
            </w:r>
          </w:p>
        </w:tc>
        <w:tc>
          <w:tcPr>
            <w:tcW w:w="1915" w:type="dxa"/>
          </w:tcPr>
          <w:p w14:paraId="2749841E" w14:textId="59B173C5"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13</w:t>
            </w:r>
            <w:r w:rsidRPr="0092511B">
              <w:rPr>
                <w:rFonts w:ascii="Arial" w:hAnsi="Arial" w:cs="Arial"/>
                <w:sz w:val="20"/>
                <w:szCs w:val="20"/>
              </w:rPr>
              <w:t>BrN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w:t>
            </w:r>
          </w:p>
        </w:tc>
        <w:tc>
          <w:tcPr>
            <w:tcW w:w="1916" w:type="dxa"/>
          </w:tcPr>
          <w:p w14:paraId="4A5E3CDA" w14:textId="02E2D861"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498</w:t>
            </w:r>
          </w:p>
        </w:tc>
      </w:tr>
      <w:tr w:rsidR="008E4E66" w:rsidRPr="0092511B" w14:paraId="07E557F5" w14:textId="77777777" w:rsidTr="00271040">
        <w:trPr>
          <w:trHeight w:val="492"/>
        </w:trPr>
        <w:tc>
          <w:tcPr>
            <w:tcW w:w="1915" w:type="dxa"/>
          </w:tcPr>
          <w:p w14:paraId="7839A572" w14:textId="1C917054" w:rsidR="008E4E66" w:rsidRPr="0092511B" w:rsidRDefault="00381124" w:rsidP="00F23172">
            <w:pPr>
              <w:spacing w:line="360" w:lineRule="auto"/>
              <w:jc w:val="both"/>
              <w:rPr>
                <w:rFonts w:ascii="Arial" w:hAnsi="Arial" w:cs="Arial"/>
                <w:b/>
                <w:bCs/>
                <w:sz w:val="20"/>
                <w:szCs w:val="20"/>
              </w:rPr>
            </w:pPr>
            <w:r w:rsidRPr="0092511B">
              <w:rPr>
                <w:rFonts w:ascii="Arial" w:hAnsi="Arial" w:cs="Arial"/>
                <w:b/>
                <w:bCs/>
                <w:sz w:val="20"/>
                <w:szCs w:val="20"/>
              </w:rPr>
              <w:t>3d</w:t>
            </w:r>
          </w:p>
        </w:tc>
        <w:tc>
          <w:tcPr>
            <w:tcW w:w="1915" w:type="dxa"/>
          </w:tcPr>
          <w:p w14:paraId="568CF84E" w14:textId="003266AE" w:rsidR="008E4E66" w:rsidRPr="0092511B" w:rsidRDefault="001C54D0" w:rsidP="00D96799">
            <w:pPr>
              <w:spacing w:line="360" w:lineRule="auto"/>
              <w:jc w:val="both"/>
              <w:rPr>
                <w:rFonts w:ascii="Arial" w:hAnsi="Arial" w:cs="Arial"/>
                <w:sz w:val="20"/>
                <w:szCs w:val="20"/>
              </w:rPr>
            </w:pPr>
            <w:r w:rsidRPr="0092511B">
              <w:rPr>
                <w:rFonts w:ascii="Arial" w:hAnsi="Arial" w:cs="Arial"/>
                <w:sz w:val="20"/>
                <w:szCs w:val="20"/>
              </w:rPr>
              <w:t xml:space="preserve">&gt;265 </w:t>
            </w:r>
            <w:proofErr w:type="spellStart"/>
            <w:r w:rsidRPr="0092511B">
              <w:rPr>
                <w:rFonts w:ascii="Arial" w:hAnsi="Arial" w:cs="Arial"/>
                <w:sz w:val="20"/>
                <w:szCs w:val="20"/>
                <w:vertAlign w:val="superscript"/>
              </w:rPr>
              <w:t>o</w:t>
            </w:r>
            <w:r w:rsidRPr="0092511B">
              <w:rPr>
                <w:rFonts w:ascii="Arial" w:hAnsi="Arial" w:cs="Arial"/>
                <w:sz w:val="20"/>
                <w:szCs w:val="20"/>
              </w:rPr>
              <w:t>C</w:t>
            </w:r>
            <w:proofErr w:type="spellEnd"/>
          </w:p>
        </w:tc>
        <w:tc>
          <w:tcPr>
            <w:tcW w:w="1915" w:type="dxa"/>
          </w:tcPr>
          <w:p w14:paraId="791EA5C5" w14:textId="5FA42203" w:rsidR="008E4E66" w:rsidRPr="0092511B" w:rsidRDefault="00D96799" w:rsidP="00F23172">
            <w:pPr>
              <w:spacing w:line="360" w:lineRule="auto"/>
              <w:jc w:val="both"/>
              <w:rPr>
                <w:rFonts w:ascii="Arial" w:hAnsi="Arial" w:cs="Arial"/>
                <w:sz w:val="20"/>
                <w:szCs w:val="20"/>
              </w:rPr>
            </w:pPr>
            <w:r w:rsidRPr="0092511B">
              <w:rPr>
                <w:rFonts w:ascii="Arial" w:hAnsi="Arial" w:cs="Arial"/>
                <w:sz w:val="20"/>
                <w:szCs w:val="20"/>
              </w:rPr>
              <w:t>69.00 %</w:t>
            </w:r>
          </w:p>
        </w:tc>
        <w:tc>
          <w:tcPr>
            <w:tcW w:w="1915" w:type="dxa"/>
          </w:tcPr>
          <w:p w14:paraId="27CA63D0" w14:textId="01CC1351"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13</w:t>
            </w:r>
            <w:r w:rsidRPr="0092511B">
              <w:rPr>
                <w:rFonts w:ascii="Arial" w:hAnsi="Arial" w:cs="Arial"/>
                <w:sz w:val="20"/>
                <w:szCs w:val="20"/>
              </w:rPr>
              <w:t>ClN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w:t>
            </w:r>
          </w:p>
        </w:tc>
        <w:tc>
          <w:tcPr>
            <w:tcW w:w="1916" w:type="dxa"/>
          </w:tcPr>
          <w:p w14:paraId="1A63F61C" w14:textId="55A5A215"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456.04</w:t>
            </w:r>
          </w:p>
        </w:tc>
      </w:tr>
      <w:tr w:rsidR="008E4E66" w:rsidRPr="0092511B" w14:paraId="7062ED50" w14:textId="77777777" w:rsidTr="00271040">
        <w:trPr>
          <w:trHeight w:val="492"/>
        </w:trPr>
        <w:tc>
          <w:tcPr>
            <w:tcW w:w="1915" w:type="dxa"/>
          </w:tcPr>
          <w:p w14:paraId="046C05EF" w14:textId="11DA19CB" w:rsidR="008E4E66" w:rsidRPr="0092511B" w:rsidRDefault="00381124" w:rsidP="00F23172">
            <w:pPr>
              <w:spacing w:line="360" w:lineRule="auto"/>
              <w:jc w:val="both"/>
              <w:rPr>
                <w:rFonts w:ascii="Arial" w:hAnsi="Arial" w:cs="Arial"/>
                <w:b/>
                <w:bCs/>
                <w:sz w:val="20"/>
                <w:szCs w:val="20"/>
              </w:rPr>
            </w:pPr>
            <w:r w:rsidRPr="0092511B">
              <w:rPr>
                <w:rFonts w:ascii="Arial" w:hAnsi="Arial" w:cs="Arial"/>
                <w:b/>
                <w:bCs/>
                <w:sz w:val="20"/>
                <w:szCs w:val="20"/>
              </w:rPr>
              <w:t>3e</w:t>
            </w:r>
          </w:p>
        </w:tc>
        <w:tc>
          <w:tcPr>
            <w:tcW w:w="1915" w:type="dxa"/>
          </w:tcPr>
          <w:p w14:paraId="3F2C5094" w14:textId="43EBD57C"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 xml:space="preserve">&gt;275 </w:t>
            </w:r>
            <w:proofErr w:type="spellStart"/>
            <w:r w:rsidRPr="0092511B">
              <w:rPr>
                <w:rFonts w:ascii="Arial" w:hAnsi="Arial" w:cs="Arial"/>
                <w:sz w:val="20"/>
                <w:szCs w:val="20"/>
                <w:vertAlign w:val="superscript"/>
              </w:rPr>
              <w:t>o</w:t>
            </w:r>
            <w:r w:rsidRPr="0092511B">
              <w:rPr>
                <w:rFonts w:ascii="Arial" w:hAnsi="Arial" w:cs="Arial"/>
                <w:sz w:val="20"/>
                <w:szCs w:val="20"/>
              </w:rPr>
              <w:t>C</w:t>
            </w:r>
            <w:proofErr w:type="spellEnd"/>
          </w:p>
        </w:tc>
        <w:tc>
          <w:tcPr>
            <w:tcW w:w="1915" w:type="dxa"/>
          </w:tcPr>
          <w:p w14:paraId="221C24CB" w14:textId="6B213094" w:rsidR="008E4E66" w:rsidRPr="0092511B" w:rsidRDefault="00AC2700" w:rsidP="00F23172">
            <w:pPr>
              <w:spacing w:line="360" w:lineRule="auto"/>
              <w:jc w:val="both"/>
              <w:rPr>
                <w:rFonts w:ascii="Arial" w:hAnsi="Arial" w:cs="Arial"/>
                <w:sz w:val="20"/>
                <w:szCs w:val="20"/>
              </w:rPr>
            </w:pPr>
            <w:r w:rsidRPr="0092511B">
              <w:rPr>
                <w:rFonts w:ascii="Arial" w:hAnsi="Arial" w:cs="Arial"/>
                <w:sz w:val="20"/>
                <w:szCs w:val="20"/>
              </w:rPr>
              <w:t>68.01 %</w:t>
            </w:r>
          </w:p>
        </w:tc>
        <w:tc>
          <w:tcPr>
            <w:tcW w:w="1915" w:type="dxa"/>
          </w:tcPr>
          <w:p w14:paraId="2CBC5038" w14:textId="14E8B204"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13</w:t>
            </w:r>
            <w:r w:rsidRPr="0092511B">
              <w:rPr>
                <w:rFonts w:ascii="Arial" w:hAnsi="Arial" w:cs="Arial"/>
                <w:sz w:val="20"/>
                <w:szCs w:val="20"/>
              </w:rPr>
              <w:t>N</w:t>
            </w:r>
            <w:r w:rsidRPr="0092511B">
              <w:rPr>
                <w:rFonts w:ascii="Arial" w:hAnsi="Arial" w:cs="Arial"/>
                <w:sz w:val="20"/>
                <w:szCs w:val="20"/>
                <w:vertAlign w:val="subscript"/>
              </w:rPr>
              <w:t>5</w:t>
            </w:r>
            <w:r w:rsidRPr="0092511B">
              <w:rPr>
                <w:rFonts w:ascii="Arial" w:hAnsi="Arial" w:cs="Arial"/>
                <w:sz w:val="20"/>
                <w:szCs w:val="20"/>
              </w:rPr>
              <w:t>O</w:t>
            </w:r>
            <w:r w:rsidRPr="0092511B">
              <w:rPr>
                <w:rFonts w:ascii="Arial" w:hAnsi="Arial" w:cs="Arial"/>
                <w:sz w:val="20"/>
                <w:szCs w:val="20"/>
                <w:vertAlign w:val="subscript"/>
              </w:rPr>
              <w:t>4</w:t>
            </w:r>
            <w:r w:rsidRPr="0092511B">
              <w:rPr>
                <w:rFonts w:ascii="Arial" w:hAnsi="Arial" w:cs="Arial"/>
                <w:sz w:val="20"/>
                <w:szCs w:val="20"/>
              </w:rPr>
              <w:t>S</w:t>
            </w:r>
          </w:p>
        </w:tc>
        <w:tc>
          <w:tcPr>
            <w:tcW w:w="1916" w:type="dxa"/>
          </w:tcPr>
          <w:p w14:paraId="4F5E5154" w14:textId="62E67550"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467.07</w:t>
            </w:r>
          </w:p>
        </w:tc>
      </w:tr>
    </w:tbl>
    <w:p w14:paraId="4CE3ABE4" w14:textId="77777777" w:rsidR="00007132" w:rsidRPr="0092511B" w:rsidRDefault="00007132" w:rsidP="00F23172">
      <w:pPr>
        <w:spacing w:line="360" w:lineRule="auto"/>
        <w:jc w:val="both"/>
        <w:rPr>
          <w:rFonts w:ascii="Arial" w:hAnsi="Arial" w:cs="Arial"/>
          <w:b/>
          <w:bCs/>
          <w:sz w:val="20"/>
          <w:szCs w:val="20"/>
        </w:rPr>
      </w:pPr>
    </w:p>
    <w:p w14:paraId="36089D99" w14:textId="4184147F" w:rsidR="0008674F" w:rsidRPr="0092511B" w:rsidRDefault="00EF78FA" w:rsidP="00777FAF">
      <w:pPr>
        <w:spacing w:line="360" w:lineRule="auto"/>
        <w:jc w:val="both"/>
        <w:rPr>
          <w:rFonts w:ascii="Arial" w:hAnsi="Arial" w:cs="Arial"/>
          <w:b/>
          <w:bCs/>
        </w:rPr>
      </w:pPr>
      <w:r w:rsidRPr="0092511B">
        <w:rPr>
          <w:rFonts w:ascii="Arial" w:hAnsi="Arial" w:cs="Arial"/>
          <w:b/>
          <w:bCs/>
        </w:rPr>
        <w:t xml:space="preserve">3.1 </w:t>
      </w:r>
      <w:r w:rsidR="0008674F" w:rsidRPr="0092511B">
        <w:rPr>
          <w:rFonts w:ascii="Arial" w:hAnsi="Arial" w:cs="Arial"/>
          <w:b/>
          <w:bCs/>
        </w:rPr>
        <w:t>Antibacterial and Antifungal Activity of Synthesised compound</w:t>
      </w:r>
    </w:p>
    <w:p w14:paraId="30FE04D2" w14:textId="0DEAA1DE" w:rsidR="00904953" w:rsidRPr="0092511B" w:rsidRDefault="00EE6793" w:rsidP="00904953">
      <w:pPr>
        <w:spacing w:line="360" w:lineRule="auto"/>
        <w:jc w:val="both"/>
        <w:rPr>
          <w:rFonts w:ascii="Arial" w:hAnsi="Arial" w:cs="Arial"/>
          <w:sz w:val="20"/>
          <w:szCs w:val="20"/>
        </w:rPr>
      </w:pPr>
      <w:r w:rsidRPr="0092511B">
        <w:rPr>
          <w:rFonts w:ascii="Arial" w:hAnsi="Arial" w:cs="Arial"/>
          <w:sz w:val="20"/>
          <w:szCs w:val="20"/>
        </w:rPr>
        <w:t>Gram-positive bacteria (Staphylococcus aureus</w:t>
      </w:r>
      <w:r w:rsidR="000463BC" w:rsidRPr="0092511B">
        <w:rPr>
          <w:rFonts w:ascii="Arial" w:hAnsi="Arial" w:cs="Arial"/>
          <w:sz w:val="20"/>
          <w:szCs w:val="20"/>
        </w:rPr>
        <w:t xml:space="preserve"> </w:t>
      </w:r>
      <w:r w:rsidRPr="0092511B">
        <w:rPr>
          <w:rFonts w:ascii="Arial" w:hAnsi="Arial" w:cs="Arial"/>
          <w:sz w:val="20"/>
          <w:szCs w:val="20"/>
        </w:rPr>
        <w:t>and Bacillus subtilis), Gram-negative bacteria (Escherichia coli</w:t>
      </w:r>
      <w:r w:rsidR="002379CD" w:rsidRPr="0092511B">
        <w:rPr>
          <w:rFonts w:ascii="Arial" w:hAnsi="Arial" w:cs="Arial"/>
          <w:sz w:val="20"/>
          <w:szCs w:val="20"/>
        </w:rPr>
        <w:t xml:space="preserve"> </w:t>
      </w:r>
      <w:r w:rsidRPr="0092511B">
        <w:rPr>
          <w:rFonts w:ascii="Arial" w:hAnsi="Arial" w:cs="Arial"/>
          <w:sz w:val="20"/>
          <w:szCs w:val="20"/>
        </w:rPr>
        <w:t xml:space="preserve">and Pseudomonas </w:t>
      </w:r>
      <w:proofErr w:type="spellStart"/>
      <w:r w:rsidRPr="0092511B">
        <w:rPr>
          <w:rFonts w:ascii="Arial" w:hAnsi="Arial" w:cs="Arial"/>
          <w:sz w:val="20"/>
          <w:szCs w:val="20"/>
        </w:rPr>
        <w:t>aeuroginosa</w:t>
      </w:r>
      <w:proofErr w:type="spellEnd"/>
      <w:r w:rsidRPr="0092511B">
        <w:rPr>
          <w:rFonts w:ascii="Arial" w:hAnsi="Arial" w:cs="Arial"/>
          <w:sz w:val="20"/>
          <w:szCs w:val="20"/>
        </w:rPr>
        <w:t>), and the yeast-like pathogenic fungus Candida albicans were among the standard strains against which the synthesized compounds were evaluated for their in vitro antimicrobial activity.</w:t>
      </w:r>
      <w:r w:rsidR="00106476" w:rsidRPr="0092511B">
        <w:rPr>
          <w:rFonts w:ascii="Arial" w:hAnsi="Arial" w:cs="Arial"/>
          <w:sz w:val="20"/>
          <w:szCs w:val="20"/>
        </w:rPr>
        <w:t xml:space="preserve"> </w:t>
      </w:r>
      <w:r w:rsidR="00904953" w:rsidRPr="0092511B">
        <w:rPr>
          <w:rFonts w:ascii="Arial" w:hAnsi="Arial" w:cs="Arial"/>
          <w:sz w:val="20"/>
          <w:szCs w:val="20"/>
        </w:rPr>
        <w:t>the synthesized compounds (3a–3e) were evaluated against two Gram-positive bacteria, Bacillus subtilis and Staphylococcus aureus, and two Gram-negative bacteria, Klebsiella pneumoniae and Escherichia coli, using the zone of inhibition method (values in mm).</w:t>
      </w:r>
    </w:p>
    <w:p w14:paraId="1C0BB5B9" w14:textId="77777777" w:rsidR="00904953" w:rsidRPr="0092511B" w:rsidRDefault="00904953" w:rsidP="00904953">
      <w:pPr>
        <w:spacing w:line="360" w:lineRule="auto"/>
        <w:jc w:val="both"/>
        <w:rPr>
          <w:rFonts w:ascii="Arial" w:hAnsi="Arial" w:cs="Arial"/>
          <w:sz w:val="20"/>
          <w:szCs w:val="20"/>
        </w:rPr>
      </w:pPr>
      <w:r w:rsidRPr="0092511B">
        <w:rPr>
          <w:rFonts w:ascii="Arial" w:hAnsi="Arial" w:cs="Arial"/>
          <w:sz w:val="20"/>
          <w:szCs w:val="20"/>
        </w:rPr>
        <w:t>Compound 3a exhibited moderate activity with zones of inhibition of 12 mm against B. subtilis, 12 mm against S. aureus, 09 mm against K. pneumoniae, and 11 mm against E. coli.</w:t>
      </w:r>
    </w:p>
    <w:p w14:paraId="04376A9C" w14:textId="4CA72E97" w:rsidR="003313AA" w:rsidRPr="0092511B" w:rsidRDefault="00904953" w:rsidP="007C2D63">
      <w:pPr>
        <w:spacing w:line="360" w:lineRule="auto"/>
        <w:jc w:val="both"/>
        <w:rPr>
          <w:rFonts w:ascii="Arial" w:hAnsi="Arial" w:cs="Arial"/>
          <w:sz w:val="20"/>
          <w:szCs w:val="20"/>
        </w:rPr>
      </w:pPr>
      <w:r w:rsidRPr="0092511B">
        <w:rPr>
          <w:rFonts w:ascii="Arial" w:hAnsi="Arial" w:cs="Arial"/>
          <w:sz w:val="20"/>
          <w:szCs w:val="20"/>
        </w:rPr>
        <w:t>Compound 3b showed 13 mm inhibition against B. subtilis, 09 mm against S. aureus, 12 mm against K. pneumoniae, and 13 mm against E. coli, indicating better activity against Gram-negative bacteria compared to Gram-positive strains. Compound 3c demonstrated zones of 14 mm against B. subtilis, 11 mm against S. aureus, 09 mm against K. pneumoniae, and 08 mm against E. coli, showing comparatively lower activity against Gram-negative organisms. Compound 3d displayed enhanced antibacterial activity with inhibition zones of 13 mm against B. subtilis, 13 mm against S. aureus, 13 mm against K. pneumoniae, and the highest observed value of 16 mm against E. coli, indicating broad-spectrum effectiveness. Compound 3e was found to be the most active derivative overall, showing 15 mm against B. subtilis, 14 mm against S. aureus, 15 mm against K. pneumoniae, and 14 mm against E. coli, demonstrating strong and consistent antibacterial activity against both Gram-positive and Gram-negative strains. Overall, among all synthesized compounds, 3e exhibited the highest and most consistent antibacterial potency, followed by 3d, while compounds 3a, 3b, and 3c showed moderate to variable activity. The results suggest that structural modification in compounds 3d and 3e significantly enhances antibacterial efficacy against both Gram-positive and Gram-negative bacterial strains.</w:t>
      </w:r>
    </w:p>
    <w:p w14:paraId="224610CA" w14:textId="3E9D3798" w:rsidR="00383806" w:rsidRPr="0092511B" w:rsidRDefault="00B75477" w:rsidP="00B75477">
      <w:pPr>
        <w:spacing w:line="360" w:lineRule="auto"/>
        <w:jc w:val="center"/>
        <w:rPr>
          <w:rFonts w:ascii="Arial" w:hAnsi="Arial" w:cs="Arial"/>
          <w:sz w:val="20"/>
          <w:szCs w:val="20"/>
        </w:rPr>
      </w:pPr>
      <w:r w:rsidRPr="0092511B">
        <w:rPr>
          <w:rFonts w:ascii="Arial" w:eastAsia="Times New Roman" w:hAnsi="Arial" w:cs="Arial"/>
          <w:b/>
          <w:sz w:val="20"/>
          <w:szCs w:val="20"/>
          <w:lang w:eastAsia="zh-CN"/>
        </w:rPr>
        <w:t>Table-</w:t>
      </w:r>
      <w:r w:rsidR="00574A53" w:rsidRPr="0092511B">
        <w:rPr>
          <w:rFonts w:ascii="Arial" w:eastAsia="Times New Roman" w:hAnsi="Arial" w:cs="Arial"/>
          <w:b/>
          <w:sz w:val="20"/>
          <w:szCs w:val="20"/>
          <w:lang w:eastAsia="zh-CN"/>
        </w:rPr>
        <w:t>2</w:t>
      </w:r>
      <w:r w:rsidRPr="0092511B">
        <w:rPr>
          <w:rFonts w:ascii="Arial" w:eastAsia="Times New Roman" w:hAnsi="Arial" w:cs="Arial"/>
          <w:b/>
          <w:sz w:val="20"/>
          <w:szCs w:val="20"/>
          <w:lang w:eastAsia="zh-CN"/>
        </w:rPr>
        <w:t xml:space="preserve"> Antibacterial Activity of Compounds (3a-3e)</w:t>
      </w:r>
    </w:p>
    <w:tbl>
      <w:tblPr>
        <w:tblpPr w:leftFromText="180" w:rightFromText="180" w:vertAnchor="text" w:horzAnchor="margin" w:tblpY="-34"/>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342"/>
        <w:gridCol w:w="2389"/>
        <w:gridCol w:w="1903"/>
        <w:gridCol w:w="2374"/>
      </w:tblGrid>
      <w:tr w:rsidR="00A228D3" w:rsidRPr="0092511B" w14:paraId="7C68BE41" w14:textId="77777777" w:rsidTr="00A228D3">
        <w:trPr>
          <w:trHeight w:val="47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3E7B36E"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lastRenderedPageBreak/>
              <w:t>Comp.</w:t>
            </w:r>
          </w:p>
          <w:p w14:paraId="0ADB4487"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No.</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18E0A00C"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Zone of Inhibition(mm)</w:t>
            </w:r>
          </w:p>
        </w:tc>
      </w:tr>
      <w:tr w:rsidR="00A228D3" w:rsidRPr="0092511B" w14:paraId="42E37639" w14:textId="77777777" w:rsidTr="00A228D3">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57B1E8" w14:textId="77777777" w:rsidR="00A228D3" w:rsidRPr="0092511B" w:rsidRDefault="00A228D3" w:rsidP="00A228D3">
            <w:pPr>
              <w:rPr>
                <w:rFonts w:ascii="Arial" w:eastAsia="Times New Roman" w:hAnsi="Arial" w:cs="Arial"/>
                <w:b/>
                <w:bCs/>
                <w:iCs/>
                <w:sz w:val="20"/>
                <w:szCs w:val="20"/>
                <w:lang w:eastAsia="zh-CN"/>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450F982"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Gram +</w:t>
            </w:r>
            <w:proofErr w:type="spellStart"/>
            <w:r w:rsidRPr="0092511B">
              <w:rPr>
                <w:rFonts w:ascii="Arial" w:eastAsia="Times New Roman" w:hAnsi="Arial" w:cs="Arial"/>
                <w:b/>
                <w:bCs/>
                <w:iCs/>
                <w:sz w:val="20"/>
                <w:szCs w:val="20"/>
                <w:lang w:eastAsia="zh-CN"/>
              </w:rPr>
              <w:t>ve</w:t>
            </w:r>
            <w:proofErr w:type="spellEnd"/>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0180BD1B"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Gram -</w:t>
            </w:r>
            <w:proofErr w:type="spellStart"/>
            <w:r w:rsidRPr="0092511B">
              <w:rPr>
                <w:rFonts w:ascii="Arial" w:eastAsia="Times New Roman" w:hAnsi="Arial" w:cs="Arial"/>
                <w:b/>
                <w:bCs/>
                <w:iCs/>
                <w:sz w:val="20"/>
                <w:szCs w:val="20"/>
                <w:lang w:eastAsia="zh-CN"/>
              </w:rPr>
              <w:t>ve</w:t>
            </w:r>
            <w:proofErr w:type="spellEnd"/>
          </w:p>
        </w:tc>
      </w:tr>
      <w:tr w:rsidR="00B75477" w:rsidRPr="0092511B" w14:paraId="3D53D22F" w14:textId="77777777" w:rsidTr="00A228D3">
        <w:trPr>
          <w:trHeight w:val="2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B3224" w14:textId="77777777" w:rsidR="00A228D3" w:rsidRPr="0092511B" w:rsidRDefault="00A228D3" w:rsidP="00A228D3">
            <w:pPr>
              <w:rPr>
                <w:rFonts w:ascii="Arial" w:eastAsia="Times New Roman" w:hAnsi="Arial" w:cs="Arial"/>
                <w:b/>
                <w:bCs/>
                <w:iCs/>
                <w:sz w:val="20"/>
                <w:szCs w:val="20"/>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8FF4E52"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Bacillus</w:t>
            </w:r>
          </w:p>
          <w:p w14:paraId="156C5EF5"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Subtilis</w:t>
            </w:r>
          </w:p>
        </w:tc>
        <w:tc>
          <w:tcPr>
            <w:tcW w:w="0" w:type="auto"/>
            <w:tcBorders>
              <w:top w:val="single" w:sz="4" w:space="0" w:color="auto"/>
              <w:left w:val="single" w:sz="4" w:space="0" w:color="auto"/>
              <w:bottom w:val="single" w:sz="4" w:space="0" w:color="auto"/>
              <w:right w:val="single" w:sz="4" w:space="0" w:color="auto"/>
            </w:tcBorders>
            <w:vAlign w:val="center"/>
            <w:hideMark/>
          </w:tcPr>
          <w:p w14:paraId="79839532"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Staphylococcus</w:t>
            </w:r>
          </w:p>
          <w:p w14:paraId="47FFA835"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aureus</w:t>
            </w:r>
          </w:p>
        </w:tc>
        <w:tc>
          <w:tcPr>
            <w:tcW w:w="0" w:type="auto"/>
            <w:tcBorders>
              <w:top w:val="single" w:sz="4" w:space="0" w:color="auto"/>
              <w:left w:val="single" w:sz="4" w:space="0" w:color="auto"/>
              <w:bottom w:val="single" w:sz="4" w:space="0" w:color="auto"/>
              <w:right w:val="single" w:sz="4" w:space="0" w:color="auto"/>
            </w:tcBorders>
            <w:vAlign w:val="center"/>
            <w:hideMark/>
          </w:tcPr>
          <w:p w14:paraId="35E4DBA3"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Klebsiella</w:t>
            </w:r>
          </w:p>
          <w:p w14:paraId="27CAC2A6"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pneumoniae</w:t>
            </w:r>
          </w:p>
        </w:tc>
        <w:tc>
          <w:tcPr>
            <w:tcW w:w="0" w:type="auto"/>
            <w:tcBorders>
              <w:top w:val="single" w:sz="4" w:space="0" w:color="auto"/>
              <w:left w:val="single" w:sz="4" w:space="0" w:color="auto"/>
              <w:bottom w:val="single" w:sz="4" w:space="0" w:color="auto"/>
              <w:right w:val="single" w:sz="4" w:space="0" w:color="auto"/>
            </w:tcBorders>
            <w:vAlign w:val="center"/>
            <w:hideMark/>
          </w:tcPr>
          <w:p w14:paraId="289A2A41"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Escherichia coli</w:t>
            </w:r>
          </w:p>
        </w:tc>
      </w:tr>
      <w:tr w:rsidR="00B75477" w:rsidRPr="0092511B" w14:paraId="101E7556" w14:textId="77777777" w:rsidTr="00A228D3">
        <w:trPr>
          <w:trHeight w:val="445"/>
        </w:trPr>
        <w:tc>
          <w:tcPr>
            <w:tcW w:w="0" w:type="auto"/>
            <w:tcBorders>
              <w:top w:val="single" w:sz="4" w:space="0" w:color="auto"/>
              <w:left w:val="single" w:sz="4" w:space="0" w:color="auto"/>
              <w:bottom w:val="single" w:sz="4" w:space="0" w:color="auto"/>
              <w:right w:val="single" w:sz="4" w:space="0" w:color="auto"/>
            </w:tcBorders>
            <w:vAlign w:val="center"/>
            <w:hideMark/>
          </w:tcPr>
          <w:p w14:paraId="53B3355B" w14:textId="77777777" w:rsidR="00A228D3" w:rsidRPr="0092511B" w:rsidRDefault="00A228D3" w:rsidP="00A228D3">
            <w:pPr>
              <w:jc w:val="center"/>
              <w:rPr>
                <w:rFonts w:ascii="Arial" w:eastAsia="SimSun" w:hAnsi="Arial" w:cs="Arial"/>
                <w:b/>
                <w:iCs/>
                <w:sz w:val="20"/>
                <w:szCs w:val="20"/>
                <w:lang w:eastAsia="zh-CN"/>
              </w:rPr>
            </w:pPr>
            <w:r w:rsidRPr="0092511B">
              <w:rPr>
                <w:rFonts w:ascii="Arial" w:eastAsia="SimSun" w:hAnsi="Arial" w:cs="Arial"/>
                <w:b/>
                <w:iCs/>
                <w:sz w:val="20"/>
                <w:szCs w:val="20"/>
                <w:lang w:eastAsia="zh-CN"/>
              </w:rPr>
              <w:t>3a</w:t>
            </w:r>
          </w:p>
        </w:tc>
        <w:tc>
          <w:tcPr>
            <w:tcW w:w="0" w:type="auto"/>
            <w:tcBorders>
              <w:top w:val="single" w:sz="4" w:space="0" w:color="auto"/>
              <w:left w:val="single" w:sz="4" w:space="0" w:color="auto"/>
              <w:bottom w:val="single" w:sz="4" w:space="0" w:color="auto"/>
              <w:right w:val="single" w:sz="4" w:space="0" w:color="auto"/>
            </w:tcBorders>
            <w:vAlign w:val="center"/>
            <w:hideMark/>
          </w:tcPr>
          <w:p w14:paraId="1D12CD8F"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564B732"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3D4E79C"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09</w:t>
            </w:r>
          </w:p>
        </w:tc>
        <w:tc>
          <w:tcPr>
            <w:tcW w:w="0" w:type="auto"/>
            <w:tcBorders>
              <w:top w:val="single" w:sz="4" w:space="0" w:color="auto"/>
              <w:left w:val="single" w:sz="4" w:space="0" w:color="auto"/>
              <w:bottom w:val="single" w:sz="4" w:space="0" w:color="auto"/>
              <w:right w:val="single" w:sz="4" w:space="0" w:color="auto"/>
            </w:tcBorders>
            <w:vAlign w:val="center"/>
            <w:hideMark/>
          </w:tcPr>
          <w:p w14:paraId="09C61BA0"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11</w:t>
            </w:r>
          </w:p>
        </w:tc>
      </w:tr>
      <w:tr w:rsidR="00B75477" w:rsidRPr="0092511B" w14:paraId="552F844D" w14:textId="77777777" w:rsidTr="00A228D3">
        <w:trPr>
          <w:trHeight w:val="445"/>
        </w:trPr>
        <w:tc>
          <w:tcPr>
            <w:tcW w:w="0" w:type="auto"/>
            <w:tcBorders>
              <w:top w:val="single" w:sz="4" w:space="0" w:color="auto"/>
              <w:left w:val="single" w:sz="4" w:space="0" w:color="auto"/>
              <w:bottom w:val="single" w:sz="4" w:space="0" w:color="auto"/>
              <w:right w:val="single" w:sz="4" w:space="0" w:color="auto"/>
            </w:tcBorders>
            <w:vAlign w:val="center"/>
            <w:hideMark/>
          </w:tcPr>
          <w:p w14:paraId="7B881E29" w14:textId="77777777" w:rsidR="00A228D3" w:rsidRPr="0092511B" w:rsidRDefault="00A228D3" w:rsidP="00A228D3">
            <w:pPr>
              <w:jc w:val="center"/>
              <w:rPr>
                <w:rFonts w:ascii="Arial" w:eastAsia="SimSun" w:hAnsi="Arial" w:cs="Arial"/>
                <w:b/>
                <w:iCs/>
                <w:sz w:val="20"/>
                <w:szCs w:val="20"/>
                <w:lang w:eastAsia="zh-CN"/>
              </w:rPr>
            </w:pPr>
            <w:r w:rsidRPr="0092511B">
              <w:rPr>
                <w:rFonts w:ascii="Arial" w:eastAsia="SimSun" w:hAnsi="Arial" w:cs="Arial"/>
                <w:b/>
                <w:iCs/>
                <w:sz w:val="20"/>
                <w:szCs w:val="20"/>
                <w:lang w:eastAsia="zh-CN"/>
              </w:rPr>
              <w:t>3b</w:t>
            </w:r>
          </w:p>
        </w:tc>
        <w:tc>
          <w:tcPr>
            <w:tcW w:w="0" w:type="auto"/>
            <w:tcBorders>
              <w:top w:val="single" w:sz="4" w:space="0" w:color="auto"/>
              <w:left w:val="single" w:sz="4" w:space="0" w:color="auto"/>
              <w:bottom w:val="single" w:sz="4" w:space="0" w:color="auto"/>
              <w:right w:val="single" w:sz="4" w:space="0" w:color="auto"/>
            </w:tcBorders>
            <w:vAlign w:val="center"/>
          </w:tcPr>
          <w:p w14:paraId="2FF9F465"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13</w:t>
            </w:r>
          </w:p>
        </w:tc>
        <w:tc>
          <w:tcPr>
            <w:tcW w:w="0" w:type="auto"/>
            <w:tcBorders>
              <w:top w:val="single" w:sz="4" w:space="0" w:color="auto"/>
              <w:left w:val="single" w:sz="4" w:space="0" w:color="auto"/>
              <w:bottom w:val="single" w:sz="4" w:space="0" w:color="auto"/>
              <w:right w:val="single" w:sz="4" w:space="0" w:color="auto"/>
            </w:tcBorders>
            <w:vAlign w:val="center"/>
          </w:tcPr>
          <w:p w14:paraId="232196F1"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09</w:t>
            </w:r>
          </w:p>
        </w:tc>
        <w:tc>
          <w:tcPr>
            <w:tcW w:w="0" w:type="auto"/>
            <w:tcBorders>
              <w:top w:val="single" w:sz="4" w:space="0" w:color="auto"/>
              <w:left w:val="single" w:sz="4" w:space="0" w:color="auto"/>
              <w:bottom w:val="single" w:sz="4" w:space="0" w:color="auto"/>
              <w:right w:val="single" w:sz="4" w:space="0" w:color="auto"/>
            </w:tcBorders>
            <w:vAlign w:val="center"/>
          </w:tcPr>
          <w:p w14:paraId="5AA863A1"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12</w:t>
            </w:r>
          </w:p>
        </w:tc>
        <w:tc>
          <w:tcPr>
            <w:tcW w:w="0" w:type="auto"/>
            <w:tcBorders>
              <w:top w:val="single" w:sz="4" w:space="0" w:color="auto"/>
              <w:left w:val="single" w:sz="4" w:space="0" w:color="auto"/>
              <w:bottom w:val="single" w:sz="4" w:space="0" w:color="auto"/>
              <w:right w:val="single" w:sz="4" w:space="0" w:color="auto"/>
            </w:tcBorders>
            <w:vAlign w:val="center"/>
          </w:tcPr>
          <w:p w14:paraId="09030DA7"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13</w:t>
            </w:r>
          </w:p>
        </w:tc>
      </w:tr>
      <w:tr w:rsidR="00B75477" w:rsidRPr="0092511B" w14:paraId="72CC3A3A" w14:textId="77777777" w:rsidTr="00A228D3">
        <w:trPr>
          <w:trHeight w:val="445"/>
        </w:trPr>
        <w:tc>
          <w:tcPr>
            <w:tcW w:w="0" w:type="auto"/>
            <w:tcBorders>
              <w:top w:val="single" w:sz="4" w:space="0" w:color="auto"/>
              <w:left w:val="single" w:sz="4" w:space="0" w:color="auto"/>
              <w:bottom w:val="single" w:sz="4" w:space="0" w:color="auto"/>
              <w:right w:val="single" w:sz="4" w:space="0" w:color="auto"/>
            </w:tcBorders>
            <w:vAlign w:val="center"/>
            <w:hideMark/>
          </w:tcPr>
          <w:p w14:paraId="1AF36680" w14:textId="77777777" w:rsidR="00A228D3" w:rsidRPr="0092511B" w:rsidRDefault="00A228D3" w:rsidP="00A228D3">
            <w:pPr>
              <w:jc w:val="center"/>
              <w:rPr>
                <w:rFonts w:ascii="Arial" w:eastAsia="SimSun" w:hAnsi="Arial" w:cs="Arial"/>
                <w:b/>
                <w:iCs/>
                <w:sz w:val="20"/>
                <w:szCs w:val="20"/>
                <w:lang w:eastAsia="zh-CN"/>
              </w:rPr>
            </w:pPr>
            <w:r w:rsidRPr="0092511B">
              <w:rPr>
                <w:rFonts w:ascii="Arial" w:eastAsia="SimSun" w:hAnsi="Arial" w:cs="Arial"/>
                <w:b/>
                <w:iCs/>
                <w:sz w:val="20"/>
                <w:szCs w:val="20"/>
                <w:lang w:eastAsia="zh-CN"/>
              </w:rPr>
              <w:t>3c</w:t>
            </w:r>
          </w:p>
        </w:tc>
        <w:tc>
          <w:tcPr>
            <w:tcW w:w="0" w:type="auto"/>
            <w:tcBorders>
              <w:top w:val="single" w:sz="4" w:space="0" w:color="auto"/>
              <w:left w:val="single" w:sz="4" w:space="0" w:color="auto"/>
              <w:bottom w:val="single" w:sz="4" w:space="0" w:color="auto"/>
              <w:right w:val="single" w:sz="4" w:space="0" w:color="auto"/>
            </w:tcBorders>
            <w:vAlign w:val="center"/>
          </w:tcPr>
          <w:p w14:paraId="06AFFEE4"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14</w:t>
            </w:r>
          </w:p>
        </w:tc>
        <w:tc>
          <w:tcPr>
            <w:tcW w:w="0" w:type="auto"/>
            <w:tcBorders>
              <w:top w:val="single" w:sz="4" w:space="0" w:color="auto"/>
              <w:left w:val="single" w:sz="4" w:space="0" w:color="auto"/>
              <w:bottom w:val="single" w:sz="4" w:space="0" w:color="auto"/>
              <w:right w:val="single" w:sz="4" w:space="0" w:color="auto"/>
            </w:tcBorders>
            <w:vAlign w:val="center"/>
          </w:tcPr>
          <w:p w14:paraId="28D221C2"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11</w:t>
            </w:r>
          </w:p>
        </w:tc>
        <w:tc>
          <w:tcPr>
            <w:tcW w:w="0" w:type="auto"/>
            <w:tcBorders>
              <w:top w:val="single" w:sz="4" w:space="0" w:color="auto"/>
              <w:left w:val="single" w:sz="4" w:space="0" w:color="auto"/>
              <w:bottom w:val="single" w:sz="4" w:space="0" w:color="auto"/>
              <w:right w:val="single" w:sz="4" w:space="0" w:color="auto"/>
            </w:tcBorders>
            <w:vAlign w:val="center"/>
          </w:tcPr>
          <w:p w14:paraId="2065DA68"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09</w:t>
            </w:r>
          </w:p>
        </w:tc>
        <w:tc>
          <w:tcPr>
            <w:tcW w:w="0" w:type="auto"/>
            <w:tcBorders>
              <w:top w:val="single" w:sz="4" w:space="0" w:color="auto"/>
              <w:left w:val="single" w:sz="4" w:space="0" w:color="auto"/>
              <w:bottom w:val="single" w:sz="4" w:space="0" w:color="auto"/>
              <w:right w:val="single" w:sz="4" w:space="0" w:color="auto"/>
            </w:tcBorders>
            <w:vAlign w:val="center"/>
          </w:tcPr>
          <w:p w14:paraId="7E7893D4"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08</w:t>
            </w:r>
          </w:p>
        </w:tc>
      </w:tr>
      <w:tr w:rsidR="00B75477" w:rsidRPr="0092511B" w14:paraId="5E6173A6" w14:textId="77777777" w:rsidTr="00A228D3">
        <w:trPr>
          <w:trHeight w:val="445"/>
        </w:trPr>
        <w:tc>
          <w:tcPr>
            <w:tcW w:w="0" w:type="auto"/>
            <w:tcBorders>
              <w:top w:val="single" w:sz="4" w:space="0" w:color="auto"/>
              <w:left w:val="single" w:sz="4" w:space="0" w:color="auto"/>
              <w:bottom w:val="single" w:sz="4" w:space="0" w:color="auto"/>
              <w:right w:val="single" w:sz="4" w:space="0" w:color="auto"/>
            </w:tcBorders>
            <w:vAlign w:val="center"/>
            <w:hideMark/>
          </w:tcPr>
          <w:p w14:paraId="1FE2B9FC" w14:textId="77777777" w:rsidR="00A228D3" w:rsidRPr="0092511B" w:rsidRDefault="00A228D3" w:rsidP="00A228D3">
            <w:pPr>
              <w:jc w:val="center"/>
              <w:rPr>
                <w:rFonts w:ascii="Arial" w:eastAsia="SimSun" w:hAnsi="Arial" w:cs="Arial"/>
                <w:b/>
                <w:iCs/>
                <w:sz w:val="20"/>
                <w:szCs w:val="20"/>
                <w:lang w:eastAsia="zh-CN"/>
              </w:rPr>
            </w:pPr>
            <w:r w:rsidRPr="0092511B">
              <w:rPr>
                <w:rFonts w:ascii="Arial" w:eastAsia="SimSun" w:hAnsi="Arial" w:cs="Arial"/>
                <w:b/>
                <w:iCs/>
                <w:sz w:val="20"/>
                <w:szCs w:val="20"/>
                <w:lang w:eastAsia="zh-CN"/>
              </w:rPr>
              <w:t>3d</w:t>
            </w:r>
          </w:p>
        </w:tc>
        <w:tc>
          <w:tcPr>
            <w:tcW w:w="0" w:type="auto"/>
            <w:tcBorders>
              <w:top w:val="single" w:sz="4" w:space="0" w:color="auto"/>
              <w:left w:val="single" w:sz="4" w:space="0" w:color="auto"/>
              <w:bottom w:val="single" w:sz="4" w:space="0" w:color="auto"/>
              <w:right w:val="single" w:sz="4" w:space="0" w:color="auto"/>
            </w:tcBorders>
            <w:vAlign w:val="center"/>
          </w:tcPr>
          <w:p w14:paraId="5805B636"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13</w:t>
            </w:r>
          </w:p>
        </w:tc>
        <w:tc>
          <w:tcPr>
            <w:tcW w:w="0" w:type="auto"/>
            <w:tcBorders>
              <w:top w:val="single" w:sz="4" w:space="0" w:color="auto"/>
              <w:left w:val="single" w:sz="4" w:space="0" w:color="auto"/>
              <w:bottom w:val="single" w:sz="4" w:space="0" w:color="auto"/>
              <w:right w:val="single" w:sz="4" w:space="0" w:color="auto"/>
            </w:tcBorders>
            <w:vAlign w:val="center"/>
          </w:tcPr>
          <w:p w14:paraId="6E2C2243"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13</w:t>
            </w:r>
          </w:p>
        </w:tc>
        <w:tc>
          <w:tcPr>
            <w:tcW w:w="0" w:type="auto"/>
            <w:tcBorders>
              <w:top w:val="single" w:sz="4" w:space="0" w:color="auto"/>
              <w:left w:val="single" w:sz="4" w:space="0" w:color="auto"/>
              <w:bottom w:val="single" w:sz="4" w:space="0" w:color="auto"/>
              <w:right w:val="single" w:sz="4" w:space="0" w:color="auto"/>
            </w:tcBorders>
            <w:vAlign w:val="center"/>
          </w:tcPr>
          <w:p w14:paraId="2E2B4CB7"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13</w:t>
            </w:r>
          </w:p>
        </w:tc>
        <w:tc>
          <w:tcPr>
            <w:tcW w:w="0" w:type="auto"/>
            <w:tcBorders>
              <w:top w:val="single" w:sz="4" w:space="0" w:color="auto"/>
              <w:left w:val="single" w:sz="4" w:space="0" w:color="auto"/>
              <w:bottom w:val="single" w:sz="4" w:space="0" w:color="auto"/>
              <w:right w:val="single" w:sz="4" w:space="0" w:color="auto"/>
            </w:tcBorders>
            <w:vAlign w:val="center"/>
          </w:tcPr>
          <w:p w14:paraId="4E2AE35E"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16</w:t>
            </w:r>
          </w:p>
        </w:tc>
      </w:tr>
      <w:tr w:rsidR="00B75477" w:rsidRPr="0092511B" w14:paraId="536DEAF2" w14:textId="77777777" w:rsidTr="00A228D3">
        <w:trPr>
          <w:trHeight w:val="445"/>
        </w:trPr>
        <w:tc>
          <w:tcPr>
            <w:tcW w:w="0" w:type="auto"/>
            <w:tcBorders>
              <w:top w:val="single" w:sz="4" w:space="0" w:color="auto"/>
              <w:left w:val="single" w:sz="4" w:space="0" w:color="auto"/>
              <w:bottom w:val="single" w:sz="4" w:space="0" w:color="auto"/>
              <w:right w:val="single" w:sz="4" w:space="0" w:color="auto"/>
            </w:tcBorders>
            <w:vAlign w:val="center"/>
            <w:hideMark/>
          </w:tcPr>
          <w:p w14:paraId="5B9E93B9" w14:textId="77777777" w:rsidR="00A228D3" w:rsidRPr="0092511B" w:rsidRDefault="00A228D3" w:rsidP="00A228D3">
            <w:pPr>
              <w:jc w:val="center"/>
              <w:rPr>
                <w:rFonts w:ascii="Arial" w:eastAsia="SimSun" w:hAnsi="Arial" w:cs="Arial"/>
                <w:b/>
                <w:iCs/>
                <w:sz w:val="20"/>
                <w:szCs w:val="20"/>
                <w:lang w:eastAsia="zh-CN"/>
              </w:rPr>
            </w:pPr>
            <w:r w:rsidRPr="0092511B">
              <w:rPr>
                <w:rFonts w:ascii="Arial" w:eastAsia="SimSun" w:hAnsi="Arial" w:cs="Arial"/>
                <w:b/>
                <w:iCs/>
                <w:sz w:val="20"/>
                <w:szCs w:val="20"/>
                <w:lang w:eastAsia="zh-CN"/>
              </w:rPr>
              <w:t>3e</w:t>
            </w:r>
          </w:p>
        </w:tc>
        <w:tc>
          <w:tcPr>
            <w:tcW w:w="0" w:type="auto"/>
            <w:tcBorders>
              <w:top w:val="single" w:sz="4" w:space="0" w:color="auto"/>
              <w:left w:val="single" w:sz="4" w:space="0" w:color="auto"/>
              <w:bottom w:val="single" w:sz="4" w:space="0" w:color="auto"/>
              <w:right w:val="single" w:sz="4" w:space="0" w:color="auto"/>
            </w:tcBorders>
            <w:vAlign w:val="center"/>
          </w:tcPr>
          <w:p w14:paraId="6D961A0A"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15</w:t>
            </w:r>
          </w:p>
        </w:tc>
        <w:tc>
          <w:tcPr>
            <w:tcW w:w="0" w:type="auto"/>
            <w:tcBorders>
              <w:top w:val="single" w:sz="4" w:space="0" w:color="auto"/>
              <w:left w:val="single" w:sz="4" w:space="0" w:color="auto"/>
              <w:bottom w:val="single" w:sz="4" w:space="0" w:color="auto"/>
              <w:right w:val="single" w:sz="4" w:space="0" w:color="auto"/>
            </w:tcBorders>
            <w:vAlign w:val="center"/>
          </w:tcPr>
          <w:p w14:paraId="3271D8CF"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14</w:t>
            </w:r>
          </w:p>
        </w:tc>
        <w:tc>
          <w:tcPr>
            <w:tcW w:w="0" w:type="auto"/>
            <w:tcBorders>
              <w:top w:val="single" w:sz="4" w:space="0" w:color="auto"/>
              <w:left w:val="single" w:sz="4" w:space="0" w:color="auto"/>
              <w:bottom w:val="single" w:sz="4" w:space="0" w:color="auto"/>
              <w:right w:val="single" w:sz="4" w:space="0" w:color="auto"/>
            </w:tcBorders>
            <w:vAlign w:val="center"/>
          </w:tcPr>
          <w:p w14:paraId="54975BAF"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15</w:t>
            </w:r>
          </w:p>
        </w:tc>
        <w:tc>
          <w:tcPr>
            <w:tcW w:w="0" w:type="auto"/>
            <w:tcBorders>
              <w:top w:val="single" w:sz="4" w:space="0" w:color="auto"/>
              <w:left w:val="single" w:sz="4" w:space="0" w:color="auto"/>
              <w:bottom w:val="single" w:sz="4" w:space="0" w:color="auto"/>
              <w:right w:val="single" w:sz="4" w:space="0" w:color="auto"/>
            </w:tcBorders>
            <w:vAlign w:val="center"/>
          </w:tcPr>
          <w:p w14:paraId="4DA52449"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14</w:t>
            </w:r>
          </w:p>
        </w:tc>
      </w:tr>
    </w:tbl>
    <w:p w14:paraId="49FD40FE" w14:textId="77777777" w:rsidR="00D91EFE" w:rsidRPr="0092511B" w:rsidRDefault="00D91EFE" w:rsidP="00777FAF">
      <w:pPr>
        <w:spacing w:line="360" w:lineRule="auto"/>
        <w:jc w:val="both"/>
        <w:rPr>
          <w:rFonts w:ascii="Arial" w:hAnsi="Arial" w:cs="Arial"/>
          <w:noProof/>
          <w:sz w:val="20"/>
          <w:szCs w:val="20"/>
        </w:rPr>
      </w:pPr>
    </w:p>
    <w:p w14:paraId="78B34440" w14:textId="7EF70D84" w:rsidR="00E25D76" w:rsidRPr="0092511B" w:rsidRDefault="000779A7" w:rsidP="00777FAF">
      <w:pPr>
        <w:spacing w:line="360" w:lineRule="auto"/>
        <w:jc w:val="both"/>
        <w:rPr>
          <w:rFonts w:ascii="Arial" w:hAnsi="Arial" w:cs="Arial"/>
          <w:b/>
          <w:bCs/>
          <w:sz w:val="20"/>
          <w:szCs w:val="20"/>
        </w:rPr>
      </w:pPr>
      <w:r w:rsidRPr="0092511B">
        <w:rPr>
          <w:rFonts w:ascii="Arial" w:hAnsi="Arial" w:cs="Arial"/>
          <w:noProof/>
          <w:sz w:val="20"/>
          <w:szCs w:val="20"/>
        </w:rPr>
        <w:drawing>
          <wp:inline distT="0" distB="0" distL="0" distR="0" wp14:anchorId="6CE938E1" wp14:editId="66A9BBC0">
            <wp:extent cx="5731510" cy="3545840"/>
            <wp:effectExtent l="0" t="0" r="2540" b="0"/>
            <wp:docPr id="609284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545840"/>
                    </a:xfrm>
                    <a:prstGeom prst="rect">
                      <a:avLst/>
                    </a:prstGeom>
                    <a:noFill/>
                    <a:ln>
                      <a:noFill/>
                    </a:ln>
                  </pic:spPr>
                </pic:pic>
              </a:graphicData>
            </a:graphic>
          </wp:inline>
        </w:drawing>
      </w:r>
    </w:p>
    <w:p w14:paraId="56478913" w14:textId="1413B051" w:rsidR="002E2781" w:rsidRPr="0092511B" w:rsidRDefault="002E2781" w:rsidP="002E2781">
      <w:pPr>
        <w:spacing w:line="360" w:lineRule="auto"/>
        <w:jc w:val="center"/>
        <w:rPr>
          <w:rFonts w:ascii="Arial" w:hAnsi="Arial" w:cs="Arial"/>
          <w:b/>
          <w:bCs/>
          <w:sz w:val="20"/>
          <w:szCs w:val="20"/>
        </w:rPr>
      </w:pPr>
      <w:r w:rsidRPr="0092511B">
        <w:rPr>
          <w:rFonts w:ascii="Arial" w:hAnsi="Arial" w:cs="Arial"/>
          <w:b/>
          <w:bCs/>
          <w:sz w:val="20"/>
          <w:szCs w:val="20"/>
        </w:rPr>
        <w:t>Figure 1 Comparison of Antibacterial activity of Synthesis compounds(3a-3e)</w:t>
      </w:r>
    </w:p>
    <w:p w14:paraId="63A18B39" w14:textId="77777777" w:rsidR="002E2781" w:rsidRPr="0092511B" w:rsidRDefault="00626F92" w:rsidP="00626F92">
      <w:pPr>
        <w:spacing w:line="360" w:lineRule="auto"/>
        <w:jc w:val="both"/>
        <w:rPr>
          <w:rFonts w:ascii="Arial" w:eastAsia="Times New Roman" w:hAnsi="Arial" w:cs="Arial"/>
          <w:bCs/>
          <w:iCs/>
          <w:sz w:val="20"/>
          <w:szCs w:val="20"/>
          <w:lang w:eastAsia="zh-CN"/>
        </w:rPr>
      </w:pPr>
      <w:r w:rsidRPr="0092511B">
        <w:rPr>
          <w:rFonts w:ascii="Arial" w:eastAsia="Times New Roman" w:hAnsi="Arial" w:cs="Arial"/>
          <w:bCs/>
          <w:iCs/>
          <w:sz w:val="20"/>
          <w:szCs w:val="20"/>
          <w:lang w:eastAsia="zh-CN"/>
        </w:rPr>
        <w:t xml:space="preserve">The antifungal activity of synthesized compounds (3a–3e) was evaluated at 1000 ppm against </w:t>
      </w:r>
    </w:p>
    <w:p w14:paraId="7CFAFDDE" w14:textId="6C50678D" w:rsidR="00626F92" w:rsidRPr="0092511B" w:rsidRDefault="00626F92" w:rsidP="00626F92">
      <w:pPr>
        <w:spacing w:line="360" w:lineRule="auto"/>
        <w:jc w:val="both"/>
        <w:rPr>
          <w:rFonts w:ascii="Arial" w:eastAsia="Times New Roman" w:hAnsi="Arial" w:cs="Arial"/>
          <w:bCs/>
          <w:iCs/>
          <w:sz w:val="20"/>
          <w:szCs w:val="20"/>
          <w:lang w:eastAsia="zh-CN"/>
        </w:rPr>
      </w:pPr>
      <w:r w:rsidRPr="0092511B">
        <w:rPr>
          <w:rFonts w:ascii="Arial" w:eastAsia="Times New Roman" w:hAnsi="Arial" w:cs="Arial"/>
          <w:bCs/>
          <w:iCs/>
          <w:sz w:val="20"/>
          <w:szCs w:val="20"/>
          <w:lang w:eastAsia="zh-CN"/>
        </w:rPr>
        <w:t xml:space="preserve">four fungal strains: </w:t>
      </w:r>
      <w:proofErr w:type="spellStart"/>
      <w:r w:rsidRPr="0092511B">
        <w:rPr>
          <w:rFonts w:ascii="Arial" w:eastAsia="Times New Roman" w:hAnsi="Arial" w:cs="Arial"/>
          <w:bCs/>
          <w:iCs/>
          <w:sz w:val="20"/>
          <w:szCs w:val="20"/>
          <w:lang w:eastAsia="zh-CN"/>
        </w:rPr>
        <w:t>Botryodiplodia</w:t>
      </w:r>
      <w:proofErr w:type="spellEnd"/>
      <w:r w:rsidRPr="0092511B">
        <w:rPr>
          <w:rFonts w:ascii="Arial" w:eastAsia="Times New Roman" w:hAnsi="Arial" w:cs="Arial"/>
          <w:bCs/>
          <w:iCs/>
          <w:sz w:val="20"/>
          <w:szCs w:val="20"/>
          <w:lang w:eastAsia="zh-CN"/>
        </w:rPr>
        <w:t xml:space="preserve"> </w:t>
      </w:r>
      <w:proofErr w:type="spellStart"/>
      <w:r w:rsidRPr="0092511B">
        <w:rPr>
          <w:rFonts w:ascii="Arial" w:eastAsia="Times New Roman" w:hAnsi="Arial" w:cs="Arial"/>
          <w:bCs/>
          <w:iCs/>
          <w:sz w:val="20"/>
          <w:szCs w:val="20"/>
          <w:lang w:eastAsia="zh-CN"/>
        </w:rPr>
        <w:t>theobromae</w:t>
      </w:r>
      <w:proofErr w:type="spellEnd"/>
      <w:r w:rsidRPr="0092511B">
        <w:rPr>
          <w:rFonts w:ascii="Arial" w:eastAsia="Times New Roman" w:hAnsi="Arial" w:cs="Arial"/>
          <w:bCs/>
          <w:iCs/>
          <w:sz w:val="20"/>
          <w:szCs w:val="20"/>
          <w:lang w:eastAsia="zh-CN"/>
        </w:rPr>
        <w:t xml:space="preserve">, </w:t>
      </w:r>
      <w:proofErr w:type="spellStart"/>
      <w:r w:rsidRPr="0092511B">
        <w:rPr>
          <w:rFonts w:ascii="Arial" w:eastAsia="Times New Roman" w:hAnsi="Arial" w:cs="Arial"/>
          <w:bCs/>
          <w:iCs/>
          <w:sz w:val="20"/>
          <w:szCs w:val="20"/>
          <w:lang w:eastAsia="zh-CN"/>
        </w:rPr>
        <w:t>Nigrospora</w:t>
      </w:r>
      <w:proofErr w:type="spellEnd"/>
      <w:r w:rsidRPr="0092511B">
        <w:rPr>
          <w:rFonts w:ascii="Arial" w:eastAsia="Times New Roman" w:hAnsi="Arial" w:cs="Arial"/>
          <w:bCs/>
          <w:iCs/>
          <w:sz w:val="20"/>
          <w:szCs w:val="20"/>
          <w:lang w:eastAsia="zh-CN"/>
        </w:rPr>
        <w:t xml:space="preserve"> sp., Penicillium </w:t>
      </w:r>
      <w:proofErr w:type="spellStart"/>
      <w:r w:rsidRPr="0092511B">
        <w:rPr>
          <w:rFonts w:ascii="Arial" w:eastAsia="Times New Roman" w:hAnsi="Arial" w:cs="Arial"/>
          <w:bCs/>
          <w:iCs/>
          <w:sz w:val="20"/>
          <w:szCs w:val="20"/>
          <w:lang w:eastAsia="zh-CN"/>
        </w:rPr>
        <w:t>expansum</w:t>
      </w:r>
      <w:proofErr w:type="spellEnd"/>
      <w:r w:rsidRPr="0092511B">
        <w:rPr>
          <w:rFonts w:ascii="Arial" w:eastAsia="Times New Roman" w:hAnsi="Arial" w:cs="Arial"/>
          <w:bCs/>
          <w:iCs/>
          <w:sz w:val="20"/>
          <w:szCs w:val="20"/>
          <w:lang w:eastAsia="zh-CN"/>
        </w:rPr>
        <w:t xml:space="preserve">, and Rhizopus nigricans. The results demonstrated moderate to good inhibitory activity. Compound 3d exhibited the highest activity against </w:t>
      </w:r>
      <w:proofErr w:type="spellStart"/>
      <w:r w:rsidRPr="0092511B">
        <w:rPr>
          <w:rFonts w:ascii="Arial" w:eastAsia="Times New Roman" w:hAnsi="Arial" w:cs="Arial"/>
          <w:bCs/>
          <w:iCs/>
          <w:sz w:val="20"/>
          <w:szCs w:val="20"/>
          <w:lang w:eastAsia="zh-CN"/>
        </w:rPr>
        <w:t>Botryodiplodia</w:t>
      </w:r>
      <w:proofErr w:type="spellEnd"/>
      <w:r w:rsidRPr="0092511B">
        <w:rPr>
          <w:rFonts w:ascii="Arial" w:eastAsia="Times New Roman" w:hAnsi="Arial" w:cs="Arial"/>
          <w:bCs/>
          <w:iCs/>
          <w:sz w:val="20"/>
          <w:szCs w:val="20"/>
          <w:lang w:eastAsia="zh-CN"/>
        </w:rPr>
        <w:t xml:space="preserve"> </w:t>
      </w:r>
      <w:proofErr w:type="spellStart"/>
      <w:r w:rsidRPr="0092511B">
        <w:rPr>
          <w:rFonts w:ascii="Arial" w:eastAsia="Times New Roman" w:hAnsi="Arial" w:cs="Arial"/>
          <w:bCs/>
          <w:iCs/>
          <w:sz w:val="20"/>
          <w:szCs w:val="20"/>
          <w:lang w:eastAsia="zh-CN"/>
        </w:rPr>
        <w:t>theobromae</w:t>
      </w:r>
      <w:proofErr w:type="spellEnd"/>
      <w:r w:rsidRPr="0092511B">
        <w:rPr>
          <w:rFonts w:ascii="Arial" w:eastAsia="Times New Roman" w:hAnsi="Arial" w:cs="Arial"/>
          <w:bCs/>
          <w:iCs/>
          <w:sz w:val="20"/>
          <w:szCs w:val="20"/>
          <w:lang w:eastAsia="zh-CN"/>
        </w:rPr>
        <w:t xml:space="preserve"> with 73% inhibition, while compound 3b and 3e showed significant inhibition against </w:t>
      </w:r>
      <w:proofErr w:type="spellStart"/>
      <w:r w:rsidRPr="0092511B">
        <w:rPr>
          <w:rFonts w:ascii="Arial" w:eastAsia="Times New Roman" w:hAnsi="Arial" w:cs="Arial"/>
          <w:bCs/>
          <w:iCs/>
          <w:sz w:val="20"/>
          <w:szCs w:val="20"/>
          <w:lang w:eastAsia="zh-CN"/>
        </w:rPr>
        <w:t>Nigrospora</w:t>
      </w:r>
      <w:proofErr w:type="spellEnd"/>
      <w:r w:rsidRPr="0092511B">
        <w:rPr>
          <w:rFonts w:ascii="Arial" w:eastAsia="Times New Roman" w:hAnsi="Arial" w:cs="Arial"/>
          <w:bCs/>
          <w:iCs/>
          <w:sz w:val="20"/>
          <w:szCs w:val="20"/>
          <w:lang w:eastAsia="zh-CN"/>
        </w:rPr>
        <w:t xml:space="preserve"> (71%). Against Penicillium </w:t>
      </w:r>
      <w:proofErr w:type="spellStart"/>
      <w:r w:rsidRPr="0092511B">
        <w:rPr>
          <w:rFonts w:ascii="Arial" w:eastAsia="Times New Roman" w:hAnsi="Arial" w:cs="Arial"/>
          <w:bCs/>
          <w:iCs/>
          <w:sz w:val="20"/>
          <w:szCs w:val="20"/>
          <w:lang w:eastAsia="zh-CN"/>
        </w:rPr>
        <w:t>expansum</w:t>
      </w:r>
      <w:proofErr w:type="spellEnd"/>
      <w:r w:rsidRPr="0092511B">
        <w:rPr>
          <w:rFonts w:ascii="Arial" w:eastAsia="Times New Roman" w:hAnsi="Arial" w:cs="Arial"/>
          <w:bCs/>
          <w:iCs/>
          <w:sz w:val="20"/>
          <w:szCs w:val="20"/>
          <w:lang w:eastAsia="zh-CN"/>
        </w:rPr>
        <w:t>, compound 3b showed maximum inhibition (69%), followed by 3e (67%). In the case of Rhizopus nigricans, compound 3a showed the highest inhibition (67%), whereas compound 3d displayed comparatively lower activity (54%). Overall, compounds 3b, 3d, and 3e demonstrated comparatively better antifungal potential among the tested derivatives</w:t>
      </w:r>
    </w:p>
    <w:p w14:paraId="6B2E6AF5" w14:textId="77777777" w:rsidR="00D6682A" w:rsidRPr="0092511B" w:rsidRDefault="00D6682A" w:rsidP="00E25D76">
      <w:pPr>
        <w:spacing w:line="360" w:lineRule="auto"/>
        <w:jc w:val="center"/>
        <w:rPr>
          <w:rFonts w:ascii="Arial" w:eastAsia="Times New Roman" w:hAnsi="Arial" w:cs="Arial"/>
          <w:b/>
          <w:iCs/>
          <w:sz w:val="20"/>
          <w:szCs w:val="20"/>
          <w:lang w:eastAsia="zh-CN"/>
        </w:rPr>
      </w:pPr>
    </w:p>
    <w:p w14:paraId="270D6EC0" w14:textId="531BC3AB" w:rsidR="00E25D76" w:rsidRPr="0092511B" w:rsidRDefault="00E25D76" w:rsidP="00E25D76">
      <w:pPr>
        <w:spacing w:line="360" w:lineRule="auto"/>
        <w:jc w:val="center"/>
        <w:rPr>
          <w:rFonts w:ascii="Arial" w:hAnsi="Arial" w:cs="Arial"/>
          <w:b/>
          <w:bCs/>
          <w:sz w:val="20"/>
          <w:szCs w:val="20"/>
        </w:rPr>
      </w:pPr>
      <w:r w:rsidRPr="0092511B">
        <w:rPr>
          <w:rFonts w:ascii="Arial" w:eastAsia="Times New Roman" w:hAnsi="Arial" w:cs="Arial"/>
          <w:b/>
          <w:iCs/>
          <w:sz w:val="20"/>
          <w:szCs w:val="20"/>
          <w:lang w:eastAsia="zh-CN"/>
        </w:rPr>
        <w:t>Table-</w:t>
      </w:r>
      <w:r w:rsidR="00574A53" w:rsidRPr="0092511B">
        <w:rPr>
          <w:rFonts w:ascii="Arial" w:eastAsia="Times New Roman" w:hAnsi="Arial" w:cs="Arial"/>
          <w:b/>
          <w:iCs/>
          <w:sz w:val="20"/>
          <w:szCs w:val="20"/>
          <w:lang w:eastAsia="zh-CN"/>
        </w:rPr>
        <w:t>3</w:t>
      </w:r>
      <w:r w:rsidRPr="0092511B">
        <w:rPr>
          <w:rFonts w:ascii="Arial" w:eastAsia="Times New Roman" w:hAnsi="Arial" w:cs="Arial"/>
          <w:b/>
          <w:iCs/>
          <w:sz w:val="20"/>
          <w:szCs w:val="20"/>
          <w:lang w:eastAsia="zh-CN"/>
        </w:rPr>
        <w:t xml:space="preserve"> Antifungal Activity of Compounds (3a-e)</w:t>
      </w:r>
    </w:p>
    <w:tbl>
      <w:tblPr>
        <w:tblStyle w:val="TableGrid0"/>
        <w:tblW w:w="9008" w:type="dxa"/>
        <w:jc w:val="center"/>
        <w:tblInd w:w="0" w:type="dxa"/>
        <w:tblCellMar>
          <w:top w:w="57" w:type="dxa"/>
          <w:left w:w="100" w:type="dxa"/>
          <w:bottom w:w="134" w:type="dxa"/>
          <w:right w:w="45" w:type="dxa"/>
        </w:tblCellMar>
        <w:tblLook w:val="04A0" w:firstRow="1" w:lastRow="0" w:firstColumn="1" w:lastColumn="0" w:noHBand="0" w:noVBand="1"/>
      </w:tblPr>
      <w:tblGrid>
        <w:gridCol w:w="1216"/>
        <w:gridCol w:w="2370"/>
        <w:gridCol w:w="1880"/>
        <w:gridCol w:w="1919"/>
        <w:gridCol w:w="1623"/>
      </w:tblGrid>
      <w:tr w:rsidR="00E25D76" w:rsidRPr="0092511B" w14:paraId="220D2B3D" w14:textId="77777777" w:rsidTr="00E25D76">
        <w:trPr>
          <w:trHeight w:val="311"/>
          <w:jc w:val="center"/>
        </w:trPr>
        <w:tc>
          <w:tcPr>
            <w:tcW w:w="1216" w:type="dxa"/>
            <w:vMerge w:val="restart"/>
            <w:tcBorders>
              <w:top w:val="single" w:sz="4" w:space="0" w:color="000000"/>
              <w:left w:val="single" w:sz="4" w:space="0" w:color="000000"/>
              <w:bottom w:val="single" w:sz="4" w:space="0" w:color="000000"/>
              <w:right w:val="single" w:sz="3" w:space="0" w:color="000000"/>
            </w:tcBorders>
            <w:vAlign w:val="center"/>
          </w:tcPr>
          <w:p w14:paraId="71F1738F" w14:textId="77777777" w:rsidR="00E25D76" w:rsidRPr="0092511B" w:rsidRDefault="00E25D76" w:rsidP="00E25D76">
            <w:pPr>
              <w:spacing w:after="109" w:line="360" w:lineRule="auto"/>
              <w:ind w:left="1"/>
              <w:jc w:val="both"/>
              <w:rPr>
                <w:rFonts w:ascii="Arial" w:hAnsi="Arial" w:cs="Arial"/>
                <w:b/>
                <w:bCs/>
                <w:sz w:val="20"/>
                <w:szCs w:val="20"/>
              </w:rPr>
            </w:pPr>
            <w:r w:rsidRPr="0092511B">
              <w:rPr>
                <w:rFonts w:ascii="Arial" w:eastAsia="Times New Roman" w:hAnsi="Arial" w:cs="Arial"/>
                <w:b/>
                <w:bCs/>
                <w:sz w:val="20"/>
                <w:szCs w:val="20"/>
              </w:rPr>
              <w:lastRenderedPageBreak/>
              <w:t xml:space="preserve">Comp. </w:t>
            </w:r>
          </w:p>
          <w:p w14:paraId="56EB2FC1" w14:textId="77777777" w:rsidR="00E25D76" w:rsidRPr="0092511B" w:rsidRDefault="00E25D76" w:rsidP="00E25D76">
            <w:pPr>
              <w:spacing w:line="360" w:lineRule="auto"/>
              <w:ind w:right="56"/>
              <w:jc w:val="center"/>
              <w:rPr>
                <w:rFonts w:ascii="Arial" w:hAnsi="Arial" w:cs="Arial"/>
                <w:b/>
                <w:bCs/>
                <w:sz w:val="20"/>
                <w:szCs w:val="20"/>
              </w:rPr>
            </w:pPr>
            <w:r w:rsidRPr="0092511B">
              <w:rPr>
                <w:rFonts w:ascii="Arial" w:eastAsia="Times New Roman" w:hAnsi="Arial" w:cs="Arial"/>
                <w:b/>
                <w:bCs/>
                <w:sz w:val="20"/>
                <w:szCs w:val="20"/>
              </w:rPr>
              <w:t xml:space="preserve">No. </w:t>
            </w:r>
          </w:p>
        </w:tc>
        <w:tc>
          <w:tcPr>
            <w:tcW w:w="7792" w:type="dxa"/>
            <w:gridSpan w:val="4"/>
            <w:tcBorders>
              <w:top w:val="single" w:sz="4" w:space="0" w:color="000000"/>
              <w:left w:val="single" w:sz="3" w:space="0" w:color="000000"/>
              <w:bottom w:val="single" w:sz="4" w:space="0" w:color="000000"/>
              <w:right w:val="single" w:sz="4" w:space="0" w:color="000000"/>
            </w:tcBorders>
          </w:tcPr>
          <w:p w14:paraId="1793F43B" w14:textId="77777777" w:rsidR="00E25D76" w:rsidRPr="0092511B" w:rsidRDefault="00E25D76" w:rsidP="00E25D76">
            <w:pPr>
              <w:spacing w:line="360" w:lineRule="auto"/>
              <w:ind w:right="66"/>
              <w:jc w:val="center"/>
              <w:rPr>
                <w:rFonts w:ascii="Arial" w:hAnsi="Arial" w:cs="Arial"/>
                <w:b/>
                <w:bCs/>
                <w:sz w:val="20"/>
                <w:szCs w:val="20"/>
              </w:rPr>
            </w:pPr>
            <w:r w:rsidRPr="0092511B">
              <w:rPr>
                <w:rFonts w:ascii="Arial" w:eastAsia="Times New Roman" w:hAnsi="Arial" w:cs="Arial"/>
                <w:b/>
                <w:bCs/>
                <w:sz w:val="20"/>
                <w:szCs w:val="20"/>
              </w:rPr>
              <w:t xml:space="preserve">Zone of Inhibition at 1000 ppm (%) </w:t>
            </w:r>
          </w:p>
        </w:tc>
      </w:tr>
      <w:tr w:rsidR="00E25D76" w:rsidRPr="0092511B" w14:paraId="1DFED44A" w14:textId="77777777" w:rsidTr="00E25D76">
        <w:trPr>
          <w:trHeight w:val="617"/>
          <w:jc w:val="center"/>
        </w:trPr>
        <w:tc>
          <w:tcPr>
            <w:tcW w:w="0" w:type="auto"/>
            <w:vMerge/>
            <w:tcBorders>
              <w:top w:val="nil"/>
              <w:left w:val="single" w:sz="4" w:space="0" w:color="000000"/>
              <w:bottom w:val="single" w:sz="4" w:space="0" w:color="000000"/>
              <w:right w:val="single" w:sz="3" w:space="0" w:color="000000"/>
            </w:tcBorders>
          </w:tcPr>
          <w:p w14:paraId="6E4098A7" w14:textId="77777777" w:rsidR="00E25D76" w:rsidRPr="0092511B" w:rsidRDefault="00E25D76" w:rsidP="00E25D76">
            <w:pPr>
              <w:spacing w:line="360" w:lineRule="auto"/>
              <w:rPr>
                <w:rFonts w:ascii="Arial" w:hAnsi="Arial" w:cs="Arial"/>
                <w:b/>
                <w:bCs/>
                <w:sz w:val="20"/>
                <w:szCs w:val="20"/>
              </w:rPr>
            </w:pPr>
          </w:p>
        </w:tc>
        <w:tc>
          <w:tcPr>
            <w:tcW w:w="2370" w:type="dxa"/>
            <w:tcBorders>
              <w:top w:val="single" w:sz="4" w:space="0" w:color="000000"/>
              <w:left w:val="single" w:sz="3" w:space="0" w:color="000000"/>
              <w:bottom w:val="single" w:sz="4" w:space="0" w:color="000000"/>
              <w:right w:val="single" w:sz="3" w:space="0" w:color="000000"/>
            </w:tcBorders>
          </w:tcPr>
          <w:p w14:paraId="3F2D222C" w14:textId="77777777" w:rsidR="00E25D76" w:rsidRPr="0092511B" w:rsidRDefault="00E25D76" w:rsidP="00E25D76">
            <w:pPr>
              <w:spacing w:line="360" w:lineRule="auto"/>
              <w:jc w:val="center"/>
              <w:rPr>
                <w:rFonts w:ascii="Arial" w:hAnsi="Arial" w:cs="Arial"/>
                <w:b/>
                <w:bCs/>
                <w:sz w:val="20"/>
                <w:szCs w:val="20"/>
              </w:rPr>
            </w:pPr>
            <w:proofErr w:type="spellStart"/>
            <w:r w:rsidRPr="0092511B">
              <w:rPr>
                <w:rFonts w:ascii="Arial" w:eastAsia="Times New Roman" w:hAnsi="Arial" w:cs="Arial"/>
                <w:b/>
                <w:bCs/>
                <w:sz w:val="20"/>
                <w:szCs w:val="20"/>
              </w:rPr>
              <w:t>Botryodiplodia</w:t>
            </w:r>
            <w:proofErr w:type="spellEnd"/>
            <w:r w:rsidRPr="0092511B">
              <w:rPr>
                <w:rFonts w:ascii="Arial" w:eastAsia="Times New Roman" w:hAnsi="Arial" w:cs="Arial"/>
                <w:b/>
                <w:bCs/>
                <w:sz w:val="20"/>
                <w:szCs w:val="20"/>
              </w:rPr>
              <w:t xml:space="preserve"> </w:t>
            </w:r>
            <w:proofErr w:type="spellStart"/>
            <w:r w:rsidRPr="0092511B">
              <w:rPr>
                <w:rFonts w:ascii="Arial" w:eastAsia="Times New Roman" w:hAnsi="Arial" w:cs="Arial"/>
                <w:b/>
                <w:bCs/>
                <w:sz w:val="20"/>
                <w:szCs w:val="20"/>
              </w:rPr>
              <w:t>theobromae</w:t>
            </w:r>
            <w:proofErr w:type="spellEnd"/>
            <w:r w:rsidRPr="0092511B">
              <w:rPr>
                <w:rFonts w:ascii="Arial" w:eastAsia="Times New Roman" w:hAnsi="Arial" w:cs="Arial"/>
                <w:b/>
                <w:bCs/>
                <w:sz w:val="20"/>
                <w:szCs w:val="20"/>
              </w:rPr>
              <w:t xml:space="preserve"> </w:t>
            </w:r>
          </w:p>
        </w:tc>
        <w:tc>
          <w:tcPr>
            <w:tcW w:w="1880" w:type="dxa"/>
            <w:tcBorders>
              <w:top w:val="single" w:sz="4" w:space="0" w:color="000000"/>
              <w:left w:val="single" w:sz="3" w:space="0" w:color="000000"/>
              <w:bottom w:val="single" w:sz="4" w:space="0" w:color="000000"/>
              <w:right w:val="single" w:sz="4" w:space="0" w:color="000000"/>
            </w:tcBorders>
            <w:vAlign w:val="bottom"/>
          </w:tcPr>
          <w:p w14:paraId="4184D437" w14:textId="77777777" w:rsidR="00E25D76" w:rsidRPr="0092511B" w:rsidRDefault="00E25D76" w:rsidP="00E25D76">
            <w:pPr>
              <w:spacing w:line="360" w:lineRule="auto"/>
              <w:ind w:left="2"/>
              <w:rPr>
                <w:rFonts w:ascii="Arial" w:hAnsi="Arial" w:cs="Arial"/>
                <w:b/>
                <w:bCs/>
                <w:sz w:val="20"/>
                <w:szCs w:val="20"/>
              </w:rPr>
            </w:pPr>
            <w:proofErr w:type="spellStart"/>
            <w:r w:rsidRPr="0092511B">
              <w:rPr>
                <w:rFonts w:ascii="Arial" w:eastAsia="Times New Roman" w:hAnsi="Arial" w:cs="Arial"/>
                <w:b/>
                <w:bCs/>
                <w:sz w:val="20"/>
                <w:szCs w:val="20"/>
              </w:rPr>
              <w:t>Nigrospora</w:t>
            </w:r>
            <w:proofErr w:type="spellEnd"/>
            <w:r w:rsidRPr="0092511B">
              <w:rPr>
                <w:rFonts w:ascii="Arial" w:eastAsia="Times New Roman" w:hAnsi="Arial" w:cs="Arial"/>
                <w:b/>
                <w:bCs/>
                <w:sz w:val="20"/>
                <w:szCs w:val="20"/>
              </w:rPr>
              <w:t xml:space="preserve"> </w:t>
            </w:r>
          </w:p>
          <w:p w14:paraId="1FCE20D8" w14:textId="77777777" w:rsidR="00E25D76" w:rsidRPr="0092511B" w:rsidRDefault="00E25D76" w:rsidP="00E25D76">
            <w:pPr>
              <w:spacing w:line="360" w:lineRule="auto"/>
              <w:jc w:val="center"/>
              <w:rPr>
                <w:rFonts w:ascii="Arial" w:hAnsi="Arial" w:cs="Arial"/>
                <w:b/>
                <w:bCs/>
                <w:sz w:val="20"/>
                <w:szCs w:val="20"/>
              </w:rPr>
            </w:pPr>
            <w:r w:rsidRPr="0092511B">
              <w:rPr>
                <w:rFonts w:ascii="Arial" w:eastAsia="Times New Roman" w:hAnsi="Arial" w:cs="Arial"/>
                <w:b/>
                <w:bCs/>
                <w:sz w:val="20"/>
                <w:szCs w:val="20"/>
              </w:rPr>
              <w:t xml:space="preserve"> </w:t>
            </w:r>
          </w:p>
        </w:tc>
        <w:tc>
          <w:tcPr>
            <w:tcW w:w="1919" w:type="dxa"/>
            <w:tcBorders>
              <w:top w:val="single" w:sz="4" w:space="0" w:color="000000"/>
              <w:left w:val="single" w:sz="4" w:space="0" w:color="000000"/>
              <w:bottom w:val="single" w:sz="4" w:space="0" w:color="000000"/>
              <w:right w:val="single" w:sz="4" w:space="0" w:color="000000"/>
            </w:tcBorders>
          </w:tcPr>
          <w:p w14:paraId="41CEB04C" w14:textId="77777777" w:rsidR="00E25D76" w:rsidRPr="0092511B" w:rsidRDefault="00E25D76" w:rsidP="00E25D76">
            <w:pPr>
              <w:spacing w:line="360" w:lineRule="auto"/>
              <w:jc w:val="center"/>
              <w:rPr>
                <w:rFonts w:ascii="Arial" w:hAnsi="Arial" w:cs="Arial"/>
                <w:b/>
                <w:bCs/>
                <w:sz w:val="20"/>
                <w:szCs w:val="20"/>
              </w:rPr>
            </w:pPr>
            <w:r w:rsidRPr="0092511B">
              <w:rPr>
                <w:rFonts w:ascii="Arial" w:eastAsia="Times New Roman" w:hAnsi="Arial" w:cs="Arial"/>
                <w:b/>
                <w:bCs/>
                <w:sz w:val="20"/>
                <w:szCs w:val="20"/>
              </w:rPr>
              <w:t xml:space="preserve">Penicillium </w:t>
            </w:r>
            <w:proofErr w:type="spellStart"/>
            <w:r w:rsidRPr="0092511B">
              <w:rPr>
                <w:rFonts w:ascii="Arial" w:eastAsia="Times New Roman" w:hAnsi="Arial" w:cs="Arial"/>
                <w:b/>
                <w:bCs/>
                <w:sz w:val="20"/>
                <w:szCs w:val="20"/>
              </w:rPr>
              <w:t>expansum</w:t>
            </w:r>
            <w:proofErr w:type="spellEnd"/>
            <w:r w:rsidRPr="0092511B">
              <w:rPr>
                <w:rFonts w:ascii="Arial" w:eastAsia="Times New Roman" w:hAnsi="Arial" w:cs="Arial"/>
                <w:b/>
                <w:bCs/>
                <w:sz w:val="20"/>
                <w:szCs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14:paraId="314E256F" w14:textId="77777777" w:rsidR="00E25D76" w:rsidRPr="0092511B" w:rsidRDefault="00E25D76" w:rsidP="00E25D76">
            <w:pPr>
              <w:spacing w:line="360" w:lineRule="auto"/>
              <w:jc w:val="center"/>
              <w:rPr>
                <w:rFonts w:ascii="Arial" w:hAnsi="Arial" w:cs="Arial"/>
                <w:b/>
                <w:bCs/>
                <w:sz w:val="20"/>
                <w:szCs w:val="20"/>
              </w:rPr>
            </w:pPr>
            <w:r w:rsidRPr="0092511B">
              <w:rPr>
                <w:rFonts w:ascii="Arial" w:eastAsia="Times New Roman" w:hAnsi="Arial" w:cs="Arial"/>
                <w:b/>
                <w:bCs/>
                <w:sz w:val="20"/>
                <w:szCs w:val="20"/>
              </w:rPr>
              <w:t xml:space="preserve">Rhizopus nigricans </w:t>
            </w:r>
          </w:p>
        </w:tc>
      </w:tr>
      <w:tr w:rsidR="00E25D76" w:rsidRPr="0092511B" w14:paraId="4A531E11" w14:textId="77777777" w:rsidTr="00E25D76">
        <w:trPr>
          <w:trHeight w:val="311"/>
          <w:jc w:val="center"/>
        </w:trPr>
        <w:tc>
          <w:tcPr>
            <w:tcW w:w="1216" w:type="dxa"/>
            <w:tcBorders>
              <w:top w:val="single" w:sz="4" w:space="0" w:color="000000"/>
              <w:left w:val="single" w:sz="4" w:space="0" w:color="000000"/>
              <w:bottom w:val="single" w:sz="4" w:space="0" w:color="000000"/>
              <w:right w:val="single" w:sz="3" w:space="0" w:color="000000"/>
            </w:tcBorders>
          </w:tcPr>
          <w:p w14:paraId="5422E0DD" w14:textId="77777777" w:rsidR="00E25D76" w:rsidRPr="0092511B" w:rsidRDefault="00E25D76" w:rsidP="00680C64">
            <w:pPr>
              <w:ind w:right="57"/>
              <w:jc w:val="center"/>
              <w:rPr>
                <w:rFonts w:ascii="Arial" w:hAnsi="Arial" w:cs="Arial"/>
                <w:b/>
                <w:bCs/>
                <w:sz w:val="20"/>
                <w:szCs w:val="20"/>
              </w:rPr>
            </w:pPr>
            <w:r w:rsidRPr="0092511B">
              <w:rPr>
                <w:rFonts w:ascii="Arial" w:eastAsia="Times New Roman" w:hAnsi="Arial" w:cs="Arial"/>
                <w:b/>
                <w:bCs/>
                <w:sz w:val="20"/>
                <w:szCs w:val="20"/>
              </w:rPr>
              <w:t xml:space="preserve">3a </w:t>
            </w:r>
          </w:p>
        </w:tc>
        <w:tc>
          <w:tcPr>
            <w:tcW w:w="2370" w:type="dxa"/>
            <w:tcBorders>
              <w:top w:val="single" w:sz="4" w:space="0" w:color="000000"/>
              <w:left w:val="single" w:sz="3" w:space="0" w:color="000000"/>
              <w:bottom w:val="single" w:sz="4" w:space="0" w:color="000000"/>
              <w:right w:val="single" w:sz="3" w:space="0" w:color="000000"/>
            </w:tcBorders>
          </w:tcPr>
          <w:p w14:paraId="59197126" w14:textId="77777777" w:rsidR="00E25D76" w:rsidRPr="0092511B" w:rsidRDefault="00E25D76" w:rsidP="00680C64">
            <w:pPr>
              <w:ind w:right="60"/>
              <w:jc w:val="center"/>
              <w:rPr>
                <w:rFonts w:ascii="Arial" w:hAnsi="Arial" w:cs="Arial"/>
                <w:sz w:val="20"/>
                <w:szCs w:val="20"/>
              </w:rPr>
            </w:pPr>
            <w:r w:rsidRPr="0092511B">
              <w:rPr>
                <w:rFonts w:ascii="Arial" w:eastAsia="Times New Roman" w:hAnsi="Arial" w:cs="Arial"/>
                <w:sz w:val="20"/>
                <w:szCs w:val="20"/>
              </w:rPr>
              <w:t xml:space="preserve">59 </w:t>
            </w:r>
          </w:p>
        </w:tc>
        <w:tc>
          <w:tcPr>
            <w:tcW w:w="1880" w:type="dxa"/>
            <w:tcBorders>
              <w:top w:val="single" w:sz="4" w:space="0" w:color="000000"/>
              <w:left w:val="single" w:sz="3" w:space="0" w:color="000000"/>
              <w:bottom w:val="single" w:sz="4" w:space="0" w:color="000000"/>
              <w:right w:val="single" w:sz="4" w:space="0" w:color="000000"/>
            </w:tcBorders>
          </w:tcPr>
          <w:p w14:paraId="4016AA1A"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67 </w:t>
            </w:r>
          </w:p>
        </w:tc>
        <w:tc>
          <w:tcPr>
            <w:tcW w:w="1919" w:type="dxa"/>
            <w:tcBorders>
              <w:top w:val="single" w:sz="4" w:space="0" w:color="000000"/>
              <w:left w:val="single" w:sz="4" w:space="0" w:color="000000"/>
              <w:bottom w:val="single" w:sz="4" w:space="0" w:color="000000"/>
              <w:right w:val="single" w:sz="4" w:space="0" w:color="000000"/>
            </w:tcBorders>
          </w:tcPr>
          <w:p w14:paraId="4088857B"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62 </w:t>
            </w:r>
          </w:p>
        </w:tc>
        <w:tc>
          <w:tcPr>
            <w:tcW w:w="1622" w:type="dxa"/>
            <w:tcBorders>
              <w:top w:val="single" w:sz="4" w:space="0" w:color="000000"/>
              <w:left w:val="single" w:sz="4" w:space="0" w:color="000000"/>
              <w:bottom w:val="single" w:sz="4" w:space="0" w:color="000000"/>
              <w:right w:val="single" w:sz="4" w:space="0" w:color="000000"/>
            </w:tcBorders>
          </w:tcPr>
          <w:p w14:paraId="507597F3" w14:textId="77777777" w:rsidR="00E25D76" w:rsidRPr="0092511B" w:rsidRDefault="00E25D76" w:rsidP="00680C64">
            <w:pPr>
              <w:ind w:right="56"/>
              <w:jc w:val="center"/>
              <w:rPr>
                <w:rFonts w:ascii="Arial" w:hAnsi="Arial" w:cs="Arial"/>
                <w:sz w:val="20"/>
                <w:szCs w:val="20"/>
              </w:rPr>
            </w:pPr>
            <w:r w:rsidRPr="0092511B">
              <w:rPr>
                <w:rFonts w:ascii="Arial" w:eastAsia="Times New Roman" w:hAnsi="Arial" w:cs="Arial"/>
                <w:sz w:val="20"/>
                <w:szCs w:val="20"/>
              </w:rPr>
              <w:t xml:space="preserve">67 </w:t>
            </w:r>
          </w:p>
        </w:tc>
      </w:tr>
      <w:tr w:rsidR="00E25D76" w:rsidRPr="0092511B" w14:paraId="51F94037" w14:textId="77777777" w:rsidTr="00E25D76">
        <w:trPr>
          <w:trHeight w:val="311"/>
          <w:jc w:val="center"/>
        </w:trPr>
        <w:tc>
          <w:tcPr>
            <w:tcW w:w="1216" w:type="dxa"/>
            <w:tcBorders>
              <w:top w:val="single" w:sz="4" w:space="0" w:color="000000"/>
              <w:left w:val="single" w:sz="4" w:space="0" w:color="000000"/>
              <w:bottom w:val="single" w:sz="4" w:space="0" w:color="000000"/>
              <w:right w:val="single" w:sz="3" w:space="0" w:color="000000"/>
            </w:tcBorders>
          </w:tcPr>
          <w:p w14:paraId="71B55561" w14:textId="77777777" w:rsidR="00E25D76" w:rsidRPr="0092511B" w:rsidRDefault="00E25D76" w:rsidP="00680C64">
            <w:pPr>
              <w:ind w:right="54"/>
              <w:jc w:val="center"/>
              <w:rPr>
                <w:rFonts w:ascii="Arial" w:hAnsi="Arial" w:cs="Arial"/>
                <w:b/>
                <w:bCs/>
                <w:sz w:val="20"/>
                <w:szCs w:val="20"/>
              </w:rPr>
            </w:pPr>
            <w:r w:rsidRPr="0092511B">
              <w:rPr>
                <w:rFonts w:ascii="Arial" w:eastAsia="Times New Roman" w:hAnsi="Arial" w:cs="Arial"/>
                <w:b/>
                <w:bCs/>
                <w:sz w:val="20"/>
                <w:szCs w:val="20"/>
              </w:rPr>
              <w:t xml:space="preserve">3b </w:t>
            </w:r>
          </w:p>
        </w:tc>
        <w:tc>
          <w:tcPr>
            <w:tcW w:w="2370" w:type="dxa"/>
            <w:tcBorders>
              <w:top w:val="single" w:sz="4" w:space="0" w:color="000000"/>
              <w:left w:val="single" w:sz="3" w:space="0" w:color="000000"/>
              <w:bottom w:val="single" w:sz="4" w:space="0" w:color="000000"/>
              <w:right w:val="single" w:sz="3" w:space="0" w:color="000000"/>
            </w:tcBorders>
          </w:tcPr>
          <w:p w14:paraId="549956F5" w14:textId="77777777" w:rsidR="00E25D76" w:rsidRPr="0092511B" w:rsidRDefault="00E25D76" w:rsidP="00680C64">
            <w:pPr>
              <w:ind w:right="60"/>
              <w:jc w:val="center"/>
              <w:rPr>
                <w:rFonts w:ascii="Arial" w:hAnsi="Arial" w:cs="Arial"/>
                <w:sz w:val="20"/>
                <w:szCs w:val="20"/>
              </w:rPr>
            </w:pPr>
            <w:r w:rsidRPr="0092511B">
              <w:rPr>
                <w:rFonts w:ascii="Arial" w:eastAsia="Times New Roman" w:hAnsi="Arial" w:cs="Arial"/>
                <w:sz w:val="20"/>
                <w:szCs w:val="20"/>
              </w:rPr>
              <w:t xml:space="preserve">61 </w:t>
            </w:r>
          </w:p>
        </w:tc>
        <w:tc>
          <w:tcPr>
            <w:tcW w:w="1880" w:type="dxa"/>
            <w:tcBorders>
              <w:top w:val="single" w:sz="4" w:space="0" w:color="000000"/>
              <w:left w:val="single" w:sz="3" w:space="0" w:color="000000"/>
              <w:bottom w:val="single" w:sz="4" w:space="0" w:color="000000"/>
              <w:right w:val="single" w:sz="4" w:space="0" w:color="000000"/>
            </w:tcBorders>
          </w:tcPr>
          <w:p w14:paraId="19A9E46D"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71 </w:t>
            </w:r>
          </w:p>
        </w:tc>
        <w:tc>
          <w:tcPr>
            <w:tcW w:w="1919" w:type="dxa"/>
            <w:tcBorders>
              <w:top w:val="single" w:sz="4" w:space="0" w:color="000000"/>
              <w:left w:val="single" w:sz="4" w:space="0" w:color="000000"/>
              <w:bottom w:val="single" w:sz="4" w:space="0" w:color="000000"/>
              <w:right w:val="single" w:sz="4" w:space="0" w:color="000000"/>
            </w:tcBorders>
          </w:tcPr>
          <w:p w14:paraId="25ACE0E6"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69 </w:t>
            </w:r>
          </w:p>
        </w:tc>
        <w:tc>
          <w:tcPr>
            <w:tcW w:w="1622" w:type="dxa"/>
            <w:tcBorders>
              <w:top w:val="single" w:sz="4" w:space="0" w:color="000000"/>
              <w:left w:val="single" w:sz="4" w:space="0" w:color="000000"/>
              <w:bottom w:val="single" w:sz="4" w:space="0" w:color="000000"/>
              <w:right w:val="single" w:sz="4" w:space="0" w:color="000000"/>
            </w:tcBorders>
          </w:tcPr>
          <w:p w14:paraId="743C8CFA" w14:textId="77777777" w:rsidR="00E25D76" w:rsidRPr="0092511B" w:rsidRDefault="00E25D76" w:rsidP="00680C64">
            <w:pPr>
              <w:ind w:right="56"/>
              <w:jc w:val="center"/>
              <w:rPr>
                <w:rFonts w:ascii="Arial" w:hAnsi="Arial" w:cs="Arial"/>
                <w:sz w:val="20"/>
                <w:szCs w:val="20"/>
              </w:rPr>
            </w:pPr>
            <w:r w:rsidRPr="0092511B">
              <w:rPr>
                <w:rFonts w:ascii="Arial" w:eastAsia="Times New Roman" w:hAnsi="Arial" w:cs="Arial"/>
                <w:sz w:val="20"/>
                <w:szCs w:val="20"/>
              </w:rPr>
              <w:t xml:space="preserve">61 </w:t>
            </w:r>
          </w:p>
        </w:tc>
      </w:tr>
      <w:tr w:rsidR="00E25D76" w:rsidRPr="0092511B" w14:paraId="7D669D0F" w14:textId="77777777" w:rsidTr="00E25D76">
        <w:trPr>
          <w:trHeight w:val="312"/>
          <w:jc w:val="center"/>
        </w:trPr>
        <w:tc>
          <w:tcPr>
            <w:tcW w:w="1216" w:type="dxa"/>
            <w:tcBorders>
              <w:top w:val="single" w:sz="4" w:space="0" w:color="000000"/>
              <w:left w:val="single" w:sz="4" w:space="0" w:color="000000"/>
              <w:bottom w:val="single" w:sz="3" w:space="0" w:color="000000"/>
              <w:right w:val="single" w:sz="3" w:space="0" w:color="000000"/>
            </w:tcBorders>
          </w:tcPr>
          <w:p w14:paraId="62215F50" w14:textId="77777777" w:rsidR="00E25D76" w:rsidRPr="0092511B" w:rsidRDefault="00E25D76" w:rsidP="00680C64">
            <w:pPr>
              <w:ind w:right="55"/>
              <w:jc w:val="center"/>
              <w:rPr>
                <w:rFonts w:ascii="Arial" w:hAnsi="Arial" w:cs="Arial"/>
                <w:b/>
                <w:bCs/>
                <w:sz w:val="20"/>
                <w:szCs w:val="20"/>
              </w:rPr>
            </w:pPr>
            <w:r w:rsidRPr="0092511B">
              <w:rPr>
                <w:rFonts w:ascii="Arial" w:eastAsia="Times New Roman" w:hAnsi="Arial" w:cs="Arial"/>
                <w:b/>
                <w:bCs/>
                <w:sz w:val="20"/>
                <w:szCs w:val="20"/>
              </w:rPr>
              <w:t xml:space="preserve">3c </w:t>
            </w:r>
          </w:p>
        </w:tc>
        <w:tc>
          <w:tcPr>
            <w:tcW w:w="2370" w:type="dxa"/>
            <w:tcBorders>
              <w:top w:val="single" w:sz="4" w:space="0" w:color="000000"/>
              <w:left w:val="single" w:sz="3" w:space="0" w:color="000000"/>
              <w:bottom w:val="single" w:sz="3" w:space="0" w:color="000000"/>
              <w:right w:val="single" w:sz="3" w:space="0" w:color="000000"/>
            </w:tcBorders>
          </w:tcPr>
          <w:p w14:paraId="35525807" w14:textId="77777777" w:rsidR="00E25D76" w:rsidRPr="0092511B" w:rsidRDefault="00E25D76" w:rsidP="00680C64">
            <w:pPr>
              <w:ind w:right="60"/>
              <w:jc w:val="center"/>
              <w:rPr>
                <w:rFonts w:ascii="Arial" w:hAnsi="Arial" w:cs="Arial"/>
                <w:sz w:val="20"/>
                <w:szCs w:val="20"/>
              </w:rPr>
            </w:pPr>
            <w:r w:rsidRPr="0092511B">
              <w:rPr>
                <w:rFonts w:ascii="Arial" w:eastAsia="Times New Roman" w:hAnsi="Arial" w:cs="Arial"/>
                <w:sz w:val="20"/>
                <w:szCs w:val="20"/>
              </w:rPr>
              <w:t xml:space="preserve">59 </w:t>
            </w:r>
          </w:p>
        </w:tc>
        <w:tc>
          <w:tcPr>
            <w:tcW w:w="1880" w:type="dxa"/>
            <w:tcBorders>
              <w:top w:val="single" w:sz="4" w:space="0" w:color="000000"/>
              <w:left w:val="single" w:sz="3" w:space="0" w:color="000000"/>
              <w:bottom w:val="single" w:sz="3" w:space="0" w:color="000000"/>
              <w:right w:val="single" w:sz="4" w:space="0" w:color="000000"/>
            </w:tcBorders>
          </w:tcPr>
          <w:p w14:paraId="3307E7D3"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61 </w:t>
            </w:r>
          </w:p>
        </w:tc>
        <w:tc>
          <w:tcPr>
            <w:tcW w:w="1919" w:type="dxa"/>
            <w:tcBorders>
              <w:top w:val="single" w:sz="4" w:space="0" w:color="000000"/>
              <w:left w:val="single" w:sz="4" w:space="0" w:color="000000"/>
              <w:bottom w:val="single" w:sz="3" w:space="0" w:color="000000"/>
              <w:right w:val="single" w:sz="4" w:space="0" w:color="000000"/>
            </w:tcBorders>
          </w:tcPr>
          <w:p w14:paraId="515556FA"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63 </w:t>
            </w:r>
          </w:p>
        </w:tc>
        <w:tc>
          <w:tcPr>
            <w:tcW w:w="1622" w:type="dxa"/>
            <w:tcBorders>
              <w:top w:val="single" w:sz="4" w:space="0" w:color="000000"/>
              <w:left w:val="single" w:sz="4" w:space="0" w:color="000000"/>
              <w:bottom w:val="single" w:sz="3" w:space="0" w:color="000000"/>
              <w:right w:val="single" w:sz="4" w:space="0" w:color="000000"/>
            </w:tcBorders>
          </w:tcPr>
          <w:p w14:paraId="51F6A00B" w14:textId="77777777" w:rsidR="00E25D76" w:rsidRPr="0092511B" w:rsidRDefault="00E25D76" w:rsidP="00680C64">
            <w:pPr>
              <w:ind w:right="56"/>
              <w:jc w:val="center"/>
              <w:rPr>
                <w:rFonts w:ascii="Arial" w:hAnsi="Arial" w:cs="Arial"/>
                <w:sz w:val="20"/>
                <w:szCs w:val="20"/>
              </w:rPr>
            </w:pPr>
            <w:r w:rsidRPr="0092511B">
              <w:rPr>
                <w:rFonts w:ascii="Arial" w:eastAsia="Times New Roman" w:hAnsi="Arial" w:cs="Arial"/>
                <w:sz w:val="20"/>
                <w:szCs w:val="20"/>
              </w:rPr>
              <w:t xml:space="preserve">59 </w:t>
            </w:r>
          </w:p>
        </w:tc>
      </w:tr>
      <w:tr w:rsidR="00E25D76" w:rsidRPr="0092511B" w14:paraId="1B8595CD" w14:textId="77777777" w:rsidTr="00E25D76">
        <w:trPr>
          <w:trHeight w:val="310"/>
          <w:jc w:val="center"/>
        </w:trPr>
        <w:tc>
          <w:tcPr>
            <w:tcW w:w="1216" w:type="dxa"/>
            <w:tcBorders>
              <w:top w:val="single" w:sz="3" w:space="0" w:color="000000"/>
              <w:left w:val="single" w:sz="4" w:space="0" w:color="000000"/>
              <w:bottom w:val="single" w:sz="4" w:space="0" w:color="000000"/>
              <w:right w:val="single" w:sz="3" w:space="0" w:color="000000"/>
            </w:tcBorders>
          </w:tcPr>
          <w:p w14:paraId="64A44B32" w14:textId="77777777" w:rsidR="00E25D76" w:rsidRPr="0092511B" w:rsidRDefault="00E25D76" w:rsidP="00680C64">
            <w:pPr>
              <w:ind w:right="54"/>
              <w:jc w:val="center"/>
              <w:rPr>
                <w:rFonts w:ascii="Arial" w:hAnsi="Arial" w:cs="Arial"/>
                <w:b/>
                <w:bCs/>
                <w:sz w:val="20"/>
                <w:szCs w:val="20"/>
              </w:rPr>
            </w:pPr>
            <w:r w:rsidRPr="0092511B">
              <w:rPr>
                <w:rFonts w:ascii="Arial" w:eastAsia="Times New Roman" w:hAnsi="Arial" w:cs="Arial"/>
                <w:b/>
                <w:bCs/>
                <w:sz w:val="20"/>
                <w:szCs w:val="20"/>
              </w:rPr>
              <w:t xml:space="preserve">3d </w:t>
            </w:r>
          </w:p>
        </w:tc>
        <w:tc>
          <w:tcPr>
            <w:tcW w:w="2370" w:type="dxa"/>
            <w:tcBorders>
              <w:top w:val="single" w:sz="3" w:space="0" w:color="000000"/>
              <w:left w:val="single" w:sz="3" w:space="0" w:color="000000"/>
              <w:bottom w:val="single" w:sz="4" w:space="0" w:color="000000"/>
              <w:right w:val="single" w:sz="3" w:space="0" w:color="000000"/>
            </w:tcBorders>
          </w:tcPr>
          <w:p w14:paraId="0DE5BC05" w14:textId="77777777" w:rsidR="00E25D76" w:rsidRPr="0092511B" w:rsidRDefault="00E25D76" w:rsidP="00680C64">
            <w:pPr>
              <w:ind w:right="60"/>
              <w:jc w:val="center"/>
              <w:rPr>
                <w:rFonts w:ascii="Arial" w:hAnsi="Arial" w:cs="Arial"/>
                <w:sz w:val="20"/>
                <w:szCs w:val="20"/>
              </w:rPr>
            </w:pPr>
            <w:r w:rsidRPr="0092511B">
              <w:rPr>
                <w:rFonts w:ascii="Arial" w:eastAsia="Times New Roman" w:hAnsi="Arial" w:cs="Arial"/>
                <w:sz w:val="20"/>
                <w:szCs w:val="20"/>
              </w:rPr>
              <w:t xml:space="preserve">73 </w:t>
            </w:r>
          </w:p>
        </w:tc>
        <w:tc>
          <w:tcPr>
            <w:tcW w:w="1880" w:type="dxa"/>
            <w:tcBorders>
              <w:top w:val="single" w:sz="3" w:space="0" w:color="000000"/>
              <w:left w:val="single" w:sz="3" w:space="0" w:color="000000"/>
              <w:bottom w:val="single" w:sz="4" w:space="0" w:color="000000"/>
              <w:right w:val="single" w:sz="4" w:space="0" w:color="000000"/>
            </w:tcBorders>
          </w:tcPr>
          <w:p w14:paraId="416AD326"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59 </w:t>
            </w:r>
          </w:p>
        </w:tc>
        <w:tc>
          <w:tcPr>
            <w:tcW w:w="1919" w:type="dxa"/>
            <w:tcBorders>
              <w:top w:val="single" w:sz="3" w:space="0" w:color="000000"/>
              <w:left w:val="single" w:sz="4" w:space="0" w:color="000000"/>
              <w:bottom w:val="single" w:sz="4" w:space="0" w:color="000000"/>
              <w:right w:val="single" w:sz="4" w:space="0" w:color="000000"/>
            </w:tcBorders>
          </w:tcPr>
          <w:p w14:paraId="3A332FA6"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61 </w:t>
            </w:r>
          </w:p>
        </w:tc>
        <w:tc>
          <w:tcPr>
            <w:tcW w:w="1622" w:type="dxa"/>
            <w:tcBorders>
              <w:top w:val="single" w:sz="3" w:space="0" w:color="000000"/>
              <w:left w:val="single" w:sz="4" w:space="0" w:color="000000"/>
              <w:bottom w:val="single" w:sz="4" w:space="0" w:color="000000"/>
              <w:right w:val="single" w:sz="4" w:space="0" w:color="000000"/>
            </w:tcBorders>
          </w:tcPr>
          <w:p w14:paraId="58B7BAC9" w14:textId="77777777" w:rsidR="00E25D76" w:rsidRPr="0092511B" w:rsidRDefault="00E25D76" w:rsidP="00680C64">
            <w:pPr>
              <w:ind w:right="56"/>
              <w:jc w:val="center"/>
              <w:rPr>
                <w:rFonts w:ascii="Arial" w:hAnsi="Arial" w:cs="Arial"/>
                <w:sz w:val="20"/>
                <w:szCs w:val="20"/>
              </w:rPr>
            </w:pPr>
            <w:r w:rsidRPr="0092511B">
              <w:rPr>
                <w:rFonts w:ascii="Arial" w:eastAsia="Times New Roman" w:hAnsi="Arial" w:cs="Arial"/>
                <w:sz w:val="20"/>
                <w:szCs w:val="20"/>
              </w:rPr>
              <w:t xml:space="preserve">54 </w:t>
            </w:r>
          </w:p>
        </w:tc>
      </w:tr>
      <w:tr w:rsidR="00E25D76" w:rsidRPr="0092511B" w14:paraId="061E3E7D" w14:textId="77777777" w:rsidTr="00E25D76">
        <w:trPr>
          <w:trHeight w:val="311"/>
          <w:jc w:val="center"/>
        </w:trPr>
        <w:tc>
          <w:tcPr>
            <w:tcW w:w="1216" w:type="dxa"/>
            <w:tcBorders>
              <w:top w:val="single" w:sz="4" w:space="0" w:color="000000"/>
              <w:left w:val="single" w:sz="4" w:space="0" w:color="000000"/>
              <w:bottom w:val="single" w:sz="4" w:space="0" w:color="000000"/>
              <w:right w:val="single" w:sz="3" w:space="0" w:color="000000"/>
            </w:tcBorders>
          </w:tcPr>
          <w:p w14:paraId="6ED098B6" w14:textId="77777777" w:rsidR="00E25D76" w:rsidRPr="0092511B" w:rsidRDefault="00E25D76" w:rsidP="00680C64">
            <w:pPr>
              <w:ind w:right="55"/>
              <w:jc w:val="center"/>
              <w:rPr>
                <w:rFonts w:ascii="Arial" w:hAnsi="Arial" w:cs="Arial"/>
                <w:b/>
                <w:bCs/>
                <w:sz w:val="20"/>
                <w:szCs w:val="20"/>
              </w:rPr>
            </w:pPr>
            <w:r w:rsidRPr="0092511B">
              <w:rPr>
                <w:rFonts w:ascii="Arial" w:eastAsia="Times New Roman" w:hAnsi="Arial" w:cs="Arial"/>
                <w:b/>
                <w:bCs/>
                <w:sz w:val="20"/>
                <w:szCs w:val="20"/>
              </w:rPr>
              <w:t xml:space="preserve">3e </w:t>
            </w:r>
          </w:p>
        </w:tc>
        <w:tc>
          <w:tcPr>
            <w:tcW w:w="2370" w:type="dxa"/>
            <w:tcBorders>
              <w:top w:val="single" w:sz="4" w:space="0" w:color="000000"/>
              <w:left w:val="single" w:sz="3" w:space="0" w:color="000000"/>
              <w:bottom w:val="single" w:sz="4" w:space="0" w:color="000000"/>
              <w:right w:val="single" w:sz="3" w:space="0" w:color="000000"/>
            </w:tcBorders>
          </w:tcPr>
          <w:p w14:paraId="537F63A5" w14:textId="77777777" w:rsidR="00E25D76" w:rsidRPr="0092511B" w:rsidRDefault="00E25D76" w:rsidP="00680C64">
            <w:pPr>
              <w:ind w:right="60"/>
              <w:jc w:val="center"/>
              <w:rPr>
                <w:rFonts w:ascii="Arial" w:hAnsi="Arial" w:cs="Arial"/>
                <w:sz w:val="20"/>
                <w:szCs w:val="20"/>
              </w:rPr>
            </w:pPr>
            <w:r w:rsidRPr="0092511B">
              <w:rPr>
                <w:rFonts w:ascii="Arial" w:eastAsia="Times New Roman" w:hAnsi="Arial" w:cs="Arial"/>
                <w:sz w:val="20"/>
                <w:szCs w:val="20"/>
              </w:rPr>
              <w:t xml:space="preserve">69 </w:t>
            </w:r>
          </w:p>
        </w:tc>
        <w:tc>
          <w:tcPr>
            <w:tcW w:w="1880" w:type="dxa"/>
            <w:tcBorders>
              <w:top w:val="single" w:sz="4" w:space="0" w:color="000000"/>
              <w:left w:val="single" w:sz="3" w:space="0" w:color="000000"/>
              <w:bottom w:val="single" w:sz="4" w:space="0" w:color="000000"/>
              <w:right w:val="single" w:sz="4" w:space="0" w:color="000000"/>
            </w:tcBorders>
          </w:tcPr>
          <w:p w14:paraId="591E8F93"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71 </w:t>
            </w:r>
          </w:p>
        </w:tc>
        <w:tc>
          <w:tcPr>
            <w:tcW w:w="1919" w:type="dxa"/>
            <w:tcBorders>
              <w:top w:val="single" w:sz="4" w:space="0" w:color="000000"/>
              <w:left w:val="single" w:sz="4" w:space="0" w:color="000000"/>
              <w:bottom w:val="single" w:sz="4" w:space="0" w:color="000000"/>
              <w:right w:val="single" w:sz="4" w:space="0" w:color="000000"/>
            </w:tcBorders>
          </w:tcPr>
          <w:p w14:paraId="0476E40E"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67 </w:t>
            </w:r>
          </w:p>
        </w:tc>
        <w:tc>
          <w:tcPr>
            <w:tcW w:w="1622" w:type="dxa"/>
            <w:tcBorders>
              <w:top w:val="single" w:sz="4" w:space="0" w:color="000000"/>
              <w:left w:val="single" w:sz="4" w:space="0" w:color="000000"/>
              <w:bottom w:val="single" w:sz="4" w:space="0" w:color="000000"/>
              <w:right w:val="single" w:sz="4" w:space="0" w:color="000000"/>
            </w:tcBorders>
          </w:tcPr>
          <w:p w14:paraId="6017A4E8" w14:textId="77777777" w:rsidR="00E25D76" w:rsidRPr="0092511B" w:rsidRDefault="00E25D76" w:rsidP="00680C64">
            <w:pPr>
              <w:ind w:right="56"/>
              <w:jc w:val="center"/>
              <w:rPr>
                <w:rFonts w:ascii="Arial" w:hAnsi="Arial" w:cs="Arial"/>
                <w:sz w:val="20"/>
                <w:szCs w:val="20"/>
              </w:rPr>
            </w:pPr>
            <w:r w:rsidRPr="0092511B">
              <w:rPr>
                <w:rFonts w:ascii="Arial" w:eastAsia="Times New Roman" w:hAnsi="Arial" w:cs="Arial"/>
                <w:sz w:val="20"/>
                <w:szCs w:val="20"/>
              </w:rPr>
              <w:t xml:space="preserve">63 </w:t>
            </w:r>
          </w:p>
        </w:tc>
      </w:tr>
    </w:tbl>
    <w:p w14:paraId="4B13C53F" w14:textId="13F414E2" w:rsidR="00E25D76" w:rsidRPr="0092511B" w:rsidRDefault="00E25D76" w:rsidP="00626F92">
      <w:pPr>
        <w:ind w:left="432"/>
        <w:jc w:val="both"/>
        <w:rPr>
          <w:rFonts w:ascii="Arial" w:hAnsi="Arial" w:cs="Arial"/>
          <w:sz w:val="20"/>
          <w:szCs w:val="20"/>
        </w:rPr>
      </w:pPr>
      <w:r w:rsidRPr="0092511B">
        <w:rPr>
          <w:rFonts w:ascii="Arial" w:eastAsia="Times New Roman" w:hAnsi="Arial" w:cs="Arial"/>
          <w:sz w:val="20"/>
          <w:szCs w:val="20"/>
        </w:rPr>
        <w:t xml:space="preserve"> </w:t>
      </w:r>
    </w:p>
    <w:p w14:paraId="41EAE03C" w14:textId="428B9B0D" w:rsidR="002E2781" w:rsidRPr="0092511B" w:rsidRDefault="00B47C11" w:rsidP="009A36F8">
      <w:pPr>
        <w:spacing w:line="360" w:lineRule="auto"/>
        <w:jc w:val="both"/>
        <w:rPr>
          <w:rFonts w:ascii="Arial" w:hAnsi="Arial" w:cs="Arial"/>
          <w:b/>
          <w:bCs/>
          <w:sz w:val="20"/>
          <w:szCs w:val="20"/>
        </w:rPr>
      </w:pPr>
      <w:r w:rsidRPr="0092511B">
        <w:rPr>
          <w:rFonts w:ascii="Arial" w:hAnsi="Arial" w:cs="Arial"/>
          <w:noProof/>
          <w:sz w:val="20"/>
          <w:szCs w:val="20"/>
        </w:rPr>
        <w:drawing>
          <wp:inline distT="0" distB="0" distL="0" distR="0" wp14:anchorId="1828BB47" wp14:editId="47726EBD">
            <wp:extent cx="5731510" cy="3268980"/>
            <wp:effectExtent l="0" t="0" r="2540" b="7620"/>
            <wp:docPr id="1917629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68980"/>
                    </a:xfrm>
                    <a:prstGeom prst="rect">
                      <a:avLst/>
                    </a:prstGeom>
                    <a:noFill/>
                    <a:ln>
                      <a:noFill/>
                    </a:ln>
                  </pic:spPr>
                </pic:pic>
              </a:graphicData>
            </a:graphic>
          </wp:inline>
        </w:drawing>
      </w:r>
    </w:p>
    <w:p w14:paraId="1638479C" w14:textId="75079F82" w:rsidR="002E2781" w:rsidRPr="0092511B" w:rsidRDefault="002E2781" w:rsidP="009A36F8">
      <w:pPr>
        <w:spacing w:line="360" w:lineRule="auto"/>
        <w:jc w:val="both"/>
        <w:rPr>
          <w:rFonts w:ascii="Arial" w:hAnsi="Arial" w:cs="Arial"/>
          <w:b/>
          <w:bCs/>
          <w:sz w:val="20"/>
          <w:szCs w:val="20"/>
        </w:rPr>
      </w:pPr>
      <w:r w:rsidRPr="0092511B">
        <w:rPr>
          <w:rFonts w:ascii="Arial" w:hAnsi="Arial" w:cs="Arial"/>
          <w:b/>
          <w:bCs/>
          <w:sz w:val="20"/>
          <w:szCs w:val="20"/>
        </w:rPr>
        <w:t>Figure 2 Comparison of Antifungal Activity of Synthesis compounds (3a-3e)</w:t>
      </w:r>
    </w:p>
    <w:p w14:paraId="646D97D6" w14:textId="45ED3244" w:rsidR="009A36F8" w:rsidRPr="0092511B" w:rsidRDefault="00EF78FA" w:rsidP="009A36F8">
      <w:pPr>
        <w:spacing w:line="360" w:lineRule="auto"/>
        <w:jc w:val="both"/>
        <w:rPr>
          <w:rFonts w:ascii="Arial" w:hAnsi="Arial" w:cs="Arial"/>
          <w:b/>
          <w:bCs/>
        </w:rPr>
      </w:pPr>
      <w:r w:rsidRPr="0092511B">
        <w:rPr>
          <w:rFonts w:ascii="Arial" w:hAnsi="Arial" w:cs="Arial"/>
          <w:b/>
          <w:bCs/>
        </w:rPr>
        <w:t xml:space="preserve">3.2 </w:t>
      </w:r>
      <w:r w:rsidR="009A36F8" w:rsidRPr="0092511B">
        <w:rPr>
          <w:rFonts w:ascii="Arial" w:hAnsi="Arial" w:cs="Arial"/>
          <w:b/>
          <w:bCs/>
        </w:rPr>
        <w:t>Molecular Docking</w:t>
      </w:r>
    </w:p>
    <w:p w14:paraId="5B66D7AA" w14:textId="77777777" w:rsidR="009A36F8" w:rsidRPr="0092511B" w:rsidRDefault="009A36F8" w:rsidP="009A36F8">
      <w:pPr>
        <w:spacing w:line="360" w:lineRule="auto"/>
        <w:jc w:val="both"/>
        <w:rPr>
          <w:rFonts w:ascii="Arial" w:hAnsi="Arial" w:cs="Arial"/>
          <w:sz w:val="20"/>
          <w:szCs w:val="20"/>
        </w:rPr>
      </w:pPr>
      <w:r w:rsidRPr="0092511B">
        <w:rPr>
          <w:rFonts w:ascii="Arial" w:hAnsi="Arial" w:cs="Arial"/>
          <w:sz w:val="20"/>
          <w:szCs w:val="20"/>
        </w:rPr>
        <w:t xml:space="preserve">With docking scores ranging from -7.7 to -8.4 kcal/mol, the molecular docking study of compounds 3a–3e shows that all derivatives have a strong binding affinity toward the target protein. With a docking score of -8.4 kcal/mol, compound 3a showed the strongest interaction and the best stability among the assessed series, making it the most promising lead contender. Certain intermolecular interactions inside the active site, where compound 3a forms important contacts with amino acid residues including ARG-52, HIS-55, ARG-202, and ARG-219, facilitate this strong binding. The visualization notably demonstrates hydrogen bonding or tight interactions with ARG-219 at 2.3 Å and ARG-52 at 2.2 Å, which support the stability of the ligand-protein complex. growth. </w:t>
      </w:r>
    </w:p>
    <w:p w14:paraId="136C7651" w14:textId="746BB1A5" w:rsidR="009A36F8" w:rsidRPr="0092511B" w:rsidRDefault="009A36F8" w:rsidP="009A36F8">
      <w:pPr>
        <w:spacing w:line="360" w:lineRule="auto"/>
        <w:jc w:val="center"/>
        <w:rPr>
          <w:rFonts w:ascii="Arial" w:hAnsi="Arial" w:cs="Arial"/>
          <w:b/>
          <w:bCs/>
          <w:sz w:val="20"/>
          <w:szCs w:val="20"/>
        </w:rPr>
      </w:pPr>
      <w:r w:rsidRPr="0092511B">
        <w:rPr>
          <w:rFonts w:ascii="Arial" w:hAnsi="Arial" w:cs="Arial"/>
          <w:b/>
          <w:bCs/>
          <w:sz w:val="20"/>
          <w:szCs w:val="20"/>
        </w:rPr>
        <w:t xml:space="preserve">Table </w:t>
      </w:r>
      <w:r w:rsidR="00915A04">
        <w:rPr>
          <w:rFonts w:ascii="Arial" w:hAnsi="Arial" w:cs="Arial"/>
          <w:b/>
          <w:bCs/>
          <w:sz w:val="20"/>
          <w:szCs w:val="20"/>
        </w:rPr>
        <w:t>4</w:t>
      </w:r>
      <w:r w:rsidRPr="0092511B">
        <w:rPr>
          <w:rFonts w:ascii="Arial" w:hAnsi="Arial" w:cs="Arial"/>
          <w:b/>
          <w:bCs/>
          <w:sz w:val="20"/>
          <w:szCs w:val="20"/>
        </w:rPr>
        <w:t xml:space="preserve"> Molecular docking Score of synthesis compound 3a-3e</w:t>
      </w:r>
    </w:p>
    <w:p w14:paraId="4303C7EF" w14:textId="77777777" w:rsidR="009A36F8" w:rsidRPr="0092511B" w:rsidRDefault="009A36F8" w:rsidP="009A36F8">
      <w:pPr>
        <w:jc w:val="right"/>
        <w:rPr>
          <w:rFonts w:ascii="Arial" w:hAnsi="Arial" w:cs="Arial"/>
          <w:sz w:val="20"/>
          <w:szCs w:val="20"/>
        </w:rPr>
      </w:pPr>
    </w:p>
    <w:tbl>
      <w:tblPr>
        <w:tblStyle w:val="PlainTable4"/>
        <w:tblW w:w="0" w:type="auto"/>
        <w:tblLook w:val="04A0" w:firstRow="1" w:lastRow="0" w:firstColumn="1" w:lastColumn="0" w:noHBand="0" w:noVBand="1"/>
      </w:tblPr>
      <w:tblGrid>
        <w:gridCol w:w="4508"/>
        <w:gridCol w:w="4508"/>
      </w:tblGrid>
      <w:tr w:rsidR="009A36F8" w:rsidRPr="0092511B" w14:paraId="3EB0CF9E" w14:textId="77777777" w:rsidTr="00704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319F2BF" w14:textId="77777777" w:rsidR="009A36F8" w:rsidRPr="0092511B" w:rsidRDefault="009A36F8" w:rsidP="007046C7">
            <w:pPr>
              <w:spacing w:line="360" w:lineRule="auto"/>
              <w:ind w:right="-94"/>
              <w:jc w:val="center"/>
              <w:rPr>
                <w:rFonts w:ascii="Arial" w:hAnsi="Arial" w:cs="Arial"/>
                <w:sz w:val="20"/>
                <w:szCs w:val="20"/>
              </w:rPr>
            </w:pPr>
            <w:r w:rsidRPr="0092511B">
              <w:rPr>
                <w:rFonts w:ascii="Arial" w:hAnsi="Arial" w:cs="Arial"/>
                <w:sz w:val="20"/>
                <w:szCs w:val="20"/>
              </w:rPr>
              <w:t>Compound</w:t>
            </w:r>
          </w:p>
        </w:tc>
        <w:tc>
          <w:tcPr>
            <w:tcW w:w="4508" w:type="dxa"/>
          </w:tcPr>
          <w:p w14:paraId="1582317A" w14:textId="77777777" w:rsidR="009A36F8" w:rsidRPr="0092511B" w:rsidRDefault="009A36F8" w:rsidP="007046C7">
            <w:pPr>
              <w:spacing w:line="360" w:lineRule="auto"/>
              <w:ind w:right="-94"/>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2511B">
              <w:rPr>
                <w:rFonts w:ascii="Arial" w:hAnsi="Arial" w:cs="Arial"/>
                <w:sz w:val="20"/>
                <w:szCs w:val="20"/>
              </w:rPr>
              <w:t>Docking Score (kcal/mol)</w:t>
            </w:r>
          </w:p>
        </w:tc>
      </w:tr>
      <w:tr w:rsidR="009A36F8" w:rsidRPr="0092511B" w14:paraId="27360679" w14:textId="77777777" w:rsidTr="00704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019B705" w14:textId="77777777" w:rsidR="009A36F8" w:rsidRPr="0092511B" w:rsidRDefault="009A36F8" w:rsidP="007046C7">
            <w:pPr>
              <w:spacing w:line="360" w:lineRule="auto"/>
              <w:ind w:right="-94"/>
              <w:jc w:val="center"/>
              <w:rPr>
                <w:rFonts w:ascii="Arial" w:hAnsi="Arial" w:cs="Arial"/>
                <w:b w:val="0"/>
                <w:bCs w:val="0"/>
                <w:sz w:val="20"/>
                <w:szCs w:val="20"/>
              </w:rPr>
            </w:pPr>
            <w:r w:rsidRPr="0092511B">
              <w:rPr>
                <w:rFonts w:ascii="Arial" w:hAnsi="Arial" w:cs="Arial"/>
                <w:b w:val="0"/>
                <w:bCs w:val="0"/>
                <w:sz w:val="20"/>
                <w:szCs w:val="20"/>
              </w:rPr>
              <w:lastRenderedPageBreak/>
              <w:t>3a</w:t>
            </w:r>
          </w:p>
        </w:tc>
        <w:tc>
          <w:tcPr>
            <w:tcW w:w="4508" w:type="dxa"/>
          </w:tcPr>
          <w:p w14:paraId="158EED65" w14:textId="77777777" w:rsidR="009A36F8" w:rsidRPr="0092511B" w:rsidRDefault="009A36F8" w:rsidP="007046C7">
            <w:pPr>
              <w:spacing w:line="360" w:lineRule="auto"/>
              <w:ind w:right="-9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2511B">
              <w:rPr>
                <w:rFonts w:ascii="Arial" w:hAnsi="Arial" w:cs="Arial"/>
                <w:sz w:val="20"/>
                <w:szCs w:val="20"/>
              </w:rPr>
              <w:t>-8.4</w:t>
            </w:r>
          </w:p>
        </w:tc>
      </w:tr>
      <w:tr w:rsidR="009A36F8" w:rsidRPr="0092511B" w14:paraId="633AEE80" w14:textId="77777777" w:rsidTr="007046C7">
        <w:tc>
          <w:tcPr>
            <w:cnfStyle w:val="001000000000" w:firstRow="0" w:lastRow="0" w:firstColumn="1" w:lastColumn="0" w:oddVBand="0" w:evenVBand="0" w:oddHBand="0" w:evenHBand="0" w:firstRowFirstColumn="0" w:firstRowLastColumn="0" w:lastRowFirstColumn="0" w:lastRowLastColumn="0"/>
            <w:tcW w:w="4508" w:type="dxa"/>
          </w:tcPr>
          <w:p w14:paraId="5EA30E12" w14:textId="77777777" w:rsidR="009A36F8" w:rsidRPr="0092511B" w:rsidRDefault="009A36F8" w:rsidP="007046C7">
            <w:pPr>
              <w:spacing w:line="360" w:lineRule="auto"/>
              <w:ind w:right="-94"/>
              <w:jc w:val="center"/>
              <w:rPr>
                <w:rFonts w:ascii="Arial" w:hAnsi="Arial" w:cs="Arial"/>
                <w:b w:val="0"/>
                <w:bCs w:val="0"/>
                <w:sz w:val="20"/>
                <w:szCs w:val="20"/>
              </w:rPr>
            </w:pPr>
            <w:r w:rsidRPr="0092511B">
              <w:rPr>
                <w:rFonts w:ascii="Arial" w:hAnsi="Arial" w:cs="Arial"/>
                <w:b w:val="0"/>
                <w:bCs w:val="0"/>
                <w:sz w:val="20"/>
                <w:szCs w:val="20"/>
              </w:rPr>
              <w:t>3b</w:t>
            </w:r>
          </w:p>
        </w:tc>
        <w:tc>
          <w:tcPr>
            <w:tcW w:w="4508" w:type="dxa"/>
          </w:tcPr>
          <w:p w14:paraId="305FB8A2" w14:textId="77777777" w:rsidR="009A36F8" w:rsidRPr="0092511B" w:rsidRDefault="009A36F8" w:rsidP="007046C7">
            <w:pPr>
              <w:spacing w:line="360" w:lineRule="auto"/>
              <w:ind w:right="-9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2511B">
              <w:rPr>
                <w:rFonts w:ascii="Arial" w:hAnsi="Arial" w:cs="Arial"/>
                <w:sz w:val="20"/>
                <w:szCs w:val="20"/>
              </w:rPr>
              <w:t>-8.2</w:t>
            </w:r>
          </w:p>
        </w:tc>
      </w:tr>
      <w:tr w:rsidR="009A36F8" w:rsidRPr="0092511B" w14:paraId="5DF6C37B" w14:textId="77777777" w:rsidTr="00704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6DC818F" w14:textId="77777777" w:rsidR="009A36F8" w:rsidRPr="0092511B" w:rsidRDefault="009A36F8" w:rsidP="007046C7">
            <w:pPr>
              <w:spacing w:line="360" w:lineRule="auto"/>
              <w:ind w:right="-94"/>
              <w:jc w:val="center"/>
              <w:rPr>
                <w:rFonts w:ascii="Arial" w:hAnsi="Arial" w:cs="Arial"/>
                <w:b w:val="0"/>
                <w:bCs w:val="0"/>
                <w:sz w:val="20"/>
                <w:szCs w:val="20"/>
              </w:rPr>
            </w:pPr>
            <w:r w:rsidRPr="0092511B">
              <w:rPr>
                <w:rFonts w:ascii="Arial" w:hAnsi="Arial" w:cs="Arial"/>
                <w:b w:val="0"/>
                <w:bCs w:val="0"/>
                <w:sz w:val="20"/>
                <w:szCs w:val="20"/>
              </w:rPr>
              <w:t>3c</w:t>
            </w:r>
          </w:p>
        </w:tc>
        <w:tc>
          <w:tcPr>
            <w:tcW w:w="4508" w:type="dxa"/>
          </w:tcPr>
          <w:p w14:paraId="34633BB8" w14:textId="77777777" w:rsidR="009A36F8" w:rsidRPr="0092511B" w:rsidRDefault="009A36F8" w:rsidP="007046C7">
            <w:pPr>
              <w:spacing w:line="360" w:lineRule="auto"/>
              <w:ind w:right="-9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2511B">
              <w:rPr>
                <w:rFonts w:ascii="Arial" w:hAnsi="Arial" w:cs="Arial"/>
                <w:sz w:val="20"/>
                <w:szCs w:val="20"/>
              </w:rPr>
              <w:t>-8.0</w:t>
            </w:r>
          </w:p>
        </w:tc>
      </w:tr>
      <w:tr w:rsidR="009A36F8" w:rsidRPr="0092511B" w14:paraId="23940C87" w14:textId="77777777" w:rsidTr="007046C7">
        <w:tc>
          <w:tcPr>
            <w:cnfStyle w:val="001000000000" w:firstRow="0" w:lastRow="0" w:firstColumn="1" w:lastColumn="0" w:oddVBand="0" w:evenVBand="0" w:oddHBand="0" w:evenHBand="0" w:firstRowFirstColumn="0" w:firstRowLastColumn="0" w:lastRowFirstColumn="0" w:lastRowLastColumn="0"/>
            <w:tcW w:w="4508" w:type="dxa"/>
          </w:tcPr>
          <w:p w14:paraId="5EB62404" w14:textId="77777777" w:rsidR="009A36F8" w:rsidRPr="0092511B" w:rsidRDefault="009A36F8" w:rsidP="007046C7">
            <w:pPr>
              <w:spacing w:line="360" w:lineRule="auto"/>
              <w:ind w:right="-94"/>
              <w:jc w:val="center"/>
              <w:rPr>
                <w:rFonts w:ascii="Arial" w:hAnsi="Arial" w:cs="Arial"/>
                <w:b w:val="0"/>
                <w:bCs w:val="0"/>
                <w:sz w:val="20"/>
                <w:szCs w:val="20"/>
              </w:rPr>
            </w:pPr>
            <w:r w:rsidRPr="0092511B">
              <w:rPr>
                <w:rFonts w:ascii="Arial" w:hAnsi="Arial" w:cs="Arial"/>
                <w:b w:val="0"/>
                <w:bCs w:val="0"/>
                <w:sz w:val="20"/>
                <w:szCs w:val="20"/>
              </w:rPr>
              <w:t>3d</w:t>
            </w:r>
          </w:p>
        </w:tc>
        <w:tc>
          <w:tcPr>
            <w:tcW w:w="4508" w:type="dxa"/>
          </w:tcPr>
          <w:p w14:paraId="0C90A198" w14:textId="77777777" w:rsidR="009A36F8" w:rsidRPr="0092511B" w:rsidRDefault="009A36F8" w:rsidP="007046C7">
            <w:pPr>
              <w:spacing w:line="360" w:lineRule="auto"/>
              <w:ind w:right="-9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2511B">
              <w:rPr>
                <w:rFonts w:ascii="Arial" w:hAnsi="Arial" w:cs="Arial"/>
                <w:sz w:val="20"/>
                <w:szCs w:val="20"/>
              </w:rPr>
              <w:t>-7.7</w:t>
            </w:r>
          </w:p>
        </w:tc>
      </w:tr>
      <w:tr w:rsidR="009A36F8" w:rsidRPr="0092511B" w14:paraId="36293A73" w14:textId="77777777" w:rsidTr="00704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1B15563" w14:textId="77777777" w:rsidR="009A36F8" w:rsidRPr="0092511B" w:rsidRDefault="009A36F8" w:rsidP="007046C7">
            <w:pPr>
              <w:spacing w:line="360" w:lineRule="auto"/>
              <w:ind w:right="-94"/>
              <w:jc w:val="center"/>
              <w:rPr>
                <w:rFonts w:ascii="Arial" w:hAnsi="Arial" w:cs="Arial"/>
                <w:b w:val="0"/>
                <w:bCs w:val="0"/>
                <w:sz w:val="20"/>
                <w:szCs w:val="20"/>
              </w:rPr>
            </w:pPr>
            <w:r w:rsidRPr="0092511B">
              <w:rPr>
                <w:rFonts w:ascii="Arial" w:hAnsi="Arial" w:cs="Arial"/>
                <w:b w:val="0"/>
                <w:bCs w:val="0"/>
                <w:sz w:val="20"/>
                <w:szCs w:val="20"/>
              </w:rPr>
              <w:t>3e</w:t>
            </w:r>
          </w:p>
        </w:tc>
        <w:tc>
          <w:tcPr>
            <w:tcW w:w="4508" w:type="dxa"/>
          </w:tcPr>
          <w:p w14:paraId="0B256F3D" w14:textId="77777777" w:rsidR="009A36F8" w:rsidRPr="0092511B" w:rsidRDefault="009A36F8" w:rsidP="007046C7">
            <w:pPr>
              <w:spacing w:line="360" w:lineRule="auto"/>
              <w:ind w:right="-9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2511B">
              <w:rPr>
                <w:rFonts w:ascii="Arial" w:hAnsi="Arial" w:cs="Arial"/>
                <w:sz w:val="20"/>
                <w:szCs w:val="20"/>
              </w:rPr>
              <w:t>-7.9</w:t>
            </w:r>
          </w:p>
        </w:tc>
      </w:tr>
    </w:tbl>
    <w:p w14:paraId="66B41C97" w14:textId="77777777" w:rsidR="009A36F8" w:rsidRPr="0092511B" w:rsidRDefault="009A36F8" w:rsidP="009A36F8">
      <w:pPr>
        <w:ind w:left="-107" w:right="-94"/>
        <w:jc w:val="center"/>
        <w:rPr>
          <w:rFonts w:ascii="Arial" w:hAnsi="Arial" w:cs="Arial"/>
          <w:sz w:val="20"/>
          <w:szCs w:val="20"/>
        </w:rPr>
      </w:pPr>
    </w:p>
    <w:p w14:paraId="26B9C112" w14:textId="77777777" w:rsidR="009A36F8" w:rsidRPr="0092511B" w:rsidRDefault="009A36F8" w:rsidP="009A36F8">
      <w:pPr>
        <w:spacing w:line="360" w:lineRule="auto"/>
        <w:jc w:val="center"/>
        <w:rPr>
          <w:rFonts w:ascii="Arial" w:hAnsi="Arial" w:cs="Arial"/>
          <w:b/>
          <w:bCs/>
          <w:sz w:val="20"/>
          <w:szCs w:val="20"/>
        </w:rPr>
      </w:pPr>
    </w:p>
    <w:p w14:paraId="3F309ED0" w14:textId="77777777" w:rsidR="009A36F8" w:rsidRPr="0092511B" w:rsidRDefault="009A36F8" w:rsidP="009A36F8">
      <w:pPr>
        <w:spacing w:line="360" w:lineRule="auto"/>
        <w:jc w:val="both"/>
        <w:rPr>
          <w:rFonts w:ascii="Arial" w:hAnsi="Arial" w:cs="Arial"/>
          <w:sz w:val="20"/>
          <w:szCs w:val="20"/>
        </w:rPr>
      </w:pPr>
      <w:r w:rsidRPr="0092511B">
        <w:rPr>
          <w:rFonts w:ascii="Arial" w:hAnsi="Arial" w:cs="Arial"/>
          <w:sz w:val="20"/>
          <w:szCs w:val="20"/>
        </w:rPr>
        <w:t>Compounds 3b through 3e also had competitive scores, but compound 3a's precise residue interactions and particular orientations support its position as the most potential therapeutic candidate for additional research.</w:t>
      </w:r>
    </w:p>
    <w:p w14:paraId="6B57DB19" w14:textId="4CE87E6B" w:rsidR="0083105B" w:rsidRDefault="0083105B" w:rsidP="00777FAF">
      <w:pPr>
        <w:spacing w:line="360" w:lineRule="auto"/>
        <w:jc w:val="both"/>
        <w:rPr>
          <w:rFonts w:ascii="Arial" w:hAnsi="Arial" w:cs="Arial"/>
          <w:b/>
          <w:bCs/>
          <w:sz w:val="20"/>
          <w:szCs w:val="20"/>
        </w:rPr>
      </w:pPr>
    </w:p>
    <w:p w14:paraId="6CB72FF7" w14:textId="77777777" w:rsidR="0092511B" w:rsidRPr="0092511B" w:rsidRDefault="0092511B" w:rsidP="00777FAF">
      <w:pPr>
        <w:spacing w:line="360" w:lineRule="auto"/>
        <w:jc w:val="both"/>
        <w:rPr>
          <w:rFonts w:ascii="Arial" w:hAnsi="Arial" w:cs="Arial"/>
          <w:b/>
          <w:bCs/>
          <w:sz w:val="20"/>
          <w:szCs w:val="20"/>
        </w:rPr>
      </w:pPr>
    </w:p>
    <w:tbl>
      <w:tblPr>
        <w:tblStyle w:val="TableGrid"/>
        <w:tblW w:w="0" w:type="auto"/>
        <w:tblLook w:val="04A0" w:firstRow="1" w:lastRow="0" w:firstColumn="1" w:lastColumn="0" w:noHBand="0" w:noVBand="1"/>
      </w:tblPr>
      <w:tblGrid>
        <w:gridCol w:w="9016"/>
      </w:tblGrid>
      <w:tr w:rsidR="00076140" w:rsidRPr="0092511B" w14:paraId="19E2CAEC" w14:textId="77777777" w:rsidTr="00076140">
        <w:tc>
          <w:tcPr>
            <w:tcW w:w="9016" w:type="dxa"/>
          </w:tcPr>
          <w:p w14:paraId="72414439" w14:textId="69308F5A"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t>3a</w:t>
            </w:r>
          </w:p>
          <w:p w14:paraId="034219C2" w14:textId="446A2865"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rPr>
              <w:drawing>
                <wp:inline distT="0" distB="0" distL="0" distR="0" wp14:anchorId="379C85F4" wp14:editId="0DEF56C0">
                  <wp:extent cx="5728525" cy="3920067"/>
                  <wp:effectExtent l="0" t="0" r="5715" b="4445"/>
                  <wp:docPr id="65486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6514" name="Picture 654865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2706" cy="3936614"/>
                          </a:xfrm>
                          <a:prstGeom prst="rect">
                            <a:avLst/>
                          </a:prstGeom>
                        </pic:spPr>
                      </pic:pic>
                    </a:graphicData>
                  </a:graphic>
                </wp:inline>
              </w:drawing>
            </w:r>
          </w:p>
        </w:tc>
      </w:tr>
      <w:tr w:rsidR="00076140" w:rsidRPr="0092511B" w14:paraId="15C82CDB" w14:textId="77777777" w:rsidTr="00076140">
        <w:tc>
          <w:tcPr>
            <w:tcW w:w="9016" w:type="dxa"/>
          </w:tcPr>
          <w:p w14:paraId="01FB327A" w14:textId="28B32489"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t>3a</w:t>
            </w:r>
          </w:p>
          <w:p w14:paraId="2C8F6FFE" w14:textId="5BBF3838"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rPr>
              <w:lastRenderedPageBreak/>
              <w:drawing>
                <wp:inline distT="0" distB="0" distL="0" distR="0" wp14:anchorId="51DC9702" wp14:editId="40015CBC">
                  <wp:extent cx="5731510" cy="4216400"/>
                  <wp:effectExtent l="0" t="0" r="2540" b="0"/>
                  <wp:docPr id="699403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0367" name="Picture 699403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1271" cy="4230937"/>
                          </a:xfrm>
                          <a:prstGeom prst="rect">
                            <a:avLst/>
                          </a:prstGeom>
                        </pic:spPr>
                      </pic:pic>
                    </a:graphicData>
                  </a:graphic>
                </wp:inline>
              </w:drawing>
            </w:r>
          </w:p>
        </w:tc>
      </w:tr>
      <w:tr w:rsidR="00076140" w:rsidRPr="0092511B" w14:paraId="751E2F5E" w14:textId="77777777" w:rsidTr="00076140">
        <w:tc>
          <w:tcPr>
            <w:tcW w:w="9016" w:type="dxa"/>
          </w:tcPr>
          <w:p w14:paraId="69A74536" w14:textId="2497F013"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lastRenderedPageBreak/>
              <w:t>3b</w:t>
            </w:r>
          </w:p>
          <w:p w14:paraId="3B6D8F45" w14:textId="46CE13FF"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rPr>
              <w:drawing>
                <wp:inline distT="0" distB="0" distL="0" distR="0" wp14:anchorId="6AE20749" wp14:editId="7AE23335">
                  <wp:extent cx="5538470" cy="3158067"/>
                  <wp:effectExtent l="0" t="0" r="5080" b="4445"/>
                  <wp:docPr id="703967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67755" name="Picture 7039677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7979" cy="3174893"/>
                          </a:xfrm>
                          <a:prstGeom prst="rect">
                            <a:avLst/>
                          </a:prstGeom>
                        </pic:spPr>
                      </pic:pic>
                    </a:graphicData>
                  </a:graphic>
                </wp:inline>
              </w:drawing>
            </w:r>
          </w:p>
        </w:tc>
      </w:tr>
      <w:tr w:rsidR="00076140" w:rsidRPr="0092511B" w14:paraId="452E4F60" w14:textId="77777777" w:rsidTr="002E2781">
        <w:trPr>
          <w:trHeight w:val="3588"/>
        </w:trPr>
        <w:tc>
          <w:tcPr>
            <w:tcW w:w="9016" w:type="dxa"/>
          </w:tcPr>
          <w:p w14:paraId="0EC65E2B" w14:textId="42299A94"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lastRenderedPageBreak/>
              <w:t>3b</w:t>
            </w:r>
          </w:p>
          <w:p w14:paraId="220C192B" w14:textId="77699299"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rPr>
              <w:drawing>
                <wp:inline distT="0" distB="0" distL="0" distR="0" wp14:anchorId="2829DEE9" wp14:editId="26DAC113">
                  <wp:extent cx="5132070" cy="3124200"/>
                  <wp:effectExtent l="0" t="0" r="0" b="0"/>
                  <wp:docPr id="28390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09533" name="Picture 2839095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1828" cy="3160578"/>
                          </a:xfrm>
                          <a:prstGeom prst="rect">
                            <a:avLst/>
                          </a:prstGeom>
                        </pic:spPr>
                      </pic:pic>
                    </a:graphicData>
                  </a:graphic>
                </wp:inline>
              </w:drawing>
            </w:r>
          </w:p>
        </w:tc>
      </w:tr>
      <w:tr w:rsidR="00076140" w:rsidRPr="0092511B" w14:paraId="73C91873" w14:textId="77777777" w:rsidTr="002E2781">
        <w:trPr>
          <w:trHeight w:val="6553"/>
        </w:trPr>
        <w:tc>
          <w:tcPr>
            <w:tcW w:w="9016" w:type="dxa"/>
          </w:tcPr>
          <w:p w14:paraId="7E0B7BD0" w14:textId="11A75C10"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t>3c</w:t>
            </w:r>
          </w:p>
          <w:p w14:paraId="1CA7FE07" w14:textId="3C033EA0"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rPr>
              <w:drawing>
                <wp:inline distT="0" distB="0" distL="0" distR="0" wp14:anchorId="63866008" wp14:editId="24A0A063">
                  <wp:extent cx="4930140" cy="3454400"/>
                  <wp:effectExtent l="0" t="0" r="3810" b="0"/>
                  <wp:docPr id="7892696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69651" name="Picture 7892696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37532" cy="3459579"/>
                          </a:xfrm>
                          <a:prstGeom prst="rect">
                            <a:avLst/>
                          </a:prstGeom>
                        </pic:spPr>
                      </pic:pic>
                    </a:graphicData>
                  </a:graphic>
                </wp:inline>
              </w:drawing>
            </w:r>
          </w:p>
        </w:tc>
      </w:tr>
      <w:tr w:rsidR="00076140" w:rsidRPr="0092511B" w14:paraId="3680B8E7" w14:textId="77777777" w:rsidTr="00076140">
        <w:tc>
          <w:tcPr>
            <w:tcW w:w="9016" w:type="dxa"/>
          </w:tcPr>
          <w:p w14:paraId="3B38C997" w14:textId="332B176D"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t>3c</w:t>
            </w:r>
          </w:p>
          <w:p w14:paraId="04BBDFAE" w14:textId="1FE7CCE8"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rPr>
              <w:lastRenderedPageBreak/>
              <w:drawing>
                <wp:inline distT="0" distB="0" distL="0" distR="0" wp14:anchorId="1AAC945C" wp14:editId="0FBDE8E9">
                  <wp:extent cx="4929818" cy="4334933"/>
                  <wp:effectExtent l="0" t="0" r="4445" b="8890"/>
                  <wp:docPr id="1135407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0773" name="Picture 1135407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3894" cy="4347310"/>
                          </a:xfrm>
                          <a:prstGeom prst="rect">
                            <a:avLst/>
                          </a:prstGeom>
                        </pic:spPr>
                      </pic:pic>
                    </a:graphicData>
                  </a:graphic>
                </wp:inline>
              </w:drawing>
            </w:r>
          </w:p>
        </w:tc>
      </w:tr>
      <w:tr w:rsidR="00076140" w:rsidRPr="0092511B" w14:paraId="27D20E35" w14:textId="77777777" w:rsidTr="00076140">
        <w:tc>
          <w:tcPr>
            <w:tcW w:w="9016" w:type="dxa"/>
          </w:tcPr>
          <w:p w14:paraId="4FFDBEAB" w14:textId="6629043D"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lastRenderedPageBreak/>
              <w:t>3d</w:t>
            </w:r>
          </w:p>
          <w:p w14:paraId="70988FD0" w14:textId="157EFC93"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rPr>
              <w:lastRenderedPageBreak/>
              <w:drawing>
                <wp:inline distT="0" distB="0" distL="0" distR="0" wp14:anchorId="43AC4CDF" wp14:editId="06AED5CB">
                  <wp:extent cx="5499735" cy="4538133"/>
                  <wp:effectExtent l="0" t="0" r="5715" b="0"/>
                  <wp:docPr id="1879014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14607"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2144" cy="4548372"/>
                          </a:xfrm>
                          <a:prstGeom prst="rect">
                            <a:avLst/>
                          </a:prstGeom>
                        </pic:spPr>
                      </pic:pic>
                    </a:graphicData>
                  </a:graphic>
                </wp:inline>
              </w:drawing>
            </w:r>
          </w:p>
        </w:tc>
      </w:tr>
      <w:tr w:rsidR="00076140" w:rsidRPr="0092511B" w14:paraId="4FF0F2E1" w14:textId="77777777" w:rsidTr="00076140">
        <w:tc>
          <w:tcPr>
            <w:tcW w:w="9016" w:type="dxa"/>
          </w:tcPr>
          <w:p w14:paraId="19A80BB9" w14:textId="55446413"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lastRenderedPageBreak/>
              <w:t>3d</w:t>
            </w:r>
          </w:p>
          <w:p w14:paraId="22FFF1EE" w14:textId="711822AD"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rPr>
              <w:drawing>
                <wp:inline distT="0" distB="0" distL="0" distR="0" wp14:anchorId="65656946" wp14:editId="57A5F480">
                  <wp:extent cx="5276850" cy="3598334"/>
                  <wp:effectExtent l="0" t="0" r="0" b="2540"/>
                  <wp:docPr id="19054581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58187" name="Picture 19054581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1103" cy="3608053"/>
                          </a:xfrm>
                          <a:prstGeom prst="rect">
                            <a:avLst/>
                          </a:prstGeom>
                        </pic:spPr>
                      </pic:pic>
                    </a:graphicData>
                  </a:graphic>
                </wp:inline>
              </w:drawing>
            </w:r>
          </w:p>
        </w:tc>
      </w:tr>
      <w:tr w:rsidR="00076140" w:rsidRPr="0092511B" w14:paraId="67A0A07F" w14:textId="77777777" w:rsidTr="00076140">
        <w:tc>
          <w:tcPr>
            <w:tcW w:w="9016" w:type="dxa"/>
          </w:tcPr>
          <w:p w14:paraId="44741F2A" w14:textId="753E5EC5"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t>3e</w:t>
            </w:r>
          </w:p>
          <w:p w14:paraId="3629409D" w14:textId="6569C38B"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rPr>
              <w:lastRenderedPageBreak/>
              <w:drawing>
                <wp:inline distT="0" distB="0" distL="0" distR="0" wp14:anchorId="257F9393" wp14:editId="632616BA">
                  <wp:extent cx="5372100" cy="3615267"/>
                  <wp:effectExtent l="0" t="0" r="0" b="4445"/>
                  <wp:docPr id="2064718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1834" name="Picture 206471834"/>
                          <pic:cNvPicPr/>
                        </pic:nvPicPr>
                        <pic:blipFill>
                          <a:blip r:embed="rId19">
                            <a:extLst>
                              <a:ext uri="{28A0092B-C50C-407E-A947-70E740481C1C}">
                                <a14:useLocalDpi xmlns:a14="http://schemas.microsoft.com/office/drawing/2010/main" val="0"/>
                              </a:ext>
                            </a:extLst>
                          </a:blip>
                          <a:stretch>
                            <a:fillRect/>
                          </a:stretch>
                        </pic:blipFill>
                        <pic:spPr>
                          <a:xfrm>
                            <a:off x="0" y="0"/>
                            <a:ext cx="5383101" cy="3622670"/>
                          </a:xfrm>
                          <a:prstGeom prst="rect">
                            <a:avLst/>
                          </a:prstGeom>
                        </pic:spPr>
                      </pic:pic>
                    </a:graphicData>
                  </a:graphic>
                </wp:inline>
              </w:drawing>
            </w:r>
          </w:p>
        </w:tc>
      </w:tr>
      <w:tr w:rsidR="00076140" w:rsidRPr="0092511B" w14:paraId="117615DA" w14:textId="77777777" w:rsidTr="00076140">
        <w:tc>
          <w:tcPr>
            <w:tcW w:w="9016" w:type="dxa"/>
          </w:tcPr>
          <w:p w14:paraId="02DB4BC9" w14:textId="11061804"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lastRenderedPageBreak/>
              <w:t>3e</w:t>
            </w:r>
          </w:p>
          <w:p w14:paraId="460D90BA" w14:textId="6E6CC68D"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rPr>
              <w:drawing>
                <wp:inline distT="0" distB="0" distL="0" distR="0" wp14:anchorId="5E09F75F" wp14:editId="42F0344F">
                  <wp:extent cx="5433695" cy="3318933"/>
                  <wp:effectExtent l="0" t="0" r="0" b="0"/>
                  <wp:docPr id="2650363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36313" name="Picture 2650363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9287" cy="3322348"/>
                          </a:xfrm>
                          <a:prstGeom prst="rect">
                            <a:avLst/>
                          </a:prstGeom>
                        </pic:spPr>
                      </pic:pic>
                    </a:graphicData>
                  </a:graphic>
                </wp:inline>
              </w:drawing>
            </w:r>
          </w:p>
        </w:tc>
      </w:tr>
    </w:tbl>
    <w:p w14:paraId="48F0F236" w14:textId="77777777" w:rsidR="00076140" w:rsidRPr="0092511B" w:rsidRDefault="00076140" w:rsidP="00777FAF">
      <w:pPr>
        <w:spacing w:line="360" w:lineRule="auto"/>
        <w:jc w:val="both"/>
        <w:rPr>
          <w:rFonts w:ascii="Arial" w:hAnsi="Arial" w:cs="Arial"/>
          <w:b/>
          <w:bCs/>
          <w:sz w:val="20"/>
          <w:szCs w:val="20"/>
        </w:rPr>
      </w:pPr>
    </w:p>
    <w:p w14:paraId="585BDB08" w14:textId="7F4AB650" w:rsidR="00631D18" w:rsidRPr="0092511B" w:rsidRDefault="00631D18" w:rsidP="00076140">
      <w:pPr>
        <w:spacing w:line="360" w:lineRule="auto"/>
        <w:jc w:val="center"/>
        <w:rPr>
          <w:rFonts w:ascii="Arial" w:hAnsi="Arial" w:cs="Arial"/>
          <w:b/>
          <w:bCs/>
          <w:sz w:val="20"/>
          <w:szCs w:val="20"/>
        </w:rPr>
      </w:pPr>
      <w:r w:rsidRPr="0092511B">
        <w:rPr>
          <w:rFonts w:ascii="Arial" w:hAnsi="Arial" w:cs="Arial"/>
          <w:b/>
          <w:bCs/>
          <w:sz w:val="20"/>
          <w:szCs w:val="20"/>
        </w:rPr>
        <w:t xml:space="preserve">Figure </w:t>
      </w:r>
      <w:r w:rsidR="002E2781" w:rsidRPr="0092511B">
        <w:rPr>
          <w:rFonts w:ascii="Arial" w:hAnsi="Arial" w:cs="Arial"/>
          <w:b/>
          <w:bCs/>
          <w:sz w:val="20"/>
          <w:szCs w:val="20"/>
        </w:rPr>
        <w:t>3</w:t>
      </w:r>
      <w:r w:rsidRPr="0092511B">
        <w:rPr>
          <w:rFonts w:ascii="Arial" w:hAnsi="Arial" w:cs="Arial"/>
          <w:b/>
          <w:bCs/>
          <w:sz w:val="20"/>
          <w:szCs w:val="20"/>
        </w:rPr>
        <w:t xml:space="preserve"> Molecular docking interaction of synthesis compounds 3a-3e</w:t>
      </w:r>
    </w:p>
    <w:p w14:paraId="1B69A5E8" w14:textId="47053EC0" w:rsidR="00E8191E" w:rsidRPr="0092511B" w:rsidRDefault="00E8191E" w:rsidP="00777FAF">
      <w:pPr>
        <w:spacing w:line="360" w:lineRule="auto"/>
        <w:jc w:val="both"/>
        <w:rPr>
          <w:rFonts w:ascii="Arial" w:hAnsi="Arial" w:cs="Arial"/>
          <w:b/>
          <w:bCs/>
        </w:rPr>
      </w:pPr>
      <w:r w:rsidRPr="0092511B">
        <w:rPr>
          <w:rFonts w:ascii="Arial" w:hAnsi="Arial" w:cs="Arial"/>
          <w:b/>
          <w:bCs/>
        </w:rPr>
        <w:t>Conclusion</w:t>
      </w:r>
    </w:p>
    <w:p w14:paraId="79BD4015" w14:textId="7041271A" w:rsidR="002E2781" w:rsidRPr="0092511B" w:rsidRDefault="006D60C4" w:rsidP="00777FAF">
      <w:pPr>
        <w:spacing w:line="360" w:lineRule="auto"/>
        <w:jc w:val="both"/>
        <w:rPr>
          <w:rFonts w:ascii="Arial" w:hAnsi="Arial" w:cs="Arial"/>
          <w:sz w:val="20"/>
          <w:szCs w:val="20"/>
        </w:rPr>
      </w:pPr>
      <w:r w:rsidRPr="0092511B">
        <w:rPr>
          <w:rFonts w:ascii="Arial" w:hAnsi="Arial" w:cs="Arial"/>
          <w:sz w:val="20"/>
          <w:szCs w:val="20"/>
        </w:rPr>
        <w:t xml:space="preserve">The synthesis, spectral characterization, and biological assessment of a novel series of 6-aryl-2-(4-(1,3-dioxoisoindolin-2-yl)phenyl)imidazo(2,1-b)1,3,4-thiadiazole derivatives (3a–e) are effectively described in this paper. The creation of the required bridgehead nitrogen heterocyclic scaffold was consistently supported by the rigorous confirmation of the chemical structures utilizing FTIR, </w:t>
      </w:r>
      <w:r w:rsidRPr="0092511B">
        <w:rPr>
          <w:rFonts w:ascii="Arial" w:hAnsi="Arial" w:cs="Arial"/>
          <w:sz w:val="20"/>
          <w:szCs w:val="20"/>
          <w:vertAlign w:val="superscript"/>
        </w:rPr>
        <w:t>1</w:t>
      </w:r>
      <w:r w:rsidRPr="0092511B">
        <w:rPr>
          <w:rFonts w:ascii="Arial" w:hAnsi="Arial" w:cs="Arial"/>
          <w:sz w:val="20"/>
          <w:szCs w:val="20"/>
        </w:rPr>
        <w:t xml:space="preserve">H NMR, </w:t>
      </w:r>
      <w:r w:rsidRPr="0092511B">
        <w:rPr>
          <w:rFonts w:ascii="Arial" w:hAnsi="Arial" w:cs="Arial"/>
          <w:sz w:val="20"/>
          <w:szCs w:val="20"/>
          <w:vertAlign w:val="superscript"/>
        </w:rPr>
        <w:t>13</w:t>
      </w:r>
      <w:r w:rsidRPr="0092511B">
        <w:rPr>
          <w:rFonts w:ascii="Arial" w:hAnsi="Arial" w:cs="Arial"/>
          <w:sz w:val="20"/>
          <w:szCs w:val="20"/>
        </w:rPr>
        <w:t xml:space="preserve">C NMR and </w:t>
      </w:r>
      <w:r w:rsidRPr="0092511B">
        <w:rPr>
          <w:rFonts w:ascii="Arial" w:hAnsi="Arial" w:cs="Arial"/>
          <w:sz w:val="20"/>
          <w:szCs w:val="20"/>
        </w:rPr>
        <w:lastRenderedPageBreak/>
        <w:t xml:space="preserve">elemental analysis. </w:t>
      </w:r>
      <w:proofErr w:type="spellStart"/>
      <w:r w:rsidRPr="0092511B">
        <w:rPr>
          <w:rFonts w:ascii="Arial" w:hAnsi="Arial" w:cs="Arial"/>
          <w:sz w:val="20"/>
          <w:szCs w:val="20"/>
        </w:rPr>
        <w:t>Imidazo</w:t>
      </w:r>
      <w:proofErr w:type="spellEnd"/>
      <w:r w:rsidRPr="0092511B">
        <w:rPr>
          <w:rFonts w:ascii="Arial" w:hAnsi="Arial" w:cs="Arial"/>
          <w:sz w:val="20"/>
          <w:szCs w:val="20"/>
        </w:rPr>
        <w:t>[2,1-b][1,3,4]</w:t>
      </w:r>
      <w:proofErr w:type="spellStart"/>
      <w:r w:rsidRPr="0092511B">
        <w:rPr>
          <w:rFonts w:ascii="Arial" w:hAnsi="Arial" w:cs="Arial"/>
          <w:sz w:val="20"/>
          <w:szCs w:val="20"/>
        </w:rPr>
        <w:t>thiadiazole</w:t>
      </w:r>
      <w:proofErr w:type="spellEnd"/>
      <w:r w:rsidRPr="0092511B">
        <w:rPr>
          <w:rFonts w:ascii="Arial" w:hAnsi="Arial" w:cs="Arial"/>
          <w:sz w:val="20"/>
          <w:szCs w:val="20"/>
        </w:rPr>
        <w:t xml:space="preserve"> core integration with an </w:t>
      </w:r>
      <w:proofErr w:type="spellStart"/>
      <w:r w:rsidRPr="0092511B">
        <w:rPr>
          <w:rFonts w:ascii="Arial" w:hAnsi="Arial" w:cs="Arial"/>
          <w:sz w:val="20"/>
          <w:szCs w:val="20"/>
        </w:rPr>
        <w:t>isoindoline</w:t>
      </w:r>
      <w:proofErr w:type="spellEnd"/>
      <w:r w:rsidRPr="0092511B">
        <w:rPr>
          <w:rFonts w:ascii="Arial" w:hAnsi="Arial" w:cs="Arial"/>
          <w:sz w:val="20"/>
          <w:szCs w:val="20"/>
        </w:rPr>
        <w:t xml:space="preserve"> moiety greatly influences biological potency, according to in vitro antimicrobial screening. In particular, compound 3e showed broad-spectrum activity against both Gram-positive and Gram-negative bacterial strains, making it the most effective antibacterial agent. Additionally, compound 3d showed the strongest antifungal efficacy, especially against B</w:t>
      </w:r>
      <w:r w:rsidR="00076140" w:rsidRPr="0092511B">
        <w:rPr>
          <w:rFonts w:ascii="Arial" w:hAnsi="Arial" w:cs="Arial"/>
          <w:sz w:val="20"/>
          <w:szCs w:val="20"/>
        </w:rPr>
        <w:t xml:space="preserve">. </w:t>
      </w:r>
      <w:proofErr w:type="spellStart"/>
      <w:r w:rsidRPr="0092511B">
        <w:rPr>
          <w:rFonts w:ascii="Arial" w:hAnsi="Arial" w:cs="Arial"/>
          <w:sz w:val="20"/>
          <w:szCs w:val="20"/>
        </w:rPr>
        <w:t>theobromae</w:t>
      </w:r>
      <w:proofErr w:type="spellEnd"/>
      <w:r w:rsidRPr="0092511B">
        <w:rPr>
          <w:rFonts w:ascii="Arial" w:hAnsi="Arial" w:cs="Arial"/>
          <w:sz w:val="20"/>
          <w:szCs w:val="20"/>
        </w:rPr>
        <w:t>. Molecular docking investigations</w:t>
      </w:r>
      <w:r w:rsidR="00253865" w:rsidRPr="0092511B">
        <w:rPr>
          <w:rFonts w:ascii="Arial" w:hAnsi="Arial" w:cs="Arial"/>
          <w:sz w:val="20"/>
          <w:szCs w:val="20"/>
        </w:rPr>
        <w:t xml:space="preserve"> (PDBID-1AD4)</w:t>
      </w:r>
      <w:r w:rsidRPr="0092511B">
        <w:rPr>
          <w:rFonts w:ascii="Arial" w:hAnsi="Arial" w:cs="Arial"/>
          <w:sz w:val="20"/>
          <w:szCs w:val="20"/>
        </w:rPr>
        <w:t>, which revealed high binding affinities (-7.7 to -8.4 kcal/mol) for all derivatives, supplemented these experimental results. Compound 3a, which has important hydrogen bonds with residues like ARG-52 and ARG-219, showed the most stable protein-ligand interactions. All things considered, the findings point to these hybrid heterocycles as prospective lead templates for the creation of more potent antibacterial and medicinal substances.</w:t>
      </w:r>
    </w:p>
    <w:p w14:paraId="54DD7CBB" w14:textId="1EAF641F" w:rsidR="0092511B" w:rsidRDefault="0092511B" w:rsidP="00EF78FA">
      <w:pPr>
        <w:spacing w:line="360" w:lineRule="auto"/>
        <w:jc w:val="both"/>
        <w:rPr>
          <w:rFonts w:ascii="Arial" w:hAnsi="Arial" w:cs="Arial"/>
          <w:b/>
          <w:bCs/>
        </w:rPr>
      </w:pPr>
      <w:bookmarkStart w:id="0" w:name="_GoBack"/>
      <w:bookmarkEnd w:id="0"/>
      <w:r w:rsidRPr="0092511B">
        <w:rPr>
          <w:rFonts w:ascii="Arial" w:hAnsi="Arial" w:cs="Arial"/>
          <w:b/>
          <w:bCs/>
        </w:rPr>
        <w:t>Competing Interests</w:t>
      </w:r>
    </w:p>
    <w:p w14:paraId="7C3C2349" w14:textId="0E6B3C2D" w:rsidR="00EF78FA" w:rsidRPr="0092511B" w:rsidRDefault="0092511B" w:rsidP="00777FAF">
      <w:pPr>
        <w:spacing w:line="360" w:lineRule="auto"/>
        <w:jc w:val="both"/>
        <w:rPr>
          <w:rFonts w:ascii="Arial" w:hAnsi="Arial" w:cs="Arial"/>
          <w:sz w:val="20"/>
          <w:szCs w:val="20"/>
        </w:rPr>
      </w:pPr>
      <w:r w:rsidRPr="0092511B">
        <w:rPr>
          <w:rFonts w:ascii="Arial" w:hAnsi="Arial" w:cs="Arial"/>
        </w:rPr>
        <w:t>Authors declare that there is no competing of interests.</w:t>
      </w:r>
    </w:p>
    <w:p w14:paraId="3FC9A23D" w14:textId="71E1BDD2" w:rsidR="00003148" w:rsidRPr="0092511B" w:rsidRDefault="00CE2DE2" w:rsidP="00777FAF">
      <w:pPr>
        <w:spacing w:line="360" w:lineRule="auto"/>
        <w:jc w:val="both"/>
        <w:rPr>
          <w:rFonts w:ascii="Arial" w:hAnsi="Arial" w:cs="Arial"/>
          <w:b/>
          <w:bCs/>
          <w:sz w:val="20"/>
          <w:szCs w:val="20"/>
        </w:rPr>
      </w:pPr>
      <w:r w:rsidRPr="0092511B">
        <w:rPr>
          <w:rFonts w:ascii="Arial" w:hAnsi="Arial" w:cs="Arial"/>
          <w:b/>
          <w:bCs/>
          <w:sz w:val="20"/>
          <w:szCs w:val="20"/>
        </w:rPr>
        <w:t>References</w:t>
      </w:r>
    </w:p>
    <w:p w14:paraId="0C331836" w14:textId="77777777" w:rsidR="00021937" w:rsidRPr="0092511B" w:rsidRDefault="00021937" w:rsidP="00CE2DE2">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C. Opoku-</w:t>
      </w:r>
      <w:proofErr w:type="spellStart"/>
      <w:r w:rsidRPr="0092511B">
        <w:rPr>
          <w:rFonts w:ascii="Arial" w:hAnsi="Arial" w:cs="Arial"/>
          <w:sz w:val="20"/>
          <w:szCs w:val="20"/>
        </w:rPr>
        <w:t>Temeng</w:t>
      </w:r>
      <w:proofErr w:type="spellEnd"/>
      <w:r w:rsidRPr="0092511B">
        <w:rPr>
          <w:rFonts w:ascii="Arial" w:hAnsi="Arial" w:cs="Arial"/>
          <w:sz w:val="20"/>
          <w:szCs w:val="20"/>
        </w:rPr>
        <w:t xml:space="preserve">, G. A. </w:t>
      </w:r>
      <w:proofErr w:type="spellStart"/>
      <w:r w:rsidRPr="0092511B">
        <w:rPr>
          <w:rFonts w:ascii="Arial" w:hAnsi="Arial" w:cs="Arial"/>
          <w:sz w:val="20"/>
          <w:szCs w:val="20"/>
        </w:rPr>
        <w:t>Naclerio</w:t>
      </w:r>
      <w:proofErr w:type="spellEnd"/>
      <w:r w:rsidRPr="0092511B">
        <w:rPr>
          <w:rFonts w:ascii="Arial" w:hAnsi="Arial" w:cs="Arial"/>
          <w:sz w:val="20"/>
          <w:szCs w:val="20"/>
        </w:rPr>
        <w:t xml:space="preserve">, H. Mohammad, N. </w:t>
      </w:r>
      <w:proofErr w:type="spellStart"/>
      <w:r w:rsidRPr="0092511B">
        <w:rPr>
          <w:rFonts w:ascii="Arial" w:hAnsi="Arial" w:cs="Arial"/>
          <w:sz w:val="20"/>
          <w:szCs w:val="20"/>
        </w:rPr>
        <w:t>Dayal</w:t>
      </w:r>
      <w:proofErr w:type="spellEnd"/>
      <w:r w:rsidRPr="0092511B">
        <w:rPr>
          <w:rFonts w:ascii="Arial" w:hAnsi="Arial" w:cs="Arial"/>
          <w:sz w:val="20"/>
          <w:szCs w:val="20"/>
        </w:rPr>
        <w:t xml:space="preserve">, N. S. </w:t>
      </w:r>
      <w:proofErr w:type="spellStart"/>
      <w:r w:rsidRPr="0092511B">
        <w:rPr>
          <w:rFonts w:ascii="Arial" w:hAnsi="Arial" w:cs="Arial"/>
          <w:sz w:val="20"/>
          <w:szCs w:val="20"/>
        </w:rPr>
        <w:t>Abutaleb</w:t>
      </w:r>
      <w:proofErr w:type="spellEnd"/>
      <w:r w:rsidRPr="0092511B">
        <w:rPr>
          <w:rFonts w:ascii="Arial" w:hAnsi="Arial" w:cs="Arial"/>
          <w:sz w:val="20"/>
          <w:szCs w:val="20"/>
        </w:rPr>
        <w:t xml:space="preserve">, M. N. </w:t>
      </w:r>
      <w:proofErr w:type="spellStart"/>
      <w:r w:rsidRPr="0092511B">
        <w:rPr>
          <w:rFonts w:ascii="Arial" w:hAnsi="Arial" w:cs="Arial"/>
          <w:sz w:val="20"/>
          <w:szCs w:val="20"/>
        </w:rPr>
        <w:t>Seleem</w:t>
      </w:r>
      <w:proofErr w:type="spellEnd"/>
      <w:r w:rsidRPr="0092511B">
        <w:rPr>
          <w:rFonts w:ascii="Arial" w:hAnsi="Arial" w:cs="Arial"/>
          <w:sz w:val="20"/>
          <w:szCs w:val="20"/>
        </w:rPr>
        <w:t xml:space="preserve">, H. O. </w:t>
      </w:r>
      <w:proofErr w:type="spellStart"/>
      <w:r w:rsidRPr="0092511B">
        <w:rPr>
          <w:rFonts w:ascii="Arial" w:hAnsi="Arial" w:cs="Arial"/>
          <w:sz w:val="20"/>
          <w:szCs w:val="20"/>
        </w:rPr>
        <w:t>Sintim</w:t>
      </w:r>
      <w:proofErr w:type="spellEnd"/>
      <w:r w:rsidRPr="0092511B">
        <w:rPr>
          <w:rFonts w:ascii="Arial" w:hAnsi="Arial" w:cs="Arial"/>
          <w:sz w:val="20"/>
          <w:szCs w:val="20"/>
        </w:rPr>
        <w:t xml:space="preserve">, Eur. J. Med. Chem. 2018, 155, 797 805. </w:t>
      </w:r>
    </w:p>
    <w:p w14:paraId="2EE0A4BD" w14:textId="54A8250F" w:rsidR="00021937" w:rsidRPr="0092511B" w:rsidRDefault="00021937" w:rsidP="00CE2DE2">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 xml:space="preserve">J. S. </w:t>
      </w:r>
      <w:proofErr w:type="spellStart"/>
      <w:r w:rsidRPr="0092511B">
        <w:rPr>
          <w:rFonts w:ascii="Arial" w:hAnsi="Arial" w:cs="Arial"/>
          <w:sz w:val="20"/>
          <w:szCs w:val="20"/>
        </w:rPr>
        <w:t>Molton</w:t>
      </w:r>
      <w:proofErr w:type="spellEnd"/>
      <w:r w:rsidRPr="0092511B">
        <w:rPr>
          <w:rFonts w:ascii="Arial" w:hAnsi="Arial" w:cs="Arial"/>
          <w:sz w:val="20"/>
          <w:szCs w:val="20"/>
        </w:rPr>
        <w:t xml:space="preserve">, P. A. </w:t>
      </w:r>
      <w:proofErr w:type="spellStart"/>
      <w:r w:rsidRPr="0092511B">
        <w:rPr>
          <w:rFonts w:ascii="Arial" w:hAnsi="Arial" w:cs="Arial"/>
          <w:sz w:val="20"/>
          <w:szCs w:val="20"/>
        </w:rPr>
        <w:t>Tambyah</w:t>
      </w:r>
      <w:proofErr w:type="spellEnd"/>
      <w:r w:rsidRPr="0092511B">
        <w:rPr>
          <w:rFonts w:ascii="Arial" w:hAnsi="Arial" w:cs="Arial"/>
          <w:sz w:val="20"/>
          <w:szCs w:val="20"/>
        </w:rPr>
        <w:t>, B. S. P. Ang, M. L. Ling, D. A. Fisher, Clin. Infect. Dis. 2013, 56, 1310–1318.</w:t>
      </w:r>
    </w:p>
    <w:p w14:paraId="1BC93692" w14:textId="5ED358F6" w:rsidR="0096539A" w:rsidRPr="0092511B" w:rsidRDefault="0096539A" w:rsidP="00CE2DE2">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 xml:space="preserve">Mustafa, S.M.; Nair, V.A.; Chittoor, J.P.; </w:t>
      </w:r>
      <w:proofErr w:type="spellStart"/>
      <w:r w:rsidRPr="0092511B">
        <w:rPr>
          <w:rFonts w:ascii="Arial" w:hAnsi="Arial" w:cs="Arial"/>
          <w:sz w:val="20"/>
          <w:szCs w:val="20"/>
        </w:rPr>
        <w:t>Krishnapillai</w:t>
      </w:r>
      <w:proofErr w:type="spellEnd"/>
      <w:r w:rsidRPr="0092511B">
        <w:rPr>
          <w:rFonts w:ascii="Arial" w:hAnsi="Arial" w:cs="Arial"/>
          <w:sz w:val="20"/>
          <w:szCs w:val="20"/>
        </w:rPr>
        <w:t>, S. Mini-Rev. Org. Chem. 2004, 1, 375–385.</w:t>
      </w:r>
    </w:p>
    <w:p w14:paraId="08854570" w14:textId="1AE8B0D0" w:rsidR="00474A26" w:rsidRPr="0092511B" w:rsidRDefault="00765A8B" w:rsidP="00474A26">
      <w:pPr>
        <w:pStyle w:val="ListParagraph"/>
        <w:numPr>
          <w:ilvl w:val="0"/>
          <w:numId w:val="1"/>
        </w:numPr>
        <w:spacing w:line="360" w:lineRule="auto"/>
        <w:jc w:val="both"/>
        <w:rPr>
          <w:rFonts w:ascii="Arial" w:hAnsi="Arial" w:cs="Arial"/>
          <w:color w:val="000000" w:themeColor="text1"/>
          <w:sz w:val="20"/>
          <w:szCs w:val="20"/>
        </w:rPr>
      </w:pPr>
      <w:r w:rsidRPr="0092511B">
        <w:rPr>
          <w:rFonts w:ascii="Arial" w:hAnsi="Arial" w:cs="Arial"/>
          <w:color w:val="000000" w:themeColor="text1"/>
          <w:sz w:val="20"/>
          <w:szCs w:val="20"/>
        </w:rPr>
        <w:t xml:space="preserve">Mao G, Tian Y, Shi J, Liao C, Huang W, Wu Y, Wen Z, Yu L, Zhu X, Li J. Design, synthesis, antibacterial, and antifungal evaluation of </w:t>
      </w:r>
      <w:proofErr w:type="spellStart"/>
      <w:r w:rsidRPr="0092511B">
        <w:rPr>
          <w:rFonts w:ascii="Arial" w:hAnsi="Arial" w:cs="Arial"/>
          <w:color w:val="000000" w:themeColor="text1"/>
          <w:sz w:val="20"/>
          <w:szCs w:val="20"/>
        </w:rPr>
        <w:t>phenylthiazole</w:t>
      </w:r>
      <w:proofErr w:type="spellEnd"/>
      <w:r w:rsidRPr="0092511B">
        <w:rPr>
          <w:rFonts w:ascii="Arial" w:hAnsi="Arial" w:cs="Arial"/>
          <w:color w:val="000000" w:themeColor="text1"/>
          <w:sz w:val="20"/>
          <w:szCs w:val="20"/>
        </w:rPr>
        <w:t xml:space="preserve"> derivatives containing a 1, 3, 4-thiadiazole </w:t>
      </w:r>
      <w:proofErr w:type="spellStart"/>
      <w:r w:rsidRPr="0092511B">
        <w:rPr>
          <w:rFonts w:ascii="Arial" w:hAnsi="Arial" w:cs="Arial"/>
          <w:color w:val="000000" w:themeColor="text1"/>
          <w:sz w:val="20"/>
          <w:szCs w:val="20"/>
        </w:rPr>
        <w:t>thione</w:t>
      </w:r>
      <w:proofErr w:type="spellEnd"/>
      <w:r w:rsidRPr="0092511B">
        <w:rPr>
          <w:rFonts w:ascii="Arial" w:hAnsi="Arial" w:cs="Arial"/>
          <w:color w:val="000000" w:themeColor="text1"/>
          <w:sz w:val="20"/>
          <w:szCs w:val="20"/>
        </w:rPr>
        <w:t xml:space="preserve"> moiety. Molecules. 2024 Jan 5;29(2):285.</w:t>
      </w:r>
    </w:p>
    <w:p w14:paraId="4A357892" w14:textId="250A013A" w:rsidR="000F0A39" w:rsidRPr="0092511B" w:rsidRDefault="00474A26" w:rsidP="00474A26">
      <w:pPr>
        <w:pStyle w:val="ListParagraph"/>
        <w:numPr>
          <w:ilvl w:val="0"/>
          <w:numId w:val="1"/>
        </w:numPr>
        <w:spacing w:line="360" w:lineRule="auto"/>
        <w:jc w:val="both"/>
        <w:rPr>
          <w:rFonts w:ascii="Arial" w:hAnsi="Arial" w:cs="Arial"/>
          <w:color w:val="EE0000"/>
          <w:sz w:val="20"/>
          <w:szCs w:val="20"/>
        </w:rPr>
      </w:pPr>
      <w:proofErr w:type="spellStart"/>
      <w:r w:rsidRPr="0092511B">
        <w:rPr>
          <w:rFonts w:ascii="Arial" w:hAnsi="Arial" w:cs="Arial"/>
          <w:sz w:val="20"/>
          <w:szCs w:val="20"/>
        </w:rPr>
        <w:t>Krchnak</w:t>
      </w:r>
      <w:proofErr w:type="spellEnd"/>
      <w:r w:rsidRPr="0092511B">
        <w:rPr>
          <w:rFonts w:ascii="Arial" w:hAnsi="Arial" w:cs="Arial"/>
          <w:sz w:val="20"/>
          <w:szCs w:val="20"/>
        </w:rPr>
        <w:t xml:space="preserve">, V.; Holladay, M. Solid phase heterocyclic chemistry. Chem. Rev. 2002, 102, 61–92.  </w:t>
      </w:r>
    </w:p>
    <w:p w14:paraId="61942F16" w14:textId="1A0A7AF2" w:rsidR="000F0A39" w:rsidRPr="0092511B" w:rsidRDefault="00474A26" w:rsidP="00474A26">
      <w:pPr>
        <w:pStyle w:val="ListParagraph"/>
        <w:numPr>
          <w:ilvl w:val="0"/>
          <w:numId w:val="1"/>
        </w:numPr>
        <w:spacing w:line="360" w:lineRule="auto"/>
        <w:jc w:val="both"/>
        <w:rPr>
          <w:rFonts w:ascii="Arial" w:hAnsi="Arial" w:cs="Arial"/>
          <w:color w:val="EE0000"/>
          <w:sz w:val="20"/>
          <w:szCs w:val="20"/>
        </w:rPr>
      </w:pPr>
      <w:r w:rsidRPr="0092511B">
        <w:rPr>
          <w:rFonts w:ascii="Arial" w:hAnsi="Arial" w:cs="Arial"/>
          <w:sz w:val="20"/>
          <w:szCs w:val="20"/>
        </w:rPr>
        <w:t xml:space="preserve">Wang, X.; </w:t>
      </w:r>
      <w:proofErr w:type="spellStart"/>
      <w:r w:rsidRPr="0092511B">
        <w:rPr>
          <w:rFonts w:ascii="Arial" w:hAnsi="Arial" w:cs="Arial"/>
          <w:sz w:val="20"/>
          <w:szCs w:val="20"/>
        </w:rPr>
        <w:t>Duan</w:t>
      </w:r>
      <w:proofErr w:type="spellEnd"/>
      <w:r w:rsidRPr="0092511B">
        <w:rPr>
          <w:rFonts w:ascii="Arial" w:hAnsi="Arial" w:cs="Arial"/>
          <w:sz w:val="20"/>
          <w:szCs w:val="20"/>
        </w:rPr>
        <w:t xml:space="preserve">. W.; Lin, G.; Chen, M.; Lei, F. Synthesis, antifungal activity and 3D-QSAR study of novel </w:t>
      </w:r>
      <w:proofErr w:type="spellStart"/>
      <w:r w:rsidRPr="0092511B">
        <w:rPr>
          <w:rFonts w:ascii="Arial" w:hAnsi="Arial" w:cs="Arial"/>
          <w:sz w:val="20"/>
          <w:szCs w:val="20"/>
        </w:rPr>
        <w:t>nopol</w:t>
      </w:r>
      <w:proofErr w:type="spellEnd"/>
      <w:r w:rsidRPr="0092511B">
        <w:rPr>
          <w:rFonts w:ascii="Arial" w:hAnsi="Arial" w:cs="Arial"/>
          <w:sz w:val="20"/>
          <w:szCs w:val="20"/>
        </w:rPr>
        <w:t xml:space="preserve">-based 1,3,4 </w:t>
      </w:r>
      <w:proofErr w:type="spellStart"/>
      <w:r w:rsidRPr="0092511B">
        <w:rPr>
          <w:rFonts w:ascii="Arial" w:hAnsi="Arial" w:cs="Arial"/>
          <w:sz w:val="20"/>
          <w:szCs w:val="20"/>
        </w:rPr>
        <w:t>thiadiazole</w:t>
      </w:r>
      <w:proofErr w:type="spellEnd"/>
      <w:r w:rsidRPr="0092511B">
        <w:rPr>
          <w:rFonts w:ascii="Arial" w:hAnsi="Arial" w:cs="Arial"/>
          <w:sz w:val="20"/>
          <w:szCs w:val="20"/>
        </w:rPr>
        <w:t xml:space="preserve">–thioether compounds. Res. Chem. </w:t>
      </w:r>
      <w:proofErr w:type="spellStart"/>
      <w:r w:rsidRPr="0092511B">
        <w:rPr>
          <w:rFonts w:ascii="Arial" w:hAnsi="Arial" w:cs="Arial"/>
          <w:sz w:val="20"/>
          <w:szCs w:val="20"/>
        </w:rPr>
        <w:t>Intermed</w:t>
      </w:r>
      <w:proofErr w:type="spellEnd"/>
      <w:r w:rsidRPr="0092511B">
        <w:rPr>
          <w:rFonts w:ascii="Arial" w:hAnsi="Arial" w:cs="Arial"/>
          <w:sz w:val="20"/>
          <w:szCs w:val="20"/>
        </w:rPr>
        <w:t xml:space="preserve">. 2021, 47, 4029–4049.  </w:t>
      </w:r>
    </w:p>
    <w:p w14:paraId="6A71A4FD" w14:textId="2678D2A8" w:rsidR="000F0A39" w:rsidRPr="0092511B" w:rsidRDefault="00474A26" w:rsidP="00474A26">
      <w:pPr>
        <w:pStyle w:val="ListParagraph"/>
        <w:numPr>
          <w:ilvl w:val="0"/>
          <w:numId w:val="1"/>
        </w:numPr>
        <w:spacing w:line="360" w:lineRule="auto"/>
        <w:jc w:val="both"/>
        <w:rPr>
          <w:rFonts w:ascii="Arial" w:hAnsi="Arial" w:cs="Arial"/>
          <w:color w:val="EE0000"/>
          <w:sz w:val="20"/>
          <w:szCs w:val="20"/>
        </w:rPr>
      </w:pPr>
      <w:r w:rsidRPr="0092511B">
        <w:rPr>
          <w:rFonts w:ascii="Arial" w:hAnsi="Arial" w:cs="Arial"/>
          <w:sz w:val="20"/>
          <w:szCs w:val="20"/>
        </w:rPr>
        <w:t xml:space="preserve">Chen, J.; Yi, C.; Wang, S.; Wu, S.; Li, S.; Hu, D.; Song, B. Novel amide derivatives containing 1,3,4-thiadiazole moiety: Design, synthesis, nematocidal and antibacterial activities. </w:t>
      </w:r>
      <w:proofErr w:type="spellStart"/>
      <w:r w:rsidRPr="0092511B">
        <w:rPr>
          <w:rFonts w:ascii="Arial" w:hAnsi="Arial" w:cs="Arial"/>
          <w:sz w:val="20"/>
          <w:szCs w:val="20"/>
        </w:rPr>
        <w:t>Bioorg</w:t>
      </w:r>
      <w:proofErr w:type="spellEnd"/>
      <w:r w:rsidRPr="0092511B">
        <w:rPr>
          <w:rFonts w:ascii="Arial" w:hAnsi="Arial" w:cs="Arial"/>
          <w:sz w:val="20"/>
          <w:szCs w:val="20"/>
        </w:rPr>
        <w:t xml:space="preserve">. Med. Chem. Lett. 2019, 29, 1203–1210.  </w:t>
      </w:r>
    </w:p>
    <w:p w14:paraId="5BBA6855" w14:textId="229B66FC" w:rsidR="000F0A39" w:rsidRPr="0092511B" w:rsidRDefault="00474A26" w:rsidP="00474A26">
      <w:pPr>
        <w:pStyle w:val="ListParagraph"/>
        <w:numPr>
          <w:ilvl w:val="0"/>
          <w:numId w:val="1"/>
        </w:numPr>
        <w:spacing w:line="360" w:lineRule="auto"/>
        <w:jc w:val="both"/>
        <w:rPr>
          <w:rFonts w:ascii="Arial" w:hAnsi="Arial" w:cs="Arial"/>
          <w:color w:val="EE0000"/>
          <w:sz w:val="20"/>
          <w:szCs w:val="20"/>
        </w:rPr>
      </w:pPr>
      <w:r w:rsidRPr="0092511B">
        <w:rPr>
          <w:rFonts w:ascii="Arial" w:hAnsi="Arial" w:cs="Arial"/>
          <w:sz w:val="20"/>
          <w:szCs w:val="20"/>
        </w:rPr>
        <w:t xml:space="preserve">Dai, H.; Li, G.; Chen, J.; Shi, Y.; Ge, S.; Fan, C.; He, B. Synthesis and biological activities of novel 1,3,4-thiadiazole-containing </w:t>
      </w:r>
      <w:proofErr w:type="spellStart"/>
      <w:r w:rsidRPr="0092511B">
        <w:rPr>
          <w:rFonts w:ascii="Arial" w:hAnsi="Arial" w:cs="Arial"/>
          <w:sz w:val="20"/>
          <w:szCs w:val="20"/>
        </w:rPr>
        <w:t>pyrazole</w:t>
      </w:r>
      <w:proofErr w:type="spellEnd"/>
      <w:r w:rsidRPr="0092511B">
        <w:rPr>
          <w:rFonts w:ascii="Arial" w:hAnsi="Arial" w:cs="Arial"/>
          <w:sz w:val="20"/>
          <w:szCs w:val="20"/>
        </w:rPr>
        <w:t xml:space="preserve"> oxime derivatives. </w:t>
      </w:r>
      <w:proofErr w:type="spellStart"/>
      <w:r w:rsidRPr="0092511B">
        <w:rPr>
          <w:rFonts w:ascii="Arial" w:hAnsi="Arial" w:cs="Arial"/>
          <w:sz w:val="20"/>
          <w:szCs w:val="20"/>
        </w:rPr>
        <w:t>Bioorg</w:t>
      </w:r>
      <w:proofErr w:type="spellEnd"/>
      <w:r w:rsidRPr="0092511B">
        <w:rPr>
          <w:rFonts w:ascii="Arial" w:hAnsi="Arial" w:cs="Arial"/>
          <w:sz w:val="20"/>
          <w:szCs w:val="20"/>
        </w:rPr>
        <w:t>. Med. Chem. Lett. 2016, 26, 3818–3821.</w:t>
      </w:r>
    </w:p>
    <w:p w14:paraId="56FCC2CB" w14:textId="12BC02B6" w:rsidR="00D058E7" w:rsidRPr="0092511B" w:rsidRDefault="00474A26" w:rsidP="00474A26">
      <w:pPr>
        <w:pStyle w:val="ListParagraph"/>
        <w:numPr>
          <w:ilvl w:val="0"/>
          <w:numId w:val="1"/>
        </w:numPr>
        <w:spacing w:line="360" w:lineRule="auto"/>
        <w:jc w:val="both"/>
        <w:rPr>
          <w:rFonts w:ascii="Arial" w:hAnsi="Arial" w:cs="Arial"/>
          <w:color w:val="EE0000"/>
          <w:sz w:val="20"/>
          <w:szCs w:val="20"/>
        </w:rPr>
      </w:pPr>
      <w:r w:rsidRPr="0092511B">
        <w:rPr>
          <w:rFonts w:ascii="Arial" w:hAnsi="Arial" w:cs="Arial"/>
          <w:sz w:val="20"/>
          <w:szCs w:val="20"/>
        </w:rPr>
        <w:t xml:space="preserve">Ismail, M.; </w:t>
      </w:r>
      <w:proofErr w:type="spellStart"/>
      <w:r w:rsidRPr="0092511B">
        <w:rPr>
          <w:rFonts w:ascii="Arial" w:hAnsi="Arial" w:cs="Arial"/>
          <w:sz w:val="20"/>
          <w:szCs w:val="20"/>
        </w:rPr>
        <w:t>Madkour</w:t>
      </w:r>
      <w:proofErr w:type="spellEnd"/>
      <w:r w:rsidRPr="0092511B">
        <w:rPr>
          <w:rFonts w:ascii="Arial" w:hAnsi="Arial" w:cs="Arial"/>
          <w:sz w:val="20"/>
          <w:szCs w:val="20"/>
        </w:rPr>
        <w:t xml:space="preserve">, H.; Salem, M.; Mohamed, A.; Aly, A. Design, synthesis and insecticidal activity of new 1,3,4-thiadiazole and 1,3,4-thiadiazolo[3,2-a] pyrimidine derivatives under solvent-free conditions. Synth. </w:t>
      </w:r>
      <w:proofErr w:type="spellStart"/>
      <w:r w:rsidRPr="0092511B">
        <w:rPr>
          <w:rFonts w:ascii="Arial" w:hAnsi="Arial" w:cs="Arial"/>
          <w:sz w:val="20"/>
          <w:szCs w:val="20"/>
        </w:rPr>
        <w:t>Commun</w:t>
      </w:r>
      <w:proofErr w:type="spellEnd"/>
      <w:r w:rsidRPr="0092511B">
        <w:rPr>
          <w:rFonts w:ascii="Arial" w:hAnsi="Arial" w:cs="Arial"/>
          <w:sz w:val="20"/>
          <w:szCs w:val="20"/>
        </w:rPr>
        <w:t>. 2021, 51, 2644–2660.</w:t>
      </w:r>
    </w:p>
    <w:p w14:paraId="09766AC1" w14:textId="5BE41C1C" w:rsidR="00170C84" w:rsidRPr="0092511B" w:rsidRDefault="00170C84" w:rsidP="00474A26">
      <w:pPr>
        <w:pStyle w:val="ListParagraph"/>
        <w:numPr>
          <w:ilvl w:val="0"/>
          <w:numId w:val="1"/>
        </w:numPr>
        <w:spacing w:line="360" w:lineRule="auto"/>
        <w:jc w:val="both"/>
        <w:rPr>
          <w:rFonts w:ascii="Arial" w:hAnsi="Arial" w:cs="Arial"/>
          <w:sz w:val="20"/>
          <w:szCs w:val="20"/>
        </w:rPr>
      </w:pPr>
      <w:proofErr w:type="spellStart"/>
      <w:r w:rsidRPr="0092511B">
        <w:rPr>
          <w:rFonts w:ascii="Arial" w:hAnsi="Arial" w:cs="Arial"/>
          <w:sz w:val="20"/>
          <w:szCs w:val="20"/>
        </w:rPr>
        <w:t>Sucheta</w:t>
      </w:r>
      <w:proofErr w:type="spellEnd"/>
      <w:r w:rsidRPr="0092511B">
        <w:rPr>
          <w:rFonts w:ascii="Arial" w:hAnsi="Arial" w:cs="Arial"/>
          <w:sz w:val="20"/>
          <w:szCs w:val="20"/>
        </w:rPr>
        <w:t xml:space="preserve">, </w:t>
      </w:r>
      <w:proofErr w:type="spellStart"/>
      <w:r w:rsidRPr="0092511B">
        <w:rPr>
          <w:rFonts w:ascii="Arial" w:hAnsi="Arial" w:cs="Arial"/>
          <w:sz w:val="20"/>
          <w:szCs w:val="20"/>
        </w:rPr>
        <w:t>Tahlan</w:t>
      </w:r>
      <w:proofErr w:type="spellEnd"/>
      <w:r w:rsidRPr="0092511B">
        <w:rPr>
          <w:rFonts w:ascii="Arial" w:hAnsi="Arial" w:cs="Arial"/>
          <w:sz w:val="20"/>
          <w:szCs w:val="20"/>
        </w:rPr>
        <w:t xml:space="preserve"> S, Verma PK. Synthesis, SAR and in vitro therapeutic potentials of thiazolidine-2, 4-diones. Chemistry Central Journal. 2018 Dec 4;12(1):129.</w:t>
      </w:r>
    </w:p>
    <w:p w14:paraId="2C0E35F1" w14:textId="1567706C" w:rsidR="0097054C" w:rsidRPr="0092511B" w:rsidRDefault="0097054C" w:rsidP="00474A26">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National Committee for Clinical Laboratory Standards (NCCLS) Ap proved standard document M-7A, Villanova, PA, 1985.</w:t>
      </w:r>
    </w:p>
    <w:p w14:paraId="422B633D" w14:textId="167BF78D" w:rsidR="0062706B" w:rsidRPr="0092511B" w:rsidRDefault="00DE1B16" w:rsidP="00474A26">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 xml:space="preserve">Kumar A, Lata S, Saxena KK and Chandra T, Synthesis and evaluation of new substituted </w:t>
      </w:r>
      <w:r w:rsidRPr="0092511B">
        <w:rPr>
          <w:rFonts w:ascii="Arial" w:hAnsi="Arial" w:cs="Arial"/>
          <w:sz w:val="20"/>
          <w:szCs w:val="20"/>
        </w:rPr>
        <w:lastRenderedPageBreak/>
        <w:t xml:space="preserve">indolyl pyrazolines as anti-inflammatory and analgesic activities, Indian Drugs.2009.46 (9): 43 48. </w:t>
      </w:r>
    </w:p>
    <w:p w14:paraId="66877017" w14:textId="09C8DB3C" w:rsidR="008C21D6" w:rsidRPr="0092511B" w:rsidRDefault="00DE1B16" w:rsidP="00474A26">
      <w:pPr>
        <w:pStyle w:val="ListParagraph"/>
        <w:numPr>
          <w:ilvl w:val="0"/>
          <w:numId w:val="1"/>
        </w:numPr>
        <w:spacing w:line="360" w:lineRule="auto"/>
        <w:jc w:val="both"/>
        <w:rPr>
          <w:rFonts w:ascii="Arial" w:hAnsi="Arial" w:cs="Arial"/>
          <w:sz w:val="20"/>
          <w:szCs w:val="20"/>
        </w:rPr>
      </w:pPr>
      <w:proofErr w:type="spellStart"/>
      <w:r w:rsidRPr="0092511B">
        <w:rPr>
          <w:rFonts w:ascii="Arial" w:hAnsi="Arial" w:cs="Arial"/>
          <w:sz w:val="20"/>
          <w:szCs w:val="20"/>
        </w:rPr>
        <w:t>Kittur</w:t>
      </w:r>
      <w:proofErr w:type="spellEnd"/>
      <w:r w:rsidRPr="0092511B">
        <w:rPr>
          <w:rFonts w:ascii="Arial" w:hAnsi="Arial" w:cs="Arial"/>
          <w:sz w:val="20"/>
          <w:szCs w:val="20"/>
        </w:rPr>
        <w:t xml:space="preserve"> BS, </w:t>
      </w:r>
      <w:proofErr w:type="spellStart"/>
      <w:r w:rsidRPr="0092511B">
        <w:rPr>
          <w:rFonts w:ascii="Arial" w:hAnsi="Arial" w:cs="Arial"/>
          <w:sz w:val="20"/>
          <w:szCs w:val="20"/>
        </w:rPr>
        <w:t>Sastri</w:t>
      </w:r>
      <w:proofErr w:type="spellEnd"/>
      <w:r w:rsidRPr="0092511B">
        <w:rPr>
          <w:rFonts w:ascii="Arial" w:hAnsi="Arial" w:cs="Arial"/>
          <w:sz w:val="20"/>
          <w:szCs w:val="20"/>
        </w:rPr>
        <w:t xml:space="preserve"> BS, </w:t>
      </w:r>
      <w:proofErr w:type="spellStart"/>
      <w:r w:rsidRPr="0092511B">
        <w:rPr>
          <w:rFonts w:ascii="Arial" w:hAnsi="Arial" w:cs="Arial"/>
          <w:sz w:val="20"/>
          <w:szCs w:val="20"/>
        </w:rPr>
        <w:t>Pattan</w:t>
      </w:r>
      <w:proofErr w:type="spellEnd"/>
      <w:r w:rsidRPr="0092511B">
        <w:rPr>
          <w:rFonts w:ascii="Arial" w:hAnsi="Arial" w:cs="Arial"/>
          <w:sz w:val="20"/>
          <w:szCs w:val="20"/>
        </w:rPr>
        <w:t xml:space="preserve"> SR, </w:t>
      </w:r>
      <w:proofErr w:type="spellStart"/>
      <w:r w:rsidRPr="0092511B">
        <w:rPr>
          <w:rFonts w:ascii="Arial" w:hAnsi="Arial" w:cs="Arial"/>
          <w:sz w:val="20"/>
          <w:szCs w:val="20"/>
        </w:rPr>
        <w:t>Rabara</w:t>
      </w:r>
      <w:proofErr w:type="spellEnd"/>
      <w:r w:rsidRPr="0092511B">
        <w:rPr>
          <w:rFonts w:ascii="Arial" w:hAnsi="Arial" w:cs="Arial"/>
          <w:sz w:val="20"/>
          <w:szCs w:val="20"/>
        </w:rPr>
        <w:t xml:space="preserve"> PA and </w:t>
      </w:r>
      <w:proofErr w:type="spellStart"/>
      <w:r w:rsidRPr="0092511B">
        <w:rPr>
          <w:rFonts w:ascii="Arial" w:hAnsi="Arial" w:cs="Arial"/>
          <w:sz w:val="20"/>
          <w:szCs w:val="20"/>
        </w:rPr>
        <w:t>Muchhandi</w:t>
      </w:r>
      <w:proofErr w:type="spellEnd"/>
      <w:r w:rsidRPr="0092511B">
        <w:rPr>
          <w:rFonts w:ascii="Arial" w:hAnsi="Arial" w:cs="Arial"/>
          <w:sz w:val="20"/>
          <w:szCs w:val="20"/>
        </w:rPr>
        <w:t xml:space="preserve"> IS, Synthesis and anti-inflammatory activity of some novel 1,3,4- oxadiazole and </w:t>
      </w:r>
      <w:proofErr w:type="spellStart"/>
      <w:r w:rsidRPr="0092511B">
        <w:rPr>
          <w:rFonts w:ascii="Arial" w:hAnsi="Arial" w:cs="Arial"/>
          <w:sz w:val="20"/>
          <w:szCs w:val="20"/>
        </w:rPr>
        <w:t>pyrazole</w:t>
      </w:r>
      <w:proofErr w:type="spellEnd"/>
      <w:r w:rsidRPr="0092511B">
        <w:rPr>
          <w:rFonts w:ascii="Arial" w:hAnsi="Arial" w:cs="Arial"/>
          <w:sz w:val="20"/>
          <w:szCs w:val="20"/>
        </w:rPr>
        <w:t xml:space="preserve"> derivatives, Indian drugs.2009; 46 (4): 287-290. </w:t>
      </w:r>
    </w:p>
    <w:p w14:paraId="3EB40430" w14:textId="27A5FD2C" w:rsidR="0062706B" w:rsidRPr="0092511B" w:rsidRDefault="00DE1B16" w:rsidP="00474A26">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El-</w:t>
      </w:r>
      <w:proofErr w:type="spellStart"/>
      <w:r w:rsidRPr="0092511B">
        <w:rPr>
          <w:rFonts w:ascii="Arial" w:hAnsi="Arial" w:cs="Arial"/>
          <w:sz w:val="20"/>
          <w:szCs w:val="20"/>
        </w:rPr>
        <w:t>Hamouly</w:t>
      </w:r>
      <w:proofErr w:type="spellEnd"/>
      <w:r w:rsidRPr="0092511B">
        <w:rPr>
          <w:rFonts w:ascii="Arial" w:hAnsi="Arial" w:cs="Arial"/>
          <w:sz w:val="20"/>
          <w:szCs w:val="20"/>
        </w:rPr>
        <w:t xml:space="preserve"> WS, El-</w:t>
      </w:r>
      <w:proofErr w:type="spellStart"/>
      <w:r w:rsidRPr="0092511B">
        <w:rPr>
          <w:rFonts w:ascii="Arial" w:hAnsi="Arial" w:cs="Arial"/>
          <w:sz w:val="20"/>
          <w:szCs w:val="20"/>
        </w:rPr>
        <w:t>Khamry</w:t>
      </w:r>
      <w:proofErr w:type="spellEnd"/>
      <w:r w:rsidRPr="0092511B">
        <w:rPr>
          <w:rFonts w:ascii="Arial" w:hAnsi="Arial" w:cs="Arial"/>
          <w:sz w:val="20"/>
          <w:szCs w:val="20"/>
        </w:rPr>
        <w:t xml:space="preserve"> AMA and </w:t>
      </w:r>
      <w:proofErr w:type="spellStart"/>
      <w:r w:rsidRPr="0092511B">
        <w:rPr>
          <w:rFonts w:ascii="Arial" w:hAnsi="Arial" w:cs="Arial"/>
          <w:sz w:val="20"/>
          <w:szCs w:val="20"/>
        </w:rPr>
        <w:t>Abbaa</w:t>
      </w:r>
      <w:proofErr w:type="spellEnd"/>
      <w:r w:rsidRPr="0092511B">
        <w:rPr>
          <w:rFonts w:ascii="Arial" w:hAnsi="Arial" w:cs="Arial"/>
          <w:sz w:val="20"/>
          <w:szCs w:val="20"/>
        </w:rPr>
        <w:t xml:space="preserve"> EMH, Synthesis of new 4 </w:t>
      </w:r>
      <w:proofErr w:type="spellStart"/>
      <w:r w:rsidRPr="0092511B">
        <w:rPr>
          <w:rFonts w:ascii="Arial" w:hAnsi="Arial" w:cs="Arial"/>
          <w:sz w:val="20"/>
          <w:szCs w:val="20"/>
        </w:rPr>
        <w:t>arylisoxazolo</w:t>
      </w:r>
      <w:proofErr w:type="spellEnd"/>
      <w:r w:rsidRPr="0092511B">
        <w:rPr>
          <w:rFonts w:ascii="Arial" w:hAnsi="Arial" w:cs="Arial"/>
          <w:sz w:val="20"/>
          <w:szCs w:val="20"/>
        </w:rPr>
        <w:t>[ 5,4-d]pyrimidin-6 one(</w:t>
      </w:r>
      <w:proofErr w:type="spellStart"/>
      <w:r w:rsidRPr="0092511B">
        <w:rPr>
          <w:rFonts w:ascii="Arial" w:hAnsi="Arial" w:cs="Arial"/>
          <w:sz w:val="20"/>
          <w:szCs w:val="20"/>
        </w:rPr>
        <w:t>thione</w:t>
      </w:r>
      <w:proofErr w:type="spellEnd"/>
      <w:r w:rsidRPr="0092511B">
        <w:rPr>
          <w:rFonts w:ascii="Arial" w:hAnsi="Arial" w:cs="Arial"/>
          <w:sz w:val="20"/>
          <w:szCs w:val="20"/>
        </w:rPr>
        <w:t xml:space="preserve">) and 4-aryl-pyrazolo[3,4-d] pyrimidin-6-one derivatives of potential antihypertensive activity, Indian J. Chem.2006; 45B: 2091-2098. 14. Patil PO, </w:t>
      </w:r>
      <w:proofErr w:type="spellStart"/>
      <w:r w:rsidRPr="0092511B">
        <w:rPr>
          <w:rFonts w:ascii="Arial" w:hAnsi="Arial" w:cs="Arial"/>
          <w:sz w:val="20"/>
          <w:szCs w:val="20"/>
        </w:rPr>
        <w:t>Belsare</w:t>
      </w:r>
      <w:proofErr w:type="spellEnd"/>
      <w:r w:rsidRPr="0092511B">
        <w:rPr>
          <w:rFonts w:ascii="Arial" w:hAnsi="Arial" w:cs="Arial"/>
          <w:sz w:val="20"/>
          <w:szCs w:val="20"/>
        </w:rPr>
        <w:t xml:space="preserve"> DP, </w:t>
      </w:r>
      <w:proofErr w:type="spellStart"/>
      <w:r w:rsidRPr="0092511B">
        <w:rPr>
          <w:rFonts w:ascii="Arial" w:hAnsi="Arial" w:cs="Arial"/>
          <w:sz w:val="20"/>
          <w:szCs w:val="20"/>
        </w:rPr>
        <w:t>Kosalge</w:t>
      </w:r>
      <w:proofErr w:type="spellEnd"/>
      <w:r w:rsidRPr="0092511B">
        <w:rPr>
          <w:rFonts w:ascii="Arial" w:hAnsi="Arial" w:cs="Arial"/>
          <w:sz w:val="20"/>
          <w:szCs w:val="20"/>
        </w:rPr>
        <w:t xml:space="preserve"> SB and </w:t>
      </w:r>
      <w:proofErr w:type="spellStart"/>
      <w:r w:rsidRPr="0092511B">
        <w:rPr>
          <w:rFonts w:ascii="Arial" w:hAnsi="Arial" w:cs="Arial"/>
          <w:sz w:val="20"/>
          <w:szCs w:val="20"/>
        </w:rPr>
        <w:t>Fursule</w:t>
      </w:r>
      <w:proofErr w:type="spellEnd"/>
      <w:r w:rsidRPr="0092511B">
        <w:rPr>
          <w:rFonts w:ascii="Arial" w:hAnsi="Arial" w:cs="Arial"/>
          <w:sz w:val="20"/>
          <w:szCs w:val="20"/>
        </w:rPr>
        <w:t xml:space="preserve"> RA, Microwave assisted synthesis and anti-depressant activity of some 1,3,5- triphenyl-2-pyrazolines, Int. J. Chem. Sci.2008;6 (2): 717-725, </w:t>
      </w:r>
    </w:p>
    <w:p w14:paraId="501BDB8B" w14:textId="2A335C1A" w:rsidR="00DE1B16" w:rsidRPr="0092511B" w:rsidRDefault="00DE1B16" w:rsidP="00474A26">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 xml:space="preserve">Shikha SD and Anjali MR, Synthesis of substituted 2-(5-(2-chloroquinolin-3 </w:t>
      </w:r>
      <w:proofErr w:type="spellStart"/>
      <w:r w:rsidRPr="0092511B">
        <w:rPr>
          <w:rFonts w:ascii="Arial" w:hAnsi="Arial" w:cs="Arial"/>
          <w:sz w:val="20"/>
          <w:szCs w:val="20"/>
        </w:rPr>
        <w:t>yl</w:t>
      </w:r>
      <w:proofErr w:type="spellEnd"/>
      <w:r w:rsidRPr="0092511B">
        <w:rPr>
          <w:rFonts w:ascii="Arial" w:hAnsi="Arial" w:cs="Arial"/>
          <w:sz w:val="20"/>
          <w:szCs w:val="20"/>
        </w:rPr>
        <w:t xml:space="preserve">)-4,5- </w:t>
      </w:r>
      <w:proofErr w:type="spellStart"/>
      <w:r w:rsidRPr="0092511B">
        <w:rPr>
          <w:rFonts w:ascii="Arial" w:hAnsi="Arial" w:cs="Arial"/>
          <w:sz w:val="20"/>
          <w:szCs w:val="20"/>
        </w:rPr>
        <w:t>yl</w:t>
      </w:r>
      <w:proofErr w:type="spellEnd"/>
      <w:r w:rsidRPr="0092511B">
        <w:rPr>
          <w:rFonts w:ascii="Arial" w:hAnsi="Arial" w:cs="Arial"/>
          <w:sz w:val="20"/>
          <w:szCs w:val="20"/>
        </w:rPr>
        <w:t>)phenols dihydro-1H-pyrazol-3 as antibacterial and anticancer agents, Indian J. Hetero. Chem.2009;18: 397-398.</w:t>
      </w:r>
    </w:p>
    <w:p w14:paraId="665E43FE" w14:textId="77777777" w:rsidR="00712400" w:rsidRPr="0092511B" w:rsidRDefault="00712400" w:rsidP="00712400">
      <w:pPr>
        <w:pStyle w:val="ListParagraph"/>
        <w:widowControl/>
        <w:numPr>
          <w:ilvl w:val="0"/>
          <w:numId w:val="1"/>
        </w:numPr>
        <w:autoSpaceDE/>
        <w:autoSpaceDN/>
        <w:spacing w:after="160" w:line="360" w:lineRule="auto"/>
        <w:contextualSpacing/>
        <w:rPr>
          <w:rFonts w:ascii="Arial" w:hAnsi="Arial" w:cs="Arial"/>
          <w:sz w:val="20"/>
          <w:szCs w:val="20"/>
        </w:rPr>
      </w:pPr>
      <w:r w:rsidRPr="0092511B">
        <w:rPr>
          <w:rFonts w:ascii="Arial" w:hAnsi="Arial" w:cs="Arial"/>
          <w:sz w:val="20"/>
          <w:szCs w:val="20"/>
        </w:rPr>
        <w:t xml:space="preserve">P. P. </w:t>
      </w:r>
      <w:proofErr w:type="spellStart"/>
      <w:r w:rsidRPr="0092511B">
        <w:rPr>
          <w:rFonts w:ascii="Arial" w:hAnsi="Arial" w:cs="Arial"/>
          <w:sz w:val="20"/>
          <w:szCs w:val="20"/>
        </w:rPr>
        <w:t>Mahulikar</w:t>
      </w:r>
      <w:proofErr w:type="spellEnd"/>
      <w:r w:rsidRPr="0092511B">
        <w:rPr>
          <w:rFonts w:ascii="Arial" w:hAnsi="Arial" w:cs="Arial"/>
          <w:sz w:val="20"/>
          <w:szCs w:val="20"/>
        </w:rPr>
        <w:t xml:space="preserve">, U. D. Patil, A. P. </w:t>
      </w:r>
      <w:proofErr w:type="spellStart"/>
      <w:r w:rsidRPr="0092511B">
        <w:rPr>
          <w:rFonts w:ascii="Arial" w:hAnsi="Arial" w:cs="Arial"/>
          <w:sz w:val="20"/>
          <w:szCs w:val="20"/>
        </w:rPr>
        <w:t>Nikum</w:t>
      </w:r>
      <w:proofErr w:type="spellEnd"/>
      <w:r w:rsidRPr="0092511B">
        <w:rPr>
          <w:rFonts w:ascii="Arial" w:hAnsi="Arial" w:cs="Arial"/>
          <w:sz w:val="20"/>
          <w:szCs w:val="20"/>
        </w:rPr>
        <w:t>, and P. S. Nagle, “Synthesis, antimicrobial and antifungal activity evaluation of 2,6-diaryl-4-SEC-aminonicotinonitriles and 4-sec-amino-6 aryl-2-(pyridin-2-YL)pyridine-3-carbonitriles i.e. Bipyridines and their docking study,” The Journal of Pharmacy,vol.5,no. 3, pp. 1383–1386, 2012.</w:t>
      </w:r>
    </w:p>
    <w:p w14:paraId="49634A41" w14:textId="77777777" w:rsidR="00712400" w:rsidRPr="0092511B" w:rsidRDefault="00712400" w:rsidP="00712400">
      <w:pPr>
        <w:pStyle w:val="ListParagraph"/>
        <w:widowControl/>
        <w:numPr>
          <w:ilvl w:val="0"/>
          <w:numId w:val="1"/>
        </w:numPr>
        <w:autoSpaceDE/>
        <w:autoSpaceDN/>
        <w:spacing w:after="160" w:line="360" w:lineRule="auto"/>
        <w:contextualSpacing/>
        <w:rPr>
          <w:rFonts w:ascii="Arial" w:hAnsi="Arial" w:cs="Arial"/>
          <w:sz w:val="20"/>
          <w:szCs w:val="20"/>
        </w:rPr>
      </w:pPr>
      <w:proofErr w:type="spellStart"/>
      <w:r w:rsidRPr="0092511B">
        <w:rPr>
          <w:rFonts w:ascii="Arial" w:hAnsi="Arial" w:cs="Arial"/>
          <w:sz w:val="20"/>
          <w:szCs w:val="20"/>
        </w:rPr>
        <w:t>Bala</w:t>
      </w:r>
      <w:proofErr w:type="spellEnd"/>
      <w:r w:rsidRPr="0092511B">
        <w:rPr>
          <w:rFonts w:ascii="Arial" w:hAnsi="Arial" w:cs="Arial"/>
          <w:sz w:val="20"/>
          <w:szCs w:val="20"/>
        </w:rPr>
        <w:t xml:space="preserve"> S, Kamboj S, Kajal A, Saini V, Prasad DN. 1, 3, 4</w:t>
      </w:r>
      <w:r w:rsidRPr="0092511B">
        <w:rPr>
          <w:rFonts w:ascii="Cambria Math" w:hAnsi="Cambria Math" w:cs="Cambria Math"/>
          <w:sz w:val="20"/>
          <w:szCs w:val="20"/>
        </w:rPr>
        <w:t>‐</w:t>
      </w:r>
      <w:r w:rsidRPr="0092511B">
        <w:rPr>
          <w:rFonts w:ascii="Arial" w:hAnsi="Arial" w:cs="Arial"/>
          <w:sz w:val="20"/>
          <w:szCs w:val="20"/>
        </w:rPr>
        <w:t>oxadiazole derivatives: synthesis, characterization, antimicrobial potential, and computational studies. BioMed research international. 2014;2014(1):172791.</w:t>
      </w:r>
    </w:p>
    <w:p w14:paraId="5D5F9F1C" w14:textId="77777777" w:rsidR="00D2319A" w:rsidRPr="0092511B" w:rsidRDefault="00D2319A" w:rsidP="00D2319A">
      <w:pPr>
        <w:pStyle w:val="ListParagraph"/>
        <w:widowControl/>
        <w:numPr>
          <w:ilvl w:val="0"/>
          <w:numId w:val="1"/>
        </w:numPr>
        <w:autoSpaceDE/>
        <w:autoSpaceDN/>
        <w:spacing w:after="200" w:line="276" w:lineRule="auto"/>
        <w:contextualSpacing/>
        <w:jc w:val="both"/>
        <w:rPr>
          <w:rFonts w:ascii="Arial" w:hAnsi="Arial" w:cs="Arial"/>
          <w:sz w:val="20"/>
          <w:szCs w:val="20"/>
        </w:rPr>
      </w:pPr>
      <w:r w:rsidRPr="0092511B">
        <w:rPr>
          <w:rFonts w:ascii="Arial" w:hAnsi="Arial" w:cs="Arial"/>
          <w:sz w:val="20"/>
          <w:szCs w:val="20"/>
        </w:rPr>
        <w:t xml:space="preserve">Wu G, Robertson DH, Brooks IIC, </w:t>
      </w:r>
      <w:proofErr w:type="spellStart"/>
      <w:r w:rsidRPr="0092511B">
        <w:rPr>
          <w:rFonts w:ascii="Arial" w:hAnsi="Arial" w:cs="Arial"/>
          <w:sz w:val="20"/>
          <w:szCs w:val="20"/>
        </w:rPr>
        <w:t>Vieth</w:t>
      </w:r>
      <w:proofErr w:type="spellEnd"/>
      <w:r w:rsidRPr="0092511B">
        <w:rPr>
          <w:rFonts w:ascii="Arial" w:hAnsi="Arial" w:cs="Arial"/>
          <w:sz w:val="20"/>
          <w:szCs w:val="20"/>
        </w:rPr>
        <w:t xml:space="preserve"> M. Detailed analysis of grid-based molecular docking: a case study of CDOCKER-A </w:t>
      </w:r>
      <w:proofErr w:type="spellStart"/>
      <w:r w:rsidRPr="0092511B">
        <w:rPr>
          <w:rFonts w:ascii="Arial" w:hAnsi="Arial" w:cs="Arial"/>
          <w:sz w:val="20"/>
          <w:szCs w:val="20"/>
        </w:rPr>
        <w:t>CHARMm</w:t>
      </w:r>
      <w:proofErr w:type="spellEnd"/>
      <w:r w:rsidRPr="0092511B">
        <w:rPr>
          <w:rFonts w:ascii="Arial" w:hAnsi="Arial" w:cs="Arial"/>
          <w:sz w:val="20"/>
          <w:szCs w:val="20"/>
        </w:rPr>
        <w:t xml:space="preserve">-based MD docking algorithm. J </w:t>
      </w:r>
      <w:proofErr w:type="spellStart"/>
      <w:r w:rsidRPr="0092511B">
        <w:rPr>
          <w:rFonts w:ascii="Arial" w:hAnsi="Arial" w:cs="Arial"/>
          <w:sz w:val="20"/>
          <w:szCs w:val="20"/>
        </w:rPr>
        <w:t>Comput</w:t>
      </w:r>
      <w:proofErr w:type="spellEnd"/>
      <w:r w:rsidRPr="0092511B">
        <w:rPr>
          <w:rFonts w:ascii="Arial" w:hAnsi="Arial" w:cs="Arial"/>
          <w:sz w:val="20"/>
          <w:szCs w:val="20"/>
        </w:rPr>
        <w:t xml:space="preserve"> Chem 2003;24:1549–62.</w:t>
      </w:r>
    </w:p>
    <w:p w14:paraId="3867CEB6" w14:textId="77777777" w:rsidR="00D2319A" w:rsidRPr="0092511B" w:rsidRDefault="00D2319A" w:rsidP="00D2319A">
      <w:pPr>
        <w:pStyle w:val="ListParagraph"/>
        <w:widowControl/>
        <w:numPr>
          <w:ilvl w:val="0"/>
          <w:numId w:val="1"/>
        </w:numPr>
        <w:autoSpaceDE/>
        <w:autoSpaceDN/>
        <w:spacing w:after="200" w:line="276" w:lineRule="auto"/>
        <w:contextualSpacing/>
        <w:jc w:val="both"/>
        <w:rPr>
          <w:rFonts w:ascii="Arial" w:hAnsi="Arial" w:cs="Arial"/>
          <w:sz w:val="20"/>
          <w:szCs w:val="20"/>
        </w:rPr>
      </w:pPr>
      <w:r w:rsidRPr="0092511B">
        <w:rPr>
          <w:rFonts w:ascii="Arial" w:hAnsi="Arial" w:cs="Arial"/>
          <w:sz w:val="20"/>
          <w:szCs w:val="20"/>
        </w:rPr>
        <w:t>Deb, P. K., Al-</w:t>
      </w:r>
      <w:proofErr w:type="spellStart"/>
      <w:r w:rsidRPr="0092511B">
        <w:rPr>
          <w:rFonts w:ascii="Arial" w:hAnsi="Arial" w:cs="Arial"/>
          <w:sz w:val="20"/>
          <w:szCs w:val="20"/>
        </w:rPr>
        <w:t>Shar’i</w:t>
      </w:r>
      <w:proofErr w:type="spellEnd"/>
      <w:r w:rsidRPr="0092511B">
        <w:rPr>
          <w:rFonts w:ascii="Arial" w:hAnsi="Arial" w:cs="Arial"/>
          <w:sz w:val="20"/>
          <w:szCs w:val="20"/>
        </w:rPr>
        <w:t xml:space="preserve">, N. A., </w:t>
      </w:r>
      <w:proofErr w:type="spellStart"/>
      <w:r w:rsidRPr="0092511B">
        <w:rPr>
          <w:rFonts w:ascii="Arial" w:hAnsi="Arial" w:cs="Arial"/>
          <w:sz w:val="20"/>
          <w:szCs w:val="20"/>
        </w:rPr>
        <w:t>Venugopala</w:t>
      </w:r>
      <w:proofErr w:type="spellEnd"/>
      <w:r w:rsidRPr="0092511B">
        <w:rPr>
          <w:rFonts w:ascii="Arial" w:hAnsi="Arial" w:cs="Arial"/>
          <w:sz w:val="20"/>
          <w:szCs w:val="20"/>
        </w:rPr>
        <w:t>, K. N., Pillay, M., &amp; Borah, P. (2021). In vitro anti-TB properties, in silico target validation, molecular docking and dynamics studies of substituted 1, 2, 4-oxadiazole analogues against Mycobacterium tuberculosis. </w:t>
      </w:r>
      <w:r w:rsidRPr="0092511B">
        <w:rPr>
          <w:rFonts w:ascii="Arial" w:hAnsi="Arial" w:cs="Arial"/>
          <w:i/>
          <w:iCs/>
          <w:sz w:val="20"/>
          <w:szCs w:val="20"/>
        </w:rPr>
        <w:t>Journal of enzyme inhibition and medicinal chemistry</w:t>
      </w:r>
      <w:r w:rsidRPr="0092511B">
        <w:rPr>
          <w:rFonts w:ascii="Arial" w:hAnsi="Arial" w:cs="Arial"/>
          <w:sz w:val="20"/>
          <w:szCs w:val="20"/>
        </w:rPr>
        <w:t>, </w:t>
      </w:r>
      <w:r w:rsidRPr="0092511B">
        <w:rPr>
          <w:rFonts w:ascii="Arial" w:hAnsi="Arial" w:cs="Arial"/>
          <w:i/>
          <w:iCs/>
          <w:sz w:val="20"/>
          <w:szCs w:val="20"/>
        </w:rPr>
        <w:t>36</w:t>
      </w:r>
      <w:r w:rsidRPr="0092511B">
        <w:rPr>
          <w:rFonts w:ascii="Arial" w:hAnsi="Arial" w:cs="Arial"/>
          <w:sz w:val="20"/>
          <w:szCs w:val="20"/>
        </w:rPr>
        <w:t>(1), 869-884.</w:t>
      </w:r>
    </w:p>
    <w:p w14:paraId="09ADA9F8" w14:textId="77777777" w:rsidR="00712400" w:rsidRPr="0092511B" w:rsidRDefault="00712400" w:rsidP="002E2781">
      <w:pPr>
        <w:pStyle w:val="ListParagraph"/>
        <w:spacing w:line="360" w:lineRule="auto"/>
        <w:ind w:left="720" w:firstLine="0"/>
        <w:jc w:val="both"/>
        <w:rPr>
          <w:rFonts w:ascii="Arial" w:hAnsi="Arial" w:cs="Arial"/>
          <w:sz w:val="24"/>
          <w:szCs w:val="24"/>
        </w:rPr>
      </w:pPr>
    </w:p>
    <w:sectPr w:rsidR="00712400" w:rsidRPr="0092511B">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9D1EB" w14:textId="77777777" w:rsidR="0028184F" w:rsidRDefault="0028184F" w:rsidP="002647E8">
      <w:r>
        <w:separator/>
      </w:r>
    </w:p>
  </w:endnote>
  <w:endnote w:type="continuationSeparator" w:id="0">
    <w:p w14:paraId="06EC9E0D" w14:textId="77777777" w:rsidR="0028184F" w:rsidRDefault="0028184F" w:rsidP="00264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hruti">
    <w:altName w:val="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CAB03" w14:textId="77777777" w:rsidR="002647E8" w:rsidRDefault="002647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0EA22" w14:textId="77777777" w:rsidR="002647E8" w:rsidRDefault="002647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55731" w14:textId="77777777" w:rsidR="002647E8" w:rsidRDefault="002647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26823" w14:textId="77777777" w:rsidR="0028184F" w:rsidRDefault="0028184F" w:rsidP="002647E8">
      <w:r>
        <w:separator/>
      </w:r>
    </w:p>
  </w:footnote>
  <w:footnote w:type="continuationSeparator" w:id="0">
    <w:p w14:paraId="75EAF594" w14:textId="77777777" w:rsidR="0028184F" w:rsidRDefault="0028184F" w:rsidP="00264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77B29" w14:textId="3201960B" w:rsidR="002647E8" w:rsidRDefault="002647E8">
    <w:pPr>
      <w:pStyle w:val="Header"/>
    </w:pPr>
    <w:r>
      <w:rPr>
        <w:noProof/>
      </w:rPr>
      <w:pict w14:anchorId="72689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9220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38217" w14:textId="015607D3" w:rsidR="002647E8" w:rsidRDefault="002647E8">
    <w:pPr>
      <w:pStyle w:val="Header"/>
    </w:pPr>
    <w:r>
      <w:rPr>
        <w:noProof/>
      </w:rPr>
      <w:pict w14:anchorId="5B6D0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9220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3EFBB" w14:textId="113AB1DE" w:rsidR="002647E8" w:rsidRDefault="002647E8">
    <w:pPr>
      <w:pStyle w:val="Header"/>
    </w:pPr>
    <w:r>
      <w:rPr>
        <w:noProof/>
      </w:rPr>
      <w:pict w14:anchorId="36B678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9220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446BA5"/>
    <w:multiLevelType w:val="hybridMultilevel"/>
    <w:tmpl w:val="C7689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28B0E45"/>
    <w:multiLevelType w:val="hybridMultilevel"/>
    <w:tmpl w:val="C4A0DD8E"/>
    <w:lvl w:ilvl="0" w:tplc="26BC7CB8">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2B34475"/>
    <w:multiLevelType w:val="hybridMultilevel"/>
    <w:tmpl w:val="1A4C1E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F081AAD"/>
    <w:multiLevelType w:val="hybridMultilevel"/>
    <w:tmpl w:val="0F00CD44"/>
    <w:lvl w:ilvl="0" w:tplc="C23C1878">
      <w:start w:val="347"/>
      <w:numFmt w:val="bullet"/>
      <w:lvlText w:val=""/>
      <w:lvlJc w:val="left"/>
      <w:pPr>
        <w:ind w:left="720" w:hanging="360"/>
      </w:pPr>
      <w:rPr>
        <w:rFonts w:ascii="Wingdings" w:eastAsiaTheme="minorHAnsi"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FD7"/>
    <w:rsid w:val="00003148"/>
    <w:rsid w:val="000053BD"/>
    <w:rsid w:val="00005BAE"/>
    <w:rsid w:val="00007132"/>
    <w:rsid w:val="00010736"/>
    <w:rsid w:val="00012599"/>
    <w:rsid w:val="000144B4"/>
    <w:rsid w:val="000153DE"/>
    <w:rsid w:val="0002085B"/>
    <w:rsid w:val="00021937"/>
    <w:rsid w:val="000262EE"/>
    <w:rsid w:val="0003065A"/>
    <w:rsid w:val="000425E2"/>
    <w:rsid w:val="000427E5"/>
    <w:rsid w:val="00042D12"/>
    <w:rsid w:val="000463BC"/>
    <w:rsid w:val="000532A0"/>
    <w:rsid w:val="00054612"/>
    <w:rsid w:val="00054677"/>
    <w:rsid w:val="000559D0"/>
    <w:rsid w:val="00055E3C"/>
    <w:rsid w:val="00056D8D"/>
    <w:rsid w:val="00060C06"/>
    <w:rsid w:val="000636AD"/>
    <w:rsid w:val="00063C68"/>
    <w:rsid w:val="00066911"/>
    <w:rsid w:val="000672E0"/>
    <w:rsid w:val="000716A9"/>
    <w:rsid w:val="0007261A"/>
    <w:rsid w:val="0007302B"/>
    <w:rsid w:val="00076140"/>
    <w:rsid w:val="000779A7"/>
    <w:rsid w:val="00082AB2"/>
    <w:rsid w:val="0008674F"/>
    <w:rsid w:val="000869A7"/>
    <w:rsid w:val="0008777C"/>
    <w:rsid w:val="00094B36"/>
    <w:rsid w:val="00096037"/>
    <w:rsid w:val="00096269"/>
    <w:rsid w:val="000A05EF"/>
    <w:rsid w:val="000A3633"/>
    <w:rsid w:val="000B0601"/>
    <w:rsid w:val="000B2E34"/>
    <w:rsid w:val="000B36E5"/>
    <w:rsid w:val="000C79BD"/>
    <w:rsid w:val="000D13A8"/>
    <w:rsid w:val="000D2C23"/>
    <w:rsid w:val="000D578B"/>
    <w:rsid w:val="000E34E2"/>
    <w:rsid w:val="000E44BB"/>
    <w:rsid w:val="000E786F"/>
    <w:rsid w:val="000F0A39"/>
    <w:rsid w:val="000F1635"/>
    <w:rsid w:val="00106476"/>
    <w:rsid w:val="0010683E"/>
    <w:rsid w:val="00121392"/>
    <w:rsid w:val="00121FD7"/>
    <w:rsid w:val="00126355"/>
    <w:rsid w:val="001316C2"/>
    <w:rsid w:val="0013511C"/>
    <w:rsid w:val="0014033E"/>
    <w:rsid w:val="00140455"/>
    <w:rsid w:val="001407B5"/>
    <w:rsid w:val="001416FB"/>
    <w:rsid w:val="00144950"/>
    <w:rsid w:val="00146422"/>
    <w:rsid w:val="00147C76"/>
    <w:rsid w:val="00151170"/>
    <w:rsid w:val="00155978"/>
    <w:rsid w:val="001565A8"/>
    <w:rsid w:val="00157A2F"/>
    <w:rsid w:val="00162B3D"/>
    <w:rsid w:val="001639BC"/>
    <w:rsid w:val="00170C84"/>
    <w:rsid w:val="00171E27"/>
    <w:rsid w:val="00172B2A"/>
    <w:rsid w:val="00175160"/>
    <w:rsid w:val="00176973"/>
    <w:rsid w:val="0018231C"/>
    <w:rsid w:val="00182FCC"/>
    <w:rsid w:val="001831AF"/>
    <w:rsid w:val="001903AB"/>
    <w:rsid w:val="0019230C"/>
    <w:rsid w:val="0019340B"/>
    <w:rsid w:val="00195BC7"/>
    <w:rsid w:val="001A2F24"/>
    <w:rsid w:val="001A363D"/>
    <w:rsid w:val="001A7001"/>
    <w:rsid w:val="001B0942"/>
    <w:rsid w:val="001B5E6F"/>
    <w:rsid w:val="001C3B72"/>
    <w:rsid w:val="001C3B8E"/>
    <w:rsid w:val="001C3C5B"/>
    <w:rsid w:val="001C4995"/>
    <w:rsid w:val="001C54D0"/>
    <w:rsid w:val="001C5922"/>
    <w:rsid w:val="001C75A2"/>
    <w:rsid w:val="001D1129"/>
    <w:rsid w:val="001D301B"/>
    <w:rsid w:val="001D77B9"/>
    <w:rsid w:val="001E0E72"/>
    <w:rsid w:val="001E285C"/>
    <w:rsid w:val="001E5E50"/>
    <w:rsid w:val="001E75D4"/>
    <w:rsid w:val="001E7A0B"/>
    <w:rsid w:val="001F6540"/>
    <w:rsid w:val="0020326A"/>
    <w:rsid w:val="002035F4"/>
    <w:rsid w:val="0021144E"/>
    <w:rsid w:val="0021369C"/>
    <w:rsid w:val="002140C1"/>
    <w:rsid w:val="00215A52"/>
    <w:rsid w:val="00215D99"/>
    <w:rsid w:val="002207FF"/>
    <w:rsid w:val="00232DF3"/>
    <w:rsid w:val="00233099"/>
    <w:rsid w:val="00235F5B"/>
    <w:rsid w:val="002379CD"/>
    <w:rsid w:val="00247CBC"/>
    <w:rsid w:val="00251BF9"/>
    <w:rsid w:val="00253865"/>
    <w:rsid w:val="002563EC"/>
    <w:rsid w:val="00257C96"/>
    <w:rsid w:val="002647E8"/>
    <w:rsid w:val="00265F90"/>
    <w:rsid w:val="00271040"/>
    <w:rsid w:val="00274081"/>
    <w:rsid w:val="0028184F"/>
    <w:rsid w:val="002850FD"/>
    <w:rsid w:val="00290142"/>
    <w:rsid w:val="00290F1F"/>
    <w:rsid w:val="00292CA8"/>
    <w:rsid w:val="00292EEC"/>
    <w:rsid w:val="00294403"/>
    <w:rsid w:val="002A3838"/>
    <w:rsid w:val="002A442D"/>
    <w:rsid w:val="002A5B5E"/>
    <w:rsid w:val="002B161A"/>
    <w:rsid w:val="002B235F"/>
    <w:rsid w:val="002B5B08"/>
    <w:rsid w:val="002C350A"/>
    <w:rsid w:val="002C3E76"/>
    <w:rsid w:val="002C6969"/>
    <w:rsid w:val="002E0F00"/>
    <w:rsid w:val="002E2781"/>
    <w:rsid w:val="002E764A"/>
    <w:rsid w:val="002F21FA"/>
    <w:rsid w:val="002F57AD"/>
    <w:rsid w:val="00306CB7"/>
    <w:rsid w:val="00307E45"/>
    <w:rsid w:val="00315263"/>
    <w:rsid w:val="0031562C"/>
    <w:rsid w:val="00316EB2"/>
    <w:rsid w:val="00326032"/>
    <w:rsid w:val="00327171"/>
    <w:rsid w:val="003303F7"/>
    <w:rsid w:val="003313AA"/>
    <w:rsid w:val="003318DB"/>
    <w:rsid w:val="00333C1E"/>
    <w:rsid w:val="00334CD7"/>
    <w:rsid w:val="003361E6"/>
    <w:rsid w:val="003379C4"/>
    <w:rsid w:val="00337C14"/>
    <w:rsid w:val="0034112F"/>
    <w:rsid w:val="0034771B"/>
    <w:rsid w:val="00350B68"/>
    <w:rsid w:val="003609F6"/>
    <w:rsid w:val="00363216"/>
    <w:rsid w:val="0036331B"/>
    <w:rsid w:val="00374679"/>
    <w:rsid w:val="003750C0"/>
    <w:rsid w:val="00381124"/>
    <w:rsid w:val="00383806"/>
    <w:rsid w:val="003903DE"/>
    <w:rsid w:val="0039554C"/>
    <w:rsid w:val="003968F1"/>
    <w:rsid w:val="003A7B95"/>
    <w:rsid w:val="003B1426"/>
    <w:rsid w:val="003B14E6"/>
    <w:rsid w:val="003B40E7"/>
    <w:rsid w:val="003C3E11"/>
    <w:rsid w:val="003C48AC"/>
    <w:rsid w:val="003D37A0"/>
    <w:rsid w:val="003E43A6"/>
    <w:rsid w:val="003F38F2"/>
    <w:rsid w:val="003F49D0"/>
    <w:rsid w:val="003F574D"/>
    <w:rsid w:val="00401FB2"/>
    <w:rsid w:val="004028DD"/>
    <w:rsid w:val="004037C4"/>
    <w:rsid w:val="00405522"/>
    <w:rsid w:val="00406EAD"/>
    <w:rsid w:val="00406F1A"/>
    <w:rsid w:val="0041286D"/>
    <w:rsid w:val="004208BD"/>
    <w:rsid w:val="0042237C"/>
    <w:rsid w:val="00425CEC"/>
    <w:rsid w:val="00431422"/>
    <w:rsid w:val="004330FB"/>
    <w:rsid w:val="00437DE3"/>
    <w:rsid w:val="00442325"/>
    <w:rsid w:val="004444C5"/>
    <w:rsid w:val="00446C7C"/>
    <w:rsid w:val="0045058E"/>
    <w:rsid w:val="00451AA8"/>
    <w:rsid w:val="004536AE"/>
    <w:rsid w:val="00460538"/>
    <w:rsid w:val="00466956"/>
    <w:rsid w:val="00474A26"/>
    <w:rsid w:val="00483496"/>
    <w:rsid w:val="00483C63"/>
    <w:rsid w:val="004936F8"/>
    <w:rsid w:val="004976D9"/>
    <w:rsid w:val="004A329B"/>
    <w:rsid w:val="004A55FB"/>
    <w:rsid w:val="004A656D"/>
    <w:rsid w:val="004B34E3"/>
    <w:rsid w:val="004B35AF"/>
    <w:rsid w:val="004B7FBB"/>
    <w:rsid w:val="004C1151"/>
    <w:rsid w:val="004F609F"/>
    <w:rsid w:val="00500DFB"/>
    <w:rsid w:val="005046FC"/>
    <w:rsid w:val="0051052F"/>
    <w:rsid w:val="00513514"/>
    <w:rsid w:val="00513B93"/>
    <w:rsid w:val="0052412E"/>
    <w:rsid w:val="00524900"/>
    <w:rsid w:val="00525FB4"/>
    <w:rsid w:val="005278C7"/>
    <w:rsid w:val="00527D93"/>
    <w:rsid w:val="00535F67"/>
    <w:rsid w:val="00536057"/>
    <w:rsid w:val="00544ABA"/>
    <w:rsid w:val="00545E0F"/>
    <w:rsid w:val="00550D56"/>
    <w:rsid w:val="00554074"/>
    <w:rsid w:val="00565863"/>
    <w:rsid w:val="00565C89"/>
    <w:rsid w:val="00566874"/>
    <w:rsid w:val="00573F41"/>
    <w:rsid w:val="00574A53"/>
    <w:rsid w:val="005810D8"/>
    <w:rsid w:val="00581B5D"/>
    <w:rsid w:val="00581FCF"/>
    <w:rsid w:val="005867C8"/>
    <w:rsid w:val="00587E62"/>
    <w:rsid w:val="00592DE2"/>
    <w:rsid w:val="005A0CA8"/>
    <w:rsid w:val="005A3171"/>
    <w:rsid w:val="005B0F59"/>
    <w:rsid w:val="005B364F"/>
    <w:rsid w:val="005B5819"/>
    <w:rsid w:val="005B65A9"/>
    <w:rsid w:val="005B75B3"/>
    <w:rsid w:val="005D723D"/>
    <w:rsid w:val="005E579B"/>
    <w:rsid w:val="005E5DB7"/>
    <w:rsid w:val="005F29EF"/>
    <w:rsid w:val="005F4362"/>
    <w:rsid w:val="005F4A0E"/>
    <w:rsid w:val="005F4A5D"/>
    <w:rsid w:val="005F4D9C"/>
    <w:rsid w:val="005F6F82"/>
    <w:rsid w:val="0060256D"/>
    <w:rsid w:val="00606D99"/>
    <w:rsid w:val="00625911"/>
    <w:rsid w:val="006269BB"/>
    <w:rsid w:val="00626F92"/>
    <w:rsid w:val="0062706B"/>
    <w:rsid w:val="00631D18"/>
    <w:rsid w:val="00634837"/>
    <w:rsid w:val="00642CB6"/>
    <w:rsid w:val="0065561C"/>
    <w:rsid w:val="00655FF2"/>
    <w:rsid w:val="006601D4"/>
    <w:rsid w:val="0066263C"/>
    <w:rsid w:val="00662F5D"/>
    <w:rsid w:val="00665EAE"/>
    <w:rsid w:val="00680C64"/>
    <w:rsid w:val="006832F3"/>
    <w:rsid w:val="00690F26"/>
    <w:rsid w:val="00695BB9"/>
    <w:rsid w:val="00696FDE"/>
    <w:rsid w:val="006A2EDA"/>
    <w:rsid w:val="006A72E2"/>
    <w:rsid w:val="006B0E5A"/>
    <w:rsid w:val="006B6009"/>
    <w:rsid w:val="006C10ED"/>
    <w:rsid w:val="006C28DC"/>
    <w:rsid w:val="006C3AD3"/>
    <w:rsid w:val="006D1D2B"/>
    <w:rsid w:val="006D60C4"/>
    <w:rsid w:val="006F12B1"/>
    <w:rsid w:val="006F3301"/>
    <w:rsid w:val="006F3CCA"/>
    <w:rsid w:val="00701257"/>
    <w:rsid w:val="007052FD"/>
    <w:rsid w:val="00712400"/>
    <w:rsid w:val="007138F6"/>
    <w:rsid w:val="00723069"/>
    <w:rsid w:val="007256C2"/>
    <w:rsid w:val="00730A0C"/>
    <w:rsid w:val="00730AF8"/>
    <w:rsid w:val="00732A77"/>
    <w:rsid w:val="00733607"/>
    <w:rsid w:val="00734498"/>
    <w:rsid w:val="007375AD"/>
    <w:rsid w:val="00737F45"/>
    <w:rsid w:val="00740936"/>
    <w:rsid w:val="007411DF"/>
    <w:rsid w:val="00741571"/>
    <w:rsid w:val="00746CA9"/>
    <w:rsid w:val="007501BD"/>
    <w:rsid w:val="00752968"/>
    <w:rsid w:val="00753D45"/>
    <w:rsid w:val="00761A72"/>
    <w:rsid w:val="00761FAD"/>
    <w:rsid w:val="00765A8B"/>
    <w:rsid w:val="00767256"/>
    <w:rsid w:val="00770BAF"/>
    <w:rsid w:val="00777BD5"/>
    <w:rsid w:val="00777FAF"/>
    <w:rsid w:val="0078162A"/>
    <w:rsid w:val="00781974"/>
    <w:rsid w:val="007830A6"/>
    <w:rsid w:val="00784026"/>
    <w:rsid w:val="00784C87"/>
    <w:rsid w:val="00784F0C"/>
    <w:rsid w:val="00787425"/>
    <w:rsid w:val="007938E0"/>
    <w:rsid w:val="0079553B"/>
    <w:rsid w:val="007962F1"/>
    <w:rsid w:val="007A3847"/>
    <w:rsid w:val="007C15D6"/>
    <w:rsid w:val="007C2D63"/>
    <w:rsid w:val="007C69EE"/>
    <w:rsid w:val="007C7F17"/>
    <w:rsid w:val="007D51D1"/>
    <w:rsid w:val="007D7448"/>
    <w:rsid w:val="007E0444"/>
    <w:rsid w:val="007E0C1A"/>
    <w:rsid w:val="007E0D63"/>
    <w:rsid w:val="007E6FE2"/>
    <w:rsid w:val="007F141F"/>
    <w:rsid w:val="007F7592"/>
    <w:rsid w:val="008015F0"/>
    <w:rsid w:val="008031EF"/>
    <w:rsid w:val="00803D94"/>
    <w:rsid w:val="00804090"/>
    <w:rsid w:val="008127F7"/>
    <w:rsid w:val="008216B1"/>
    <w:rsid w:val="00821CD0"/>
    <w:rsid w:val="0082285C"/>
    <w:rsid w:val="00823039"/>
    <w:rsid w:val="00826FA0"/>
    <w:rsid w:val="0083105B"/>
    <w:rsid w:val="00841D7D"/>
    <w:rsid w:val="00844F95"/>
    <w:rsid w:val="00844FF8"/>
    <w:rsid w:val="00845A93"/>
    <w:rsid w:val="00845FC2"/>
    <w:rsid w:val="0084753D"/>
    <w:rsid w:val="00850B14"/>
    <w:rsid w:val="0085593A"/>
    <w:rsid w:val="00857F2B"/>
    <w:rsid w:val="00865B38"/>
    <w:rsid w:val="00867FDD"/>
    <w:rsid w:val="0088498C"/>
    <w:rsid w:val="00886F18"/>
    <w:rsid w:val="008871EB"/>
    <w:rsid w:val="00887AAA"/>
    <w:rsid w:val="008913A3"/>
    <w:rsid w:val="008A7312"/>
    <w:rsid w:val="008B064C"/>
    <w:rsid w:val="008B2300"/>
    <w:rsid w:val="008B766C"/>
    <w:rsid w:val="008C21D6"/>
    <w:rsid w:val="008C2642"/>
    <w:rsid w:val="008C38E4"/>
    <w:rsid w:val="008C3AF1"/>
    <w:rsid w:val="008C4490"/>
    <w:rsid w:val="008C45A2"/>
    <w:rsid w:val="008D10C0"/>
    <w:rsid w:val="008D2D82"/>
    <w:rsid w:val="008E11DE"/>
    <w:rsid w:val="008E3017"/>
    <w:rsid w:val="008E4314"/>
    <w:rsid w:val="008E4E66"/>
    <w:rsid w:val="008E6897"/>
    <w:rsid w:val="008F02DF"/>
    <w:rsid w:val="008F0835"/>
    <w:rsid w:val="008F4D31"/>
    <w:rsid w:val="008F7FBD"/>
    <w:rsid w:val="00901DE8"/>
    <w:rsid w:val="00903E69"/>
    <w:rsid w:val="00904953"/>
    <w:rsid w:val="00905A2B"/>
    <w:rsid w:val="00910353"/>
    <w:rsid w:val="00910B4F"/>
    <w:rsid w:val="00910B8F"/>
    <w:rsid w:val="00912EF4"/>
    <w:rsid w:val="00913CB6"/>
    <w:rsid w:val="00915A04"/>
    <w:rsid w:val="00917A3B"/>
    <w:rsid w:val="00920ABE"/>
    <w:rsid w:val="0092222A"/>
    <w:rsid w:val="0092511B"/>
    <w:rsid w:val="0093589F"/>
    <w:rsid w:val="00936C52"/>
    <w:rsid w:val="00940751"/>
    <w:rsid w:val="00941067"/>
    <w:rsid w:val="009554BC"/>
    <w:rsid w:val="0095561D"/>
    <w:rsid w:val="00957F6E"/>
    <w:rsid w:val="0096539A"/>
    <w:rsid w:val="00967952"/>
    <w:rsid w:val="0097054C"/>
    <w:rsid w:val="0098286E"/>
    <w:rsid w:val="00982CF7"/>
    <w:rsid w:val="00983906"/>
    <w:rsid w:val="00984F4A"/>
    <w:rsid w:val="00993662"/>
    <w:rsid w:val="0099665B"/>
    <w:rsid w:val="0099688C"/>
    <w:rsid w:val="009A36F8"/>
    <w:rsid w:val="009A5042"/>
    <w:rsid w:val="009A726A"/>
    <w:rsid w:val="009B0863"/>
    <w:rsid w:val="009B2737"/>
    <w:rsid w:val="009B319B"/>
    <w:rsid w:val="009B72C6"/>
    <w:rsid w:val="009C48B7"/>
    <w:rsid w:val="009C5191"/>
    <w:rsid w:val="009D02DC"/>
    <w:rsid w:val="009D2E7E"/>
    <w:rsid w:val="009D56BE"/>
    <w:rsid w:val="009D7208"/>
    <w:rsid w:val="009F0427"/>
    <w:rsid w:val="009F3217"/>
    <w:rsid w:val="009F6039"/>
    <w:rsid w:val="009F60D2"/>
    <w:rsid w:val="00A02563"/>
    <w:rsid w:val="00A06367"/>
    <w:rsid w:val="00A15F77"/>
    <w:rsid w:val="00A20736"/>
    <w:rsid w:val="00A2148B"/>
    <w:rsid w:val="00A222DA"/>
    <w:rsid w:val="00A228D3"/>
    <w:rsid w:val="00A236D5"/>
    <w:rsid w:val="00A262B9"/>
    <w:rsid w:val="00A279FB"/>
    <w:rsid w:val="00A30AD6"/>
    <w:rsid w:val="00A46B16"/>
    <w:rsid w:val="00A52EF2"/>
    <w:rsid w:val="00A56421"/>
    <w:rsid w:val="00A5672F"/>
    <w:rsid w:val="00A56D4F"/>
    <w:rsid w:val="00A60827"/>
    <w:rsid w:val="00A63EB6"/>
    <w:rsid w:val="00A7179F"/>
    <w:rsid w:val="00A721A6"/>
    <w:rsid w:val="00A74076"/>
    <w:rsid w:val="00A77A0D"/>
    <w:rsid w:val="00A82BF0"/>
    <w:rsid w:val="00A83E5C"/>
    <w:rsid w:val="00A845AA"/>
    <w:rsid w:val="00A8740C"/>
    <w:rsid w:val="00A90720"/>
    <w:rsid w:val="00A977EB"/>
    <w:rsid w:val="00A97D74"/>
    <w:rsid w:val="00AA2A38"/>
    <w:rsid w:val="00AA5BF3"/>
    <w:rsid w:val="00AA6499"/>
    <w:rsid w:val="00AC2700"/>
    <w:rsid w:val="00AC48C5"/>
    <w:rsid w:val="00AC66C9"/>
    <w:rsid w:val="00AC7992"/>
    <w:rsid w:val="00AD18A7"/>
    <w:rsid w:val="00AD38E3"/>
    <w:rsid w:val="00AD3B28"/>
    <w:rsid w:val="00AD450D"/>
    <w:rsid w:val="00AD4985"/>
    <w:rsid w:val="00AD6F0F"/>
    <w:rsid w:val="00AE10F1"/>
    <w:rsid w:val="00AE6592"/>
    <w:rsid w:val="00AF061D"/>
    <w:rsid w:val="00AF06C4"/>
    <w:rsid w:val="00AF6432"/>
    <w:rsid w:val="00B04C3B"/>
    <w:rsid w:val="00B078FF"/>
    <w:rsid w:val="00B100C3"/>
    <w:rsid w:val="00B13A58"/>
    <w:rsid w:val="00B1592C"/>
    <w:rsid w:val="00B17728"/>
    <w:rsid w:val="00B17BF0"/>
    <w:rsid w:val="00B17C69"/>
    <w:rsid w:val="00B21EF9"/>
    <w:rsid w:val="00B248DD"/>
    <w:rsid w:val="00B268BF"/>
    <w:rsid w:val="00B338A4"/>
    <w:rsid w:val="00B47C11"/>
    <w:rsid w:val="00B50690"/>
    <w:rsid w:val="00B50FE3"/>
    <w:rsid w:val="00B52441"/>
    <w:rsid w:val="00B52B82"/>
    <w:rsid w:val="00B56E8A"/>
    <w:rsid w:val="00B65143"/>
    <w:rsid w:val="00B73E6A"/>
    <w:rsid w:val="00B75477"/>
    <w:rsid w:val="00B95B17"/>
    <w:rsid w:val="00B97A29"/>
    <w:rsid w:val="00BA2B4B"/>
    <w:rsid w:val="00BA3913"/>
    <w:rsid w:val="00BA4853"/>
    <w:rsid w:val="00BA4B76"/>
    <w:rsid w:val="00BB0F0D"/>
    <w:rsid w:val="00BB6C06"/>
    <w:rsid w:val="00BC2128"/>
    <w:rsid w:val="00BC293D"/>
    <w:rsid w:val="00BC5F92"/>
    <w:rsid w:val="00BC6C56"/>
    <w:rsid w:val="00BC6DAE"/>
    <w:rsid w:val="00BD072A"/>
    <w:rsid w:val="00BD2665"/>
    <w:rsid w:val="00BD55EF"/>
    <w:rsid w:val="00BD5755"/>
    <w:rsid w:val="00BD5C46"/>
    <w:rsid w:val="00BD6B93"/>
    <w:rsid w:val="00BE5971"/>
    <w:rsid w:val="00BE6382"/>
    <w:rsid w:val="00BE6FB9"/>
    <w:rsid w:val="00BF00D7"/>
    <w:rsid w:val="00BF443D"/>
    <w:rsid w:val="00C00376"/>
    <w:rsid w:val="00C06679"/>
    <w:rsid w:val="00C06F37"/>
    <w:rsid w:val="00C104CC"/>
    <w:rsid w:val="00C107B4"/>
    <w:rsid w:val="00C170A6"/>
    <w:rsid w:val="00C266FF"/>
    <w:rsid w:val="00C34545"/>
    <w:rsid w:val="00C34C6E"/>
    <w:rsid w:val="00C368EF"/>
    <w:rsid w:val="00C377EB"/>
    <w:rsid w:val="00C43631"/>
    <w:rsid w:val="00C44FE6"/>
    <w:rsid w:val="00C45655"/>
    <w:rsid w:val="00C5405B"/>
    <w:rsid w:val="00C541B5"/>
    <w:rsid w:val="00C54E7C"/>
    <w:rsid w:val="00C600BE"/>
    <w:rsid w:val="00C615BC"/>
    <w:rsid w:val="00C622BC"/>
    <w:rsid w:val="00C66BEF"/>
    <w:rsid w:val="00C676F9"/>
    <w:rsid w:val="00C80D3C"/>
    <w:rsid w:val="00C8283B"/>
    <w:rsid w:val="00C85DA6"/>
    <w:rsid w:val="00C94108"/>
    <w:rsid w:val="00C9529D"/>
    <w:rsid w:val="00C9666C"/>
    <w:rsid w:val="00C96E23"/>
    <w:rsid w:val="00C975A5"/>
    <w:rsid w:val="00CA57C8"/>
    <w:rsid w:val="00CB08DE"/>
    <w:rsid w:val="00CB3530"/>
    <w:rsid w:val="00CC024B"/>
    <w:rsid w:val="00CC189B"/>
    <w:rsid w:val="00CC6519"/>
    <w:rsid w:val="00CD0DB3"/>
    <w:rsid w:val="00CD28E5"/>
    <w:rsid w:val="00CD42E5"/>
    <w:rsid w:val="00CE01A3"/>
    <w:rsid w:val="00CE1A15"/>
    <w:rsid w:val="00CE254C"/>
    <w:rsid w:val="00CE2DE2"/>
    <w:rsid w:val="00CE4C28"/>
    <w:rsid w:val="00CF091F"/>
    <w:rsid w:val="00CF561C"/>
    <w:rsid w:val="00D0299F"/>
    <w:rsid w:val="00D058E7"/>
    <w:rsid w:val="00D15171"/>
    <w:rsid w:val="00D2319A"/>
    <w:rsid w:val="00D268CF"/>
    <w:rsid w:val="00D308B1"/>
    <w:rsid w:val="00D36A14"/>
    <w:rsid w:val="00D37419"/>
    <w:rsid w:val="00D41F29"/>
    <w:rsid w:val="00D505E1"/>
    <w:rsid w:val="00D5305D"/>
    <w:rsid w:val="00D65BD8"/>
    <w:rsid w:val="00D6682A"/>
    <w:rsid w:val="00D710B6"/>
    <w:rsid w:val="00D7358C"/>
    <w:rsid w:val="00D847EB"/>
    <w:rsid w:val="00D85944"/>
    <w:rsid w:val="00D862EE"/>
    <w:rsid w:val="00D867F2"/>
    <w:rsid w:val="00D90E3E"/>
    <w:rsid w:val="00D91EFE"/>
    <w:rsid w:val="00D92CEC"/>
    <w:rsid w:val="00D940EA"/>
    <w:rsid w:val="00D96799"/>
    <w:rsid w:val="00D96C9F"/>
    <w:rsid w:val="00DA0F4B"/>
    <w:rsid w:val="00DA396B"/>
    <w:rsid w:val="00DB068F"/>
    <w:rsid w:val="00DC1F53"/>
    <w:rsid w:val="00DC2B65"/>
    <w:rsid w:val="00DC39E9"/>
    <w:rsid w:val="00DD17DA"/>
    <w:rsid w:val="00DD268C"/>
    <w:rsid w:val="00DD6558"/>
    <w:rsid w:val="00DD6DC3"/>
    <w:rsid w:val="00DE05FB"/>
    <w:rsid w:val="00DE1B16"/>
    <w:rsid w:val="00DE211C"/>
    <w:rsid w:val="00DE5155"/>
    <w:rsid w:val="00DE7A44"/>
    <w:rsid w:val="00DE7EAA"/>
    <w:rsid w:val="00DF034F"/>
    <w:rsid w:val="00DF39EA"/>
    <w:rsid w:val="00DF7F46"/>
    <w:rsid w:val="00E018DD"/>
    <w:rsid w:val="00E10303"/>
    <w:rsid w:val="00E11923"/>
    <w:rsid w:val="00E12728"/>
    <w:rsid w:val="00E12AFF"/>
    <w:rsid w:val="00E1583E"/>
    <w:rsid w:val="00E16FD1"/>
    <w:rsid w:val="00E20825"/>
    <w:rsid w:val="00E2150C"/>
    <w:rsid w:val="00E234EC"/>
    <w:rsid w:val="00E25D76"/>
    <w:rsid w:val="00E31E13"/>
    <w:rsid w:val="00E33715"/>
    <w:rsid w:val="00E3393E"/>
    <w:rsid w:val="00E42D5D"/>
    <w:rsid w:val="00E455E9"/>
    <w:rsid w:val="00E46009"/>
    <w:rsid w:val="00E47D21"/>
    <w:rsid w:val="00E53CBF"/>
    <w:rsid w:val="00E55997"/>
    <w:rsid w:val="00E56F94"/>
    <w:rsid w:val="00E61027"/>
    <w:rsid w:val="00E6491D"/>
    <w:rsid w:val="00E70CC8"/>
    <w:rsid w:val="00E8191E"/>
    <w:rsid w:val="00E83223"/>
    <w:rsid w:val="00E86630"/>
    <w:rsid w:val="00E86E08"/>
    <w:rsid w:val="00E901B9"/>
    <w:rsid w:val="00E91C7C"/>
    <w:rsid w:val="00EA23E1"/>
    <w:rsid w:val="00EA4C1A"/>
    <w:rsid w:val="00EB3A31"/>
    <w:rsid w:val="00EB52E8"/>
    <w:rsid w:val="00EB6C46"/>
    <w:rsid w:val="00EC0473"/>
    <w:rsid w:val="00EC5F31"/>
    <w:rsid w:val="00ED1540"/>
    <w:rsid w:val="00ED1719"/>
    <w:rsid w:val="00ED1982"/>
    <w:rsid w:val="00ED4204"/>
    <w:rsid w:val="00EE54C8"/>
    <w:rsid w:val="00EE6793"/>
    <w:rsid w:val="00EE6B97"/>
    <w:rsid w:val="00EE6D7A"/>
    <w:rsid w:val="00EF750C"/>
    <w:rsid w:val="00EF78FA"/>
    <w:rsid w:val="00F001DA"/>
    <w:rsid w:val="00F0147F"/>
    <w:rsid w:val="00F05B5E"/>
    <w:rsid w:val="00F073A3"/>
    <w:rsid w:val="00F11ABD"/>
    <w:rsid w:val="00F14C88"/>
    <w:rsid w:val="00F16732"/>
    <w:rsid w:val="00F23172"/>
    <w:rsid w:val="00F30F5D"/>
    <w:rsid w:val="00F318BB"/>
    <w:rsid w:val="00F36DFB"/>
    <w:rsid w:val="00F40E19"/>
    <w:rsid w:val="00F420A2"/>
    <w:rsid w:val="00F433D3"/>
    <w:rsid w:val="00F52B2B"/>
    <w:rsid w:val="00F54287"/>
    <w:rsid w:val="00F61F5B"/>
    <w:rsid w:val="00F656E1"/>
    <w:rsid w:val="00F66BBC"/>
    <w:rsid w:val="00F67F95"/>
    <w:rsid w:val="00F71D7B"/>
    <w:rsid w:val="00F739BB"/>
    <w:rsid w:val="00F818E4"/>
    <w:rsid w:val="00F85603"/>
    <w:rsid w:val="00F86A9A"/>
    <w:rsid w:val="00F908E6"/>
    <w:rsid w:val="00F9442F"/>
    <w:rsid w:val="00F975EC"/>
    <w:rsid w:val="00F97874"/>
    <w:rsid w:val="00FA0FC0"/>
    <w:rsid w:val="00FA1056"/>
    <w:rsid w:val="00FA18A7"/>
    <w:rsid w:val="00FA1A0D"/>
    <w:rsid w:val="00FC190A"/>
    <w:rsid w:val="00FC3636"/>
    <w:rsid w:val="00FC5124"/>
    <w:rsid w:val="00FC7A55"/>
    <w:rsid w:val="00FD446E"/>
    <w:rsid w:val="00FD44BD"/>
    <w:rsid w:val="00FD474A"/>
    <w:rsid w:val="00FD546B"/>
    <w:rsid w:val="00FD54D9"/>
    <w:rsid w:val="00FD77A0"/>
    <w:rsid w:val="00FE0DCB"/>
    <w:rsid w:val="00FF285D"/>
    <w:rsid w:val="00FF558D"/>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023BED"/>
  <w15:chartTrackingRefBased/>
  <w15:docId w15:val="{215322EB-CAD0-42F5-9E65-CAA97A4F8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665B"/>
    <w:rPr>
      <w:rFonts w:ascii="Times New Roman" w:hAnsi="Times New Roman"/>
    </w:rPr>
  </w:style>
  <w:style w:type="paragraph" w:styleId="Heading1">
    <w:name w:val="heading 1"/>
    <w:basedOn w:val="Normal"/>
    <w:link w:val="Heading1Char"/>
    <w:uiPriority w:val="9"/>
    <w:qFormat/>
    <w:rsid w:val="0099665B"/>
    <w:pPr>
      <w:spacing w:before="236"/>
      <w:ind w:left="265" w:right="279"/>
      <w:jc w:val="center"/>
      <w:outlineLvl w:val="0"/>
    </w:pPr>
    <w:rPr>
      <w:rFonts w:eastAsia="Times New Roman" w:cs="Times New Roman"/>
      <w:b/>
      <w:bCs/>
      <w:i/>
      <w:sz w:val="44"/>
      <w:szCs w:val="44"/>
    </w:rPr>
  </w:style>
  <w:style w:type="paragraph" w:styleId="Heading2">
    <w:name w:val="heading 2"/>
    <w:basedOn w:val="Normal"/>
    <w:link w:val="Heading2Char"/>
    <w:uiPriority w:val="9"/>
    <w:unhideWhenUsed/>
    <w:qFormat/>
    <w:rsid w:val="0099665B"/>
    <w:pPr>
      <w:ind w:left="265"/>
      <w:outlineLvl w:val="1"/>
    </w:pPr>
    <w:rPr>
      <w:rFonts w:eastAsia="Times New Roman" w:cs="Times New Roman"/>
      <w:b/>
      <w:bCs/>
      <w:sz w:val="32"/>
      <w:szCs w:val="32"/>
    </w:rPr>
  </w:style>
  <w:style w:type="paragraph" w:styleId="Heading3">
    <w:name w:val="heading 3"/>
    <w:basedOn w:val="Normal"/>
    <w:next w:val="Normal"/>
    <w:link w:val="Heading3Char"/>
    <w:uiPriority w:val="9"/>
    <w:semiHidden/>
    <w:unhideWhenUsed/>
    <w:qFormat/>
    <w:rsid w:val="00121FD7"/>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121FD7"/>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21FD7"/>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121FD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21FD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21FD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21FD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99665B"/>
    <w:rPr>
      <w:rFonts w:eastAsia="Times New Roman" w:cs="Times New Roman"/>
    </w:rPr>
  </w:style>
  <w:style w:type="character" w:customStyle="1" w:styleId="Heading1Char">
    <w:name w:val="Heading 1 Char"/>
    <w:basedOn w:val="DefaultParagraphFont"/>
    <w:link w:val="Heading1"/>
    <w:uiPriority w:val="9"/>
    <w:rsid w:val="0099665B"/>
    <w:rPr>
      <w:rFonts w:ascii="Times New Roman" w:eastAsia="Times New Roman" w:hAnsi="Times New Roman" w:cs="Times New Roman"/>
      <w:b/>
      <w:bCs/>
      <w:i/>
      <w:sz w:val="44"/>
      <w:szCs w:val="44"/>
    </w:rPr>
  </w:style>
  <w:style w:type="character" w:customStyle="1" w:styleId="Heading2Char">
    <w:name w:val="Heading 2 Char"/>
    <w:basedOn w:val="DefaultParagraphFont"/>
    <w:link w:val="Heading2"/>
    <w:uiPriority w:val="9"/>
    <w:rsid w:val="0099665B"/>
    <w:rPr>
      <w:rFonts w:ascii="Times New Roman" w:eastAsia="Times New Roman" w:hAnsi="Times New Roman" w:cs="Times New Roman"/>
      <w:b/>
      <w:bCs/>
      <w:sz w:val="32"/>
      <w:szCs w:val="32"/>
    </w:rPr>
  </w:style>
  <w:style w:type="paragraph" w:styleId="BodyText">
    <w:name w:val="Body Text"/>
    <w:basedOn w:val="Normal"/>
    <w:link w:val="BodyTextChar"/>
    <w:uiPriority w:val="1"/>
    <w:qFormat/>
    <w:rsid w:val="0099665B"/>
    <w:rPr>
      <w:rFonts w:eastAsia="Times New Roman" w:cs="Times New Roman"/>
      <w:sz w:val="24"/>
      <w:szCs w:val="24"/>
    </w:rPr>
  </w:style>
  <w:style w:type="character" w:customStyle="1" w:styleId="BodyTextChar">
    <w:name w:val="Body Text Char"/>
    <w:basedOn w:val="DefaultParagraphFont"/>
    <w:link w:val="BodyText"/>
    <w:uiPriority w:val="1"/>
    <w:rsid w:val="0099665B"/>
    <w:rPr>
      <w:rFonts w:ascii="Times New Roman" w:eastAsia="Times New Roman" w:hAnsi="Times New Roman" w:cs="Times New Roman"/>
      <w:sz w:val="24"/>
      <w:szCs w:val="24"/>
    </w:rPr>
  </w:style>
  <w:style w:type="paragraph" w:styleId="NoSpacing">
    <w:name w:val="No Spacing"/>
    <w:link w:val="NoSpacingChar"/>
    <w:uiPriority w:val="1"/>
    <w:qFormat/>
    <w:rsid w:val="0099665B"/>
    <w:pPr>
      <w:widowControl/>
      <w:autoSpaceDE/>
      <w:autoSpaceDN/>
    </w:pPr>
    <w:rPr>
      <w:rFonts w:eastAsiaTheme="minorEastAsia"/>
    </w:rPr>
  </w:style>
  <w:style w:type="character" w:customStyle="1" w:styleId="NoSpacingChar">
    <w:name w:val="No Spacing Char"/>
    <w:basedOn w:val="DefaultParagraphFont"/>
    <w:link w:val="NoSpacing"/>
    <w:uiPriority w:val="1"/>
    <w:rsid w:val="0099665B"/>
    <w:rPr>
      <w:rFonts w:eastAsiaTheme="minorEastAsia"/>
    </w:rPr>
  </w:style>
  <w:style w:type="paragraph" w:styleId="ListParagraph">
    <w:name w:val="List Paragraph"/>
    <w:basedOn w:val="Normal"/>
    <w:uiPriority w:val="34"/>
    <w:qFormat/>
    <w:rsid w:val="0099665B"/>
    <w:pPr>
      <w:ind w:left="741" w:hanging="361"/>
    </w:pPr>
    <w:rPr>
      <w:rFonts w:eastAsia="Times New Roman" w:cs="Times New Roman"/>
    </w:rPr>
  </w:style>
  <w:style w:type="character" w:customStyle="1" w:styleId="Heading3Char">
    <w:name w:val="Heading 3 Char"/>
    <w:basedOn w:val="DefaultParagraphFont"/>
    <w:link w:val="Heading3"/>
    <w:uiPriority w:val="9"/>
    <w:semiHidden/>
    <w:rsid w:val="00121FD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121FD7"/>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121FD7"/>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121F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1F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1F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1FD7"/>
    <w:rPr>
      <w:rFonts w:eastAsiaTheme="majorEastAsia" w:cstheme="majorBidi"/>
      <w:color w:val="272727" w:themeColor="text1" w:themeTint="D8"/>
    </w:rPr>
  </w:style>
  <w:style w:type="paragraph" w:styleId="Title">
    <w:name w:val="Title"/>
    <w:basedOn w:val="Normal"/>
    <w:next w:val="Normal"/>
    <w:link w:val="TitleChar"/>
    <w:uiPriority w:val="10"/>
    <w:qFormat/>
    <w:rsid w:val="00121FD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F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FD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F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1FD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21FD7"/>
    <w:rPr>
      <w:rFonts w:ascii="Times New Roman" w:hAnsi="Times New Roman"/>
      <w:i/>
      <w:iCs/>
      <w:color w:val="404040" w:themeColor="text1" w:themeTint="BF"/>
    </w:rPr>
  </w:style>
  <w:style w:type="character" w:styleId="IntenseEmphasis">
    <w:name w:val="Intense Emphasis"/>
    <w:basedOn w:val="DefaultParagraphFont"/>
    <w:uiPriority w:val="21"/>
    <w:qFormat/>
    <w:rsid w:val="00121FD7"/>
    <w:rPr>
      <w:i/>
      <w:iCs/>
      <w:color w:val="365F91" w:themeColor="accent1" w:themeShade="BF"/>
    </w:rPr>
  </w:style>
  <w:style w:type="paragraph" w:styleId="IntenseQuote">
    <w:name w:val="Intense Quote"/>
    <w:basedOn w:val="Normal"/>
    <w:next w:val="Normal"/>
    <w:link w:val="IntenseQuoteChar"/>
    <w:uiPriority w:val="30"/>
    <w:qFormat/>
    <w:rsid w:val="00121FD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21FD7"/>
    <w:rPr>
      <w:rFonts w:ascii="Times New Roman" w:hAnsi="Times New Roman"/>
      <w:i/>
      <w:iCs/>
      <w:color w:val="365F91" w:themeColor="accent1" w:themeShade="BF"/>
    </w:rPr>
  </w:style>
  <w:style w:type="character" w:styleId="IntenseReference">
    <w:name w:val="Intense Reference"/>
    <w:basedOn w:val="DefaultParagraphFont"/>
    <w:uiPriority w:val="32"/>
    <w:qFormat/>
    <w:rsid w:val="00121FD7"/>
    <w:rPr>
      <w:b/>
      <w:bCs/>
      <w:smallCaps/>
      <w:color w:val="365F91" w:themeColor="accent1" w:themeShade="BF"/>
      <w:spacing w:val="5"/>
    </w:rPr>
  </w:style>
  <w:style w:type="table" w:styleId="TableGrid">
    <w:name w:val="Table Grid"/>
    <w:basedOn w:val="TableNormal"/>
    <w:uiPriority w:val="39"/>
    <w:rsid w:val="00274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E4E6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04953"/>
    <w:rPr>
      <w:rFonts w:cs="Times New Roman"/>
      <w:sz w:val="24"/>
      <w:szCs w:val="24"/>
    </w:rPr>
  </w:style>
  <w:style w:type="table" w:customStyle="1" w:styleId="TableGrid0">
    <w:name w:val="TableGrid"/>
    <w:rsid w:val="00E25D76"/>
    <w:pPr>
      <w:widowControl/>
      <w:autoSpaceDE/>
      <w:autoSpaceDN/>
    </w:pPr>
    <w:rPr>
      <w:rFonts w:eastAsiaTheme="minorEastAsia"/>
      <w:sz w:val="24"/>
      <w:szCs w:val="24"/>
      <w:lang w:eastAsia="en-IN"/>
    </w:rPr>
    <w:tblPr>
      <w:tblCellMar>
        <w:top w:w="0" w:type="dxa"/>
        <w:left w:w="0" w:type="dxa"/>
        <w:bottom w:w="0" w:type="dxa"/>
        <w:right w:w="0" w:type="dxa"/>
      </w:tblCellMar>
    </w:tblPr>
  </w:style>
  <w:style w:type="table" w:styleId="PlainTable4">
    <w:name w:val="Plain Table 4"/>
    <w:basedOn w:val="TableNormal"/>
    <w:uiPriority w:val="44"/>
    <w:rsid w:val="009A36F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631D18"/>
    <w:pPr>
      <w:spacing w:after="200"/>
    </w:pPr>
    <w:rPr>
      <w:i/>
      <w:iCs/>
      <w:color w:val="1F497D" w:themeColor="text2"/>
      <w:sz w:val="18"/>
      <w:szCs w:val="18"/>
    </w:rPr>
  </w:style>
  <w:style w:type="character" w:styleId="Hyperlink">
    <w:name w:val="Hyperlink"/>
    <w:basedOn w:val="DefaultParagraphFont"/>
    <w:uiPriority w:val="99"/>
    <w:unhideWhenUsed/>
    <w:rsid w:val="00A222DA"/>
    <w:rPr>
      <w:color w:val="0000FF" w:themeColor="hyperlink"/>
      <w:u w:val="single"/>
    </w:rPr>
  </w:style>
  <w:style w:type="character" w:styleId="UnresolvedMention">
    <w:name w:val="Unresolved Mention"/>
    <w:basedOn w:val="DefaultParagraphFont"/>
    <w:uiPriority w:val="99"/>
    <w:semiHidden/>
    <w:unhideWhenUsed/>
    <w:rsid w:val="00A222DA"/>
    <w:rPr>
      <w:color w:val="605E5C"/>
      <w:shd w:val="clear" w:color="auto" w:fill="E1DFDD"/>
    </w:rPr>
  </w:style>
  <w:style w:type="paragraph" w:styleId="Header">
    <w:name w:val="header"/>
    <w:basedOn w:val="Normal"/>
    <w:link w:val="HeaderChar"/>
    <w:uiPriority w:val="99"/>
    <w:unhideWhenUsed/>
    <w:rsid w:val="002647E8"/>
    <w:pPr>
      <w:tabs>
        <w:tab w:val="center" w:pos="4513"/>
        <w:tab w:val="right" w:pos="9026"/>
      </w:tabs>
    </w:pPr>
  </w:style>
  <w:style w:type="character" w:customStyle="1" w:styleId="HeaderChar">
    <w:name w:val="Header Char"/>
    <w:basedOn w:val="DefaultParagraphFont"/>
    <w:link w:val="Header"/>
    <w:uiPriority w:val="99"/>
    <w:rsid w:val="002647E8"/>
    <w:rPr>
      <w:rFonts w:ascii="Times New Roman" w:hAnsi="Times New Roman"/>
    </w:rPr>
  </w:style>
  <w:style w:type="paragraph" w:styleId="Footer">
    <w:name w:val="footer"/>
    <w:basedOn w:val="Normal"/>
    <w:link w:val="FooterChar"/>
    <w:uiPriority w:val="99"/>
    <w:unhideWhenUsed/>
    <w:rsid w:val="002647E8"/>
    <w:pPr>
      <w:tabs>
        <w:tab w:val="center" w:pos="4513"/>
        <w:tab w:val="right" w:pos="9026"/>
      </w:tabs>
    </w:pPr>
  </w:style>
  <w:style w:type="character" w:customStyle="1" w:styleId="FooterChar">
    <w:name w:val="Footer Char"/>
    <w:basedOn w:val="DefaultParagraphFont"/>
    <w:link w:val="Footer"/>
    <w:uiPriority w:val="99"/>
    <w:rsid w:val="002647E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TotalTime>
  <Pages>16</Pages>
  <Words>3685</Words>
  <Characters>21009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mohyuddin maradiya</dc:creator>
  <cp:keywords/>
  <dc:description/>
  <cp:lastModifiedBy>SDI 1166</cp:lastModifiedBy>
  <cp:revision>30</cp:revision>
  <dcterms:created xsi:type="dcterms:W3CDTF">2026-04-27T09:27:00Z</dcterms:created>
  <dcterms:modified xsi:type="dcterms:W3CDTF">2026-05-11T09:51:00Z</dcterms:modified>
</cp:coreProperties>
</file>