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23912" w14:textId="77777777" w:rsidR="000F26B7" w:rsidRDefault="001411D7">
      <w:pPr>
        <w:pStyle w:val="Heading1"/>
        <w:spacing w:line="360" w:lineRule="auto"/>
        <w:jc w:val="both"/>
        <w:rPr>
          <w:rFonts w:ascii="Times New Roman" w:eastAsia="Times New Roman" w:hAnsi="Times New Roman" w:cs="Times New Roman"/>
          <w:b/>
          <w:bCs/>
          <w:color w:val="000000"/>
        </w:rPr>
      </w:pPr>
      <w:bookmarkStart w:id="0" w:name="_Hlk230192760"/>
      <w:r>
        <w:rPr>
          <w:rFonts w:ascii="Times New Roman" w:eastAsia="Times New Roman" w:hAnsi="Times New Roman" w:cs="Times New Roman"/>
          <w:b/>
          <w:bCs/>
          <w:color w:val="000000"/>
        </w:rPr>
        <w:t>Analyzing Environmental Health Compliance and Resource Recovery Outcomes in Sustainable Electronic Waste Management: A Metro Atlanta Study</w:t>
      </w:r>
    </w:p>
    <w:bookmarkEnd w:id="0"/>
    <w:p w14:paraId="10CB64B5" w14:textId="77777777" w:rsidR="00731E5C" w:rsidRDefault="00731E5C">
      <w:pPr>
        <w:pStyle w:val="Heading2"/>
        <w:spacing w:line="360" w:lineRule="auto"/>
        <w:jc w:val="both"/>
        <w:rPr>
          <w:rFonts w:ascii="Times New Roman" w:eastAsia="Times New Roman" w:hAnsi="Times New Roman" w:cs="Times New Roman"/>
          <w:color w:val="000000"/>
        </w:rPr>
      </w:pPr>
    </w:p>
    <w:p w14:paraId="7ECA4ED5" w14:textId="252B7F9D" w:rsidR="000F26B7" w:rsidRDefault="001411D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Abstract </w:t>
      </w:r>
    </w:p>
    <w:p w14:paraId="323F2EC7"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Electronic waste is one of the fastest-growing waste streams globally and poses a dual challenge: hazardous exposure risk when products are poorly handled and lost circular-economy</w:t>
      </w:r>
      <w:r>
        <w:rPr>
          <w:rFonts w:ascii="Times New Roman" w:eastAsia="Times New Roman" w:hAnsi="Times New Roman" w:cs="Times New Roman"/>
        </w:rPr>
        <w:t xml:space="preserve"> value when recoverable materials are not safely captured. Globally, 62 billion kg of e-waste were generated in 2022, yet only 22.3% was documented as formally collected and recycled in an environmentally sound manner. In the United States, federal hazardo</w:t>
      </w:r>
      <w:r>
        <w:rPr>
          <w:rFonts w:ascii="Times New Roman" w:eastAsia="Times New Roman" w:hAnsi="Times New Roman" w:cs="Times New Roman"/>
        </w:rPr>
        <w:t xml:space="preserve">us-waste rules, voluntary recycler certification, and locally organized collection systems create a fragmented governance landscape, while worker-health evidence continues to identify exposure risks from lead, cadmium, and other toxicants during recycling </w:t>
      </w:r>
      <w:r>
        <w:rPr>
          <w:rFonts w:ascii="Times New Roman" w:eastAsia="Times New Roman" w:hAnsi="Times New Roman" w:cs="Times New Roman"/>
        </w:rPr>
        <w:t>operations. This original research article examines the relationship between environmental health compliance and resource recovery outcomes in the five-county Metro Atlanta core of Fulton, DeKalb, Cobb, Gwinnett, and Clayton. Using a cross-sectional mixed-</w:t>
      </w:r>
      <w:r>
        <w:rPr>
          <w:rFonts w:ascii="Times New Roman" w:eastAsia="Times New Roman" w:hAnsi="Times New Roman" w:cs="Times New Roman"/>
        </w:rPr>
        <w:t>methods design grounded in official regulatory, county service, certification, and demographic sources, the study develops a simulated analytical dataset for manuscript development and applies an Environmental Health Compliance Index alongside recovery ind</w:t>
      </w:r>
      <w:r>
        <w:rPr>
          <w:rFonts w:ascii="Times New Roman" w:eastAsia="Times New Roman" w:hAnsi="Times New Roman" w:cs="Times New Roman"/>
        </w:rPr>
        <w:t>icators for reuse, materials recovery, and access continuity. Illustrative results suggest that higher compliance is associated with higher recovery efficiency, lower residual disposal, and better county-level service continuity, with the strongest perform</w:t>
      </w:r>
      <w:r>
        <w:rPr>
          <w:rFonts w:ascii="Times New Roman" w:eastAsia="Times New Roman" w:hAnsi="Times New Roman" w:cs="Times New Roman"/>
        </w:rPr>
        <w:t>ance observed in counties with permanent or appointment-based formal collection and the weakest in counties relying on periodic events or lacking county-run electronics acceptance. The study indicates that environmental health compliance is not only a regu</w:t>
      </w:r>
      <w:r>
        <w:rPr>
          <w:rFonts w:ascii="Times New Roman" w:eastAsia="Times New Roman" w:hAnsi="Times New Roman" w:cs="Times New Roman"/>
        </w:rPr>
        <w:t xml:space="preserve">latory obligation but also a practical determinant of safer urban e-waste management and stronger resource recovery. </w:t>
      </w:r>
    </w:p>
    <w:p w14:paraId="3CF25A57"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Keywords:</w:t>
      </w:r>
      <w:r>
        <w:rPr>
          <w:rFonts w:ascii="Times New Roman" w:eastAsia="Times New Roman" w:hAnsi="Times New Roman" w:cs="Times New Roman"/>
        </w:rPr>
        <w:t xml:space="preserve"> environmental health compliance; electronic waste; sustainable electronic waste management; circular economy; resource recovery;</w:t>
      </w:r>
      <w:r>
        <w:rPr>
          <w:rFonts w:ascii="Times New Roman" w:eastAsia="Times New Roman" w:hAnsi="Times New Roman" w:cs="Times New Roman"/>
        </w:rPr>
        <w:t xml:space="preserve"> Metro Atlanta; hazardous exposure; public health</w:t>
      </w:r>
    </w:p>
    <w:p w14:paraId="38809179" w14:textId="77777777" w:rsidR="000F26B7" w:rsidRDefault="001411D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Introduction</w:t>
      </w:r>
    </w:p>
    <w:p w14:paraId="3759AEF1"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Electronic waste has become a defining environmental health problem of the digital era. The latest global monitoring data show that 62 billion kg of e-waste were generated in 2022, equal to 7.8</w:t>
      </w:r>
      <w:r>
        <w:rPr>
          <w:rFonts w:ascii="Times New Roman" w:eastAsia="Times New Roman" w:hAnsi="Times New Roman" w:cs="Times New Roman"/>
        </w:rPr>
        <w:t xml:space="preserve"> kg per capita, but only 22.3% entered documented formal collection and environmentally sound recycling; by 2030, generation is projected to reach 82 billion kg under business-as-usual conditions [1]. The same global evidence also identifies a substantial </w:t>
      </w:r>
      <w:r>
        <w:rPr>
          <w:rFonts w:ascii="Times New Roman" w:eastAsia="Times New Roman" w:hAnsi="Times New Roman" w:cs="Times New Roman"/>
        </w:rPr>
        <w:t xml:space="preserve">economic loss associated with mismanaged e-waste, including externalized health and environmental costs linked to lead, mercury, plastic leakage, and climate impacts [1]. </w:t>
      </w:r>
    </w:p>
    <w:p w14:paraId="0699212E"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public health concern is not limited to disposal volumes. WHO notes that e-waste</w:t>
      </w:r>
      <w:r>
        <w:rPr>
          <w:rFonts w:ascii="Times New Roman" w:eastAsia="Times New Roman" w:hAnsi="Times New Roman" w:cs="Times New Roman"/>
        </w:rPr>
        <w:t xml:space="preserve"> contains components of economic value when recycled properly, but also hazardous substances that may be released directly into the environment when items are handled inappropriately; additional hazardous substances can be formed during recycling itself wh</w:t>
      </w:r>
      <w:r>
        <w:rPr>
          <w:rFonts w:ascii="Times New Roman" w:eastAsia="Times New Roman" w:hAnsi="Times New Roman" w:cs="Times New Roman"/>
        </w:rPr>
        <w:t xml:space="preserve">en modern industrial safeguards are absent [2]. WHO further emphasizes that e-waste-related exposures include lead, mercury, cadmium, and dioxins, with neurodevelopmental and other health risks especially important for vulnerable populations [2,3]. </w:t>
      </w:r>
    </w:p>
    <w:p w14:paraId="3B9A9C15"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Occupa</w:t>
      </w:r>
      <w:r>
        <w:rPr>
          <w:rFonts w:ascii="Times New Roman" w:eastAsia="Times New Roman" w:hAnsi="Times New Roman" w:cs="Times New Roman"/>
        </w:rPr>
        <w:t>tional evidence from the United States reinforces this risk pathway. NIOSH has documented employee exposures to lead, cadmium, chromium, and noise in e-scrap recycling facilities and reported that workers in facilities processing CRT glass can be overexpos</w:t>
      </w:r>
      <w:r>
        <w:rPr>
          <w:rFonts w:ascii="Times New Roman" w:eastAsia="Times New Roman" w:hAnsi="Times New Roman" w:cs="Times New Roman"/>
        </w:rPr>
        <w:t>ed to lead and cadmium, including in areas away from the main processing zone [9,10]. NIOSH also found toxic-metal contamination on surfaces outside production areas and described conditions that enable “take-home” exposure through clothing, shoes, vehicle</w:t>
      </w:r>
      <w:r>
        <w:rPr>
          <w:rFonts w:ascii="Times New Roman" w:eastAsia="Times New Roman" w:hAnsi="Times New Roman" w:cs="Times New Roman"/>
        </w:rPr>
        <w:t xml:space="preserve">s, and homes, while the Georgia Department of Public Health specifically warns that disassembly and shredding can expose workers to toxic lead dust by inhalation and ingestion [18]. </w:t>
      </w:r>
    </w:p>
    <w:p w14:paraId="35629836"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These risks explain why environmental health compliance matters in e-wast</w:t>
      </w:r>
      <w:r>
        <w:rPr>
          <w:rFonts w:ascii="Times New Roman" w:eastAsia="Times New Roman" w:hAnsi="Times New Roman" w:cs="Times New Roman"/>
        </w:rPr>
        <w:t xml:space="preserve">e management. At the federal level, EPA states that CRTs marked for disposal are hazardous waste because of lead in funnel glass unless managed under qualifying recycling conditions [6], and Georgia EPD </w:t>
      </w:r>
      <w:r>
        <w:rPr>
          <w:rFonts w:ascii="Times New Roman" w:eastAsia="Times New Roman" w:hAnsi="Times New Roman" w:cs="Times New Roman"/>
        </w:rPr>
        <w:lastRenderedPageBreak/>
        <w:t>maintains a hazardous-waste compliance program that i</w:t>
      </w:r>
      <w:r>
        <w:rPr>
          <w:rFonts w:ascii="Times New Roman" w:eastAsia="Times New Roman" w:hAnsi="Times New Roman" w:cs="Times New Roman"/>
        </w:rPr>
        <w:t xml:space="preserve">nspects generators for adherence to applicable rules [19]. Georgia EPD also requires, beginning 22 January 2025, registration and account maintenance in </w:t>
      </w:r>
      <w:proofErr w:type="spellStart"/>
      <w:r>
        <w:rPr>
          <w:rFonts w:ascii="Times New Roman" w:eastAsia="Times New Roman" w:hAnsi="Times New Roman" w:cs="Times New Roman"/>
        </w:rPr>
        <w:t>RCRAInfo</w:t>
      </w:r>
      <w:proofErr w:type="spellEnd"/>
      <w:r>
        <w:rPr>
          <w:rFonts w:ascii="Times New Roman" w:eastAsia="Times New Roman" w:hAnsi="Times New Roman" w:cs="Times New Roman"/>
        </w:rPr>
        <w:t xml:space="preserve"> for large- and small-quantity generators that need access to final signed e-Manifests from rec</w:t>
      </w:r>
      <w:r>
        <w:rPr>
          <w:rFonts w:ascii="Times New Roman" w:eastAsia="Times New Roman" w:hAnsi="Times New Roman" w:cs="Times New Roman"/>
        </w:rPr>
        <w:t xml:space="preserve">eiving facilities [20]. Together, these requirements show that legal compliance, documentation, tracking, and safe handling are foundational public health functions rather than administrative formalities [6,19,20]. </w:t>
      </w:r>
    </w:p>
    <w:p w14:paraId="22762D81"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At the same time, compliance is closely </w:t>
      </w:r>
      <w:r>
        <w:rPr>
          <w:rFonts w:ascii="Times New Roman" w:eastAsia="Times New Roman" w:hAnsi="Times New Roman" w:cs="Times New Roman"/>
        </w:rPr>
        <w:t>linked to sustainability and resource recovery. EPA notes that electronics contain metals, plastics, and glass whose recovery conserves natural resources and avoids air and water pollution [4], and EPA’s broader recycling-system assessment states that elec</w:t>
      </w:r>
      <w:r>
        <w:rPr>
          <w:rFonts w:ascii="Times New Roman" w:eastAsia="Times New Roman" w:hAnsi="Times New Roman" w:cs="Times New Roman"/>
        </w:rPr>
        <w:t>tronic recycling infrastructure is needed to recapture silver, gold, palladium, copper, plastics, and glass [7]. R2 guidance similarly adopts a reuse-first hierarchy and then emphasizes maximizing materials recovery when reuse is no longer feasible, connec</w:t>
      </w:r>
      <w:r>
        <w:rPr>
          <w:rFonts w:ascii="Times New Roman" w:eastAsia="Times New Roman" w:hAnsi="Times New Roman" w:cs="Times New Roman"/>
        </w:rPr>
        <w:t>ting environmental health management with circular-economy performance [16,17].</w:t>
      </w:r>
    </w:p>
    <w:p w14:paraId="2ABC7832"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United States context remains institutionally fragmented. EPA encourages the use of certified recyclers and recognizes R2 and e-Stewards as third-party standards that asses</w:t>
      </w:r>
      <w:r>
        <w:rPr>
          <w:rFonts w:ascii="Times New Roman" w:eastAsia="Times New Roman" w:hAnsi="Times New Roman" w:cs="Times New Roman"/>
        </w:rPr>
        <w:t>s environmental, worker health, and security practices [5]. EPA’s implementation study found that these standards have generally brought better management and a growing understanding of regulatory, environmental, health, and safety requirements, although k</w:t>
      </w:r>
      <w:r>
        <w:rPr>
          <w:rFonts w:ascii="Times New Roman" w:eastAsia="Times New Roman" w:hAnsi="Times New Roman" w:cs="Times New Roman"/>
        </w:rPr>
        <w:t xml:space="preserve">nowledge gaps remain in legal requirements, hazardous substances, and health-and-safety best practices [8]. EPA also identified 772 certified electronics recyclers in the United States in its recent recycling infrastructure assessment, indicating a formal </w:t>
      </w:r>
      <w:r>
        <w:rPr>
          <w:rFonts w:ascii="Times New Roman" w:eastAsia="Times New Roman" w:hAnsi="Times New Roman" w:cs="Times New Roman"/>
        </w:rPr>
        <w:t>processing network that exists but still requires modernization and stronger collection access [7].</w:t>
      </w:r>
    </w:p>
    <w:p w14:paraId="1B5BD0D6"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Georgia reflects this broader patchwork. The Land Protection Branch at Georgia EPD regulates hazardous waste, solid waste, and recovered materials [19], whi</w:t>
      </w:r>
      <w:r>
        <w:rPr>
          <w:rFonts w:ascii="Times New Roman" w:eastAsia="Times New Roman" w:hAnsi="Times New Roman" w:cs="Times New Roman"/>
        </w:rPr>
        <w:t>le the state’s Recycling and Waste Diversion Grant explicitly aims to reduce solid waste, recover valuable materials, and support local innovation [22]. Even so, Georgia EPD acknowledges that household hazardous waste options in the state are “extremely li</w:t>
      </w:r>
      <w:r>
        <w:rPr>
          <w:rFonts w:ascii="Times New Roman" w:eastAsia="Times New Roman" w:hAnsi="Times New Roman" w:cs="Times New Roman"/>
        </w:rPr>
        <w:t xml:space="preserve">mited,” suggesting that safe handling opportunities for households remain uneven and often locally mediated [21]. </w:t>
      </w:r>
    </w:p>
    <w:p w14:paraId="2C675DD6"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Metro Atlanta is therefore an important urban case. In the five-county core used in this study, Fulton, DeKalb, Cobb, Gwinnett, and Clayton, </w:t>
      </w:r>
      <w:r>
        <w:rPr>
          <w:rFonts w:ascii="Times New Roman" w:eastAsia="Times New Roman" w:hAnsi="Times New Roman" w:cs="Times New Roman"/>
        </w:rPr>
        <w:t>the combined 2024 estimated population approached 3.95 million residents [31-35]. Yet county and city service models differ substantially: the City of Atlanta provides appointment-only e-waste and hazardous-material collection; DeKalb County operates e-rec</w:t>
      </w:r>
      <w:r>
        <w:rPr>
          <w:rFonts w:ascii="Times New Roman" w:eastAsia="Times New Roman" w:hAnsi="Times New Roman" w:cs="Times New Roman"/>
        </w:rPr>
        <w:t>ycling drop-off at Seminole Road Landfill; Cobb County accepts electronics at its transfer station with fees and excludes televisions from electronics recycling; Gwinnett County emphasizes special collection events; Fulton County promotes annual HHW days a</w:t>
      </w:r>
      <w:r>
        <w:rPr>
          <w:rFonts w:ascii="Times New Roman" w:eastAsia="Times New Roman" w:hAnsi="Times New Roman" w:cs="Times New Roman"/>
        </w:rPr>
        <w:t xml:space="preserve">nd directs residents to hard-to-recycle centers; and Clayton County’s recycling drop-off center does not list electronics among accepted materials, although the Clayton County Water Authority hosts annual HHW collection [23-30]. </w:t>
      </w:r>
    </w:p>
    <w:p w14:paraId="1487A825"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This fragmentation suggest</w:t>
      </w:r>
      <w:r>
        <w:rPr>
          <w:rFonts w:ascii="Times New Roman" w:eastAsia="Times New Roman" w:hAnsi="Times New Roman" w:cs="Times New Roman"/>
        </w:rPr>
        <w:t>s a practical research gap. Publicly available regulatory and local-program sources describe rules, services, and selected certification mechanisms, but they do not provide an integrated, Metro Atlanta-centered analysis of how environmental health complian</w:t>
      </w:r>
      <w:r>
        <w:rPr>
          <w:rFonts w:ascii="Times New Roman" w:eastAsia="Times New Roman" w:hAnsi="Times New Roman" w:cs="Times New Roman"/>
        </w:rPr>
        <w:t>ce conditions may shape resource recovery performance across counties. The present study addresses that gap by proposing and applying a county-comparative framework that links compliance, hazardous-exposure prevention, and recovery outcomes in a major sout</w:t>
      </w:r>
      <w:r>
        <w:rPr>
          <w:rFonts w:ascii="Times New Roman" w:eastAsia="Times New Roman" w:hAnsi="Times New Roman" w:cs="Times New Roman"/>
        </w:rPr>
        <w:t>heastern metropolitan region [4-8,16-30].</w:t>
      </w:r>
    </w:p>
    <w:p w14:paraId="334A5F45"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Aim and Objectives.</w:t>
      </w:r>
      <w:r>
        <w:rPr>
          <w:rFonts w:ascii="Times New Roman" w:eastAsia="Times New Roman" w:hAnsi="Times New Roman" w:cs="Times New Roman"/>
        </w:rPr>
        <w:t xml:space="preserve"> The overall aim of this study was to analyze how environmental health compliance conditions influence resource recovery outcomes in sustainable e-waste management across Metro Atlanta. The specific objectives were: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to characterize the formal e-waste m</w:t>
      </w:r>
      <w:r>
        <w:rPr>
          <w:rFonts w:ascii="Times New Roman" w:eastAsia="Times New Roman" w:hAnsi="Times New Roman" w:cs="Times New Roman"/>
        </w:rPr>
        <w:t>anagement landscape in Fulton, DeKalb, Cobb, Gwinnett, and Clayton counties; (ii) to develop a composite framework for assessing environmental health compliance in e-waste collection and processing settings; (iii) to estimate county- and facility-type vari</w:t>
      </w:r>
      <w:r>
        <w:rPr>
          <w:rFonts w:ascii="Times New Roman" w:eastAsia="Times New Roman" w:hAnsi="Times New Roman" w:cs="Times New Roman"/>
        </w:rPr>
        <w:t>ation in resource recovery performance using illustrative analytical estimates; (iv) to examine the relationship between compliance performance and recovery outcomes; and (v) to identify actionable implications for local governments, recyclers, regulators,</w:t>
      </w:r>
      <w:r>
        <w:rPr>
          <w:rFonts w:ascii="Times New Roman" w:eastAsia="Times New Roman" w:hAnsi="Times New Roman" w:cs="Times New Roman"/>
        </w:rPr>
        <w:t xml:space="preserve"> and public health practitioners. The study was guided by the hypothesis that stronger environmental health compliance would be associated with higher formal recovery efficiency and lower residual disposal.</w:t>
      </w:r>
    </w:p>
    <w:p w14:paraId="4735AD03" w14:textId="77777777" w:rsidR="000F26B7" w:rsidRDefault="001411D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Materials and Methods</w:t>
      </w:r>
    </w:p>
    <w:p w14:paraId="713B28D9"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2.1. Study Area.</w:t>
      </w:r>
      <w:r>
        <w:rPr>
          <w:rFonts w:ascii="Times New Roman" w:eastAsia="Times New Roman" w:hAnsi="Times New Roman" w:cs="Times New Roman"/>
        </w:rPr>
        <w:t xml:space="preserve"> The study </w:t>
      </w:r>
      <w:r>
        <w:rPr>
          <w:rFonts w:ascii="Times New Roman" w:eastAsia="Times New Roman" w:hAnsi="Times New Roman" w:cs="Times New Roman"/>
        </w:rPr>
        <w:t xml:space="preserve">focused on the five-county core of Metro Atlanta: Fulton, DeKalb, Cobb, Gwinnett, and Clayton. Using 2024 U.S. Census QuickFacts estimates, these counties had populations of 1,090,354; 770,307; 787,538; 1,003,869; and 297,703, respectively, for a combined </w:t>
      </w:r>
      <w:r>
        <w:rPr>
          <w:rFonts w:ascii="Times New Roman" w:eastAsia="Times New Roman" w:hAnsi="Times New Roman" w:cs="Times New Roman"/>
        </w:rPr>
        <w:t>population of approximately 3.95 million [31-35]. The five-county focus was selected because it captures the most densely urbanized and administratively interconnected portion of the Atlanta region while still containing distinct local waste-service models</w:t>
      </w:r>
      <w:r>
        <w:rPr>
          <w:rFonts w:ascii="Times New Roman" w:eastAsia="Times New Roman" w:hAnsi="Times New Roman" w:cs="Times New Roman"/>
        </w:rPr>
        <w:t xml:space="preserve">. </w:t>
      </w:r>
    </w:p>
    <w:p w14:paraId="059B0818"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2.2. Study Design.</w:t>
      </w:r>
      <w:r>
        <w:rPr>
          <w:rFonts w:ascii="Times New Roman" w:eastAsia="Times New Roman" w:hAnsi="Times New Roman" w:cs="Times New Roman"/>
        </w:rPr>
        <w:t xml:space="preserve"> A convergent mixed-methods, cross-sectional observational design was developed for this manuscript. The qualitative component consisted of structured review of official regulations, collection-program descriptions, certification requi</w:t>
      </w:r>
      <w:r>
        <w:rPr>
          <w:rFonts w:ascii="Times New Roman" w:eastAsia="Times New Roman" w:hAnsi="Times New Roman" w:cs="Times New Roman"/>
        </w:rPr>
        <w:t>rements, and worker-health guidance. The quantitative component used simulated study data for manuscript development, parameterized from those public sources to create illustrative facility/program observations and county-comparative estimates. Because the</w:t>
      </w:r>
      <w:r>
        <w:rPr>
          <w:rFonts w:ascii="Times New Roman" w:eastAsia="Times New Roman" w:hAnsi="Times New Roman" w:cs="Times New Roman"/>
        </w:rPr>
        <w:t xml:space="preserve"> quantitative dataset is simulated, the study should be interpreted as a rigorously informed analytic framework rather than a completed field investigation.</w:t>
      </w:r>
    </w:p>
    <w:p w14:paraId="27922C8E"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2.3. Data Sources.</w:t>
      </w:r>
      <w:r>
        <w:rPr>
          <w:rFonts w:ascii="Times New Roman" w:eastAsia="Times New Roman" w:hAnsi="Times New Roman" w:cs="Times New Roman"/>
        </w:rPr>
        <w:t xml:space="preserve"> Data sources included: WHO global health guidance on e-waste; ITU/UNITAR global e-waste statistics; EPA guidance on electronics donation, certified recyclers, CRT regulation, and recycling infrastructure; Georgia EPD hazardous-waste compliance guidance, e</w:t>
      </w:r>
      <w:r>
        <w:rPr>
          <w:rFonts w:ascii="Times New Roman" w:eastAsia="Times New Roman" w:hAnsi="Times New Roman" w:cs="Times New Roman"/>
        </w:rPr>
        <w:t>-Manifest registration requirements, HHW guidance, and recycling/diversion grant materials; official county and city pages describing e-waste or HHW collection services; Fulton County public pollution-prevention materials; Clayton County Water Authority HH</w:t>
      </w:r>
      <w:r>
        <w:rPr>
          <w:rFonts w:ascii="Times New Roman" w:eastAsia="Times New Roman" w:hAnsi="Times New Roman" w:cs="Times New Roman"/>
        </w:rPr>
        <w:t xml:space="preserve">W materials; the SERI R2 directory and R2v3 requirements; and U.S. Census county </w:t>
      </w:r>
      <w:proofErr w:type="spellStart"/>
      <w:r>
        <w:rPr>
          <w:rFonts w:ascii="Times New Roman" w:eastAsia="Times New Roman" w:hAnsi="Times New Roman" w:cs="Times New Roman"/>
        </w:rPr>
        <w:t>quickfacts</w:t>
      </w:r>
      <w:proofErr w:type="spellEnd"/>
      <w:r>
        <w:rPr>
          <w:rFonts w:ascii="Times New Roman" w:eastAsia="Times New Roman" w:hAnsi="Times New Roman" w:cs="Times New Roman"/>
        </w:rPr>
        <w:t xml:space="preserve"> [1-35]. Publicly visible R2 directory results also indicated active certified capacity in the Atlanta/Alpharetta market, supporting the assumption that formal priva</w:t>
      </w:r>
      <w:r>
        <w:rPr>
          <w:rFonts w:ascii="Times New Roman" w:eastAsia="Times New Roman" w:hAnsi="Times New Roman" w:cs="Times New Roman"/>
        </w:rPr>
        <w:t xml:space="preserve">te processing exists in the study area [16,17]. </w:t>
      </w:r>
    </w:p>
    <w:p w14:paraId="2DC40107"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2.4. Sampling Strategy and Study Population.</w:t>
      </w:r>
      <w:r>
        <w:rPr>
          <w:rFonts w:ascii="Times New Roman" w:eastAsia="Times New Roman" w:hAnsi="Times New Roman" w:cs="Times New Roman"/>
        </w:rPr>
        <w:t xml:space="preserve"> The illustrative analytic sample contained 18 program/facility observations distributed across the five counties, with intentional representation of four types of</w:t>
      </w:r>
      <w:r>
        <w:rPr>
          <w:rFonts w:ascii="Times New Roman" w:eastAsia="Times New Roman" w:hAnsi="Times New Roman" w:cs="Times New Roman"/>
        </w:rPr>
        <w:t xml:space="preserve"> formal e-waste management actors: permanent public drop-off systems, event-based public collection programs, private R2-certified IT asset disposition/recycling facilities, and private non-certified collection/brokerage actors. The simulated county alloca</w:t>
      </w:r>
      <w:r>
        <w:rPr>
          <w:rFonts w:ascii="Times New Roman" w:eastAsia="Times New Roman" w:hAnsi="Times New Roman" w:cs="Times New Roman"/>
        </w:rPr>
        <w:t xml:space="preserve">tion was Fulton (n = </w:t>
      </w:r>
      <w:r>
        <w:rPr>
          <w:rFonts w:ascii="Times New Roman" w:eastAsia="Times New Roman" w:hAnsi="Times New Roman" w:cs="Times New Roman"/>
        </w:rPr>
        <w:lastRenderedPageBreak/>
        <w:t>5), DeKalb (n = 4), Cobb (n = 3), Gwinnett (n = 3), and Clayton (n = 3). This design was intended to reflect spatial diversity, service continuity, and differences in regulatory visibility without claiming a census of all actual facili</w:t>
      </w:r>
      <w:r>
        <w:rPr>
          <w:rFonts w:ascii="Times New Roman" w:eastAsia="Times New Roman" w:hAnsi="Times New Roman" w:cs="Times New Roman"/>
        </w:rPr>
        <w:t>ties.</w:t>
      </w:r>
    </w:p>
    <w:p w14:paraId="53684148"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2.5. Environmental Health Compliance Indicators.</w:t>
      </w:r>
      <w:r>
        <w:rPr>
          <w:rFonts w:ascii="Times New Roman" w:eastAsia="Times New Roman" w:hAnsi="Times New Roman" w:cs="Times New Roman"/>
        </w:rPr>
        <w:t xml:space="preserve"> An Environmental Health Compliance Index (EHCI; range 0–100) was created from nine domains: legal compliance planning; hazardous-component segregation; documented battery/CRT handling; worker toxic-exp</w:t>
      </w:r>
      <w:r>
        <w:rPr>
          <w:rFonts w:ascii="Times New Roman" w:eastAsia="Times New Roman" w:hAnsi="Times New Roman" w:cs="Times New Roman"/>
        </w:rPr>
        <w:t>osure controls; environmental health and safety management systems; downstream chain-of-custody controls; manifest or throughput documentation; emergency preparedness/spill response; and clarity of public-facing acceptance/restriction instructions. Indicat</w:t>
      </w:r>
      <w:r>
        <w:rPr>
          <w:rFonts w:ascii="Times New Roman" w:eastAsia="Times New Roman" w:hAnsi="Times New Roman" w:cs="Times New Roman"/>
        </w:rPr>
        <w:t>or selection was informed by EPA’s certified recycler framework, EPA’s CRT rule, Georgia EPD hazardous-waste compliance guidance and e-Manifest requirements, OSHA/NIOSH worker-hazard findings, and the R2v3 core requirements for environmental health and saf</w:t>
      </w:r>
      <w:r>
        <w:rPr>
          <w:rFonts w:ascii="Times New Roman" w:eastAsia="Times New Roman" w:hAnsi="Times New Roman" w:cs="Times New Roman"/>
        </w:rPr>
        <w:t>ety management, legal compliance, and tracking throughput [5,6,9,10,16-20].</w:t>
      </w:r>
    </w:p>
    <w:p w14:paraId="619D5BE5"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2.6. Resource Recovery Outcome Measures.</w:t>
      </w:r>
      <w:r>
        <w:rPr>
          <w:rFonts w:ascii="Times New Roman" w:eastAsia="Times New Roman" w:hAnsi="Times New Roman" w:cs="Times New Roman"/>
        </w:rPr>
        <w:t xml:space="preserve"> Resource recovery performance was measured using four indicators: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estimated formal collection/service intensity, expressed as a normali</w:t>
      </w:r>
      <w:r>
        <w:rPr>
          <w:rFonts w:ascii="Times New Roman" w:eastAsia="Times New Roman" w:hAnsi="Times New Roman" w:cs="Times New Roman"/>
        </w:rPr>
        <w:t>zed access proxy; (ii) estimated materials recovery rate, defined as the percentage of incoming mass directed to formal recycling; (iii) estimated reuse/refurbishment share; and (iv) residual disposal share. These measures were chosen because EPA and R2 bo</w:t>
      </w:r>
      <w:r>
        <w:rPr>
          <w:rFonts w:ascii="Times New Roman" w:eastAsia="Times New Roman" w:hAnsi="Times New Roman" w:cs="Times New Roman"/>
        </w:rPr>
        <w:t xml:space="preserve">th frame electronics management around reuse, recycling, and safe downstream handling, while circular-economy literature emphasizes prolonged device life, higher-value recovery, and reduced virgin-material demand [4,7,14-17]. </w:t>
      </w:r>
    </w:p>
    <w:p w14:paraId="6CDB39E1"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2.7. Data Collection Procedur</w:t>
      </w:r>
      <w:r>
        <w:rPr>
          <w:rFonts w:ascii="Times New Roman" w:eastAsia="Times New Roman" w:hAnsi="Times New Roman" w:cs="Times New Roman"/>
          <w:b/>
          <w:bCs/>
        </w:rPr>
        <w:t>es.</w:t>
      </w:r>
      <w:r>
        <w:rPr>
          <w:rFonts w:ascii="Times New Roman" w:eastAsia="Times New Roman" w:hAnsi="Times New Roman" w:cs="Times New Roman"/>
        </w:rPr>
        <w:t xml:space="preserve"> Each county’s public-facing electronics and HHW service model was coded for continuity of access, restrictions, fee barriers, and explicit hazardous-material handling language. Regulatory and certification sources were coded for legal, occupational, an</w:t>
      </w:r>
      <w:r>
        <w:rPr>
          <w:rFonts w:ascii="Times New Roman" w:eastAsia="Times New Roman" w:hAnsi="Times New Roman" w:cs="Times New Roman"/>
        </w:rPr>
        <w:t xml:space="preserve">d downstream accountability requirements. The simulated dataset was then generated by assigning plausible parameter ranges to each observation on the basis of service type, apparent formalization, certification status, and county program maturity [23-30]. </w:t>
      </w:r>
      <w:r>
        <w:rPr>
          <w:rFonts w:ascii="Times New Roman" w:eastAsia="Times New Roman" w:hAnsi="Times New Roman" w:cs="Times New Roman"/>
        </w:rPr>
        <w:t>To avoid false precision, all modeled outputs were rounded and reported as illustrative analytical estimates.</w:t>
      </w:r>
    </w:p>
    <w:p w14:paraId="314856D7"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2.8. Data Analysis.</w:t>
      </w:r>
      <w:sdt>
        <w:sdtPr>
          <w:tag w:val="goog_rdk_0"/>
          <w:id w:val="1242676662"/>
        </w:sdtPr>
        <w:sdtEndPr/>
        <w:sdtContent>
          <w:r>
            <w:rPr>
              <w:rFonts w:ascii="Gungsuh" w:eastAsia="Gungsuh" w:hAnsi="Gungsuh" w:cs="Gungsuh"/>
            </w:rPr>
            <w:t xml:space="preserve"> Descriptive statistics were used to summarize sample composition, EHCI performance, and county-level recovery proxies. Compara</w:t>
          </w:r>
          <w:r>
            <w:rPr>
              <w:rFonts w:ascii="Gungsuh" w:eastAsia="Gungsuh" w:hAnsi="Gungsuh" w:cs="Gungsuh"/>
            </w:rPr>
            <w:t>tive analysis grouped observations into high (≥80), moderate (65–79), and low (&lt;65) compliance tiers. A simple illustrative regression model examined the association between EHCI score and materials recovery rate, adjusting for facility/program type and co</w:t>
          </w:r>
          <w:r>
            <w:rPr>
              <w:rFonts w:ascii="Gungsuh" w:eastAsia="Gungsuh" w:hAnsi="Gungsuh" w:cs="Gungsuh"/>
            </w:rPr>
            <w:t>unty. Because the numeric dataset was simulated, modeled coefficients are presented as scenario-based directional estimates rather than inferential evidence suitable for causal claims.</w:t>
          </w:r>
        </w:sdtContent>
      </w:sdt>
    </w:p>
    <w:p w14:paraId="3F383160"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2.9. Ethical Considerations.</w:t>
      </w:r>
      <w:r>
        <w:rPr>
          <w:rFonts w:ascii="Times New Roman" w:eastAsia="Times New Roman" w:hAnsi="Times New Roman" w:cs="Times New Roman"/>
        </w:rPr>
        <w:t xml:space="preserve"> The manuscript development dataset used </w:t>
      </w:r>
      <w:r>
        <w:rPr>
          <w:rFonts w:ascii="Times New Roman" w:eastAsia="Times New Roman" w:hAnsi="Times New Roman" w:cs="Times New Roman"/>
        </w:rPr>
        <w:t xml:space="preserve">public documents and simulated analytic values only; no human-subject interviews, surveys, or facility inspections were carried out for this draft. Accordingly, no personally identifiable information was processed. A future real-world version of the study </w:t>
      </w:r>
      <w:r>
        <w:rPr>
          <w:rFonts w:ascii="Times New Roman" w:eastAsia="Times New Roman" w:hAnsi="Times New Roman" w:cs="Times New Roman"/>
        </w:rPr>
        <w:t>that includes worker interviews, municipal informants, or facility auditing should undergo institutional ethics review and, where applicable, obtain informed consent.</w:t>
      </w:r>
    </w:p>
    <w:p w14:paraId="69CAFD59"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i/>
          <w:iCs/>
        </w:rPr>
      </w:pPr>
      <w:r>
        <w:rPr>
          <w:rFonts w:ascii="Times New Roman" w:eastAsia="Times New Roman" w:hAnsi="Times New Roman" w:cs="Times New Roman"/>
          <w:i/>
          <w:iCs/>
        </w:rPr>
        <w:t>Figure 1. Conceptual framework linking environmental health compliance, safe e-waste hand</w:t>
      </w:r>
      <w:r>
        <w:rPr>
          <w:rFonts w:ascii="Times New Roman" w:eastAsia="Times New Roman" w:hAnsi="Times New Roman" w:cs="Times New Roman"/>
          <w:i/>
          <w:iCs/>
        </w:rPr>
        <w:t>ling, and resource recovery outcomes.</w:t>
      </w:r>
      <w:r>
        <w:rPr>
          <w:rFonts w:ascii="Times New Roman" w:eastAsia="Times New Roman" w:hAnsi="Times New Roman" w:cs="Times New Roman"/>
        </w:rPr>
        <w:br/>
      </w:r>
    </w:p>
    <w:p w14:paraId="2B66387E"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i/>
          <w:iCs/>
        </w:rPr>
      </w:pPr>
      <w:r>
        <w:rPr>
          <w:rFonts w:ascii="Times New Roman" w:eastAsia="Times New Roman" w:hAnsi="Times New Roman" w:cs="Times New Roman"/>
          <w:i/>
          <w:iCs/>
          <w:noProof/>
        </w:rPr>
        <w:lastRenderedPageBreak/>
        <w:drawing>
          <wp:inline distT="114300" distB="114300" distL="114300" distR="114300" wp14:anchorId="3075E1B0" wp14:editId="355FF3A1">
            <wp:extent cx="5286375" cy="4038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86375" cy="4038600"/>
                    </a:xfrm>
                    <a:prstGeom prst="rect">
                      <a:avLst/>
                    </a:prstGeom>
                    <a:ln/>
                  </pic:spPr>
                </pic:pic>
              </a:graphicData>
            </a:graphic>
          </wp:inline>
        </w:drawing>
      </w:r>
    </w:p>
    <w:p w14:paraId="0B92089A" w14:textId="77777777" w:rsidR="000F26B7" w:rsidRDefault="001411D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Results</w:t>
      </w:r>
    </w:p>
    <w:p w14:paraId="7C60B2B7"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3.1. Characteristics of E-Waste Management Facilities or Respondents.</w:t>
      </w:r>
      <w:r>
        <w:rPr>
          <w:rFonts w:ascii="Times New Roman" w:eastAsia="Times New Roman" w:hAnsi="Times New Roman" w:cs="Times New Roman"/>
        </w:rPr>
        <w:t xml:space="preserve"> The simulated sample included 18 program/facility observations. Public-sector observations dominated the analytic frame, but certified pr</w:t>
      </w:r>
      <w:r>
        <w:rPr>
          <w:rFonts w:ascii="Times New Roman" w:eastAsia="Times New Roman" w:hAnsi="Times New Roman" w:cs="Times New Roman"/>
        </w:rPr>
        <w:t>ivate processors were included to capture formal downstream capacity. This distribution reflects the public evidence base in Metro Atlanta, where several counties emphasize collection access while formal processing capacity is also visible through the R2 d</w:t>
      </w:r>
      <w:r>
        <w:rPr>
          <w:rFonts w:ascii="Times New Roman" w:eastAsia="Times New Roman" w:hAnsi="Times New Roman" w:cs="Times New Roman"/>
        </w:rPr>
        <w:t xml:space="preserve">irectory. </w:t>
      </w:r>
    </w:p>
    <w:p w14:paraId="24B50E38"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Table 1. Characteristics of sampled e-waste facilities, programs, or respondents.</w:t>
      </w:r>
    </w:p>
    <w:tbl>
      <w:tblPr>
        <w:tblStyle w:val="a"/>
        <w:tblW w:w="7920" w:type="dxa"/>
        <w:tblInd w:w="-108" w:type="dxa"/>
        <w:tblLayout w:type="fixed"/>
        <w:tblLook w:val="0020" w:firstRow="1" w:lastRow="0" w:firstColumn="0" w:lastColumn="0" w:noHBand="0" w:noVBand="0"/>
      </w:tblPr>
      <w:tblGrid>
        <w:gridCol w:w="2640"/>
        <w:gridCol w:w="2640"/>
        <w:gridCol w:w="2640"/>
      </w:tblGrid>
      <w:tr w:rsidR="000F26B7" w14:paraId="2345CC48" w14:textId="77777777" w:rsidTr="000F26B7">
        <w:trPr>
          <w:cnfStyle w:val="100000000000" w:firstRow="1" w:lastRow="0" w:firstColumn="0" w:lastColumn="0" w:oddVBand="0" w:evenVBand="0" w:oddHBand="0" w:evenHBand="0" w:firstRowFirstColumn="0" w:firstRowLastColumn="0" w:lastRowFirstColumn="0" w:lastRowLastColumn="0"/>
          <w:tblHeader/>
        </w:trPr>
        <w:tc>
          <w:tcPr>
            <w:tcW w:w="2640" w:type="dxa"/>
            <w:tcBorders>
              <w:top w:val="single" w:sz="4" w:space="0" w:color="000000"/>
              <w:left w:val="single" w:sz="4" w:space="0" w:color="000000"/>
              <w:bottom w:val="single" w:sz="4" w:space="0" w:color="000000"/>
              <w:right w:val="single" w:sz="4" w:space="0" w:color="000000"/>
            </w:tcBorders>
          </w:tcPr>
          <w:p w14:paraId="50EF3802"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Facility/program type</w:t>
            </w:r>
          </w:p>
        </w:tc>
        <w:tc>
          <w:tcPr>
            <w:tcW w:w="2640" w:type="dxa"/>
            <w:tcBorders>
              <w:top w:val="single" w:sz="4" w:space="0" w:color="000000"/>
              <w:left w:val="single" w:sz="4" w:space="0" w:color="000000"/>
              <w:bottom w:val="single" w:sz="4" w:space="0" w:color="000000"/>
              <w:right w:val="single" w:sz="4" w:space="0" w:color="000000"/>
            </w:tcBorders>
          </w:tcPr>
          <w:p w14:paraId="04449160"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Description</w:t>
            </w:r>
          </w:p>
        </w:tc>
        <w:tc>
          <w:tcPr>
            <w:tcW w:w="2640" w:type="dxa"/>
            <w:tcBorders>
              <w:top w:val="single" w:sz="4" w:space="0" w:color="000000"/>
              <w:left w:val="single" w:sz="4" w:space="0" w:color="000000"/>
              <w:bottom w:val="single" w:sz="4" w:space="0" w:color="000000"/>
              <w:right w:val="single" w:sz="4" w:space="0" w:color="000000"/>
            </w:tcBorders>
          </w:tcPr>
          <w:p w14:paraId="5589D1E3"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Illustrative n (%)</w:t>
            </w:r>
          </w:p>
        </w:tc>
      </w:tr>
      <w:tr w:rsidR="000F26B7" w14:paraId="38069B2D"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47BA9F54"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Permanent public collection</w:t>
            </w:r>
          </w:p>
        </w:tc>
        <w:tc>
          <w:tcPr>
            <w:tcW w:w="2640" w:type="dxa"/>
            <w:tcBorders>
              <w:top w:val="single" w:sz="4" w:space="0" w:color="000000"/>
              <w:left w:val="single" w:sz="4" w:space="0" w:color="000000"/>
              <w:bottom w:val="single" w:sz="4" w:space="0" w:color="000000"/>
              <w:right w:val="single" w:sz="4" w:space="0" w:color="000000"/>
            </w:tcBorders>
          </w:tcPr>
          <w:p w14:paraId="5D7F23B1"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County landfill, transfer station, convenience center, or appointment-based site</w:t>
            </w:r>
          </w:p>
        </w:tc>
        <w:tc>
          <w:tcPr>
            <w:tcW w:w="2640" w:type="dxa"/>
            <w:tcBorders>
              <w:top w:val="single" w:sz="4" w:space="0" w:color="000000"/>
              <w:left w:val="single" w:sz="4" w:space="0" w:color="000000"/>
              <w:bottom w:val="single" w:sz="4" w:space="0" w:color="000000"/>
              <w:right w:val="single" w:sz="4" w:space="0" w:color="000000"/>
            </w:tcBorders>
          </w:tcPr>
          <w:p w14:paraId="718936C2"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6 (33.3)</w:t>
            </w:r>
          </w:p>
        </w:tc>
      </w:tr>
      <w:tr w:rsidR="000F26B7" w14:paraId="5D54DB97"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707BD9FF"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Event-based public collection</w:t>
            </w:r>
          </w:p>
        </w:tc>
        <w:tc>
          <w:tcPr>
            <w:tcW w:w="2640" w:type="dxa"/>
            <w:tcBorders>
              <w:top w:val="single" w:sz="4" w:space="0" w:color="000000"/>
              <w:left w:val="single" w:sz="4" w:space="0" w:color="000000"/>
              <w:bottom w:val="single" w:sz="4" w:space="0" w:color="000000"/>
              <w:right w:val="single" w:sz="4" w:space="0" w:color="000000"/>
            </w:tcBorders>
          </w:tcPr>
          <w:p w14:paraId="5A6704DF"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HHW or recycling event model with periodic electronics acceptance</w:t>
            </w:r>
          </w:p>
        </w:tc>
        <w:tc>
          <w:tcPr>
            <w:tcW w:w="2640" w:type="dxa"/>
            <w:tcBorders>
              <w:top w:val="single" w:sz="4" w:space="0" w:color="000000"/>
              <w:left w:val="single" w:sz="4" w:space="0" w:color="000000"/>
              <w:bottom w:val="single" w:sz="4" w:space="0" w:color="000000"/>
              <w:right w:val="single" w:sz="4" w:space="0" w:color="000000"/>
            </w:tcBorders>
          </w:tcPr>
          <w:p w14:paraId="3D32B4F4"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4 (22.2)</w:t>
            </w:r>
          </w:p>
        </w:tc>
      </w:tr>
      <w:tr w:rsidR="000F26B7" w14:paraId="0E7797B2"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1B791FBA"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Private R2-certified processor/ITAD</w:t>
            </w:r>
          </w:p>
        </w:tc>
        <w:tc>
          <w:tcPr>
            <w:tcW w:w="2640" w:type="dxa"/>
            <w:tcBorders>
              <w:top w:val="single" w:sz="4" w:space="0" w:color="000000"/>
              <w:left w:val="single" w:sz="4" w:space="0" w:color="000000"/>
              <w:bottom w:val="single" w:sz="4" w:space="0" w:color="000000"/>
              <w:right w:val="single" w:sz="4" w:space="0" w:color="000000"/>
            </w:tcBorders>
          </w:tcPr>
          <w:p w14:paraId="10C2DD51"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Formal private processor with certification-based management assumptions</w:t>
            </w:r>
          </w:p>
        </w:tc>
        <w:tc>
          <w:tcPr>
            <w:tcW w:w="2640" w:type="dxa"/>
            <w:tcBorders>
              <w:top w:val="single" w:sz="4" w:space="0" w:color="000000"/>
              <w:left w:val="single" w:sz="4" w:space="0" w:color="000000"/>
              <w:bottom w:val="single" w:sz="4" w:space="0" w:color="000000"/>
              <w:right w:val="single" w:sz="4" w:space="0" w:color="000000"/>
            </w:tcBorders>
          </w:tcPr>
          <w:p w14:paraId="1EB12F7D"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5 (27.8)</w:t>
            </w:r>
          </w:p>
        </w:tc>
      </w:tr>
      <w:tr w:rsidR="000F26B7" w14:paraId="03DC7E67"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1D032D81"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Private non-certified</w:t>
            </w:r>
            <w:r>
              <w:rPr>
                <w:rFonts w:ascii="Times New Roman" w:eastAsia="Times New Roman" w:hAnsi="Times New Roman" w:cs="Times New Roman"/>
              </w:rPr>
              <w:t xml:space="preserve"> collector/broker</w:t>
            </w:r>
          </w:p>
        </w:tc>
        <w:tc>
          <w:tcPr>
            <w:tcW w:w="2640" w:type="dxa"/>
            <w:tcBorders>
              <w:top w:val="single" w:sz="4" w:space="0" w:color="000000"/>
              <w:left w:val="single" w:sz="4" w:space="0" w:color="000000"/>
              <w:bottom w:val="single" w:sz="4" w:space="0" w:color="000000"/>
              <w:right w:val="single" w:sz="4" w:space="0" w:color="000000"/>
            </w:tcBorders>
          </w:tcPr>
          <w:p w14:paraId="1DF57D4A"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Commercial collector or intermediary with lower public compliance visibility</w:t>
            </w:r>
          </w:p>
        </w:tc>
        <w:tc>
          <w:tcPr>
            <w:tcW w:w="2640" w:type="dxa"/>
            <w:tcBorders>
              <w:top w:val="single" w:sz="4" w:space="0" w:color="000000"/>
              <w:left w:val="single" w:sz="4" w:space="0" w:color="000000"/>
              <w:bottom w:val="single" w:sz="4" w:space="0" w:color="000000"/>
              <w:right w:val="single" w:sz="4" w:space="0" w:color="000000"/>
            </w:tcBorders>
          </w:tcPr>
          <w:p w14:paraId="6DD44809"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3 (16.7)</w:t>
            </w:r>
          </w:p>
        </w:tc>
      </w:tr>
    </w:tbl>
    <w:p w14:paraId="3CE9F615"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In the simulated sample, Fulton and DeKalb contained the greatest concentration of formal access points or partner pathways, while Gwinnett and Clayton depended more heavily on event-based or partial-service models. Cobb represented an intermediate case wi</w:t>
      </w:r>
      <w:r>
        <w:rPr>
          <w:rFonts w:ascii="Times New Roman" w:eastAsia="Times New Roman" w:hAnsi="Times New Roman" w:cs="Times New Roman"/>
        </w:rPr>
        <w:t xml:space="preserve">th an established transfer-station route but clearer fee barriers for some item categories. These county differences align with official service descriptions published by local governments [23-30]. </w:t>
      </w:r>
    </w:p>
    <w:p w14:paraId="76925419"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3.2. Environmental Health Compliance Performance.</w:t>
      </w:r>
      <w:r>
        <w:rPr>
          <w:rFonts w:ascii="Times New Roman" w:eastAsia="Times New Roman" w:hAnsi="Times New Roman" w:cs="Times New Roman"/>
        </w:rPr>
        <w:t xml:space="preserve"> The sim</w:t>
      </w:r>
      <w:r>
        <w:rPr>
          <w:rFonts w:ascii="Times New Roman" w:eastAsia="Times New Roman" w:hAnsi="Times New Roman" w:cs="Times New Roman"/>
        </w:rPr>
        <w:t>ulated mean EHCI score across all 18 observations was 71.8/100. By facility/program type, the highest mean scores were observed for private R2-certified processors (84.8), followed by permanent public programs (74.2), event-based public programs (63.5), an</w:t>
      </w:r>
      <w:r>
        <w:rPr>
          <w:rFonts w:ascii="Times New Roman" w:eastAsia="Times New Roman" w:hAnsi="Times New Roman" w:cs="Times New Roman"/>
        </w:rPr>
        <w:t>d non-certified private collectors/brokers (57.1). Six observations fell in the high-compliance tier, seven in the moderate tier, and five in the low tier.</w:t>
      </w:r>
    </w:p>
    <w:p w14:paraId="66B1466E"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best-performing domains were public-facing acceptance/restriction instructions, battery/CRT segr</w:t>
      </w:r>
      <w:r>
        <w:rPr>
          <w:rFonts w:ascii="Times New Roman" w:eastAsia="Times New Roman" w:hAnsi="Times New Roman" w:cs="Times New Roman"/>
        </w:rPr>
        <w:t>egation language, and general legal-compliance visibility. The weakest domains were auditable manifest or throughput documentation visible to the public, explicit worker toxic-exposure protections, and downstream transparency. This pattern is consistent wi</w:t>
      </w:r>
      <w:r>
        <w:rPr>
          <w:rFonts w:ascii="Times New Roman" w:eastAsia="Times New Roman" w:hAnsi="Times New Roman" w:cs="Times New Roman"/>
        </w:rPr>
        <w:t>th the fact that local collection pages often explain what residents may bring, while occupational, downstream, and documentation controls are more likely to be embedded in certification and internal compliance systems than in public communications [16-30]</w:t>
      </w:r>
      <w:r>
        <w:rPr>
          <w:rFonts w:ascii="Times New Roman" w:eastAsia="Times New Roman" w:hAnsi="Times New Roman" w:cs="Times New Roman"/>
        </w:rPr>
        <w:t xml:space="preserve">. </w:t>
      </w:r>
    </w:p>
    <w:p w14:paraId="39E7D3D6"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Table 2. Environmental health compliance indicators and performance levels.</w:t>
      </w:r>
    </w:p>
    <w:tbl>
      <w:tblPr>
        <w:tblStyle w:val="a0"/>
        <w:tblW w:w="7920" w:type="dxa"/>
        <w:tblInd w:w="-108" w:type="dxa"/>
        <w:tblLayout w:type="fixed"/>
        <w:tblLook w:val="0020" w:firstRow="1" w:lastRow="0" w:firstColumn="0" w:lastColumn="0" w:noHBand="0" w:noVBand="0"/>
      </w:tblPr>
      <w:tblGrid>
        <w:gridCol w:w="2640"/>
        <w:gridCol w:w="2640"/>
        <w:gridCol w:w="2640"/>
      </w:tblGrid>
      <w:tr w:rsidR="000F26B7" w14:paraId="48E6AD07" w14:textId="77777777" w:rsidTr="000F26B7">
        <w:trPr>
          <w:cnfStyle w:val="100000000000" w:firstRow="1" w:lastRow="0" w:firstColumn="0" w:lastColumn="0" w:oddVBand="0" w:evenVBand="0" w:oddHBand="0" w:evenHBand="0" w:firstRowFirstColumn="0" w:firstRowLastColumn="0" w:lastRowFirstColumn="0" w:lastRowLastColumn="0"/>
          <w:tblHeader/>
        </w:trPr>
        <w:tc>
          <w:tcPr>
            <w:tcW w:w="2640" w:type="dxa"/>
            <w:tcBorders>
              <w:top w:val="single" w:sz="4" w:space="0" w:color="000000"/>
              <w:left w:val="single" w:sz="4" w:space="0" w:color="000000"/>
              <w:bottom w:val="single" w:sz="4" w:space="0" w:color="000000"/>
              <w:right w:val="single" w:sz="4" w:space="0" w:color="000000"/>
            </w:tcBorders>
          </w:tcPr>
          <w:p w14:paraId="0DB68579"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Indicator</w:t>
            </w:r>
          </w:p>
        </w:tc>
        <w:tc>
          <w:tcPr>
            <w:tcW w:w="2640" w:type="dxa"/>
            <w:tcBorders>
              <w:top w:val="single" w:sz="4" w:space="0" w:color="000000"/>
              <w:left w:val="single" w:sz="4" w:space="0" w:color="000000"/>
              <w:bottom w:val="single" w:sz="4" w:space="0" w:color="000000"/>
              <w:right w:val="single" w:sz="4" w:space="0" w:color="000000"/>
            </w:tcBorders>
          </w:tcPr>
          <w:p w14:paraId="2E2B266F"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Operational basis</w:t>
            </w:r>
          </w:p>
        </w:tc>
        <w:tc>
          <w:tcPr>
            <w:tcW w:w="2640" w:type="dxa"/>
            <w:tcBorders>
              <w:top w:val="single" w:sz="4" w:space="0" w:color="000000"/>
              <w:left w:val="single" w:sz="4" w:space="0" w:color="000000"/>
              <w:bottom w:val="single" w:sz="4" w:space="0" w:color="000000"/>
              <w:right w:val="single" w:sz="4" w:space="0" w:color="000000"/>
            </w:tcBorders>
          </w:tcPr>
          <w:p w14:paraId="486E41FF"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Illustrative performance</w:t>
            </w:r>
          </w:p>
        </w:tc>
      </w:tr>
      <w:tr w:rsidR="000F26B7" w14:paraId="28EEF916"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5488B3C4"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Legal and hazardous-waste compliance</w:t>
            </w:r>
          </w:p>
        </w:tc>
        <w:tc>
          <w:tcPr>
            <w:tcW w:w="2640" w:type="dxa"/>
            <w:tcBorders>
              <w:top w:val="single" w:sz="4" w:space="0" w:color="000000"/>
              <w:left w:val="single" w:sz="4" w:space="0" w:color="000000"/>
              <w:bottom w:val="single" w:sz="4" w:space="0" w:color="000000"/>
              <w:right w:val="single" w:sz="4" w:space="0" w:color="000000"/>
            </w:tcBorders>
          </w:tcPr>
          <w:p w14:paraId="1B655852"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EPD compliance guidance, EPA certified recycler framework, R2 legal </w:t>
            </w:r>
            <w:r>
              <w:rPr>
                <w:rFonts w:ascii="Times New Roman" w:eastAsia="Times New Roman" w:hAnsi="Times New Roman" w:cs="Times New Roman"/>
              </w:rPr>
              <w:t>requirements [5,16,17,19]</w:t>
            </w:r>
          </w:p>
        </w:tc>
        <w:tc>
          <w:tcPr>
            <w:tcW w:w="2640" w:type="dxa"/>
            <w:tcBorders>
              <w:top w:val="single" w:sz="4" w:space="0" w:color="000000"/>
              <w:left w:val="single" w:sz="4" w:space="0" w:color="000000"/>
              <w:bottom w:val="single" w:sz="4" w:space="0" w:color="000000"/>
              <w:right w:val="single" w:sz="4" w:space="0" w:color="000000"/>
            </w:tcBorders>
          </w:tcPr>
          <w:p w14:paraId="19FA0DC5"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72% documented; moderate overall</w:t>
            </w:r>
          </w:p>
        </w:tc>
      </w:tr>
      <w:tr w:rsidR="000F26B7" w14:paraId="6CBC4B3B"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72D69582"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Worker protection and toxic-exposure control</w:t>
            </w:r>
          </w:p>
        </w:tc>
        <w:tc>
          <w:tcPr>
            <w:tcW w:w="2640" w:type="dxa"/>
            <w:tcBorders>
              <w:top w:val="single" w:sz="4" w:space="0" w:color="000000"/>
              <w:left w:val="single" w:sz="4" w:space="0" w:color="000000"/>
              <w:bottom w:val="single" w:sz="4" w:space="0" w:color="000000"/>
              <w:right w:val="single" w:sz="4" w:space="0" w:color="000000"/>
            </w:tcBorders>
          </w:tcPr>
          <w:p w14:paraId="2D32983C"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OSHA/NIOSH and Georgia DPH lead/cadmium guidance [9,10,18]</w:t>
            </w:r>
          </w:p>
        </w:tc>
        <w:tc>
          <w:tcPr>
            <w:tcW w:w="2640" w:type="dxa"/>
            <w:tcBorders>
              <w:top w:val="single" w:sz="4" w:space="0" w:color="000000"/>
              <w:left w:val="single" w:sz="4" w:space="0" w:color="000000"/>
              <w:bottom w:val="single" w:sz="4" w:space="0" w:color="000000"/>
              <w:right w:val="single" w:sz="4" w:space="0" w:color="000000"/>
            </w:tcBorders>
          </w:tcPr>
          <w:p w14:paraId="090700F4"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56% high or moderate; weakest domain</w:t>
            </w:r>
          </w:p>
        </w:tc>
      </w:tr>
      <w:tr w:rsidR="000F26B7" w14:paraId="6C265322"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0E9F184A"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Segregation, tracking, and downstream management</w:t>
            </w:r>
          </w:p>
        </w:tc>
        <w:tc>
          <w:tcPr>
            <w:tcW w:w="2640" w:type="dxa"/>
            <w:tcBorders>
              <w:top w:val="single" w:sz="4" w:space="0" w:color="000000"/>
              <w:left w:val="single" w:sz="4" w:space="0" w:color="000000"/>
              <w:bottom w:val="single" w:sz="4" w:space="0" w:color="000000"/>
              <w:right w:val="single" w:sz="4" w:space="0" w:color="000000"/>
            </w:tcBorders>
          </w:tcPr>
          <w:p w14:paraId="08737A1F"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CRT r</w:t>
            </w:r>
            <w:r>
              <w:rPr>
                <w:rFonts w:ascii="Times New Roman" w:eastAsia="Times New Roman" w:hAnsi="Times New Roman" w:cs="Times New Roman"/>
              </w:rPr>
              <w:t>ule, e-Manifest pathway, R2 tracking/downstream requirements [6,16,17,20]</w:t>
            </w:r>
          </w:p>
        </w:tc>
        <w:tc>
          <w:tcPr>
            <w:tcW w:w="2640" w:type="dxa"/>
            <w:tcBorders>
              <w:top w:val="single" w:sz="4" w:space="0" w:color="000000"/>
              <w:left w:val="single" w:sz="4" w:space="0" w:color="000000"/>
              <w:bottom w:val="single" w:sz="4" w:space="0" w:color="000000"/>
              <w:right w:val="single" w:sz="4" w:space="0" w:color="000000"/>
            </w:tcBorders>
          </w:tcPr>
          <w:p w14:paraId="5120A352"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67% documented chain-of-custody; 50% auditable visibility</w:t>
            </w:r>
          </w:p>
        </w:tc>
      </w:tr>
      <w:tr w:rsidR="000F26B7" w14:paraId="5C73C605"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15503118"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Public-facing collection safeguards</w:t>
            </w:r>
          </w:p>
        </w:tc>
        <w:tc>
          <w:tcPr>
            <w:tcW w:w="2640" w:type="dxa"/>
            <w:tcBorders>
              <w:top w:val="single" w:sz="4" w:space="0" w:color="000000"/>
              <w:left w:val="single" w:sz="4" w:space="0" w:color="000000"/>
              <w:bottom w:val="single" w:sz="4" w:space="0" w:color="000000"/>
              <w:right w:val="single" w:sz="4" w:space="0" w:color="000000"/>
            </w:tcBorders>
          </w:tcPr>
          <w:p w14:paraId="4078355E"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Accepted-item instructions, fee clarity, HHW integration, battery/CRT restrictions [21,</w:t>
            </w:r>
            <w:r>
              <w:rPr>
                <w:rFonts w:ascii="Times New Roman" w:eastAsia="Times New Roman" w:hAnsi="Times New Roman" w:cs="Times New Roman"/>
              </w:rPr>
              <w:t>23-30]</w:t>
            </w:r>
          </w:p>
        </w:tc>
        <w:tc>
          <w:tcPr>
            <w:tcW w:w="2640" w:type="dxa"/>
            <w:tcBorders>
              <w:top w:val="single" w:sz="4" w:space="0" w:color="000000"/>
              <w:left w:val="single" w:sz="4" w:space="0" w:color="000000"/>
              <w:bottom w:val="single" w:sz="4" w:space="0" w:color="000000"/>
              <w:right w:val="single" w:sz="4" w:space="0" w:color="000000"/>
            </w:tcBorders>
          </w:tcPr>
          <w:p w14:paraId="5EA43435"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83% clear guidance; strongest domain</w:t>
            </w:r>
          </w:p>
        </w:tc>
      </w:tr>
    </w:tbl>
    <w:p w14:paraId="608095D1"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composite pattern suggests that formal compliance maturity in Metro Atlanta is likely driven less by basic public awareness materials and more by the extent to which facilities can demonstrate auditable </w:t>
      </w:r>
      <w:r>
        <w:rPr>
          <w:rFonts w:ascii="Times New Roman" w:eastAsia="Times New Roman" w:hAnsi="Times New Roman" w:cs="Times New Roman"/>
        </w:rPr>
        <w:t>environmental health systems, worker safeguards, and documented downstream accountability [16-20,23-30].</w:t>
      </w:r>
    </w:p>
    <w:p w14:paraId="40005143"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3.3. Resource Recovery Outcomes.</w:t>
      </w:r>
      <w:r>
        <w:rPr>
          <w:rFonts w:ascii="Times New Roman" w:eastAsia="Times New Roman" w:hAnsi="Times New Roman" w:cs="Times New Roman"/>
        </w:rPr>
        <w:t xml:space="preserve"> Simulated resource recovery performance also varied by facility/program type. R2-certified private processors showed t</w:t>
      </w:r>
      <w:r>
        <w:rPr>
          <w:rFonts w:ascii="Times New Roman" w:eastAsia="Times New Roman" w:hAnsi="Times New Roman" w:cs="Times New Roman"/>
        </w:rPr>
        <w:t xml:space="preserve">he highest materials recovery rate (mean 79%), the highest reuse/refurbishment share (18%), and the lowest residual disposal share (21%). Permanent public programs achieved a mean recovery rate of 73%, while event-based </w:t>
      </w:r>
      <w:r>
        <w:rPr>
          <w:rFonts w:ascii="Times New Roman" w:eastAsia="Times New Roman" w:hAnsi="Times New Roman" w:cs="Times New Roman"/>
        </w:rPr>
        <w:lastRenderedPageBreak/>
        <w:t>programs averaged 67%, partially ref</w:t>
      </w:r>
      <w:r>
        <w:rPr>
          <w:rFonts w:ascii="Times New Roman" w:eastAsia="Times New Roman" w:hAnsi="Times New Roman" w:cs="Times New Roman"/>
        </w:rPr>
        <w:t>lecting episodic access and higher user inconvenience. Non-certified collectors/brokers performed worst in the simulated dataset, averaging a 61% recovery rate and the lowest traceable reuse share.</w:t>
      </w:r>
    </w:p>
    <w:p w14:paraId="673A451D"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These results are plausible in light of EPA’s emphasis on </w:t>
      </w:r>
      <w:r>
        <w:rPr>
          <w:rFonts w:ascii="Times New Roman" w:eastAsia="Times New Roman" w:hAnsi="Times New Roman" w:cs="Times New Roman"/>
        </w:rPr>
        <w:t xml:space="preserve">recycling through certified recyclers and R2’s reuse-first hierarchy, which prioritizes testing, repair, and materials recovery while requiring stronger tracking and management systems. They also align with the practical reality that year-round collection </w:t>
      </w:r>
      <w:r>
        <w:rPr>
          <w:rFonts w:ascii="Times New Roman" w:eastAsia="Times New Roman" w:hAnsi="Times New Roman" w:cs="Times New Roman"/>
        </w:rPr>
        <w:t xml:space="preserve">pathways are better positioned than occasional events to direct materials into stable downstream channels [4,5,16,17]. </w:t>
      </w:r>
    </w:p>
    <w:p w14:paraId="417A5834"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3.4. Relationship Between Compliance and Resource Recovery.</w:t>
      </w:r>
      <w:r>
        <w:rPr>
          <w:rFonts w:ascii="Times New Roman" w:eastAsia="Times New Roman" w:hAnsi="Times New Roman" w:cs="Times New Roman"/>
        </w:rPr>
        <w:t xml:space="preserve"> In the illustrative model, each 10-point increase in EHCI score was associat</w:t>
      </w:r>
      <w:r>
        <w:rPr>
          <w:rFonts w:ascii="Times New Roman" w:eastAsia="Times New Roman" w:hAnsi="Times New Roman" w:cs="Times New Roman"/>
        </w:rPr>
        <w:t>ed with a 4.6 percentage-point increase in the estimated materials recovery rate after adjustment for county and facility type. High-compliance observations achieved a mean recovery rate of 79%, compared with 61% among low-compliance observations. The same</w:t>
      </w:r>
      <w:r>
        <w:rPr>
          <w:rFonts w:ascii="Times New Roman" w:eastAsia="Times New Roman" w:hAnsi="Times New Roman" w:cs="Times New Roman"/>
        </w:rPr>
        <w:t xml:space="preserve"> pattern was visible for reuse share, which rose from 9% in the low-compliance tier to 18% in the high-compliance tier.</w:t>
      </w:r>
    </w:p>
    <w:p w14:paraId="0D96A799"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This simulated association suggests that environmental health compliance may operate as a systems-quality signal. Facilities/programs wi</w:t>
      </w:r>
      <w:r>
        <w:rPr>
          <w:rFonts w:ascii="Times New Roman" w:eastAsia="Times New Roman" w:hAnsi="Times New Roman" w:cs="Times New Roman"/>
        </w:rPr>
        <w:t>th stronger legal controls, better hazardous-material segregation, and more robust throughput tracking appear better equipped to recover value, minimize leakage to disposal, and manage high-risk streams safely.</w:t>
      </w:r>
    </w:p>
    <w:p w14:paraId="67A850DA"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3.5. Spatial or County-Level Variation Across</w:t>
      </w:r>
      <w:r>
        <w:rPr>
          <w:rFonts w:ascii="Times New Roman" w:eastAsia="Times New Roman" w:hAnsi="Times New Roman" w:cs="Times New Roman"/>
          <w:b/>
          <w:bCs/>
        </w:rPr>
        <w:t xml:space="preserve"> Metro Atlanta.</w:t>
      </w:r>
      <w:r>
        <w:rPr>
          <w:rFonts w:ascii="Times New Roman" w:eastAsia="Times New Roman" w:hAnsi="Times New Roman" w:cs="Times New Roman"/>
        </w:rPr>
        <w:t xml:space="preserve"> County-level results showed a clear gradient. DeKalb and Fulton displayed the strongest simulated combined performance because of formal e-recycling or appointment-based systems supplemented by HHW or partner hard-to-recycle pathways. Cobb </w:t>
      </w:r>
      <w:r>
        <w:rPr>
          <w:rFonts w:ascii="Times New Roman" w:eastAsia="Times New Roman" w:hAnsi="Times New Roman" w:cs="Times New Roman"/>
        </w:rPr>
        <w:t>ranked in the middle because formal access exists but fee barriers and item exclusions reduced continuity and equity of access. Gwinnett scored lower due to reliance on periodic special events, and Clayton scored lowest because official county recycling-ce</w:t>
      </w:r>
      <w:r>
        <w:rPr>
          <w:rFonts w:ascii="Times New Roman" w:eastAsia="Times New Roman" w:hAnsi="Times New Roman" w:cs="Times New Roman"/>
        </w:rPr>
        <w:t xml:space="preserve">nter acceptance lists did not include electronics, leaving HHW events as the most visible formal hazardous-material route [23-30]. </w:t>
      </w:r>
    </w:p>
    <w:p w14:paraId="3F32A4D8"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Table 3. Resource recovery outcomes by county.</w:t>
      </w:r>
    </w:p>
    <w:tbl>
      <w:tblPr>
        <w:tblStyle w:val="a1"/>
        <w:tblW w:w="7920" w:type="dxa"/>
        <w:tblInd w:w="-108" w:type="dxa"/>
        <w:tblLayout w:type="fixed"/>
        <w:tblLook w:val="0020" w:firstRow="1" w:lastRow="0" w:firstColumn="0" w:lastColumn="0" w:noHBand="0" w:noVBand="0"/>
      </w:tblPr>
      <w:tblGrid>
        <w:gridCol w:w="2640"/>
        <w:gridCol w:w="2640"/>
        <w:gridCol w:w="2640"/>
      </w:tblGrid>
      <w:tr w:rsidR="000F26B7" w14:paraId="06C81CE8" w14:textId="77777777" w:rsidTr="000F26B7">
        <w:trPr>
          <w:cnfStyle w:val="100000000000" w:firstRow="1" w:lastRow="0" w:firstColumn="0" w:lastColumn="0" w:oddVBand="0" w:evenVBand="0" w:oddHBand="0" w:evenHBand="0" w:firstRowFirstColumn="0" w:firstRowLastColumn="0" w:lastRowFirstColumn="0" w:lastRowLastColumn="0"/>
          <w:tblHeader/>
        </w:trPr>
        <w:tc>
          <w:tcPr>
            <w:tcW w:w="2640" w:type="dxa"/>
            <w:tcBorders>
              <w:top w:val="single" w:sz="4" w:space="0" w:color="000000"/>
              <w:left w:val="single" w:sz="4" w:space="0" w:color="000000"/>
              <w:bottom w:val="single" w:sz="4" w:space="0" w:color="000000"/>
              <w:right w:val="single" w:sz="4" w:space="0" w:color="000000"/>
            </w:tcBorders>
          </w:tcPr>
          <w:p w14:paraId="14EAD0A8"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County</w:t>
            </w:r>
          </w:p>
        </w:tc>
        <w:tc>
          <w:tcPr>
            <w:tcW w:w="2640" w:type="dxa"/>
            <w:tcBorders>
              <w:top w:val="single" w:sz="4" w:space="0" w:color="000000"/>
              <w:left w:val="single" w:sz="4" w:space="0" w:color="000000"/>
              <w:bottom w:val="single" w:sz="4" w:space="0" w:color="000000"/>
              <w:right w:val="single" w:sz="4" w:space="0" w:color="000000"/>
            </w:tcBorders>
          </w:tcPr>
          <w:p w14:paraId="0F537CE0"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Public service profile</w:t>
            </w:r>
          </w:p>
        </w:tc>
        <w:tc>
          <w:tcPr>
            <w:tcW w:w="2640" w:type="dxa"/>
            <w:tcBorders>
              <w:top w:val="single" w:sz="4" w:space="0" w:color="000000"/>
              <w:left w:val="single" w:sz="4" w:space="0" w:color="000000"/>
              <w:bottom w:val="single" w:sz="4" w:space="0" w:color="000000"/>
              <w:right w:val="single" w:sz="4" w:space="0" w:color="000000"/>
            </w:tcBorders>
          </w:tcPr>
          <w:p w14:paraId="10EA4790"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Illustrative county outcome</w:t>
            </w:r>
          </w:p>
        </w:tc>
      </w:tr>
      <w:tr w:rsidR="000F26B7" w14:paraId="564C7E80"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4609AF98"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Fulton</w:t>
            </w:r>
          </w:p>
        </w:tc>
        <w:tc>
          <w:tcPr>
            <w:tcW w:w="2640" w:type="dxa"/>
            <w:tcBorders>
              <w:top w:val="single" w:sz="4" w:space="0" w:color="000000"/>
              <w:left w:val="single" w:sz="4" w:space="0" w:color="000000"/>
              <w:bottom w:val="single" w:sz="4" w:space="0" w:color="000000"/>
              <w:right w:val="single" w:sz="4" w:space="0" w:color="000000"/>
            </w:tcBorders>
          </w:tcPr>
          <w:p w14:paraId="7CA246B6"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Appointment-based e-waste site, HHW events, partner hard-to-recycle sites [23,27,28]</w:t>
            </w:r>
          </w:p>
        </w:tc>
        <w:tc>
          <w:tcPr>
            <w:tcW w:w="2640" w:type="dxa"/>
            <w:tcBorders>
              <w:top w:val="single" w:sz="4" w:space="0" w:color="000000"/>
              <w:left w:val="single" w:sz="4" w:space="0" w:color="000000"/>
              <w:bottom w:val="single" w:sz="4" w:space="0" w:color="000000"/>
              <w:right w:val="single" w:sz="4" w:space="0" w:color="000000"/>
            </w:tcBorders>
          </w:tcPr>
          <w:p w14:paraId="787FB4EA"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EHCI 75/100; recovery 74%; moderate-high access</w:t>
            </w:r>
          </w:p>
        </w:tc>
      </w:tr>
      <w:tr w:rsidR="000F26B7" w14:paraId="62DD5BD1"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4F9DDA54"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DeKalb</w:t>
            </w:r>
          </w:p>
        </w:tc>
        <w:tc>
          <w:tcPr>
            <w:tcW w:w="2640" w:type="dxa"/>
            <w:tcBorders>
              <w:top w:val="single" w:sz="4" w:space="0" w:color="000000"/>
              <w:left w:val="single" w:sz="4" w:space="0" w:color="000000"/>
              <w:bottom w:val="single" w:sz="4" w:space="0" w:color="000000"/>
              <w:right w:val="single" w:sz="4" w:space="0" w:color="000000"/>
            </w:tcBorders>
          </w:tcPr>
          <w:p w14:paraId="75CD9C95"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Permanent e-recycling drop-off at Seminole Road Landfill [24]</w:t>
            </w:r>
          </w:p>
        </w:tc>
        <w:tc>
          <w:tcPr>
            <w:tcW w:w="2640" w:type="dxa"/>
            <w:tcBorders>
              <w:top w:val="single" w:sz="4" w:space="0" w:color="000000"/>
              <w:left w:val="single" w:sz="4" w:space="0" w:color="000000"/>
              <w:bottom w:val="single" w:sz="4" w:space="0" w:color="000000"/>
              <w:right w:val="single" w:sz="4" w:space="0" w:color="000000"/>
            </w:tcBorders>
          </w:tcPr>
          <w:p w14:paraId="6BFCF8B0"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EHCI 77/100; recovery 76%; highest access</w:t>
            </w:r>
          </w:p>
        </w:tc>
      </w:tr>
      <w:tr w:rsidR="000F26B7" w14:paraId="22C82EE3"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61183FB5"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Cobb</w:t>
            </w:r>
          </w:p>
        </w:tc>
        <w:tc>
          <w:tcPr>
            <w:tcW w:w="2640" w:type="dxa"/>
            <w:tcBorders>
              <w:top w:val="single" w:sz="4" w:space="0" w:color="000000"/>
              <w:left w:val="single" w:sz="4" w:space="0" w:color="000000"/>
              <w:bottom w:val="single" w:sz="4" w:space="0" w:color="000000"/>
              <w:right w:val="single" w:sz="4" w:space="0" w:color="000000"/>
            </w:tcBorders>
          </w:tcPr>
          <w:p w14:paraId="7A50FA56"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Trans</w:t>
            </w:r>
            <w:r>
              <w:rPr>
                <w:rFonts w:ascii="Times New Roman" w:eastAsia="Times New Roman" w:hAnsi="Times New Roman" w:cs="Times New Roman"/>
              </w:rPr>
              <w:t>fer-station electronics drop-off with fees and TV restrictions [25]</w:t>
            </w:r>
          </w:p>
        </w:tc>
        <w:tc>
          <w:tcPr>
            <w:tcW w:w="2640" w:type="dxa"/>
            <w:tcBorders>
              <w:top w:val="single" w:sz="4" w:space="0" w:color="000000"/>
              <w:left w:val="single" w:sz="4" w:space="0" w:color="000000"/>
              <w:bottom w:val="single" w:sz="4" w:space="0" w:color="000000"/>
              <w:right w:val="single" w:sz="4" w:space="0" w:color="000000"/>
            </w:tcBorders>
          </w:tcPr>
          <w:p w14:paraId="0FA0B18D"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EHCI 69/100; recovery 71%; moderate access</w:t>
            </w:r>
          </w:p>
        </w:tc>
      </w:tr>
      <w:tr w:rsidR="000F26B7" w14:paraId="71BDC7A5"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74BB8AEF"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Gwinnett</w:t>
            </w:r>
          </w:p>
        </w:tc>
        <w:tc>
          <w:tcPr>
            <w:tcW w:w="2640" w:type="dxa"/>
            <w:tcBorders>
              <w:top w:val="single" w:sz="4" w:space="0" w:color="000000"/>
              <w:left w:val="single" w:sz="4" w:space="0" w:color="000000"/>
              <w:bottom w:val="single" w:sz="4" w:space="0" w:color="000000"/>
              <w:right w:val="single" w:sz="4" w:space="0" w:color="000000"/>
            </w:tcBorders>
          </w:tcPr>
          <w:p w14:paraId="59CDF62C"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Special event model for electronics and hard-to-recycle materials [26]</w:t>
            </w:r>
          </w:p>
        </w:tc>
        <w:tc>
          <w:tcPr>
            <w:tcW w:w="2640" w:type="dxa"/>
            <w:tcBorders>
              <w:top w:val="single" w:sz="4" w:space="0" w:color="000000"/>
              <w:left w:val="single" w:sz="4" w:space="0" w:color="000000"/>
              <w:bottom w:val="single" w:sz="4" w:space="0" w:color="000000"/>
              <w:right w:val="single" w:sz="4" w:space="0" w:color="000000"/>
            </w:tcBorders>
          </w:tcPr>
          <w:p w14:paraId="4D69DFDC"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EHCI 62/100; recovery 68%; lower continuity</w:t>
            </w:r>
          </w:p>
        </w:tc>
      </w:tr>
      <w:tr w:rsidR="000F26B7" w14:paraId="051CA75E" w14:textId="77777777" w:rsidTr="000F26B7">
        <w:tc>
          <w:tcPr>
            <w:tcW w:w="2640" w:type="dxa"/>
            <w:tcBorders>
              <w:top w:val="single" w:sz="4" w:space="0" w:color="000000"/>
              <w:left w:val="single" w:sz="4" w:space="0" w:color="000000"/>
              <w:bottom w:val="single" w:sz="4" w:space="0" w:color="000000"/>
              <w:right w:val="single" w:sz="4" w:space="0" w:color="000000"/>
            </w:tcBorders>
          </w:tcPr>
          <w:p w14:paraId="18A10525"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Clayton</w:t>
            </w:r>
          </w:p>
        </w:tc>
        <w:tc>
          <w:tcPr>
            <w:tcW w:w="2640" w:type="dxa"/>
            <w:tcBorders>
              <w:top w:val="single" w:sz="4" w:space="0" w:color="000000"/>
              <w:left w:val="single" w:sz="4" w:space="0" w:color="000000"/>
              <w:bottom w:val="single" w:sz="4" w:space="0" w:color="000000"/>
              <w:right w:val="single" w:sz="4" w:space="0" w:color="000000"/>
            </w:tcBorders>
          </w:tcPr>
          <w:p w14:paraId="744F2E2F"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County </w:t>
            </w:r>
            <w:r>
              <w:rPr>
                <w:rFonts w:ascii="Times New Roman" w:eastAsia="Times New Roman" w:hAnsi="Times New Roman" w:cs="Times New Roman"/>
              </w:rPr>
              <w:t>recycling center excludes electronics; annual HHW route visible [29,30]</w:t>
            </w:r>
          </w:p>
        </w:tc>
        <w:tc>
          <w:tcPr>
            <w:tcW w:w="2640" w:type="dxa"/>
            <w:tcBorders>
              <w:top w:val="single" w:sz="4" w:space="0" w:color="000000"/>
              <w:left w:val="single" w:sz="4" w:space="0" w:color="000000"/>
              <w:bottom w:val="single" w:sz="4" w:space="0" w:color="000000"/>
              <w:right w:val="single" w:sz="4" w:space="0" w:color="000000"/>
            </w:tcBorders>
          </w:tcPr>
          <w:p w14:paraId="1CABC7CC"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EHCI 55/100; recovery 63%; lowest formal access</w:t>
            </w:r>
          </w:p>
        </w:tc>
      </w:tr>
    </w:tbl>
    <w:p w14:paraId="374D74DA"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i/>
          <w:iCs/>
        </w:rPr>
        <w:t>Table note:</w:t>
      </w:r>
      <w:r>
        <w:rPr>
          <w:rFonts w:ascii="Times New Roman" w:eastAsia="Times New Roman" w:hAnsi="Times New Roman" w:cs="Times New Roman"/>
        </w:rPr>
        <w:t xml:space="preserve"> County profiles were constructed from official county/city service descriptions and then translated into simulated performa</w:t>
      </w:r>
      <w:r>
        <w:rPr>
          <w:rFonts w:ascii="Times New Roman" w:eastAsia="Times New Roman" w:hAnsi="Times New Roman" w:cs="Times New Roman"/>
        </w:rPr>
        <w:t xml:space="preserve">nce estimates for manuscript development. </w:t>
      </w:r>
    </w:p>
    <w:p w14:paraId="31888F69"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i/>
          <w:iCs/>
        </w:rPr>
      </w:pPr>
      <w:r>
        <w:rPr>
          <w:rFonts w:ascii="Times New Roman" w:eastAsia="Times New Roman" w:hAnsi="Times New Roman" w:cs="Times New Roman"/>
          <w:i/>
          <w:iCs/>
        </w:rPr>
        <w:t>Figure 2. Metro Atlanta county-level comparison of compliance and resource recovery performance.</w:t>
      </w:r>
      <w:r>
        <w:rPr>
          <w:rFonts w:ascii="Times New Roman" w:eastAsia="Times New Roman" w:hAnsi="Times New Roman" w:cs="Times New Roman"/>
        </w:rPr>
        <w:br/>
      </w:r>
    </w:p>
    <w:p w14:paraId="5EF27C2B"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i/>
          <w:iCs/>
        </w:rPr>
      </w:pPr>
      <w:r>
        <w:rPr>
          <w:rFonts w:ascii="Times New Roman" w:eastAsia="Times New Roman" w:hAnsi="Times New Roman" w:cs="Times New Roman"/>
          <w:i/>
          <w:iCs/>
          <w:noProof/>
        </w:rPr>
        <w:lastRenderedPageBreak/>
        <w:drawing>
          <wp:inline distT="114300" distB="114300" distL="114300" distR="114300" wp14:anchorId="3D124766" wp14:editId="0149DAB7">
            <wp:extent cx="5943600" cy="2908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2908300"/>
                    </a:xfrm>
                    <a:prstGeom prst="rect">
                      <a:avLst/>
                    </a:prstGeom>
                    <a:ln/>
                  </pic:spPr>
                </pic:pic>
              </a:graphicData>
            </a:graphic>
          </wp:inline>
        </w:drawing>
      </w:r>
    </w:p>
    <w:p w14:paraId="17927356"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3.6. Summary of Key Findings.</w:t>
      </w:r>
      <w:r>
        <w:rPr>
          <w:rFonts w:ascii="Times New Roman" w:eastAsia="Times New Roman" w:hAnsi="Times New Roman" w:cs="Times New Roman"/>
        </w:rPr>
        <w:t xml:space="preserve"> Overall, the simulated Metro Atlanta analysis indicates that environmental health compliance and resource recovery outcomes are positively aligned. Counties and facility types with stronger formalization, certification visibility, or more continuous colle</w:t>
      </w:r>
      <w:r>
        <w:rPr>
          <w:rFonts w:ascii="Times New Roman" w:eastAsia="Times New Roman" w:hAnsi="Times New Roman" w:cs="Times New Roman"/>
        </w:rPr>
        <w:t>ction access achieved better modeled outcomes for safe handling and material recovery. Conversely, fragmented service models, fee barriers, and weak evidence of downstream documentation were associated with lower performance and potentially greater public-</w:t>
      </w:r>
      <w:r>
        <w:rPr>
          <w:rFonts w:ascii="Times New Roman" w:eastAsia="Times New Roman" w:hAnsi="Times New Roman" w:cs="Times New Roman"/>
        </w:rPr>
        <w:t>health vulnerability at the point of discard.</w:t>
      </w:r>
    </w:p>
    <w:p w14:paraId="685F6B6D" w14:textId="77777777" w:rsidR="000F26B7" w:rsidRDefault="001411D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Discussion</w:t>
      </w:r>
    </w:p>
    <w:p w14:paraId="2FA935DA"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study’s central finding is that environmental health compliance appears to function as both a protective health mechanism and a circular-economy enabler in urban e-waste systems. In the Metro </w:t>
      </w:r>
      <w:r>
        <w:rPr>
          <w:rFonts w:ascii="Times New Roman" w:eastAsia="Times New Roman" w:hAnsi="Times New Roman" w:cs="Times New Roman"/>
        </w:rPr>
        <w:t>Atlanta scenario developed here, higher compliance scores coincided with higher materials recovery, higher reuse shares, and lower residual disposal. This is conceptually consistent with EPA’s view that responsible electronics recycling reduces environment</w:t>
      </w:r>
      <w:r>
        <w:rPr>
          <w:rFonts w:ascii="Times New Roman" w:eastAsia="Times New Roman" w:hAnsi="Times New Roman" w:cs="Times New Roman"/>
        </w:rPr>
        <w:t>al and human health impacts while conserving valuable materials, and with R2’s requirement to prioritize reuse and then maximize materials recovery under documented environmental health and safety controls [4,7,16,17].</w:t>
      </w:r>
    </w:p>
    <w:p w14:paraId="0983AC56"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environmental-health interpretati</w:t>
      </w:r>
      <w:r>
        <w:rPr>
          <w:rFonts w:ascii="Times New Roman" w:eastAsia="Times New Roman" w:hAnsi="Times New Roman" w:cs="Times New Roman"/>
        </w:rPr>
        <w:t xml:space="preserve">on of these results is especially important. NIOSH has repeatedly shown that e-scrap recycling can expose workers to lead, cadmium, chromium, noise, </w:t>
      </w:r>
      <w:r>
        <w:rPr>
          <w:rFonts w:ascii="Times New Roman" w:eastAsia="Times New Roman" w:hAnsi="Times New Roman" w:cs="Times New Roman"/>
        </w:rPr>
        <w:lastRenderedPageBreak/>
        <w:t>and contamination beyond direct processing areas, while WHO emphasizes the broader risks posed by toxicants</w:t>
      </w:r>
      <w:r>
        <w:rPr>
          <w:rFonts w:ascii="Times New Roman" w:eastAsia="Times New Roman" w:hAnsi="Times New Roman" w:cs="Times New Roman"/>
        </w:rPr>
        <w:t xml:space="preserve"> in e-waste and by unsafe recycling conditions. The implication is that compliance should not be framed only as law-following; it is an exposure-prevention strategy that directly affects workers, families, nearby communities, and downstream users of recove</w:t>
      </w:r>
      <w:r>
        <w:rPr>
          <w:rFonts w:ascii="Times New Roman" w:eastAsia="Times New Roman" w:hAnsi="Times New Roman" w:cs="Times New Roman"/>
        </w:rPr>
        <w:t xml:space="preserve">red materials [2,3,9,10,18]. </w:t>
      </w:r>
    </w:p>
    <w:p w14:paraId="1B77254D"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simulated association between compliance and recovery also agrees with prior evidence on certification systems. EPA’s implementation study concluded that R2 and e-Stewards generally improved management order, regulatory un</w:t>
      </w:r>
      <w:r>
        <w:rPr>
          <w:rFonts w:ascii="Times New Roman" w:eastAsia="Times New Roman" w:hAnsi="Times New Roman" w:cs="Times New Roman"/>
        </w:rPr>
        <w:t>derstanding, and awareness of environmental, health, and safety risks, even while identifying continued needs for stronger knowledge of hazardous substances and federal/state legal requirements. That conclusion maps closely onto the present study’s pattern</w:t>
      </w:r>
      <w:r>
        <w:rPr>
          <w:rFonts w:ascii="Times New Roman" w:eastAsia="Times New Roman" w:hAnsi="Times New Roman" w:cs="Times New Roman"/>
        </w:rPr>
        <w:t xml:space="preserve">, where the strongest-performing observations were those assumed to operate within certification-style management systems and auditable downstream controls [5,8,16,17]. </w:t>
      </w:r>
    </w:p>
    <w:p w14:paraId="44DECE71"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circular-economy implications are equally clear. Global and review literature cont</w:t>
      </w:r>
      <w:r>
        <w:rPr>
          <w:rFonts w:ascii="Times New Roman" w:eastAsia="Times New Roman" w:hAnsi="Times New Roman" w:cs="Times New Roman"/>
        </w:rPr>
        <w:t>inues to argue that electronics must be managed through reuse, repair, and higher-value recovery rather than disposal. The 2024 Global E-waste Monitor documented continued underperformance in formal collection and recycling, while recent review work has em</w:t>
      </w:r>
      <w:r>
        <w:rPr>
          <w:rFonts w:ascii="Times New Roman" w:eastAsia="Times New Roman" w:hAnsi="Times New Roman" w:cs="Times New Roman"/>
        </w:rPr>
        <w:t>phasized the need for policy architectures and life-cycle thinking that connect product longevity, collection access, and end-of-life recovery [1,14,15]. The Metro Atlanta findings, even as scenario-based estimates, support this perspective by showing that</w:t>
      </w:r>
      <w:r>
        <w:rPr>
          <w:rFonts w:ascii="Times New Roman" w:eastAsia="Times New Roman" w:hAnsi="Times New Roman" w:cs="Times New Roman"/>
        </w:rPr>
        <w:t xml:space="preserve"> recovery performance improves when governance and operational safeguards become stronger and more continuous [1,14,15]. </w:t>
      </w:r>
    </w:p>
    <w:p w14:paraId="32A2AC3A"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At the county level, the study underscores the policy significance of service continuity. DeKalb and Fulton performed best in the simu</w:t>
      </w:r>
      <w:r>
        <w:rPr>
          <w:rFonts w:ascii="Times New Roman" w:eastAsia="Times New Roman" w:hAnsi="Times New Roman" w:cs="Times New Roman"/>
        </w:rPr>
        <w:t>lated results because they offer formalized access points or partner routes that appear easier for residents to use on an ongoing basis. Gwinnett and Clayton performed less well because formal electronics pathways were more episodic or incomplete. This doe</w:t>
      </w:r>
      <w:r>
        <w:rPr>
          <w:rFonts w:ascii="Times New Roman" w:eastAsia="Times New Roman" w:hAnsi="Times New Roman" w:cs="Times New Roman"/>
        </w:rPr>
        <w:t>s not imply that those counties lack institutional capacity; rather, it suggests that public access architecture is itself a determinant of both exposure prevention and resource recovery. Where households cannot conveniently separate electronics from gener</w:t>
      </w:r>
      <w:r>
        <w:rPr>
          <w:rFonts w:ascii="Times New Roman" w:eastAsia="Times New Roman" w:hAnsi="Times New Roman" w:cs="Times New Roman"/>
        </w:rPr>
        <w:t xml:space="preserve">al waste, the probability of stockpiling, improper disposal, informal handoff, or missed recovery rises [23-30]. </w:t>
      </w:r>
    </w:p>
    <w:p w14:paraId="25B60B7B"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The results also matter for equity. Metro Atlanta’s five-county study area includes nearly four million residents [31-35], but the burden of n</w:t>
      </w:r>
      <w:r>
        <w:rPr>
          <w:rFonts w:ascii="Times New Roman" w:eastAsia="Times New Roman" w:hAnsi="Times New Roman" w:cs="Times New Roman"/>
        </w:rPr>
        <w:t>avigating fee structures, appointment systems, travel distance, or event timing is unlikely to fall evenly across the population. Public-health protection in e-waste management therefore depends not only on the existence of a compliant downstream processor</w:t>
      </w:r>
      <w:r>
        <w:rPr>
          <w:rFonts w:ascii="Times New Roman" w:eastAsia="Times New Roman" w:hAnsi="Times New Roman" w:cs="Times New Roman"/>
        </w:rPr>
        <w:t>, but also on whether residents can reach formal pathways reliably and affordably. This is one reason Georgia’s Recycling and Waste Diversion Grant framework is relevant: grant-supported expansion of collection and diversion infrastructure could improve bo</w:t>
      </w:r>
      <w:r>
        <w:rPr>
          <w:rFonts w:ascii="Times New Roman" w:eastAsia="Times New Roman" w:hAnsi="Times New Roman" w:cs="Times New Roman"/>
        </w:rPr>
        <w:t xml:space="preserve">th safety and circular recovery, particularly in counties with weaker formal electronics access [22]. </w:t>
      </w:r>
    </w:p>
    <w:p w14:paraId="53E3426D"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Implementation implications for Metro Atlanta.</w:t>
      </w:r>
      <w:r>
        <w:rPr>
          <w:rFonts w:ascii="Times New Roman" w:eastAsia="Times New Roman" w:hAnsi="Times New Roman" w:cs="Times New Roman"/>
        </w:rPr>
        <w:t xml:space="preserve"> First, local governments should shift from predominantly episodic collection models toward year-round acce</w:t>
      </w:r>
      <w:r>
        <w:rPr>
          <w:rFonts w:ascii="Times New Roman" w:eastAsia="Times New Roman" w:hAnsi="Times New Roman" w:cs="Times New Roman"/>
        </w:rPr>
        <w:t>ss wherever feasible, especially in counties that currently rely on special-event collection [23-30]. Second, county and municipal contracts should preferentially require certified downstream recyclers and explicit battery/CRT handling protocols, because E</w:t>
      </w:r>
      <w:r>
        <w:rPr>
          <w:rFonts w:ascii="Times New Roman" w:eastAsia="Times New Roman" w:hAnsi="Times New Roman" w:cs="Times New Roman"/>
        </w:rPr>
        <w:t>PA and R2 both treat certification and auditable controls as mechanisms for safer management [4-8,16,17]. Third, Georgia EPD’s e-Manifest environment should be used more strategically to strengthen transparency where regulated hazardous streams are involve</w:t>
      </w:r>
      <w:r>
        <w:rPr>
          <w:rFonts w:ascii="Times New Roman" w:eastAsia="Times New Roman" w:hAnsi="Times New Roman" w:cs="Times New Roman"/>
        </w:rPr>
        <w:t>d [20]. Fourth, county communications should standardize public instructions on accepted items, fees, data security, batteries, and hazardous components to reduce contamination and mis-sorting [23-30]. Finally, metropolitan coordination could help equalize</w:t>
      </w:r>
      <w:r>
        <w:rPr>
          <w:rFonts w:ascii="Times New Roman" w:eastAsia="Times New Roman" w:hAnsi="Times New Roman" w:cs="Times New Roman"/>
        </w:rPr>
        <w:t xml:space="preserve"> service coverage across county boundaries rather than leaving residents dependent on uneven local arrangements [23-30]. </w:t>
      </w:r>
    </w:p>
    <w:p w14:paraId="50783A25" w14:textId="77777777" w:rsidR="000F26B7" w:rsidRDefault="001411D7">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Conclusions and Limitations</w:t>
      </w:r>
    </w:p>
    <w:p w14:paraId="2F5B8285" w14:textId="77777777" w:rsidR="000F26B7" w:rsidRDefault="001411D7">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Conclusions</w:t>
      </w:r>
    </w:p>
    <w:p w14:paraId="64AB036D"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This study developed and applied an original urban environmental-health framework for analyzin</w:t>
      </w:r>
      <w:r>
        <w:rPr>
          <w:rFonts w:ascii="Times New Roman" w:eastAsia="Times New Roman" w:hAnsi="Times New Roman" w:cs="Times New Roman"/>
        </w:rPr>
        <w:t>g e-waste management in Metro Atlanta. Using a cross-sectional mixed-methods structure and simulated study data for manuscript development, it showed that stronger environmental health compliance is associated with better modeled resource recovery outcomes</w:t>
      </w:r>
      <w:r>
        <w:rPr>
          <w:rFonts w:ascii="Times New Roman" w:eastAsia="Times New Roman" w:hAnsi="Times New Roman" w:cs="Times New Roman"/>
        </w:rPr>
        <w:t>, including higher recycling efficiency, greater reuse share, and lower residual disposal.</w:t>
      </w:r>
    </w:p>
    <w:p w14:paraId="0FAF6802"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findings reinforce a broader public-health principle: safe e-waste management depends on more than collection volume. It requires regulatory literacy, formal tra</w:t>
      </w:r>
      <w:r>
        <w:rPr>
          <w:rFonts w:ascii="Times New Roman" w:eastAsia="Times New Roman" w:hAnsi="Times New Roman" w:cs="Times New Roman"/>
        </w:rPr>
        <w:t xml:space="preserve">cking, toxic-exposure </w:t>
      </w:r>
      <w:r>
        <w:rPr>
          <w:rFonts w:ascii="Times New Roman" w:eastAsia="Times New Roman" w:hAnsi="Times New Roman" w:cs="Times New Roman"/>
        </w:rPr>
        <w:lastRenderedPageBreak/>
        <w:t xml:space="preserve">controls, downstream accountability, and accessible local collection pathways. Where those elements are stronger, hazardous-exposure risks are more likely to be reduced and circular-economy benefits are more likely to be realized. </w:t>
      </w:r>
    </w:p>
    <w:p w14:paraId="5735CE6C"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Fo</w:t>
      </w:r>
      <w:r>
        <w:rPr>
          <w:rFonts w:ascii="Times New Roman" w:eastAsia="Times New Roman" w:hAnsi="Times New Roman" w:cs="Times New Roman"/>
        </w:rPr>
        <w:t>r Metro Atlanta, the comparative county pattern suggests that permanent and clearly governed service models outperform fragmented or periodic systems. This finding has direct implications for local governments, recyclers, public health officials, environme</w:t>
      </w:r>
      <w:r>
        <w:rPr>
          <w:rFonts w:ascii="Times New Roman" w:eastAsia="Times New Roman" w:hAnsi="Times New Roman" w:cs="Times New Roman"/>
        </w:rPr>
        <w:t>ntal regulators, and communities seeking to reduce landfill burden, prevent hazardous exposure, and improve urban resource recovery. As a manuscript framework, the study contributes a publishable structure and an analytically coherent model for future fiel</w:t>
      </w:r>
      <w:r>
        <w:rPr>
          <w:rFonts w:ascii="Times New Roman" w:eastAsia="Times New Roman" w:hAnsi="Times New Roman" w:cs="Times New Roman"/>
        </w:rPr>
        <w:t>d-based environmental health research on e-waste in U.S. metropolitan regions.</w:t>
      </w:r>
    </w:p>
    <w:p w14:paraId="463CD9D4" w14:textId="77777777" w:rsidR="000F26B7" w:rsidRDefault="001411D7">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Limitations</w:t>
      </w:r>
    </w:p>
    <w:p w14:paraId="277D76A1"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This manuscript has several important limitations. First, the analytic design is cross-sectional and cannot establish causality. Second, the facility-level quantitat</w:t>
      </w:r>
      <w:r>
        <w:rPr>
          <w:rFonts w:ascii="Times New Roman" w:eastAsia="Times New Roman" w:hAnsi="Times New Roman" w:cs="Times New Roman"/>
        </w:rPr>
        <w:t>ive values are simulated study data for manuscript development rather than observed operational records. Third, some public-facing county and facility sources provide clearer information on accepted items and access conditions than on worker controls, audi</w:t>
      </w:r>
      <w:r>
        <w:rPr>
          <w:rFonts w:ascii="Times New Roman" w:eastAsia="Times New Roman" w:hAnsi="Times New Roman" w:cs="Times New Roman"/>
        </w:rPr>
        <w:t xml:space="preserve">ts, manifests, or downstream processing, which may bias compliance scoring toward what is publicly disclosed. Fourth, the findings are context-specific to the five-county Metro Atlanta core and should not be generalized automatically to the entire Atlanta </w:t>
      </w:r>
      <w:r>
        <w:rPr>
          <w:rFonts w:ascii="Times New Roman" w:eastAsia="Times New Roman" w:hAnsi="Times New Roman" w:cs="Times New Roman"/>
        </w:rPr>
        <w:t xml:space="preserve">metropolitan statistical area or to other U.S. regions. Fifth, the absence of primary field interviews, inspections, and measured throughput data limits external validity. A future longitudinal study using audited facility data, worker/manager interviews, </w:t>
      </w:r>
      <w:r>
        <w:rPr>
          <w:rFonts w:ascii="Times New Roman" w:eastAsia="Times New Roman" w:hAnsi="Times New Roman" w:cs="Times New Roman"/>
        </w:rPr>
        <w:t>and geospatial access modeling would provide stronger empirical support.</w:t>
      </w:r>
    </w:p>
    <w:p w14:paraId="6F419FBF" w14:textId="77777777" w:rsidR="000F26B7" w:rsidRDefault="001411D7">
      <w:pPr>
        <w:pStyle w:val="Heading3"/>
        <w:spacing w:line="360" w:lineRule="auto"/>
        <w:jc w:val="both"/>
        <w:rPr>
          <w:rFonts w:ascii="Times New Roman" w:eastAsia="Times New Roman" w:hAnsi="Times New Roman" w:cs="Times New Roman"/>
          <w:color w:val="000000"/>
        </w:rPr>
      </w:pPr>
      <w:bookmarkStart w:id="1" w:name="_GoBack"/>
      <w:bookmarkEnd w:id="1"/>
      <w:r>
        <w:rPr>
          <w:rFonts w:ascii="Times New Roman" w:eastAsia="Times New Roman" w:hAnsi="Times New Roman" w:cs="Times New Roman"/>
          <w:color w:val="000000"/>
        </w:rPr>
        <w:t>Informed Consent Statement</w:t>
      </w:r>
    </w:p>
    <w:p w14:paraId="439A5C12"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Not applicable.</w:t>
      </w:r>
    </w:p>
    <w:p w14:paraId="13CAF7C8" w14:textId="77777777" w:rsidR="000F26B7" w:rsidRDefault="001411D7">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Data Availability Statement</w:t>
      </w:r>
    </w:p>
    <w:p w14:paraId="6C9073F1"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public-source corpu</w:t>
      </w:r>
      <w:r>
        <w:rPr>
          <w:rFonts w:ascii="Times New Roman" w:eastAsia="Times New Roman" w:hAnsi="Times New Roman" w:cs="Times New Roman"/>
        </w:rPr>
        <w:t>s used to inform this manuscript is cited throughout [1-35]. The simulated study framework, coding logic, and illustrative analytical estimates used for manuscript development are available from the corresponding author on reasonable request.</w:t>
      </w:r>
    </w:p>
    <w:p w14:paraId="7CBCDEE8" w14:textId="77777777" w:rsidR="000F26B7" w:rsidRDefault="001411D7">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Conflicts of </w:t>
      </w:r>
      <w:r>
        <w:rPr>
          <w:rFonts w:ascii="Times New Roman" w:eastAsia="Times New Roman" w:hAnsi="Times New Roman" w:cs="Times New Roman"/>
          <w:color w:val="000000"/>
        </w:rPr>
        <w:t>Interest</w:t>
      </w:r>
    </w:p>
    <w:p w14:paraId="74C05BF2" w14:textId="77777777" w:rsidR="000F26B7" w:rsidRDefault="001411D7">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rPr>
        <w:t>The authors declare no conflict of interest.</w:t>
      </w:r>
    </w:p>
    <w:p w14:paraId="129441E3" w14:textId="77777777" w:rsidR="000F26B7" w:rsidRDefault="001411D7">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Abbreviations</w:t>
      </w:r>
    </w:p>
    <w:tbl>
      <w:tblPr>
        <w:tblStyle w:val="a2"/>
        <w:tblW w:w="7920" w:type="dxa"/>
        <w:tblInd w:w="-108" w:type="dxa"/>
        <w:tblLayout w:type="fixed"/>
        <w:tblLook w:val="0020" w:firstRow="1" w:lastRow="0" w:firstColumn="0" w:lastColumn="0" w:noHBand="0" w:noVBand="0"/>
      </w:tblPr>
      <w:tblGrid>
        <w:gridCol w:w="3960"/>
        <w:gridCol w:w="3960"/>
      </w:tblGrid>
      <w:tr w:rsidR="000F26B7" w14:paraId="7572A670" w14:textId="77777777" w:rsidTr="000F26B7">
        <w:trPr>
          <w:cnfStyle w:val="100000000000" w:firstRow="1" w:lastRow="0" w:firstColumn="0" w:lastColumn="0" w:oddVBand="0" w:evenVBand="0" w:oddHBand="0" w:evenHBand="0" w:firstRowFirstColumn="0" w:firstRowLastColumn="0" w:lastRowFirstColumn="0" w:lastRowLastColumn="0"/>
          <w:tblHeader/>
        </w:trPr>
        <w:tc>
          <w:tcPr>
            <w:tcW w:w="3960" w:type="dxa"/>
          </w:tcPr>
          <w:p w14:paraId="5CB05564"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Abbreviation</w:t>
            </w:r>
          </w:p>
        </w:tc>
        <w:tc>
          <w:tcPr>
            <w:tcW w:w="3960" w:type="dxa"/>
          </w:tcPr>
          <w:p w14:paraId="73C8B272"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Meaning</w:t>
            </w:r>
          </w:p>
        </w:tc>
      </w:tr>
      <w:tr w:rsidR="000F26B7" w14:paraId="38786F52" w14:textId="77777777" w:rsidTr="000F26B7">
        <w:tc>
          <w:tcPr>
            <w:tcW w:w="3960" w:type="dxa"/>
          </w:tcPr>
          <w:p w14:paraId="4A680D99"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EPR</w:t>
            </w:r>
          </w:p>
        </w:tc>
        <w:tc>
          <w:tcPr>
            <w:tcW w:w="3960" w:type="dxa"/>
          </w:tcPr>
          <w:p w14:paraId="14DE8A9D"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Extended Producer Responsibility</w:t>
            </w:r>
          </w:p>
        </w:tc>
      </w:tr>
      <w:tr w:rsidR="000F26B7" w14:paraId="1899050E" w14:textId="77777777" w:rsidTr="000F26B7">
        <w:tc>
          <w:tcPr>
            <w:tcW w:w="3960" w:type="dxa"/>
          </w:tcPr>
          <w:p w14:paraId="7F535ECC"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EPA</w:t>
            </w:r>
          </w:p>
        </w:tc>
        <w:tc>
          <w:tcPr>
            <w:tcW w:w="3960" w:type="dxa"/>
          </w:tcPr>
          <w:p w14:paraId="3C68B949"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Environmental Protection Agency</w:t>
            </w:r>
          </w:p>
        </w:tc>
      </w:tr>
      <w:tr w:rsidR="000F26B7" w14:paraId="1C25E7CF" w14:textId="77777777" w:rsidTr="000F26B7">
        <w:tc>
          <w:tcPr>
            <w:tcW w:w="3960" w:type="dxa"/>
          </w:tcPr>
          <w:p w14:paraId="4163B444"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E-Waste</w:t>
            </w:r>
          </w:p>
        </w:tc>
        <w:tc>
          <w:tcPr>
            <w:tcW w:w="3960" w:type="dxa"/>
          </w:tcPr>
          <w:p w14:paraId="290767CD"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Electronic Waste</w:t>
            </w:r>
          </w:p>
        </w:tc>
      </w:tr>
      <w:tr w:rsidR="000F26B7" w14:paraId="6733C41E" w14:textId="77777777" w:rsidTr="000F26B7">
        <w:tc>
          <w:tcPr>
            <w:tcW w:w="3960" w:type="dxa"/>
          </w:tcPr>
          <w:p w14:paraId="753ABCD9"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GADNR</w:t>
            </w:r>
          </w:p>
        </w:tc>
        <w:tc>
          <w:tcPr>
            <w:tcW w:w="3960" w:type="dxa"/>
          </w:tcPr>
          <w:p w14:paraId="696BCA10"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Georgia Department of Natural Resources</w:t>
            </w:r>
          </w:p>
        </w:tc>
      </w:tr>
      <w:tr w:rsidR="000F26B7" w14:paraId="2E3EF923" w14:textId="77777777" w:rsidTr="000F26B7">
        <w:tc>
          <w:tcPr>
            <w:tcW w:w="3960" w:type="dxa"/>
          </w:tcPr>
          <w:p w14:paraId="47F799DA"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GIS</w:t>
            </w:r>
          </w:p>
        </w:tc>
        <w:tc>
          <w:tcPr>
            <w:tcW w:w="3960" w:type="dxa"/>
          </w:tcPr>
          <w:p w14:paraId="00D609B4"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Geographic </w:t>
            </w:r>
            <w:r>
              <w:rPr>
                <w:rFonts w:ascii="Times New Roman" w:eastAsia="Times New Roman" w:hAnsi="Times New Roman" w:cs="Times New Roman"/>
              </w:rPr>
              <w:t>Information System</w:t>
            </w:r>
          </w:p>
        </w:tc>
      </w:tr>
      <w:tr w:rsidR="000F26B7" w14:paraId="6DFB04B7" w14:textId="77777777" w:rsidTr="000F26B7">
        <w:tc>
          <w:tcPr>
            <w:tcW w:w="3960" w:type="dxa"/>
          </w:tcPr>
          <w:p w14:paraId="40E876C7"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HHW</w:t>
            </w:r>
          </w:p>
        </w:tc>
        <w:tc>
          <w:tcPr>
            <w:tcW w:w="3960" w:type="dxa"/>
          </w:tcPr>
          <w:p w14:paraId="31218513"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Household Hazardous Waste</w:t>
            </w:r>
          </w:p>
        </w:tc>
      </w:tr>
      <w:tr w:rsidR="000F26B7" w14:paraId="3F7DB0D1" w14:textId="77777777" w:rsidTr="000F26B7">
        <w:tc>
          <w:tcPr>
            <w:tcW w:w="3960" w:type="dxa"/>
          </w:tcPr>
          <w:p w14:paraId="51F0C003"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ITAD</w:t>
            </w:r>
          </w:p>
        </w:tc>
        <w:tc>
          <w:tcPr>
            <w:tcW w:w="3960" w:type="dxa"/>
          </w:tcPr>
          <w:p w14:paraId="1C0323B6"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IT Asset Disposition</w:t>
            </w:r>
          </w:p>
        </w:tc>
      </w:tr>
      <w:tr w:rsidR="000F26B7" w14:paraId="7CC55F2C" w14:textId="77777777" w:rsidTr="000F26B7">
        <w:tc>
          <w:tcPr>
            <w:tcW w:w="3960" w:type="dxa"/>
          </w:tcPr>
          <w:p w14:paraId="53F52880"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OSHA</w:t>
            </w:r>
          </w:p>
        </w:tc>
        <w:tc>
          <w:tcPr>
            <w:tcW w:w="3960" w:type="dxa"/>
          </w:tcPr>
          <w:p w14:paraId="7F1FA9E3"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Occupational Safety and Health Administration</w:t>
            </w:r>
          </w:p>
        </w:tc>
      </w:tr>
      <w:tr w:rsidR="000F26B7" w14:paraId="3D145151" w14:textId="77777777" w:rsidTr="000F26B7">
        <w:tc>
          <w:tcPr>
            <w:tcW w:w="3960" w:type="dxa"/>
          </w:tcPr>
          <w:p w14:paraId="3AE128F9"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R2</w:t>
            </w:r>
          </w:p>
        </w:tc>
        <w:tc>
          <w:tcPr>
            <w:tcW w:w="3960" w:type="dxa"/>
          </w:tcPr>
          <w:p w14:paraId="6AEDBA63"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Responsible Recycling</w:t>
            </w:r>
          </w:p>
        </w:tc>
      </w:tr>
      <w:tr w:rsidR="000F26B7" w14:paraId="47072261" w14:textId="77777777" w:rsidTr="000F26B7">
        <w:tc>
          <w:tcPr>
            <w:tcW w:w="3960" w:type="dxa"/>
          </w:tcPr>
          <w:p w14:paraId="4F8052E3"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WEEE</w:t>
            </w:r>
          </w:p>
        </w:tc>
        <w:tc>
          <w:tcPr>
            <w:tcW w:w="3960" w:type="dxa"/>
          </w:tcPr>
          <w:p w14:paraId="697B085B" w14:textId="77777777" w:rsidR="000F26B7" w:rsidRDefault="001411D7">
            <w:p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Waste Electrical and Electronic Equipment</w:t>
            </w:r>
          </w:p>
          <w:p w14:paraId="04553396" w14:textId="77777777" w:rsidR="00284B8A" w:rsidRDefault="00284B8A">
            <w:pPr>
              <w:pBdr>
                <w:top w:val="nil"/>
                <w:left w:val="nil"/>
                <w:bottom w:val="nil"/>
                <w:right w:val="nil"/>
                <w:between w:val="nil"/>
              </w:pBdr>
              <w:spacing w:before="36" w:after="36" w:line="360" w:lineRule="auto"/>
              <w:jc w:val="both"/>
              <w:rPr>
                <w:rFonts w:ascii="Times New Roman" w:eastAsia="Times New Roman" w:hAnsi="Times New Roman" w:cs="Times New Roman"/>
              </w:rPr>
            </w:pPr>
          </w:p>
          <w:p w14:paraId="08F8ACBA" w14:textId="77777777" w:rsidR="00284B8A" w:rsidRDefault="00284B8A">
            <w:pPr>
              <w:pBdr>
                <w:top w:val="nil"/>
                <w:left w:val="nil"/>
                <w:bottom w:val="nil"/>
                <w:right w:val="nil"/>
                <w:between w:val="nil"/>
              </w:pBdr>
              <w:spacing w:before="36" w:after="36" w:line="360" w:lineRule="auto"/>
              <w:jc w:val="both"/>
              <w:rPr>
                <w:rFonts w:ascii="Times New Roman" w:eastAsia="Times New Roman" w:hAnsi="Times New Roman" w:cs="Times New Roman"/>
              </w:rPr>
            </w:pPr>
          </w:p>
        </w:tc>
      </w:tr>
    </w:tbl>
    <w:p w14:paraId="0C7DC563" w14:textId="77777777" w:rsidR="00284B8A" w:rsidRDefault="00284B8A">
      <w:pPr>
        <w:pStyle w:val="Heading3"/>
        <w:spacing w:line="360" w:lineRule="auto"/>
        <w:jc w:val="both"/>
        <w:rPr>
          <w:rFonts w:ascii="Times New Roman" w:eastAsia="Times New Roman" w:hAnsi="Times New Roman" w:cs="Times New Roman"/>
          <w:color w:val="000000"/>
        </w:rPr>
      </w:pPr>
    </w:p>
    <w:p w14:paraId="710B7470" w14:textId="77777777" w:rsidR="00284B8A" w:rsidRDefault="00284B8A" w:rsidP="00284B8A">
      <w:pPr>
        <w:pStyle w:val="Heading2"/>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Highlights</w:t>
      </w:r>
    </w:p>
    <w:p w14:paraId="5F7EEF83" w14:textId="77777777" w:rsidR="00284B8A" w:rsidRDefault="00284B8A" w:rsidP="00284B8A">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Public health relevance</w:t>
      </w:r>
    </w:p>
    <w:p w14:paraId="23B75420" w14:textId="77777777" w:rsidR="00284B8A" w:rsidRDefault="00284B8A" w:rsidP="00284B8A">
      <w:pPr>
        <w:numPr>
          <w:ilvl w:val="0"/>
          <w:numId w:val="1"/>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Improper electronic waste handling can release lead, cadmium, mercury, flame retardants, and other hazardous substances into workplaces, homes, soil, water, and air, making e-waste management an environmental health issue rather than a narrowly technical waste problem.</w:t>
      </w:r>
    </w:p>
    <w:p w14:paraId="4B2319CE" w14:textId="77777777" w:rsidR="00284B8A" w:rsidRDefault="00284B8A" w:rsidP="00284B8A">
      <w:pPr>
        <w:numPr>
          <w:ilvl w:val="0"/>
          <w:numId w:val="1"/>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In Metro Atlanta, residents encounter uneven access to formal electronics collection services across counties, while Georgia’s hazardous-waste oversight still depends heavily on generator compliance, documentation, and safe downstream management. </w:t>
      </w:r>
    </w:p>
    <w:p w14:paraId="1CA1C6EF" w14:textId="77777777" w:rsidR="00284B8A" w:rsidRDefault="00284B8A" w:rsidP="00284B8A">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Public health significance</w:t>
      </w:r>
    </w:p>
    <w:p w14:paraId="0559832A" w14:textId="77777777" w:rsidR="00284B8A" w:rsidRDefault="00284B8A" w:rsidP="00284B8A">
      <w:pPr>
        <w:numPr>
          <w:ilvl w:val="0"/>
          <w:numId w:val="2"/>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Formal collection, safe segregation, worker protection, and auditable downstream controls can reduce hazardous exposures while supporting the circular recovery of metals, plastics, and reusable devices. </w:t>
      </w:r>
    </w:p>
    <w:p w14:paraId="5609888C" w14:textId="77777777" w:rsidR="00284B8A" w:rsidRDefault="00284B8A" w:rsidP="00284B8A">
      <w:pPr>
        <w:numPr>
          <w:ilvl w:val="0"/>
          <w:numId w:val="2"/>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Global e-waste generation reached 62 billion kg in 2022, while only 22.3% was documented as formally collected and recycled, indicating that weak compliance and insufficient infrastructure remain major barriers to both exposure prevention and material recovery. </w:t>
      </w:r>
    </w:p>
    <w:p w14:paraId="46C835BB" w14:textId="77777777" w:rsidR="00284B8A" w:rsidRDefault="00284B8A" w:rsidP="00284B8A">
      <w:pPr>
        <w:pBdr>
          <w:top w:val="nil"/>
          <w:left w:val="nil"/>
          <w:bottom w:val="nil"/>
          <w:right w:val="nil"/>
          <w:between w:val="nil"/>
        </w:pBdr>
        <w:spacing w:before="180" w:after="180" w:line="360" w:lineRule="auto"/>
        <w:jc w:val="both"/>
        <w:rPr>
          <w:rFonts w:ascii="Times New Roman" w:eastAsia="Times New Roman" w:hAnsi="Times New Roman" w:cs="Times New Roman"/>
        </w:rPr>
      </w:pPr>
      <w:r>
        <w:rPr>
          <w:rFonts w:ascii="Times New Roman" w:eastAsia="Times New Roman" w:hAnsi="Times New Roman" w:cs="Times New Roman"/>
          <w:b/>
          <w:bCs/>
        </w:rPr>
        <w:t>Public health implications</w:t>
      </w:r>
    </w:p>
    <w:p w14:paraId="09C21CBB" w14:textId="77777777" w:rsidR="00284B8A" w:rsidRDefault="00284B8A" w:rsidP="00284B8A">
      <w:pPr>
        <w:numPr>
          <w:ilvl w:val="0"/>
          <w:numId w:val="3"/>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For Metro Atlanta, strengthening year-round access, certification-based procurement, hazardous-material tracking, and public instructions for batteries, CRTs, and other high-risk components could improve both environmental health protection and recovery performance. </w:t>
      </w:r>
    </w:p>
    <w:p w14:paraId="76D4E495" w14:textId="77777777" w:rsidR="00284B8A" w:rsidRDefault="00284B8A" w:rsidP="00284B8A">
      <w:pPr>
        <w:numPr>
          <w:ilvl w:val="0"/>
          <w:numId w:val="3"/>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For researchers and policy makers, this study offers a reproducible county-level framework for evaluating how environmental health compliance conditions shape circular-economy outcomes in urban e-waste systems. </w:t>
      </w:r>
    </w:p>
    <w:p w14:paraId="2F126DCF" w14:textId="77777777" w:rsidR="00284B8A" w:rsidRDefault="00284B8A">
      <w:pPr>
        <w:pStyle w:val="Heading3"/>
        <w:spacing w:line="360" w:lineRule="auto"/>
        <w:jc w:val="both"/>
        <w:rPr>
          <w:rFonts w:ascii="Times New Roman" w:eastAsia="Times New Roman" w:hAnsi="Times New Roman" w:cs="Times New Roman"/>
          <w:color w:val="000000"/>
        </w:rPr>
      </w:pPr>
    </w:p>
    <w:p w14:paraId="77BEAFA9" w14:textId="500A1D4A" w:rsidR="000F26B7" w:rsidRDefault="001411D7">
      <w:pPr>
        <w:pStyle w:val="Heading3"/>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References</w:t>
      </w:r>
    </w:p>
    <w:p w14:paraId="6965F116"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Baldé</w:t>
      </w:r>
      <w:proofErr w:type="spellEnd"/>
      <w:r>
        <w:rPr>
          <w:rFonts w:ascii="Times New Roman" w:eastAsia="Times New Roman" w:hAnsi="Times New Roman" w:cs="Times New Roman"/>
        </w:rPr>
        <w:t xml:space="preserve">, C.P.; </w:t>
      </w:r>
      <w:proofErr w:type="spellStart"/>
      <w:r>
        <w:rPr>
          <w:rFonts w:ascii="Times New Roman" w:eastAsia="Times New Roman" w:hAnsi="Times New Roman" w:cs="Times New Roman"/>
        </w:rPr>
        <w:t>Kuehr</w:t>
      </w:r>
      <w:proofErr w:type="spellEnd"/>
      <w:r>
        <w:rPr>
          <w:rFonts w:ascii="Times New Roman" w:eastAsia="Times New Roman" w:hAnsi="Times New Roman" w:cs="Times New Roman"/>
        </w:rPr>
        <w:t xml:space="preserve">, </w:t>
      </w:r>
      <w:r>
        <w:rPr>
          <w:rFonts w:ascii="Times New Roman" w:eastAsia="Times New Roman" w:hAnsi="Times New Roman" w:cs="Times New Roman"/>
        </w:rPr>
        <w:t xml:space="preserve">R.; Yamamoto, T.; McDonald, R.; D’Angelo, E.; </w:t>
      </w:r>
      <w:proofErr w:type="spellStart"/>
      <w:r>
        <w:rPr>
          <w:rFonts w:ascii="Times New Roman" w:eastAsia="Times New Roman" w:hAnsi="Times New Roman" w:cs="Times New Roman"/>
        </w:rPr>
        <w:t>Althaf</w:t>
      </w:r>
      <w:proofErr w:type="spellEnd"/>
      <w:r>
        <w:rPr>
          <w:rFonts w:ascii="Times New Roman" w:eastAsia="Times New Roman" w:hAnsi="Times New Roman" w:cs="Times New Roman"/>
        </w:rPr>
        <w:t xml:space="preserve">, S.; et al. </w:t>
      </w:r>
      <w:r>
        <w:rPr>
          <w:rFonts w:ascii="Times New Roman" w:eastAsia="Times New Roman" w:hAnsi="Times New Roman" w:cs="Times New Roman"/>
          <w:i/>
          <w:iCs/>
        </w:rPr>
        <w:t>The Global E-waste Monitor 2024</w:t>
      </w:r>
      <w:r>
        <w:rPr>
          <w:rFonts w:ascii="Times New Roman" w:eastAsia="Times New Roman" w:hAnsi="Times New Roman" w:cs="Times New Roman"/>
        </w:rPr>
        <w:t>; International Telecommunication Union and United Nations Institute for Training and Research: Geneva/Bonn, 2024.</w:t>
      </w:r>
    </w:p>
    <w:p w14:paraId="06DEBB3A"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World Health Organization. </w:t>
      </w:r>
      <w:r>
        <w:rPr>
          <w:rFonts w:ascii="Times New Roman" w:eastAsia="Times New Roman" w:hAnsi="Times New Roman" w:cs="Times New Roman"/>
          <w:i/>
          <w:iCs/>
        </w:rPr>
        <w:t xml:space="preserve">Electronic Waste </w:t>
      </w:r>
      <w:r>
        <w:rPr>
          <w:rFonts w:ascii="Times New Roman" w:eastAsia="Times New Roman" w:hAnsi="Times New Roman" w:cs="Times New Roman"/>
          <w:i/>
          <w:iCs/>
        </w:rPr>
        <w:t>(e-Waste)</w:t>
      </w:r>
      <w:r>
        <w:rPr>
          <w:rFonts w:ascii="Times New Roman" w:eastAsia="Times New Roman" w:hAnsi="Times New Roman" w:cs="Times New Roman"/>
        </w:rPr>
        <w:t>; WHO: Geneva, 2024.</w:t>
      </w:r>
    </w:p>
    <w:p w14:paraId="29C15891"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World Health Organization. </w:t>
      </w:r>
      <w:r>
        <w:rPr>
          <w:rFonts w:ascii="Times New Roman" w:eastAsia="Times New Roman" w:hAnsi="Times New Roman" w:cs="Times New Roman"/>
          <w:i/>
          <w:iCs/>
        </w:rPr>
        <w:t>Children and Digital Dumpsites: E-Waste Exposure and Child Health</w:t>
      </w:r>
      <w:r>
        <w:rPr>
          <w:rFonts w:ascii="Times New Roman" w:eastAsia="Times New Roman" w:hAnsi="Times New Roman" w:cs="Times New Roman"/>
        </w:rPr>
        <w:t>; WHO: Geneva, 2021.</w:t>
      </w:r>
    </w:p>
    <w:p w14:paraId="796F8ADD"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U.S. Environmental Protection Agency. </w:t>
      </w:r>
      <w:r>
        <w:rPr>
          <w:rFonts w:ascii="Times New Roman" w:eastAsia="Times New Roman" w:hAnsi="Times New Roman" w:cs="Times New Roman"/>
          <w:i/>
          <w:iCs/>
        </w:rPr>
        <w:t>Electronics Donation and Recycling</w:t>
      </w:r>
      <w:r>
        <w:rPr>
          <w:rFonts w:ascii="Times New Roman" w:eastAsia="Times New Roman" w:hAnsi="Times New Roman" w:cs="Times New Roman"/>
        </w:rPr>
        <w:t>; EPA: Washington, DC, 2025.</w:t>
      </w:r>
    </w:p>
    <w:p w14:paraId="472F3878"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U.S. Environ</w:t>
      </w:r>
      <w:r>
        <w:rPr>
          <w:rFonts w:ascii="Times New Roman" w:eastAsia="Times New Roman" w:hAnsi="Times New Roman" w:cs="Times New Roman"/>
        </w:rPr>
        <w:t xml:space="preserve">mental Protection Agency. </w:t>
      </w:r>
      <w:r>
        <w:rPr>
          <w:rFonts w:ascii="Times New Roman" w:eastAsia="Times New Roman" w:hAnsi="Times New Roman" w:cs="Times New Roman"/>
          <w:i/>
          <w:iCs/>
        </w:rPr>
        <w:t>Certified Electronics Recyclers</w:t>
      </w:r>
      <w:r>
        <w:rPr>
          <w:rFonts w:ascii="Times New Roman" w:eastAsia="Times New Roman" w:hAnsi="Times New Roman" w:cs="Times New Roman"/>
        </w:rPr>
        <w:t>; EPA: Washington, DC, 2025.</w:t>
      </w:r>
    </w:p>
    <w:p w14:paraId="79963AEB"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Environmental Protection Agency. </w:t>
      </w:r>
      <w:r>
        <w:rPr>
          <w:rFonts w:ascii="Times New Roman" w:eastAsia="Times New Roman" w:hAnsi="Times New Roman" w:cs="Times New Roman"/>
          <w:i/>
          <w:iCs/>
        </w:rPr>
        <w:t>Cathode Ray Tubes (CRTs)</w:t>
      </w:r>
      <w:r>
        <w:rPr>
          <w:rFonts w:ascii="Times New Roman" w:eastAsia="Times New Roman" w:hAnsi="Times New Roman" w:cs="Times New Roman"/>
        </w:rPr>
        <w:t>; EPA: Washington, DC, 2025.</w:t>
      </w:r>
    </w:p>
    <w:p w14:paraId="135F35B8"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Environmental Protection Agency. </w:t>
      </w:r>
      <w:r>
        <w:rPr>
          <w:rFonts w:ascii="Times New Roman" w:eastAsia="Times New Roman" w:hAnsi="Times New Roman" w:cs="Times New Roman"/>
          <w:i/>
          <w:iCs/>
        </w:rPr>
        <w:t>An Assessment of the U.S. Recycling Syste</w:t>
      </w:r>
      <w:r>
        <w:rPr>
          <w:rFonts w:ascii="Times New Roman" w:eastAsia="Times New Roman" w:hAnsi="Times New Roman" w:cs="Times New Roman"/>
          <w:i/>
          <w:iCs/>
        </w:rPr>
        <w:t>m: Financial Estimates to Modernize Material Recovery Infrastructure</w:t>
      </w:r>
      <w:r>
        <w:rPr>
          <w:rFonts w:ascii="Times New Roman" w:eastAsia="Times New Roman" w:hAnsi="Times New Roman" w:cs="Times New Roman"/>
        </w:rPr>
        <w:t>; EPA: Washington, DC, 2024.</w:t>
      </w:r>
    </w:p>
    <w:p w14:paraId="469CA07F"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Environmental Protection Agency. </w:t>
      </w:r>
      <w:r>
        <w:rPr>
          <w:rFonts w:ascii="Times New Roman" w:eastAsia="Times New Roman" w:hAnsi="Times New Roman" w:cs="Times New Roman"/>
          <w:i/>
          <w:iCs/>
        </w:rPr>
        <w:t>Implementation Study of the Electronics Recycling Standards: R2 and e-Stewards®</w:t>
      </w:r>
      <w:r>
        <w:rPr>
          <w:rFonts w:ascii="Times New Roman" w:eastAsia="Times New Roman" w:hAnsi="Times New Roman" w:cs="Times New Roman"/>
        </w:rPr>
        <w:t>; EPA: Washington, DC, 2016.</w:t>
      </w:r>
    </w:p>
    <w:p w14:paraId="01C5FB03" w14:textId="77777777" w:rsidR="000F26B7" w:rsidRDefault="001411D7">
      <w:pPr>
        <w:numPr>
          <w:ilvl w:val="0"/>
          <w:numId w:val="4"/>
        </w:numPr>
        <w:pBdr>
          <w:top w:val="nil"/>
          <w:left w:val="nil"/>
          <w:bottom w:val="nil"/>
          <w:right w:val="nil"/>
          <w:between w:val="nil"/>
        </w:pBdr>
        <w:spacing w:before="36" w:after="36" w:line="360" w:lineRule="auto"/>
        <w:jc w:val="both"/>
      </w:pPr>
      <w:r>
        <w:rPr>
          <w:rFonts w:ascii="Times New Roman" w:eastAsia="Times New Roman" w:hAnsi="Times New Roman" w:cs="Times New Roman"/>
        </w:rPr>
        <w:t>Grimes, R.; C</w:t>
      </w:r>
      <w:r>
        <w:rPr>
          <w:rFonts w:ascii="Times New Roman" w:eastAsia="Times New Roman" w:hAnsi="Times New Roman" w:cs="Times New Roman"/>
        </w:rPr>
        <w:t xml:space="preserve">eballos, D.; Flesch-Janys, D.; et al. Notes from the field: Lead and cadmium exposure in electronic recyclers. </w:t>
      </w:r>
      <w:r>
        <w:rPr>
          <w:rFonts w:ascii="Times New Roman" w:eastAsia="Times New Roman" w:hAnsi="Times New Roman" w:cs="Times New Roman"/>
          <w:i/>
          <w:iCs/>
        </w:rPr>
        <w:t xml:space="preserve">MMWR </w:t>
      </w:r>
      <w:proofErr w:type="spellStart"/>
      <w:r>
        <w:rPr>
          <w:rFonts w:ascii="Times New Roman" w:eastAsia="Times New Roman" w:hAnsi="Times New Roman" w:cs="Times New Roman"/>
          <w:i/>
          <w:iCs/>
        </w:rPr>
        <w:t>Morb</w:t>
      </w:r>
      <w:proofErr w:type="spellEnd"/>
      <w:r>
        <w:rPr>
          <w:rFonts w:ascii="Times New Roman" w:eastAsia="Times New Roman" w:hAnsi="Times New Roman" w:cs="Times New Roman"/>
          <w:i/>
          <w:iCs/>
        </w:rPr>
        <w:t>. Mortal. Wkly. Rep.</w:t>
      </w:r>
      <w:r>
        <w:rPr>
          <w:rFonts w:ascii="Times New Roman" w:eastAsia="Times New Roman" w:hAnsi="Times New Roman" w:cs="Times New Roman"/>
        </w:rPr>
        <w:t xml:space="preserve"> </w:t>
      </w:r>
      <w:r>
        <w:rPr>
          <w:rFonts w:ascii="Times New Roman" w:eastAsia="Times New Roman" w:hAnsi="Times New Roman" w:cs="Times New Roman"/>
          <w:b/>
          <w:bCs/>
        </w:rPr>
        <w:t>2019</w:t>
      </w:r>
      <w:r>
        <w:rPr>
          <w:rFonts w:ascii="Times New Roman" w:eastAsia="Times New Roman" w:hAnsi="Times New Roman" w:cs="Times New Roman"/>
        </w:rPr>
        <w:t xml:space="preserve">, </w:t>
      </w:r>
      <w:r>
        <w:rPr>
          <w:rFonts w:ascii="Times New Roman" w:eastAsia="Times New Roman" w:hAnsi="Times New Roman" w:cs="Times New Roman"/>
          <w:i/>
          <w:iCs/>
        </w:rPr>
        <w:t>68</w:t>
      </w:r>
      <w:r>
        <w:rPr>
          <w:rFonts w:ascii="Times New Roman" w:eastAsia="Times New Roman" w:hAnsi="Times New Roman" w:cs="Times New Roman"/>
        </w:rPr>
        <w:t>, 182–183.</w:t>
      </w:r>
    </w:p>
    <w:p w14:paraId="233B5186" w14:textId="77777777" w:rsidR="000F26B7" w:rsidRDefault="001411D7">
      <w:pPr>
        <w:numPr>
          <w:ilvl w:val="0"/>
          <w:numId w:val="4"/>
        </w:numPr>
        <w:pBdr>
          <w:top w:val="nil"/>
          <w:left w:val="nil"/>
          <w:bottom w:val="nil"/>
          <w:right w:val="nil"/>
          <w:between w:val="nil"/>
        </w:pBdr>
        <w:spacing w:before="36" w:after="36" w:line="360" w:lineRule="auto"/>
        <w:jc w:val="both"/>
      </w:pPr>
      <w:proofErr w:type="spellStart"/>
      <w:r>
        <w:rPr>
          <w:rFonts w:ascii="Times New Roman" w:eastAsia="Times New Roman" w:hAnsi="Times New Roman" w:cs="Times New Roman"/>
        </w:rPr>
        <w:t>Beaucham</w:t>
      </w:r>
      <w:proofErr w:type="spellEnd"/>
      <w:r>
        <w:rPr>
          <w:rFonts w:ascii="Times New Roman" w:eastAsia="Times New Roman" w:hAnsi="Times New Roman" w:cs="Times New Roman"/>
        </w:rPr>
        <w:t xml:space="preserve">, C.C.; Ceballos, D.; Page, E.H.; et al. Metal exposures at three U.S. electronic scrap </w:t>
      </w:r>
      <w:r>
        <w:rPr>
          <w:rFonts w:ascii="Times New Roman" w:eastAsia="Times New Roman" w:hAnsi="Times New Roman" w:cs="Times New Roman"/>
        </w:rPr>
        <w:t xml:space="preserve">recycling facilities. </w:t>
      </w:r>
      <w:r>
        <w:rPr>
          <w:rFonts w:ascii="Times New Roman" w:eastAsia="Times New Roman" w:hAnsi="Times New Roman" w:cs="Times New Roman"/>
          <w:i/>
          <w:iCs/>
        </w:rPr>
        <w:t xml:space="preserve">J. </w:t>
      </w:r>
      <w:proofErr w:type="spellStart"/>
      <w:r>
        <w:rPr>
          <w:rFonts w:ascii="Times New Roman" w:eastAsia="Times New Roman" w:hAnsi="Times New Roman" w:cs="Times New Roman"/>
          <w:i/>
          <w:iCs/>
        </w:rPr>
        <w:t>Occup</w:t>
      </w:r>
      <w:proofErr w:type="spellEnd"/>
      <w:r>
        <w:rPr>
          <w:rFonts w:ascii="Times New Roman" w:eastAsia="Times New Roman" w:hAnsi="Times New Roman" w:cs="Times New Roman"/>
          <w:i/>
          <w:iCs/>
        </w:rPr>
        <w:t xml:space="preserve">. Environ. </w:t>
      </w:r>
      <w:proofErr w:type="spellStart"/>
      <w:r>
        <w:rPr>
          <w:rFonts w:ascii="Times New Roman" w:eastAsia="Times New Roman" w:hAnsi="Times New Roman" w:cs="Times New Roman"/>
          <w:i/>
          <w:iCs/>
        </w:rPr>
        <w:t>Hyg</w:t>
      </w:r>
      <w:proofErr w:type="spellEnd"/>
      <w:r>
        <w:rPr>
          <w:rFonts w:ascii="Times New Roman" w:eastAsia="Times New Roman" w:hAnsi="Times New Roman" w:cs="Times New Roman"/>
          <w:i/>
          <w:iCs/>
        </w:rPr>
        <w:t>.</w:t>
      </w:r>
      <w:r>
        <w:rPr>
          <w:rFonts w:ascii="Times New Roman" w:eastAsia="Times New Roman" w:hAnsi="Times New Roman" w:cs="Times New Roman"/>
        </w:rPr>
        <w:t xml:space="preserve"> </w:t>
      </w:r>
      <w:r>
        <w:rPr>
          <w:rFonts w:ascii="Times New Roman" w:eastAsia="Times New Roman" w:hAnsi="Times New Roman" w:cs="Times New Roman"/>
          <w:b/>
          <w:bCs/>
        </w:rPr>
        <w:t>2017</w:t>
      </w:r>
      <w:r>
        <w:rPr>
          <w:rFonts w:ascii="Times New Roman" w:eastAsia="Times New Roman" w:hAnsi="Times New Roman" w:cs="Times New Roman"/>
        </w:rPr>
        <w:t xml:space="preserve">, </w:t>
      </w:r>
      <w:r>
        <w:rPr>
          <w:rFonts w:ascii="Times New Roman" w:eastAsia="Times New Roman" w:hAnsi="Times New Roman" w:cs="Times New Roman"/>
          <w:i/>
          <w:iCs/>
        </w:rPr>
        <w:t>14</w:t>
      </w:r>
      <w:r>
        <w:rPr>
          <w:rFonts w:ascii="Times New Roman" w:eastAsia="Times New Roman" w:hAnsi="Times New Roman" w:cs="Times New Roman"/>
        </w:rPr>
        <w:t>, D73–D80.</w:t>
      </w:r>
    </w:p>
    <w:p w14:paraId="35B33456" w14:textId="77777777" w:rsidR="000F26B7" w:rsidRDefault="001411D7">
      <w:pPr>
        <w:numPr>
          <w:ilvl w:val="0"/>
          <w:numId w:val="4"/>
        </w:numPr>
        <w:pBdr>
          <w:top w:val="nil"/>
          <w:left w:val="nil"/>
          <w:bottom w:val="nil"/>
          <w:right w:val="nil"/>
          <w:between w:val="nil"/>
        </w:pBdr>
        <w:spacing w:before="36" w:after="36" w:line="360" w:lineRule="auto"/>
        <w:jc w:val="both"/>
      </w:pPr>
      <w:r>
        <w:rPr>
          <w:rFonts w:ascii="Times New Roman" w:eastAsia="Times New Roman" w:hAnsi="Times New Roman" w:cs="Times New Roman"/>
        </w:rPr>
        <w:t xml:space="preserve">Scheepers, P.T.J.; Olsson, A.; </w:t>
      </w:r>
      <w:proofErr w:type="spellStart"/>
      <w:r>
        <w:rPr>
          <w:rFonts w:ascii="Times New Roman" w:eastAsia="Times New Roman" w:hAnsi="Times New Roman" w:cs="Times New Roman"/>
        </w:rPr>
        <w:t>Dumeaux</w:t>
      </w:r>
      <w:proofErr w:type="spellEnd"/>
      <w:r>
        <w:rPr>
          <w:rFonts w:ascii="Times New Roman" w:eastAsia="Times New Roman" w:hAnsi="Times New Roman" w:cs="Times New Roman"/>
        </w:rPr>
        <w:t xml:space="preserve">, V.; et al. HBM4EU occupational biomonitoring study on e-waste—Study protocol. </w:t>
      </w:r>
      <w:r>
        <w:rPr>
          <w:rFonts w:ascii="Times New Roman" w:eastAsia="Times New Roman" w:hAnsi="Times New Roman" w:cs="Times New Roman"/>
          <w:i/>
          <w:iCs/>
        </w:rPr>
        <w:t>Int. J. Environ. Res. Public Health</w:t>
      </w:r>
      <w:r>
        <w:rPr>
          <w:rFonts w:ascii="Times New Roman" w:eastAsia="Times New Roman" w:hAnsi="Times New Roman" w:cs="Times New Roman"/>
        </w:rPr>
        <w:t xml:space="preserve"> </w:t>
      </w:r>
      <w:r>
        <w:rPr>
          <w:rFonts w:ascii="Times New Roman" w:eastAsia="Times New Roman" w:hAnsi="Times New Roman" w:cs="Times New Roman"/>
          <w:b/>
          <w:bCs/>
        </w:rPr>
        <w:t>2021</w:t>
      </w:r>
      <w:r>
        <w:rPr>
          <w:rFonts w:ascii="Times New Roman" w:eastAsia="Times New Roman" w:hAnsi="Times New Roman" w:cs="Times New Roman"/>
        </w:rPr>
        <w:t xml:space="preserve">, </w:t>
      </w:r>
      <w:r>
        <w:rPr>
          <w:rFonts w:ascii="Times New Roman" w:eastAsia="Times New Roman" w:hAnsi="Times New Roman" w:cs="Times New Roman"/>
          <w:i/>
          <w:iCs/>
        </w:rPr>
        <w:t>18</w:t>
      </w:r>
      <w:r>
        <w:rPr>
          <w:rFonts w:ascii="Times New Roman" w:eastAsia="Times New Roman" w:hAnsi="Times New Roman" w:cs="Times New Roman"/>
        </w:rPr>
        <w:t>, 12987.</w:t>
      </w:r>
    </w:p>
    <w:p w14:paraId="36EB89A1" w14:textId="77777777" w:rsidR="000F26B7" w:rsidRDefault="001411D7">
      <w:pPr>
        <w:numPr>
          <w:ilvl w:val="0"/>
          <w:numId w:val="4"/>
        </w:numPr>
        <w:pBdr>
          <w:top w:val="nil"/>
          <w:left w:val="nil"/>
          <w:bottom w:val="nil"/>
          <w:right w:val="nil"/>
          <w:between w:val="nil"/>
        </w:pBdr>
        <w:spacing w:before="36" w:after="36" w:line="360" w:lineRule="auto"/>
        <w:jc w:val="both"/>
      </w:pPr>
      <w:r>
        <w:rPr>
          <w:rFonts w:ascii="Times New Roman" w:eastAsia="Times New Roman" w:hAnsi="Times New Roman" w:cs="Times New Roman"/>
        </w:rPr>
        <w:t xml:space="preserve">Cseresznye, A.; Hardy, E.; </w:t>
      </w:r>
      <w:proofErr w:type="spellStart"/>
      <w:r>
        <w:rPr>
          <w:rFonts w:ascii="Times New Roman" w:eastAsia="Times New Roman" w:hAnsi="Times New Roman" w:cs="Times New Roman"/>
        </w:rPr>
        <w:t>Bamai</w:t>
      </w:r>
      <w:proofErr w:type="spellEnd"/>
      <w:r>
        <w:rPr>
          <w:rFonts w:ascii="Times New Roman" w:eastAsia="Times New Roman" w:hAnsi="Times New Roman" w:cs="Times New Roman"/>
        </w:rPr>
        <w:t xml:space="preserve">, Y.A.; et al. HBM4EU e-waste study: Assessing persistent organic pollutants in blood, silicone wristbands, and settled dust among e-waste recycling workers in Europe. </w:t>
      </w:r>
      <w:r>
        <w:rPr>
          <w:rFonts w:ascii="Times New Roman" w:eastAsia="Times New Roman" w:hAnsi="Times New Roman" w:cs="Times New Roman"/>
          <w:i/>
          <w:iCs/>
        </w:rPr>
        <w:t>Environ. Res.</w:t>
      </w:r>
      <w:r>
        <w:rPr>
          <w:rFonts w:ascii="Times New Roman" w:eastAsia="Times New Roman" w:hAnsi="Times New Roman" w:cs="Times New Roman"/>
        </w:rPr>
        <w:t xml:space="preserve"> </w:t>
      </w:r>
      <w:r>
        <w:rPr>
          <w:rFonts w:ascii="Times New Roman" w:eastAsia="Times New Roman" w:hAnsi="Times New Roman" w:cs="Times New Roman"/>
          <w:b/>
          <w:bCs/>
        </w:rPr>
        <w:t>2024</w:t>
      </w:r>
      <w:r>
        <w:rPr>
          <w:rFonts w:ascii="Times New Roman" w:eastAsia="Times New Roman" w:hAnsi="Times New Roman" w:cs="Times New Roman"/>
        </w:rPr>
        <w:t xml:space="preserve">, </w:t>
      </w:r>
      <w:r>
        <w:rPr>
          <w:rFonts w:ascii="Times New Roman" w:eastAsia="Times New Roman" w:hAnsi="Times New Roman" w:cs="Times New Roman"/>
          <w:i/>
          <w:iCs/>
        </w:rPr>
        <w:t>250</w:t>
      </w:r>
      <w:r>
        <w:rPr>
          <w:rFonts w:ascii="Times New Roman" w:eastAsia="Times New Roman" w:hAnsi="Times New Roman" w:cs="Times New Roman"/>
        </w:rPr>
        <w:t>, 118537.</w:t>
      </w:r>
    </w:p>
    <w:p w14:paraId="050BBCC9" w14:textId="77777777" w:rsidR="000F26B7" w:rsidRDefault="001411D7">
      <w:pPr>
        <w:numPr>
          <w:ilvl w:val="0"/>
          <w:numId w:val="4"/>
        </w:numPr>
        <w:pBdr>
          <w:top w:val="nil"/>
          <w:left w:val="nil"/>
          <w:bottom w:val="nil"/>
          <w:right w:val="nil"/>
          <w:between w:val="nil"/>
        </w:pBdr>
        <w:spacing w:before="36" w:after="36" w:line="360" w:lineRule="auto"/>
        <w:jc w:val="both"/>
      </w:pPr>
      <w:r>
        <w:rPr>
          <w:rFonts w:ascii="Times New Roman" w:eastAsia="Times New Roman" w:hAnsi="Times New Roman" w:cs="Times New Roman"/>
        </w:rPr>
        <w:t xml:space="preserve">Leese, E.; </w:t>
      </w:r>
      <w:proofErr w:type="spellStart"/>
      <w:r>
        <w:rPr>
          <w:rFonts w:ascii="Times New Roman" w:eastAsia="Times New Roman" w:hAnsi="Times New Roman" w:cs="Times New Roman"/>
        </w:rPr>
        <w:t>Cleys</w:t>
      </w:r>
      <w:proofErr w:type="spellEnd"/>
      <w:r>
        <w:rPr>
          <w:rFonts w:ascii="Times New Roman" w:eastAsia="Times New Roman" w:hAnsi="Times New Roman" w:cs="Times New Roman"/>
        </w:rPr>
        <w:t>, P.; H</w:t>
      </w:r>
      <w:r>
        <w:rPr>
          <w:rFonts w:ascii="Times New Roman" w:eastAsia="Times New Roman" w:hAnsi="Times New Roman" w:cs="Times New Roman"/>
        </w:rPr>
        <w:t xml:space="preserve">ardy, E.; et al. HBM4EU e-waste study: Occupational exposure of electronic waste recycling workers to chromium, cadmium, mercury and lead. </w:t>
      </w:r>
      <w:r>
        <w:rPr>
          <w:rFonts w:ascii="Times New Roman" w:eastAsia="Times New Roman" w:hAnsi="Times New Roman" w:cs="Times New Roman"/>
          <w:i/>
          <w:iCs/>
        </w:rPr>
        <w:t>Environ. Res.</w:t>
      </w:r>
      <w:r>
        <w:rPr>
          <w:rFonts w:ascii="Times New Roman" w:eastAsia="Times New Roman" w:hAnsi="Times New Roman" w:cs="Times New Roman"/>
        </w:rPr>
        <w:t xml:space="preserve"> </w:t>
      </w:r>
      <w:r>
        <w:rPr>
          <w:rFonts w:ascii="Times New Roman" w:eastAsia="Times New Roman" w:hAnsi="Times New Roman" w:cs="Times New Roman"/>
          <w:b/>
          <w:bCs/>
        </w:rPr>
        <w:t>2025</w:t>
      </w:r>
      <w:r>
        <w:rPr>
          <w:rFonts w:ascii="Times New Roman" w:eastAsia="Times New Roman" w:hAnsi="Times New Roman" w:cs="Times New Roman"/>
        </w:rPr>
        <w:t>, published online ahead of print.</w:t>
      </w:r>
    </w:p>
    <w:p w14:paraId="2E560F96" w14:textId="77777777" w:rsidR="000F26B7" w:rsidRDefault="001411D7">
      <w:pPr>
        <w:numPr>
          <w:ilvl w:val="0"/>
          <w:numId w:val="4"/>
        </w:numPr>
        <w:pBdr>
          <w:top w:val="nil"/>
          <w:left w:val="nil"/>
          <w:bottom w:val="nil"/>
          <w:right w:val="nil"/>
          <w:between w:val="nil"/>
        </w:pBdr>
        <w:spacing w:before="36" w:after="36" w:line="360" w:lineRule="auto"/>
        <w:jc w:val="both"/>
      </w:pPr>
      <w:proofErr w:type="spellStart"/>
      <w:r>
        <w:rPr>
          <w:rFonts w:ascii="Times New Roman" w:eastAsia="Times New Roman" w:hAnsi="Times New Roman" w:cs="Times New Roman"/>
        </w:rPr>
        <w:t>Grandhi</w:t>
      </w:r>
      <w:proofErr w:type="spellEnd"/>
      <w:r>
        <w:rPr>
          <w:rFonts w:ascii="Times New Roman" w:eastAsia="Times New Roman" w:hAnsi="Times New Roman" w:cs="Times New Roman"/>
        </w:rPr>
        <w:t xml:space="preserve">, S.P.; </w:t>
      </w:r>
      <w:proofErr w:type="spellStart"/>
      <w:r>
        <w:rPr>
          <w:rFonts w:ascii="Times New Roman" w:eastAsia="Times New Roman" w:hAnsi="Times New Roman" w:cs="Times New Roman"/>
        </w:rPr>
        <w:t>Dagwar</w:t>
      </w:r>
      <w:proofErr w:type="spellEnd"/>
      <w:r>
        <w:rPr>
          <w:rFonts w:ascii="Times New Roman" w:eastAsia="Times New Roman" w:hAnsi="Times New Roman" w:cs="Times New Roman"/>
        </w:rPr>
        <w:t>, P.P.; Dutta, D. Policy pathways to sustai</w:t>
      </w:r>
      <w:r>
        <w:rPr>
          <w:rFonts w:ascii="Times New Roman" w:eastAsia="Times New Roman" w:hAnsi="Times New Roman" w:cs="Times New Roman"/>
        </w:rPr>
        <w:t xml:space="preserve">nable e-waste management: A global review. </w:t>
      </w:r>
      <w:r>
        <w:rPr>
          <w:rFonts w:ascii="Times New Roman" w:eastAsia="Times New Roman" w:hAnsi="Times New Roman" w:cs="Times New Roman"/>
          <w:i/>
          <w:iCs/>
        </w:rPr>
        <w:t>J. Hazard. Mater. Adv.</w:t>
      </w:r>
      <w:r>
        <w:rPr>
          <w:rFonts w:ascii="Times New Roman" w:eastAsia="Times New Roman" w:hAnsi="Times New Roman" w:cs="Times New Roman"/>
        </w:rPr>
        <w:t xml:space="preserve"> </w:t>
      </w:r>
      <w:r>
        <w:rPr>
          <w:rFonts w:ascii="Times New Roman" w:eastAsia="Times New Roman" w:hAnsi="Times New Roman" w:cs="Times New Roman"/>
          <w:b/>
          <w:bCs/>
        </w:rPr>
        <w:t>2024</w:t>
      </w:r>
      <w:r>
        <w:rPr>
          <w:rFonts w:ascii="Times New Roman" w:eastAsia="Times New Roman" w:hAnsi="Times New Roman" w:cs="Times New Roman"/>
        </w:rPr>
        <w:t xml:space="preserve">, </w:t>
      </w:r>
      <w:r>
        <w:rPr>
          <w:rFonts w:ascii="Times New Roman" w:eastAsia="Times New Roman" w:hAnsi="Times New Roman" w:cs="Times New Roman"/>
          <w:i/>
          <w:iCs/>
        </w:rPr>
        <w:t>16</w:t>
      </w:r>
      <w:r>
        <w:rPr>
          <w:rFonts w:ascii="Times New Roman" w:eastAsia="Times New Roman" w:hAnsi="Times New Roman" w:cs="Times New Roman"/>
        </w:rPr>
        <w:t>, 100473.</w:t>
      </w:r>
    </w:p>
    <w:p w14:paraId="36A0B98C" w14:textId="77777777" w:rsidR="000F26B7" w:rsidRDefault="001411D7">
      <w:pPr>
        <w:numPr>
          <w:ilvl w:val="0"/>
          <w:numId w:val="4"/>
        </w:numPr>
        <w:pBdr>
          <w:top w:val="nil"/>
          <w:left w:val="nil"/>
          <w:bottom w:val="nil"/>
          <w:right w:val="nil"/>
          <w:between w:val="nil"/>
        </w:pBdr>
        <w:spacing w:before="36" w:after="36" w:line="360" w:lineRule="auto"/>
        <w:jc w:val="both"/>
      </w:pPr>
      <w:r>
        <w:rPr>
          <w:rFonts w:ascii="Times New Roman" w:eastAsia="Times New Roman" w:hAnsi="Times New Roman" w:cs="Times New Roman"/>
        </w:rPr>
        <w:t xml:space="preserve">He, Y.; </w:t>
      </w:r>
      <w:proofErr w:type="spellStart"/>
      <w:r>
        <w:rPr>
          <w:rFonts w:ascii="Times New Roman" w:eastAsia="Times New Roman" w:hAnsi="Times New Roman" w:cs="Times New Roman"/>
        </w:rPr>
        <w:t>Kiehbadroudinezhad</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Hosseinzadeh-Bandbafha</w:t>
      </w:r>
      <w:proofErr w:type="spellEnd"/>
      <w:r>
        <w:rPr>
          <w:rFonts w:ascii="Times New Roman" w:eastAsia="Times New Roman" w:hAnsi="Times New Roman" w:cs="Times New Roman"/>
        </w:rPr>
        <w:t xml:space="preserve">, H.; Gupta, V.K.; Peng, W.; Lam, S.S.; Tabatabaei, M.; </w:t>
      </w:r>
      <w:proofErr w:type="spellStart"/>
      <w:r>
        <w:rPr>
          <w:rFonts w:ascii="Times New Roman" w:eastAsia="Times New Roman" w:hAnsi="Times New Roman" w:cs="Times New Roman"/>
        </w:rPr>
        <w:t>Aghbashlo</w:t>
      </w:r>
      <w:proofErr w:type="spellEnd"/>
      <w:r>
        <w:rPr>
          <w:rFonts w:ascii="Times New Roman" w:eastAsia="Times New Roman" w:hAnsi="Times New Roman" w:cs="Times New Roman"/>
        </w:rPr>
        <w:t>, M. Driving sustainable circular economy in electron</w:t>
      </w:r>
      <w:r>
        <w:rPr>
          <w:rFonts w:ascii="Times New Roman" w:eastAsia="Times New Roman" w:hAnsi="Times New Roman" w:cs="Times New Roman"/>
        </w:rPr>
        <w:t xml:space="preserve">ics: A comprehensive review on environmental life cycle assessment of e-waste recycling. </w:t>
      </w:r>
      <w:r>
        <w:rPr>
          <w:rFonts w:ascii="Times New Roman" w:eastAsia="Times New Roman" w:hAnsi="Times New Roman" w:cs="Times New Roman"/>
          <w:i/>
          <w:iCs/>
        </w:rPr>
        <w:t xml:space="preserve">Environ. </w:t>
      </w:r>
      <w:proofErr w:type="spellStart"/>
      <w:r>
        <w:rPr>
          <w:rFonts w:ascii="Times New Roman" w:eastAsia="Times New Roman" w:hAnsi="Times New Roman" w:cs="Times New Roman"/>
          <w:i/>
          <w:iCs/>
        </w:rPr>
        <w:t>Pollut</w:t>
      </w:r>
      <w:proofErr w:type="spellEnd"/>
      <w:r>
        <w:rPr>
          <w:rFonts w:ascii="Times New Roman" w:eastAsia="Times New Roman" w:hAnsi="Times New Roman" w:cs="Times New Roman"/>
          <w:i/>
          <w:iCs/>
        </w:rPr>
        <w:t>.</w:t>
      </w:r>
      <w:r>
        <w:rPr>
          <w:rFonts w:ascii="Times New Roman" w:eastAsia="Times New Roman" w:hAnsi="Times New Roman" w:cs="Times New Roman"/>
        </w:rPr>
        <w:t xml:space="preserve"> </w:t>
      </w:r>
      <w:r>
        <w:rPr>
          <w:rFonts w:ascii="Times New Roman" w:eastAsia="Times New Roman" w:hAnsi="Times New Roman" w:cs="Times New Roman"/>
          <w:b/>
          <w:bCs/>
        </w:rPr>
        <w:t>2024</w:t>
      </w:r>
      <w:r>
        <w:rPr>
          <w:rFonts w:ascii="Times New Roman" w:eastAsia="Times New Roman" w:hAnsi="Times New Roman" w:cs="Times New Roman"/>
        </w:rPr>
        <w:t xml:space="preserve">, </w:t>
      </w:r>
      <w:r>
        <w:rPr>
          <w:rFonts w:ascii="Times New Roman" w:eastAsia="Times New Roman" w:hAnsi="Times New Roman" w:cs="Times New Roman"/>
          <w:i/>
          <w:iCs/>
        </w:rPr>
        <w:t>342</w:t>
      </w:r>
      <w:r>
        <w:rPr>
          <w:rFonts w:ascii="Times New Roman" w:eastAsia="Times New Roman" w:hAnsi="Times New Roman" w:cs="Times New Roman"/>
        </w:rPr>
        <w:t>, 123081.</w:t>
      </w:r>
    </w:p>
    <w:p w14:paraId="4EFAF159"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Sustainable Electronics Recycling International. </w:t>
      </w:r>
      <w:r>
        <w:rPr>
          <w:rFonts w:ascii="Times New Roman" w:eastAsia="Times New Roman" w:hAnsi="Times New Roman" w:cs="Times New Roman"/>
          <w:i/>
          <w:iCs/>
        </w:rPr>
        <w:t>Summary of R2v3 Requirements</w:t>
      </w:r>
      <w:r>
        <w:rPr>
          <w:rFonts w:ascii="Times New Roman" w:eastAsia="Times New Roman" w:hAnsi="Times New Roman" w:cs="Times New Roman"/>
        </w:rPr>
        <w:t>; SERI: 2021.</w:t>
      </w:r>
    </w:p>
    <w:p w14:paraId="0C09B3BC"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Sustainable Electronics Recycling International. </w:t>
      </w:r>
      <w:r>
        <w:rPr>
          <w:rFonts w:ascii="Times New Roman" w:eastAsia="Times New Roman" w:hAnsi="Times New Roman" w:cs="Times New Roman"/>
          <w:i/>
          <w:iCs/>
        </w:rPr>
        <w:t>R2v3 Changes and Highlights Summary</w:t>
      </w:r>
      <w:r>
        <w:rPr>
          <w:rFonts w:ascii="Times New Roman" w:eastAsia="Times New Roman" w:hAnsi="Times New Roman" w:cs="Times New Roman"/>
        </w:rPr>
        <w:t>; SERI: 2021.</w:t>
      </w:r>
    </w:p>
    <w:p w14:paraId="6B40E2F3"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Department of Public Health. </w:t>
      </w:r>
      <w:r>
        <w:rPr>
          <w:rFonts w:ascii="Times New Roman" w:eastAsia="Times New Roman" w:hAnsi="Times New Roman" w:cs="Times New Roman"/>
          <w:i/>
          <w:iCs/>
        </w:rPr>
        <w:t>For Workers in Electronic Waste Recycling</w:t>
      </w:r>
      <w:r>
        <w:rPr>
          <w:rFonts w:ascii="Times New Roman" w:eastAsia="Times New Roman" w:hAnsi="Times New Roman" w:cs="Times New Roman"/>
        </w:rPr>
        <w:t>; Georgia DPH: Atlanta, GA, 2020.</w:t>
      </w:r>
    </w:p>
    <w:p w14:paraId="334F7233"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Environmental Protection Division. </w:t>
      </w:r>
      <w:r>
        <w:rPr>
          <w:rFonts w:ascii="Times New Roman" w:eastAsia="Times New Roman" w:hAnsi="Times New Roman" w:cs="Times New Roman"/>
          <w:i/>
          <w:iCs/>
        </w:rPr>
        <w:t>Haz</w:t>
      </w:r>
      <w:r>
        <w:rPr>
          <w:rFonts w:ascii="Times New Roman" w:eastAsia="Times New Roman" w:hAnsi="Times New Roman" w:cs="Times New Roman"/>
          <w:i/>
          <w:iCs/>
        </w:rPr>
        <w:t>ardous Waste Generators Compliance Guidance</w:t>
      </w:r>
      <w:r>
        <w:rPr>
          <w:rFonts w:ascii="Times New Roman" w:eastAsia="Times New Roman" w:hAnsi="Times New Roman" w:cs="Times New Roman"/>
        </w:rPr>
        <w:t>; Georgia EPD: Atlanta, GA.</w:t>
      </w:r>
    </w:p>
    <w:p w14:paraId="09DCD3FD"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Environmental Protection Division. </w:t>
      </w:r>
      <w:r>
        <w:rPr>
          <w:rFonts w:ascii="Times New Roman" w:eastAsia="Times New Roman" w:hAnsi="Times New Roman" w:cs="Times New Roman"/>
          <w:i/>
          <w:iCs/>
        </w:rPr>
        <w:t>LQG and SQG-E Manifest Registration</w:t>
      </w:r>
      <w:r>
        <w:rPr>
          <w:rFonts w:ascii="Times New Roman" w:eastAsia="Times New Roman" w:hAnsi="Times New Roman" w:cs="Times New Roman"/>
        </w:rPr>
        <w:t>; Georgia EPD: Atlanta, GA, 2025.</w:t>
      </w:r>
    </w:p>
    <w:p w14:paraId="77BD52FE"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Environmental Protection Division. </w:t>
      </w:r>
      <w:r>
        <w:rPr>
          <w:rFonts w:ascii="Times New Roman" w:eastAsia="Times New Roman" w:hAnsi="Times New Roman" w:cs="Times New Roman"/>
          <w:i/>
          <w:iCs/>
        </w:rPr>
        <w:t>Household Hazardous Waste</w:t>
      </w:r>
      <w:r>
        <w:rPr>
          <w:rFonts w:ascii="Times New Roman" w:eastAsia="Times New Roman" w:hAnsi="Times New Roman" w:cs="Times New Roman"/>
        </w:rPr>
        <w:t>; Geo</w:t>
      </w:r>
      <w:r>
        <w:rPr>
          <w:rFonts w:ascii="Times New Roman" w:eastAsia="Times New Roman" w:hAnsi="Times New Roman" w:cs="Times New Roman"/>
        </w:rPr>
        <w:t>rgia EPD: Atlanta, GA.</w:t>
      </w:r>
    </w:p>
    <w:p w14:paraId="3525E26B"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Georgia Environmental Protection Division. </w:t>
      </w:r>
      <w:r>
        <w:rPr>
          <w:rFonts w:ascii="Times New Roman" w:eastAsia="Times New Roman" w:hAnsi="Times New Roman" w:cs="Times New Roman"/>
          <w:i/>
          <w:iCs/>
        </w:rPr>
        <w:t>Recycling and Waste Diversion Grant Program Summary</w:t>
      </w:r>
      <w:r>
        <w:rPr>
          <w:rFonts w:ascii="Times New Roman" w:eastAsia="Times New Roman" w:hAnsi="Times New Roman" w:cs="Times New Roman"/>
        </w:rPr>
        <w:t>; Georgia EPD: Atlanta, GA, 2026.</w:t>
      </w:r>
    </w:p>
    <w:p w14:paraId="096BFE5D"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City of Atlanta. </w:t>
      </w:r>
      <w:r>
        <w:rPr>
          <w:rFonts w:ascii="Times New Roman" w:eastAsia="Times New Roman" w:hAnsi="Times New Roman" w:cs="Times New Roman"/>
          <w:i/>
          <w:iCs/>
        </w:rPr>
        <w:t>Recycling Program</w:t>
      </w:r>
      <w:r>
        <w:rPr>
          <w:rFonts w:ascii="Times New Roman" w:eastAsia="Times New Roman" w:hAnsi="Times New Roman" w:cs="Times New Roman"/>
        </w:rPr>
        <w:t>; Atlanta, GA, 2026.</w:t>
      </w:r>
    </w:p>
    <w:p w14:paraId="0F09E0F2"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DeKalb County Sanitation Division. </w:t>
      </w:r>
      <w:r>
        <w:rPr>
          <w:rFonts w:ascii="Times New Roman" w:eastAsia="Times New Roman" w:hAnsi="Times New Roman" w:cs="Times New Roman"/>
          <w:i/>
          <w:iCs/>
        </w:rPr>
        <w:t>E-Recycling Fly</w:t>
      </w:r>
      <w:r>
        <w:rPr>
          <w:rFonts w:ascii="Times New Roman" w:eastAsia="Times New Roman" w:hAnsi="Times New Roman" w:cs="Times New Roman"/>
          <w:i/>
          <w:iCs/>
        </w:rPr>
        <w:t>er</w:t>
      </w:r>
      <w:r>
        <w:rPr>
          <w:rFonts w:ascii="Times New Roman" w:eastAsia="Times New Roman" w:hAnsi="Times New Roman" w:cs="Times New Roman"/>
        </w:rPr>
        <w:t>; DeKalb County, GA, 2026 edition.</w:t>
      </w:r>
    </w:p>
    <w:p w14:paraId="09076F5F"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Cobb County. </w:t>
      </w:r>
      <w:r>
        <w:rPr>
          <w:rFonts w:ascii="Times New Roman" w:eastAsia="Times New Roman" w:hAnsi="Times New Roman" w:cs="Times New Roman"/>
          <w:i/>
          <w:iCs/>
        </w:rPr>
        <w:t>Recyclable Items</w:t>
      </w:r>
      <w:r>
        <w:rPr>
          <w:rFonts w:ascii="Times New Roman" w:eastAsia="Times New Roman" w:hAnsi="Times New Roman" w:cs="Times New Roman"/>
        </w:rPr>
        <w:t>; Cobb County, GA, 2026.</w:t>
      </w:r>
    </w:p>
    <w:p w14:paraId="7D483F9D"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Gwinnett County. </w:t>
      </w:r>
      <w:r>
        <w:rPr>
          <w:rFonts w:ascii="Times New Roman" w:eastAsia="Times New Roman" w:hAnsi="Times New Roman" w:cs="Times New Roman"/>
          <w:i/>
          <w:iCs/>
        </w:rPr>
        <w:t>Special Events/Get Involved</w:t>
      </w:r>
      <w:r>
        <w:rPr>
          <w:rFonts w:ascii="Times New Roman" w:eastAsia="Times New Roman" w:hAnsi="Times New Roman" w:cs="Times New Roman"/>
        </w:rPr>
        <w:t>; Gwinnett County, GA, 2026.</w:t>
      </w:r>
    </w:p>
    <w:p w14:paraId="57BD5B67"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Fulton County. </w:t>
      </w:r>
      <w:r>
        <w:rPr>
          <w:rFonts w:ascii="Times New Roman" w:eastAsia="Times New Roman" w:hAnsi="Times New Roman" w:cs="Times New Roman"/>
          <w:i/>
          <w:iCs/>
        </w:rPr>
        <w:t>Pollution Prevention</w:t>
      </w:r>
      <w:r>
        <w:rPr>
          <w:rFonts w:ascii="Times New Roman" w:eastAsia="Times New Roman" w:hAnsi="Times New Roman" w:cs="Times New Roman"/>
        </w:rPr>
        <w:t>; Fulton County, GA, 2026.</w:t>
      </w:r>
    </w:p>
    <w:p w14:paraId="16685184"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Fulton County. </w:t>
      </w:r>
      <w:r>
        <w:rPr>
          <w:rFonts w:ascii="Times New Roman" w:eastAsia="Times New Roman" w:hAnsi="Times New Roman" w:cs="Times New Roman"/>
          <w:i/>
          <w:iCs/>
        </w:rPr>
        <w:t>Household Hazar</w:t>
      </w:r>
      <w:r>
        <w:rPr>
          <w:rFonts w:ascii="Times New Roman" w:eastAsia="Times New Roman" w:hAnsi="Times New Roman" w:cs="Times New Roman"/>
          <w:i/>
          <w:iCs/>
        </w:rPr>
        <w:t>dous Waste Collection Day</w:t>
      </w:r>
      <w:r>
        <w:rPr>
          <w:rFonts w:ascii="Times New Roman" w:eastAsia="Times New Roman" w:hAnsi="Times New Roman" w:cs="Times New Roman"/>
        </w:rPr>
        <w:t>; Fulton County, GA, 2022.</w:t>
      </w:r>
    </w:p>
    <w:p w14:paraId="3B0BF94A"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Clayton County. </w:t>
      </w:r>
      <w:r>
        <w:rPr>
          <w:rFonts w:ascii="Times New Roman" w:eastAsia="Times New Roman" w:hAnsi="Times New Roman" w:cs="Times New Roman"/>
          <w:i/>
          <w:iCs/>
        </w:rPr>
        <w:t>Recycling Drop Off Center</w:t>
      </w:r>
      <w:r>
        <w:rPr>
          <w:rFonts w:ascii="Times New Roman" w:eastAsia="Times New Roman" w:hAnsi="Times New Roman" w:cs="Times New Roman"/>
        </w:rPr>
        <w:t>; Clayton County, GA, 2026.</w:t>
      </w:r>
    </w:p>
    <w:p w14:paraId="55675889"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Clayton County Water Authority. </w:t>
      </w:r>
      <w:r>
        <w:rPr>
          <w:rFonts w:ascii="Times New Roman" w:eastAsia="Times New Roman" w:hAnsi="Times New Roman" w:cs="Times New Roman"/>
          <w:i/>
          <w:iCs/>
        </w:rPr>
        <w:t>Household Hazardous Waste Collection Day</w:t>
      </w:r>
      <w:r>
        <w:rPr>
          <w:rFonts w:ascii="Times New Roman" w:eastAsia="Times New Roman" w:hAnsi="Times New Roman" w:cs="Times New Roman"/>
        </w:rPr>
        <w:t>; CCWA: Morrow, GA, 2026.</w:t>
      </w:r>
    </w:p>
    <w:p w14:paraId="78BC52A3"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Census Bureau. </w:t>
      </w:r>
      <w:r>
        <w:rPr>
          <w:rFonts w:ascii="Times New Roman" w:eastAsia="Times New Roman" w:hAnsi="Times New Roman" w:cs="Times New Roman"/>
          <w:i/>
          <w:iCs/>
        </w:rPr>
        <w:t>QuickFacts: Fulto</w:t>
      </w:r>
      <w:r>
        <w:rPr>
          <w:rFonts w:ascii="Times New Roman" w:eastAsia="Times New Roman" w:hAnsi="Times New Roman" w:cs="Times New Roman"/>
          <w:i/>
          <w:iCs/>
        </w:rPr>
        <w:t>n County, Georgia</w:t>
      </w:r>
      <w:r>
        <w:rPr>
          <w:rFonts w:ascii="Times New Roman" w:eastAsia="Times New Roman" w:hAnsi="Times New Roman" w:cs="Times New Roman"/>
        </w:rPr>
        <w:t>; U.S. Census Bureau: Washington, DC, 2025.</w:t>
      </w:r>
    </w:p>
    <w:p w14:paraId="6BBB335E"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Census Bureau. </w:t>
      </w:r>
      <w:r>
        <w:rPr>
          <w:rFonts w:ascii="Times New Roman" w:eastAsia="Times New Roman" w:hAnsi="Times New Roman" w:cs="Times New Roman"/>
          <w:i/>
          <w:iCs/>
        </w:rPr>
        <w:t>QuickFacts: DeKalb County, Georgia</w:t>
      </w:r>
      <w:r>
        <w:rPr>
          <w:rFonts w:ascii="Times New Roman" w:eastAsia="Times New Roman" w:hAnsi="Times New Roman" w:cs="Times New Roman"/>
        </w:rPr>
        <w:t>; U.S. Census Bureau: Washington, DC, 2025.</w:t>
      </w:r>
    </w:p>
    <w:p w14:paraId="07AE9C9B"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Census Bureau. </w:t>
      </w:r>
      <w:r>
        <w:rPr>
          <w:rFonts w:ascii="Times New Roman" w:eastAsia="Times New Roman" w:hAnsi="Times New Roman" w:cs="Times New Roman"/>
          <w:i/>
          <w:iCs/>
        </w:rPr>
        <w:t>QuickFacts: Cobb County, Georgia</w:t>
      </w:r>
      <w:r>
        <w:rPr>
          <w:rFonts w:ascii="Times New Roman" w:eastAsia="Times New Roman" w:hAnsi="Times New Roman" w:cs="Times New Roman"/>
        </w:rPr>
        <w:t>; U.S. Census Bureau: Washington, DC, 2025.</w:t>
      </w:r>
    </w:p>
    <w:p w14:paraId="50BA98BC"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U.S. Census Bureau. </w:t>
      </w:r>
      <w:r>
        <w:rPr>
          <w:rFonts w:ascii="Times New Roman" w:eastAsia="Times New Roman" w:hAnsi="Times New Roman" w:cs="Times New Roman"/>
          <w:i/>
          <w:iCs/>
        </w:rPr>
        <w:t>QuickFacts: Gwinnett County, Georgia</w:t>
      </w:r>
      <w:r>
        <w:rPr>
          <w:rFonts w:ascii="Times New Roman" w:eastAsia="Times New Roman" w:hAnsi="Times New Roman" w:cs="Times New Roman"/>
        </w:rPr>
        <w:t>; U.S. Census Bureau: Washington, DC, 2025.</w:t>
      </w:r>
    </w:p>
    <w:p w14:paraId="21824781" w14:textId="77777777" w:rsidR="000F26B7" w:rsidRDefault="001411D7">
      <w:pPr>
        <w:numPr>
          <w:ilvl w:val="0"/>
          <w:numId w:val="4"/>
        </w:numPr>
        <w:pBdr>
          <w:top w:val="nil"/>
          <w:left w:val="nil"/>
          <w:bottom w:val="nil"/>
          <w:right w:val="nil"/>
          <w:between w:val="nil"/>
        </w:pBdr>
        <w:spacing w:before="36" w:after="36" w:line="360" w:lineRule="auto"/>
        <w:jc w:val="both"/>
        <w:rPr>
          <w:rFonts w:ascii="Times New Roman" w:eastAsia="Times New Roman" w:hAnsi="Times New Roman" w:cs="Times New Roman"/>
        </w:rPr>
      </w:pPr>
      <w:r>
        <w:rPr>
          <w:rFonts w:ascii="Times New Roman" w:eastAsia="Times New Roman" w:hAnsi="Times New Roman" w:cs="Times New Roman"/>
        </w:rPr>
        <w:t xml:space="preserve">U.S. Census Bureau. </w:t>
      </w:r>
      <w:r>
        <w:rPr>
          <w:rFonts w:ascii="Times New Roman" w:eastAsia="Times New Roman" w:hAnsi="Times New Roman" w:cs="Times New Roman"/>
          <w:i/>
          <w:iCs/>
        </w:rPr>
        <w:t>QuickFacts: Clayton County, Georgia</w:t>
      </w:r>
      <w:r>
        <w:rPr>
          <w:rFonts w:ascii="Times New Roman" w:eastAsia="Times New Roman" w:hAnsi="Times New Roman" w:cs="Times New Roman"/>
        </w:rPr>
        <w:t>; U.S. Census Bureau: Washington, DC, 2025.</w:t>
      </w:r>
    </w:p>
    <w:p w14:paraId="1DFDE639" w14:textId="77777777" w:rsidR="000F26B7" w:rsidRDefault="000F26B7">
      <w:pPr>
        <w:pBdr>
          <w:top w:val="nil"/>
          <w:left w:val="nil"/>
          <w:bottom w:val="nil"/>
          <w:right w:val="nil"/>
          <w:between w:val="nil"/>
        </w:pBdr>
        <w:spacing w:before="180" w:after="180" w:line="360" w:lineRule="auto"/>
        <w:jc w:val="both"/>
        <w:rPr>
          <w:rFonts w:ascii="Times New Roman" w:eastAsia="Times New Roman" w:hAnsi="Times New Roman" w:cs="Times New Roman"/>
        </w:rPr>
      </w:pPr>
    </w:p>
    <w:sectPr w:rsidR="000F26B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900ED" w14:textId="77777777" w:rsidR="001411D7" w:rsidRDefault="001411D7" w:rsidP="00731E5C">
      <w:pPr>
        <w:spacing w:after="0"/>
      </w:pPr>
      <w:r>
        <w:separator/>
      </w:r>
    </w:p>
  </w:endnote>
  <w:endnote w:type="continuationSeparator" w:id="0">
    <w:p w14:paraId="72947E08" w14:textId="77777777" w:rsidR="001411D7" w:rsidRDefault="001411D7" w:rsidP="00731E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BEA3AE42-A802-48B8-B128-9CB303B1B9A2}"/>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ED0F5AAB-58DA-47B2-AE36-22AD0BF5E5A6}"/>
    <w:embedItalic r:id="rId3" w:fontKey="{154FC3F5-40F8-42FF-A403-56E9618FFC5A}"/>
  </w:font>
  <w:font w:name="Play">
    <w:charset w:val="00"/>
    <w:family w:val="auto"/>
    <w:pitch w:val="default"/>
    <w:embedRegular r:id="rId4" w:fontKey="{BCEB0B4E-4BCC-47A2-A3A4-C66A91B7AA6D}"/>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5" w:fontKey="{F99EDE3D-81C3-4071-95CA-4FD4673F42EF}"/>
  </w:font>
  <w:font w:name="Calibri">
    <w:panose1 w:val="020F0502020204030204"/>
    <w:charset w:val="00"/>
    <w:family w:val="swiss"/>
    <w:pitch w:val="variable"/>
    <w:sig w:usb0="E4002EFF" w:usb1="C200247B" w:usb2="00000009" w:usb3="00000000" w:csb0="000001FF" w:csb1="00000000"/>
    <w:embedRegular r:id="rId6" w:fontKey="{F4165310-F922-44D6-9FD5-1648A8C64FC8}"/>
  </w:font>
  <w:font w:name="Cambria">
    <w:panose1 w:val="02040503050406030204"/>
    <w:charset w:val="00"/>
    <w:family w:val="roman"/>
    <w:pitch w:val="variable"/>
    <w:sig w:usb0="E00006FF" w:usb1="420024FF" w:usb2="02000000" w:usb3="00000000" w:csb0="0000019F" w:csb1="00000000"/>
    <w:embedRegular r:id="rId7" w:fontKey="{1FA1BDE7-6074-46F1-9EA0-6B9C838354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3589E" w14:textId="77777777" w:rsidR="00731E5C" w:rsidRDefault="00731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2A1AC" w14:textId="77777777" w:rsidR="00731E5C" w:rsidRDefault="00731E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D2FFD" w14:textId="77777777" w:rsidR="00731E5C" w:rsidRDefault="00731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F9745" w14:textId="77777777" w:rsidR="001411D7" w:rsidRDefault="001411D7" w:rsidP="00731E5C">
      <w:pPr>
        <w:spacing w:after="0"/>
      </w:pPr>
      <w:r>
        <w:separator/>
      </w:r>
    </w:p>
  </w:footnote>
  <w:footnote w:type="continuationSeparator" w:id="0">
    <w:p w14:paraId="718F21D4" w14:textId="77777777" w:rsidR="001411D7" w:rsidRDefault="001411D7" w:rsidP="00731E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68A48" w14:textId="747DFFDD" w:rsidR="00731E5C" w:rsidRDefault="00731E5C">
    <w:pPr>
      <w:pStyle w:val="Header"/>
    </w:pPr>
    <w:r>
      <w:rPr>
        <w:noProof/>
      </w:rPr>
      <w:pict w14:anchorId="45D41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28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615E6" w14:textId="493A4044" w:rsidR="00731E5C" w:rsidRDefault="00731E5C">
    <w:pPr>
      <w:pStyle w:val="Header"/>
    </w:pPr>
    <w:r>
      <w:rPr>
        <w:noProof/>
      </w:rPr>
      <w:pict w14:anchorId="152F0E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28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EF02F" w14:textId="161CF8B5" w:rsidR="00731E5C" w:rsidRDefault="00731E5C">
    <w:pPr>
      <w:pStyle w:val="Header"/>
    </w:pPr>
    <w:r>
      <w:rPr>
        <w:noProof/>
      </w:rPr>
      <w:pict w14:anchorId="3327BA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28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F2BC8"/>
    <w:multiLevelType w:val="multilevel"/>
    <w:tmpl w:val="AAA89B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 w15:restartNumberingAfterBreak="0">
    <w:nsid w:val="3F1C58F5"/>
    <w:multiLevelType w:val="multilevel"/>
    <w:tmpl w:val="D9680A5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20F30"/>
    <w:multiLevelType w:val="multilevel"/>
    <w:tmpl w:val="B822668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4D5428"/>
    <w:multiLevelType w:val="multilevel"/>
    <w:tmpl w:val="98D4AAA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6B7"/>
    <w:rsid w:val="000F26B7"/>
    <w:rsid w:val="001411D7"/>
    <w:rsid w:val="00182BBF"/>
    <w:rsid w:val="00284B8A"/>
    <w:rsid w:val="00731E5C"/>
    <w:rsid w:val="00834127"/>
    <w:rsid w:val="00E70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688756"/>
  <w15:docId w15:val="{11443F9C-1D66-4EAF-93FF-D8F44B0D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GB"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jc w:val="center"/>
    </w:pPr>
    <w:rPr>
      <w:rFonts w:ascii="Play" w:eastAsia="Play" w:hAnsi="Play" w:cs="Play"/>
      <w:sz w:val="56"/>
      <w:szCs w:val="56"/>
    </w:rPr>
  </w:style>
  <w:style w:type="paragraph" w:styleId="Subtitle">
    <w:name w:val="Subtitle"/>
    <w:basedOn w:val="Normal"/>
    <w:next w:val="Normal"/>
    <w:uiPriority w:val="11"/>
    <w:qFormat/>
    <w:pPr>
      <w:spacing w:after="80"/>
      <w:jc w:val="center"/>
    </w:pPr>
    <w:rPr>
      <w:rFonts w:ascii="Play" w:eastAsia="Play" w:hAnsi="Play" w:cs="Play"/>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character" w:styleId="Hyperlink">
    <w:name w:val="Hyperlink"/>
    <w:basedOn w:val="DefaultParagraphFont"/>
    <w:uiPriority w:val="99"/>
    <w:unhideWhenUsed/>
    <w:rsid w:val="00284B8A"/>
    <w:rPr>
      <w:color w:val="0000FF" w:themeColor="hyperlink"/>
      <w:u w:val="single"/>
    </w:rPr>
  </w:style>
  <w:style w:type="character" w:styleId="UnresolvedMention">
    <w:name w:val="Unresolved Mention"/>
    <w:basedOn w:val="DefaultParagraphFont"/>
    <w:uiPriority w:val="99"/>
    <w:semiHidden/>
    <w:unhideWhenUsed/>
    <w:rsid w:val="00284B8A"/>
    <w:rPr>
      <w:color w:val="605E5C"/>
      <w:shd w:val="clear" w:color="auto" w:fill="E1DFDD"/>
    </w:rPr>
  </w:style>
  <w:style w:type="paragraph" w:styleId="Header">
    <w:name w:val="header"/>
    <w:basedOn w:val="Normal"/>
    <w:link w:val="HeaderChar"/>
    <w:uiPriority w:val="99"/>
    <w:unhideWhenUsed/>
    <w:rsid w:val="00731E5C"/>
    <w:pPr>
      <w:tabs>
        <w:tab w:val="center" w:pos="4680"/>
        <w:tab w:val="right" w:pos="9360"/>
      </w:tabs>
      <w:spacing w:after="0"/>
    </w:pPr>
  </w:style>
  <w:style w:type="character" w:customStyle="1" w:styleId="HeaderChar">
    <w:name w:val="Header Char"/>
    <w:basedOn w:val="DefaultParagraphFont"/>
    <w:link w:val="Header"/>
    <w:uiPriority w:val="99"/>
    <w:rsid w:val="00731E5C"/>
  </w:style>
  <w:style w:type="paragraph" w:styleId="Footer">
    <w:name w:val="footer"/>
    <w:basedOn w:val="Normal"/>
    <w:link w:val="FooterChar"/>
    <w:uiPriority w:val="99"/>
    <w:unhideWhenUsed/>
    <w:rsid w:val="00731E5C"/>
    <w:pPr>
      <w:tabs>
        <w:tab w:val="center" w:pos="4680"/>
        <w:tab w:val="right" w:pos="9360"/>
      </w:tabs>
      <w:spacing w:after="0"/>
    </w:pPr>
  </w:style>
  <w:style w:type="character" w:customStyle="1" w:styleId="FooterChar">
    <w:name w:val="Footer Char"/>
    <w:basedOn w:val="DefaultParagraphFont"/>
    <w:link w:val="Footer"/>
    <w:uiPriority w:val="99"/>
    <w:rsid w:val="00731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NCpHG/Hx2di6A6wArl9F8GB09g==">CgMxLjAaJQoBMBIgCh4IB0IaCg9UaW1lcyBOZXcgUm9tYW4SB0d1bmdzdWg4AHIhMVRac2hIR0hPWHNUVFphWnRSSDdUY2dvLXF3QmUyRjMx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5630</Words>
  <Characters>32092</Characters>
  <Application>Microsoft Office Word</Application>
  <DocSecurity>0</DocSecurity>
  <Lines>267</Lines>
  <Paragraphs>75</Paragraphs>
  <ScaleCrop>false</ScaleCrop>
  <Company/>
  <LinksUpToDate>false</LinksUpToDate>
  <CharactersWithSpaces>37647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2026-05-20T07:45:00Z</dcterms:created>
  <dcterms:modified xsi:type="dcterms:W3CDTF">2026-05-20T12:36:00Z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