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E2AC2" w14:textId="77777777" w:rsidR="00BB4D47" w:rsidRDefault="00BB4D47" w:rsidP="004A5A50">
      <w:pPr>
        <w:pStyle w:val="NormalWeb"/>
        <w:jc w:val="center"/>
        <w:rPr>
          <w:rFonts w:ascii="Arial Black" w:hAnsi="Arial Black"/>
          <w:b/>
          <w:bCs/>
          <w:sz w:val="22"/>
          <w:szCs w:val="22"/>
        </w:rPr>
      </w:pPr>
      <w:r w:rsidRPr="00BB4D47">
        <w:rPr>
          <w:rFonts w:ascii="Arial Black" w:hAnsi="Arial Black"/>
          <w:b/>
          <w:bCs/>
          <w:sz w:val="22"/>
          <w:szCs w:val="22"/>
        </w:rPr>
        <w:t xml:space="preserve">Original Research Article </w:t>
      </w:r>
    </w:p>
    <w:p w14:paraId="28DDF87D" w14:textId="1D27358D" w:rsidR="0051097E" w:rsidRPr="00A63A50" w:rsidRDefault="0051097E" w:rsidP="004A5A50">
      <w:pPr>
        <w:pStyle w:val="NormalWeb"/>
        <w:jc w:val="center"/>
        <w:rPr>
          <w:rFonts w:ascii="Arial Black" w:hAnsi="Arial Black"/>
          <w:sz w:val="22"/>
          <w:szCs w:val="22"/>
          <w:lang w:val="en-US"/>
        </w:rPr>
      </w:pPr>
      <w:bookmarkStart w:id="0" w:name="_Hlk230108481"/>
      <w:r w:rsidRPr="00A63A50">
        <w:rPr>
          <w:rFonts w:ascii="Arial Black" w:hAnsi="Arial Black"/>
          <w:b/>
          <w:bCs/>
          <w:sz w:val="22"/>
          <w:szCs w:val="22"/>
        </w:rPr>
        <w:t>ENVIRONMENTAL SANITATION PRACTICES AND WATER-RELATED HEALTH RISKS IN MAMFE CENTRAL S</w:t>
      </w:r>
      <w:r w:rsidR="004A5A50" w:rsidRPr="00A63A50">
        <w:rPr>
          <w:rFonts w:ascii="Arial Black" w:hAnsi="Arial Black"/>
          <w:b/>
          <w:bCs/>
          <w:sz w:val="22"/>
          <w:szCs w:val="22"/>
        </w:rPr>
        <w:t>UB-</w:t>
      </w:r>
      <w:bookmarkStart w:id="1" w:name="_GoBack"/>
      <w:bookmarkEnd w:id="1"/>
      <w:r w:rsidR="004A5A50" w:rsidRPr="00A63A50">
        <w:rPr>
          <w:rFonts w:ascii="Arial Black" w:hAnsi="Arial Black"/>
          <w:b/>
          <w:bCs/>
          <w:sz w:val="22"/>
          <w:szCs w:val="22"/>
        </w:rPr>
        <w:t xml:space="preserve">DIVISION, SOUTH WEST REGION OF </w:t>
      </w:r>
      <w:r w:rsidRPr="00A63A50">
        <w:rPr>
          <w:rFonts w:ascii="Arial Black" w:hAnsi="Arial Black"/>
          <w:b/>
          <w:bCs/>
          <w:sz w:val="22"/>
          <w:szCs w:val="22"/>
        </w:rPr>
        <w:t>CAMEROON</w:t>
      </w:r>
    </w:p>
    <w:bookmarkEnd w:id="0"/>
    <w:p w14:paraId="2A40A8E7" w14:textId="1CF873C1" w:rsidR="004E5EA1" w:rsidRDefault="004E5EA1" w:rsidP="0070450A">
      <w:pPr>
        <w:pStyle w:val="NormalWeb"/>
        <w:rPr>
          <w:lang w:val="en-US"/>
        </w:rPr>
      </w:pPr>
    </w:p>
    <w:p w14:paraId="027D62C6" w14:textId="1F42FE21" w:rsidR="006415CE" w:rsidRDefault="006415CE" w:rsidP="0070450A">
      <w:pPr>
        <w:pStyle w:val="NormalWeb"/>
        <w:rPr>
          <w:lang w:val="en-US"/>
        </w:rPr>
      </w:pPr>
    </w:p>
    <w:p w14:paraId="681BF44E" w14:textId="13784DA6" w:rsidR="006415CE" w:rsidRDefault="006415CE" w:rsidP="0070450A">
      <w:pPr>
        <w:pStyle w:val="NormalWeb"/>
        <w:rPr>
          <w:lang w:val="en-US"/>
        </w:rPr>
      </w:pPr>
    </w:p>
    <w:p w14:paraId="09478FB5" w14:textId="77777777" w:rsidR="006415CE" w:rsidRDefault="006415CE" w:rsidP="0070450A">
      <w:pPr>
        <w:pStyle w:val="NormalWeb"/>
        <w:rPr>
          <w:lang w:val="en-US"/>
        </w:rPr>
      </w:pPr>
    </w:p>
    <w:p w14:paraId="06DC1F18" w14:textId="77777777" w:rsidR="00426528" w:rsidRDefault="00426528" w:rsidP="0070450A">
      <w:pPr>
        <w:pStyle w:val="NormalWeb"/>
        <w:rPr>
          <w:rFonts w:ascii="Arial Black" w:hAnsi="Arial Black"/>
          <w:b/>
          <w:sz w:val="22"/>
          <w:szCs w:val="22"/>
          <w:lang w:val="en-US"/>
        </w:rPr>
      </w:pPr>
    </w:p>
    <w:p w14:paraId="5607299E" w14:textId="77777777" w:rsidR="00A63A50" w:rsidRDefault="00A63A50" w:rsidP="0070450A">
      <w:pPr>
        <w:pStyle w:val="NormalWeb"/>
        <w:rPr>
          <w:rFonts w:ascii="Arial Black" w:hAnsi="Arial Black"/>
          <w:b/>
          <w:sz w:val="22"/>
          <w:szCs w:val="22"/>
          <w:lang w:val="en-US"/>
        </w:rPr>
      </w:pPr>
    </w:p>
    <w:p w14:paraId="4086F6D3" w14:textId="66929F3C" w:rsidR="0070450A" w:rsidRPr="00E20A5B" w:rsidRDefault="0070450A" w:rsidP="0070450A">
      <w:pPr>
        <w:pStyle w:val="NormalWeb"/>
        <w:rPr>
          <w:rFonts w:ascii="Arial Black" w:hAnsi="Arial Black"/>
          <w:b/>
          <w:sz w:val="22"/>
          <w:szCs w:val="22"/>
        </w:rPr>
      </w:pPr>
      <w:r w:rsidRPr="00E20A5B">
        <w:rPr>
          <w:rFonts w:ascii="Arial Black" w:hAnsi="Arial Black"/>
          <w:b/>
          <w:sz w:val="22"/>
          <w:szCs w:val="22"/>
          <w:lang w:val="en-US"/>
        </w:rPr>
        <w:t>ABSTRACT</w:t>
      </w:r>
    </w:p>
    <w:p w14:paraId="3737DCB3" w14:textId="0C872D2B" w:rsidR="0070450A" w:rsidRPr="008739BB" w:rsidRDefault="0070450A" w:rsidP="004A5A50">
      <w:pPr>
        <w:pStyle w:val="NormalWeb"/>
        <w:spacing w:line="360" w:lineRule="auto"/>
        <w:jc w:val="both"/>
        <w:rPr>
          <w:rFonts w:ascii="Arial" w:hAnsi="Arial" w:cs="Arial"/>
          <w:sz w:val="20"/>
          <w:szCs w:val="20"/>
        </w:rPr>
      </w:pPr>
      <w:r w:rsidRPr="008739BB">
        <w:rPr>
          <w:rFonts w:ascii="Arial" w:hAnsi="Arial" w:cs="Arial"/>
          <w:sz w:val="20"/>
          <w:szCs w:val="20"/>
        </w:rPr>
        <w:t>Environmental sanitation and water quality remain critical determinants of public health, particularly in rapidly urbanising towns across sub-Sa</w:t>
      </w:r>
      <w:r w:rsidR="004B4F11" w:rsidRPr="008739BB">
        <w:rPr>
          <w:rFonts w:ascii="Arial" w:hAnsi="Arial" w:cs="Arial"/>
          <w:sz w:val="20"/>
          <w:szCs w:val="20"/>
        </w:rPr>
        <w:t xml:space="preserve">haran Africa. In </w:t>
      </w:r>
      <w:proofErr w:type="spellStart"/>
      <w:r w:rsidR="004B4F11" w:rsidRPr="008739BB">
        <w:rPr>
          <w:rFonts w:ascii="Arial" w:hAnsi="Arial" w:cs="Arial"/>
          <w:sz w:val="20"/>
          <w:szCs w:val="20"/>
        </w:rPr>
        <w:t>Mamfe</w:t>
      </w:r>
      <w:proofErr w:type="spellEnd"/>
      <w:r w:rsidR="004B4F11" w:rsidRPr="008739BB">
        <w:rPr>
          <w:rFonts w:ascii="Arial" w:hAnsi="Arial" w:cs="Arial"/>
          <w:sz w:val="20"/>
          <w:szCs w:val="20"/>
        </w:rPr>
        <w:t xml:space="preserve"> Central sub-d</w:t>
      </w:r>
      <w:r w:rsidRPr="008739BB">
        <w:rPr>
          <w:rFonts w:ascii="Arial" w:hAnsi="Arial" w:cs="Arial"/>
          <w:sz w:val="20"/>
          <w:szCs w:val="20"/>
        </w:rPr>
        <w:t>ivisio</w:t>
      </w:r>
      <w:r w:rsidR="004A5A50" w:rsidRPr="008739BB">
        <w:rPr>
          <w:rFonts w:ascii="Arial" w:hAnsi="Arial" w:cs="Arial"/>
          <w:sz w:val="20"/>
          <w:szCs w:val="20"/>
        </w:rPr>
        <w:t>n,</w:t>
      </w:r>
      <w:r w:rsidRPr="008739BB">
        <w:rPr>
          <w:rFonts w:ascii="Arial" w:hAnsi="Arial" w:cs="Arial"/>
          <w:sz w:val="20"/>
          <w:szCs w:val="20"/>
        </w:rPr>
        <w:t xml:space="preserve"> inadequate waste management systems, deteri</w:t>
      </w:r>
      <w:r w:rsidR="00CB3603" w:rsidRPr="008739BB">
        <w:rPr>
          <w:rFonts w:ascii="Arial" w:hAnsi="Arial" w:cs="Arial"/>
          <w:sz w:val="20"/>
          <w:szCs w:val="20"/>
        </w:rPr>
        <w:t>orating drainage infrastructure</w:t>
      </w:r>
      <w:r w:rsidRPr="008739BB">
        <w:rPr>
          <w:rFonts w:ascii="Arial" w:hAnsi="Arial" w:cs="Arial"/>
          <w:sz w:val="20"/>
          <w:szCs w:val="20"/>
        </w:rPr>
        <w:t xml:space="preserve"> and limited sanitation coverage have heightened population vulnerability to water-related health risks. This study evaluates the effectiveness of environmental sanitation practices in mitigating water quality deterio</w:t>
      </w:r>
      <w:r w:rsidR="00A70EA9" w:rsidRPr="008739BB">
        <w:rPr>
          <w:rFonts w:ascii="Arial" w:hAnsi="Arial" w:cs="Arial"/>
          <w:sz w:val="20"/>
          <w:szCs w:val="20"/>
        </w:rPr>
        <w:t>ration,</w:t>
      </w:r>
      <w:r w:rsidRPr="008739BB">
        <w:rPr>
          <w:rFonts w:ascii="Arial" w:hAnsi="Arial" w:cs="Arial"/>
          <w:sz w:val="20"/>
          <w:szCs w:val="20"/>
        </w:rPr>
        <w:t xml:space="preserve"> with emphasis on waste management systems, sanitation access, hygiene be</w:t>
      </w:r>
      <w:r w:rsidR="00A70EA9" w:rsidRPr="008739BB">
        <w:rPr>
          <w:rFonts w:ascii="Arial" w:hAnsi="Arial" w:cs="Arial"/>
          <w:sz w:val="20"/>
          <w:szCs w:val="20"/>
        </w:rPr>
        <w:t>haviours, water-health linkages</w:t>
      </w:r>
      <w:r w:rsidRPr="008739BB">
        <w:rPr>
          <w:rFonts w:ascii="Arial" w:hAnsi="Arial" w:cs="Arial"/>
          <w:sz w:val="20"/>
          <w:szCs w:val="20"/>
        </w:rPr>
        <w:t xml:space="preserve"> and institutional support mechanisms.</w:t>
      </w:r>
      <w:r w:rsidR="00D40C59" w:rsidRPr="00D40C59">
        <w:rPr>
          <w:rFonts w:ascii="Arial" w:eastAsia="Calibri" w:hAnsi="Arial" w:cs="Arial"/>
          <w:color w:val="000000"/>
          <w:sz w:val="20"/>
          <w:szCs w:val="20"/>
        </w:rPr>
        <w:t xml:space="preserve"> </w:t>
      </w:r>
      <w:r w:rsidR="00D40C59" w:rsidRPr="006C0261">
        <w:rPr>
          <w:rFonts w:ascii="Arial" w:eastAsia="Calibri" w:hAnsi="Arial" w:cs="Arial"/>
          <w:color w:val="000000"/>
          <w:sz w:val="20"/>
          <w:szCs w:val="20"/>
        </w:rPr>
        <w:t>This study was guided by the us</w:t>
      </w:r>
      <w:r w:rsidR="00D40C59">
        <w:rPr>
          <w:rFonts w:ascii="Arial" w:eastAsia="Calibri" w:hAnsi="Arial" w:cs="Arial"/>
          <w:b/>
          <w:color w:val="000000"/>
          <w:sz w:val="20"/>
          <w:szCs w:val="20"/>
        </w:rPr>
        <w:t>e of</w:t>
      </w:r>
      <w:r w:rsidR="00D40C59" w:rsidRPr="006C0261">
        <w:rPr>
          <w:rFonts w:ascii="Arial" w:eastAsia="Calibri" w:hAnsi="Arial" w:cs="Arial"/>
          <w:color w:val="000000"/>
          <w:sz w:val="20"/>
          <w:szCs w:val="20"/>
        </w:rPr>
        <w:t xml:space="preserve"> a mixed research design consisting of qualitative and quantitative designs</w:t>
      </w:r>
      <w:r w:rsidR="00D40C59">
        <w:rPr>
          <w:rFonts w:ascii="Arial" w:eastAsia="Calibri" w:hAnsi="Arial" w:cs="Arial"/>
          <w:color w:val="000000"/>
          <w:sz w:val="20"/>
          <w:szCs w:val="20"/>
        </w:rPr>
        <w:t>, the duration spans from 2019- 2024.</w:t>
      </w:r>
      <w:r w:rsidR="00D40C59">
        <w:rPr>
          <w:rFonts w:ascii="Arial" w:hAnsi="Arial" w:cs="Arial"/>
          <w:sz w:val="20"/>
          <w:szCs w:val="20"/>
        </w:rPr>
        <w:t xml:space="preserve"> </w:t>
      </w:r>
      <w:r w:rsidRPr="008739BB">
        <w:rPr>
          <w:rFonts w:ascii="Arial" w:hAnsi="Arial" w:cs="Arial"/>
          <w:sz w:val="20"/>
          <w:szCs w:val="20"/>
        </w:rPr>
        <w:t>Primary data were collected through structured qu</w:t>
      </w:r>
      <w:r w:rsidR="00D33451" w:rsidRPr="008739BB">
        <w:rPr>
          <w:rFonts w:ascii="Arial" w:hAnsi="Arial" w:cs="Arial"/>
          <w:sz w:val="20"/>
          <w:szCs w:val="20"/>
        </w:rPr>
        <w:t>estionnaires administered to 218</w:t>
      </w:r>
      <w:r w:rsidRPr="008739BB">
        <w:rPr>
          <w:rFonts w:ascii="Arial" w:hAnsi="Arial" w:cs="Arial"/>
          <w:sz w:val="20"/>
          <w:szCs w:val="20"/>
        </w:rPr>
        <w:t xml:space="preserve"> households across multiple quarters of the sub</w:t>
      </w:r>
      <w:r w:rsidR="00A70EA9" w:rsidRPr="008739BB">
        <w:rPr>
          <w:rFonts w:ascii="Arial" w:hAnsi="Arial" w:cs="Arial"/>
          <w:sz w:val="20"/>
          <w:szCs w:val="20"/>
        </w:rPr>
        <w:t>-</w:t>
      </w:r>
      <w:r w:rsidRPr="008739BB">
        <w:rPr>
          <w:rFonts w:ascii="Arial" w:hAnsi="Arial" w:cs="Arial"/>
          <w:sz w:val="20"/>
          <w:szCs w:val="20"/>
        </w:rPr>
        <w:t>division. Descriptive statistics, Pearson correlation analysis, and linear regression modelling were employed for data analysis. Findings indicate that burning (35.2%) and open dumping (31.9%) are the dominant waste disposal methods, while municipal waste collection services reach only 11% of households. Additionally, 72.4% of drainage infrastructure is classified as poor to very</w:t>
      </w:r>
      <w:r w:rsidR="00A70EA9" w:rsidRPr="008739BB">
        <w:rPr>
          <w:rFonts w:ascii="Arial" w:hAnsi="Arial" w:cs="Arial"/>
          <w:sz w:val="20"/>
          <w:szCs w:val="20"/>
        </w:rPr>
        <w:t xml:space="preserve"> poor. Water quality test results are largely positive</w:t>
      </w:r>
      <w:r w:rsidRPr="008739BB">
        <w:rPr>
          <w:rFonts w:ascii="Arial" w:hAnsi="Arial" w:cs="Arial"/>
          <w:sz w:val="20"/>
          <w:szCs w:val="20"/>
        </w:rPr>
        <w:t>, with 57.2% of respondents rating their water as poor to very poor</w:t>
      </w:r>
      <w:r w:rsidR="00611236" w:rsidRPr="008739BB">
        <w:rPr>
          <w:rFonts w:ascii="Arial" w:hAnsi="Arial" w:cs="Arial"/>
          <w:sz w:val="20"/>
          <w:szCs w:val="20"/>
        </w:rPr>
        <w:t xml:space="preserve"> in terms of physio-chemical and biological analysis. </w:t>
      </w:r>
      <w:r w:rsidRPr="008739BB">
        <w:rPr>
          <w:rFonts w:ascii="Arial" w:hAnsi="Arial" w:cs="Arial"/>
          <w:sz w:val="20"/>
          <w:szCs w:val="20"/>
        </w:rPr>
        <w:t>Statistical analysis reveals a strong positive relationship between environmental sanitation and water quality (</w:t>
      </w:r>
      <w:r w:rsidRPr="008739BB">
        <w:rPr>
          <w:rFonts w:ascii="Arial" w:hAnsi="Arial" w:cs="Arial"/>
          <w:i/>
          <w:sz w:val="20"/>
          <w:szCs w:val="20"/>
        </w:rPr>
        <w:t>r = 0.876</w:t>
      </w:r>
      <w:r w:rsidR="008739BB" w:rsidRPr="008739BB">
        <w:rPr>
          <w:rFonts w:ascii="Arial" w:hAnsi="Arial" w:cs="Arial"/>
          <w:i/>
          <w:sz w:val="20"/>
          <w:szCs w:val="20"/>
        </w:rPr>
        <w:t xml:space="preserve">, P </w:t>
      </w:r>
      <w:r w:rsidRPr="008739BB">
        <w:rPr>
          <w:rFonts w:ascii="Arial" w:hAnsi="Arial" w:cs="Arial"/>
          <w:i/>
          <w:sz w:val="20"/>
          <w:szCs w:val="20"/>
        </w:rPr>
        <w:t>&lt; 0.001</w:t>
      </w:r>
      <w:r w:rsidRPr="008739BB">
        <w:rPr>
          <w:rFonts w:ascii="Arial" w:hAnsi="Arial" w:cs="Arial"/>
          <w:sz w:val="20"/>
          <w:szCs w:val="20"/>
        </w:rPr>
        <w:t>), with sanitation conditions explaining 76.7% of the variation in water quality (</w:t>
      </w:r>
      <w:r w:rsidRPr="008739BB">
        <w:rPr>
          <w:rFonts w:ascii="Arial" w:hAnsi="Arial" w:cs="Arial"/>
          <w:i/>
          <w:sz w:val="20"/>
          <w:szCs w:val="20"/>
        </w:rPr>
        <w:t>R² = 0.767</w:t>
      </w:r>
      <w:r w:rsidRPr="008739BB">
        <w:rPr>
          <w:rFonts w:ascii="Arial" w:hAnsi="Arial" w:cs="Arial"/>
          <w:sz w:val="20"/>
          <w:szCs w:val="20"/>
        </w:rPr>
        <w:t>). These results confirm that inadequate environmental sanitation is a primary driver of water quality deterioration in the study area. The study recommends the expansion of municipal waste collection services, rehabilitation of drainage systems, strengthened enforcement of sanitation regulations, and the promotion of community-based sanitation initiatives.</w:t>
      </w:r>
    </w:p>
    <w:p w14:paraId="751A90C5" w14:textId="13590E7B" w:rsidR="0070450A" w:rsidRPr="00E20A5B" w:rsidRDefault="0070450A" w:rsidP="004A5A50">
      <w:pPr>
        <w:pStyle w:val="NormalWeb"/>
        <w:spacing w:line="360" w:lineRule="auto"/>
        <w:jc w:val="both"/>
        <w:rPr>
          <w:rFonts w:ascii="Arial" w:hAnsi="Arial" w:cs="Arial"/>
          <w:i/>
          <w:sz w:val="20"/>
          <w:szCs w:val="20"/>
        </w:rPr>
      </w:pPr>
      <w:r w:rsidRPr="00E20A5B">
        <w:rPr>
          <w:rStyle w:val="Strong"/>
          <w:rFonts w:ascii="Arial" w:hAnsi="Arial" w:cs="Arial"/>
          <w:i/>
          <w:sz w:val="20"/>
          <w:szCs w:val="20"/>
        </w:rPr>
        <w:t>Keywords:</w:t>
      </w:r>
      <w:r w:rsidRPr="00E20A5B">
        <w:rPr>
          <w:rFonts w:ascii="Arial" w:hAnsi="Arial" w:cs="Arial"/>
          <w:i/>
          <w:sz w:val="20"/>
          <w:szCs w:val="20"/>
        </w:rPr>
        <w:t xml:space="preserve"> Environmental sanitation · Waste management · Water quality ·</w:t>
      </w:r>
      <w:r w:rsidR="004B4F11" w:rsidRPr="00E20A5B">
        <w:rPr>
          <w:rFonts w:ascii="Arial" w:hAnsi="Arial" w:cs="Arial"/>
          <w:i/>
          <w:sz w:val="20"/>
          <w:szCs w:val="20"/>
        </w:rPr>
        <w:t xml:space="preserve"> Public health · </w:t>
      </w:r>
      <w:proofErr w:type="spellStart"/>
      <w:r w:rsidR="004B4F11" w:rsidRPr="00E20A5B">
        <w:rPr>
          <w:rFonts w:ascii="Arial" w:hAnsi="Arial" w:cs="Arial"/>
          <w:i/>
          <w:sz w:val="20"/>
          <w:szCs w:val="20"/>
        </w:rPr>
        <w:t>Mamfe</w:t>
      </w:r>
      <w:proofErr w:type="spellEnd"/>
      <w:r w:rsidR="004B4F11" w:rsidRPr="00E20A5B">
        <w:rPr>
          <w:rFonts w:ascii="Arial" w:hAnsi="Arial" w:cs="Arial"/>
          <w:i/>
          <w:sz w:val="20"/>
          <w:szCs w:val="20"/>
        </w:rPr>
        <w:t xml:space="preserve"> Central sub-d</w:t>
      </w:r>
      <w:r w:rsidRPr="00E20A5B">
        <w:rPr>
          <w:rFonts w:ascii="Arial" w:hAnsi="Arial" w:cs="Arial"/>
          <w:i/>
          <w:sz w:val="20"/>
          <w:szCs w:val="20"/>
        </w:rPr>
        <w:t>ivision · Cameroon · Urban health</w:t>
      </w:r>
    </w:p>
    <w:p w14:paraId="1730DC4A" w14:textId="3E59025F" w:rsidR="009735AE" w:rsidRPr="001B2BC0" w:rsidRDefault="009735AE"/>
    <w:p w14:paraId="3B464601" w14:textId="701076C8" w:rsidR="0070450A" w:rsidRPr="00E20A5B" w:rsidRDefault="00E20A5B" w:rsidP="0070450A">
      <w:pPr>
        <w:pStyle w:val="Heading2"/>
        <w:rPr>
          <w:rFonts w:ascii="Arial" w:hAnsi="Arial" w:cs="Arial"/>
          <w:sz w:val="22"/>
          <w:szCs w:val="22"/>
        </w:rPr>
      </w:pPr>
      <w:r w:rsidRPr="00E20A5B">
        <w:rPr>
          <w:rStyle w:val="Strong"/>
          <w:rFonts w:ascii="Arial" w:hAnsi="Arial" w:cs="Arial"/>
          <w:b/>
          <w:bCs/>
          <w:sz w:val="22"/>
          <w:szCs w:val="22"/>
        </w:rPr>
        <w:t>INTRODUCTION</w:t>
      </w:r>
    </w:p>
    <w:p w14:paraId="77BCD06C" w14:textId="64A4B253" w:rsidR="0070450A" w:rsidRPr="00124F88" w:rsidRDefault="00514BB6" w:rsidP="004A5A50">
      <w:pPr>
        <w:spacing w:before="100" w:beforeAutospacing="1" w:after="100" w:afterAutospacing="1" w:line="360" w:lineRule="auto"/>
        <w:jc w:val="both"/>
        <w:rPr>
          <w:rFonts w:ascii="Arial" w:eastAsia="Times New Roman" w:hAnsi="Arial" w:cs="Arial"/>
          <w:sz w:val="20"/>
          <w:szCs w:val="20"/>
        </w:rPr>
      </w:pPr>
      <w:r w:rsidRPr="00124F88">
        <w:rPr>
          <w:rFonts w:ascii="Arial" w:eastAsia="Times New Roman" w:hAnsi="Arial" w:cs="Arial"/>
          <w:sz w:val="20"/>
          <w:szCs w:val="20"/>
        </w:rPr>
        <w:t xml:space="preserve"> Globally, e</w:t>
      </w:r>
      <w:r w:rsidR="00BD7AF6" w:rsidRPr="00124F88">
        <w:rPr>
          <w:rFonts w:ascii="Arial" w:eastAsia="Times New Roman" w:hAnsi="Arial" w:cs="Arial"/>
          <w:sz w:val="20"/>
          <w:szCs w:val="20"/>
        </w:rPr>
        <w:t>nvironmental sanitation practices and water-related health risks with insights from 2025-2026 show that inadequate water, sanitation and hygiene (WASH) continue to cause significant</w:t>
      </w:r>
      <w:r w:rsidR="00003098" w:rsidRPr="00124F88">
        <w:rPr>
          <w:rFonts w:ascii="Arial" w:eastAsia="Times New Roman" w:hAnsi="Arial" w:cs="Arial"/>
          <w:sz w:val="20"/>
          <w:szCs w:val="20"/>
        </w:rPr>
        <w:t xml:space="preserve"> water-related health </w:t>
      </w:r>
      <w:r w:rsidRPr="00124F88">
        <w:rPr>
          <w:rFonts w:ascii="Arial" w:eastAsia="Times New Roman" w:hAnsi="Arial" w:cs="Arial"/>
          <w:sz w:val="20"/>
          <w:szCs w:val="20"/>
        </w:rPr>
        <w:t xml:space="preserve">diseases </w:t>
      </w:r>
      <w:r w:rsidR="00003098" w:rsidRPr="00124F88">
        <w:rPr>
          <w:rFonts w:ascii="Arial" w:eastAsia="Times New Roman" w:hAnsi="Arial" w:cs="Arial"/>
          <w:sz w:val="20"/>
          <w:szCs w:val="20"/>
        </w:rPr>
        <w:t>such as,</w:t>
      </w:r>
      <w:r w:rsidR="00BD7AF6" w:rsidRPr="00124F88">
        <w:rPr>
          <w:rFonts w:ascii="Arial" w:eastAsia="Times New Roman" w:hAnsi="Arial" w:cs="Arial"/>
          <w:sz w:val="20"/>
          <w:szCs w:val="20"/>
        </w:rPr>
        <w:t xml:space="preserve"> cholera, typhoid, </w:t>
      </w:r>
      <w:r w:rsidR="00003098" w:rsidRPr="00124F88">
        <w:rPr>
          <w:rFonts w:ascii="Arial" w:eastAsia="Times New Roman" w:hAnsi="Arial" w:cs="Arial"/>
          <w:sz w:val="20"/>
          <w:szCs w:val="20"/>
        </w:rPr>
        <w:t>diarrhoea</w:t>
      </w:r>
      <w:r w:rsidR="00BD7AF6" w:rsidRPr="00124F88">
        <w:rPr>
          <w:rFonts w:ascii="Arial" w:eastAsia="Times New Roman" w:hAnsi="Arial" w:cs="Arial"/>
          <w:sz w:val="20"/>
          <w:szCs w:val="20"/>
        </w:rPr>
        <w:t xml:space="preserve"> and polio affecting ov</w:t>
      </w:r>
      <w:r w:rsidR="001F5B82" w:rsidRPr="00124F88">
        <w:rPr>
          <w:rFonts w:ascii="Arial" w:eastAsia="Times New Roman" w:hAnsi="Arial" w:cs="Arial"/>
          <w:sz w:val="20"/>
          <w:szCs w:val="20"/>
        </w:rPr>
        <w:t xml:space="preserve">er 1.7 billion people worldwide </w:t>
      </w:r>
      <w:proofErr w:type="gramStart"/>
      <w:r w:rsidR="001F5B82" w:rsidRPr="00124F88">
        <w:rPr>
          <w:rFonts w:ascii="Arial" w:eastAsia="Times New Roman" w:hAnsi="Arial" w:cs="Arial"/>
          <w:sz w:val="20"/>
          <w:szCs w:val="20"/>
        </w:rPr>
        <w:t>and  causing</w:t>
      </w:r>
      <w:proofErr w:type="gramEnd"/>
      <w:r w:rsidR="001F5B82" w:rsidRPr="00124F88">
        <w:rPr>
          <w:rFonts w:ascii="Arial" w:eastAsia="Times New Roman" w:hAnsi="Arial" w:cs="Arial"/>
          <w:sz w:val="20"/>
          <w:szCs w:val="20"/>
        </w:rPr>
        <w:t xml:space="preserve"> over 1.4 million deaths annually (WHO, 2025).</w:t>
      </w:r>
      <w:r w:rsidRPr="00124F88">
        <w:rPr>
          <w:rFonts w:ascii="Arial" w:eastAsia="Times New Roman" w:hAnsi="Arial" w:cs="Arial"/>
          <w:sz w:val="20"/>
          <w:szCs w:val="20"/>
        </w:rPr>
        <w:t xml:space="preserve"> A</w:t>
      </w:r>
      <w:r w:rsidR="00AA7EB3" w:rsidRPr="00124F88">
        <w:rPr>
          <w:rFonts w:ascii="Arial" w:eastAsia="Times New Roman" w:hAnsi="Arial" w:cs="Arial"/>
          <w:sz w:val="20"/>
          <w:szCs w:val="20"/>
        </w:rPr>
        <w:t>n estimated 2 billion people lack access to safe</w:t>
      </w:r>
      <w:r w:rsidRPr="00124F88">
        <w:rPr>
          <w:rFonts w:ascii="Arial" w:eastAsia="Times New Roman" w:hAnsi="Arial" w:cs="Arial"/>
          <w:sz w:val="20"/>
          <w:szCs w:val="20"/>
        </w:rPr>
        <w:t xml:space="preserve">ly managed sanitation services globally </w:t>
      </w:r>
      <w:r w:rsidR="00AA7EB3" w:rsidRPr="00124F88">
        <w:rPr>
          <w:rFonts w:ascii="Arial" w:eastAsia="Times New Roman" w:hAnsi="Arial" w:cs="Arial"/>
          <w:sz w:val="20"/>
          <w:szCs w:val="20"/>
        </w:rPr>
        <w:t xml:space="preserve">with the burden disproportionately concentrated in low- and middle-income urban centres where informal settlement expansion and limited municipal capacity exacerbate infrastructure deficits (WHO, 2020). </w:t>
      </w:r>
      <w:r w:rsidR="00111B90" w:rsidRPr="00124F88">
        <w:rPr>
          <w:rFonts w:ascii="Arial" w:eastAsia="Times New Roman" w:hAnsi="Arial" w:cs="Arial"/>
          <w:sz w:val="20"/>
          <w:szCs w:val="20"/>
        </w:rPr>
        <w:t>In the developed world,</w:t>
      </w:r>
      <w:r w:rsidR="00111B90" w:rsidRPr="00124F88">
        <w:rPr>
          <w:rFonts w:ascii="Arial" w:hAnsi="Arial" w:cs="Arial"/>
          <w:color w:val="000000"/>
          <w:sz w:val="20"/>
          <w:szCs w:val="20"/>
        </w:rPr>
        <w:t xml:space="preserve"> Water management strategies centred on water catchment management, management of riparian areas, pipe borne water resource management and surface and underground water resource management, (The Organisation for Economic Cooperation and Development [OECD], 2020). This is very severe in Southern Europe and Western Asia as a result of environmental degradation and competition for water resulting in water scarcity where human institutions and financial capital limits access to water. This is highly orchestrated by lack of under-developed water infrastructures, high vulnerability to short and long-term drought and difficult access to reliable water supplies especially for the rural people thus exposing them to waterborne diseases (WHO, 2020). Measures are being put in place to implement preventive measures and this is done through the understanding of the ways in which water management practices influence the health of the population and the formulation of integrated policies and strategies accordingly (Pratts, 2019)</w:t>
      </w:r>
      <w:r w:rsidR="00AA7EB3" w:rsidRPr="00124F88">
        <w:rPr>
          <w:rFonts w:ascii="Arial" w:hAnsi="Arial" w:cs="Arial"/>
          <w:color w:val="000000"/>
          <w:sz w:val="20"/>
          <w:szCs w:val="20"/>
        </w:rPr>
        <w:t>.</w:t>
      </w:r>
      <w:r w:rsidR="00AA7EB3" w:rsidRPr="00124F88">
        <w:rPr>
          <w:rFonts w:ascii="Arial" w:eastAsia="Times New Roman" w:hAnsi="Arial" w:cs="Arial"/>
          <w:sz w:val="20"/>
          <w:szCs w:val="20"/>
        </w:rPr>
        <w:t xml:space="preserve"> Environmental sanitation encompasses a broad spectrum of interventions and practices that regulate the interaction between human populations and their environment, including solid and liquid waste management, drainage systems, sanitation infrastructure, and hygiene behaviour (Satterthwaite </w:t>
      </w:r>
      <w:r w:rsidR="00AA7EB3" w:rsidRPr="00124F88">
        <w:rPr>
          <w:rFonts w:ascii="Arial" w:eastAsia="Times New Roman" w:hAnsi="Arial" w:cs="Arial"/>
          <w:i/>
          <w:sz w:val="20"/>
          <w:szCs w:val="20"/>
        </w:rPr>
        <w:t xml:space="preserve">et al., </w:t>
      </w:r>
      <w:r w:rsidR="00AA7EB3" w:rsidRPr="00124F88">
        <w:rPr>
          <w:rFonts w:ascii="Arial" w:eastAsia="Times New Roman" w:hAnsi="Arial" w:cs="Arial"/>
          <w:sz w:val="20"/>
          <w:szCs w:val="20"/>
        </w:rPr>
        <w:t>2005). Deficiencies in these systems create multiple pathways for environmental contamination. For instance, improperly managed solid waste generates leachate that infiltrates groundwater and surface water systems; poorly maintained drainage systems facilitate stagnant water accumulation, encouraging vector breeding and contaminant concentration; and inadequate sanitation facilities contribute to faecal contamination through surface runoff and groundwater seepage (</w:t>
      </w:r>
      <w:proofErr w:type="spellStart"/>
      <w:r w:rsidR="00AA7EB3" w:rsidRPr="00124F88">
        <w:rPr>
          <w:rFonts w:ascii="Arial" w:eastAsia="Times New Roman" w:hAnsi="Arial" w:cs="Arial"/>
          <w:sz w:val="20"/>
          <w:szCs w:val="20"/>
        </w:rPr>
        <w:t>Prüss-Üstün</w:t>
      </w:r>
      <w:proofErr w:type="spellEnd"/>
      <w:r w:rsidR="00AA7EB3" w:rsidRPr="00124F88">
        <w:rPr>
          <w:rFonts w:ascii="Arial" w:eastAsia="Times New Roman" w:hAnsi="Arial" w:cs="Arial"/>
          <w:sz w:val="20"/>
          <w:szCs w:val="20"/>
        </w:rPr>
        <w:t xml:space="preserve"> </w:t>
      </w:r>
      <w:r w:rsidR="00AA7EB3" w:rsidRPr="00124F88">
        <w:rPr>
          <w:rFonts w:ascii="Arial" w:eastAsia="Times New Roman" w:hAnsi="Arial" w:cs="Arial"/>
          <w:i/>
          <w:sz w:val="20"/>
          <w:szCs w:val="20"/>
        </w:rPr>
        <w:t>et al.,</w:t>
      </w:r>
      <w:r w:rsidR="00AA7EB3" w:rsidRPr="00124F88">
        <w:rPr>
          <w:rFonts w:ascii="Arial" w:eastAsia="Times New Roman" w:hAnsi="Arial" w:cs="Arial"/>
          <w:sz w:val="20"/>
          <w:szCs w:val="20"/>
        </w:rPr>
        <w:t xml:space="preserve"> 2019). These processes collectively increase the incidence of water-related diseases such as diarrhoea, cholera, typhoid, and helminth infections (</w:t>
      </w:r>
      <w:proofErr w:type="spellStart"/>
      <w:r w:rsidR="00AA7EB3" w:rsidRPr="00124F88">
        <w:rPr>
          <w:rFonts w:ascii="Arial" w:eastAsia="Times New Roman" w:hAnsi="Arial" w:cs="Arial"/>
          <w:sz w:val="20"/>
          <w:szCs w:val="20"/>
        </w:rPr>
        <w:t>Fewtrell</w:t>
      </w:r>
      <w:proofErr w:type="spellEnd"/>
      <w:r w:rsidR="00AA7EB3" w:rsidRPr="00124F88">
        <w:rPr>
          <w:rFonts w:ascii="Arial" w:eastAsia="Times New Roman" w:hAnsi="Arial" w:cs="Arial"/>
          <w:sz w:val="20"/>
          <w:szCs w:val="20"/>
        </w:rPr>
        <w:t xml:space="preserve"> </w:t>
      </w:r>
      <w:r w:rsidR="00AA7EB3" w:rsidRPr="00124F88">
        <w:rPr>
          <w:rFonts w:ascii="Arial" w:eastAsia="Times New Roman" w:hAnsi="Arial" w:cs="Arial"/>
          <w:i/>
          <w:sz w:val="20"/>
          <w:szCs w:val="20"/>
        </w:rPr>
        <w:t>et al.,</w:t>
      </w:r>
      <w:r w:rsidR="00AA7EB3" w:rsidRPr="00124F88">
        <w:rPr>
          <w:rFonts w:ascii="Arial" w:eastAsia="Times New Roman" w:hAnsi="Arial" w:cs="Arial"/>
          <w:sz w:val="20"/>
          <w:szCs w:val="20"/>
        </w:rPr>
        <w:t xml:space="preserve"> 2005).</w:t>
      </w:r>
      <w:r w:rsidR="007D0D77" w:rsidRPr="00124F88">
        <w:rPr>
          <w:rFonts w:ascii="Arial" w:eastAsia="Times New Roman" w:hAnsi="Arial" w:cs="Arial"/>
          <w:sz w:val="20"/>
          <w:szCs w:val="20"/>
        </w:rPr>
        <w:t xml:space="preserve"> In the developing world</w:t>
      </w:r>
      <w:r w:rsidR="00AA7EB3" w:rsidRPr="00124F88">
        <w:rPr>
          <w:rFonts w:ascii="Arial" w:eastAsia="Times New Roman" w:hAnsi="Arial" w:cs="Arial"/>
          <w:sz w:val="20"/>
          <w:szCs w:val="20"/>
        </w:rPr>
        <w:t xml:space="preserve">  </w:t>
      </w:r>
      <w:r w:rsidR="007D0D77" w:rsidRPr="00124F88">
        <w:rPr>
          <w:rFonts w:ascii="Arial" w:eastAsia="Times New Roman" w:hAnsi="Arial" w:cs="Arial"/>
          <w:sz w:val="20"/>
          <w:szCs w:val="20"/>
        </w:rPr>
        <w:t xml:space="preserve"> a</w:t>
      </w:r>
      <w:r w:rsidR="001B2BC0" w:rsidRPr="00124F88">
        <w:rPr>
          <w:rFonts w:ascii="Arial" w:eastAsia="Times New Roman" w:hAnsi="Arial" w:cs="Arial"/>
          <w:sz w:val="20"/>
          <w:szCs w:val="20"/>
        </w:rPr>
        <w:t xml:space="preserve">ccess to adequate environmental sanitation and safe water constitutes a fundamental requirement for public health and human well-being, particularly in </w:t>
      </w:r>
      <w:r w:rsidR="007D0D77" w:rsidRPr="00124F88">
        <w:rPr>
          <w:rFonts w:ascii="Arial" w:eastAsia="Times New Roman" w:hAnsi="Arial" w:cs="Arial"/>
          <w:sz w:val="20"/>
          <w:szCs w:val="20"/>
        </w:rPr>
        <w:t>rapidly urbanising regions (</w:t>
      </w:r>
      <w:proofErr w:type="spellStart"/>
      <w:r w:rsidR="007D0D77" w:rsidRPr="00124F88">
        <w:rPr>
          <w:rFonts w:ascii="Arial" w:eastAsia="Times New Roman" w:hAnsi="Arial" w:cs="Arial"/>
          <w:sz w:val="20"/>
          <w:szCs w:val="20"/>
        </w:rPr>
        <w:t>Fewtrell</w:t>
      </w:r>
      <w:proofErr w:type="spellEnd"/>
      <w:r w:rsidR="007D0D77" w:rsidRPr="00124F88">
        <w:rPr>
          <w:rFonts w:ascii="Arial" w:eastAsia="Times New Roman" w:hAnsi="Arial" w:cs="Arial"/>
          <w:sz w:val="20"/>
          <w:szCs w:val="20"/>
        </w:rPr>
        <w:t xml:space="preserve"> </w:t>
      </w:r>
      <w:r w:rsidR="007D0D77" w:rsidRPr="00124F88">
        <w:rPr>
          <w:rFonts w:ascii="Arial" w:eastAsia="Times New Roman" w:hAnsi="Arial" w:cs="Arial"/>
          <w:i/>
          <w:sz w:val="20"/>
          <w:szCs w:val="20"/>
        </w:rPr>
        <w:t>et al.,</w:t>
      </w:r>
      <w:r w:rsidR="007D0D77" w:rsidRPr="00124F88">
        <w:rPr>
          <w:rFonts w:ascii="Arial" w:eastAsia="Times New Roman" w:hAnsi="Arial" w:cs="Arial"/>
          <w:sz w:val="20"/>
          <w:szCs w:val="20"/>
        </w:rPr>
        <w:t xml:space="preserve"> 2005). </w:t>
      </w:r>
      <w:r w:rsidR="001B2BC0" w:rsidRPr="00124F88">
        <w:rPr>
          <w:rFonts w:ascii="Arial" w:eastAsia="Times New Roman" w:hAnsi="Arial" w:cs="Arial"/>
          <w:sz w:val="20"/>
          <w:szCs w:val="20"/>
        </w:rPr>
        <w:t xml:space="preserve">In sub-Saharan Africa, urban population growth has consistently outpaced the expansion of sanitation infrastructure, resulting in increased exposure to waterborne diseases, vector-borne illnesses, and environmental contamination (WHO/UNICEF, 2019; UNEP, 2016). In Cameroon, sanitation conditions vary significantly between cities and across neighbourhoods within urban centres. While major cities such as Yaoundé and Douala have been widely studied, smaller and rapidly expanding towns such as </w:t>
      </w:r>
      <w:proofErr w:type="spellStart"/>
      <w:r w:rsidR="001B2BC0" w:rsidRPr="00124F88">
        <w:rPr>
          <w:rFonts w:ascii="Arial" w:eastAsia="Times New Roman" w:hAnsi="Arial" w:cs="Arial"/>
          <w:sz w:val="20"/>
          <w:szCs w:val="20"/>
        </w:rPr>
        <w:t>Mamfe</w:t>
      </w:r>
      <w:proofErr w:type="spellEnd"/>
      <w:r w:rsidR="001B2BC0" w:rsidRPr="00124F88">
        <w:rPr>
          <w:rFonts w:ascii="Arial" w:eastAsia="Times New Roman" w:hAnsi="Arial" w:cs="Arial"/>
          <w:sz w:val="20"/>
          <w:szCs w:val="20"/>
        </w:rPr>
        <w:t xml:space="preserve"> remain under-documented despite facing comparable sanitation challenges. As the admini</w:t>
      </w:r>
      <w:r w:rsidR="004B4F11" w:rsidRPr="00124F88">
        <w:rPr>
          <w:rFonts w:ascii="Arial" w:eastAsia="Times New Roman" w:hAnsi="Arial" w:cs="Arial"/>
          <w:sz w:val="20"/>
          <w:szCs w:val="20"/>
        </w:rPr>
        <w:t xml:space="preserve">strative headquarters of </w:t>
      </w:r>
      <w:proofErr w:type="spellStart"/>
      <w:r w:rsidR="004B4F11" w:rsidRPr="00124F88">
        <w:rPr>
          <w:rFonts w:ascii="Arial" w:eastAsia="Times New Roman" w:hAnsi="Arial" w:cs="Arial"/>
          <w:sz w:val="20"/>
          <w:szCs w:val="20"/>
        </w:rPr>
        <w:t>Manyu</w:t>
      </w:r>
      <w:proofErr w:type="spellEnd"/>
      <w:r w:rsidR="004B4F11" w:rsidRPr="00124F88">
        <w:rPr>
          <w:rFonts w:ascii="Arial" w:eastAsia="Times New Roman" w:hAnsi="Arial" w:cs="Arial"/>
          <w:sz w:val="20"/>
          <w:szCs w:val="20"/>
        </w:rPr>
        <w:t xml:space="preserve"> d</w:t>
      </w:r>
      <w:r w:rsidR="001B2BC0" w:rsidRPr="00124F88">
        <w:rPr>
          <w:rFonts w:ascii="Arial" w:eastAsia="Times New Roman" w:hAnsi="Arial" w:cs="Arial"/>
          <w:sz w:val="20"/>
          <w:szCs w:val="20"/>
        </w:rPr>
        <w:t xml:space="preserve">ivision, </w:t>
      </w:r>
      <w:proofErr w:type="spellStart"/>
      <w:r w:rsidR="001B2BC0" w:rsidRPr="00124F88">
        <w:rPr>
          <w:rFonts w:ascii="Arial" w:eastAsia="Times New Roman" w:hAnsi="Arial" w:cs="Arial"/>
          <w:sz w:val="20"/>
          <w:szCs w:val="20"/>
        </w:rPr>
        <w:t>Mamfe</w:t>
      </w:r>
      <w:proofErr w:type="spellEnd"/>
      <w:r w:rsidR="001B2BC0" w:rsidRPr="00124F88">
        <w:rPr>
          <w:rFonts w:ascii="Arial" w:eastAsia="Times New Roman" w:hAnsi="Arial" w:cs="Arial"/>
          <w:sz w:val="20"/>
          <w:szCs w:val="20"/>
        </w:rPr>
        <w:t xml:space="preserve"> typifies the conditions of secondary urban </w:t>
      </w:r>
      <w:r w:rsidR="001B2BC0" w:rsidRPr="00124F88">
        <w:rPr>
          <w:rFonts w:ascii="Arial" w:eastAsia="Times New Roman" w:hAnsi="Arial" w:cs="Arial"/>
          <w:sz w:val="20"/>
          <w:szCs w:val="20"/>
        </w:rPr>
        <w:lastRenderedPageBreak/>
        <w:t>centres characterised by rapid population growth, inadequate waste management systems, uneven access to sanitation facilities, and a complex interaction between waste disposal practices and water source quality that directly influences public health outcomes. Despite the well-established relationship between sanitation and water quality, there remains a critical need for context-specific empirical studies that quantify this relationship in secondary urban centres. This study addresses this gap by examining environmental sanitation practices and thei</w:t>
      </w:r>
      <w:r w:rsidR="007D0D77" w:rsidRPr="00124F88">
        <w:rPr>
          <w:rFonts w:ascii="Arial" w:eastAsia="Times New Roman" w:hAnsi="Arial" w:cs="Arial"/>
          <w:sz w:val="20"/>
          <w:szCs w:val="20"/>
        </w:rPr>
        <w:t>r implications for water-related health risks</w:t>
      </w:r>
      <w:r w:rsidR="004B4F11" w:rsidRPr="00124F88">
        <w:rPr>
          <w:rFonts w:ascii="Arial" w:eastAsia="Times New Roman" w:hAnsi="Arial" w:cs="Arial"/>
          <w:sz w:val="20"/>
          <w:szCs w:val="20"/>
        </w:rPr>
        <w:t xml:space="preserve"> in </w:t>
      </w:r>
      <w:proofErr w:type="spellStart"/>
      <w:r w:rsidR="004B4F11" w:rsidRPr="00124F88">
        <w:rPr>
          <w:rFonts w:ascii="Arial" w:eastAsia="Times New Roman" w:hAnsi="Arial" w:cs="Arial"/>
          <w:sz w:val="20"/>
          <w:szCs w:val="20"/>
        </w:rPr>
        <w:t>Mamfe</w:t>
      </w:r>
      <w:proofErr w:type="spellEnd"/>
      <w:r w:rsidR="004B4F11" w:rsidRPr="00124F88">
        <w:rPr>
          <w:rFonts w:ascii="Arial" w:eastAsia="Times New Roman" w:hAnsi="Arial" w:cs="Arial"/>
          <w:sz w:val="20"/>
          <w:szCs w:val="20"/>
        </w:rPr>
        <w:t xml:space="preserve"> Central sub-d</w:t>
      </w:r>
      <w:r w:rsidR="001B2BC0" w:rsidRPr="00124F88">
        <w:rPr>
          <w:rFonts w:ascii="Arial" w:eastAsia="Times New Roman" w:hAnsi="Arial" w:cs="Arial"/>
          <w:sz w:val="20"/>
          <w:szCs w:val="20"/>
        </w:rPr>
        <w:t>ivision.</w:t>
      </w:r>
      <w:r w:rsidR="001B2BC0" w:rsidRPr="00124F88">
        <w:rPr>
          <w:rFonts w:ascii="Arial" w:eastAsia="Times New Roman" w:hAnsi="Arial" w:cs="Arial"/>
          <w:sz w:val="20"/>
          <w:szCs w:val="20"/>
          <w:lang w:val="en-US"/>
        </w:rPr>
        <w:t xml:space="preserve"> This study is guided by the following research questions:</w:t>
      </w:r>
    </w:p>
    <w:p w14:paraId="374D2361" w14:textId="15C76B82" w:rsidR="001B2BC0" w:rsidRPr="00124F88" w:rsidRDefault="001B2BC0" w:rsidP="005874A7">
      <w:pPr>
        <w:pStyle w:val="ListParagraph"/>
        <w:numPr>
          <w:ilvl w:val="0"/>
          <w:numId w:val="5"/>
        </w:numPr>
        <w:spacing w:after="0" w:line="360" w:lineRule="auto"/>
        <w:rPr>
          <w:rFonts w:ascii="Arial" w:eastAsia="Times New Roman" w:hAnsi="Arial" w:cs="Arial"/>
          <w:sz w:val="20"/>
          <w:szCs w:val="20"/>
        </w:rPr>
      </w:pPr>
      <w:r w:rsidRPr="00124F88">
        <w:rPr>
          <w:rFonts w:ascii="Arial" w:eastAsia="Times New Roman" w:hAnsi="Arial" w:cs="Arial"/>
          <w:sz w:val="20"/>
          <w:szCs w:val="20"/>
        </w:rPr>
        <w:t>What are the dominant waste managem</w:t>
      </w:r>
      <w:r w:rsidR="004B4F11" w:rsidRPr="00124F88">
        <w:rPr>
          <w:rFonts w:ascii="Arial" w:eastAsia="Times New Roman" w:hAnsi="Arial" w:cs="Arial"/>
          <w:sz w:val="20"/>
          <w:szCs w:val="20"/>
        </w:rPr>
        <w:t xml:space="preserve">ent practices in </w:t>
      </w:r>
      <w:proofErr w:type="spellStart"/>
      <w:r w:rsidR="004B4F11" w:rsidRPr="00124F88">
        <w:rPr>
          <w:rFonts w:ascii="Arial" w:eastAsia="Times New Roman" w:hAnsi="Arial" w:cs="Arial"/>
          <w:sz w:val="20"/>
          <w:szCs w:val="20"/>
        </w:rPr>
        <w:t>Mamfe</w:t>
      </w:r>
      <w:proofErr w:type="spellEnd"/>
      <w:r w:rsidR="004B4F11" w:rsidRPr="00124F88">
        <w:rPr>
          <w:rFonts w:ascii="Arial" w:eastAsia="Times New Roman" w:hAnsi="Arial" w:cs="Arial"/>
          <w:sz w:val="20"/>
          <w:szCs w:val="20"/>
        </w:rPr>
        <w:t xml:space="preserve"> Central sub-d</w:t>
      </w:r>
      <w:r w:rsidRPr="00124F88">
        <w:rPr>
          <w:rFonts w:ascii="Arial" w:eastAsia="Times New Roman" w:hAnsi="Arial" w:cs="Arial"/>
          <w:sz w:val="20"/>
          <w:szCs w:val="20"/>
        </w:rPr>
        <w:t xml:space="preserve">ivision, and how are they spatially distributed across different quarters? </w:t>
      </w:r>
    </w:p>
    <w:p w14:paraId="25531210" w14:textId="79A952C9" w:rsidR="001B2BC0" w:rsidRPr="00124F88" w:rsidRDefault="001B2BC0" w:rsidP="004A5A50">
      <w:pPr>
        <w:pStyle w:val="ListParagraph"/>
        <w:numPr>
          <w:ilvl w:val="0"/>
          <w:numId w:val="5"/>
        </w:numPr>
        <w:spacing w:after="0" w:line="360" w:lineRule="auto"/>
        <w:rPr>
          <w:rFonts w:ascii="Arial" w:eastAsia="Times New Roman" w:hAnsi="Arial" w:cs="Arial"/>
          <w:sz w:val="20"/>
          <w:szCs w:val="20"/>
        </w:rPr>
      </w:pPr>
      <w:r w:rsidRPr="00124F88">
        <w:rPr>
          <w:rFonts w:ascii="Arial" w:eastAsia="Times New Roman" w:hAnsi="Arial" w:cs="Arial"/>
          <w:sz w:val="20"/>
          <w:szCs w:val="20"/>
        </w:rPr>
        <w:t xml:space="preserve">To what extent do households have access to adequate sanitation facilities and adopt appropriate hygiene practices? </w:t>
      </w:r>
    </w:p>
    <w:p w14:paraId="7EE8B0C6" w14:textId="6EEFC067" w:rsidR="001B2BC0" w:rsidRPr="00124F88" w:rsidRDefault="001B2BC0" w:rsidP="004A5A50">
      <w:pPr>
        <w:pStyle w:val="ListParagraph"/>
        <w:numPr>
          <w:ilvl w:val="0"/>
          <w:numId w:val="5"/>
        </w:numPr>
        <w:spacing w:after="0" w:line="360" w:lineRule="auto"/>
        <w:rPr>
          <w:rFonts w:ascii="Arial" w:eastAsia="Times New Roman" w:hAnsi="Arial" w:cs="Arial"/>
          <w:sz w:val="20"/>
          <w:szCs w:val="20"/>
        </w:rPr>
      </w:pPr>
      <w:r w:rsidRPr="00124F88">
        <w:rPr>
          <w:rFonts w:ascii="Arial" w:eastAsia="Times New Roman" w:hAnsi="Arial" w:cs="Arial"/>
          <w:sz w:val="20"/>
          <w:szCs w:val="20"/>
        </w:rPr>
        <w:t xml:space="preserve">What types of water sources are used by residents, and how do their quality and accessibility influence health outcomes? </w:t>
      </w:r>
    </w:p>
    <w:p w14:paraId="0D971387" w14:textId="2C7BE512" w:rsidR="001B2BC0" w:rsidRPr="00124F88" w:rsidRDefault="001B2BC0" w:rsidP="004A5A50">
      <w:pPr>
        <w:pStyle w:val="ListParagraph"/>
        <w:numPr>
          <w:ilvl w:val="0"/>
          <w:numId w:val="5"/>
        </w:numPr>
        <w:spacing w:before="100" w:beforeAutospacing="1" w:after="100" w:afterAutospacing="1" w:line="360" w:lineRule="auto"/>
        <w:jc w:val="both"/>
        <w:rPr>
          <w:rFonts w:ascii="Arial" w:eastAsia="Times New Roman" w:hAnsi="Arial" w:cs="Arial"/>
          <w:sz w:val="20"/>
          <w:szCs w:val="20"/>
        </w:rPr>
      </w:pPr>
      <w:r w:rsidRPr="00124F88">
        <w:rPr>
          <w:rFonts w:ascii="Arial" w:eastAsia="Times New Roman" w:hAnsi="Arial" w:cs="Arial"/>
          <w:sz w:val="20"/>
          <w:szCs w:val="20"/>
        </w:rPr>
        <w:t>What is the nature and strength of the relationship between environmental sanitati</w:t>
      </w:r>
      <w:r w:rsidR="00416228" w:rsidRPr="00124F88">
        <w:rPr>
          <w:rFonts w:ascii="Arial" w:eastAsia="Times New Roman" w:hAnsi="Arial" w:cs="Arial"/>
          <w:sz w:val="20"/>
          <w:szCs w:val="20"/>
        </w:rPr>
        <w:t xml:space="preserve">on conditions and water-related health risk </w:t>
      </w:r>
      <w:r w:rsidRPr="00124F88">
        <w:rPr>
          <w:rFonts w:ascii="Arial" w:eastAsia="Times New Roman" w:hAnsi="Arial" w:cs="Arial"/>
          <w:sz w:val="20"/>
          <w:szCs w:val="20"/>
        </w:rPr>
        <w:t>in the study area?</w:t>
      </w:r>
    </w:p>
    <w:p w14:paraId="2A41A09F" w14:textId="0F21A036" w:rsidR="006D29D1" w:rsidRPr="00124F88" w:rsidRDefault="006D29D1" w:rsidP="006D29D1">
      <w:pPr>
        <w:pStyle w:val="ListParagraph"/>
        <w:spacing w:before="100" w:beforeAutospacing="1" w:after="100" w:afterAutospacing="1" w:line="360" w:lineRule="auto"/>
        <w:jc w:val="both"/>
        <w:rPr>
          <w:rFonts w:ascii="Arial" w:eastAsia="Times New Roman" w:hAnsi="Arial" w:cs="Arial"/>
          <w:b/>
          <w:sz w:val="20"/>
          <w:szCs w:val="20"/>
        </w:rPr>
      </w:pPr>
      <w:r w:rsidRPr="00124F88">
        <w:rPr>
          <w:rFonts w:ascii="Arial" w:eastAsia="Times New Roman" w:hAnsi="Arial" w:cs="Arial"/>
          <w:b/>
          <w:sz w:val="20"/>
          <w:szCs w:val="20"/>
        </w:rPr>
        <w:t>The objective</w:t>
      </w:r>
      <w:r w:rsidR="00901890" w:rsidRPr="00124F88">
        <w:rPr>
          <w:rFonts w:ascii="Arial" w:eastAsia="Times New Roman" w:hAnsi="Arial" w:cs="Arial"/>
          <w:b/>
          <w:sz w:val="20"/>
          <w:szCs w:val="20"/>
        </w:rPr>
        <w:t>s</w:t>
      </w:r>
      <w:r w:rsidRPr="00124F88">
        <w:rPr>
          <w:rFonts w:ascii="Arial" w:eastAsia="Times New Roman" w:hAnsi="Arial" w:cs="Arial"/>
          <w:b/>
          <w:sz w:val="20"/>
          <w:szCs w:val="20"/>
        </w:rPr>
        <w:t xml:space="preserve"> of the study </w:t>
      </w:r>
      <w:proofErr w:type="gramStart"/>
      <w:r w:rsidRPr="00124F88">
        <w:rPr>
          <w:rFonts w:ascii="Arial" w:eastAsia="Times New Roman" w:hAnsi="Arial" w:cs="Arial"/>
          <w:b/>
          <w:sz w:val="20"/>
          <w:szCs w:val="20"/>
        </w:rPr>
        <w:t>is</w:t>
      </w:r>
      <w:proofErr w:type="gramEnd"/>
    </w:p>
    <w:p w14:paraId="00A3ED85" w14:textId="598C6791" w:rsidR="006D29D1" w:rsidRPr="00124F88" w:rsidRDefault="006D29D1" w:rsidP="00CC5F4F">
      <w:pPr>
        <w:pStyle w:val="ListParagraph"/>
        <w:numPr>
          <w:ilvl w:val="0"/>
          <w:numId w:val="9"/>
        </w:numPr>
        <w:spacing w:before="100" w:beforeAutospacing="1" w:after="100" w:afterAutospacing="1" w:line="360" w:lineRule="auto"/>
        <w:jc w:val="both"/>
        <w:rPr>
          <w:rFonts w:ascii="Arial" w:eastAsia="Calibri" w:hAnsi="Arial" w:cs="Arial"/>
          <w:color w:val="000000" w:themeColor="text1"/>
          <w:sz w:val="20"/>
          <w:szCs w:val="20"/>
        </w:rPr>
      </w:pPr>
      <w:r w:rsidRPr="00124F88">
        <w:rPr>
          <w:rFonts w:ascii="Arial" w:eastAsia="Calibri" w:hAnsi="Arial" w:cs="Arial"/>
          <w:color w:val="000000" w:themeColor="text1"/>
          <w:sz w:val="20"/>
          <w:szCs w:val="20"/>
        </w:rPr>
        <w:t xml:space="preserve">To assess </w:t>
      </w:r>
      <w:r w:rsidR="00FA0AC3" w:rsidRPr="00124F88">
        <w:rPr>
          <w:rFonts w:ascii="Arial" w:eastAsia="Calibri" w:hAnsi="Arial" w:cs="Arial"/>
          <w:color w:val="000000" w:themeColor="text1"/>
          <w:sz w:val="20"/>
          <w:szCs w:val="20"/>
        </w:rPr>
        <w:t xml:space="preserve">the dominant waste management practices and their spatial distribution across the </w:t>
      </w:r>
      <w:proofErr w:type="gramStart"/>
      <w:r w:rsidR="00FA0AC3" w:rsidRPr="00124F88">
        <w:rPr>
          <w:rFonts w:ascii="Arial" w:eastAsia="Calibri" w:hAnsi="Arial" w:cs="Arial"/>
          <w:color w:val="000000" w:themeColor="text1"/>
          <w:sz w:val="20"/>
          <w:szCs w:val="20"/>
        </w:rPr>
        <w:t>different  quarters</w:t>
      </w:r>
      <w:proofErr w:type="gramEnd"/>
    </w:p>
    <w:p w14:paraId="7738349C" w14:textId="5B38DE41" w:rsidR="00CC5F4F" w:rsidRPr="00124F88" w:rsidRDefault="00CC5F4F" w:rsidP="00CC5F4F">
      <w:pPr>
        <w:pStyle w:val="ListParagraph"/>
        <w:numPr>
          <w:ilvl w:val="0"/>
          <w:numId w:val="9"/>
        </w:numPr>
        <w:spacing w:before="100" w:beforeAutospacing="1" w:after="100" w:afterAutospacing="1" w:line="360" w:lineRule="auto"/>
        <w:jc w:val="both"/>
        <w:rPr>
          <w:rFonts w:ascii="Arial" w:eastAsia="Calibri" w:hAnsi="Arial" w:cs="Arial"/>
          <w:color w:val="000000" w:themeColor="text1"/>
          <w:sz w:val="20"/>
          <w:szCs w:val="20"/>
        </w:rPr>
      </w:pPr>
      <w:r w:rsidRPr="00124F88">
        <w:rPr>
          <w:rFonts w:ascii="Arial" w:eastAsia="Calibri" w:hAnsi="Arial" w:cs="Arial"/>
          <w:color w:val="000000" w:themeColor="text1"/>
          <w:sz w:val="20"/>
          <w:szCs w:val="20"/>
        </w:rPr>
        <w:t xml:space="preserve">To evaluate the extent to which households have access to adequate sanitation facilities and </w:t>
      </w:r>
      <w:proofErr w:type="gramStart"/>
      <w:r w:rsidRPr="00124F88">
        <w:rPr>
          <w:rFonts w:ascii="Arial" w:eastAsia="Calibri" w:hAnsi="Arial" w:cs="Arial"/>
          <w:color w:val="000000" w:themeColor="text1"/>
          <w:sz w:val="20"/>
          <w:szCs w:val="20"/>
        </w:rPr>
        <w:t>adopt  appropriate</w:t>
      </w:r>
      <w:proofErr w:type="gramEnd"/>
      <w:r w:rsidRPr="00124F88">
        <w:rPr>
          <w:rFonts w:ascii="Arial" w:eastAsia="Calibri" w:hAnsi="Arial" w:cs="Arial"/>
          <w:color w:val="000000" w:themeColor="text1"/>
          <w:sz w:val="20"/>
          <w:szCs w:val="20"/>
        </w:rPr>
        <w:t xml:space="preserve"> hygiene practices</w:t>
      </w:r>
    </w:p>
    <w:p w14:paraId="2FB33A28" w14:textId="0A234D74" w:rsidR="00CC5F4F" w:rsidRPr="00124F88" w:rsidRDefault="00CC5F4F" w:rsidP="00CC5F4F">
      <w:pPr>
        <w:pStyle w:val="ListParagraph"/>
        <w:numPr>
          <w:ilvl w:val="0"/>
          <w:numId w:val="9"/>
        </w:numPr>
        <w:spacing w:before="100" w:beforeAutospacing="1" w:after="100" w:afterAutospacing="1" w:line="360" w:lineRule="auto"/>
        <w:jc w:val="both"/>
        <w:rPr>
          <w:rFonts w:ascii="Arial" w:eastAsia="Calibri" w:hAnsi="Arial" w:cs="Arial"/>
          <w:color w:val="000000" w:themeColor="text1"/>
          <w:sz w:val="20"/>
          <w:szCs w:val="20"/>
        </w:rPr>
      </w:pPr>
      <w:r w:rsidRPr="00124F88">
        <w:rPr>
          <w:rFonts w:ascii="Arial" w:eastAsia="Calibri" w:hAnsi="Arial" w:cs="Arial"/>
          <w:color w:val="000000" w:themeColor="text1"/>
          <w:sz w:val="20"/>
          <w:szCs w:val="20"/>
        </w:rPr>
        <w:t xml:space="preserve">To investigate the type of water sources used by the residents and how </w:t>
      </w:r>
      <w:proofErr w:type="gramStart"/>
      <w:r w:rsidRPr="00124F88">
        <w:rPr>
          <w:rFonts w:ascii="Arial" w:eastAsia="Calibri" w:hAnsi="Arial" w:cs="Arial"/>
          <w:color w:val="000000" w:themeColor="text1"/>
          <w:sz w:val="20"/>
          <w:szCs w:val="20"/>
        </w:rPr>
        <w:t>its  quality</w:t>
      </w:r>
      <w:proofErr w:type="gramEnd"/>
      <w:r w:rsidRPr="00124F88">
        <w:rPr>
          <w:rFonts w:ascii="Arial" w:eastAsia="Calibri" w:hAnsi="Arial" w:cs="Arial"/>
          <w:color w:val="000000" w:themeColor="text1"/>
          <w:sz w:val="20"/>
          <w:szCs w:val="20"/>
        </w:rPr>
        <w:t xml:space="preserve"> and accessibility affect health outcomes</w:t>
      </w:r>
    </w:p>
    <w:p w14:paraId="7C115060" w14:textId="06EC56E2" w:rsidR="006D29D1" w:rsidRPr="00D40C59" w:rsidRDefault="00CC5F4F" w:rsidP="00D40C59">
      <w:pPr>
        <w:pStyle w:val="ListParagraph"/>
        <w:numPr>
          <w:ilvl w:val="0"/>
          <w:numId w:val="9"/>
        </w:numPr>
        <w:spacing w:before="100" w:beforeAutospacing="1" w:after="100" w:afterAutospacing="1" w:line="360" w:lineRule="auto"/>
        <w:jc w:val="both"/>
        <w:rPr>
          <w:rFonts w:ascii="Arial" w:eastAsia="Calibri" w:hAnsi="Arial" w:cs="Arial"/>
          <w:color w:val="000000" w:themeColor="text1"/>
          <w:sz w:val="20"/>
          <w:szCs w:val="20"/>
        </w:rPr>
      </w:pPr>
      <w:r w:rsidRPr="00124F88">
        <w:rPr>
          <w:rFonts w:ascii="Arial" w:eastAsia="Calibri" w:hAnsi="Arial" w:cs="Arial"/>
          <w:color w:val="000000" w:themeColor="text1"/>
          <w:sz w:val="20"/>
          <w:szCs w:val="20"/>
        </w:rPr>
        <w:t xml:space="preserve">To assess the level of effectiveness of environmental sanitation </w:t>
      </w:r>
      <w:r w:rsidRPr="00124F88">
        <w:rPr>
          <w:rFonts w:ascii="Arial" w:hAnsi="Arial" w:cs="Arial"/>
          <w:sz w:val="20"/>
          <w:szCs w:val="20"/>
        </w:rPr>
        <w:t>practices in reducing water-related health risks</w:t>
      </w:r>
      <w:r w:rsidRPr="00124F88">
        <w:rPr>
          <w:rFonts w:ascii="Arial" w:eastAsia="Calibri" w:hAnsi="Arial" w:cs="Arial"/>
          <w:color w:val="000000" w:themeColor="text1"/>
          <w:sz w:val="20"/>
          <w:szCs w:val="20"/>
        </w:rPr>
        <w:t xml:space="preserve"> in the study area</w:t>
      </w:r>
    </w:p>
    <w:p w14:paraId="4592DFA4" w14:textId="77777777" w:rsidR="001B2BC0" w:rsidRPr="006C0261" w:rsidRDefault="001B2BC0" w:rsidP="004A5A50">
      <w:pPr>
        <w:pStyle w:val="Heading1"/>
        <w:spacing w:line="360" w:lineRule="auto"/>
        <w:jc w:val="both"/>
        <w:rPr>
          <w:rFonts w:ascii="Arial" w:hAnsi="Arial" w:cs="Arial"/>
          <w:b/>
          <w:color w:val="auto"/>
          <w:sz w:val="22"/>
          <w:szCs w:val="22"/>
        </w:rPr>
      </w:pPr>
      <w:r w:rsidRPr="00795F9B">
        <w:rPr>
          <w:rFonts w:ascii="Times New Roman" w:hAnsi="Times New Roman" w:cs="Times New Roman"/>
          <w:b/>
          <w:color w:val="auto"/>
          <w:sz w:val="24"/>
          <w:szCs w:val="24"/>
        </w:rPr>
        <w:t xml:space="preserve">2 </w:t>
      </w:r>
      <w:r w:rsidRPr="006C0261">
        <w:rPr>
          <w:rFonts w:ascii="Arial" w:hAnsi="Arial" w:cs="Arial"/>
          <w:b/>
          <w:color w:val="auto"/>
          <w:sz w:val="22"/>
          <w:szCs w:val="22"/>
        </w:rPr>
        <w:t>Study Area and Methodology</w:t>
      </w:r>
    </w:p>
    <w:p w14:paraId="2E9A6F72" w14:textId="77777777" w:rsidR="001B2BC0" w:rsidRPr="006C0261" w:rsidRDefault="001B2BC0" w:rsidP="004A5A50">
      <w:pPr>
        <w:pStyle w:val="Heading2"/>
        <w:spacing w:line="360" w:lineRule="auto"/>
        <w:jc w:val="both"/>
        <w:rPr>
          <w:rFonts w:ascii="Arial" w:hAnsi="Arial" w:cs="Arial"/>
          <w:sz w:val="22"/>
          <w:szCs w:val="22"/>
        </w:rPr>
      </w:pPr>
      <w:r w:rsidRPr="006C0261">
        <w:rPr>
          <w:rFonts w:ascii="Arial" w:hAnsi="Arial" w:cs="Arial"/>
          <w:sz w:val="22"/>
          <w:szCs w:val="22"/>
        </w:rPr>
        <w:t>2.1 Study Area</w:t>
      </w:r>
    </w:p>
    <w:p w14:paraId="75B22C39" w14:textId="7349DD6A" w:rsidR="001B2BC0" w:rsidRPr="006C0261" w:rsidRDefault="004B4F11" w:rsidP="00D41680">
      <w:pPr>
        <w:spacing w:before="80" w:after="80" w:line="360" w:lineRule="auto"/>
        <w:jc w:val="both"/>
        <w:rPr>
          <w:rFonts w:ascii="Arial" w:hAnsi="Arial" w:cs="Arial"/>
          <w:sz w:val="20"/>
          <w:szCs w:val="20"/>
        </w:rPr>
      </w:pPr>
      <w:proofErr w:type="spellStart"/>
      <w:r w:rsidRPr="006C0261">
        <w:rPr>
          <w:rFonts w:ascii="Arial" w:hAnsi="Arial" w:cs="Arial"/>
          <w:sz w:val="20"/>
          <w:szCs w:val="20"/>
        </w:rPr>
        <w:t>Mamfe</w:t>
      </w:r>
      <w:proofErr w:type="spellEnd"/>
      <w:r w:rsidRPr="006C0261">
        <w:rPr>
          <w:rFonts w:ascii="Arial" w:hAnsi="Arial" w:cs="Arial"/>
          <w:sz w:val="20"/>
          <w:szCs w:val="20"/>
        </w:rPr>
        <w:t xml:space="preserve"> Central sub division in </w:t>
      </w:r>
      <w:proofErr w:type="spellStart"/>
      <w:r w:rsidRPr="006C0261">
        <w:rPr>
          <w:rFonts w:ascii="Arial" w:hAnsi="Arial" w:cs="Arial"/>
          <w:sz w:val="20"/>
          <w:szCs w:val="20"/>
        </w:rPr>
        <w:t>Manyu</w:t>
      </w:r>
      <w:proofErr w:type="spellEnd"/>
      <w:r w:rsidRPr="006C0261">
        <w:rPr>
          <w:rFonts w:ascii="Arial" w:hAnsi="Arial" w:cs="Arial"/>
          <w:sz w:val="20"/>
          <w:szCs w:val="20"/>
        </w:rPr>
        <w:t xml:space="preserve"> d</w:t>
      </w:r>
      <w:r w:rsidR="001B2BC0" w:rsidRPr="006C0261">
        <w:rPr>
          <w:rFonts w:ascii="Arial" w:hAnsi="Arial" w:cs="Arial"/>
          <w:sz w:val="20"/>
          <w:szCs w:val="20"/>
        </w:rPr>
        <w:t xml:space="preserve">ivision, also known as the </w:t>
      </w:r>
      <w:proofErr w:type="spellStart"/>
      <w:r w:rsidR="001B2BC0" w:rsidRPr="006C0261">
        <w:rPr>
          <w:rFonts w:ascii="Arial" w:hAnsi="Arial" w:cs="Arial"/>
          <w:sz w:val="20"/>
          <w:szCs w:val="20"/>
        </w:rPr>
        <w:t>Mamfe</w:t>
      </w:r>
      <w:proofErr w:type="spellEnd"/>
      <w:r w:rsidR="001B2BC0" w:rsidRPr="006C0261">
        <w:rPr>
          <w:rFonts w:ascii="Arial" w:hAnsi="Arial" w:cs="Arial"/>
          <w:sz w:val="20"/>
          <w:szCs w:val="20"/>
        </w:rPr>
        <w:t xml:space="preserve"> basin found in the northern part of the South West Region of Cameroon. She is</w:t>
      </w:r>
      <w:r w:rsidRPr="006C0261">
        <w:rPr>
          <w:rFonts w:ascii="Arial" w:hAnsi="Arial" w:cs="Arial"/>
          <w:sz w:val="20"/>
          <w:szCs w:val="20"/>
        </w:rPr>
        <w:t xml:space="preserve"> the headquarters of the </w:t>
      </w:r>
      <w:proofErr w:type="spellStart"/>
      <w:r w:rsidRPr="006C0261">
        <w:rPr>
          <w:rFonts w:ascii="Arial" w:hAnsi="Arial" w:cs="Arial"/>
          <w:sz w:val="20"/>
          <w:szCs w:val="20"/>
        </w:rPr>
        <w:t>Manyu</w:t>
      </w:r>
      <w:proofErr w:type="spellEnd"/>
      <w:r w:rsidRPr="006C0261">
        <w:rPr>
          <w:rFonts w:ascii="Arial" w:hAnsi="Arial" w:cs="Arial"/>
          <w:sz w:val="20"/>
          <w:szCs w:val="20"/>
        </w:rPr>
        <w:t xml:space="preserve"> d</w:t>
      </w:r>
      <w:r w:rsidR="001B2BC0" w:rsidRPr="006C0261">
        <w:rPr>
          <w:rFonts w:ascii="Arial" w:hAnsi="Arial" w:cs="Arial"/>
          <w:sz w:val="20"/>
          <w:szCs w:val="20"/>
        </w:rPr>
        <w:t xml:space="preserve">ivision being an </w:t>
      </w:r>
      <w:proofErr w:type="spellStart"/>
      <w:r w:rsidR="001B2BC0" w:rsidRPr="006C0261">
        <w:rPr>
          <w:rFonts w:ascii="Arial" w:hAnsi="Arial" w:cs="Arial"/>
          <w:sz w:val="20"/>
          <w:szCs w:val="20"/>
        </w:rPr>
        <w:t>intracratonic</w:t>
      </w:r>
      <w:proofErr w:type="spellEnd"/>
      <w:r w:rsidR="001B2BC0" w:rsidRPr="006C0261">
        <w:rPr>
          <w:rFonts w:ascii="Arial" w:hAnsi="Arial" w:cs="Arial"/>
          <w:sz w:val="20"/>
          <w:szCs w:val="20"/>
        </w:rPr>
        <w:t xml:space="preserve"> rift in eastern West Africa, and found within the region located at Latitude 5</w:t>
      </w:r>
      <w:r w:rsidR="001B2BC0" w:rsidRPr="006C0261">
        <w:rPr>
          <w:rFonts w:ascii="Arial" w:hAnsi="Arial" w:cs="Arial"/>
          <w:sz w:val="20"/>
          <w:szCs w:val="20"/>
          <w:vertAlign w:val="superscript"/>
        </w:rPr>
        <w:t>o</w:t>
      </w:r>
      <w:r w:rsidR="001B2BC0" w:rsidRPr="006C0261">
        <w:rPr>
          <w:rFonts w:ascii="Arial" w:hAnsi="Arial" w:cs="Arial"/>
          <w:sz w:val="20"/>
          <w:szCs w:val="20"/>
        </w:rPr>
        <w:t>30´ and 6</w:t>
      </w:r>
      <w:r w:rsidR="001B2BC0" w:rsidRPr="006C0261">
        <w:rPr>
          <w:rFonts w:ascii="Arial" w:hAnsi="Arial" w:cs="Arial"/>
          <w:sz w:val="20"/>
          <w:szCs w:val="20"/>
          <w:vertAlign w:val="superscript"/>
        </w:rPr>
        <w:t>o</w:t>
      </w:r>
      <w:r w:rsidR="001B2BC0" w:rsidRPr="006C0261">
        <w:rPr>
          <w:rFonts w:ascii="Arial" w:hAnsi="Arial" w:cs="Arial"/>
          <w:sz w:val="20"/>
          <w:szCs w:val="20"/>
        </w:rPr>
        <w:t>10´ north of the Equator and Longitude 8</w:t>
      </w:r>
      <w:r w:rsidR="001B2BC0" w:rsidRPr="006C0261">
        <w:rPr>
          <w:rFonts w:ascii="Arial" w:hAnsi="Arial" w:cs="Arial"/>
          <w:sz w:val="20"/>
          <w:szCs w:val="20"/>
          <w:vertAlign w:val="superscript"/>
        </w:rPr>
        <w:t>o</w:t>
      </w:r>
      <w:r w:rsidR="001B2BC0" w:rsidRPr="006C0261">
        <w:rPr>
          <w:rFonts w:ascii="Arial" w:hAnsi="Arial" w:cs="Arial"/>
          <w:sz w:val="20"/>
          <w:szCs w:val="20"/>
        </w:rPr>
        <w:t>30´ and 9</w:t>
      </w:r>
      <w:r w:rsidR="001B2BC0" w:rsidRPr="006C0261">
        <w:rPr>
          <w:rFonts w:ascii="Arial" w:hAnsi="Arial" w:cs="Arial"/>
          <w:sz w:val="20"/>
          <w:szCs w:val="20"/>
          <w:vertAlign w:val="superscript"/>
        </w:rPr>
        <w:t>o</w:t>
      </w:r>
      <w:r w:rsidR="001B2BC0" w:rsidRPr="006C0261">
        <w:rPr>
          <w:rFonts w:ascii="Arial" w:hAnsi="Arial" w:cs="Arial"/>
          <w:sz w:val="20"/>
          <w:szCs w:val="20"/>
        </w:rPr>
        <w:t xml:space="preserve">35´ east of the Greenwich meridian. It is about 74km away from the Cameroon-Nigeria border and has a total </w:t>
      </w:r>
      <w:r w:rsidR="00980444" w:rsidRPr="006C0261">
        <w:rPr>
          <w:rFonts w:ascii="Arial" w:hAnsi="Arial" w:cs="Arial"/>
          <w:sz w:val="20"/>
          <w:szCs w:val="20"/>
        </w:rPr>
        <w:t>surface area of 7044km² (</w:t>
      </w:r>
      <w:proofErr w:type="spellStart"/>
      <w:r w:rsidR="00980444" w:rsidRPr="006C0261">
        <w:rPr>
          <w:rFonts w:ascii="Arial" w:hAnsi="Arial" w:cs="Arial"/>
          <w:sz w:val="20"/>
          <w:szCs w:val="20"/>
        </w:rPr>
        <w:t>Mamfe</w:t>
      </w:r>
      <w:proofErr w:type="spellEnd"/>
      <w:r w:rsidR="00980444" w:rsidRPr="006C0261">
        <w:rPr>
          <w:rFonts w:ascii="Arial" w:hAnsi="Arial" w:cs="Arial"/>
          <w:sz w:val="20"/>
          <w:szCs w:val="20"/>
        </w:rPr>
        <w:t xml:space="preserve"> </w:t>
      </w:r>
      <w:r w:rsidR="001B2BC0" w:rsidRPr="006C0261">
        <w:rPr>
          <w:rFonts w:ascii="Arial" w:hAnsi="Arial" w:cs="Arial"/>
          <w:sz w:val="20"/>
          <w:szCs w:val="20"/>
        </w:rPr>
        <w:t xml:space="preserve">Council Development Plan [MCDP], 2012). </w:t>
      </w:r>
      <w:proofErr w:type="spellStart"/>
      <w:r w:rsidR="001B2BC0" w:rsidRPr="006C0261">
        <w:rPr>
          <w:rFonts w:ascii="Arial" w:hAnsi="Arial" w:cs="Arial"/>
          <w:sz w:val="20"/>
          <w:szCs w:val="20"/>
        </w:rPr>
        <w:t>Mamfe</w:t>
      </w:r>
      <w:proofErr w:type="spellEnd"/>
      <w:r w:rsidR="001B2BC0" w:rsidRPr="006C0261">
        <w:rPr>
          <w:rFonts w:ascii="Arial" w:hAnsi="Arial" w:cs="Arial"/>
          <w:sz w:val="20"/>
          <w:szCs w:val="20"/>
        </w:rPr>
        <w:t xml:space="preserve"> is bordered to the North by </w:t>
      </w:r>
      <w:proofErr w:type="spellStart"/>
      <w:r w:rsidR="001B2BC0" w:rsidRPr="006C0261">
        <w:rPr>
          <w:rFonts w:ascii="Arial" w:hAnsi="Arial" w:cs="Arial"/>
          <w:sz w:val="20"/>
          <w:szCs w:val="20"/>
        </w:rPr>
        <w:t>Akwaya</w:t>
      </w:r>
      <w:proofErr w:type="spellEnd"/>
      <w:r w:rsidR="001B2BC0" w:rsidRPr="006C0261">
        <w:rPr>
          <w:rFonts w:ascii="Arial" w:hAnsi="Arial" w:cs="Arial"/>
          <w:sz w:val="20"/>
          <w:szCs w:val="20"/>
        </w:rPr>
        <w:t xml:space="preserve"> Sub-division, to the South and East by </w:t>
      </w:r>
      <w:proofErr w:type="spellStart"/>
      <w:r w:rsidR="001B2BC0" w:rsidRPr="006C0261">
        <w:rPr>
          <w:rFonts w:ascii="Arial" w:hAnsi="Arial" w:cs="Arial"/>
          <w:sz w:val="20"/>
          <w:szCs w:val="20"/>
        </w:rPr>
        <w:t>Eyumojock</w:t>
      </w:r>
      <w:proofErr w:type="spellEnd"/>
      <w:r w:rsidR="001B2BC0" w:rsidRPr="006C0261">
        <w:rPr>
          <w:rFonts w:ascii="Arial" w:hAnsi="Arial" w:cs="Arial"/>
          <w:sz w:val="20"/>
          <w:szCs w:val="20"/>
        </w:rPr>
        <w:t xml:space="preserve"> sub-division and to the West by Upper </w:t>
      </w:r>
      <w:proofErr w:type="spellStart"/>
      <w:r w:rsidR="001B2BC0" w:rsidRPr="006C0261">
        <w:rPr>
          <w:rFonts w:ascii="Arial" w:hAnsi="Arial" w:cs="Arial"/>
          <w:sz w:val="20"/>
          <w:szCs w:val="20"/>
        </w:rPr>
        <w:t>Bayang</w:t>
      </w:r>
      <w:proofErr w:type="spellEnd"/>
      <w:r w:rsidR="001B2BC0" w:rsidRPr="006C0261">
        <w:rPr>
          <w:rFonts w:ascii="Arial" w:hAnsi="Arial" w:cs="Arial"/>
          <w:sz w:val="20"/>
          <w:szCs w:val="20"/>
        </w:rPr>
        <w:t xml:space="preserve"> sub-division (Figure 1)</w:t>
      </w:r>
    </w:p>
    <w:p w14:paraId="4F576F4E" w14:textId="77777777" w:rsidR="001B2BC0" w:rsidRPr="001B2BC0" w:rsidRDefault="001B2BC0" w:rsidP="00D41680">
      <w:pPr>
        <w:spacing w:before="80" w:after="80" w:line="276" w:lineRule="auto"/>
        <w:jc w:val="center"/>
        <w:rPr>
          <w:rFonts w:ascii="Times New Roman" w:hAnsi="Times New Roman" w:cs="Times New Roman"/>
          <w:sz w:val="24"/>
          <w:szCs w:val="24"/>
        </w:rPr>
      </w:pPr>
      <w:r w:rsidRPr="001B2BC0">
        <w:rPr>
          <w:rFonts w:ascii="Times New Roman" w:hAnsi="Times New Roman" w:cs="Times New Roman"/>
          <w:noProof/>
          <w:sz w:val="24"/>
          <w:szCs w:val="24"/>
          <w:lang w:val="en-US"/>
        </w:rPr>
        <w:lastRenderedPageBreak/>
        <w:drawing>
          <wp:inline distT="0" distB="0" distL="0" distR="0" wp14:anchorId="394236AE" wp14:editId="65B19FFB">
            <wp:extent cx="4089555" cy="3960530"/>
            <wp:effectExtent l="0" t="0" r="6350" b="1905"/>
            <wp:docPr id="8" name="Picture 1"/>
            <wp:cNvGraphicFramePr/>
            <a:graphic xmlns:a="http://schemas.openxmlformats.org/drawingml/2006/main">
              <a:graphicData uri="http://schemas.openxmlformats.org/drawingml/2006/picture">
                <pic:pic xmlns:pic="http://schemas.openxmlformats.org/drawingml/2006/picture">
                  <pic:nvPicPr>
                    <pic:cNvPr id="12788" name="Picture 12788"/>
                    <pic:cNvPicPr/>
                  </pic:nvPicPr>
                  <pic:blipFill>
                    <a:blip r:embed="rId8"/>
                    <a:stretch>
                      <a:fillRect/>
                    </a:stretch>
                  </pic:blipFill>
                  <pic:spPr>
                    <a:xfrm>
                      <a:off x="0" y="0"/>
                      <a:ext cx="4112476" cy="3982728"/>
                    </a:xfrm>
                    <a:prstGeom prst="rect">
                      <a:avLst/>
                    </a:prstGeom>
                  </pic:spPr>
                </pic:pic>
              </a:graphicData>
            </a:graphic>
          </wp:inline>
        </w:drawing>
      </w:r>
    </w:p>
    <w:p w14:paraId="6855F30D" w14:textId="2AB99293" w:rsidR="001B2BC0" w:rsidRPr="006C0261" w:rsidRDefault="001B2BC0" w:rsidP="00980444">
      <w:pPr>
        <w:spacing w:before="80" w:after="80" w:line="276" w:lineRule="auto"/>
        <w:jc w:val="center"/>
        <w:rPr>
          <w:rFonts w:ascii="Arial" w:hAnsi="Arial" w:cs="Arial"/>
          <w:b/>
          <w:bCs/>
          <w:sz w:val="20"/>
          <w:szCs w:val="20"/>
        </w:rPr>
      </w:pPr>
      <w:bookmarkStart w:id="2" w:name="_Toc203140059"/>
      <w:r w:rsidRPr="006C0261">
        <w:rPr>
          <w:rFonts w:ascii="Arial" w:hAnsi="Arial" w:cs="Arial"/>
          <w:b/>
          <w:sz w:val="20"/>
          <w:szCs w:val="20"/>
        </w:rPr>
        <w:t>Figure: 1</w:t>
      </w:r>
      <w:r w:rsidR="00980444" w:rsidRPr="006C0261">
        <w:rPr>
          <w:rFonts w:ascii="Arial" w:hAnsi="Arial" w:cs="Arial"/>
          <w:b/>
          <w:sz w:val="20"/>
          <w:szCs w:val="20"/>
        </w:rPr>
        <w:t xml:space="preserve"> Location of</w:t>
      </w:r>
      <w:r w:rsidR="004B4F11" w:rsidRPr="006C0261">
        <w:rPr>
          <w:rFonts w:ascii="Arial" w:hAnsi="Arial" w:cs="Arial"/>
          <w:b/>
          <w:sz w:val="20"/>
          <w:szCs w:val="20"/>
        </w:rPr>
        <w:t xml:space="preserve"> </w:t>
      </w:r>
      <w:proofErr w:type="spellStart"/>
      <w:r w:rsidR="004B4F11" w:rsidRPr="006C0261">
        <w:rPr>
          <w:rFonts w:ascii="Arial" w:hAnsi="Arial" w:cs="Arial"/>
          <w:b/>
          <w:sz w:val="20"/>
          <w:szCs w:val="20"/>
        </w:rPr>
        <w:t>Mamfe</w:t>
      </w:r>
      <w:proofErr w:type="spellEnd"/>
      <w:r w:rsidR="004B4F11" w:rsidRPr="006C0261">
        <w:rPr>
          <w:rFonts w:ascii="Arial" w:hAnsi="Arial" w:cs="Arial"/>
          <w:b/>
          <w:sz w:val="20"/>
          <w:szCs w:val="20"/>
        </w:rPr>
        <w:t xml:space="preserve"> Central s</w:t>
      </w:r>
      <w:r w:rsidRPr="006C0261">
        <w:rPr>
          <w:rFonts w:ascii="Arial" w:hAnsi="Arial" w:cs="Arial"/>
          <w:b/>
          <w:sz w:val="20"/>
          <w:szCs w:val="20"/>
        </w:rPr>
        <w:t xml:space="preserve">ub-division in </w:t>
      </w:r>
      <w:proofErr w:type="spellStart"/>
      <w:r w:rsidRPr="006C0261">
        <w:rPr>
          <w:rFonts w:ascii="Arial" w:hAnsi="Arial" w:cs="Arial"/>
          <w:b/>
          <w:sz w:val="20"/>
          <w:szCs w:val="20"/>
        </w:rPr>
        <w:t>Mamyu</w:t>
      </w:r>
      <w:proofErr w:type="spellEnd"/>
      <w:r w:rsidRPr="006C0261">
        <w:rPr>
          <w:rFonts w:ascii="Arial" w:hAnsi="Arial" w:cs="Arial"/>
          <w:b/>
          <w:sz w:val="20"/>
          <w:szCs w:val="20"/>
        </w:rPr>
        <w:t xml:space="preserve"> Division, South West Region </w:t>
      </w:r>
      <w:bookmarkEnd w:id="2"/>
      <w:r w:rsidRPr="006C0261">
        <w:rPr>
          <w:rFonts w:ascii="Arial" w:hAnsi="Arial" w:cs="Arial"/>
          <w:b/>
          <w:sz w:val="20"/>
          <w:szCs w:val="20"/>
        </w:rPr>
        <w:t>of Cameroon</w:t>
      </w:r>
    </w:p>
    <w:p w14:paraId="445A3342" w14:textId="7684E478" w:rsidR="001B2BC0" w:rsidRPr="006C0261" w:rsidRDefault="001B2BC0" w:rsidP="001B2BC0">
      <w:pPr>
        <w:spacing w:before="80" w:after="80" w:line="276" w:lineRule="auto"/>
        <w:jc w:val="center"/>
        <w:rPr>
          <w:rFonts w:ascii="Arial" w:hAnsi="Arial" w:cs="Arial"/>
          <w:sz w:val="20"/>
          <w:szCs w:val="20"/>
        </w:rPr>
      </w:pPr>
      <w:r w:rsidRPr="006C0261">
        <w:rPr>
          <w:rFonts w:ascii="Arial" w:hAnsi="Arial" w:cs="Arial"/>
          <w:b/>
          <w:sz w:val="20"/>
          <w:szCs w:val="20"/>
        </w:rPr>
        <w:t>Source</w:t>
      </w:r>
      <w:r w:rsidRPr="006C0261">
        <w:rPr>
          <w:rFonts w:ascii="Arial" w:hAnsi="Arial" w:cs="Arial"/>
          <w:sz w:val="20"/>
          <w:szCs w:val="20"/>
        </w:rPr>
        <w:t xml:space="preserve">: </w:t>
      </w:r>
      <w:r w:rsidR="00980444" w:rsidRPr="006C0261">
        <w:rPr>
          <w:rFonts w:ascii="Arial" w:hAnsi="Arial" w:cs="Arial"/>
          <w:sz w:val="20"/>
          <w:szCs w:val="20"/>
        </w:rPr>
        <w:t>Geo-database of Cameroon (2024)</w:t>
      </w:r>
    </w:p>
    <w:p w14:paraId="1A048818" w14:textId="3F457D0B" w:rsidR="003D3EC7" w:rsidRPr="006C0261" w:rsidRDefault="001B2BC0" w:rsidP="006D29D1">
      <w:pPr>
        <w:spacing w:before="80" w:after="80" w:line="360" w:lineRule="auto"/>
        <w:jc w:val="both"/>
        <w:rPr>
          <w:rFonts w:ascii="Arial" w:hAnsi="Arial" w:cs="Arial"/>
          <w:sz w:val="20"/>
          <w:szCs w:val="20"/>
        </w:rPr>
      </w:pPr>
      <w:r w:rsidRPr="006C0261">
        <w:rPr>
          <w:rFonts w:ascii="Arial" w:hAnsi="Arial" w:cs="Arial"/>
          <w:sz w:val="20"/>
          <w:szCs w:val="20"/>
        </w:rPr>
        <w:t xml:space="preserve">The </w:t>
      </w:r>
      <w:proofErr w:type="spellStart"/>
      <w:r w:rsidRPr="006C0261">
        <w:rPr>
          <w:rFonts w:ascii="Arial" w:hAnsi="Arial" w:cs="Arial"/>
          <w:sz w:val="20"/>
          <w:szCs w:val="20"/>
        </w:rPr>
        <w:t>Mamfe</w:t>
      </w:r>
      <w:proofErr w:type="spellEnd"/>
      <w:r w:rsidRPr="006C0261">
        <w:rPr>
          <w:rFonts w:ascii="Arial" w:hAnsi="Arial" w:cs="Arial"/>
          <w:sz w:val="20"/>
          <w:szCs w:val="20"/>
        </w:rPr>
        <w:t xml:space="preserve"> Central sub-division is also found along the Bamenda-Enugu corridor linked by the trans-African highway. The study covers </w:t>
      </w:r>
      <w:r w:rsidR="00980444" w:rsidRPr="006C0261">
        <w:rPr>
          <w:rFonts w:ascii="Arial" w:hAnsi="Arial" w:cs="Arial"/>
          <w:sz w:val="20"/>
          <w:szCs w:val="20"/>
        </w:rPr>
        <w:t>the following villages</w:t>
      </w:r>
      <w:r w:rsidRPr="006C0261">
        <w:rPr>
          <w:rFonts w:ascii="Arial" w:hAnsi="Arial" w:cs="Arial"/>
          <w:sz w:val="20"/>
          <w:szCs w:val="20"/>
        </w:rPr>
        <w:t xml:space="preserve"> Small </w:t>
      </w:r>
      <w:proofErr w:type="spellStart"/>
      <w:r w:rsidRPr="006C0261">
        <w:rPr>
          <w:rFonts w:ascii="Arial" w:hAnsi="Arial" w:cs="Arial"/>
          <w:sz w:val="20"/>
          <w:szCs w:val="20"/>
        </w:rPr>
        <w:t>Mamfe</w:t>
      </w:r>
      <w:proofErr w:type="spellEnd"/>
      <w:r w:rsidRPr="006C0261">
        <w:rPr>
          <w:rFonts w:ascii="Arial" w:hAnsi="Arial" w:cs="Arial"/>
          <w:sz w:val="20"/>
          <w:szCs w:val="20"/>
        </w:rPr>
        <w:t xml:space="preserve">, </w:t>
      </w:r>
      <w:proofErr w:type="spellStart"/>
      <w:r w:rsidRPr="006C0261">
        <w:rPr>
          <w:rFonts w:ascii="Arial" w:hAnsi="Arial" w:cs="Arial"/>
          <w:sz w:val="20"/>
          <w:szCs w:val="20"/>
        </w:rPr>
        <w:t>Egbekaw</w:t>
      </w:r>
      <w:proofErr w:type="spellEnd"/>
      <w:r w:rsidRPr="006C0261">
        <w:rPr>
          <w:rFonts w:ascii="Arial" w:hAnsi="Arial" w:cs="Arial"/>
          <w:sz w:val="20"/>
          <w:szCs w:val="20"/>
        </w:rPr>
        <w:t xml:space="preserve">, </w:t>
      </w:r>
      <w:proofErr w:type="spellStart"/>
      <w:r w:rsidRPr="006C0261">
        <w:rPr>
          <w:rFonts w:ascii="Arial" w:hAnsi="Arial" w:cs="Arial"/>
          <w:sz w:val="20"/>
          <w:szCs w:val="20"/>
        </w:rPr>
        <w:t>Besssongabang</w:t>
      </w:r>
      <w:proofErr w:type="spellEnd"/>
      <w:r w:rsidRPr="006C0261">
        <w:rPr>
          <w:rFonts w:ascii="Arial" w:hAnsi="Arial" w:cs="Arial"/>
          <w:sz w:val="20"/>
          <w:szCs w:val="20"/>
        </w:rPr>
        <w:t xml:space="preserve">, </w:t>
      </w:r>
      <w:proofErr w:type="spellStart"/>
      <w:r w:rsidRPr="006C0261">
        <w:rPr>
          <w:rFonts w:ascii="Arial" w:hAnsi="Arial" w:cs="Arial"/>
          <w:sz w:val="20"/>
          <w:szCs w:val="20"/>
        </w:rPr>
        <w:t>Okoyong</w:t>
      </w:r>
      <w:proofErr w:type="spellEnd"/>
      <w:r w:rsidRPr="006C0261">
        <w:rPr>
          <w:rFonts w:ascii="Arial" w:hAnsi="Arial" w:cs="Arial"/>
          <w:sz w:val="20"/>
          <w:szCs w:val="20"/>
        </w:rPr>
        <w:t xml:space="preserve">, </w:t>
      </w:r>
      <w:proofErr w:type="spellStart"/>
      <w:r w:rsidRPr="006C0261">
        <w:rPr>
          <w:rFonts w:ascii="Arial" w:hAnsi="Arial" w:cs="Arial"/>
          <w:sz w:val="20"/>
          <w:szCs w:val="20"/>
        </w:rPr>
        <w:t>Bachou-ntai</w:t>
      </w:r>
      <w:proofErr w:type="spellEnd"/>
      <w:r w:rsidRPr="006C0261">
        <w:rPr>
          <w:rFonts w:ascii="Arial" w:hAnsi="Arial" w:cs="Arial"/>
          <w:sz w:val="20"/>
          <w:szCs w:val="20"/>
        </w:rPr>
        <w:t xml:space="preserve">, </w:t>
      </w:r>
      <w:proofErr w:type="spellStart"/>
      <w:r w:rsidRPr="006C0261">
        <w:rPr>
          <w:rFonts w:ascii="Arial" w:hAnsi="Arial" w:cs="Arial"/>
          <w:sz w:val="20"/>
          <w:szCs w:val="20"/>
        </w:rPr>
        <w:t>Eyangnchang</w:t>
      </w:r>
      <w:proofErr w:type="spellEnd"/>
      <w:r w:rsidRPr="006C0261">
        <w:rPr>
          <w:rFonts w:ascii="Arial" w:hAnsi="Arial" w:cs="Arial"/>
          <w:sz w:val="20"/>
          <w:szCs w:val="20"/>
        </w:rPr>
        <w:t xml:space="preserve">, </w:t>
      </w:r>
      <w:proofErr w:type="spellStart"/>
      <w:r w:rsidRPr="006C0261">
        <w:rPr>
          <w:rFonts w:ascii="Arial" w:hAnsi="Arial" w:cs="Arial"/>
          <w:sz w:val="20"/>
          <w:szCs w:val="20"/>
        </w:rPr>
        <w:t>Eshobi</w:t>
      </w:r>
      <w:proofErr w:type="spellEnd"/>
      <w:r w:rsidRPr="006C0261">
        <w:rPr>
          <w:rFonts w:ascii="Arial" w:hAnsi="Arial" w:cs="Arial"/>
          <w:sz w:val="20"/>
          <w:szCs w:val="20"/>
        </w:rPr>
        <w:t xml:space="preserve"> and </w:t>
      </w:r>
      <w:proofErr w:type="spellStart"/>
      <w:r w:rsidRPr="006C0261">
        <w:rPr>
          <w:rFonts w:ascii="Arial" w:hAnsi="Arial" w:cs="Arial"/>
          <w:sz w:val="20"/>
          <w:szCs w:val="20"/>
        </w:rPr>
        <w:t>Nchang</w:t>
      </w:r>
      <w:proofErr w:type="spellEnd"/>
      <w:r w:rsidRPr="006C0261">
        <w:rPr>
          <w:rFonts w:ascii="Arial" w:hAnsi="Arial" w:cs="Arial"/>
          <w:sz w:val="20"/>
          <w:szCs w:val="20"/>
        </w:rPr>
        <w:t xml:space="preserve">. </w:t>
      </w:r>
    </w:p>
    <w:p w14:paraId="1941A419" w14:textId="77777777" w:rsidR="006A3D61" w:rsidRDefault="001B2BC0" w:rsidP="006C0261">
      <w:pPr>
        <w:pStyle w:val="Heading2"/>
        <w:spacing w:line="360" w:lineRule="auto"/>
        <w:jc w:val="both"/>
        <w:rPr>
          <w:rFonts w:ascii="Arial Black" w:hAnsi="Arial Black"/>
          <w:sz w:val="22"/>
          <w:szCs w:val="22"/>
        </w:rPr>
      </w:pPr>
      <w:r w:rsidRPr="006C0261">
        <w:rPr>
          <w:rFonts w:ascii="Arial Black" w:hAnsi="Arial Black"/>
          <w:sz w:val="22"/>
          <w:szCs w:val="22"/>
        </w:rPr>
        <w:t>2.2 Data Collection</w:t>
      </w:r>
    </w:p>
    <w:p w14:paraId="11138F55" w14:textId="77777777" w:rsidR="006A3D61" w:rsidRDefault="00CC4F51" w:rsidP="006A3D61">
      <w:pPr>
        <w:pStyle w:val="Heading2"/>
        <w:spacing w:line="360" w:lineRule="auto"/>
        <w:jc w:val="both"/>
        <w:rPr>
          <w:rFonts w:ascii="Arial" w:hAnsi="Arial" w:cs="Arial"/>
          <w:color w:val="000000" w:themeColor="text1"/>
          <w:sz w:val="20"/>
          <w:szCs w:val="20"/>
        </w:rPr>
      </w:pPr>
      <w:r w:rsidRPr="006C0261">
        <w:rPr>
          <w:rFonts w:ascii="Arial" w:eastAsia="Calibri" w:hAnsi="Arial" w:cs="Arial"/>
          <w:b w:val="0"/>
          <w:color w:val="000000"/>
          <w:sz w:val="20"/>
          <w:szCs w:val="20"/>
        </w:rPr>
        <w:t>This study was guided by the us</w:t>
      </w:r>
      <w:r w:rsidR="00D40C59">
        <w:rPr>
          <w:rFonts w:ascii="Arial" w:eastAsia="Calibri" w:hAnsi="Arial" w:cs="Arial"/>
          <w:b w:val="0"/>
          <w:color w:val="000000"/>
          <w:sz w:val="20"/>
          <w:szCs w:val="20"/>
        </w:rPr>
        <w:t>e of</w:t>
      </w:r>
      <w:r w:rsidR="00E53DFE" w:rsidRPr="006C0261">
        <w:rPr>
          <w:rFonts w:ascii="Arial" w:eastAsia="Calibri" w:hAnsi="Arial" w:cs="Arial"/>
          <w:b w:val="0"/>
          <w:color w:val="000000"/>
          <w:sz w:val="20"/>
          <w:szCs w:val="20"/>
        </w:rPr>
        <w:t xml:space="preserve"> a mixed research design</w:t>
      </w:r>
      <w:r w:rsidRPr="006C0261">
        <w:rPr>
          <w:rFonts w:ascii="Arial" w:eastAsia="Calibri" w:hAnsi="Arial" w:cs="Arial"/>
          <w:b w:val="0"/>
          <w:color w:val="000000"/>
          <w:sz w:val="20"/>
          <w:szCs w:val="20"/>
        </w:rPr>
        <w:t xml:space="preserve"> consisting of qualitative and quantitative designs. A qualitative research design is a type in which a group of people or items are studied by collecting and analysing data from few people or items considered to be representative of the entire group. It enabled the study to collect data on</w:t>
      </w:r>
      <w:r w:rsidRPr="006C0261">
        <w:rPr>
          <w:rFonts w:ascii="Arial" w:eastAsia="Calibri" w:hAnsi="Arial" w:cs="Arial"/>
          <w:b w:val="0"/>
          <w:sz w:val="20"/>
          <w:szCs w:val="20"/>
        </w:rPr>
        <w:t xml:space="preserve"> </w:t>
      </w:r>
      <w:r w:rsidRPr="006C0261">
        <w:rPr>
          <w:rFonts w:ascii="Arial" w:eastAsia="Calibri" w:hAnsi="Arial" w:cs="Arial"/>
          <w:b w:val="0"/>
          <w:color w:val="000000" w:themeColor="text1"/>
          <w:sz w:val="20"/>
          <w:szCs w:val="20"/>
        </w:rPr>
        <w:t>how effective are existing environmental sanitation practices in reducing water-related</w:t>
      </w:r>
      <w:r w:rsidR="004B4F11" w:rsidRPr="006C0261">
        <w:rPr>
          <w:rFonts w:ascii="Arial" w:eastAsia="Calibri" w:hAnsi="Arial" w:cs="Arial"/>
          <w:b w:val="0"/>
          <w:color w:val="000000" w:themeColor="text1"/>
          <w:sz w:val="20"/>
          <w:szCs w:val="20"/>
        </w:rPr>
        <w:t xml:space="preserve"> health risks in </w:t>
      </w:r>
      <w:proofErr w:type="spellStart"/>
      <w:r w:rsidR="004B4F11" w:rsidRPr="006C0261">
        <w:rPr>
          <w:rFonts w:ascii="Arial" w:eastAsia="Calibri" w:hAnsi="Arial" w:cs="Arial"/>
          <w:b w:val="0"/>
          <w:color w:val="000000" w:themeColor="text1"/>
          <w:sz w:val="20"/>
          <w:szCs w:val="20"/>
        </w:rPr>
        <w:t>Mamfe</w:t>
      </w:r>
      <w:proofErr w:type="spellEnd"/>
      <w:r w:rsidR="004B4F11" w:rsidRPr="006C0261">
        <w:rPr>
          <w:rFonts w:ascii="Arial" w:eastAsia="Calibri" w:hAnsi="Arial" w:cs="Arial"/>
          <w:b w:val="0"/>
          <w:color w:val="000000" w:themeColor="text1"/>
          <w:sz w:val="20"/>
          <w:szCs w:val="20"/>
        </w:rPr>
        <w:t xml:space="preserve"> Central s</w:t>
      </w:r>
      <w:r w:rsidRPr="006C0261">
        <w:rPr>
          <w:rFonts w:ascii="Arial" w:eastAsia="Calibri" w:hAnsi="Arial" w:cs="Arial"/>
          <w:b w:val="0"/>
          <w:color w:val="000000" w:themeColor="text1"/>
          <w:sz w:val="20"/>
          <w:szCs w:val="20"/>
        </w:rPr>
        <w:t>ub-division</w:t>
      </w:r>
      <w:r w:rsidR="00A75F7E" w:rsidRPr="006C0261">
        <w:rPr>
          <w:rFonts w:ascii="Arial" w:eastAsia="Calibri" w:hAnsi="Arial" w:cs="Arial"/>
          <w:b w:val="0"/>
          <w:color w:val="000000" w:themeColor="text1"/>
          <w:sz w:val="20"/>
          <w:szCs w:val="20"/>
        </w:rPr>
        <w:t>. The tot</w:t>
      </w:r>
      <w:r w:rsidR="004B4F11" w:rsidRPr="006C0261">
        <w:rPr>
          <w:rFonts w:ascii="Arial" w:eastAsia="Calibri" w:hAnsi="Arial" w:cs="Arial"/>
          <w:b w:val="0"/>
          <w:color w:val="000000" w:themeColor="text1"/>
          <w:sz w:val="20"/>
          <w:szCs w:val="20"/>
        </w:rPr>
        <w:t xml:space="preserve">al population of </w:t>
      </w:r>
      <w:proofErr w:type="spellStart"/>
      <w:r w:rsidR="004B4F11" w:rsidRPr="006C0261">
        <w:rPr>
          <w:rFonts w:ascii="Arial" w:eastAsia="Calibri" w:hAnsi="Arial" w:cs="Arial"/>
          <w:b w:val="0"/>
          <w:color w:val="000000" w:themeColor="text1"/>
          <w:sz w:val="20"/>
          <w:szCs w:val="20"/>
        </w:rPr>
        <w:t>Mamfe</w:t>
      </w:r>
      <w:proofErr w:type="spellEnd"/>
      <w:r w:rsidR="004B4F11" w:rsidRPr="006C0261">
        <w:rPr>
          <w:rFonts w:ascii="Arial" w:eastAsia="Calibri" w:hAnsi="Arial" w:cs="Arial"/>
          <w:b w:val="0"/>
          <w:color w:val="000000" w:themeColor="text1"/>
          <w:sz w:val="20"/>
          <w:szCs w:val="20"/>
        </w:rPr>
        <w:t xml:space="preserve"> central s</w:t>
      </w:r>
      <w:r w:rsidR="00A75F7E" w:rsidRPr="006C0261">
        <w:rPr>
          <w:rFonts w:ascii="Arial" w:eastAsia="Calibri" w:hAnsi="Arial" w:cs="Arial"/>
          <w:b w:val="0"/>
          <w:color w:val="000000" w:themeColor="text1"/>
          <w:sz w:val="20"/>
          <w:szCs w:val="20"/>
        </w:rPr>
        <w:t>ub-division stood at 31641 inhabitants in 2005 with a growth rate of 2.8% according to 2005 Population Housing Census with a growth rate of 2.8 % (BUCREP, 2005). The population of 2024 can be projected using the formulae Siegel and Swanson (2004).</w:t>
      </w:r>
      <w:r w:rsidR="00A75F7E" w:rsidRPr="006C0261">
        <w:rPr>
          <w:rFonts w:ascii="Arial" w:eastAsia="Calibri" w:hAnsi="Arial" w:cs="Arial"/>
          <w:b w:val="0"/>
          <w:color w:val="000000" w:themeColor="text1"/>
          <w:sz w:val="20"/>
          <w:szCs w:val="20"/>
          <w:lang w:val="en-US"/>
        </w:rPr>
        <w:t xml:space="preserve"> </w:t>
      </w:r>
      <w:r w:rsidR="00284AEF" w:rsidRPr="006C0261">
        <w:rPr>
          <w:rFonts w:ascii="Arial" w:eastAsia="Calibri" w:hAnsi="Arial" w:cs="Arial"/>
          <w:b w:val="0"/>
          <w:color w:val="000000" w:themeColor="text1"/>
          <w:sz w:val="20"/>
          <w:szCs w:val="20"/>
          <w:lang w:val="en-US"/>
        </w:rPr>
        <w:t xml:space="preserve"> </w:t>
      </w:r>
      <w:r w:rsidR="00E53DFE" w:rsidRPr="006C0261">
        <w:rPr>
          <w:rFonts w:ascii="Arial" w:eastAsia="Calibri" w:hAnsi="Arial" w:cs="Arial"/>
          <w:b w:val="0"/>
          <w:color w:val="000000" w:themeColor="text1"/>
          <w:sz w:val="20"/>
          <w:szCs w:val="20"/>
          <w:lang w:val="en-US"/>
        </w:rPr>
        <w:t>The study</w:t>
      </w:r>
      <w:r w:rsidR="00284AEF" w:rsidRPr="006C0261">
        <w:rPr>
          <w:rFonts w:ascii="Arial" w:hAnsi="Arial" w:cs="Arial"/>
          <w:b w:val="0"/>
          <w:color w:val="000000" w:themeColor="text1"/>
          <w:sz w:val="20"/>
          <w:szCs w:val="20"/>
        </w:rPr>
        <w:t xml:space="preserve"> area population and target population</w:t>
      </w:r>
      <w:r w:rsidR="00284AEF" w:rsidRPr="006C0261">
        <w:rPr>
          <w:rFonts w:ascii="Arial" w:hAnsi="Arial" w:cs="Arial"/>
          <w:color w:val="000000" w:themeColor="text1"/>
          <w:sz w:val="20"/>
          <w:szCs w:val="20"/>
        </w:rPr>
        <w:t xml:space="preserve">; </w:t>
      </w:r>
      <w:r w:rsidR="006A3D61">
        <w:rPr>
          <w:rFonts w:ascii="Arial" w:hAnsi="Arial" w:cs="Arial"/>
          <w:color w:val="000000" w:themeColor="text1"/>
          <w:sz w:val="20"/>
          <w:szCs w:val="20"/>
        </w:rPr>
        <w:t xml:space="preserve"> </w:t>
      </w:r>
    </w:p>
    <w:p w14:paraId="2EF80C13" w14:textId="366E5831" w:rsidR="00284AEF" w:rsidRPr="006A3D61" w:rsidRDefault="00284AEF" w:rsidP="006A3D61">
      <w:pPr>
        <w:pStyle w:val="Heading2"/>
        <w:spacing w:line="360" w:lineRule="auto"/>
        <w:jc w:val="both"/>
        <w:rPr>
          <w:rFonts w:ascii="Arial Black" w:hAnsi="Arial Black"/>
          <w:b w:val="0"/>
          <w:sz w:val="22"/>
          <w:szCs w:val="22"/>
        </w:rPr>
      </w:pPr>
      <w:r w:rsidRPr="006A3D61">
        <w:rPr>
          <w:rFonts w:ascii="Arial" w:eastAsia="Calibri" w:hAnsi="Arial" w:cs="Arial"/>
          <w:b w:val="0"/>
          <w:sz w:val="20"/>
          <w:szCs w:val="20"/>
        </w:rPr>
        <w:t xml:space="preserve">The total population of </w:t>
      </w:r>
      <w:proofErr w:type="spellStart"/>
      <w:r w:rsidRPr="006A3D61">
        <w:rPr>
          <w:rFonts w:ascii="Arial" w:eastAsia="Calibri" w:hAnsi="Arial" w:cs="Arial"/>
          <w:b w:val="0"/>
          <w:sz w:val="20"/>
          <w:szCs w:val="20"/>
        </w:rPr>
        <w:t>Mamfe</w:t>
      </w:r>
      <w:proofErr w:type="spellEnd"/>
      <w:r w:rsidRPr="006A3D61">
        <w:rPr>
          <w:rFonts w:ascii="Arial" w:eastAsia="Calibri" w:hAnsi="Arial" w:cs="Arial"/>
          <w:b w:val="0"/>
          <w:sz w:val="20"/>
          <w:szCs w:val="20"/>
        </w:rPr>
        <w:t xml:space="preserve"> central Sub-division stood at 31641 inhabitants in 2005 with a growth rate of 2.8% according to 2005 Population Housing Census with a growth rate of 2.8 % (BUCREP, </w:t>
      </w:r>
      <w:r w:rsidRPr="006A3D61">
        <w:rPr>
          <w:rFonts w:ascii="Arial" w:eastAsia="Calibri" w:hAnsi="Arial" w:cs="Arial"/>
          <w:b w:val="0"/>
          <w:sz w:val="20"/>
          <w:szCs w:val="20"/>
        </w:rPr>
        <w:lastRenderedPageBreak/>
        <w:t>2005). The population of 2024 was projected using the formulae Siegel and Swanson (2004) as follows:</w:t>
      </w:r>
    </w:p>
    <w:p w14:paraId="7CF3FE1B" w14:textId="77777777" w:rsidR="00284AEF" w:rsidRPr="006C0261" w:rsidRDefault="00284AEF" w:rsidP="00284AEF">
      <w:pPr>
        <w:spacing w:line="360" w:lineRule="auto"/>
        <w:jc w:val="both"/>
        <w:rPr>
          <w:rFonts w:ascii="Arial" w:eastAsia="Calibri" w:hAnsi="Arial" w:cs="Arial"/>
          <w:sz w:val="20"/>
          <w:szCs w:val="20"/>
        </w:rPr>
      </w:pPr>
      <w:r w:rsidRPr="006C0261">
        <w:rPr>
          <w:rFonts w:ascii="Arial" w:eastAsia="Calibri" w:hAnsi="Arial" w:cs="Arial"/>
          <w:sz w:val="20"/>
          <w:szCs w:val="20"/>
        </w:rPr>
        <w:t>Pt= (P</w:t>
      </w:r>
      <w:proofErr w:type="gramStart"/>
      <w:r w:rsidRPr="006C0261">
        <w:rPr>
          <w:rFonts w:ascii="Arial" w:eastAsia="Calibri" w:hAnsi="Arial" w:cs="Arial"/>
          <w:sz w:val="20"/>
          <w:szCs w:val="20"/>
          <w:vertAlign w:val="subscript"/>
        </w:rPr>
        <w:t>1</w:t>
      </w:r>
      <w:r w:rsidRPr="006C0261">
        <w:rPr>
          <w:rFonts w:ascii="Arial" w:eastAsia="Calibri" w:hAnsi="Arial" w:cs="Arial"/>
          <w:sz w:val="20"/>
          <w:szCs w:val="20"/>
        </w:rPr>
        <w:t>)(</w:t>
      </w:r>
      <w:proofErr w:type="gramEnd"/>
      <w:r w:rsidRPr="006C0261">
        <w:rPr>
          <w:rFonts w:ascii="Arial" w:eastAsia="Calibri" w:hAnsi="Arial" w:cs="Arial"/>
          <w:sz w:val="20"/>
          <w:szCs w:val="20"/>
        </w:rPr>
        <w:t xml:space="preserve"> </w:t>
      </w:r>
      <w:proofErr w:type="spellStart"/>
      <w:r w:rsidRPr="006C0261">
        <w:rPr>
          <w:rFonts w:ascii="Arial" w:eastAsia="Calibri" w:hAnsi="Arial" w:cs="Arial"/>
          <w:sz w:val="20"/>
          <w:szCs w:val="20"/>
        </w:rPr>
        <w:t>e</w:t>
      </w:r>
      <w:r w:rsidRPr="006C0261">
        <w:rPr>
          <w:rFonts w:ascii="Arial" w:eastAsia="Calibri" w:hAnsi="Arial" w:cs="Arial"/>
          <w:sz w:val="20"/>
          <w:szCs w:val="20"/>
          <w:vertAlign w:val="superscript"/>
        </w:rPr>
        <w:t>rz</w:t>
      </w:r>
      <w:proofErr w:type="spellEnd"/>
      <w:r w:rsidRPr="006C0261">
        <w:rPr>
          <w:rFonts w:ascii="Arial" w:eastAsia="Calibri" w:hAnsi="Arial" w:cs="Arial"/>
          <w:sz w:val="20"/>
          <w:szCs w:val="20"/>
        </w:rPr>
        <w:t>)</w:t>
      </w:r>
    </w:p>
    <w:p w14:paraId="37683D68" w14:textId="77777777" w:rsidR="00284AEF" w:rsidRPr="006C0261" w:rsidRDefault="00284AEF" w:rsidP="00284AEF">
      <w:pPr>
        <w:spacing w:line="360" w:lineRule="auto"/>
        <w:jc w:val="both"/>
        <w:rPr>
          <w:rFonts w:ascii="Arial" w:eastAsia="Calibri" w:hAnsi="Arial" w:cs="Arial"/>
          <w:sz w:val="20"/>
          <w:szCs w:val="20"/>
        </w:rPr>
      </w:pPr>
      <w:r w:rsidRPr="006C0261">
        <w:rPr>
          <w:rFonts w:ascii="Arial" w:eastAsia="Calibri" w:hAnsi="Arial" w:cs="Arial"/>
          <w:sz w:val="20"/>
          <w:szCs w:val="20"/>
        </w:rPr>
        <w:t>Where:</w:t>
      </w:r>
    </w:p>
    <w:p w14:paraId="35089254" w14:textId="77777777" w:rsidR="00284AEF" w:rsidRPr="006C0261" w:rsidRDefault="00284AEF" w:rsidP="00284AEF">
      <w:pPr>
        <w:spacing w:line="360" w:lineRule="auto"/>
        <w:jc w:val="both"/>
        <w:rPr>
          <w:rFonts w:ascii="Arial" w:eastAsia="Calibri" w:hAnsi="Arial" w:cs="Arial"/>
          <w:sz w:val="20"/>
          <w:szCs w:val="20"/>
        </w:rPr>
      </w:pPr>
      <w:r w:rsidRPr="006C0261">
        <w:rPr>
          <w:rFonts w:ascii="Arial" w:eastAsia="Calibri" w:hAnsi="Arial" w:cs="Arial"/>
          <w:sz w:val="20"/>
          <w:szCs w:val="20"/>
        </w:rPr>
        <w:t>Pt= Population in the target year or current year</w:t>
      </w:r>
    </w:p>
    <w:p w14:paraId="24E2684D" w14:textId="77777777" w:rsidR="00284AEF" w:rsidRPr="006C0261" w:rsidRDefault="00284AEF" w:rsidP="00284AEF">
      <w:pPr>
        <w:spacing w:line="360" w:lineRule="auto"/>
        <w:jc w:val="both"/>
        <w:rPr>
          <w:rFonts w:ascii="Arial" w:eastAsia="Calibri" w:hAnsi="Arial" w:cs="Arial"/>
          <w:sz w:val="20"/>
          <w:szCs w:val="20"/>
        </w:rPr>
      </w:pPr>
      <w:r w:rsidRPr="006C0261">
        <w:rPr>
          <w:rFonts w:ascii="Arial" w:eastAsia="Calibri" w:hAnsi="Arial" w:cs="Arial"/>
          <w:sz w:val="20"/>
          <w:szCs w:val="20"/>
        </w:rPr>
        <w:t>P1= Population in the base year</w:t>
      </w:r>
    </w:p>
    <w:p w14:paraId="1CC805E7" w14:textId="77777777" w:rsidR="00284AEF" w:rsidRPr="006C0261" w:rsidRDefault="00284AEF" w:rsidP="00284AEF">
      <w:pPr>
        <w:spacing w:line="360" w:lineRule="auto"/>
        <w:jc w:val="both"/>
        <w:rPr>
          <w:rFonts w:ascii="Arial" w:eastAsia="Calibri" w:hAnsi="Arial" w:cs="Arial"/>
          <w:sz w:val="20"/>
          <w:szCs w:val="20"/>
        </w:rPr>
      </w:pPr>
      <w:r w:rsidRPr="006C0261">
        <w:rPr>
          <w:rFonts w:ascii="Arial" w:eastAsia="Calibri" w:hAnsi="Arial" w:cs="Arial"/>
          <w:sz w:val="20"/>
          <w:szCs w:val="20"/>
        </w:rPr>
        <w:t>e= the base of the system natural logarithm approximately 2.71828</w:t>
      </w:r>
    </w:p>
    <w:p w14:paraId="40971DAC" w14:textId="77777777" w:rsidR="00284AEF" w:rsidRPr="006C0261" w:rsidRDefault="00284AEF" w:rsidP="00284AEF">
      <w:pPr>
        <w:spacing w:line="360" w:lineRule="auto"/>
        <w:jc w:val="both"/>
        <w:rPr>
          <w:rFonts w:ascii="Arial" w:eastAsia="Calibri" w:hAnsi="Arial" w:cs="Arial"/>
          <w:sz w:val="20"/>
          <w:szCs w:val="20"/>
        </w:rPr>
      </w:pPr>
      <w:r w:rsidRPr="006C0261">
        <w:rPr>
          <w:rFonts w:ascii="Arial" w:eastAsia="Calibri" w:hAnsi="Arial" w:cs="Arial"/>
          <w:sz w:val="20"/>
          <w:szCs w:val="20"/>
        </w:rPr>
        <w:t xml:space="preserve">r= the average exponential rate of increase or the growth rate of the population </w:t>
      </w:r>
    </w:p>
    <w:p w14:paraId="005A3684" w14:textId="77777777" w:rsidR="00284AEF" w:rsidRPr="006C0261" w:rsidRDefault="00284AEF" w:rsidP="00284AEF">
      <w:pPr>
        <w:spacing w:before="240" w:after="200" w:line="360" w:lineRule="auto"/>
        <w:jc w:val="both"/>
        <w:rPr>
          <w:rFonts w:ascii="Arial" w:eastAsia="Calibri" w:hAnsi="Arial" w:cs="Arial"/>
          <w:sz w:val="20"/>
          <w:szCs w:val="20"/>
        </w:rPr>
      </w:pPr>
      <w:r w:rsidRPr="006C0261">
        <w:rPr>
          <w:rFonts w:ascii="Arial" w:eastAsia="Calibri" w:hAnsi="Arial" w:cs="Arial"/>
          <w:sz w:val="20"/>
          <w:szCs w:val="20"/>
        </w:rPr>
        <w:t>z= the number of years in the projected horizon or the time period.</w:t>
      </w:r>
    </w:p>
    <w:p w14:paraId="1FEA1011" w14:textId="77777777" w:rsidR="00284AEF" w:rsidRPr="006C0261" w:rsidRDefault="00284AEF" w:rsidP="00284AEF">
      <w:pPr>
        <w:spacing w:before="240" w:after="200" w:line="360" w:lineRule="auto"/>
        <w:jc w:val="both"/>
        <w:rPr>
          <w:rFonts w:ascii="Arial" w:eastAsia="Calibri" w:hAnsi="Arial" w:cs="Arial"/>
          <w:sz w:val="20"/>
          <w:szCs w:val="20"/>
        </w:rPr>
      </w:pPr>
      <w:r w:rsidRPr="006C0261">
        <w:rPr>
          <w:rFonts w:ascii="Arial" w:eastAsia="Calibri" w:hAnsi="Arial" w:cs="Arial"/>
          <w:sz w:val="20"/>
          <w:szCs w:val="20"/>
        </w:rPr>
        <w:t>Based on 2005 BUCREP census result considered as the base year for 2024 population projection, the population of 2024 is gotten as follows:</w:t>
      </w:r>
    </w:p>
    <w:p w14:paraId="3F3B8453" w14:textId="0A1DD12C" w:rsidR="00284AEF" w:rsidRPr="006C0261" w:rsidRDefault="00284AEF" w:rsidP="006A3D61">
      <w:pPr>
        <w:spacing w:after="200" w:line="360" w:lineRule="auto"/>
        <w:jc w:val="both"/>
        <w:rPr>
          <w:rFonts w:ascii="Arial" w:eastAsia="Calibri" w:hAnsi="Arial" w:cs="Arial"/>
          <w:sz w:val="20"/>
          <w:szCs w:val="20"/>
        </w:rPr>
      </w:pPr>
      <w:r w:rsidRPr="006C0261">
        <w:rPr>
          <w:rFonts w:ascii="Arial" w:eastAsia="Calibri" w:hAnsi="Arial" w:cs="Arial"/>
          <w:sz w:val="20"/>
          <w:szCs w:val="20"/>
        </w:rPr>
        <w:t xml:space="preserve">  Population in 2024= 31641 (2.8/100) </w:t>
      </w:r>
      <w:r w:rsidRPr="006C0261">
        <w:rPr>
          <w:rFonts w:ascii="Arial" w:eastAsia="Calibri" w:hAnsi="Arial" w:cs="Arial"/>
          <w:sz w:val="20"/>
          <w:szCs w:val="20"/>
          <w:vertAlign w:val="superscript"/>
        </w:rPr>
        <w:t>14</w:t>
      </w:r>
      <m:oMath>
        <m:r>
          <w:rPr>
            <w:rFonts w:ascii="Cambria Math" w:eastAsia="Calibri" w:hAnsi="Cambria Math" w:cs="Arial"/>
            <w:sz w:val="20"/>
            <w:szCs w:val="20"/>
            <w:vertAlign w:val="superscript"/>
          </w:rPr>
          <m:t xml:space="preserve">=44045  </m:t>
        </m:r>
      </m:oMath>
      <w:r w:rsidRPr="006C0261">
        <w:rPr>
          <w:rFonts w:ascii="Arial" w:eastAsia="Calibri" w:hAnsi="Arial" w:cs="Arial"/>
          <w:sz w:val="20"/>
          <w:szCs w:val="20"/>
        </w:rPr>
        <w:t xml:space="preserve">inhabitants </w:t>
      </w:r>
    </w:p>
    <w:p w14:paraId="423A1F00" w14:textId="77777777" w:rsidR="006A3D61" w:rsidRDefault="00A75F7E" w:rsidP="00A75F7E">
      <w:pPr>
        <w:spacing w:line="360" w:lineRule="auto"/>
        <w:jc w:val="both"/>
        <w:rPr>
          <w:rFonts w:ascii="Arial" w:eastAsia="Calibri" w:hAnsi="Arial" w:cs="Arial"/>
          <w:b/>
          <w:bCs/>
          <w:sz w:val="20"/>
          <w:szCs w:val="20"/>
          <w:lang w:val="en-US"/>
        </w:rPr>
      </w:pPr>
      <w:r w:rsidRPr="006C0261">
        <w:rPr>
          <w:rFonts w:ascii="Arial" w:eastAsia="Calibri" w:hAnsi="Arial" w:cs="Arial"/>
          <w:sz w:val="20"/>
          <w:szCs w:val="20"/>
          <w:lang w:val="en-US"/>
        </w:rPr>
        <w:t>The sample size for this study was calculated using standard statistical formulas to ensure adequate representation and statistical power for hypothesis testing. The calculation considered the study population size, expected effect sizes, confidence levels, and practical constraints related to time and resource availability. For the quantitative component, the sample size was calculated using the formula for finite populations:</w:t>
      </w:r>
      <w:r w:rsidRPr="006C0261">
        <w:rPr>
          <w:rFonts w:ascii="Arial" w:eastAsia="Calibri" w:hAnsi="Arial" w:cs="Arial"/>
          <w:b/>
          <w:bCs/>
          <w:sz w:val="20"/>
          <w:szCs w:val="20"/>
          <w:lang w:val="en-US"/>
        </w:rPr>
        <w:t xml:space="preserve"> </w:t>
      </w:r>
    </w:p>
    <w:p w14:paraId="68E77EB6" w14:textId="4AC41C9D" w:rsidR="00A75F7E" w:rsidRPr="006C0261" w:rsidRDefault="00A75F7E" w:rsidP="00A75F7E">
      <w:pPr>
        <w:spacing w:line="360" w:lineRule="auto"/>
        <w:jc w:val="both"/>
        <w:rPr>
          <w:rFonts w:ascii="Arial" w:eastAsia="Calibri" w:hAnsi="Arial" w:cs="Arial"/>
          <w:sz w:val="20"/>
          <w:szCs w:val="20"/>
          <w:lang w:val="en-US"/>
        </w:rPr>
      </w:pPr>
      <w:r w:rsidRPr="006C0261">
        <w:rPr>
          <w:rFonts w:ascii="Arial" w:eastAsia="Calibri" w:hAnsi="Arial" w:cs="Arial"/>
          <w:b/>
          <w:bCs/>
          <w:sz w:val="20"/>
          <w:szCs w:val="20"/>
          <w:lang w:val="en-US"/>
        </w:rPr>
        <w:t>Sample Size Calculation</w:t>
      </w:r>
    </w:p>
    <w:p w14:paraId="13F4F6B5" w14:textId="77777777" w:rsidR="00A75F7E" w:rsidRPr="006C0261" w:rsidRDefault="00A75F7E" w:rsidP="00A75F7E">
      <w:pPr>
        <w:spacing w:line="360" w:lineRule="auto"/>
        <w:jc w:val="both"/>
        <w:rPr>
          <w:rFonts w:ascii="Arial" w:eastAsia="Calibri" w:hAnsi="Arial" w:cs="Arial"/>
          <w:sz w:val="20"/>
          <w:szCs w:val="20"/>
          <w:lang w:val="fr-BE"/>
        </w:rPr>
      </w:pPr>
      <w:proofErr w:type="gramStart"/>
      <w:r w:rsidRPr="006C0261">
        <w:rPr>
          <w:rFonts w:ascii="Arial" w:eastAsia="Calibri" w:hAnsi="Arial" w:cs="Arial"/>
          <w:sz w:val="20"/>
          <w:szCs w:val="20"/>
          <w:lang w:val="fr-BE"/>
        </w:rPr>
        <w:t>n</w:t>
      </w:r>
      <w:proofErr w:type="gramEnd"/>
      <w:r w:rsidRPr="006C0261">
        <w:rPr>
          <w:rFonts w:ascii="Arial" w:eastAsia="Calibri" w:hAnsi="Arial" w:cs="Arial"/>
          <w:sz w:val="20"/>
          <w:szCs w:val="20"/>
          <w:lang w:val="fr-BE"/>
        </w:rPr>
        <w:t xml:space="preserve"> = (Z²pq N) / (e²(N-1) + Z²pq)</w:t>
      </w:r>
    </w:p>
    <w:p w14:paraId="37A92CCF" w14:textId="77777777" w:rsidR="00A75F7E" w:rsidRPr="006C0261" w:rsidRDefault="00A75F7E" w:rsidP="00A75F7E">
      <w:pPr>
        <w:spacing w:line="360" w:lineRule="auto"/>
        <w:jc w:val="both"/>
        <w:rPr>
          <w:rFonts w:ascii="Arial" w:eastAsia="Calibri" w:hAnsi="Arial" w:cs="Arial"/>
          <w:sz w:val="20"/>
          <w:szCs w:val="20"/>
          <w:lang w:val="en-US"/>
        </w:rPr>
      </w:pPr>
      <w:r w:rsidRPr="006C0261">
        <w:rPr>
          <w:rFonts w:ascii="Arial" w:eastAsia="Calibri" w:hAnsi="Arial" w:cs="Arial"/>
          <w:sz w:val="20"/>
          <w:szCs w:val="20"/>
          <w:lang w:val="en-US"/>
        </w:rPr>
        <w:t>Where:</w:t>
      </w:r>
    </w:p>
    <w:p w14:paraId="7028DDBC" w14:textId="77777777" w:rsidR="00A75F7E" w:rsidRPr="006C0261" w:rsidRDefault="00A75F7E" w:rsidP="00A75F7E">
      <w:pPr>
        <w:numPr>
          <w:ilvl w:val="0"/>
          <w:numId w:val="8"/>
        </w:numPr>
        <w:spacing w:line="360" w:lineRule="auto"/>
        <w:jc w:val="both"/>
        <w:rPr>
          <w:rFonts w:ascii="Arial" w:eastAsia="Calibri" w:hAnsi="Arial" w:cs="Arial"/>
          <w:sz w:val="20"/>
          <w:szCs w:val="20"/>
          <w:lang w:val="en-US"/>
        </w:rPr>
      </w:pPr>
      <w:r w:rsidRPr="006C0261">
        <w:rPr>
          <w:rFonts w:ascii="Arial" w:eastAsia="Calibri" w:hAnsi="Arial" w:cs="Arial"/>
          <w:sz w:val="20"/>
          <w:szCs w:val="20"/>
          <w:lang w:val="en-US"/>
        </w:rPr>
        <w:t>n = required sample size</w:t>
      </w:r>
    </w:p>
    <w:p w14:paraId="6ACF5BA6" w14:textId="77777777" w:rsidR="00A75F7E" w:rsidRPr="006C0261" w:rsidRDefault="00A75F7E" w:rsidP="00A75F7E">
      <w:pPr>
        <w:numPr>
          <w:ilvl w:val="0"/>
          <w:numId w:val="8"/>
        </w:numPr>
        <w:spacing w:line="360" w:lineRule="auto"/>
        <w:jc w:val="both"/>
        <w:rPr>
          <w:rFonts w:ascii="Arial" w:eastAsia="Calibri" w:hAnsi="Arial" w:cs="Arial"/>
          <w:sz w:val="20"/>
          <w:szCs w:val="20"/>
          <w:lang w:val="en-US"/>
        </w:rPr>
      </w:pPr>
      <w:r w:rsidRPr="006C0261">
        <w:rPr>
          <w:rFonts w:ascii="Arial" w:eastAsia="Calibri" w:hAnsi="Arial" w:cs="Arial"/>
          <w:sz w:val="20"/>
          <w:szCs w:val="20"/>
          <w:lang w:val="en-US"/>
        </w:rPr>
        <w:t>Z = confidence level (1.96 for 95% confidence)</w:t>
      </w:r>
    </w:p>
    <w:p w14:paraId="2FFBCDCA" w14:textId="77777777" w:rsidR="00A75F7E" w:rsidRPr="006C0261" w:rsidRDefault="00A75F7E" w:rsidP="00A75F7E">
      <w:pPr>
        <w:numPr>
          <w:ilvl w:val="0"/>
          <w:numId w:val="8"/>
        </w:numPr>
        <w:spacing w:line="360" w:lineRule="auto"/>
        <w:jc w:val="both"/>
        <w:rPr>
          <w:rFonts w:ascii="Arial" w:eastAsia="Calibri" w:hAnsi="Arial" w:cs="Arial"/>
          <w:sz w:val="20"/>
          <w:szCs w:val="20"/>
          <w:lang w:val="en-US"/>
        </w:rPr>
      </w:pPr>
      <w:r w:rsidRPr="006C0261">
        <w:rPr>
          <w:rFonts w:ascii="Arial" w:eastAsia="Calibri" w:hAnsi="Arial" w:cs="Arial"/>
          <w:sz w:val="20"/>
          <w:szCs w:val="20"/>
          <w:lang w:val="en-US"/>
        </w:rPr>
        <w:t>p = estimated proportion (0.5 for maximum variance)</w:t>
      </w:r>
    </w:p>
    <w:p w14:paraId="6A129A2B" w14:textId="77777777" w:rsidR="00A75F7E" w:rsidRPr="006C0261" w:rsidRDefault="00A75F7E" w:rsidP="00A75F7E">
      <w:pPr>
        <w:numPr>
          <w:ilvl w:val="0"/>
          <w:numId w:val="8"/>
        </w:numPr>
        <w:spacing w:line="360" w:lineRule="auto"/>
        <w:jc w:val="both"/>
        <w:rPr>
          <w:rFonts w:ascii="Arial" w:eastAsia="Calibri" w:hAnsi="Arial" w:cs="Arial"/>
          <w:sz w:val="20"/>
          <w:szCs w:val="20"/>
          <w:lang w:val="en-US"/>
        </w:rPr>
      </w:pPr>
      <w:r w:rsidRPr="006C0261">
        <w:rPr>
          <w:rFonts w:ascii="Arial" w:eastAsia="Calibri" w:hAnsi="Arial" w:cs="Arial"/>
          <w:sz w:val="20"/>
          <w:szCs w:val="20"/>
          <w:lang w:val="en-US"/>
        </w:rPr>
        <w:t>q = 1-p (0.5)</w:t>
      </w:r>
    </w:p>
    <w:p w14:paraId="66B15104" w14:textId="77777777" w:rsidR="00A75F7E" w:rsidRPr="006C0261" w:rsidRDefault="00A75F7E" w:rsidP="00A75F7E">
      <w:pPr>
        <w:numPr>
          <w:ilvl w:val="0"/>
          <w:numId w:val="8"/>
        </w:numPr>
        <w:spacing w:line="360" w:lineRule="auto"/>
        <w:jc w:val="both"/>
        <w:rPr>
          <w:rFonts w:ascii="Arial" w:eastAsia="Calibri" w:hAnsi="Arial" w:cs="Arial"/>
          <w:sz w:val="20"/>
          <w:szCs w:val="20"/>
          <w:lang w:val="en-US"/>
        </w:rPr>
      </w:pPr>
      <w:r w:rsidRPr="006C0261">
        <w:rPr>
          <w:rFonts w:ascii="Arial" w:eastAsia="Calibri" w:hAnsi="Arial" w:cs="Arial"/>
          <w:sz w:val="20"/>
          <w:szCs w:val="20"/>
          <w:lang w:val="en-US"/>
        </w:rPr>
        <w:t>N = population size (51,000 adults)</w:t>
      </w:r>
    </w:p>
    <w:p w14:paraId="3B7DE7C9" w14:textId="77777777" w:rsidR="00A75F7E" w:rsidRPr="006C0261" w:rsidRDefault="00A75F7E" w:rsidP="00A75F7E">
      <w:pPr>
        <w:numPr>
          <w:ilvl w:val="0"/>
          <w:numId w:val="8"/>
        </w:numPr>
        <w:spacing w:line="360" w:lineRule="auto"/>
        <w:jc w:val="both"/>
        <w:rPr>
          <w:rFonts w:ascii="Arial" w:eastAsia="Calibri" w:hAnsi="Arial" w:cs="Arial"/>
          <w:sz w:val="20"/>
          <w:szCs w:val="20"/>
          <w:lang w:val="en-US"/>
        </w:rPr>
      </w:pPr>
      <w:r w:rsidRPr="006C0261">
        <w:rPr>
          <w:rFonts w:ascii="Arial" w:eastAsia="Calibri" w:hAnsi="Arial" w:cs="Arial"/>
          <w:sz w:val="20"/>
          <w:szCs w:val="20"/>
          <w:lang w:val="en-US"/>
        </w:rPr>
        <w:t>e = margin of error (0.06)</w:t>
      </w:r>
    </w:p>
    <w:p w14:paraId="6831E1FC" w14:textId="77777777" w:rsidR="00A75F7E" w:rsidRPr="006C0261" w:rsidRDefault="00A75F7E" w:rsidP="00A75F7E">
      <w:pPr>
        <w:spacing w:line="360" w:lineRule="auto"/>
        <w:jc w:val="both"/>
        <w:rPr>
          <w:rFonts w:ascii="Arial" w:eastAsia="Calibri" w:hAnsi="Arial" w:cs="Arial"/>
          <w:sz w:val="20"/>
          <w:szCs w:val="20"/>
          <w:lang w:val="en-US"/>
        </w:rPr>
      </w:pPr>
      <w:r w:rsidRPr="006C0261">
        <w:rPr>
          <w:rFonts w:ascii="Arial" w:eastAsia="Calibri" w:hAnsi="Arial" w:cs="Arial"/>
          <w:sz w:val="20"/>
          <w:szCs w:val="20"/>
          <w:lang w:val="en-US"/>
        </w:rPr>
        <w:t>n = (1.96² × 0.5 × 0.5 × 51,000) / (0.06</w:t>
      </w:r>
      <w:proofErr w:type="gramStart"/>
      <w:r w:rsidRPr="006C0261">
        <w:rPr>
          <w:rFonts w:ascii="Arial" w:eastAsia="Calibri" w:hAnsi="Arial" w:cs="Arial"/>
          <w:sz w:val="20"/>
          <w:szCs w:val="20"/>
          <w:lang w:val="en-US"/>
        </w:rPr>
        <w:t>²(</w:t>
      </w:r>
      <w:proofErr w:type="gramEnd"/>
      <w:r w:rsidRPr="006C0261">
        <w:rPr>
          <w:rFonts w:ascii="Arial" w:eastAsia="Calibri" w:hAnsi="Arial" w:cs="Arial"/>
          <w:sz w:val="20"/>
          <w:szCs w:val="20"/>
          <w:lang w:val="en-US"/>
        </w:rPr>
        <w:t xml:space="preserve">51,000-1) + 1.96² × 0.5 × 0.5) </w:t>
      </w:r>
    </w:p>
    <w:p w14:paraId="5CB763D3" w14:textId="77777777" w:rsidR="00A75F7E" w:rsidRPr="006C0261" w:rsidRDefault="00A75F7E" w:rsidP="00A75F7E">
      <w:pPr>
        <w:spacing w:line="360" w:lineRule="auto"/>
        <w:jc w:val="both"/>
        <w:rPr>
          <w:rFonts w:ascii="Arial" w:eastAsia="Calibri" w:hAnsi="Arial" w:cs="Arial"/>
          <w:sz w:val="20"/>
          <w:szCs w:val="20"/>
          <w:lang w:val="en-US"/>
        </w:rPr>
      </w:pPr>
      <w:r w:rsidRPr="006C0261">
        <w:rPr>
          <w:rFonts w:ascii="Arial" w:eastAsia="Calibri" w:hAnsi="Arial" w:cs="Arial"/>
          <w:sz w:val="20"/>
          <w:szCs w:val="20"/>
          <w:lang w:val="en-US"/>
        </w:rPr>
        <w:t xml:space="preserve">n = (3.8416 × 0.25 × 51,000) / (0.0036 × 50,999 + 0.9604) </w:t>
      </w:r>
    </w:p>
    <w:p w14:paraId="027D8959" w14:textId="77777777" w:rsidR="00A75F7E" w:rsidRPr="006C0261" w:rsidRDefault="00A75F7E" w:rsidP="00A75F7E">
      <w:pPr>
        <w:spacing w:line="360" w:lineRule="auto"/>
        <w:jc w:val="both"/>
        <w:rPr>
          <w:rFonts w:ascii="Arial" w:eastAsia="Calibri" w:hAnsi="Arial" w:cs="Arial"/>
          <w:sz w:val="20"/>
          <w:szCs w:val="20"/>
          <w:lang w:val="en-US"/>
        </w:rPr>
      </w:pPr>
      <w:r w:rsidRPr="006C0261">
        <w:rPr>
          <w:rFonts w:ascii="Arial" w:eastAsia="Calibri" w:hAnsi="Arial" w:cs="Arial"/>
          <w:sz w:val="20"/>
          <w:szCs w:val="20"/>
          <w:lang w:val="en-US"/>
        </w:rPr>
        <w:t xml:space="preserve">n = 48,979.8 / (183.5964 + 0.9604) </w:t>
      </w:r>
    </w:p>
    <w:p w14:paraId="7EECB2DE" w14:textId="77777777" w:rsidR="0061442B" w:rsidRPr="006C0261" w:rsidRDefault="00A75F7E" w:rsidP="00A75F7E">
      <w:pPr>
        <w:spacing w:line="360" w:lineRule="auto"/>
        <w:jc w:val="both"/>
        <w:rPr>
          <w:rFonts w:ascii="Arial" w:eastAsia="Calibri" w:hAnsi="Arial" w:cs="Arial"/>
          <w:sz w:val="20"/>
          <w:szCs w:val="20"/>
          <w:lang w:val="en-US"/>
        </w:rPr>
      </w:pPr>
      <w:r w:rsidRPr="006C0261">
        <w:rPr>
          <w:rFonts w:ascii="Arial" w:eastAsia="Calibri" w:hAnsi="Arial" w:cs="Arial"/>
          <w:sz w:val="20"/>
          <w:szCs w:val="20"/>
          <w:lang w:val="en-US"/>
        </w:rPr>
        <w:lastRenderedPageBreak/>
        <w:t xml:space="preserve">n = 48,979.8 / 184.5568 </w:t>
      </w:r>
    </w:p>
    <w:p w14:paraId="5E00A32E" w14:textId="2631BC6D" w:rsidR="001B2BC0" w:rsidRPr="006C0261" w:rsidRDefault="0061442B" w:rsidP="00A75F7E">
      <w:pPr>
        <w:spacing w:line="360" w:lineRule="auto"/>
        <w:jc w:val="both"/>
        <w:rPr>
          <w:rFonts w:ascii="Arial" w:eastAsia="Calibri" w:hAnsi="Arial" w:cs="Arial"/>
          <w:sz w:val="20"/>
          <w:szCs w:val="20"/>
          <w:lang w:val="en-US"/>
        </w:rPr>
      </w:pPr>
      <w:r w:rsidRPr="006C0261">
        <w:rPr>
          <w:rFonts w:ascii="Arial" w:hAnsi="Arial" w:cs="Arial"/>
          <w:sz w:val="20"/>
          <w:szCs w:val="20"/>
        </w:rPr>
        <w:t>n ≈ 265. Accounting for non-response and potential data quality issues, the sample size was increased by 6% to 280 respondents to ensure statistical adequacy while maintaining practical feasibility for comprehensive data collection in the rural setting.</w:t>
      </w:r>
      <w:r w:rsidR="00A75F7E" w:rsidRPr="006C0261">
        <w:rPr>
          <w:rFonts w:ascii="Arial" w:eastAsia="Calibri" w:hAnsi="Arial" w:cs="Arial"/>
          <w:sz w:val="20"/>
          <w:szCs w:val="20"/>
          <w:lang w:val="en-US"/>
        </w:rPr>
        <w:t xml:space="preserve">  </w:t>
      </w:r>
      <w:r w:rsidR="001B2BC0" w:rsidRPr="006C0261">
        <w:rPr>
          <w:rFonts w:ascii="Arial" w:hAnsi="Arial" w:cs="Arial"/>
          <w:sz w:val="20"/>
          <w:szCs w:val="20"/>
        </w:rPr>
        <w:t>Primary data were collected in 2024 using structured qu</w:t>
      </w:r>
      <w:r w:rsidR="00A05FC3" w:rsidRPr="006C0261">
        <w:rPr>
          <w:rFonts w:ascii="Arial" w:hAnsi="Arial" w:cs="Arial"/>
          <w:sz w:val="20"/>
          <w:szCs w:val="20"/>
        </w:rPr>
        <w:t>estionnaires administered to 218</w:t>
      </w:r>
      <w:r w:rsidR="001B2BC0" w:rsidRPr="006C0261">
        <w:rPr>
          <w:rFonts w:ascii="Arial" w:hAnsi="Arial" w:cs="Arial"/>
          <w:sz w:val="20"/>
          <w:szCs w:val="20"/>
        </w:rPr>
        <w:t xml:space="preserve"> respondents drawn from households across</w:t>
      </w:r>
      <w:r w:rsidR="004B4F11" w:rsidRPr="006C0261">
        <w:rPr>
          <w:rFonts w:ascii="Arial" w:hAnsi="Arial" w:cs="Arial"/>
          <w:sz w:val="20"/>
          <w:szCs w:val="20"/>
        </w:rPr>
        <w:t xml:space="preserve"> the quarters of </w:t>
      </w:r>
      <w:proofErr w:type="spellStart"/>
      <w:r w:rsidR="004B4F11" w:rsidRPr="006C0261">
        <w:rPr>
          <w:rFonts w:ascii="Arial" w:hAnsi="Arial" w:cs="Arial"/>
          <w:sz w:val="20"/>
          <w:szCs w:val="20"/>
        </w:rPr>
        <w:t>Mamfe</w:t>
      </w:r>
      <w:proofErr w:type="spellEnd"/>
      <w:r w:rsidR="004B4F11" w:rsidRPr="006C0261">
        <w:rPr>
          <w:rFonts w:ascii="Arial" w:hAnsi="Arial" w:cs="Arial"/>
          <w:sz w:val="20"/>
          <w:szCs w:val="20"/>
        </w:rPr>
        <w:t xml:space="preserve"> Central sub-d</w:t>
      </w:r>
      <w:r w:rsidR="001B2BC0" w:rsidRPr="006C0261">
        <w:rPr>
          <w:rFonts w:ascii="Arial" w:hAnsi="Arial" w:cs="Arial"/>
          <w:sz w:val="20"/>
          <w:szCs w:val="20"/>
        </w:rPr>
        <w:t>ivision. Respondents were selected through systematic random sampling from household rosters. The questionnaire covered waste disposal practices, collection frequency, drainage conditions, toilet types and functionality, hand washing practices, hygiene education exposure, water</w:t>
      </w:r>
      <w:r w:rsidR="00850BF9" w:rsidRPr="006C0261">
        <w:rPr>
          <w:rFonts w:ascii="Arial" w:hAnsi="Arial" w:cs="Arial"/>
          <w:sz w:val="20"/>
          <w:szCs w:val="20"/>
        </w:rPr>
        <w:t xml:space="preserve"> sources and quality testing</w:t>
      </w:r>
      <w:r w:rsidR="001B2BC0" w:rsidRPr="006C0261">
        <w:rPr>
          <w:rFonts w:ascii="Arial" w:hAnsi="Arial" w:cs="Arial"/>
          <w:sz w:val="20"/>
          <w:szCs w:val="20"/>
        </w:rPr>
        <w:t>, water storage and handling, and perceptions of institutional support and law enforcement. Key informant interviews were conducted with municipal officials, health workers, and community leaders. Field observation documented physical sanitation conditions, drainage infrastructure, dumpsite management, and proximity of waste disposal sites to water sources, supported by photographic documentation across multiple quarters.</w:t>
      </w:r>
      <w:r w:rsidR="00181833" w:rsidRPr="006C0261">
        <w:rPr>
          <w:rFonts w:ascii="Arial" w:hAnsi="Arial" w:cs="Arial"/>
          <w:sz w:val="20"/>
          <w:szCs w:val="20"/>
        </w:rPr>
        <w:t xml:space="preserve"> Table.</w:t>
      </w:r>
      <w:r w:rsidR="001325C3" w:rsidRPr="006C0261">
        <w:rPr>
          <w:rFonts w:ascii="Arial" w:hAnsi="Arial" w:cs="Arial"/>
          <w:sz w:val="20"/>
          <w:szCs w:val="20"/>
        </w:rPr>
        <w:t>1</w:t>
      </w:r>
      <w:r w:rsidR="00181833" w:rsidRPr="006C0261">
        <w:rPr>
          <w:rFonts w:ascii="Arial" w:hAnsi="Arial" w:cs="Arial"/>
          <w:sz w:val="20"/>
          <w:szCs w:val="20"/>
        </w:rPr>
        <w:t xml:space="preserve"> </w:t>
      </w:r>
      <w:r w:rsidR="001325C3" w:rsidRPr="006C0261">
        <w:rPr>
          <w:rFonts w:ascii="Arial" w:hAnsi="Arial" w:cs="Arial"/>
          <w:sz w:val="20"/>
          <w:szCs w:val="20"/>
        </w:rPr>
        <w:t xml:space="preserve">presents the distribution of questionnaires amongst various villages and stakeholders. </w:t>
      </w:r>
    </w:p>
    <w:p w14:paraId="591DB450" w14:textId="353DFD62" w:rsidR="00A05FC3" w:rsidRPr="006C0261" w:rsidRDefault="00A05FC3" w:rsidP="00A05FC3">
      <w:pPr>
        <w:pStyle w:val="Caption"/>
        <w:jc w:val="center"/>
        <w:rPr>
          <w:rFonts w:ascii="Arial" w:eastAsia="Calibri" w:hAnsi="Arial" w:cs="Arial"/>
          <w:b/>
          <w:bCs/>
          <w:i w:val="0"/>
          <w:iCs w:val="0"/>
          <w:color w:val="000000" w:themeColor="text1"/>
          <w:sz w:val="20"/>
          <w:szCs w:val="20"/>
        </w:rPr>
      </w:pPr>
      <w:bookmarkStart w:id="3" w:name="_Toc203139955"/>
      <w:r w:rsidRPr="006C0261">
        <w:rPr>
          <w:rFonts w:ascii="Arial" w:hAnsi="Arial" w:cs="Arial"/>
          <w:b/>
          <w:bCs/>
          <w:i w:val="0"/>
          <w:iCs w:val="0"/>
          <w:color w:val="000000" w:themeColor="text1"/>
          <w:sz w:val="20"/>
          <w:szCs w:val="20"/>
        </w:rPr>
        <w:t>Table:1</w:t>
      </w:r>
      <w:r w:rsidR="0061442B" w:rsidRPr="006C0261">
        <w:rPr>
          <w:rFonts w:ascii="Arial" w:hAnsi="Arial" w:cs="Arial"/>
          <w:b/>
          <w:bCs/>
          <w:i w:val="0"/>
          <w:iCs w:val="0"/>
          <w:color w:val="000000" w:themeColor="text1"/>
          <w:sz w:val="20"/>
          <w:szCs w:val="20"/>
        </w:rPr>
        <w:t>(</w:t>
      </w:r>
      <w:r w:rsidR="00D65E80" w:rsidRPr="006C0261">
        <w:rPr>
          <w:rFonts w:ascii="Arial" w:hAnsi="Arial" w:cs="Arial"/>
          <w:b/>
          <w:bCs/>
          <w:i w:val="0"/>
          <w:iCs w:val="0"/>
          <w:color w:val="000000" w:themeColor="text1"/>
          <w:sz w:val="20"/>
          <w:szCs w:val="20"/>
        </w:rPr>
        <w:t>A</w:t>
      </w:r>
      <w:r w:rsidR="0061442B" w:rsidRPr="006C0261">
        <w:rPr>
          <w:rFonts w:ascii="Arial" w:hAnsi="Arial" w:cs="Arial"/>
          <w:b/>
          <w:bCs/>
          <w:i w:val="0"/>
          <w:iCs w:val="0"/>
          <w:color w:val="000000" w:themeColor="text1"/>
          <w:sz w:val="20"/>
          <w:szCs w:val="20"/>
        </w:rPr>
        <w:t>)</w:t>
      </w:r>
      <w:r w:rsidRPr="006C0261">
        <w:rPr>
          <w:rFonts w:ascii="Arial" w:hAnsi="Arial" w:cs="Arial"/>
          <w:b/>
          <w:bCs/>
          <w:i w:val="0"/>
          <w:iCs w:val="0"/>
          <w:color w:val="000000" w:themeColor="text1"/>
          <w:sz w:val="20"/>
          <w:szCs w:val="20"/>
        </w:rPr>
        <w:t>:</w:t>
      </w:r>
      <w:r w:rsidRPr="006C0261">
        <w:rPr>
          <w:rFonts w:ascii="Arial" w:eastAsia="Calibri" w:hAnsi="Arial" w:cs="Arial"/>
          <w:b/>
          <w:bCs/>
          <w:i w:val="0"/>
          <w:iCs w:val="0"/>
          <w:color w:val="000000" w:themeColor="text1"/>
          <w:sz w:val="20"/>
          <w:szCs w:val="20"/>
        </w:rPr>
        <w:t xml:space="preserve"> Questionnaire </w:t>
      </w:r>
      <w:bookmarkEnd w:id="3"/>
      <w:r w:rsidRPr="006C0261">
        <w:rPr>
          <w:rFonts w:ascii="Arial" w:eastAsia="Calibri" w:hAnsi="Arial" w:cs="Arial"/>
          <w:b/>
          <w:bCs/>
          <w:i w:val="0"/>
          <w:iCs w:val="0"/>
          <w:color w:val="000000" w:themeColor="text1"/>
          <w:sz w:val="20"/>
          <w:szCs w:val="20"/>
        </w:rPr>
        <w:t>distribution</w:t>
      </w:r>
    </w:p>
    <w:tbl>
      <w:tblPr>
        <w:tblStyle w:val="TableGrid"/>
        <w:tblW w:w="9180" w:type="dxa"/>
        <w:tblLook w:val="04A0" w:firstRow="1" w:lastRow="0" w:firstColumn="1" w:lastColumn="0" w:noHBand="0" w:noVBand="1"/>
      </w:tblPr>
      <w:tblGrid>
        <w:gridCol w:w="2770"/>
        <w:gridCol w:w="1562"/>
        <w:gridCol w:w="2297"/>
        <w:gridCol w:w="2551"/>
      </w:tblGrid>
      <w:tr w:rsidR="00A05FC3" w:rsidRPr="006C0261" w14:paraId="199B7B6D" w14:textId="77777777" w:rsidTr="00101CD5">
        <w:trPr>
          <w:trHeight w:val="445"/>
        </w:trPr>
        <w:tc>
          <w:tcPr>
            <w:tcW w:w="2770" w:type="dxa"/>
          </w:tcPr>
          <w:p w14:paraId="639B45B0" w14:textId="77777777" w:rsidR="00A05FC3" w:rsidRPr="006C0261" w:rsidRDefault="00A05FC3" w:rsidP="004B4F11">
            <w:pPr>
              <w:rPr>
                <w:rFonts w:ascii="Arial" w:hAnsi="Arial" w:cs="Arial"/>
                <w:b/>
                <w:sz w:val="20"/>
                <w:szCs w:val="20"/>
              </w:rPr>
            </w:pPr>
            <w:r w:rsidRPr="006C0261">
              <w:rPr>
                <w:rFonts w:ascii="Arial" w:hAnsi="Arial" w:cs="Arial"/>
                <w:b/>
                <w:sz w:val="20"/>
                <w:szCs w:val="20"/>
              </w:rPr>
              <w:t xml:space="preserve">               Villages</w:t>
            </w:r>
          </w:p>
        </w:tc>
        <w:tc>
          <w:tcPr>
            <w:tcW w:w="1562" w:type="dxa"/>
          </w:tcPr>
          <w:p w14:paraId="56CD6EF7" w14:textId="77777777" w:rsidR="00A05FC3" w:rsidRPr="006C0261" w:rsidRDefault="00A05FC3" w:rsidP="004B4F11">
            <w:pPr>
              <w:jc w:val="center"/>
              <w:rPr>
                <w:rFonts w:ascii="Arial" w:hAnsi="Arial" w:cs="Arial"/>
                <w:b/>
                <w:sz w:val="20"/>
                <w:szCs w:val="20"/>
              </w:rPr>
            </w:pPr>
            <w:r w:rsidRPr="006C0261">
              <w:rPr>
                <w:rFonts w:ascii="Arial" w:hAnsi="Arial" w:cs="Arial"/>
                <w:b/>
                <w:sz w:val="20"/>
                <w:szCs w:val="20"/>
              </w:rPr>
              <w:t>Total Population</w:t>
            </w:r>
          </w:p>
        </w:tc>
        <w:tc>
          <w:tcPr>
            <w:tcW w:w="2297" w:type="dxa"/>
          </w:tcPr>
          <w:p w14:paraId="2226E781" w14:textId="77777777" w:rsidR="00A05FC3" w:rsidRPr="006C0261" w:rsidRDefault="00A05FC3" w:rsidP="004B4F11">
            <w:pPr>
              <w:jc w:val="center"/>
              <w:rPr>
                <w:rFonts w:ascii="Arial" w:hAnsi="Arial" w:cs="Arial"/>
                <w:b/>
                <w:sz w:val="20"/>
                <w:szCs w:val="20"/>
              </w:rPr>
            </w:pPr>
            <w:r w:rsidRPr="006C0261">
              <w:rPr>
                <w:rFonts w:ascii="Arial" w:hAnsi="Arial" w:cs="Arial"/>
                <w:b/>
                <w:sz w:val="20"/>
                <w:szCs w:val="20"/>
              </w:rPr>
              <w:t>No of questionnaire administered</w:t>
            </w:r>
          </w:p>
        </w:tc>
        <w:tc>
          <w:tcPr>
            <w:tcW w:w="2551" w:type="dxa"/>
          </w:tcPr>
          <w:p w14:paraId="498BF74F" w14:textId="77777777" w:rsidR="00A05FC3" w:rsidRPr="006C0261" w:rsidRDefault="00A05FC3" w:rsidP="004B4F11">
            <w:pPr>
              <w:jc w:val="center"/>
              <w:rPr>
                <w:rFonts w:ascii="Arial" w:hAnsi="Arial" w:cs="Arial"/>
                <w:b/>
                <w:sz w:val="20"/>
                <w:szCs w:val="20"/>
              </w:rPr>
            </w:pPr>
            <w:r w:rsidRPr="006C0261">
              <w:rPr>
                <w:rFonts w:ascii="Arial" w:hAnsi="Arial" w:cs="Arial"/>
                <w:b/>
                <w:sz w:val="20"/>
                <w:szCs w:val="20"/>
              </w:rPr>
              <w:t>No of questionnaire retrieved</w:t>
            </w:r>
          </w:p>
        </w:tc>
      </w:tr>
      <w:tr w:rsidR="00A05FC3" w:rsidRPr="006C0261" w14:paraId="39FC8DB1" w14:textId="77777777" w:rsidTr="00101CD5">
        <w:trPr>
          <w:trHeight w:val="247"/>
        </w:trPr>
        <w:tc>
          <w:tcPr>
            <w:tcW w:w="2770" w:type="dxa"/>
          </w:tcPr>
          <w:p w14:paraId="7CDAC362" w14:textId="77777777" w:rsidR="00A05FC3" w:rsidRPr="006C0261" w:rsidRDefault="00A05FC3" w:rsidP="004B4F11">
            <w:pPr>
              <w:spacing w:line="360" w:lineRule="auto"/>
              <w:jc w:val="both"/>
              <w:rPr>
                <w:rFonts w:ascii="Arial" w:hAnsi="Arial" w:cs="Arial"/>
                <w:sz w:val="20"/>
                <w:szCs w:val="20"/>
              </w:rPr>
            </w:pPr>
            <w:proofErr w:type="spellStart"/>
            <w:r w:rsidRPr="006C0261">
              <w:rPr>
                <w:rFonts w:ascii="Arial" w:hAnsi="Arial" w:cs="Arial"/>
                <w:sz w:val="20"/>
                <w:szCs w:val="20"/>
              </w:rPr>
              <w:t>Egbekaw</w:t>
            </w:r>
            <w:proofErr w:type="spellEnd"/>
          </w:p>
        </w:tc>
        <w:tc>
          <w:tcPr>
            <w:tcW w:w="1562" w:type="dxa"/>
          </w:tcPr>
          <w:p w14:paraId="6F868F0B"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2622</w:t>
            </w:r>
          </w:p>
        </w:tc>
        <w:tc>
          <w:tcPr>
            <w:tcW w:w="2297" w:type="dxa"/>
          </w:tcPr>
          <w:p w14:paraId="182A905C"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30</w:t>
            </w:r>
          </w:p>
        </w:tc>
        <w:tc>
          <w:tcPr>
            <w:tcW w:w="2551" w:type="dxa"/>
          </w:tcPr>
          <w:p w14:paraId="33F0DA89"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25</w:t>
            </w:r>
          </w:p>
        </w:tc>
      </w:tr>
      <w:tr w:rsidR="00A05FC3" w:rsidRPr="006C0261" w14:paraId="211366B1" w14:textId="77777777" w:rsidTr="00101CD5">
        <w:trPr>
          <w:trHeight w:val="166"/>
        </w:trPr>
        <w:tc>
          <w:tcPr>
            <w:tcW w:w="2770" w:type="dxa"/>
          </w:tcPr>
          <w:p w14:paraId="28D48390" w14:textId="77777777" w:rsidR="00A05FC3" w:rsidRPr="006C0261" w:rsidRDefault="00A05FC3" w:rsidP="004B4F11">
            <w:pPr>
              <w:spacing w:line="360" w:lineRule="auto"/>
              <w:jc w:val="both"/>
              <w:rPr>
                <w:rFonts w:ascii="Arial" w:hAnsi="Arial" w:cs="Arial"/>
                <w:sz w:val="20"/>
                <w:szCs w:val="20"/>
              </w:rPr>
            </w:pPr>
            <w:proofErr w:type="spellStart"/>
            <w:r w:rsidRPr="006C0261">
              <w:rPr>
                <w:rFonts w:ascii="Arial" w:hAnsi="Arial" w:cs="Arial"/>
                <w:sz w:val="20"/>
                <w:szCs w:val="20"/>
              </w:rPr>
              <w:t>Eshobi</w:t>
            </w:r>
            <w:proofErr w:type="spellEnd"/>
          </w:p>
        </w:tc>
        <w:tc>
          <w:tcPr>
            <w:tcW w:w="1562" w:type="dxa"/>
          </w:tcPr>
          <w:p w14:paraId="7BC7F0FE"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1549</w:t>
            </w:r>
          </w:p>
        </w:tc>
        <w:tc>
          <w:tcPr>
            <w:tcW w:w="2297" w:type="dxa"/>
          </w:tcPr>
          <w:p w14:paraId="40753DA1"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15</w:t>
            </w:r>
          </w:p>
        </w:tc>
        <w:tc>
          <w:tcPr>
            <w:tcW w:w="2551" w:type="dxa"/>
          </w:tcPr>
          <w:p w14:paraId="6CCA1EFB"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10</w:t>
            </w:r>
          </w:p>
        </w:tc>
      </w:tr>
      <w:tr w:rsidR="00A05FC3" w:rsidRPr="006C0261" w14:paraId="725D19A8" w14:textId="77777777" w:rsidTr="00101CD5">
        <w:trPr>
          <w:trHeight w:val="244"/>
        </w:trPr>
        <w:tc>
          <w:tcPr>
            <w:tcW w:w="2770" w:type="dxa"/>
          </w:tcPr>
          <w:p w14:paraId="0057502C" w14:textId="77777777" w:rsidR="00A05FC3" w:rsidRPr="006C0261" w:rsidRDefault="00A05FC3" w:rsidP="004B4F11">
            <w:pPr>
              <w:spacing w:line="360" w:lineRule="auto"/>
              <w:jc w:val="both"/>
              <w:rPr>
                <w:rFonts w:ascii="Arial" w:hAnsi="Arial" w:cs="Arial"/>
                <w:sz w:val="20"/>
                <w:szCs w:val="20"/>
              </w:rPr>
            </w:pPr>
            <w:proofErr w:type="spellStart"/>
            <w:r w:rsidRPr="006C0261">
              <w:rPr>
                <w:rFonts w:ascii="Arial" w:hAnsi="Arial" w:cs="Arial"/>
                <w:sz w:val="20"/>
                <w:szCs w:val="20"/>
              </w:rPr>
              <w:t>Eyangntui</w:t>
            </w:r>
            <w:proofErr w:type="spellEnd"/>
          </w:p>
        </w:tc>
        <w:tc>
          <w:tcPr>
            <w:tcW w:w="1562" w:type="dxa"/>
          </w:tcPr>
          <w:p w14:paraId="30AB607B"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1020</w:t>
            </w:r>
          </w:p>
        </w:tc>
        <w:tc>
          <w:tcPr>
            <w:tcW w:w="2297" w:type="dxa"/>
          </w:tcPr>
          <w:p w14:paraId="39A126E0"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15</w:t>
            </w:r>
          </w:p>
        </w:tc>
        <w:tc>
          <w:tcPr>
            <w:tcW w:w="2551" w:type="dxa"/>
          </w:tcPr>
          <w:p w14:paraId="765D3F94"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9</w:t>
            </w:r>
          </w:p>
        </w:tc>
      </w:tr>
      <w:tr w:rsidR="00A05FC3" w:rsidRPr="006C0261" w14:paraId="5D14AD35" w14:textId="77777777" w:rsidTr="00101CD5">
        <w:trPr>
          <w:trHeight w:val="206"/>
        </w:trPr>
        <w:tc>
          <w:tcPr>
            <w:tcW w:w="2770" w:type="dxa"/>
          </w:tcPr>
          <w:p w14:paraId="78AE3CD6" w14:textId="77777777" w:rsidR="00A05FC3" w:rsidRPr="006C0261" w:rsidRDefault="00A05FC3" w:rsidP="004B4F11">
            <w:pPr>
              <w:spacing w:line="360" w:lineRule="auto"/>
              <w:jc w:val="both"/>
              <w:rPr>
                <w:rFonts w:ascii="Arial" w:hAnsi="Arial" w:cs="Arial"/>
                <w:sz w:val="20"/>
                <w:szCs w:val="20"/>
              </w:rPr>
            </w:pPr>
            <w:r w:rsidRPr="006C0261">
              <w:rPr>
                <w:rFonts w:ascii="Arial" w:hAnsi="Arial" w:cs="Arial"/>
                <w:sz w:val="20"/>
                <w:szCs w:val="20"/>
              </w:rPr>
              <w:t xml:space="preserve">Small </w:t>
            </w:r>
            <w:proofErr w:type="spellStart"/>
            <w:r w:rsidRPr="006C0261">
              <w:rPr>
                <w:rFonts w:ascii="Arial" w:hAnsi="Arial" w:cs="Arial"/>
                <w:sz w:val="20"/>
                <w:szCs w:val="20"/>
              </w:rPr>
              <w:t>Mamfe</w:t>
            </w:r>
            <w:proofErr w:type="spellEnd"/>
          </w:p>
        </w:tc>
        <w:tc>
          <w:tcPr>
            <w:tcW w:w="1562" w:type="dxa"/>
          </w:tcPr>
          <w:p w14:paraId="4F60D2DB"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23178</w:t>
            </w:r>
          </w:p>
        </w:tc>
        <w:tc>
          <w:tcPr>
            <w:tcW w:w="2297" w:type="dxa"/>
          </w:tcPr>
          <w:p w14:paraId="5085F1CD"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67</w:t>
            </w:r>
          </w:p>
        </w:tc>
        <w:tc>
          <w:tcPr>
            <w:tcW w:w="2551" w:type="dxa"/>
          </w:tcPr>
          <w:p w14:paraId="3D9A21EF"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50</w:t>
            </w:r>
          </w:p>
        </w:tc>
      </w:tr>
      <w:tr w:rsidR="00A05FC3" w:rsidRPr="006C0261" w14:paraId="3000A63A" w14:textId="77777777" w:rsidTr="00101CD5">
        <w:trPr>
          <w:trHeight w:val="209"/>
        </w:trPr>
        <w:tc>
          <w:tcPr>
            <w:tcW w:w="2770" w:type="dxa"/>
          </w:tcPr>
          <w:p w14:paraId="7D45ACDB" w14:textId="77777777" w:rsidR="00A05FC3" w:rsidRPr="006C0261" w:rsidRDefault="00A05FC3" w:rsidP="004B4F11">
            <w:pPr>
              <w:spacing w:line="360" w:lineRule="auto"/>
              <w:jc w:val="both"/>
              <w:rPr>
                <w:rFonts w:ascii="Arial" w:hAnsi="Arial" w:cs="Arial"/>
                <w:sz w:val="20"/>
                <w:szCs w:val="20"/>
              </w:rPr>
            </w:pPr>
            <w:proofErr w:type="spellStart"/>
            <w:r w:rsidRPr="006C0261">
              <w:rPr>
                <w:rFonts w:ascii="Arial" w:hAnsi="Arial" w:cs="Arial"/>
                <w:sz w:val="20"/>
                <w:szCs w:val="20"/>
              </w:rPr>
              <w:t>Bessongabang</w:t>
            </w:r>
            <w:proofErr w:type="spellEnd"/>
          </w:p>
        </w:tc>
        <w:tc>
          <w:tcPr>
            <w:tcW w:w="1562" w:type="dxa"/>
          </w:tcPr>
          <w:p w14:paraId="75054F42"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6940</w:t>
            </w:r>
          </w:p>
        </w:tc>
        <w:tc>
          <w:tcPr>
            <w:tcW w:w="2297" w:type="dxa"/>
          </w:tcPr>
          <w:p w14:paraId="67BE80FF"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35</w:t>
            </w:r>
          </w:p>
        </w:tc>
        <w:tc>
          <w:tcPr>
            <w:tcW w:w="2551" w:type="dxa"/>
          </w:tcPr>
          <w:p w14:paraId="1267B7BE"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28</w:t>
            </w:r>
          </w:p>
        </w:tc>
      </w:tr>
      <w:tr w:rsidR="00A05FC3" w:rsidRPr="006C0261" w14:paraId="532E9518" w14:textId="77777777" w:rsidTr="00101CD5">
        <w:trPr>
          <w:trHeight w:val="211"/>
        </w:trPr>
        <w:tc>
          <w:tcPr>
            <w:tcW w:w="2770" w:type="dxa"/>
          </w:tcPr>
          <w:p w14:paraId="23F5CD5F" w14:textId="77777777" w:rsidR="00A05FC3" w:rsidRPr="006C0261" w:rsidRDefault="00A05FC3" w:rsidP="004B4F11">
            <w:pPr>
              <w:spacing w:line="360" w:lineRule="auto"/>
              <w:jc w:val="both"/>
              <w:rPr>
                <w:rFonts w:ascii="Arial" w:hAnsi="Arial" w:cs="Arial"/>
                <w:sz w:val="20"/>
                <w:szCs w:val="20"/>
              </w:rPr>
            </w:pPr>
            <w:proofErr w:type="spellStart"/>
            <w:r w:rsidRPr="006C0261">
              <w:rPr>
                <w:rFonts w:ascii="Arial" w:hAnsi="Arial" w:cs="Arial"/>
                <w:sz w:val="20"/>
                <w:szCs w:val="20"/>
              </w:rPr>
              <w:t>Bachou-Ntai</w:t>
            </w:r>
            <w:proofErr w:type="spellEnd"/>
          </w:p>
        </w:tc>
        <w:tc>
          <w:tcPr>
            <w:tcW w:w="1562" w:type="dxa"/>
          </w:tcPr>
          <w:p w14:paraId="27D4883C"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4758</w:t>
            </w:r>
          </w:p>
        </w:tc>
        <w:tc>
          <w:tcPr>
            <w:tcW w:w="2297" w:type="dxa"/>
          </w:tcPr>
          <w:p w14:paraId="1F7B2DA8"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35</w:t>
            </w:r>
          </w:p>
        </w:tc>
        <w:tc>
          <w:tcPr>
            <w:tcW w:w="2551" w:type="dxa"/>
          </w:tcPr>
          <w:p w14:paraId="539340ED"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20</w:t>
            </w:r>
          </w:p>
        </w:tc>
      </w:tr>
      <w:tr w:rsidR="00A05FC3" w:rsidRPr="006C0261" w14:paraId="057D953C" w14:textId="77777777" w:rsidTr="00101CD5">
        <w:trPr>
          <w:trHeight w:val="204"/>
        </w:trPr>
        <w:tc>
          <w:tcPr>
            <w:tcW w:w="2770" w:type="dxa"/>
          </w:tcPr>
          <w:p w14:paraId="3D1AA11F" w14:textId="77777777" w:rsidR="00A05FC3" w:rsidRPr="006C0261" w:rsidRDefault="00A05FC3" w:rsidP="004B4F11">
            <w:pPr>
              <w:spacing w:line="360" w:lineRule="auto"/>
              <w:jc w:val="both"/>
              <w:rPr>
                <w:rFonts w:ascii="Arial" w:hAnsi="Arial" w:cs="Arial"/>
                <w:sz w:val="20"/>
                <w:szCs w:val="20"/>
              </w:rPr>
            </w:pPr>
            <w:proofErr w:type="spellStart"/>
            <w:r w:rsidRPr="006C0261">
              <w:rPr>
                <w:rFonts w:ascii="Arial" w:hAnsi="Arial" w:cs="Arial"/>
                <w:sz w:val="20"/>
                <w:szCs w:val="20"/>
              </w:rPr>
              <w:t>Nchang</w:t>
            </w:r>
            <w:proofErr w:type="spellEnd"/>
          </w:p>
        </w:tc>
        <w:tc>
          <w:tcPr>
            <w:tcW w:w="1562" w:type="dxa"/>
          </w:tcPr>
          <w:p w14:paraId="41A3EF37"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3678</w:t>
            </w:r>
          </w:p>
        </w:tc>
        <w:tc>
          <w:tcPr>
            <w:tcW w:w="2297" w:type="dxa"/>
          </w:tcPr>
          <w:p w14:paraId="491CD95C"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30</w:t>
            </w:r>
          </w:p>
        </w:tc>
        <w:tc>
          <w:tcPr>
            <w:tcW w:w="2551" w:type="dxa"/>
          </w:tcPr>
          <w:p w14:paraId="72CB8A17" w14:textId="77777777" w:rsidR="00A05FC3" w:rsidRPr="006C0261" w:rsidRDefault="00A05FC3" w:rsidP="004B4F11">
            <w:pPr>
              <w:spacing w:line="360" w:lineRule="auto"/>
              <w:jc w:val="center"/>
              <w:rPr>
                <w:rFonts w:ascii="Arial" w:hAnsi="Arial" w:cs="Arial"/>
                <w:sz w:val="20"/>
                <w:szCs w:val="20"/>
              </w:rPr>
            </w:pPr>
            <w:r w:rsidRPr="006C0261">
              <w:rPr>
                <w:rFonts w:ascii="Arial" w:hAnsi="Arial" w:cs="Arial"/>
                <w:sz w:val="20"/>
                <w:szCs w:val="20"/>
              </w:rPr>
              <w:t>27</w:t>
            </w:r>
          </w:p>
        </w:tc>
      </w:tr>
      <w:tr w:rsidR="00B44703" w:rsidRPr="006C0261" w14:paraId="7F81DB8C" w14:textId="77777777" w:rsidTr="00101CD5">
        <w:trPr>
          <w:trHeight w:val="207"/>
        </w:trPr>
        <w:tc>
          <w:tcPr>
            <w:tcW w:w="2770" w:type="dxa"/>
          </w:tcPr>
          <w:p w14:paraId="3DD2E275" w14:textId="57B4A74F" w:rsidR="00B44703" w:rsidRPr="006C0261" w:rsidRDefault="00B44703" w:rsidP="004B4F11">
            <w:pPr>
              <w:spacing w:line="360" w:lineRule="auto"/>
              <w:jc w:val="both"/>
              <w:rPr>
                <w:rFonts w:ascii="Arial" w:hAnsi="Arial" w:cs="Arial"/>
                <w:sz w:val="20"/>
                <w:szCs w:val="20"/>
              </w:rPr>
            </w:pPr>
            <w:r w:rsidRPr="006C0261">
              <w:rPr>
                <w:rFonts w:ascii="Arial" w:hAnsi="Arial" w:cs="Arial"/>
                <w:b/>
                <w:sz w:val="20"/>
                <w:szCs w:val="20"/>
              </w:rPr>
              <w:t>Total</w:t>
            </w:r>
          </w:p>
        </w:tc>
        <w:tc>
          <w:tcPr>
            <w:tcW w:w="1562" w:type="dxa"/>
          </w:tcPr>
          <w:p w14:paraId="5E467D2A" w14:textId="79DC9F92" w:rsidR="00B44703" w:rsidRPr="006C0261" w:rsidRDefault="00B44703" w:rsidP="004B4F11">
            <w:pPr>
              <w:spacing w:line="360" w:lineRule="auto"/>
              <w:jc w:val="center"/>
              <w:rPr>
                <w:rFonts w:ascii="Arial" w:hAnsi="Arial" w:cs="Arial"/>
                <w:sz w:val="20"/>
                <w:szCs w:val="20"/>
              </w:rPr>
            </w:pPr>
            <w:r w:rsidRPr="006C0261">
              <w:rPr>
                <w:rFonts w:ascii="Arial" w:hAnsi="Arial" w:cs="Arial"/>
                <w:b/>
                <w:sz w:val="20"/>
                <w:szCs w:val="20"/>
              </w:rPr>
              <w:t>43745</w:t>
            </w:r>
          </w:p>
        </w:tc>
        <w:tc>
          <w:tcPr>
            <w:tcW w:w="2297" w:type="dxa"/>
          </w:tcPr>
          <w:p w14:paraId="513CAC38" w14:textId="449F250D" w:rsidR="00B44703" w:rsidRPr="006C0261" w:rsidRDefault="00B44703" w:rsidP="004B4F11">
            <w:pPr>
              <w:spacing w:line="360" w:lineRule="auto"/>
              <w:jc w:val="center"/>
              <w:rPr>
                <w:rFonts w:ascii="Arial" w:hAnsi="Arial" w:cs="Arial"/>
                <w:sz w:val="20"/>
                <w:szCs w:val="20"/>
              </w:rPr>
            </w:pPr>
            <w:r w:rsidRPr="006C0261">
              <w:rPr>
                <w:rFonts w:ascii="Arial" w:hAnsi="Arial" w:cs="Arial"/>
                <w:b/>
                <w:sz w:val="20"/>
                <w:szCs w:val="20"/>
              </w:rPr>
              <w:t>227</w:t>
            </w:r>
          </w:p>
        </w:tc>
        <w:tc>
          <w:tcPr>
            <w:tcW w:w="2551" w:type="dxa"/>
          </w:tcPr>
          <w:p w14:paraId="1FA7B2C4" w14:textId="762A70FD" w:rsidR="00B44703" w:rsidRPr="006C0261" w:rsidRDefault="0057352C" w:rsidP="004B4F11">
            <w:pPr>
              <w:spacing w:line="360" w:lineRule="auto"/>
              <w:jc w:val="center"/>
              <w:rPr>
                <w:rFonts w:ascii="Arial" w:hAnsi="Arial" w:cs="Arial"/>
                <w:b/>
                <w:sz w:val="20"/>
                <w:szCs w:val="20"/>
              </w:rPr>
            </w:pPr>
            <w:r w:rsidRPr="006C0261">
              <w:rPr>
                <w:rFonts w:ascii="Arial" w:hAnsi="Arial" w:cs="Arial"/>
                <w:b/>
                <w:sz w:val="20"/>
                <w:szCs w:val="20"/>
              </w:rPr>
              <w:t>169</w:t>
            </w:r>
          </w:p>
        </w:tc>
      </w:tr>
    </w:tbl>
    <w:p w14:paraId="29CFDB40" w14:textId="22E04023" w:rsidR="00435487" w:rsidRPr="006C0261" w:rsidRDefault="00A05FC3" w:rsidP="00435487">
      <w:pPr>
        <w:spacing w:line="360" w:lineRule="auto"/>
        <w:jc w:val="center"/>
        <w:rPr>
          <w:rFonts w:ascii="Arial" w:eastAsia="Calibri" w:hAnsi="Arial" w:cs="Arial"/>
          <w:sz w:val="20"/>
          <w:szCs w:val="20"/>
        </w:rPr>
      </w:pPr>
      <w:r w:rsidRPr="006C0261">
        <w:rPr>
          <w:rFonts w:ascii="Arial" w:eastAsia="Calibri" w:hAnsi="Arial" w:cs="Arial"/>
          <w:sz w:val="20"/>
          <w:szCs w:val="20"/>
        </w:rPr>
        <w:t>Source: BUCREP, 2010, and 2024 projection</w:t>
      </w:r>
    </w:p>
    <w:p w14:paraId="51F4B6AE" w14:textId="1C89571E" w:rsidR="00D65E80" w:rsidRPr="006C0261" w:rsidRDefault="00D65E80" w:rsidP="00D65E80">
      <w:pPr>
        <w:pStyle w:val="Caption"/>
        <w:jc w:val="center"/>
        <w:rPr>
          <w:rFonts w:ascii="Arial" w:eastAsia="Calibri" w:hAnsi="Arial" w:cs="Arial"/>
          <w:b/>
          <w:bCs/>
          <w:i w:val="0"/>
          <w:iCs w:val="0"/>
          <w:color w:val="000000" w:themeColor="text1"/>
          <w:sz w:val="20"/>
          <w:szCs w:val="20"/>
        </w:rPr>
      </w:pPr>
      <w:r w:rsidRPr="006C0261">
        <w:rPr>
          <w:rFonts w:ascii="Arial" w:hAnsi="Arial" w:cs="Arial"/>
          <w:b/>
          <w:bCs/>
          <w:i w:val="0"/>
          <w:iCs w:val="0"/>
          <w:color w:val="000000" w:themeColor="text1"/>
          <w:sz w:val="20"/>
          <w:szCs w:val="20"/>
        </w:rPr>
        <w:t>Table:1</w:t>
      </w:r>
      <w:r w:rsidR="0061442B" w:rsidRPr="006C0261">
        <w:rPr>
          <w:rFonts w:ascii="Arial" w:hAnsi="Arial" w:cs="Arial"/>
          <w:b/>
          <w:bCs/>
          <w:i w:val="0"/>
          <w:iCs w:val="0"/>
          <w:color w:val="000000" w:themeColor="text1"/>
          <w:sz w:val="20"/>
          <w:szCs w:val="20"/>
        </w:rPr>
        <w:t>(</w:t>
      </w:r>
      <w:r w:rsidRPr="006C0261">
        <w:rPr>
          <w:rFonts w:ascii="Arial" w:hAnsi="Arial" w:cs="Arial"/>
          <w:b/>
          <w:bCs/>
          <w:i w:val="0"/>
          <w:iCs w:val="0"/>
          <w:color w:val="000000" w:themeColor="text1"/>
          <w:sz w:val="20"/>
          <w:szCs w:val="20"/>
        </w:rPr>
        <w:t>B</w:t>
      </w:r>
      <w:r w:rsidR="0061442B" w:rsidRPr="006C0261">
        <w:rPr>
          <w:rFonts w:ascii="Arial" w:hAnsi="Arial" w:cs="Arial"/>
          <w:b/>
          <w:bCs/>
          <w:i w:val="0"/>
          <w:iCs w:val="0"/>
          <w:color w:val="000000" w:themeColor="text1"/>
          <w:sz w:val="20"/>
          <w:szCs w:val="20"/>
        </w:rPr>
        <w:t>)</w:t>
      </w:r>
      <w:r w:rsidRPr="006C0261">
        <w:rPr>
          <w:rFonts w:ascii="Arial" w:hAnsi="Arial" w:cs="Arial"/>
          <w:b/>
          <w:bCs/>
          <w:i w:val="0"/>
          <w:iCs w:val="0"/>
          <w:color w:val="000000" w:themeColor="text1"/>
          <w:sz w:val="20"/>
          <w:szCs w:val="20"/>
        </w:rPr>
        <w:t>:</w:t>
      </w:r>
      <w:r w:rsidRPr="006C0261">
        <w:rPr>
          <w:rFonts w:ascii="Arial" w:eastAsia="Calibri" w:hAnsi="Arial" w:cs="Arial"/>
          <w:b/>
          <w:bCs/>
          <w:i w:val="0"/>
          <w:iCs w:val="0"/>
          <w:color w:val="000000" w:themeColor="text1"/>
          <w:sz w:val="20"/>
          <w:szCs w:val="20"/>
        </w:rPr>
        <w:t xml:space="preserve"> Questionnaire distribution</w:t>
      </w:r>
    </w:p>
    <w:tbl>
      <w:tblPr>
        <w:tblStyle w:val="TableGrid"/>
        <w:tblW w:w="8897" w:type="dxa"/>
        <w:tblLook w:val="04A0" w:firstRow="1" w:lastRow="0" w:firstColumn="1" w:lastColumn="0" w:noHBand="0" w:noVBand="1"/>
      </w:tblPr>
      <w:tblGrid>
        <w:gridCol w:w="2812"/>
        <w:gridCol w:w="1407"/>
        <w:gridCol w:w="2552"/>
        <w:gridCol w:w="2126"/>
      </w:tblGrid>
      <w:tr w:rsidR="0057352C" w:rsidRPr="006C0261" w14:paraId="3CF40624" w14:textId="77777777" w:rsidTr="00101CD5">
        <w:trPr>
          <w:trHeight w:val="492"/>
        </w:trPr>
        <w:tc>
          <w:tcPr>
            <w:tcW w:w="2812" w:type="dxa"/>
          </w:tcPr>
          <w:p w14:paraId="06E44D24" w14:textId="508D493C" w:rsidR="0057352C" w:rsidRPr="006C0261" w:rsidRDefault="0057352C" w:rsidP="00043681">
            <w:pPr>
              <w:spacing w:line="360" w:lineRule="auto"/>
              <w:jc w:val="both"/>
              <w:rPr>
                <w:rFonts w:ascii="Arial" w:hAnsi="Arial" w:cs="Arial"/>
                <w:sz w:val="20"/>
                <w:szCs w:val="20"/>
              </w:rPr>
            </w:pPr>
            <w:r w:rsidRPr="006C0261">
              <w:rPr>
                <w:rFonts w:ascii="Arial" w:hAnsi="Arial" w:cs="Arial"/>
                <w:sz w:val="20"/>
                <w:szCs w:val="20"/>
              </w:rPr>
              <w:t>Stakeholders in water resource management</w:t>
            </w:r>
          </w:p>
        </w:tc>
        <w:tc>
          <w:tcPr>
            <w:tcW w:w="1407" w:type="dxa"/>
          </w:tcPr>
          <w:p w14:paraId="7F70245B" w14:textId="3CD3A671" w:rsidR="0057352C" w:rsidRPr="006C0261" w:rsidRDefault="0057352C" w:rsidP="00043681">
            <w:pPr>
              <w:spacing w:line="360" w:lineRule="auto"/>
              <w:jc w:val="center"/>
              <w:rPr>
                <w:rFonts w:ascii="Arial" w:hAnsi="Arial" w:cs="Arial"/>
                <w:sz w:val="20"/>
                <w:szCs w:val="20"/>
              </w:rPr>
            </w:pPr>
            <w:r w:rsidRPr="006C0261">
              <w:rPr>
                <w:rFonts w:ascii="Arial" w:hAnsi="Arial" w:cs="Arial"/>
                <w:b/>
                <w:sz w:val="20"/>
                <w:szCs w:val="20"/>
              </w:rPr>
              <w:t>Total Population</w:t>
            </w:r>
          </w:p>
        </w:tc>
        <w:tc>
          <w:tcPr>
            <w:tcW w:w="2552" w:type="dxa"/>
          </w:tcPr>
          <w:p w14:paraId="0C2FC5CD" w14:textId="1EA50163" w:rsidR="0057352C" w:rsidRPr="006C0261" w:rsidRDefault="0057352C" w:rsidP="00043681">
            <w:pPr>
              <w:spacing w:line="360" w:lineRule="auto"/>
              <w:jc w:val="center"/>
              <w:rPr>
                <w:rFonts w:ascii="Arial" w:hAnsi="Arial" w:cs="Arial"/>
                <w:sz w:val="20"/>
                <w:szCs w:val="20"/>
              </w:rPr>
            </w:pPr>
            <w:r w:rsidRPr="006C0261">
              <w:rPr>
                <w:rFonts w:ascii="Arial" w:hAnsi="Arial" w:cs="Arial"/>
                <w:b/>
                <w:sz w:val="20"/>
                <w:szCs w:val="20"/>
              </w:rPr>
              <w:t>No of questionnaire administered</w:t>
            </w:r>
          </w:p>
        </w:tc>
        <w:tc>
          <w:tcPr>
            <w:tcW w:w="2126" w:type="dxa"/>
          </w:tcPr>
          <w:p w14:paraId="1FC3FE00" w14:textId="3B32FF9E" w:rsidR="0057352C" w:rsidRPr="006C0261" w:rsidRDefault="0057352C" w:rsidP="00043681">
            <w:pPr>
              <w:spacing w:line="360" w:lineRule="auto"/>
              <w:jc w:val="center"/>
              <w:rPr>
                <w:rFonts w:ascii="Arial" w:hAnsi="Arial" w:cs="Arial"/>
                <w:sz w:val="20"/>
                <w:szCs w:val="20"/>
              </w:rPr>
            </w:pPr>
            <w:r w:rsidRPr="006C0261">
              <w:rPr>
                <w:rFonts w:ascii="Arial" w:hAnsi="Arial" w:cs="Arial"/>
                <w:b/>
                <w:sz w:val="20"/>
                <w:szCs w:val="20"/>
              </w:rPr>
              <w:t>No of questionnaire retrieved</w:t>
            </w:r>
          </w:p>
        </w:tc>
      </w:tr>
      <w:tr w:rsidR="0057352C" w:rsidRPr="006C0261" w14:paraId="311BC7AA" w14:textId="77777777" w:rsidTr="00101CD5">
        <w:trPr>
          <w:trHeight w:val="340"/>
        </w:trPr>
        <w:tc>
          <w:tcPr>
            <w:tcW w:w="2812" w:type="dxa"/>
          </w:tcPr>
          <w:p w14:paraId="0B3AC1AE" w14:textId="6E6367FB" w:rsidR="0057352C" w:rsidRPr="006C0261" w:rsidRDefault="0057352C" w:rsidP="00043681">
            <w:pPr>
              <w:spacing w:line="360" w:lineRule="auto"/>
              <w:jc w:val="both"/>
              <w:rPr>
                <w:rFonts w:ascii="Arial" w:hAnsi="Arial" w:cs="Arial"/>
                <w:sz w:val="20"/>
                <w:szCs w:val="20"/>
              </w:rPr>
            </w:pPr>
            <w:r w:rsidRPr="006C0261">
              <w:rPr>
                <w:rFonts w:ascii="Arial" w:hAnsi="Arial" w:cs="Arial"/>
                <w:sz w:val="20"/>
                <w:szCs w:val="20"/>
              </w:rPr>
              <w:t>Health care personnel</w:t>
            </w:r>
          </w:p>
        </w:tc>
        <w:tc>
          <w:tcPr>
            <w:tcW w:w="1407" w:type="dxa"/>
          </w:tcPr>
          <w:p w14:paraId="6824E316" w14:textId="34B54173" w:rsidR="0057352C" w:rsidRPr="006C0261" w:rsidRDefault="0057352C" w:rsidP="00043681">
            <w:pPr>
              <w:spacing w:line="360" w:lineRule="auto"/>
              <w:jc w:val="center"/>
              <w:rPr>
                <w:rFonts w:ascii="Arial" w:hAnsi="Arial" w:cs="Arial"/>
                <w:sz w:val="20"/>
                <w:szCs w:val="20"/>
              </w:rPr>
            </w:pPr>
            <w:r w:rsidRPr="006C0261">
              <w:rPr>
                <w:rFonts w:ascii="Arial" w:hAnsi="Arial" w:cs="Arial"/>
                <w:sz w:val="20"/>
                <w:szCs w:val="20"/>
              </w:rPr>
              <w:t>100</w:t>
            </w:r>
          </w:p>
        </w:tc>
        <w:tc>
          <w:tcPr>
            <w:tcW w:w="2552" w:type="dxa"/>
          </w:tcPr>
          <w:p w14:paraId="6A28C0A3" w14:textId="289CAB46" w:rsidR="0057352C" w:rsidRPr="006C0261" w:rsidRDefault="0057352C" w:rsidP="00043681">
            <w:pPr>
              <w:spacing w:line="360" w:lineRule="auto"/>
              <w:jc w:val="center"/>
              <w:rPr>
                <w:rFonts w:ascii="Arial" w:hAnsi="Arial" w:cs="Arial"/>
                <w:sz w:val="20"/>
                <w:szCs w:val="20"/>
              </w:rPr>
            </w:pPr>
            <w:r w:rsidRPr="006C0261">
              <w:rPr>
                <w:rFonts w:ascii="Arial" w:hAnsi="Arial" w:cs="Arial"/>
                <w:sz w:val="20"/>
                <w:szCs w:val="20"/>
              </w:rPr>
              <w:t>30</w:t>
            </w:r>
          </w:p>
        </w:tc>
        <w:tc>
          <w:tcPr>
            <w:tcW w:w="2126" w:type="dxa"/>
          </w:tcPr>
          <w:p w14:paraId="38730F39" w14:textId="1D6375BF" w:rsidR="0057352C" w:rsidRPr="006C0261" w:rsidRDefault="0057352C" w:rsidP="00043681">
            <w:pPr>
              <w:spacing w:line="360" w:lineRule="auto"/>
              <w:jc w:val="center"/>
              <w:rPr>
                <w:rFonts w:ascii="Arial" w:hAnsi="Arial" w:cs="Arial"/>
                <w:sz w:val="20"/>
                <w:szCs w:val="20"/>
              </w:rPr>
            </w:pPr>
            <w:r w:rsidRPr="006C0261">
              <w:rPr>
                <w:rFonts w:ascii="Arial" w:hAnsi="Arial" w:cs="Arial"/>
                <w:sz w:val="20"/>
                <w:szCs w:val="20"/>
              </w:rPr>
              <w:t>26</w:t>
            </w:r>
          </w:p>
        </w:tc>
      </w:tr>
      <w:tr w:rsidR="0057352C" w:rsidRPr="006C0261" w14:paraId="296A81EC" w14:textId="77777777" w:rsidTr="00101CD5">
        <w:trPr>
          <w:trHeight w:val="436"/>
        </w:trPr>
        <w:tc>
          <w:tcPr>
            <w:tcW w:w="2812" w:type="dxa"/>
          </w:tcPr>
          <w:p w14:paraId="789C5922" w14:textId="64B035E3" w:rsidR="0057352C" w:rsidRPr="006C0261" w:rsidRDefault="0057352C" w:rsidP="00043681">
            <w:pPr>
              <w:jc w:val="both"/>
              <w:rPr>
                <w:rFonts w:ascii="Arial" w:hAnsi="Arial" w:cs="Arial"/>
                <w:sz w:val="20"/>
                <w:szCs w:val="20"/>
              </w:rPr>
            </w:pPr>
            <w:r w:rsidRPr="006C0261">
              <w:rPr>
                <w:rFonts w:ascii="Arial" w:hAnsi="Arial" w:cs="Arial"/>
                <w:sz w:val="20"/>
                <w:szCs w:val="20"/>
              </w:rPr>
              <w:t>Village Development Associations</w:t>
            </w:r>
          </w:p>
        </w:tc>
        <w:tc>
          <w:tcPr>
            <w:tcW w:w="1407" w:type="dxa"/>
          </w:tcPr>
          <w:p w14:paraId="21146730" w14:textId="42179727" w:rsidR="0057352C" w:rsidRPr="006C0261" w:rsidRDefault="003648AA" w:rsidP="00043681">
            <w:pPr>
              <w:jc w:val="center"/>
              <w:rPr>
                <w:rFonts w:ascii="Arial" w:hAnsi="Arial" w:cs="Arial"/>
                <w:sz w:val="20"/>
                <w:szCs w:val="20"/>
              </w:rPr>
            </w:pPr>
            <w:r w:rsidRPr="006C0261">
              <w:rPr>
                <w:rFonts w:ascii="Arial" w:hAnsi="Arial" w:cs="Arial"/>
                <w:sz w:val="20"/>
                <w:szCs w:val="20"/>
              </w:rPr>
              <w:t>40</w:t>
            </w:r>
          </w:p>
        </w:tc>
        <w:tc>
          <w:tcPr>
            <w:tcW w:w="2552" w:type="dxa"/>
          </w:tcPr>
          <w:p w14:paraId="26C75D67" w14:textId="654190A6" w:rsidR="0057352C" w:rsidRPr="006C0261" w:rsidRDefault="00435487" w:rsidP="00043681">
            <w:pPr>
              <w:jc w:val="center"/>
              <w:rPr>
                <w:rFonts w:ascii="Arial" w:hAnsi="Arial" w:cs="Arial"/>
                <w:sz w:val="20"/>
                <w:szCs w:val="20"/>
              </w:rPr>
            </w:pPr>
            <w:r w:rsidRPr="006C0261">
              <w:rPr>
                <w:rFonts w:ascii="Arial" w:hAnsi="Arial" w:cs="Arial"/>
                <w:sz w:val="20"/>
                <w:szCs w:val="20"/>
              </w:rPr>
              <w:t>6</w:t>
            </w:r>
          </w:p>
        </w:tc>
        <w:tc>
          <w:tcPr>
            <w:tcW w:w="2126" w:type="dxa"/>
          </w:tcPr>
          <w:p w14:paraId="4956FE67" w14:textId="13101154" w:rsidR="0057352C" w:rsidRPr="006C0261" w:rsidRDefault="00435487" w:rsidP="00043681">
            <w:pPr>
              <w:jc w:val="center"/>
              <w:rPr>
                <w:rFonts w:ascii="Arial" w:hAnsi="Arial" w:cs="Arial"/>
                <w:sz w:val="20"/>
                <w:szCs w:val="20"/>
              </w:rPr>
            </w:pPr>
            <w:r w:rsidRPr="006C0261">
              <w:rPr>
                <w:rFonts w:ascii="Arial" w:hAnsi="Arial" w:cs="Arial"/>
                <w:sz w:val="20"/>
                <w:szCs w:val="20"/>
              </w:rPr>
              <w:t>6</w:t>
            </w:r>
          </w:p>
        </w:tc>
      </w:tr>
      <w:tr w:rsidR="0057352C" w:rsidRPr="006C0261" w14:paraId="265C26AF" w14:textId="77777777" w:rsidTr="00101CD5">
        <w:trPr>
          <w:trHeight w:val="266"/>
        </w:trPr>
        <w:tc>
          <w:tcPr>
            <w:tcW w:w="2812" w:type="dxa"/>
          </w:tcPr>
          <w:p w14:paraId="722690EC" w14:textId="7BAA0A98" w:rsidR="0057352C" w:rsidRPr="006C0261" w:rsidRDefault="003648AA" w:rsidP="00043681">
            <w:pPr>
              <w:jc w:val="both"/>
              <w:rPr>
                <w:rFonts w:ascii="Arial" w:hAnsi="Arial" w:cs="Arial"/>
                <w:sz w:val="20"/>
                <w:szCs w:val="20"/>
              </w:rPr>
            </w:pPr>
            <w:r w:rsidRPr="006C0261">
              <w:rPr>
                <w:rFonts w:ascii="Arial" w:hAnsi="Arial" w:cs="Arial"/>
                <w:sz w:val="20"/>
                <w:szCs w:val="20"/>
              </w:rPr>
              <w:t>CAMWATER</w:t>
            </w:r>
          </w:p>
        </w:tc>
        <w:tc>
          <w:tcPr>
            <w:tcW w:w="1407" w:type="dxa"/>
          </w:tcPr>
          <w:p w14:paraId="4C92A073" w14:textId="48723A4C" w:rsidR="0057352C" w:rsidRPr="006C0261" w:rsidRDefault="003648AA" w:rsidP="00043681">
            <w:pPr>
              <w:jc w:val="center"/>
              <w:rPr>
                <w:rFonts w:ascii="Arial" w:hAnsi="Arial" w:cs="Arial"/>
                <w:sz w:val="20"/>
                <w:szCs w:val="20"/>
              </w:rPr>
            </w:pPr>
            <w:r w:rsidRPr="006C0261">
              <w:rPr>
                <w:rFonts w:ascii="Arial" w:hAnsi="Arial" w:cs="Arial"/>
                <w:sz w:val="20"/>
                <w:szCs w:val="20"/>
              </w:rPr>
              <w:t>40</w:t>
            </w:r>
          </w:p>
        </w:tc>
        <w:tc>
          <w:tcPr>
            <w:tcW w:w="2552" w:type="dxa"/>
          </w:tcPr>
          <w:p w14:paraId="30223937" w14:textId="144C02DF" w:rsidR="0057352C" w:rsidRPr="006C0261" w:rsidRDefault="00435487" w:rsidP="00043681">
            <w:pPr>
              <w:jc w:val="center"/>
              <w:rPr>
                <w:rFonts w:ascii="Arial" w:hAnsi="Arial" w:cs="Arial"/>
                <w:sz w:val="20"/>
                <w:szCs w:val="20"/>
              </w:rPr>
            </w:pPr>
            <w:r w:rsidRPr="006C0261">
              <w:rPr>
                <w:rFonts w:ascii="Arial" w:hAnsi="Arial" w:cs="Arial"/>
                <w:sz w:val="20"/>
                <w:szCs w:val="20"/>
              </w:rPr>
              <w:t>4</w:t>
            </w:r>
          </w:p>
        </w:tc>
        <w:tc>
          <w:tcPr>
            <w:tcW w:w="2126" w:type="dxa"/>
          </w:tcPr>
          <w:p w14:paraId="2BF9B9DD" w14:textId="3D20C007" w:rsidR="0057352C" w:rsidRPr="006C0261" w:rsidRDefault="00435487" w:rsidP="00043681">
            <w:pPr>
              <w:jc w:val="center"/>
              <w:rPr>
                <w:rFonts w:ascii="Arial" w:hAnsi="Arial" w:cs="Arial"/>
                <w:sz w:val="20"/>
                <w:szCs w:val="20"/>
              </w:rPr>
            </w:pPr>
            <w:r w:rsidRPr="006C0261">
              <w:rPr>
                <w:rFonts w:ascii="Arial" w:hAnsi="Arial" w:cs="Arial"/>
                <w:sz w:val="20"/>
                <w:szCs w:val="20"/>
              </w:rPr>
              <w:t>4</w:t>
            </w:r>
          </w:p>
        </w:tc>
      </w:tr>
      <w:tr w:rsidR="0057352C" w:rsidRPr="006C0261" w14:paraId="53AFC755" w14:textId="77777777" w:rsidTr="00101CD5">
        <w:trPr>
          <w:trHeight w:val="274"/>
        </w:trPr>
        <w:tc>
          <w:tcPr>
            <w:tcW w:w="2812" w:type="dxa"/>
          </w:tcPr>
          <w:p w14:paraId="16E1586E" w14:textId="0A8BE50E" w:rsidR="0057352C" w:rsidRPr="006C0261" w:rsidRDefault="003648AA" w:rsidP="00043681">
            <w:pPr>
              <w:jc w:val="both"/>
              <w:rPr>
                <w:rFonts w:ascii="Arial" w:hAnsi="Arial" w:cs="Arial"/>
                <w:sz w:val="20"/>
                <w:szCs w:val="20"/>
              </w:rPr>
            </w:pPr>
            <w:r w:rsidRPr="006C0261">
              <w:rPr>
                <w:rFonts w:ascii="Arial" w:hAnsi="Arial" w:cs="Arial"/>
                <w:sz w:val="20"/>
                <w:szCs w:val="20"/>
              </w:rPr>
              <w:t>Village Water Development Authorities</w:t>
            </w:r>
          </w:p>
        </w:tc>
        <w:tc>
          <w:tcPr>
            <w:tcW w:w="1407" w:type="dxa"/>
          </w:tcPr>
          <w:p w14:paraId="5E0A3B97" w14:textId="465EE4CA" w:rsidR="0057352C" w:rsidRPr="006C0261" w:rsidRDefault="003648AA" w:rsidP="00043681">
            <w:pPr>
              <w:jc w:val="center"/>
              <w:rPr>
                <w:rFonts w:ascii="Arial" w:hAnsi="Arial" w:cs="Arial"/>
                <w:sz w:val="20"/>
                <w:szCs w:val="20"/>
              </w:rPr>
            </w:pPr>
            <w:r w:rsidRPr="006C0261">
              <w:rPr>
                <w:rFonts w:ascii="Arial" w:hAnsi="Arial" w:cs="Arial"/>
                <w:sz w:val="20"/>
                <w:szCs w:val="20"/>
              </w:rPr>
              <w:t>40</w:t>
            </w:r>
          </w:p>
        </w:tc>
        <w:tc>
          <w:tcPr>
            <w:tcW w:w="2552" w:type="dxa"/>
          </w:tcPr>
          <w:p w14:paraId="499D0292" w14:textId="6C465B6B" w:rsidR="0057352C" w:rsidRPr="006C0261" w:rsidRDefault="00435487" w:rsidP="00043681">
            <w:pPr>
              <w:jc w:val="center"/>
              <w:rPr>
                <w:rFonts w:ascii="Arial" w:hAnsi="Arial" w:cs="Arial"/>
                <w:sz w:val="20"/>
                <w:szCs w:val="20"/>
              </w:rPr>
            </w:pPr>
            <w:r w:rsidRPr="006C0261">
              <w:rPr>
                <w:rFonts w:ascii="Arial" w:hAnsi="Arial" w:cs="Arial"/>
                <w:sz w:val="20"/>
                <w:szCs w:val="20"/>
              </w:rPr>
              <w:t>6</w:t>
            </w:r>
          </w:p>
        </w:tc>
        <w:tc>
          <w:tcPr>
            <w:tcW w:w="2126" w:type="dxa"/>
          </w:tcPr>
          <w:p w14:paraId="27787867" w14:textId="3B3CB396" w:rsidR="0057352C" w:rsidRPr="006C0261" w:rsidRDefault="00435487" w:rsidP="00043681">
            <w:pPr>
              <w:jc w:val="center"/>
              <w:rPr>
                <w:rFonts w:ascii="Arial" w:hAnsi="Arial" w:cs="Arial"/>
                <w:sz w:val="20"/>
                <w:szCs w:val="20"/>
              </w:rPr>
            </w:pPr>
            <w:r w:rsidRPr="006C0261">
              <w:rPr>
                <w:rFonts w:ascii="Arial" w:hAnsi="Arial" w:cs="Arial"/>
                <w:sz w:val="20"/>
                <w:szCs w:val="20"/>
              </w:rPr>
              <w:t>6</w:t>
            </w:r>
          </w:p>
        </w:tc>
      </w:tr>
      <w:tr w:rsidR="0057352C" w:rsidRPr="006C0261" w14:paraId="0AB7FCA2" w14:textId="77777777" w:rsidTr="00101CD5">
        <w:trPr>
          <w:trHeight w:val="251"/>
        </w:trPr>
        <w:tc>
          <w:tcPr>
            <w:tcW w:w="2812" w:type="dxa"/>
          </w:tcPr>
          <w:p w14:paraId="3DB14E6E" w14:textId="1AAB9B2B" w:rsidR="0057352C" w:rsidRPr="006C0261" w:rsidRDefault="003648AA" w:rsidP="00043681">
            <w:pPr>
              <w:jc w:val="both"/>
              <w:rPr>
                <w:rFonts w:ascii="Arial" w:hAnsi="Arial" w:cs="Arial"/>
                <w:sz w:val="20"/>
                <w:szCs w:val="20"/>
              </w:rPr>
            </w:pPr>
            <w:r w:rsidRPr="006C0261">
              <w:rPr>
                <w:rFonts w:ascii="Arial" w:hAnsi="Arial" w:cs="Arial"/>
                <w:sz w:val="20"/>
                <w:szCs w:val="20"/>
              </w:rPr>
              <w:t>The Council</w:t>
            </w:r>
          </w:p>
        </w:tc>
        <w:tc>
          <w:tcPr>
            <w:tcW w:w="1407" w:type="dxa"/>
          </w:tcPr>
          <w:p w14:paraId="561A9FE0" w14:textId="077ECBD5" w:rsidR="0057352C" w:rsidRPr="006C0261" w:rsidRDefault="003648AA" w:rsidP="00043681">
            <w:pPr>
              <w:jc w:val="center"/>
              <w:rPr>
                <w:rFonts w:ascii="Arial" w:hAnsi="Arial" w:cs="Arial"/>
                <w:sz w:val="20"/>
                <w:szCs w:val="20"/>
              </w:rPr>
            </w:pPr>
            <w:r w:rsidRPr="006C0261">
              <w:rPr>
                <w:rFonts w:ascii="Arial" w:hAnsi="Arial" w:cs="Arial"/>
                <w:sz w:val="20"/>
                <w:szCs w:val="20"/>
              </w:rPr>
              <w:t>40</w:t>
            </w:r>
          </w:p>
        </w:tc>
        <w:tc>
          <w:tcPr>
            <w:tcW w:w="2552" w:type="dxa"/>
          </w:tcPr>
          <w:p w14:paraId="567441B2" w14:textId="2053B3E3" w:rsidR="0057352C" w:rsidRPr="006C0261" w:rsidRDefault="00435487" w:rsidP="00043681">
            <w:pPr>
              <w:jc w:val="center"/>
              <w:rPr>
                <w:rFonts w:ascii="Arial" w:hAnsi="Arial" w:cs="Arial"/>
                <w:sz w:val="20"/>
                <w:szCs w:val="20"/>
              </w:rPr>
            </w:pPr>
            <w:r w:rsidRPr="006C0261">
              <w:rPr>
                <w:rFonts w:ascii="Arial" w:hAnsi="Arial" w:cs="Arial"/>
                <w:sz w:val="20"/>
                <w:szCs w:val="20"/>
              </w:rPr>
              <w:t>6</w:t>
            </w:r>
          </w:p>
        </w:tc>
        <w:tc>
          <w:tcPr>
            <w:tcW w:w="2126" w:type="dxa"/>
          </w:tcPr>
          <w:p w14:paraId="45092407" w14:textId="7F955A7C" w:rsidR="0057352C" w:rsidRPr="006C0261" w:rsidRDefault="00435487" w:rsidP="00043681">
            <w:pPr>
              <w:jc w:val="center"/>
              <w:rPr>
                <w:rFonts w:ascii="Arial" w:hAnsi="Arial" w:cs="Arial"/>
                <w:sz w:val="20"/>
                <w:szCs w:val="20"/>
              </w:rPr>
            </w:pPr>
            <w:r w:rsidRPr="006C0261">
              <w:rPr>
                <w:rFonts w:ascii="Arial" w:hAnsi="Arial" w:cs="Arial"/>
                <w:sz w:val="20"/>
                <w:szCs w:val="20"/>
              </w:rPr>
              <w:t>6</w:t>
            </w:r>
          </w:p>
        </w:tc>
      </w:tr>
      <w:tr w:rsidR="003648AA" w:rsidRPr="006C0261" w14:paraId="5E85A114" w14:textId="77777777" w:rsidTr="00101CD5">
        <w:trPr>
          <w:trHeight w:val="149"/>
        </w:trPr>
        <w:tc>
          <w:tcPr>
            <w:tcW w:w="2812" w:type="dxa"/>
          </w:tcPr>
          <w:p w14:paraId="39344C9A" w14:textId="656147BE" w:rsidR="003648AA" w:rsidRPr="006C0261" w:rsidRDefault="003648AA" w:rsidP="00043681">
            <w:pPr>
              <w:jc w:val="both"/>
              <w:rPr>
                <w:rFonts w:ascii="Arial" w:hAnsi="Arial" w:cs="Arial"/>
                <w:sz w:val="20"/>
                <w:szCs w:val="20"/>
              </w:rPr>
            </w:pPr>
            <w:r w:rsidRPr="006C0261">
              <w:rPr>
                <w:rFonts w:ascii="Arial" w:hAnsi="Arial" w:cs="Arial"/>
                <w:sz w:val="20"/>
                <w:szCs w:val="20"/>
              </w:rPr>
              <w:t>Water Catchment Authorities</w:t>
            </w:r>
          </w:p>
        </w:tc>
        <w:tc>
          <w:tcPr>
            <w:tcW w:w="1407" w:type="dxa"/>
          </w:tcPr>
          <w:p w14:paraId="266B8883" w14:textId="5837F6B4" w:rsidR="003648AA" w:rsidRPr="006C0261" w:rsidRDefault="003648AA" w:rsidP="00043681">
            <w:pPr>
              <w:jc w:val="center"/>
              <w:rPr>
                <w:rFonts w:ascii="Arial" w:hAnsi="Arial" w:cs="Arial"/>
                <w:sz w:val="20"/>
                <w:szCs w:val="20"/>
              </w:rPr>
            </w:pPr>
            <w:r w:rsidRPr="006C0261">
              <w:rPr>
                <w:rFonts w:ascii="Arial" w:hAnsi="Arial" w:cs="Arial"/>
                <w:sz w:val="20"/>
                <w:szCs w:val="20"/>
              </w:rPr>
              <w:t>40</w:t>
            </w:r>
          </w:p>
        </w:tc>
        <w:tc>
          <w:tcPr>
            <w:tcW w:w="2552" w:type="dxa"/>
          </w:tcPr>
          <w:p w14:paraId="0660D7E5" w14:textId="26EC75CC" w:rsidR="003648AA" w:rsidRPr="006C0261" w:rsidRDefault="00435487" w:rsidP="00043681">
            <w:pPr>
              <w:jc w:val="center"/>
              <w:rPr>
                <w:rFonts w:ascii="Arial" w:hAnsi="Arial" w:cs="Arial"/>
                <w:sz w:val="20"/>
                <w:szCs w:val="20"/>
              </w:rPr>
            </w:pPr>
            <w:r w:rsidRPr="006C0261">
              <w:rPr>
                <w:rFonts w:ascii="Arial" w:hAnsi="Arial" w:cs="Arial"/>
                <w:sz w:val="20"/>
                <w:szCs w:val="20"/>
              </w:rPr>
              <w:t>3</w:t>
            </w:r>
          </w:p>
        </w:tc>
        <w:tc>
          <w:tcPr>
            <w:tcW w:w="2126" w:type="dxa"/>
          </w:tcPr>
          <w:p w14:paraId="4C47188C" w14:textId="6F2D3861" w:rsidR="003648AA" w:rsidRPr="006C0261" w:rsidRDefault="00435487" w:rsidP="00043681">
            <w:pPr>
              <w:jc w:val="center"/>
              <w:rPr>
                <w:rFonts w:ascii="Arial" w:hAnsi="Arial" w:cs="Arial"/>
                <w:sz w:val="20"/>
                <w:szCs w:val="20"/>
              </w:rPr>
            </w:pPr>
            <w:r w:rsidRPr="006C0261">
              <w:rPr>
                <w:rFonts w:ascii="Arial" w:hAnsi="Arial" w:cs="Arial"/>
                <w:sz w:val="20"/>
                <w:szCs w:val="20"/>
              </w:rPr>
              <w:t>3</w:t>
            </w:r>
          </w:p>
        </w:tc>
      </w:tr>
      <w:tr w:rsidR="003648AA" w:rsidRPr="006C0261" w14:paraId="15A1DB27" w14:textId="77777777" w:rsidTr="00101CD5">
        <w:trPr>
          <w:trHeight w:val="94"/>
        </w:trPr>
        <w:tc>
          <w:tcPr>
            <w:tcW w:w="2812" w:type="dxa"/>
          </w:tcPr>
          <w:p w14:paraId="73A3C145" w14:textId="42E7FF9A" w:rsidR="003648AA" w:rsidRPr="006C0261" w:rsidRDefault="003648AA" w:rsidP="00043681">
            <w:pPr>
              <w:jc w:val="both"/>
              <w:rPr>
                <w:rFonts w:ascii="Arial" w:hAnsi="Arial" w:cs="Arial"/>
                <w:b/>
                <w:sz w:val="20"/>
                <w:szCs w:val="20"/>
              </w:rPr>
            </w:pPr>
            <w:r w:rsidRPr="006C0261">
              <w:rPr>
                <w:rFonts w:ascii="Arial" w:hAnsi="Arial" w:cs="Arial"/>
                <w:b/>
                <w:sz w:val="20"/>
                <w:szCs w:val="20"/>
              </w:rPr>
              <w:t>Total</w:t>
            </w:r>
          </w:p>
        </w:tc>
        <w:tc>
          <w:tcPr>
            <w:tcW w:w="1407" w:type="dxa"/>
          </w:tcPr>
          <w:p w14:paraId="6C3A5FBC" w14:textId="0ECC8EC9" w:rsidR="003648AA" w:rsidRPr="006C0261" w:rsidRDefault="00435487" w:rsidP="00043681">
            <w:pPr>
              <w:jc w:val="center"/>
              <w:rPr>
                <w:rFonts w:ascii="Arial" w:hAnsi="Arial" w:cs="Arial"/>
                <w:b/>
                <w:sz w:val="20"/>
                <w:szCs w:val="20"/>
              </w:rPr>
            </w:pPr>
            <w:r w:rsidRPr="006C0261">
              <w:rPr>
                <w:rFonts w:ascii="Arial" w:hAnsi="Arial" w:cs="Arial"/>
                <w:b/>
                <w:sz w:val="20"/>
                <w:szCs w:val="20"/>
              </w:rPr>
              <w:t>300</w:t>
            </w:r>
          </w:p>
        </w:tc>
        <w:tc>
          <w:tcPr>
            <w:tcW w:w="2552" w:type="dxa"/>
          </w:tcPr>
          <w:p w14:paraId="1677B040" w14:textId="58385F94" w:rsidR="003648AA" w:rsidRPr="006C0261" w:rsidRDefault="00435487" w:rsidP="00043681">
            <w:pPr>
              <w:jc w:val="center"/>
              <w:rPr>
                <w:rFonts w:ascii="Arial" w:hAnsi="Arial" w:cs="Arial"/>
                <w:b/>
                <w:sz w:val="20"/>
                <w:szCs w:val="20"/>
              </w:rPr>
            </w:pPr>
            <w:r w:rsidRPr="006C0261">
              <w:rPr>
                <w:rFonts w:ascii="Arial" w:hAnsi="Arial" w:cs="Arial"/>
                <w:b/>
                <w:sz w:val="20"/>
                <w:szCs w:val="20"/>
              </w:rPr>
              <w:t>53</w:t>
            </w:r>
          </w:p>
        </w:tc>
        <w:tc>
          <w:tcPr>
            <w:tcW w:w="2126" w:type="dxa"/>
          </w:tcPr>
          <w:p w14:paraId="08B151F5" w14:textId="6A0B030F" w:rsidR="003648AA" w:rsidRPr="006C0261" w:rsidRDefault="00435487" w:rsidP="00043681">
            <w:pPr>
              <w:jc w:val="center"/>
              <w:rPr>
                <w:rFonts w:ascii="Arial" w:hAnsi="Arial" w:cs="Arial"/>
                <w:b/>
                <w:sz w:val="20"/>
                <w:szCs w:val="20"/>
              </w:rPr>
            </w:pPr>
            <w:r w:rsidRPr="006C0261">
              <w:rPr>
                <w:rFonts w:ascii="Arial" w:hAnsi="Arial" w:cs="Arial"/>
                <w:b/>
                <w:sz w:val="20"/>
                <w:szCs w:val="20"/>
              </w:rPr>
              <w:t>51</w:t>
            </w:r>
          </w:p>
        </w:tc>
      </w:tr>
    </w:tbl>
    <w:p w14:paraId="5B3F31B4" w14:textId="77777777" w:rsidR="00D65E80" w:rsidRPr="006C0261" w:rsidRDefault="00D65E80" w:rsidP="00D65E80">
      <w:pPr>
        <w:spacing w:line="360" w:lineRule="auto"/>
        <w:jc w:val="center"/>
        <w:rPr>
          <w:rFonts w:ascii="Arial" w:eastAsia="Calibri" w:hAnsi="Arial" w:cs="Arial"/>
          <w:sz w:val="20"/>
          <w:szCs w:val="20"/>
        </w:rPr>
      </w:pPr>
      <w:r w:rsidRPr="006C0261">
        <w:rPr>
          <w:rFonts w:ascii="Arial" w:eastAsia="Calibri" w:hAnsi="Arial" w:cs="Arial"/>
          <w:sz w:val="20"/>
          <w:szCs w:val="20"/>
        </w:rPr>
        <w:t>Source: BUCREP, 2010, and 2024 projection</w:t>
      </w:r>
    </w:p>
    <w:p w14:paraId="159E6209" w14:textId="77777777" w:rsidR="00B44703" w:rsidRPr="006C0261" w:rsidRDefault="00B44703" w:rsidP="004A5A50">
      <w:pPr>
        <w:pStyle w:val="Heading2"/>
        <w:spacing w:line="360" w:lineRule="auto"/>
        <w:jc w:val="both"/>
        <w:rPr>
          <w:rFonts w:ascii="Arial" w:hAnsi="Arial" w:cs="Arial"/>
          <w:sz w:val="20"/>
          <w:szCs w:val="20"/>
        </w:rPr>
      </w:pPr>
    </w:p>
    <w:p w14:paraId="59811458" w14:textId="77777777" w:rsidR="001B2BC0" w:rsidRPr="006C0261" w:rsidRDefault="001B2BC0" w:rsidP="004A5A50">
      <w:pPr>
        <w:pStyle w:val="Heading2"/>
        <w:spacing w:line="360" w:lineRule="auto"/>
        <w:jc w:val="both"/>
        <w:rPr>
          <w:rFonts w:ascii="Arial Black" w:hAnsi="Arial Black"/>
          <w:sz w:val="22"/>
          <w:szCs w:val="22"/>
        </w:rPr>
      </w:pPr>
      <w:r w:rsidRPr="006C0261">
        <w:rPr>
          <w:rFonts w:ascii="Arial Black" w:hAnsi="Arial Black"/>
          <w:sz w:val="22"/>
          <w:szCs w:val="22"/>
        </w:rPr>
        <w:lastRenderedPageBreak/>
        <w:t>2.3 Data Analysis</w:t>
      </w:r>
    </w:p>
    <w:p w14:paraId="41A51B2E" w14:textId="6A30287E" w:rsidR="002441C4" w:rsidRPr="006C0261" w:rsidRDefault="001B2BC0" w:rsidP="002441C4">
      <w:pPr>
        <w:spacing w:before="80" w:after="80" w:line="360" w:lineRule="auto"/>
        <w:jc w:val="both"/>
        <w:rPr>
          <w:rFonts w:ascii="Arial" w:hAnsi="Arial" w:cs="Arial"/>
          <w:sz w:val="20"/>
          <w:szCs w:val="20"/>
        </w:rPr>
      </w:pPr>
      <w:r w:rsidRPr="006C0261">
        <w:rPr>
          <w:rFonts w:ascii="Arial" w:hAnsi="Arial" w:cs="Arial"/>
          <w:sz w:val="20"/>
          <w:szCs w:val="20"/>
        </w:rPr>
        <w:t xml:space="preserve">Questionnaire data were entered in Microsoft Excel and analysed using SPSS version 25. </w:t>
      </w:r>
      <w:r w:rsidR="00181833" w:rsidRPr="006C0261">
        <w:rPr>
          <w:rFonts w:ascii="Arial" w:hAnsi="Arial" w:cs="Arial"/>
          <w:sz w:val="20"/>
          <w:szCs w:val="20"/>
        </w:rPr>
        <w:t>Frequencies, percentages</w:t>
      </w:r>
      <w:r w:rsidRPr="006C0261">
        <w:rPr>
          <w:rFonts w:ascii="Arial" w:hAnsi="Arial" w:cs="Arial"/>
          <w:sz w:val="20"/>
          <w:szCs w:val="20"/>
        </w:rPr>
        <w:t xml:space="preserve"> and cross-tabulations were computed for all key variables. To test the hypothesis that </w:t>
      </w:r>
      <w:r w:rsidR="002441C4" w:rsidRPr="006C0261">
        <w:rPr>
          <w:rFonts w:ascii="Arial" w:hAnsi="Arial" w:cs="Arial"/>
          <w:sz w:val="20"/>
          <w:szCs w:val="20"/>
        </w:rPr>
        <w:t xml:space="preserve">there is no significant difference between improper waste disposal and inadequate sanitation practices that contribute to the degradation of water quality in </w:t>
      </w:r>
      <w:proofErr w:type="spellStart"/>
      <w:r w:rsidR="002441C4" w:rsidRPr="006C0261">
        <w:rPr>
          <w:rFonts w:ascii="Arial" w:hAnsi="Arial" w:cs="Arial"/>
          <w:sz w:val="20"/>
          <w:szCs w:val="20"/>
        </w:rPr>
        <w:t>Mamfe</w:t>
      </w:r>
      <w:proofErr w:type="spellEnd"/>
      <w:r w:rsidR="002441C4" w:rsidRPr="006C0261">
        <w:rPr>
          <w:rFonts w:ascii="Arial" w:hAnsi="Arial" w:cs="Arial"/>
          <w:sz w:val="20"/>
          <w:szCs w:val="20"/>
        </w:rPr>
        <w:t xml:space="preserve"> Central sub-division.</w:t>
      </w:r>
    </w:p>
    <w:p w14:paraId="47F65EBE" w14:textId="67B515E9" w:rsidR="001B2BC0" w:rsidRPr="006C0261" w:rsidRDefault="001B2BC0" w:rsidP="004A5A50">
      <w:pPr>
        <w:spacing w:before="80" w:after="80" w:line="360" w:lineRule="auto"/>
        <w:jc w:val="both"/>
        <w:rPr>
          <w:rFonts w:ascii="Arial" w:hAnsi="Arial" w:cs="Arial"/>
          <w:sz w:val="20"/>
          <w:szCs w:val="20"/>
        </w:rPr>
      </w:pPr>
      <w:r w:rsidRPr="006C0261">
        <w:rPr>
          <w:rFonts w:ascii="Arial" w:hAnsi="Arial" w:cs="Arial"/>
          <w:sz w:val="20"/>
          <w:szCs w:val="20"/>
        </w:rPr>
        <w:t>Pearson correlation analysis was performed on paired environmental sanitation and water quality scores derived from composite indicators across the study sample. Linear regression modelling was employed to quantify the proportion of variance in water quality explained by sanitation conditions, expressed as the coefficient of determination (R²). The null and alternative hypotheses tested were:</w:t>
      </w:r>
    </w:p>
    <w:p w14:paraId="2043F2B1" w14:textId="2086CE64" w:rsidR="001B2BC0" w:rsidRPr="006C0261" w:rsidRDefault="0061442B" w:rsidP="004A5A50">
      <w:pPr>
        <w:spacing w:before="80" w:after="80" w:line="360" w:lineRule="auto"/>
        <w:jc w:val="both"/>
        <w:rPr>
          <w:rFonts w:ascii="Arial" w:hAnsi="Arial" w:cs="Arial"/>
          <w:sz w:val="20"/>
          <w:szCs w:val="20"/>
        </w:rPr>
      </w:pPr>
      <w:r w:rsidRPr="006C0261">
        <w:rPr>
          <w:rFonts w:ascii="Arial" w:hAnsi="Arial" w:cs="Arial"/>
          <w:sz w:val="20"/>
          <w:szCs w:val="20"/>
        </w:rPr>
        <w:t>H</w:t>
      </w:r>
      <w:r w:rsidR="002441C4" w:rsidRPr="006C0261">
        <w:rPr>
          <w:rFonts w:ascii="Arial" w:hAnsi="Arial" w:cs="Arial"/>
          <w:sz w:val="20"/>
          <w:szCs w:val="20"/>
        </w:rPr>
        <w:t>: There is no</w:t>
      </w:r>
      <w:r w:rsidR="001B2BC0" w:rsidRPr="006C0261">
        <w:rPr>
          <w:rFonts w:ascii="Arial" w:hAnsi="Arial" w:cs="Arial"/>
          <w:sz w:val="20"/>
          <w:szCs w:val="20"/>
        </w:rPr>
        <w:t xml:space="preserve"> significant difference between improper waste disposal and inadequate sanitation practices that contribute to the degradation of </w:t>
      </w:r>
      <w:r w:rsidR="004B4F11" w:rsidRPr="006C0261">
        <w:rPr>
          <w:rFonts w:ascii="Arial" w:hAnsi="Arial" w:cs="Arial"/>
          <w:sz w:val="20"/>
          <w:szCs w:val="20"/>
        </w:rPr>
        <w:t xml:space="preserve">water quality in </w:t>
      </w:r>
      <w:proofErr w:type="spellStart"/>
      <w:r w:rsidR="004B4F11" w:rsidRPr="006C0261">
        <w:rPr>
          <w:rFonts w:ascii="Arial" w:hAnsi="Arial" w:cs="Arial"/>
          <w:sz w:val="20"/>
          <w:szCs w:val="20"/>
        </w:rPr>
        <w:t>Mamfe</w:t>
      </w:r>
      <w:proofErr w:type="spellEnd"/>
      <w:r w:rsidR="004B4F11" w:rsidRPr="006C0261">
        <w:rPr>
          <w:rFonts w:ascii="Arial" w:hAnsi="Arial" w:cs="Arial"/>
          <w:sz w:val="20"/>
          <w:szCs w:val="20"/>
        </w:rPr>
        <w:t xml:space="preserve"> Central sub-d</w:t>
      </w:r>
      <w:r w:rsidR="00D65E80" w:rsidRPr="006C0261">
        <w:rPr>
          <w:rFonts w:ascii="Arial" w:hAnsi="Arial" w:cs="Arial"/>
          <w:sz w:val="20"/>
          <w:szCs w:val="20"/>
        </w:rPr>
        <w:t>ivision.</w:t>
      </w:r>
    </w:p>
    <w:p w14:paraId="1C744CE9" w14:textId="77777777" w:rsidR="00A00172" w:rsidRPr="006C0261" w:rsidRDefault="00A00172" w:rsidP="00A00172">
      <w:pPr>
        <w:pStyle w:val="Heading1"/>
        <w:spacing w:line="360" w:lineRule="auto"/>
        <w:jc w:val="both"/>
        <w:rPr>
          <w:rFonts w:ascii="Arial Black" w:hAnsi="Arial Black" w:cs="Times New Roman"/>
          <w:b/>
          <w:color w:val="auto"/>
          <w:sz w:val="22"/>
          <w:szCs w:val="22"/>
        </w:rPr>
      </w:pPr>
      <w:r w:rsidRPr="006C0261">
        <w:rPr>
          <w:rFonts w:ascii="Arial Black" w:hAnsi="Arial Black" w:cs="Times New Roman"/>
          <w:b/>
          <w:color w:val="auto"/>
          <w:sz w:val="22"/>
          <w:szCs w:val="22"/>
        </w:rPr>
        <w:t>3 Results</w:t>
      </w:r>
    </w:p>
    <w:p w14:paraId="5D163F16" w14:textId="34B73FD1" w:rsidR="001B2BC0" w:rsidRPr="006C0261" w:rsidRDefault="001B2BC0" w:rsidP="00A00172">
      <w:pPr>
        <w:pStyle w:val="Heading1"/>
        <w:spacing w:line="360" w:lineRule="auto"/>
        <w:jc w:val="both"/>
        <w:rPr>
          <w:rFonts w:ascii="Arial" w:hAnsi="Arial" w:cs="Arial"/>
          <w:b/>
          <w:i/>
          <w:color w:val="000000" w:themeColor="text1"/>
          <w:sz w:val="20"/>
          <w:szCs w:val="20"/>
        </w:rPr>
      </w:pPr>
      <w:r w:rsidRPr="006C0261">
        <w:rPr>
          <w:rFonts w:ascii="Arial" w:hAnsi="Arial" w:cs="Arial"/>
          <w:b/>
          <w:i/>
          <w:color w:val="000000" w:themeColor="text1"/>
          <w:sz w:val="20"/>
          <w:szCs w:val="20"/>
        </w:rPr>
        <w:t>3.1 Waste Management Systems</w:t>
      </w:r>
    </w:p>
    <w:p w14:paraId="75413F4E" w14:textId="6FFC9203" w:rsidR="003E2741" w:rsidRPr="006C0261" w:rsidRDefault="003E2741" w:rsidP="003E2741">
      <w:pPr>
        <w:pStyle w:val="Heading3"/>
        <w:spacing w:line="360" w:lineRule="auto"/>
        <w:jc w:val="both"/>
        <w:rPr>
          <w:rFonts w:ascii="Arial" w:hAnsi="Arial" w:cs="Arial"/>
          <w:b/>
          <w:color w:val="000000" w:themeColor="text1"/>
          <w:sz w:val="20"/>
          <w:szCs w:val="20"/>
        </w:rPr>
      </w:pPr>
      <w:bookmarkStart w:id="4" w:name="_Toc218100266"/>
      <w:bookmarkStart w:id="5" w:name="_Toc218100586"/>
      <w:bookmarkStart w:id="6" w:name="_Toc218100814"/>
      <w:r w:rsidRPr="006C0261">
        <w:rPr>
          <w:rFonts w:ascii="Arial" w:hAnsi="Arial" w:cs="Arial"/>
          <w:color w:val="000000" w:themeColor="text1"/>
          <w:sz w:val="20"/>
          <w:szCs w:val="20"/>
        </w:rPr>
        <w:t xml:space="preserve">Waste management is a major problem in almost all the cities and towns of Cameroon; </w:t>
      </w:r>
      <w:proofErr w:type="spellStart"/>
      <w:r w:rsidRPr="006C0261">
        <w:rPr>
          <w:rFonts w:ascii="Arial" w:hAnsi="Arial" w:cs="Arial"/>
          <w:color w:val="000000" w:themeColor="text1"/>
          <w:sz w:val="20"/>
          <w:szCs w:val="20"/>
        </w:rPr>
        <w:t>Mamfe</w:t>
      </w:r>
      <w:proofErr w:type="spellEnd"/>
      <w:r w:rsidRPr="006C0261">
        <w:rPr>
          <w:rFonts w:ascii="Arial" w:hAnsi="Arial" w:cs="Arial"/>
          <w:color w:val="000000" w:themeColor="text1"/>
          <w:sz w:val="20"/>
          <w:szCs w:val="20"/>
        </w:rPr>
        <w:t xml:space="preserve"> is not exempted from this trend of events.</w:t>
      </w:r>
      <w:bookmarkEnd w:id="4"/>
      <w:bookmarkEnd w:id="5"/>
      <w:bookmarkEnd w:id="6"/>
      <w:r w:rsidRPr="006C0261">
        <w:rPr>
          <w:rFonts w:ascii="Arial" w:hAnsi="Arial" w:cs="Arial"/>
          <w:color w:val="000000" w:themeColor="text1"/>
          <w:sz w:val="20"/>
          <w:szCs w:val="20"/>
        </w:rPr>
        <w:t xml:space="preserve"> </w:t>
      </w:r>
    </w:p>
    <w:p w14:paraId="397F127F" w14:textId="77777777" w:rsidR="001B2BC0" w:rsidRPr="006C0261" w:rsidRDefault="001B2BC0" w:rsidP="004A5A50">
      <w:pPr>
        <w:spacing w:before="160" w:after="60" w:line="360" w:lineRule="auto"/>
        <w:jc w:val="both"/>
        <w:rPr>
          <w:rFonts w:ascii="Arial" w:hAnsi="Arial" w:cs="Arial"/>
          <w:i/>
          <w:sz w:val="20"/>
          <w:szCs w:val="20"/>
        </w:rPr>
      </w:pPr>
      <w:r w:rsidRPr="006C0261">
        <w:rPr>
          <w:rFonts w:ascii="Arial" w:hAnsi="Arial" w:cs="Arial"/>
          <w:b/>
          <w:bCs/>
          <w:i/>
          <w:sz w:val="20"/>
          <w:szCs w:val="20"/>
        </w:rPr>
        <w:t>3.1.1 Waste Disposal Methods</w:t>
      </w:r>
    </w:p>
    <w:p w14:paraId="65A21F31" w14:textId="608A962A" w:rsidR="00F91520" w:rsidRPr="006A3D61" w:rsidRDefault="001B2BC0" w:rsidP="006A3D61">
      <w:pPr>
        <w:spacing w:before="80" w:after="80" w:line="360" w:lineRule="auto"/>
        <w:jc w:val="both"/>
        <w:rPr>
          <w:rFonts w:ascii="Arial" w:hAnsi="Arial" w:cs="Arial"/>
          <w:sz w:val="20"/>
          <w:szCs w:val="20"/>
        </w:rPr>
      </w:pPr>
      <w:r w:rsidRPr="006C0261">
        <w:rPr>
          <w:rFonts w:ascii="Arial" w:hAnsi="Arial" w:cs="Arial"/>
          <w:sz w:val="20"/>
          <w:szCs w:val="20"/>
        </w:rPr>
        <w:t xml:space="preserve">The distribution of waste disposal methods employed by residents across </w:t>
      </w:r>
      <w:proofErr w:type="spellStart"/>
      <w:r w:rsidRPr="006C0261">
        <w:rPr>
          <w:rFonts w:ascii="Arial" w:hAnsi="Arial" w:cs="Arial"/>
          <w:sz w:val="20"/>
          <w:szCs w:val="20"/>
        </w:rPr>
        <w:t>Mamfe</w:t>
      </w:r>
      <w:proofErr w:type="spellEnd"/>
      <w:r w:rsidRPr="006C0261">
        <w:rPr>
          <w:rFonts w:ascii="Arial" w:hAnsi="Arial" w:cs="Arial"/>
          <w:sz w:val="20"/>
          <w:szCs w:val="20"/>
        </w:rPr>
        <w:t xml:space="preserve"> Sub-</w:t>
      </w:r>
      <w:r w:rsidR="001325C3" w:rsidRPr="006C0261">
        <w:rPr>
          <w:rFonts w:ascii="Arial" w:hAnsi="Arial" w:cs="Arial"/>
          <w:sz w:val="20"/>
          <w:szCs w:val="20"/>
        </w:rPr>
        <w:t>division is presented in Table 2</w:t>
      </w:r>
      <w:r w:rsidRPr="006C0261">
        <w:rPr>
          <w:rFonts w:ascii="Arial" w:hAnsi="Arial" w:cs="Arial"/>
          <w:sz w:val="20"/>
          <w:szCs w:val="20"/>
        </w:rPr>
        <w:t xml:space="preserve">. Burning in backyards emerges as the most prevalent disposal method at 35.2%, particularly common in residential areas such as New Layout, Hospital Quarter, and Small </w:t>
      </w:r>
      <w:proofErr w:type="spellStart"/>
      <w:r w:rsidRPr="006C0261">
        <w:rPr>
          <w:rFonts w:ascii="Arial" w:hAnsi="Arial" w:cs="Arial"/>
          <w:sz w:val="20"/>
          <w:szCs w:val="20"/>
        </w:rPr>
        <w:t>Mamfe</w:t>
      </w:r>
      <w:proofErr w:type="spellEnd"/>
      <w:r w:rsidRPr="006C0261">
        <w:rPr>
          <w:rFonts w:ascii="Arial" w:hAnsi="Arial" w:cs="Arial"/>
          <w:sz w:val="20"/>
          <w:szCs w:val="20"/>
        </w:rPr>
        <w:t xml:space="preserve"> where municipal collection services are absent or inadequate. Open dumping in vacant lots accounts for 31.9% of practices, creating unsightly waste accumulation sites that serve as breeding grounds for disease vectors. Municipal collection services reach only 11% of residents, primarily concentrated in more affluent areas such as GRA and parts of the commercial d</w:t>
      </w:r>
      <w:r w:rsidR="00A00172" w:rsidRPr="006C0261">
        <w:rPr>
          <w:rFonts w:ascii="Arial" w:hAnsi="Arial" w:cs="Arial"/>
          <w:sz w:val="20"/>
          <w:szCs w:val="20"/>
        </w:rPr>
        <w:t>istrict.</w:t>
      </w:r>
    </w:p>
    <w:p w14:paraId="157E1903" w14:textId="75677E82" w:rsidR="001B2BC0" w:rsidRPr="006C0261" w:rsidRDefault="00A05FC3" w:rsidP="002B56BB">
      <w:pPr>
        <w:spacing w:before="160" w:after="60"/>
        <w:jc w:val="center"/>
        <w:rPr>
          <w:rFonts w:ascii="Arial" w:hAnsi="Arial" w:cs="Arial"/>
          <w:sz w:val="20"/>
          <w:szCs w:val="20"/>
        </w:rPr>
      </w:pPr>
      <w:r w:rsidRPr="006C0261">
        <w:rPr>
          <w:rFonts w:ascii="Arial" w:hAnsi="Arial" w:cs="Arial"/>
          <w:b/>
          <w:bCs/>
          <w:sz w:val="20"/>
          <w:szCs w:val="20"/>
        </w:rPr>
        <w:t>Table 2</w:t>
      </w:r>
      <w:r w:rsidR="001B2BC0" w:rsidRPr="006C0261">
        <w:rPr>
          <w:rFonts w:ascii="Arial" w:hAnsi="Arial" w:cs="Arial"/>
          <w:b/>
          <w:bCs/>
          <w:sz w:val="20"/>
          <w:szCs w:val="20"/>
        </w:rPr>
        <w:t xml:space="preserve">: Waste Disposal Methods in </w:t>
      </w:r>
      <w:proofErr w:type="spellStart"/>
      <w:r w:rsidR="001B2BC0" w:rsidRPr="006C0261">
        <w:rPr>
          <w:rFonts w:ascii="Arial" w:hAnsi="Arial" w:cs="Arial"/>
          <w:b/>
          <w:bCs/>
          <w:sz w:val="20"/>
          <w:szCs w:val="20"/>
        </w:rPr>
        <w:t>Mamfe</w:t>
      </w:r>
      <w:proofErr w:type="spellEnd"/>
      <w:r w:rsidR="001B2BC0" w:rsidRPr="006C0261">
        <w:rPr>
          <w:rFonts w:ascii="Arial" w:hAnsi="Arial" w:cs="Arial"/>
          <w:b/>
          <w:bCs/>
          <w:sz w:val="20"/>
          <w:szCs w:val="20"/>
        </w:rPr>
        <w:t xml:space="preserve"> Central Sub-Division</w:t>
      </w:r>
    </w:p>
    <w:tbl>
      <w:tblPr>
        <w:tblW w:w="7291"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64"/>
        <w:gridCol w:w="1701"/>
        <w:gridCol w:w="2126"/>
      </w:tblGrid>
      <w:tr w:rsidR="001B2BC0" w:rsidRPr="006C0261" w14:paraId="5885C8F9" w14:textId="77777777" w:rsidTr="006C013C">
        <w:tc>
          <w:tcPr>
            <w:tcW w:w="3464"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219239EB" w14:textId="77777777" w:rsidR="001B2BC0" w:rsidRPr="006C0261" w:rsidRDefault="001B2BC0" w:rsidP="004B4F11">
            <w:pPr>
              <w:jc w:val="both"/>
              <w:rPr>
                <w:rFonts w:ascii="Arial" w:hAnsi="Arial" w:cs="Arial"/>
                <w:sz w:val="20"/>
                <w:szCs w:val="20"/>
              </w:rPr>
            </w:pPr>
            <w:r w:rsidRPr="006C0261">
              <w:rPr>
                <w:rFonts w:ascii="Arial" w:hAnsi="Arial" w:cs="Arial"/>
                <w:b/>
                <w:bCs/>
                <w:sz w:val="20"/>
                <w:szCs w:val="20"/>
              </w:rPr>
              <w:t>Disposal Method</w:t>
            </w:r>
          </w:p>
        </w:tc>
        <w:tc>
          <w:tcPr>
            <w:tcW w:w="1701"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01C4BE32" w14:textId="77777777" w:rsidR="001B2BC0" w:rsidRPr="006C0261" w:rsidRDefault="001B2BC0" w:rsidP="004B4F11">
            <w:pPr>
              <w:jc w:val="both"/>
              <w:rPr>
                <w:rFonts w:ascii="Arial" w:hAnsi="Arial" w:cs="Arial"/>
                <w:sz w:val="20"/>
                <w:szCs w:val="20"/>
              </w:rPr>
            </w:pPr>
            <w:r w:rsidRPr="006C0261">
              <w:rPr>
                <w:rFonts w:ascii="Arial" w:hAnsi="Arial" w:cs="Arial"/>
                <w:b/>
                <w:bCs/>
                <w:sz w:val="20"/>
                <w:szCs w:val="20"/>
              </w:rPr>
              <w:t>Frequency</w:t>
            </w:r>
          </w:p>
        </w:tc>
        <w:tc>
          <w:tcPr>
            <w:tcW w:w="212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73C14520" w14:textId="77777777" w:rsidR="001B2BC0" w:rsidRPr="006C0261" w:rsidRDefault="001B2BC0" w:rsidP="004B4F11">
            <w:pPr>
              <w:jc w:val="both"/>
              <w:rPr>
                <w:rFonts w:ascii="Arial" w:hAnsi="Arial" w:cs="Arial"/>
                <w:sz w:val="20"/>
                <w:szCs w:val="20"/>
              </w:rPr>
            </w:pPr>
            <w:r w:rsidRPr="006C0261">
              <w:rPr>
                <w:rFonts w:ascii="Arial" w:hAnsi="Arial" w:cs="Arial"/>
                <w:b/>
                <w:bCs/>
                <w:sz w:val="20"/>
                <w:szCs w:val="20"/>
              </w:rPr>
              <w:t>Percentage (%)</w:t>
            </w:r>
          </w:p>
        </w:tc>
      </w:tr>
      <w:tr w:rsidR="001B2BC0" w:rsidRPr="006C0261" w14:paraId="41487185" w14:textId="77777777" w:rsidTr="006C013C">
        <w:tc>
          <w:tcPr>
            <w:tcW w:w="346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F7BDC0A" w14:textId="77777777" w:rsidR="001B2BC0" w:rsidRPr="006C0261" w:rsidRDefault="001B2BC0" w:rsidP="004B4F11">
            <w:pPr>
              <w:jc w:val="both"/>
              <w:rPr>
                <w:rFonts w:ascii="Arial" w:hAnsi="Arial" w:cs="Arial"/>
                <w:sz w:val="20"/>
                <w:szCs w:val="20"/>
              </w:rPr>
            </w:pPr>
            <w:r w:rsidRPr="006C0261">
              <w:rPr>
                <w:rFonts w:ascii="Arial" w:hAnsi="Arial" w:cs="Arial"/>
                <w:sz w:val="20"/>
                <w:szCs w:val="20"/>
              </w:rPr>
              <w:t>Open dumping in vacant lots</w:t>
            </w:r>
          </w:p>
        </w:tc>
        <w:tc>
          <w:tcPr>
            <w:tcW w:w="17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DB52E77" w14:textId="77777777" w:rsidR="001B2BC0" w:rsidRPr="006C0261" w:rsidRDefault="001B2BC0" w:rsidP="004F4699">
            <w:pPr>
              <w:jc w:val="center"/>
              <w:rPr>
                <w:rFonts w:ascii="Arial" w:hAnsi="Arial" w:cs="Arial"/>
                <w:sz w:val="20"/>
                <w:szCs w:val="20"/>
              </w:rPr>
            </w:pPr>
            <w:r w:rsidRPr="006C0261">
              <w:rPr>
                <w:rFonts w:ascii="Arial" w:hAnsi="Arial" w:cs="Arial"/>
                <w:sz w:val="20"/>
                <w:szCs w:val="20"/>
              </w:rPr>
              <w:t>67</w:t>
            </w:r>
          </w:p>
        </w:tc>
        <w:tc>
          <w:tcPr>
            <w:tcW w:w="21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AC48C55" w14:textId="77777777" w:rsidR="001B2BC0" w:rsidRPr="006C0261" w:rsidRDefault="001B2BC0" w:rsidP="004F4699">
            <w:pPr>
              <w:jc w:val="center"/>
              <w:rPr>
                <w:rFonts w:ascii="Arial" w:hAnsi="Arial" w:cs="Arial"/>
                <w:sz w:val="20"/>
                <w:szCs w:val="20"/>
              </w:rPr>
            </w:pPr>
            <w:r w:rsidRPr="006C0261">
              <w:rPr>
                <w:rFonts w:ascii="Arial" w:hAnsi="Arial" w:cs="Arial"/>
                <w:sz w:val="20"/>
                <w:szCs w:val="20"/>
              </w:rPr>
              <w:t>31.9</w:t>
            </w:r>
          </w:p>
        </w:tc>
      </w:tr>
      <w:tr w:rsidR="001B2BC0" w:rsidRPr="006C0261" w14:paraId="1B948904" w14:textId="77777777" w:rsidTr="006C013C">
        <w:tc>
          <w:tcPr>
            <w:tcW w:w="346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337D096" w14:textId="77777777" w:rsidR="001B2BC0" w:rsidRPr="006C0261" w:rsidRDefault="001B2BC0" w:rsidP="004B4F11">
            <w:pPr>
              <w:jc w:val="both"/>
              <w:rPr>
                <w:rFonts w:ascii="Arial" w:hAnsi="Arial" w:cs="Arial"/>
                <w:sz w:val="20"/>
                <w:szCs w:val="20"/>
              </w:rPr>
            </w:pPr>
            <w:r w:rsidRPr="006C0261">
              <w:rPr>
                <w:rFonts w:ascii="Arial" w:hAnsi="Arial" w:cs="Arial"/>
                <w:sz w:val="20"/>
                <w:szCs w:val="20"/>
              </w:rPr>
              <w:t>Burning in backyards</w:t>
            </w:r>
          </w:p>
        </w:tc>
        <w:tc>
          <w:tcPr>
            <w:tcW w:w="17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F49D917" w14:textId="77777777" w:rsidR="001B2BC0" w:rsidRPr="006C0261" w:rsidRDefault="001B2BC0" w:rsidP="004F4699">
            <w:pPr>
              <w:jc w:val="center"/>
              <w:rPr>
                <w:rFonts w:ascii="Arial" w:hAnsi="Arial" w:cs="Arial"/>
                <w:sz w:val="20"/>
                <w:szCs w:val="20"/>
              </w:rPr>
            </w:pPr>
            <w:r w:rsidRPr="006C0261">
              <w:rPr>
                <w:rFonts w:ascii="Arial" w:hAnsi="Arial" w:cs="Arial"/>
                <w:sz w:val="20"/>
                <w:szCs w:val="20"/>
              </w:rPr>
              <w:t>74</w:t>
            </w:r>
          </w:p>
        </w:tc>
        <w:tc>
          <w:tcPr>
            <w:tcW w:w="21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F1A35F3" w14:textId="77777777" w:rsidR="001B2BC0" w:rsidRPr="006C0261" w:rsidRDefault="001B2BC0" w:rsidP="004F4699">
            <w:pPr>
              <w:jc w:val="center"/>
              <w:rPr>
                <w:rFonts w:ascii="Arial" w:hAnsi="Arial" w:cs="Arial"/>
                <w:sz w:val="20"/>
                <w:szCs w:val="20"/>
              </w:rPr>
            </w:pPr>
            <w:r w:rsidRPr="006C0261">
              <w:rPr>
                <w:rFonts w:ascii="Arial" w:hAnsi="Arial" w:cs="Arial"/>
                <w:sz w:val="20"/>
                <w:szCs w:val="20"/>
              </w:rPr>
              <w:t>35.2</w:t>
            </w:r>
          </w:p>
        </w:tc>
      </w:tr>
      <w:tr w:rsidR="001B2BC0" w:rsidRPr="006C0261" w14:paraId="418FCD61" w14:textId="77777777" w:rsidTr="006C013C">
        <w:tc>
          <w:tcPr>
            <w:tcW w:w="346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C591AD9" w14:textId="77777777" w:rsidR="001B2BC0" w:rsidRPr="006C0261" w:rsidRDefault="001B2BC0" w:rsidP="004B4F11">
            <w:pPr>
              <w:jc w:val="both"/>
              <w:rPr>
                <w:rFonts w:ascii="Arial" w:hAnsi="Arial" w:cs="Arial"/>
                <w:sz w:val="20"/>
                <w:szCs w:val="20"/>
              </w:rPr>
            </w:pPr>
            <w:r w:rsidRPr="006C0261">
              <w:rPr>
                <w:rFonts w:ascii="Arial" w:hAnsi="Arial" w:cs="Arial"/>
                <w:sz w:val="20"/>
                <w:szCs w:val="20"/>
              </w:rPr>
              <w:t>Municipal collection service</w:t>
            </w:r>
          </w:p>
        </w:tc>
        <w:tc>
          <w:tcPr>
            <w:tcW w:w="17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167B9BE" w14:textId="500E2F17" w:rsidR="001B2BC0" w:rsidRPr="006C0261" w:rsidRDefault="00582D3C" w:rsidP="004F4699">
            <w:pPr>
              <w:jc w:val="center"/>
              <w:rPr>
                <w:rFonts w:ascii="Arial" w:hAnsi="Arial" w:cs="Arial"/>
                <w:sz w:val="20"/>
                <w:szCs w:val="20"/>
              </w:rPr>
            </w:pPr>
            <w:r w:rsidRPr="006C0261">
              <w:rPr>
                <w:rFonts w:ascii="Arial" w:hAnsi="Arial" w:cs="Arial"/>
                <w:sz w:val="20"/>
                <w:szCs w:val="20"/>
              </w:rPr>
              <w:t>27</w:t>
            </w:r>
          </w:p>
        </w:tc>
        <w:tc>
          <w:tcPr>
            <w:tcW w:w="21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34D8FBB" w14:textId="77777777" w:rsidR="001B2BC0" w:rsidRPr="006C0261" w:rsidRDefault="001B2BC0" w:rsidP="004F4699">
            <w:pPr>
              <w:jc w:val="center"/>
              <w:rPr>
                <w:rFonts w:ascii="Arial" w:hAnsi="Arial" w:cs="Arial"/>
                <w:sz w:val="20"/>
                <w:szCs w:val="20"/>
              </w:rPr>
            </w:pPr>
            <w:r w:rsidRPr="006C0261">
              <w:rPr>
                <w:rFonts w:ascii="Arial" w:hAnsi="Arial" w:cs="Arial"/>
                <w:sz w:val="20"/>
                <w:szCs w:val="20"/>
              </w:rPr>
              <w:t>11.0</w:t>
            </w:r>
          </w:p>
        </w:tc>
      </w:tr>
      <w:tr w:rsidR="001B2BC0" w:rsidRPr="006C0261" w14:paraId="731079C7" w14:textId="77777777" w:rsidTr="006C013C">
        <w:tc>
          <w:tcPr>
            <w:tcW w:w="346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4C6D0EA" w14:textId="77777777" w:rsidR="001B2BC0" w:rsidRPr="006C0261" w:rsidRDefault="001B2BC0" w:rsidP="004B4F11">
            <w:pPr>
              <w:jc w:val="both"/>
              <w:rPr>
                <w:rFonts w:ascii="Arial" w:hAnsi="Arial" w:cs="Arial"/>
                <w:sz w:val="20"/>
                <w:szCs w:val="20"/>
              </w:rPr>
            </w:pPr>
            <w:r w:rsidRPr="006C0261">
              <w:rPr>
                <w:rFonts w:ascii="Arial" w:hAnsi="Arial" w:cs="Arial"/>
                <w:sz w:val="20"/>
                <w:szCs w:val="20"/>
              </w:rPr>
              <w:t>Burying in compound</w:t>
            </w:r>
          </w:p>
        </w:tc>
        <w:tc>
          <w:tcPr>
            <w:tcW w:w="17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A497036" w14:textId="2408C666" w:rsidR="001B2BC0" w:rsidRPr="006C0261" w:rsidRDefault="00582D3C" w:rsidP="004F4699">
            <w:pPr>
              <w:jc w:val="center"/>
              <w:rPr>
                <w:rFonts w:ascii="Arial" w:hAnsi="Arial" w:cs="Arial"/>
                <w:sz w:val="20"/>
                <w:szCs w:val="20"/>
              </w:rPr>
            </w:pPr>
            <w:r w:rsidRPr="006C0261">
              <w:rPr>
                <w:rFonts w:ascii="Arial" w:hAnsi="Arial" w:cs="Arial"/>
                <w:sz w:val="20"/>
                <w:szCs w:val="20"/>
              </w:rPr>
              <w:t>30</w:t>
            </w:r>
          </w:p>
        </w:tc>
        <w:tc>
          <w:tcPr>
            <w:tcW w:w="21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E627ADF" w14:textId="77777777" w:rsidR="001B2BC0" w:rsidRPr="006C0261" w:rsidRDefault="001B2BC0" w:rsidP="004F4699">
            <w:pPr>
              <w:jc w:val="center"/>
              <w:rPr>
                <w:rFonts w:ascii="Arial" w:hAnsi="Arial" w:cs="Arial"/>
                <w:sz w:val="20"/>
                <w:szCs w:val="20"/>
              </w:rPr>
            </w:pPr>
            <w:r w:rsidRPr="006C0261">
              <w:rPr>
                <w:rFonts w:ascii="Arial" w:hAnsi="Arial" w:cs="Arial"/>
                <w:sz w:val="20"/>
                <w:szCs w:val="20"/>
              </w:rPr>
              <w:t>13.3</w:t>
            </w:r>
          </w:p>
        </w:tc>
      </w:tr>
      <w:tr w:rsidR="001B2BC0" w:rsidRPr="006C0261" w14:paraId="46979549" w14:textId="77777777" w:rsidTr="006C013C">
        <w:tc>
          <w:tcPr>
            <w:tcW w:w="346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A1CAD0B" w14:textId="77777777" w:rsidR="001B2BC0" w:rsidRPr="006C0261" w:rsidRDefault="001B2BC0" w:rsidP="004B4F11">
            <w:pPr>
              <w:jc w:val="both"/>
              <w:rPr>
                <w:rFonts w:ascii="Arial" w:hAnsi="Arial" w:cs="Arial"/>
                <w:sz w:val="20"/>
                <w:szCs w:val="20"/>
              </w:rPr>
            </w:pPr>
            <w:r w:rsidRPr="006C0261">
              <w:rPr>
                <w:rFonts w:ascii="Arial" w:hAnsi="Arial" w:cs="Arial"/>
                <w:sz w:val="20"/>
                <w:szCs w:val="20"/>
              </w:rPr>
              <w:t>Disposal in streams/rivers</w:t>
            </w:r>
          </w:p>
        </w:tc>
        <w:tc>
          <w:tcPr>
            <w:tcW w:w="17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927729D" w14:textId="6DAC16D1" w:rsidR="001B2BC0" w:rsidRPr="006C0261" w:rsidRDefault="00582D3C" w:rsidP="004F4699">
            <w:pPr>
              <w:jc w:val="center"/>
              <w:rPr>
                <w:rFonts w:ascii="Arial" w:hAnsi="Arial" w:cs="Arial"/>
                <w:sz w:val="20"/>
                <w:szCs w:val="20"/>
              </w:rPr>
            </w:pPr>
            <w:r w:rsidRPr="006C0261">
              <w:rPr>
                <w:rFonts w:ascii="Arial" w:hAnsi="Arial" w:cs="Arial"/>
                <w:sz w:val="20"/>
                <w:szCs w:val="20"/>
              </w:rPr>
              <w:t>20</w:t>
            </w:r>
          </w:p>
        </w:tc>
        <w:tc>
          <w:tcPr>
            <w:tcW w:w="21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964AEEE" w14:textId="77777777" w:rsidR="001B2BC0" w:rsidRPr="006C0261" w:rsidRDefault="001B2BC0" w:rsidP="004F4699">
            <w:pPr>
              <w:jc w:val="center"/>
              <w:rPr>
                <w:rFonts w:ascii="Arial" w:hAnsi="Arial" w:cs="Arial"/>
                <w:sz w:val="20"/>
                <w:szCs w:val="20"/>
              </w:rPr>
            </w:pPr>
            <w:r w:rsidRPr="006C0261">
              <w:rPr>
                <w:rFonts w:ascii="Arial" w:hAnsi="Arial" w:cs="Arial"/>
                <w:sz w:val="20"/>
                <w:szCs w:val="20"/>
              </w:rPr>
              <w:t>8.6</w:t>
            </w:r>
          </w:p>
        </w:tc>
      </w:tr>
      <w:tr w:rsidR="001B2BC0" w:rsidRPr="006C0261" w14:paraId="2BE8CA6E" w14:textId="77777777" w:rsidTr="006C013C">
        <w:tc>
          <w:tcPr>
            <w:tcW w:w="346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046ED88" w14:textId="77777777" w:rsidR="001B2BC0" w:rsidRPr="006C0261" w:rsidRDefault="001B2BC0" w:rsidP="004B4F11">
            <w:pPr>
              <w:jc w:val="both"/>
              <w:rPr>
                <w:rFonts w:ascii="Arial" w:hAnsi="Arial" w:cs="Arial"/>
                <w:sz w:val="20"/>
                <w:szCs w:val="20"/>
              </w:rPr>
            </w:pPr>
            <w:r w:rsidRPr="006C0261">
              <w:rPr>
                <w:rFonts w:ascii="Arial" w:hAnsi="Arial" w:cs="Arial"/>
                <w:sz w:val="20"/>
                <w:szCs w:val="20"/>
              </w:rPr>
              <w:t>Total</w:t>
            </w:r>
          </w:p>
        </w:tc>
        <w:tc>
          <w:tcPr>
            <w:tcW w:w="17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C135657" w14:textId="528F5BC9" w:rsidR="001B2BC0" w:rsidRPr="006C0261" w:rsidRDefault="00582D3C" w:rsidP="004F4699">
            <w:pPr>
              <w:jc w:val="center"/>
              <w:rPr>
                <w:rFonts w:ascii="Arial" w:hAnsi="Arial" w:cs="Arial"/>
                <w:sz w:val="20"/>
                <w:szCs w:val="20"/>
              </w:rPr>
            </w:pPr>
            <w:r w:rsidRPr="006C0261">
              <w:rPr>
                <w:rFonts w:ascii="Arial" w:hAnsi="Arial" w:cs="Arial"/>
                <w:sz w:val="20"/>
                <w:szCs w:val="20"/>
              </w:rPr>
              <w:t>218</w:t>
            </w:r>
          </w:p>
        </w:tc>
        <w:tc>
          <w:tcPr>
            <w:tcW w:w="21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CE442F1" w14:textId="77777777" w:rsidR="001B2BC0" w:rsidRPr="006C0261" w:rsidRDefault="001B2BC0" w:rsidP="004F4699">
            <w:pPr>
              <w:jc w:val="center"/>
              <w:rPr>
                <w:rFonts w:ascii="Arial" w:hAnsi="Arial" w:cs="Arial"/>
                <w:sz w:val="20"/>
                <w:szCs w:val="20"/>
              </w:rPr>
            </w:pPr>
            <w:r w:rsidRPr="006C0261">
              <w:rPr>
                <w:rFonts w:ascii="Arial" w:hAnsi="Arial" w:cs="Arial"/>
                <w:sz w:val="20"/>
                <w:szCs w:val="20"/>
              </w:rPr>
              <w:t>100.0</w:t>
            </w:r>
          </w:p>
        </w:tc>
      </w:tr>
    </w:tbl>
    <w:p w14:paraId="1CAA9E40" w14:textId="77777777" w:rsidR="001B2BC0" w:rsidRPr="006C0261" w:rsidRDefault="001B2BC0" w:rsidP="001B2BC0">
      <w:pPr>
        <w:spacing w:before="40" w:after="80"/>
        <w:jc w:val="center"/>
        <w:rPr>
          <w:rFonts w:ascii="Arial" w:hAnsi="Arial" w:cs="Arial"/>
          <w:sz w:val="20"/>
          <w:szCs w:val="20"/>
        </w:rPr>
      </w:pPr>
      <w:r w:rsidRPr="006C0261">
        <w:rPr>
          <w:rFonts w:ascii="Arial" w:hAnsi="Arial" w:cs="Arial"/>
          <w:i/>
          <w:iCs/>
          <w:sz w:val="20"/>
          <w:szCs w:val="20"/>
        </w:rPr>
        <w:t>Source: Fieldwork, 2024</w:t>
      </w:r>
    </w:p>
    <w:p w14:paraId="5885D13E" w14:textId="6C6BE2A7" w:rsidR="001B2BC0" w:rsidRPr="006C0261" w:rsidRDefault="001B2BC0" w:rsidP="004A5A50">
      <w:pPr>
        <w:spacing w:before="80" w:after="80" w:line="360" w:lineRule="auto"/>
        <w:jc w:val="both"/>
        <w:rPr>
          <w:rFonts w:ascii="Arial" w:hAnsi="Arial" w:cs="Arial"/>
          <w:sz w:val="20"/>
          <w:szCs w:val="20"/>
        </w:rPr>
      </w:pPr>
      <w:r w:rsidRPr="006C0261">
        <w:rPr>
          <w:rFonts w:ascii="Arial" w:hAnsi="Arial" w:cs="Arial"/>
          <w:sz w:val="20"/>
          <w:szCs w:val="20"/>
        </w:rPr>
        <w:lastRenderedPageBreak/>
        <w:t xml:space="preserve">The 8.6% of households disposing of waste directly into streams and rivers represents a particularly acute contamination pathway, creating direct linkages between solid waste management deficits and surface water quality deterioration. During rainy seasons, waste accumulated at open dumpsites is additionally washed into drainage systems and water bodies, further extending the spatial reach of contamination. </w:t>
      </w:r>
    </w:p>
    <w:p w14:paraId="20B9291E" w14:textId="77777777" w:rsidR="001B2BC0" w:rsidRPr="00CC2139" w:rsidRDefault="001B2BC0" w:rsidP="004A5A50">
      <w:pPr>
        <w:spacing w:before="160" w:after="60" w:line="360" w:lineRule="auto"/>
        <w:jc w:val="both"/>
        <w:rPr>
          <w:rFonts w:ascii="Arial" w:hAnsi="Arial" w:cs="Arial"/>
          <w:i/>
          <w:sz w:val="20"/>
          <w:szCs w:val="20"/>
        </w:rPr>
      </w:pPr>
      <w:r w:rsidRPr="00CC2139">
        <w:rPr>
          <w:rFonts w:ascii="Arial" w:hAnsi="Arial" w:cs="Arial"/>
          <w:b/>
          <w:bCs/>
          <w:i/>
          <w:sz w:val="20"/>
          <w:szCs w:val="20"/>
        </w:rPr>
        <w:t>3.1.2 Waste Collection Frequency</w:t>
      </w:r>
    </w:p>
    <w:p w14:paraId="7A6B2575" w14:textId="0798C755" w:rsidR="001B2BC0" w:rsidRPr="00CC2139" w:rsidRDefault="001B2BC0" w:rsidP="004A5A50">
      <w:pPr>
        <w:spacing w:before="80" w:after="80" w:line="360" w:lineRule="auto"/>
        <w:jc w:val="both"/>
        <w:rPr>
          <w:rFonts w:ascii="Arial" w:hAnsi="Arial" w:cs="Arial"/>
          <w:sz w:val="20"/>
          <w:szCs w:val="20"/>
        </w:rPr>
      </w:pPr>
      <w:r w:rsidRPr="00CC2139">
        <w:rPr>
          <w:rFonts w:ascii="Arial" w:hAnsi="Arial" w:cs="Arial"/>
          <w:sz w:val="20"/>
          <w:szCs w:val="20"/>
        </w:rPr>
        <w:t xml:space="preserve">Waste collection frequency data reveal critical inadequacies in service provision </w:t>
      </w:r>
      <w:r w:rsidR="00A05FC3" w:rsidRPr="00CC2139">
        <w:rPr>
          <w:rFonts w:ascii="Arial" w:hAnsi="Arial" w:cs="Arial"/>
          <w:sz w:val="20"/>
          <w:szCs w:val="20"/>
        </w:rPr>
        <w:t>across the sub-division (Table 3</w:t>
      </w:r>
      <w:r w:rsidRPr="00CC2139">
        <w:rPr>
          <w:rFonts w:ascii="Arial" w:hAnsi="Arial" w:cs="Arial"/>
          <w:sz w:val="20"/>
          <w:szCs w:val="20"/>
        </w:rPr>
        <w:t>). Irregular or sporadic collection affects 42.4% of residents, while 18.1% have no access to collection services whatsoever. Only 3.8% benefit from daily collection, concentrated in commercial establishments and high-income residential areas. The combined 22.3% receiving weekly or more frequent collection illustrates the limited reach of effective waste management infrastructure across the sub-division.</w:t>
      </w:r>
    </w:p>
    <w:p w14:paraId="7B88F73B" w14:textId="6BD8B553" w:rsidR="001B2BC0" w:rsidRPr="00CC2139" w:rsidRDefault="00A05FC3" w:rsidP="002B56BB">
      <w:pPr>
        <w:spacing w:before="160" w:after="60"/>
        <w:jc w:val="center"/>
        <w:rPr>
          <w:rFonts w:ascii="Arial" w:hAnsi="Arial" w:cs="Arial"/>
          <w:sz w:val="20"/>
          <w:szCs w:val="20"/>
        </w:rPr>
      </w:pPr>
      <w:r w:rsidRPr="00CC2139">
        <w:rPr>
          <w:rFonts w:ascii="Arial" w:hAnsi="Arial" w:cs="Arial"/>
          <w:b/>
          <w:bCs/>
          <w:sz w:val="20"/>
          <w:szCs w:val="20"/>
        </w:rPr>
        <w:t>Table 3</w:t>
      </w:r>
      <w:r w:rsidR="001B2BC0" w:rsidRPr="00CC2139">
        <w:rPr>
          <w:rFonts w:ascii="Arial" w:hAnsi="Arial" w:cs="Arial"/>
          <w:b/>
          <w:bCs/>
          <w:sz w:val="20"/>
          <w:szCs w:val="20"/>
        </w:rPr>
        <w:t xml:space="preserve">: Waste Collection Frequency in </w:t>
      </w:r>
      <w:proofErr w:type="spellStart"/>
      <w:r w:rsidR="001B2BC0" w:rsidRPr="00CC2139">
        <w:rPr>
          <w:rFonts w:ascii="Arial" w:hAnsi="Arial" w:cs="Arial"/>
          <w:b/>
          <w:bCs/>
          <w:sz w:val="20"/>
          <w:szCs w:val="20"/>
        </w:rPr>
        <w:t>Mamfe</w:t>
      </w:r>
      <w:proofErr w:type="spellEnd"/>
      <w:r w:rsidR="001B2BC0" w:rsidRPr="00CC2139">
        <w:rPr>
          <w:rFonts w:ascii="Arial" w:hAnsi="Arial" w:cs="Arial"/>
          <w:b/>
          <w:bCs/>
          <w:sz w:val="20"/>
          <w:szCs w:val="20"/>
        </w:rPr>
        <w:t xml:space="preserve"> Central Sub-Division</w:t>
      </w:r>
    </w:p>
    <w:tbl>
      <w:tblPr>
        <w:tblW w:w="5944" w:type="dxa"/>
        <w:tblInd w:w="2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42"/>
        <w:gridCol w:w="1418"/>
        <w:gridCol w:w="1984"/>
      </w:tblGrid>
      <w:tr w:rsidR="001B2BC0" w:rsidRPr="00CC2139" w14:paraId="3AE34596" w14:textId="77777777" w:rsidTr="006C013C">
        <w:tc>
          <w:tcPr>
            <w:tcW w:w="2542"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50818AD8" w14:textId="77777777" w:rsidR="001B2BC0" w:rsidRPr="00CC2139" w:rsidRDefault="001B2BC0" w:rsidP="004B4F11">
            <w:pPr>
              <w:jc w:val="both"/>
              <w:rPr>
                <w:rFonts w:ascii="Arial" w:hAnsi="Arial" w:cs="Arial"/>
                <w:sz w:val="20"/>
                <w:szCs w:val="20"/>
              </w:rPr>
            </w:pPr>
            <w:r w:rsidRPr="00CC2139">
              <w:rPr>
                <w:rFonts w:ascii="Arial" w:hAnsi="Arial" w:cs="Arial"/>
                <w:b/>
                <w:bCs/>
                <w:sz w:val="20"/>
                <w:szCs w:val="20"/>
              </w:rPr>
              <w:t>Collection Frequency</w:t>
            </w:r>
          </w:p>
        </w:tc>
        <w:tc>
          <w:tcPr>
            <w:tcW w:w="1418"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4B8566A" w14:textId="77777777" w:rsidR="001B2BC0" w:rsidRPr="00CC2139" w:rsidRDefault="001B2BC0" w:rsidP="004B4F11">
            <w:pPr>
              <w:jc w:val="both"/>
              <w:rPr>
                <w:rFonts w:ascii="Arial" w:hAnsi="Arial" w:cs="Arial"/>
                <w:sz w:val="20"/>
                <w:szCs w:val="20"/>
              </w:rPr>
            </w:pPr>
            <w:r w:rsidRPr="00CC2139">
              <w:rPr>
                <w:rFonts w:ascii="Arial" w:hAnsi="Arial" w:cs="Arial"/>
                <w:b/>
                <w:bCs/>
                <w:sz w:val="20"/>
                <w:szCs w:val="20"/>
              </w:rPr>
              <w:t>Frequency</w:t>
            </w:r>
          </w:p>
        </w:tc>
        <w:tc>
          <w:tcPr>
            <w:tcW w:w="1984"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7ED7E118" w14:textId="77777777" w:rsidR="001B2BC0" w:rsidRPr="00CC2139" w:rsidRDefault="001B2BC0" w:rsidP="004B4F11">
            <w:pPr>
              <w:jc w:val="both"/>
              <w:rPr>
                <w:rFonts w:ascii="Arial" w:hAnsi="Arial" w:cs="Arial"/>
                <w:sz w:val="20"/>
                <w:szCs w:val="20"/>
              </w:rPr>
            </w:pPr>
            <w:r w:rsidRPr="00CC2139">
              <w:rPr>
                <w:rFonts w:ascii="Arial" w:hAnsi="Arial" w:cs="Arial"/>
                <w:b/>
                <w:bCs/>
                <w:sz w:val="20"/>
                <w:szCs w:val="20"/>
              </w:rPr>
              <w:t>Percentage (%)</w:t>
            </w:r>
          </w:p>
        </w:tc>
      </w:tr>
      <w:tr w:rsidR="001B2BC0" w:rsidRPr="00CC2139" w14:paraId="5D545221" w14:textId="77777777" w:rsidTr="006C013C">
        <w:tc>
          <w:tcPr>
            <w:tcW w:w="254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BF16CAD"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Daily</w:t>
            </w:r>
          </w:p>
        </w:tc>
        <w:tc>
          <w:tcPr>
            <w:tcW w:w="1418"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7E2F2E1" w14:textId="225A05D7" w:rsidR="001B2BC0" w:rsidRPr="00CC2139" w:rsidRDefault="00582D3C" w:rsidP="004F4699">
            <w:pPr>
              <w:jc w:val="center"/>
              <w:rPr>
                <w:rFonts w:ascii="Arial" w:hAnsi="Arial" w:cs="Arial"/>
                <w:sz w:val="20"/>
                <w:szCs w:val="20"/>
              </w:rPr>
            </w:pPr>
            <w:r w:rsidRPr="00CC2139">
              <w:rPr>
                <w:rFonts w:ascii="Arial" w:hAnsi="Arial" w:cs="Arial"/>
                <w:sz w:val="20"/>
                <w:szCs w:val="20"/>
              </w:rPr>
              <w:t>10</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88C66E6"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3.8</w:t>
            </w:r>
          </w:p>
        </w:tc>
      </w:tr>
      <w:tr w:rsidR="001B2BC0" w:rsidRPr="00CC2139" w14:paraId="4682EAD8" w14:textId="77777777" w:rsidTr="006C013C">
        <w:tc>
          <w:tcPr>
            <w:tcW w:w="254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6DFAE42"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Twice weekly</w:t>
            </w:r>
          </w:p>
        </w:tc>
        <w:tc>
          <w:tcPr>
            <w:tcW w:w="1418"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E2CCD87" w14:textId="42AD3860" w:rsidR="001B2BC0" w:rsidRPr="00CC2139" w:rsidRDefault="00582D3C" w:rsidP="004F4699">
            <w:pPr>
              <w:jc w:val="center"/>
              <w:rPr>
                <w:rFonts w:ascii="Arial" w:hAnsi="Arial" w:cs="Arial"/>
                <w:sz w:val="20"/>
                <w:szCs w:val="20"/>
              </w:rPr>
            </w:pPr>
            <w:r w:rsidRPr="00CC2139">
              <w:rPr>
                <w:rFonts w:ascii="Arial" w:hAnsi="Arial" w:cs="Arial"/>
                <w:sz w:val="20"/>
                <w:szCs w:val="20"/>
              </w:rPr>
              <w:t>18</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7D58CAF"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7.1</w:t>
            </w:r>
          </w:p>
        </w:tc>
      </w:tr>
      <w:tr w:rsidR="001B2BC0" w:rsidRPr="00CC2139" w14:paraId="5D7A18BA" w14:textId="77777777" w:rsidTr="006C013C">
        <w:tc>
          <w:tcPr>
            <w:tcW w:w="254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7782F12"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Weekly</w:t>
            </w:r>
          </w:p>
        </w:tc>
        <w:tc>
          <w:tcPr>
            <w:tcW w:w="1418"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8B28DC5"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32</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4F59C4E"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15.2</w:t>
            </w:r>
          </w:p>
        </w:tc>
      </w:tr>
      <w:tr w:rsidR="001B2BC0" w:rsidRPr="00CC2139" w14:paraId="041C0480" w14:textId="77777777" w:rsidTr="006C013C">
        <w:tc>
          <w:tcPr>
            <w:tcW w:w="254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01380D9"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Monthly</w:t>
            </w:r>
          </w:p>
        </w:tc>
        <w:tc>
          <w:tcPr>
            <w:tcW w:w="1418"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742C02C" w14:textId="487DB92A" w:rsidR="001B2BC0" w:rsidRPr="00CC2139" w:rsidRDefault="00582D3C" w:rsidP="004F4699">
            <w:pPr>
              <w:jc w:val="center"/>
              <w:rPr>
                <w:rFonts w:ascii="Arial" w:hAnsi="Arial" w:cs="Arial"/>
                <w:sz w:val="20"/>
                <w:szCs w:val="20"/>
              </w:rPr>
            </w:pPr>
            <w:r w:rsidRPr="00CC2139">
              <w:rPr>
                <w:rFonts w:ascii="Arial" w:hAnsi="Arial" w:cs="Arial"/>
                <w:sz w:val="20"/>
                <w:szCs w:val="20"/>
              </w:rPr>
              <w:t>30</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6D352CA"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13.3</w:t>
            </w:r>
          </w:p>
        </w:tc>
      </w:tr>
      <w:tr w:rsidR="001B2BC0" w:rsidRPr="00CC2139" w14:paraId="3E45DF8C" w14:textId="77777777" w:rsidTr="006C013C">
        <w:tc>
          <w:tcPr>
            <w:tcW w:w="254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1E5524E"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Irregular/Sporadic</w:t>
            </w:r>
          </w:p>
        </w:tc>
        <w:tc>
          <w:tcPr>
            <w:tcW w:w="1418"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5934FD5" w14:textId="6ED2751C" w:rsidR="001B2BC0" w:rsidRPr="00CC2139" w:rsidRDefault="00582D3C" w:rsidP="004F4699">
            <w:pPr>
              <w:jc w:val="center"/>
              <w:rPr>
                <w:rFonts w:ascii="Arial" w:hAnsi="Arial" w:cs="Arial"/>
                <w:sz w:val="20"/>
                <w:szCs w:val="20"/>
              </w:rPr>
            </w:pPr>
            <w:r w:rsidRPr="00CC2139">
              <w:rPr>
                <w:rFonts w:ascii="Arial" w:hAnsi="Arial" w:cs="Arial"/>
                <w:sz w:val="20"/>
                <w:szCs w:val="20"/>
              </w:rPr>
              <w:t>90</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F6A5B85"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42.4</w:t>
            </w:r>
          </w:p>
        </w:tc>
      </w:tr>
      <w:tr w:rsidR="001B2BC0" w:rsidRPr="00CC2139" w14:paraId="304847AF" w14:textId="77777777" w:rsidTr="006C013C">
        <w:tc>
          <w:tcPr>
            <w:tcW w:w="254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99DDCB9"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No collection service</w:t>
            </w:r>
          </w:p>
        </w:tc>
        <w:tc>
          <w:tcPr>
            <w:tcW w:w="1418"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8295708"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38</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4FCC617"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18.1</w:t>
            </w:r>
          </w:p>
        </w:tc>
      </w:tr>
      <w:tr w:rsidR="001B2BC0" w:rsidRPr="00CC2139" w14:paraId="530D5DF0" w14:textId="77777777" w:rsidTr="006C013C">
        <w:tc>
          <w:tcPr>
            <w:tcW w:w="254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FF2CA8E"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Total</w:t>
            </w:r>
          </w:p>
        </w:tc>
        <w:tc>
          <w:tcPr>
            <w:tcW w:w="1418"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0519C75" w14:textId="06BE1D71" w:rsidR="001B2BC0" w:rsidRPr="00CC2139" w:rsidRDefault="00582D3C" w:rsidP="004F4699">
            <w:pPr>
              <w:jc w:val="center"/>
              <w:rPr>
                <w:rFonts w:ascii="Arial" w:hAnsi="Arial" w:cs="Arial"/>
                <w:sz w:val="20"/>
                <w:szCs w:val="20"/>
              </w:rPr>
            </w:pPr>
            <w:r w:rsidRPr="00CC2139">
              <w:rPr>
                <w:rFonts w:ascii="Arial" w:hAnsi="Arial" w:cs="Arial"/>
                <w:sz w:val="20"/>
                <w:szCs w:val="20"/>
              </w:rPr>
              <w:t>218</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5EBD313"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100.0</w:t>
            </w:r>
          </w:p>
        </w:tc>
      </w:tr>
    </w:tbl>
    <w:p w14:paraId="42D9A6D7" w14:textId="77777777" w:rsidR="001B2BC0" w:rsidRPr="00CC2139" w:rsidRDefault="001B2BC0" w:rsidP="0042240D">
      <w:pPr>
        <w:spacing w:before="40" w:after="80"/>
        <w:jc w:val="center"/>
        <w:rPr>
          <w:rFonts w:ascii="Arial" w:hAnsi="Arial" w:cs="Arial"/>
          <w:sz w:val="20"/>
          <w:szCs w:val="20"/>
        </w:rPr>
      </w:pPr>
      <w:r w:rsidRPr="00CC2139">
        <w:rPr>
          <w:rFonts w:ascii="Arial" w:hAnsi="Arial" w:cs="Arial"/>
          <w:i/>
          <w:iCs/>
          <w:sz w:val="20"/>
          <w:szCs w:val="20"/>
        </w:rPr>
        <w:t>Source: Fieldwork, 2024</w:t>
      </w:r>
    </w:p>
    <w:p w14:paraId="3B383095" w14:textId="77777777" w:rsidR="00181833" w:rsidRPr="00CC2139" w:rsidRDefault="00181833" w:rsidP="004A5A50">
      <w:pPr>
        <w:spacing w:before="160" w:after="60" w:line="360" w:lineRule="auto"/>
        <w:jc w:val="both"/>
        <w:rPr>
          <w:rFonts w:ascii="Arial" w:hAnsi="Arial" w:cs="Arial"/>
          <w:b/>
          <w:bCs/>
          <w:sz w:val="20"/>
          <w:szCs w:val="20"/>
        </w:rPr>
      </w:pPr>
    </w:p>
    <w:p w14:paraId="32E25A1A" w14:textId="77777777" w:rsidR="001B2BC0" w:rsidRPr="00CC2139" w:rsidRDefault="001B2BC0" w:rsidP="004A5A50">
      <w:pPr>
        <w:spacing w:before="160" w:after="60" w:line="360" w:lineRule="auto"/>
        <w:jc w:val="both"/>
        <w:rPr>
          <w:rFonts w:ascii="Arial" w:hAnsi="Arial" w:cs="Arial"/>
          <w:i/>
          <w:sz w:val="20"/>
          <w:szCs w:val="20"/>
        </w:rPr>
      </w:pPr>
      <w:r w:rsidRPr="00CC2139">
        <w:rPr>
          <w:rFonts w:ascii="Arial" w:hAnsi="Arial" w:cs="Arial"/>
          <w:b/>
          <w:bCs/>
          <w:i/>
          <w:sz w:val="20"/>
          <w:szCs w:val="20"/>
        </w:rPr>
        <w:t>3.1.3 Drainage Systems and Dumpsite Management</w:t>
      </w:r>
    </w:p>
    <w:p w14:paraId="30A762AD" w14:textId="326A8E31" w:rsidR="001B2BC0" w:rsidRPr="00CC2139" w:rsidRDefault="001B2BC0" w:rsidP="004A5A50">
      <w:pPr>
        <w:spacing w:before="80" w:after="80" w:line="360" w:lineRule="auto"/>
        <w:jc w:val="both"/>
        <w:rPr>
          <w:rFonts w:ascii="Arial" w:hAnsi="Arial" w:cs="Arial"/>
          <w:sz w:val="20"/>
          <w:szCs w:val="20"/>
        </w:rPr>
      </w:pPr>
      <w:r w:rsidRPr="00CC2139">
        <w:rPr>
          <w:rFonts w:ascii="Arial" w:hAnsi="Arial" w:cs="Arial"/>
          <w:sz w:val="20"/>
          <w:szCs w:val="20"/>
        </w:rPr>
        <w:t>Assessment of drainage infrastructure reveals that a combined 72.4% of areas have poor to very p</w:t>
      </w:r>
      <w:r w:rsidR="00A05FC3" w:rsidRPr="00CC2139">
        <w:rPr>
          <w:rFonts w:ascii="Arial" w:hAnsi="Arial" w:cs="Arial"/>
          <w:sz w:val="20"/>
          <w:szCs w:val="20"/>
        </w:rPr>
        <w:t>oor drainage conditions (Table 4</w:t>
      </w:r>
      <w:r w:rsidRPr="00CC2139">
        <w:rPr>
          <w:rFonts w:ascii="Arial" w:hAnsi="Arial" w:cs="Arial"/>
          <w:sz w:val="20"/>
          <w:szCs w:val="20"/>
        </w:rPr>
        <w:t>). Areas with poor drainage (42.4%) feature blocked or damaged channels filled with solid waste, creating stagnant pools that serve as mosquito breeding sites. Only 21.9% of areas have</w:t>
      </w:r>
      <w:r w:rsidR="00A0718F" w:rsidRPr="00CC2139">
        <w:rPr>
          <w:rFonts w:ascii="Arial" w:hAnsi="Arial" w:cs="Arial"/>
          <w:sz w:val="20"/>
          <w:szCs w:val="20"/>
        </w:rPr>
        <w:t xml:space="preserve"> a</w:t>
      </w:r>
      <w:r w:rsidRPr="00CC2139">
        <w:rPr>
          <w:rFonts w:ascii="Arial" w:hAnsi="Arial" w:cs="Arial"/>
          <w:sz w:val="20"/>
          <w:szCs w:val="20"/>
        </w:rPr>
        <w:t xml:space="preserve"> good to excellent drainage, primarily concentrated in newer developments and commercial areas. Dumpsite management shows severe deficiencies across all assessed categories: 59.5% of dumpsites have no waste segregation practices, 76.2% have no leachate management systems, and 72.4% have no access control, allowing indiscriminate dumping and creating safety risks particularly in residential quarters such as </w:t>
      </w:r>
      <w:proofErr w:type="spellStart"/>
      <w:r w:rsidRPr="00CC2139">
        <w:rPr>
          <w:rFonts w:ascii="Arial" w:hAnsi="Arial" w:cs="Arial"/>
          <w:sz w:val="20"/>
          <w:szCs w:val="20"/>
        </w:rPr>
        <w:t>Banya</w:t>
      </w:r>
      <w:proofErr w:type="spellEnd"/>
      <w:r w:rsidRPr="00CC2139">
        <w:rPr>
          <w:rFonts w:ascii="Arial" w:hAnsi="Arial" w:cs="Arial"/>
          <w:sz w:val="20"/>
          <w:szCs w:val="20"/>
        </w:rPr>
        <w:t>, Lala, and New Layout.</w:t>
      </w:r>
    </w:p>
    <w:p w14:paraId="2081486A" w14:textId="4C83BA55" w:rsidR="001B2BC0" w:rsidRPr="00CC2139" w:rsidRDefault="00A05FC3" w:rsidP="006C013C">
      <w:pPr>
        <w:spacing w:before="160" w:after="60" w:line="360" w:lineRule="auto"/>
        <w:jc w:val="center"/>
        <w:rPr>
          <w:rFonts w:ascii="Arial" w:hAnsi="Arial" w:cs="Arial"/>
          <w:sz w:val="20"/>
          <w:szCs w:val="20"/>
        </w:rPr>
      </w:pPr>
      <w:r w:rsidRPr="00CC2139">
        <w:rPr>
          <w:rFonts w:ascii="Arial" w:hAnsi="Arial" w:cs="Arial"/>
          <w:b/>
          <w:bCs/>
          <w:sz w:val="20"/>
          <w:szCs w:val="20"/>
        </w:rPr>
        <w:t>Table 4</w:t>
      </w:r>
      <w:r w:rsidR="001B2BC0" w:rsidRPr="00CC2139">
        <w:rPr>
          <w:rFonts w:ascii="Arial" w:hAnsi="Arial" w:cs="Arial"/>
          <w:b/>
          <w:bCs/>
          <w:sz w:val="20"/>
          <w:szCs w:val="20"/>
        </w:rPr>
        <w:t xml:space="preserve">: Drainage System Condition in </w:t>
      </w:r>
      <w:proofErr w:type="spellStart"/>
      <w:r w:rsidR="001B2BC0" w:rsidRPr="00CC2139">
        <w:rPr>
          <w:rFonts w:ascii="Arial" w:hAnsi="Arial" w:cs="Arial"/>
          <w:b/>
          <w:bCs/>
          <w:sz w:val="20"/>
          <w:szCs w:val="20"/>
        </w:rPr>
        <w:t>Mamfe</w:t>
      </w:r>
      <w:proofErr w:type="spellEnd"/>
      <w:r w:rsidR="001B2BC0" w:rsidRPr="00CC2139">
        <w:rPr>
          <w:rFonts w:ascii="Arial" w:hAnsi="Arial" w:cs="Arial"/>
          <w:b/>
          <w:bCs/>
          <w:sz w:val="20"/>
          <w:szCs w:val="20"/>
        </w:rPr>
        <w:t xml:space="preserve"> Central Sub-Division</w:t>
      </w:r>
    </w:p>
    <w:tbl>
      <w:tblPr>
        <w:tblW w:w="6273" w:type="dxa"/>
        <w:tblInd w:w="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29"/>
        <w:gridCol w:w="1560"/>
        <w:gridCol w:w="1984"/>
      </w:tblGrid>
      <w:tr w:rsidR="001B2BC0" w:rsidRPr="00CC2139" w14:paraId="424A7AD5" w14:textId="77777777" w:rsidTr="006C013C">
        <w:tc>
          <w:tcPr>
            <w:tcW w:w="2729"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AC3BB83" w14:textId="77777777" w:rsidR="001B2BC0" w:rsidRPr="00CC2139" w:rsidRDefault="001B2BC0" w:rsidP="002B56BB">
            <w:pPr>
              <w:jc w:val="center"/>
              <w:rPr>
                <w:rFonts w:ascii="Arial" w:hAnsi="Arial" w:cs="Arial"/>
                <w:sz w:val="20"/>
                <w:szCs w:val="20"/>
              </w:rPr>
            </w:pPr>
            <w:r w:rsidRPr="00CC2139">
              <w:rPr>
                <w:rFonts w:ascii="Arial" w:hAnsi="Arial" w:cs="Arial"/>
                <w:b/>
                <w:bCs/>
                <w:sz w:val="20"/>
                <w:szCs w:val="20"/>
              </w:rPr>
              <w:lastRenderedPageBreak/>
              <w:t>Drainage Condition</w:t>
            </w:r>
          </w:p>
        </w:tc>
        <w:tc>
          <w:tcPr>
            <w:tcW w:w="15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61FD627C" w14:textId="77777777" w:rsidR="001B2BC0" w:rsidRPr="00CC2139" w:rsidRDefault="001B2BC0" w:rsidP="002B56BB">
            <w:pPr>
              <w:jc w:val="center"/>
              <w:rPr>
                <w:rFonts w:ascii="Arial" w:hAnsi="Arial" w:cs="Arial"/>
                <w:sz w:val="20"/>
                <w:szCs w:val="20"/>
              </w:rPr>
            </w:pPr>
            <w:r w:rsidRPr="00CC2139">
              <w:rPr>
                <w:rFonts w:ascii="Arial" w:hAnsi="Arial" w:cs="Arial"/>
                <w:b/>
                <w:bCs/>
                <w:sz w:val="20"/>
                <w:szCs w:val="20"/>
              </w:rPr>
              <w:t>Frequency</w:t>
            </w:r>
          </w:p>
        </w:tc>
        <w:tc>
          <w:tcPr>
            <w:tcW w:w="1984"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50B81D57" w14:textId="77777777" w:rsidR="001B2BC0" w:rsidRPr="00CC2139" w:rsidRDefault="001B2BC0" w:rsidP="002B56BB">
            <w:pPr>
              <w:jc w:val="center"/>
              <w:rPr>
                <w:rFonts w:ascii="Arial" w:hAnsi="Arial" w:cs="Arial"/>
                <w:sz w:val="20"/>
                <w:szCs w:val="20"/>
              </w:rPr>
            </w:pPr>
            <w:r w:rsidRPr="00CC2139">
              <w:rPr>
                <w:rFonts w:ascii="Arial" w:hAnsi="Arial" w:cs="Arial"/>
                <w:b/>
                <w:bCs/>
                <w:sz w:val="20"/>
                <w:szCs w:val="20"/>
              </w:rPr>
              <w:t>Percentage (%)</w:t>
            </w:r>
          </w:p>
        </w:tc>
      </w:tr>
      <w:tr w:rsidR="001B2BC0" w:rsidRPr="00CC2139" w14:paraId="209A3C9E" w14:textId="77777777" w:rsidTr="006C013C">
        <w:tc>
          <w:tcPr>
            <w:tcW w:w="272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E570A41"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Excellent condition</w:t>
            </w:r>
          </w:p>
        </w:tc>
        <w:tc>
          <w:tcPr>
            <w:tcW w:w="15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C314764"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12</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98C90C1"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5.7</w:t>
            </w:r>
          </w:p>
        </w:tc>
      </w:tr>
      <w:tr w:rsidR="001B2BC0" w:rsidRPr="00CC2139" w14:paraId="34F3D182" w14:textId="77777777" w:rsidTr="006C013C">
        <w:tc>
          <w:tcPr>
            <w:tcW w:w="272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81440A7"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Good condition</w:t>
            </w:r>
          </w:p>
        </w:tc>
        <w:tc>
          <w:tcPr>
            <w:tcW w:w="15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C013CE8"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34</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68A5BE2"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16.2</w:t>
            </w:r>
          </w:p>
        </w:tc>
      </w:tr>
      <w:tr w:rsidR="001B2BC0" w:rsidRPr="00CC2139" w14:paraId="059B4F7C" w14:textId="77777777" w:rsidTr="006C013C">
        <w:tc>
          <w:tcPr>
            <w:tcW w:w="272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8B92AFE"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Poor condition</w:t>
            </w:r>
          </w:p>
        </w:tc>
        <w:tc>
          <w:tcPr>
            <w:tcW w:w="15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2B2FFAE"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89</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80792E5"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42.4</w:t>
            </w:r>
          </w:p>
        </w:tc>
      </w:tr>
      <w:tr w:rsidR="001B2BC0" w:rsidRPr="00CC2139" w14:paraId="2F29CB7C" w14:textId="77777777" w:rsidTr="006C013C">
        <w:tc>
          <w:tcPr>
            <w:tcW w:w="272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244F7ED"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Very poor condition</w:t>
            </w:r>
          </w:p>
        </w:tc>
        <w:tc>
          <w:tcPr>
            <w:tcW w:w="15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AE81B90" w14:textId="77E9AF9C" w:rsidR="001B2BC0" w:rsidRPr="00CC2139" w:rsidRDefault="00FE3A8D" w:rsidP="004F4699">
            <w:pPr>
              <w:jc w:val="center"/>
              <w:rPr>
                <w:rFonts w:ascii="Arial" w:hAnsi="Arial" w:cs="Arial"/>
                <w:sz w:val="20"/>
                <w:szCs w:val="20"/>
              </w:rPr>
            </w:pPr>
            <w:r w:rsidRPr="00CC2139">
              <w:rPr>
                <w:rFonts w:ascii="Arial" w:hAnsi="Arial" w:cs="Arial"/>
                <w:sz w:val="20"/>
                <w:szCs w:val="20"/>
              </w:rPr>
              <w:t>67</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5761C55"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30.0</w:t>
            </w:r>
          </w:p>
        </w:tc>
      </w:tr>
      <w:tr w:rsidR="001B2BC0" w:rsidRPr="00CC2139" w14:paraId="694C7CE7" w14:textId="77777777" w:rsidTr="006C013C">
        <w:tc>
          <w:tcPr>
            <w:tcW w:w="272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1702F62"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No drainage system</w:t>
            </w:r>
          </w:p>
        </w:tc>
        <w:tc>
          <w:tcPr>
            <w:tcW w:w="15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7D6AC8C" w14:textId="1A88FDEA" w:rsidR="001B2BC0" w:rsidRPr="00CC2139" w:rsidRDefault="00FE3A8D" w:rsidP="004F4699">
            <w:pPr>
              <w:jc w:val="center"/>
              <w:rPr>
                <w:rFonts w:ascii="Arial" w:hAnsi="Arial" w:cs="Arial"/>
                <w:sz w:val="20"/>
                <w:szCs w:val="20"/>
              </w:rPr>
            </w:pPr>
            <w:r w:rsidRPr="00CC2139">
              <w:rPr>
                <w:rFonts w:ascii="Arial" w:hAnsi="Arial" w:cs="Arial"/>
                <w:sz w:val="20"/>
                <w:szCs w:val="20"/>
              </w:rPr>
              <w:t>16</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1A67112"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5.7</w:t>
            </w:r>
          </w:p>
        </w:tc>
      </w:tr>
      <w:tr w:rsidR="001B2BC0" w:rsidRPr="00CC2139" w14:paraId="6F8926F1" w14:textId="77777777" w:rsidTr="006C013C">
        <w:tc>
          <w:tcPr>
            <w:tcW w:w="272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660A10E"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Total</w:t>
            </w:r>
          </w:p>
        </w:tc>
        <w:tc>
          <w:tcPr>
            <w:tcW w:w="15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40F740C" w14:textId="6C28790E" w:rsidR="001B2BC0" w:rsidRPr="00CC2139" w:rsidRDefault="00FE3A8D" w:rsidP="004F4699">
            <w:pPr>
              <w:jc w:val="center"/>
              <w:rPr>
                <w:rFonts w:ascii="Arial" w:hAnsi="Arial" w:cs="Arial"/>
                <w:sz w:val="20"/>
                <w:szCs w:val="20"/>
              </w:rPr>
            </w:pPr>
            <w:r w:rsidRPr="00CC2139">
              <w:rPr>
                <w:rFonts w:ascii="Arial" w:hAnsi="Arial" w:cs="Arial"/>
                <w:sz w:val="20"/>
                <w:szCs w:val="20"/>
              </w:rPr>
              <w:t>218</w:t>
            </w:r>
          </w:p>
        </w:tc>
        <w:tc>
          <w:tcPr>
            <w:tcW w:w="198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FE3C1A8"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100.0</w:t>
            </w:r>
          </w:p>
        </w:tc>
      </w:tr>
    </w:tbl>
    <w:p w14:paraId="7BA7CE61" w14:textId="77777777" w:rsidR="001B2BC0" w:rsidRPr="00CC2139" w:rsidRDefault="001B2BC0" w:rsidP="00A0718F">
      <w:pPr>
        <w:spacing w:before="40" w:after="80"/>
        <w:jc w:val="center"/>
        <w:rPr>
          <w:rFonts w:ascii="Arial" w:hAnsi="Arial" w:cs="Arial"/>
          <w:sz w:val="20"/>
          <w:szCs w:val="20"/>
        </w:rPr>
      </w:pPr>
      <w:r w:rsidRPr="00CC2139">
        <w:rPr>
          <w:rFonts w:ascii="Arial" w:hAnsi="Arial" w:cs="Arial"/>
          <w:i/>
          <w:iCs/>
          <w:sz w:val="20"/>
          <w:szCs w:val="20"/>
        </w:rPr>
        <w:t>Source: Fieldwork, 2024</w:t>
      </w:r>
    </w:p>
    <w:p w14:paraId="6FA54F8E" w14:textId="77777777" w:rsidR="001B2BC0" w:rsidRPr="00CC2139" w:rsidRDefault="001B2BC0" w:rsidP="004A5A50">
      <w:pPr>
        <w:pStyle w:val="Heading2"/>
        <w:spacing w:line="360" w:lineRule="auto"/>
        <w:jc w:val="both"/>
        <w:rPr>
          <w:rFonts w:ascii="Arial Black" w:hAnsi="Arial Black"/>
          <w:sz w:val="22"/>
          <w:szCs w:val="22"/>
        </w:rPr>
      </w:pPr>
      <w:r w:rsidRPr="00CC2139">
        <w:rPr>
          <w:sz w:val="24"/>
          <w:szCs w:val="24"/>
        </w:rPr>
        <w:t>3</w:t>
      </w:r>
      <w:r w:rsidRPr="00CC2139">
        <w:rPr>
          <w:rFonts w:ascii="Arial Black" w:hAnsi="Arial Black"/>
          <w:sz w:val="22"/>
          <w:szCs w:val="22"/>
        </w:rPr>
        <w:t>.2 Sanitation Access</w:t>
      </w:r>
    </w:p>
    <w:p w14:paraId="33E9DF37" w14:textId="77777777" w:rsidR="001B2BC0" w:rsidRPr="00CC2139" w:rsidRDefault="001B2BC0" w:rsidP="004A5A50">
      <w:pPr>
        <w:spacing w:before="160" w:after="60" w:line="360" w:lineRule="auto"/>
        <w:jc w:val="both"/>
        <w:rPr>
          <w:rFonts w:ascii="Arial" w:hAnsi="Arial" w:cs="Arial"/>
          <w:i/>
          <w:sz w:val="20"/>
          <w:szCs w:val="20"/>
        </w:rPr>
      </w:pPr>
      <w:r w:rsidRPr="00CC2139">
        <w:rPr>
          <w:rFonts w:ascii="Arial" w:hAnsi="Arial" w:cs="Arial"/>
          <w:b/>
          <w:bCs/>
          <w:i/>
          <w:sz w:val="20"/>
          <w:szCs w:val="20"/>
        </w:rPr>
        <w:t>3.2.1 Toilet Types and Coverage</w:t>
      </w:r>
    </w:p>
    <w:p w14:paraId="2E2518B9" w14:textId="62876FCE" w:rsidR="001B2BC0" w:rsidRPr="00CC2139" w:rsidRDefault="001B2BC0" w:rsidP="004A5A50">
      <w:pPr>
        <w:spacing w:before="80" w:after="80" w:line="360" w:lineRule="auto"/>
        <w:jc w:val="both"/>
        <w:rPr>
          <w:rFonts w:ascii="Arial" w:hAnsi="Arial" w:cs="Arial"/>
          <w:sz w:val="20"/>
          <w:szCs w:val="20"/>
        </w:rPr>
      </w:pPr>
      <w:r w:rsidRPr="00CC2139">
        <w:rPr>
          <w:rFonts w:ascii="Arial" w:hAnsi="Arial" w:cs="Arial"/>
          <w:sz w:val="20"/>
          <w:szCs w:val="20"/>
        </w:rPr>
        <w:t xml:space="preserve">Flush toilets represent only 16.2% of sanitation facilities, primarily concentrated in affluent areas such as GRA and newer </w:t>
      </w:r>
      <w:r w:rsidR="00A05FC3" w:rsidRPr="00CC2139">
        <w:rPr>
          <w:rFonts w:ascii="Arial" w:hAnsi="Arial" w:cs="Arial"/>
          <w:sz w:val="20"/>
          <w:szCs w:val="20"/>
        </w:rPr>
        <w:t>commercial developments (Table 5</w:t>
      </w:r>
      <w:r w:rsidRPr="00CC2139">
        <w:rPr>
          <w:rFonts w:ascii="Arial" w:hAnsi="Arial" w:cs="Arial"/>
          <w:sz w:val="20"/>
          <w:szCs w:val="20"/>
        </w:rPr>
        <w:t xml:space="preserve">). Pit latrines with slabs constitute the largest category at 42.4%, serving middle-income residential areas. A concerning 31.9% of households rely on pit latrines without slabs, prevalent in low-income areas and informal settlements including parts of </w:t>
      </w:r>
      <w:proofErr w:type="spellStart"/>
      <w:r w:rsidRPr="00CC2139">
        <w:rPr>
          <w:rFonts w:ascii="Arial" w:hAnsi="Arial" w:cs="Arial"/>
          <w:sz w:val="20"/>
          <w:szCs w:val="20"/>
        </w:rPr>
        <w:t>Banya</w:t>
      </w:r>
      <w:proofErr w:type="spellEnd"/>
      <w:r w:rsidRPr="00CC2139">
        <w:rPr>
          <w:rFonts w:ascii="Arial" w:hAnsi="Arial" w:cs="Arial"/>
          <w:sz w:val="20"/>
          <w:szCs w:val="20"/>
        </w:rPr>
        <w:t>, Lala, and peripheral quarters. These unimproved facilities pose significant health risks through inadequate waste containment and increased exposure to faecal matter. Open defecation affects 2.4% of households, concentrated in the most resource-constrained peripheral areas.</w:t>
      </w:r>
    </w:p>
    <w:p w14:paraId="60323F95" w14:textId="040B2F87" w:rsidR="001B2BC0" w:rsidRPr="00CC2139" w:rsidRDefault="00A05FC3" w:rsidP="002B56BB">
      <w:pPr>
        <w:spacing w:before="160" w:after="60" w:line="360" w:lineRule="auto"/>
        <w:jc w:val="center"/>
        <w:rPr>
          <w:rFonts w:ascii="Arial" w:hAnsi="Arial" w:cs="Arial"/>
          <w:sz w:val="20"/>
          <w:szCs w:val="20"/>
        </w:rPr>
      </w:pPr>
      <w:r w:rsidRPr="00CC2139">
        <w:rPr>
          <w:rFonts w:ascii="Arial" w:hAnsi="Arial" w:cs="Arial"/>
          <w:b/>
          <w:bCs/>
          <w:sz w:val="20"/>
          <w:szCs w:val="20"/>
        </w:rPr>
        <w:t>Table 5</w:t>
      </w:r>
      <w:r w:rsidR="001B2BC0" w:rsidRPr="00CC2139">
        <w:rPr>
          <w:rFonts w:ascii="Arial" w:hAnsi="Arial" w:cs="Arial"/>
          <w:b/>
          <w:bCs/>
          <w:sz w:val="20"/>
          <w:szCs w:val="20"/>
        </w:rPr>
        <w:t xml:space="preserve">: Distribution of Toilet Types in </w:t>
      </w:r>
      <w:proofErr w:type="spellStart"/>
      <w:r w:rsidR="001B2BC0" w:rsidRPr="00CC2139">
        <w:rPr>
          <w:rFonts w:ascii="Arial" w:hAnsi="Arial" w:cs="Arial"/>
          <w:b/>
          <w:bCs/>
          <w:sz w:val="20"/>
          <w:szCs w:val="20"/>
        </w:rPr>
        <w:t>Mamfe</w:t>
      </w:r>
      <w:proofErr w:type="spellEnd"/>
      <w:r w:rsidR="001B2BC0" w:rsidRPr="00CC2139">
        <w:rPr>
          <w:rFonts w:ascii="Arial" w:hAnsi="Arial" w:cs="Arial"/>
          <w:b/>
          <w:bCs/>
          <w:sz w:val="20"/>
          <w:szCs w:val="20"/>
        </w:rPr>
        <w:t xml:space="preserve"> Central Sub-Division</w:t>
      </w:r>
    </w:p>
    <w:tbl>
      <w:tblPr>
        <w:tblW w:w="6957"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13"/>
        <w:gridCol w:w="1559"/>
        <w:gridCol w:w="1985"/>
      </w:tblGrid>
      <w:tr w:rsidR="001B2BC0" w:rsidRPr="00CC2139" w14:paraId="76F4C70A" w14:textId="77777777" w:rsidTr="006C013C">
        <w:tc>
          <w:tcPr>
            <w:tcW w:w="3413"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02BE10D2" w14:textId="77777777" w:rsidR="001B2BC0" w:rsidRPr="00CC2139" w:rsidRDefault="001B2BC0" w:rsidP="004B4F11">
            <w:pPr>
              <w:jc w:val="both"/>
              <w:rPr>
                <w:rFonts w:ascii="Arial" w:hAnsi="Arial" w:cs="Arial"/>
                <w:sz w:val="20"/>
                <w:szCs w:val="20"/>
              </w:rPr>
            </w:pPr>
            <w:r w:rsidRPr="00CC2139">
              <w:rPr>
                <w:rFonts w:ascii="Arial" w:hAnsi="Arial" w:cs="Arial"/>
                <w:b/>
                <w:bCs/>
                <w:sz w:val="20"/>
                <w:szCs w:val="20"/>
              </w:rPr>
              <w:t>Toilet Type</w:t>
            </w:r>
          </w:p>
        </w:tc>
        <w:tc>
          <w:tcPr>
            <w:tcW w:w="1559"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50980C06" w14:textId="77777777" w:rsidR="001B2BC0" w:rsidRPr="00CC2139" w:rsidRDefault="001B2BC0" w:rsidP="004B4F11">
            <w:pPr>
              <w:jc w:val="both"/>
              <w:rPr>
                <w:rFonts w:ascii="Arial" w:hAnsi="Arial" w:cs="Arial"/>
                <w:sz w:val="20"/>
                <w:szCs w:val="20"/>
              </w:rPr>
            </w:pPr>
            <w:r w:rsidRPr="00CC2139">
              <w:rPr>
                <w:rFonts w:ascii="Arial" w:hAnsi="Arial" w:cs="Arial"/>
                <w:b/>
                <w:bCs/>
                <w:sz w:val="20"/>
                <w:szCs w:val="20"/>
              </w:rPr>
              <w:t>Frequency</w:t>
            </w:r>
          </w:p>
        </w:tc>
        <w:tc>
          <w:tcPr>
            <w:tcW w:w="1985"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741223D0" w14:textId="77777777" w:rsidR="001B2BC0" w:rsidRPr="00CC2139" w:rsidRDefault="001B2BC0" w:rsidP="004B4F11">
            <w:pPr>
              <w:jc w:val="both"/>
              <w:rPr>
                <w:rFonts w:ascii="Arial" w:hAnsi="Arial" w:cs="Arial"/>
                <w:sz w:val="20"/>
                <w:szCs w:val="20"/>
              </w:rPr>
            </w:pPr>
            <w:r w:rsidRPr="00CC2139">
              <w:rPr>
                <w:rFonts w:ascii="Arial" w:hAnsi="Arial" w:cs="Arial"/>
                <w:b/>
                <w:bCs/>
                <w:sz w:val="20"/>
                <w:szCs w:val="20"/>
              </w:rPr>
              <w:t>Percentage (%)</w:t>
            </w:r>
          </w:p>
        </w:tc>
      </w:tr>
      <w:tr w:rsidR="001B2BC0" w:rsidRPr="00CC2139" w14:paraId="3D19C047" w14:textId="77777777" w:rsidTr="006C013C">
        <w:tc>
          <w:tcPr>
            <w:tcW w:w="34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784BACD"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Flush toilet (water closet)</w:t>
            </w:r>
          </w:p>
        </w:tc>
        <w:tc>
          <w:tcPr>
            <w:tcW w:w="155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9FF212B"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34</w:t>
            </w:r>
          </w:p>
        </w:tc>
        <w:tc>
          <w:tcPr>
            <w:tcW w:w="198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BA8282B"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16.2</w:t>
            </w:r>
          </w:p>
        </w:tc>
      </w:tr>
      <w:tr w:rsidR="001B2BC0" w:rsidRPr="00CC2139" w14:paraId="7F670D91" w14:textId="77777777" w:rsidTr="006C013C">
        <w:tc>
          <w:tcPr>
            <w:tcW w:w="34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FF248A6"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Pit latrine with slab</w:t>
            </w:r>
          </w:p>
        </w:tc>
        <w:tc>
          <w:tcPr>
            <w:tcW w:w="155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CD9CE84"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89</w:t>
            </w:r>
          </w:p>
        </w:tc>
        <w:tc>
          <w:tcPr>
            <w:tcW w:w="198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AD458FF"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42.4</w:t>
            </w:r>
          </w:p>
        </w:tc>
      </w:tr>
      <w:tr w:rsidR="001B2BC0" w:rsidRPr="00CC2139" w14:paraId="73615952" w14:textId="77777777" w:rsidTr="006C013C">
        <w:tc>
          <w:tcPr>
            <w:tcW w:w="34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F807933"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Pit latrine without slab</w:t>
            </w:r>
          </w:p>
        </w:tc>
        <w:tc>
          <w:tcPr>
            <w:tcW w:w="155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EB66760"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67</w:t>
            </w:r>
          </w:p>
        </w:tc>
        <w:tc>
          <w:tcPr>
            <w:tcW w:w="198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6A8C383"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31.9</w:t>
            </w:r>
          </w:p>
        </w:tc>
      </w:tr>
      <w:tr w:rsidR="001B2BC0" w:rsidRPr="00CC2139" w14:paraId="0E0FF61B" w14:textId="77777777" w:rsidTr="006C013C">
        <w:tc>
          <w:tcPr>
            <w:tcW w:w="34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8AC8BBB"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Pour-flush latrine</w:t>
            </w:r>
          </w:p>
        </w:tc>
        <w:tc>
          <w:tcPr>
            <w:tcW w:w="155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E798956" w14:textId="3491A17F" w:rsidR="001B2BC0" w:rsidRPr="00CC2139" w:rsidRDefault="00FE3A8D" w:rsidP="004F4699">
            <w:pPr>
              <w:jc w:val="center"/>
              <w:rPr>
                <w:rFonts w:ascii="Arial" w:hAnsi="Arial" w:cs="Arial"/>
                <w:sz w:val="20"/>
                <w:szCs w:val="20"/>
              </w:rPr>
            </w:pPr>
            <w:r w:rsidRPr="00CC2139">
              <w:rPr>
                <w:rFonts w:ascii="Arial" w:hAnsi="Arial" w:cs="Arial"/>
                <w:sz w:val="20"/>
                <w:szCs w:val="20"/>
              </w:rPr>
              <w:t>19</w:t>
            </w:r>
          </w:p>
        </w:tc>
        <w:tc>
          <w:tcPr>
            <w:tcW w:w="198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7965A38"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7.1</w:t>
            </w:r>
          </w:p>
        </w:tc>
      </w:tr>
      <w:tr w:rsidR="001B2BC0" w:rsidRPr="00CC2139" w14:paraId="15FCC439" w14:textId="77777777" w:rsidTr="006C013C">
        <w:tc>
          <w:tcPr>
            <w:tcW w:w="34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5612288"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No facility (open defecation)</w:t>
            </w:r>
          </w:p>
        </w:tc>
        <w:tc>
          <w:tcPr>
            <w:tcW w:w="155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A768223" w14:textId="19CBF538" w:rsidR="001B2BC0" w:rsidRPr="00CC2139" w:rsidRDefault="00FE3A8D" w:rsidP="004F4699">
            <w:pPr>
              <w:jc w:val="center"/>
              <w:rPr>
                <w:rFonts w:ascii="Arial" w:hAnsi="Arial" w:cs="Arial"/>
                <w:sz w:val="20"/>
                <w:szCs w:val="20"/>
              </w:rPr>
            </w:pPr>
            <w:r w:rsidRPr="00CC2139">
              <w:rPr>
                <w:rFonts w:ascii="Arial" w:hAnsi="Arial" w:cs="Arial"/>
                <w:sz w:val="20"/>
                <w:szCs w:val="20"/>
              </w:rPr>
              <w:t>9</w:t>
            </w:r>
          </w:p>
        </w:tc>
        <w:tc>
          <w:tcPr>
            <w:tcW w:w="198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F6B6489"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2.4</w:t>
            </w:r>
          </w:p>
        </w:tc>
      </w:tr>
      <w:tr w:rsidR="001B2BC0" w:rsidRPr="00CC2139" w14:paraId="6EBA6402" w14:textId="77777777" w:rsidTr="006C013C">
        <w:tc>
          <w:tcPr>
            <w:tcW w:w="34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D007A21" w14:textId="77777777" w:rsidR="001B2BC0" w:rsidRPr="00CC2139" w:rsidRDefault="001B2BC0" w:rsidP="004B4F11">
            <w:pPr>
              <w:jc w:val="both"/>
              <w:rPr>
                <w:rFonts w:ascii="Arial" w:hAnsi="Arial" w:cs="Arial"/>
                <w:sz w:val="20"/>
                <w:szCs w:val="20"/>
              </w:rPr>
            </w:pPr>
            <w:r w:rsidRPr="00CC2139">
              <w:rPr>
                <w:rFonts w:ascii="Arial" w:hAnsi="Arial" w:cs="Arial"/>
                <w:sz w:val="20"/>
                <w:szCs w:val="20"/>
              </w:rPr>
              <w:t>Total</w:t>
            </w:r>
          </w:p>
        </w:tc>
        <w:tc>
          <w:tcPr>
            <w:tcW w:w="155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659F90A" w14:textId="060F64A8" w:rsidR="001B2BC0" w:rsidRPr="00CC2139" w:rsidRDefault="00FE3A8D" w:rsidP="004F4699">
            <w:pPr>
              <w:jc w:val="center"/>
              <w:rPr>
                <w:rFonts w:ascii="Arial" w:hAnsi="Arial" w:cs="Arial"/>
                <w:sz w:val="20"/>
                <w:szCs w:val="20"/>
              </w:rPr>
            </w:pPr>
            <w:r w:rsidRPr="00CC2139">
              <w:rPr>
                <w:rFonts w:ascii="Arial" w:hAnsi="Arial" w:cs="Arial"/>
                <w:sz w:val="20"/>
                <w:szCs w:val="20"/>
              </w:rPr>
              <w:t>218</w:t>
            </w:r>
          </w:p>
        </w:tc>
        <w:tc>
          <w:tcPr>
            <w:tcW w:w="198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4B3BF30" w14:textId="77777777" w:rsidR="001B2BC0" w:rsidRPr="00CC2139" w:rsidRDefault="001B2BC0" w:rsidP="004F4699">
            <w:pPr>
              <w:jc w:val="center"/>
              <w:rPr>
                <w:rFonts w:ascii="Arial" w:hAnsi="Arial" w:cs="Arial"/>
                <w:sz w:val="20"/>
                <w:szCs w:val="20"/>
              </w:rPr>
            </w:pPr>
            <w:r w:rsidRPr="00CC2139">
              <w:rPr>
                <w:rFonts w:ascii="Arial" w:hAnsi="Arial" w:cs="Arial"/>
                <w:sz w:val="20"/>
                <w:szCs w:val="20"/>
              </w:rPr>
              <w:t>100.0</w:t>
            </w:r>
          </w:p>
        </w:tc>
      </w:tr>
    </w:tbl>
    <w:p w14:paraId="7F9B9D2E" w14:textId="77777777" w:rsidR="001B2BC0" w:rsidRPr="00CC2139" w:rsidRDefault="001B2BC0" w:rsidP="00A0718F">
      <w:pPr>
        <w:spacing w:before="40" w:after="80"/>
        <w:jc w:val="center"/>
        <w:rPr>
          <w:rFonts w:ascii="Arial" w:hAnsi="Arial" w:cs="Arial"/>
          <w:sz w:val="20"/>
          <w:szCs w:val="20"/>
        </w:rPr>
      </w:pPr>
      <w:r w:rsidRPr="00CC2139">
        <w:rPr>
          <w:rFonts w:ascii="Arial" w:hAnsi="Arial" w:cs="Arial"/>
          <w:i/>
          <w:iCs/>
          <w:sz w:val="20"/>
          <w:szCs w:val="20"/>
        </w:rPr>
        <w:t>Source: Fieldwork, 2024</w:t>
      </w:r>
    </w:p>
    <w:p w14:paraId="0FE9E2AD" w14:textId="77777777" w:rsidR="001B2BC0" w:rsidRPr="00CC2139" w:rsidRDefault="001B2BC0" w:rsidP="004A5A50">
      <w:pPr>
        <w:spacing w:before="160" w:after="60" w:line="360" w:lineRule="auto"/>
        <w:jc w:val="both"/>
        <w:rPr>
          <w:rFonts w:ascii="Arial" w:hAnsi="Arial" w:cs="Arial"/>
          <w:sz w:val="20"/>
          <w:szCs w:val="20"/>
        </w:rPr>
      </w:pPr>
      <w:r w:rsidRPr="00CC2139">
        <w:rPr>
          <w:rFonts w:ascii="Arial" w:hAnsi="Arial" w:cs="Arial"/>
          <w:b/>
          <w:bCs/>
          <w:sz w:val="20"/>
          <w:szCs w:val="20"/>
        </w:rPr>
        <w:t>3.2.2 Sanitation Functionality and Public Facilities</w:t>
      </w:r>
    </w:p>
    <w:p w14:paraId="1AA9CF28" w14:textId="71CC5D06" w:rsidR="001B2BC0" w:rsidRPr="001B2BC0" w:rsidRDefault="001B2BC0" w:rsidP="004A5A50">
      <w:pPr>
        <w:spacing w:before="80" w:after="80" w:line="360" w:lineRule="auto"/>
        <w:jc w:val="both"/>
        <w:rPr>
          <w:rFonts w:ascii="Times New Roman" w:hAnsi="Times New Roman" w:cs="Times New Roman"/>
          <w:sz w:val="24"/>
          <w:szCs w:val="24"/>
        </w:rPr>
      </w:pPr>
      <w:r w:rsidRPr="00CC2139">
        <w:rPr>
          <w:rFonts w:ascii="Arial" w:hAnsi="Arial" w:cs="Arial"/>
          <w:sz w:val="20"/>
          <w:szCs w:val="20"/>
        </w:rPr>
        <w:t>Of existing sanitation facilities, 60% are fully functio</w:t>
      </w:r>
      <w:r w:rsidR="004A5A50" w:rsidRPr="00CC2139">
        <w:rPr>
          <w:rFonts w:ascii="Arial" w:hAnsi="Arial" w:cs="Arial"/>
          <w:sz w:val="20"/>
          <w:szCs w:val="20"/>
        </w:rPr>
        <w:t>nal, 27.6% partially functional</w:t>
      </w:r>
      <w:r w:rsidRPr="00CC2139">
        <w:rPr>
          <w:rFonts w:ascii="Arial" w:hAnsi="Arial" w:cs="Arial"/>
          <w:sz w:val="20"/>
          <w:szCs w:val="20"/>
        </w:rPr>
        <w:t xml:space="preserve"> and 10% non-functional, with 2.4% under construction or repair. Public and institutional sanitation shows particularly </w:t>
      </w:r>
      <w:r w:rsidRPr="00CC2139">
        <w:rPr>
          <w:rFonts w:ascii="Arial" w:hAnsi="Arial" w:cs="Arial"/>
          <w:sz w:val="20"/>
          <w:szCs w:val="20"/>
        </w:rPr>
        <w:lastRenderedPageBreak/>
        <w:t xml:space="preserve">critical conditions: transport station toilets have a functionality rate of only 25%, and public market toilets only 37.5%, both well below the 83.3% recorded for health facility toilets. Primary school toilets show a functionality rate of 64.3%, creating challenges for maintaining hygiene in educational environments in areas such as New Layout and </w:t>
      </w:r>
      <w:proofErr w:type="spellStart"/>
      <w:r w:rsidRPr="00CC2139">
        <w:rPr>
          <w:rFonts w:ascii="Arial" w:hAnsi="Arial" w:cs="Arial"/>
          <w:sz w:val="20"/>
          <w:szCs w:val="20"/>
        </w:rPr>
        <w:t>Banya</w:t>
      </w:r>
      <w:proofErr w:type="spellEnd"/>
      <w:r w:rsidRPr="00CC2139">
        <w:rPr>
          <w:rFonts w:ascii="Arial" w:hAnsi="Arial" w:cs="Arial"/>
          <w:sz w:val="20"/>
          <w:szCs w:val="20"/>
        </w:rPr>
        <w:t xml:space="preserve"> where high enrolment intersects with limited functional infrastructure</w:t>
      </w:r>
      <w:r w:rsidRPr="001B2BC0">
        <w:rPr>
          <w:rFonts w:ascii="Times New Roman" w:hAnsi="Times New Roman" w:cs="Times New Roman"/>
          <w:sz w:val="24"/>
          <w:szCs w:val="24"/>
        </w:rPr>
        <w:t>.</w:t>
      </w:r>
    </w:p>
    <w:p w14:paraId="7F7CEFDE" w14:textId="77777777" w:rsidR="001B2BC0" w:rsidRPr="00CC2139" w:rsidRDefault="001B2BC0" w:rsidP="004A5A50">
      <w:pPr>
        <w:pStyle w:val="Heading2"/>
        <w:spacing w:line="360" w:lineRule="auto"/>
        <w:jc w:val="both"/>
        <w:rPr>
          <w:rFonts w:ascii="Arial Black" w:hAnsi="Arial Black"/>
          <w:sz w:val="22"/>
          <w:szCs w:val="22"/>
        </w:rPr>
      </w:pPr>
      <w:r w:rsidRPr="00CC2139">
        <w:rPr>
          <w:rFonts w:ascii="Arial Black" w:hAnsi="Arial Black"/>
          <w:sz w:val="22"/>
          <w:szCs w:val="22"/>
        </w:rPr>
        <w:t>3.3 Hygiene Practices</w:t>
      </w:r>
    </w:p>
    <w:p w14:paraId="770B1CA5" w14:textId="25B13C32" w:rsidR="001B2BC0" w:rsidRPr="00CC2139" w:rsidRDefault="001B2BC0" w:rsidP="004A5A50">
      <w:pPr>
        <w:spacing w:before="80" w:after="80" w:line="360" w:lineRule="auto"/>
        <w:jc w:val="both"/>
        <w:rPr>
          <w:rFonts w:ascii="Arial" w:hAnsi="Arial" w:cs="Arial"/>
          <w:sz w:val="20"/>
          <w:szCs w:val="20"/>
        </w:rPr>
      </w:pPr>
      <w:r w:rsidRPr="00CC2139">
        <w:rPr>
          <w:rFonts w:ascii="Arial" w:hAnsi="Arial" w:cs="Arial"/>
          <w:sz w:val="20"/>
          <w:szCs w:val="20"/>
        </w:rPr>
        <w:t>Hand washing practices show encouraging frequency patterns, with 90% of respondents reporting hand washing after toilet use</w:t>
      </w:r>
      <w:r w:rsidR="00280DA5" w:rsidRPr="00CC2139">
        <w:rPr>
          <w:rFonts w:ascii="Arial" w:hAnsi="Arial" w:cs="Arial"/>
          <w:sz w:val="20"/>
          <w:szCs w:val="20"/>
        </w:rPr>
        <w:t>, 79.5% before food preparation</w:t>
      </w:r>
      <w:r w:rsidRPr="00CC2139">
        <w:rPr>
          <w:rFonts w:ascii="Arial" w:hAnsi="Arial" w:cs="Arial"/>
          <w:sz w:val="20"/>
          <w:szCs w:val="20"/>
        </w:rPr>
        <w:t xml:space="preserve"> and 74.3% before meals. However, dedicated hand washing facilities with soap are available in only 21.4% of households, p</w:t>
      </w:r>
      <w:r w:rsidR="00346BDD" w:rsidRPr="00CC2139">
        <w:rPr>
          <w:rFonts w:ascii="Arial" w:hAnsi="Arial" w:cs="Arial"/>
          <w:sz w:val="20"/>
          <w:szCs w:val="20"/>
        </w:rPr>
        <w:t xml:space="preserve">rimarily in higher-income areas like GRA, Clerks quarter and Small </w:t>
      </w:r>
      <w:proofErr w:type="spellStart"/>
      <w:r w:rsidR="00346BDD" w:rsidRPr="00CC2139">
        <w:rPr>
          <w:rFonts w:ascii="Arial" w:hAnsi="Arial" w:cs="Arial"/>
          <w:sz w:val="20"/>
          <w:szCs w:val="20"/>
        </w:rPr>
        <w:t>Mamfe</w:t>
      </w:r>
      <w:proofErr w:type="spellEnd"/>
      <w:r w:rsidRPr="00CC2139">
        <w:rPr>
          <w:rFonts w:ascii="Arial" w:hAnsi="Arial" w:cs="Arial"/>
          <w:sz w:val="20"/>
          <w:szCs w:val="20"/>
        </w:rPr>
        <w:t xml:space="preserve"> Mobile hand washing facilities represent the most common arrangement at 42.4%, while 31.9% of households have only a basic water source with no dedicated hand washing infrastructure. Hygiene education exposure is highest through school programmes and media campaigns (both at 74.3% combined high and moderate exposure), while NGO campaigns reach only 31.5% of the population at high or moderate levels, indicating significant gaps in the reach of formal health promotion activities.</w:t>
      </w:r>
    </w:p>
    <w:p w14:paraId="0056CFAB" w14:textId="6B326AE7" w:rsidR="001B2BC0" w:rsidRPr="00CC2139" w:rsidRDefault="001B2BC0" w:rsidP="004A5A50">
      <w:pPr>
        <w:spacing w:before="80" w:after="80" w:line="360" w:lineRule="auto"/>
        <w:jc w:val="both"/>
        <w:rPr>
          <w:rFonts w:ascii="Arial" w:hAnsi="Arial" w:cs="Arial"/>
          <w:sz w:val="20"/>
          <w:szCs w:val="20"/>
        </w:rPr>
      </w:pPr>
      <w:r w:rsidRPr="00CC2139">
        <w:rPr>
          <w:rFonts w:ascii="Arial" w:hAnsi="Arial" w:cs="Arial"/>
          <w:sz w:val="20"/>
          <w:szCs w:val="20"/>
        </w:rPr>
        <w:t xml:space="preserve">Community waste management practices show moderate engagement: 58.6% of households practice some </w:t>
      </w:r>
      <w:r w:rsidR="00346BDD" w:rsidRPr="00CC2139">
        <w:rPr>
          <w:rFonts w:ascii="Arial" w:hAnsi="Arial" w:cs="Arial"/>
          <w:sz w:val="20"/>
          <w:szCs w:val="20"/>
        </w:rPr>
        <w:t>form of household waste sorting</w:t>
      </w:r>
      <w:r w:rsidRPr="00CC2139">
        <w:rPr>
          <w:rFonts w:ascii="Arial" w:hAnsi="Arial" w:cs="Arial"/>
          <w:sz w:val="20"/>
          <w:szCs w:val="20"/>
        </w:rPr>
        <w:t xml:space="preserve"> and 69% participate in organic waste composting always or sometimes. Community </w:t>
      </w:r>
      <w:r w:rsidR="00A0718F" w:rsidRPr="00CC2139">
        <w:rPr>
          <w:rFonts w:ascii="Arial" w:hAnsi="Arial" w:cs="Arial"/>
          <w:sz w:val="20"/>
          <w:szCs w:val="20"/>
        </w:rPr>
        <w:t>clean-up</w:t>
      </w:r>
      <w:r w:rsidRPr="00CC2139">
        <w:rPr>
          <w:rFonts w:ascii="Arial" w:hAnsi="Arial" w:cs="Arial"/>
          <w:sz w:val="20"/>
          <w:szCs w:val="20"/>
        </w:rPr>
        <w:t xml:space="preserve"> activities engage 68.1% of residents at least occasionally, with participation highest in Hospital Quarter and organised sectio</w:t>
      </w:r>
      <w:r w:rsidR="00346BDD" w:rsidRPr="00CC2139">
        <w:rPr>
          <w:rFonts w:ascii="Arial" w:hAnsi="Arial" w:cs="Arial"/>
          <w:sz w:val="20"/>
          <w:szCs w:val="20"/>
        </w:rPr>
        <w:t xml:space="preserve">ns of central residential areas like Clerks quarter, GRA, and Small </w:t>
      </w:r>
      <w:proofErr w:type="spellStart"/>
      <w:r w:rsidR="00346BDD" w:rsidRPr="00CC2139">
        <w:rPr>
          <w:rFonts w:ascii="Arial" w:hAnsi="Arial" w:cs="Arial"/>
          <w:sz w:val="20"/>
          <w:szCs w:val="20"/>
        </w:rPr>
        <w:t>Mamfe</w:t>
      </w:r>
      <w:proofErr w:type="spellEnd"/>
      <w:r w:rsidR="00346BDD" w:rsidRPr="00CC2139">
        <w:rPr>
          <w:rFonts w:ascii="Arial" w:hAnsi="Arial" w:cs="Arial"/>
          <w:sz w:val="20"/>
          <w:szCs w:val="20"/>
        </w:rPr>
        <w:t>.</w:t>
      </w:r>
      <w:r w:rsidRPr="00CC2139">
        <w:rPr>
          <w:rFonts w:ascii="Arial" w:hAnsi="Arial" w:cs="Arial"/>
          <w:sz w:val="20"/>
          <w:szCs w:val="20"/>
        </w:rPr>
        <w:t xml:space="preserve"> Recyclable material separation shows lower engagement at 42.9%, reflecting limited infrastructure for formal recycling collection and processing.</w:t>
      </w:r>
    </w:p>
    <w:p w14:paraId="1D6991FD" w14:textId="77777777" w:rsidR="001B2BC0" w:rsidRPr="006E1EA3" w:rsidRDefault="001B2BC0" w:rsidP="00EA0ECC">
      <w:pPr>
        <w:pStyle w:val="Heading2"/>
        <w:spacing w:line="360" w:lineRule="auto"/>
        <w:jc w:val="both"/>
        <w:rPr>
          <w:rFonts w:ascii="Arial Black" w:hAnsi="Arial Black"/>
          <w:sz w:val="22"/>
          <w:szCs w:val="22"/>
        </w:rPr>
      </w:pPr>
      <w:r w:rsidRPr="006E1EA3">
        <w:rPr>
          <w:rFonts w:ascii="Arial Black" w:hAnsi="Arial Black"/>
          <w:sz w:val="22"/>
          <w:szCs w:val="22"/>
        </w:rPr>
        <w:t>3.4 Water-Health Linkages</w:t>
      </w:r>
    </w:p>
    <w:p w14:paraId="5063BB84" w14:textId="5E170BEA" w:rsidR="002F1FAD" w:rsidRPr="006E1EA3" w:rsidRDefault="00280DA5" w:rsidP="004A5A50">
      <w:pPr>
        <w:spacing w:before="160" w:after="60" w:line="360" w:lineRule="auto"/>
        <w:jc w:val="both"/>
        <w:rPr>
          <w:rFonts w:ascii="Arial" w:hAnsi="Arial" w:cs="Arial"/>
          <w:bCs/>
          <w:sz w:val="20"/>
          <w:szCs w:val="20"/>
        </w:rPr>
      </w:pPr>
      <w:r w:rsidRPr="006E1EA3">
        <w:rPr>
          <w:rFonts w:ascii="Arial" w:hAnsi="Arial" w:cs="Arial"/>
          <w:bCs/>
          <w:sz w:val="20"/>
          <w:szCs w:val="20"/>
        </w:rPr>
        <w:t xml:space="preserve">Water has a direct strong positive relationship on health, the consumption of unsafe water sources mostly </w:t>
      </w:r>
      <w:proofErr w:type="gramStart"/>
      <w:r w:rsidRPr="006E1EA3">
        <w:rPr>
          <w:rFonts w:ascii="Arial" w:hAnsi="Arial" w:cs="Arial"/>
          <w:bCs/>
          <w:sz w:val="20"/>
          <w:szCs w:val="20"/>
        </w:rPr>
        <w:t>lead</w:t>
      </w:r>
      <w:proofErr w:type="gramEnd"/>
      <w:r w:rsidRPr="006E1EA3">
        <w:rPr>
          <w:rFonts w:ascii="Arial" w:hAnsi="Arial" w:cs="Arial"/>
          <w:bCs/>
          <w:sz w:val="20"/>
          <w:szCs w:val="20"/>
        </w:rPr>
        <w:t xml:space="preserve"> to health outcomes like cholera, malaria, typhoid and diarrhoea.</w:t>
      </w:r>
      <w:r w:rsidR="002F1FAD" w:rsidRPr="006E1EA3">
        <w:rPr>
          <w:rFonts w:ascii="Arial" w:hAnsi="Arial" w:cs="Arial"/>
          <w:bCs/>
          <w:sz w:val="20"/>
          <w:szCs w:val="20"/>
        </w:rPr>
        <w:t xml:space="preserve"> Table </w:t>
      </w:r>
      <w:r w:rsidR="008C20EA" w:rsidRPr="006E1EA3">
        <w:rPr>
          <w:rFonts w:ascii="Arial" w:hAnsi="Arial" w:cs="Arial"/>
          <w:bCs/>
          <w:sz w:val="20"/>
          <w:szCs w:val="20"/>
        </w:rPr>
        <w:t xml:space="preserve">6 shows a typology of water-related diseases and number of patients in </w:t>
      </w:r>
      <w:proofErr w:type="spellStart"/>
      <w:r w:rsidR="008C20EA" w:rsidRPr="006E1EA3">
        <w:rPr>
          <w:rFonts w:ascii="Arial" w:hAnsi="Arial" w:cs="Arial"/>
          <w:bCs/>
          <w:sz w:val="20"/>
          <w:szCs w:val="20"/>
        </w:rPr>
        <w:t>Mamfe</w:t>
      </w:r>
      <w:proofErr w:type="spellEnd"/>
      <w:r w:rsidR="008C20EA" w:rsidRPr="006E1EA3">
        <w:rPr>
          <w:rFonts w:ascii="Arial" w:hAnsi="Arial" w:cs="Arial"/>
          <w:bCs/>
          <w:sz w:val="20"/>
          <w:szCs w:val="20"/>
        </w:rPr>
        <w:t xml:space="preserve"> </w:t>
      </w:r>
    </w:p>
    <w:p w14:paraId="75F1E02E" w14:textId="699F5209" w:rsidR="002F1FAD" w:rsidRPr="006E1EA3" w:rsidRDefault="008C20EA" w:rsidP="008C20EA">
      <w:pPr>
        <w:spacing w:after="200" w:line="240" w:lineRule="auto"/>
        <w:jc w:val="center"/>
        <w:rPr>
          <w:rFonts w:ascii="Arial" w:eastAsia="Calibri" w:hAnsi="Arial" w:cs="Arial"/>
          <w:b/>
          <w:bCs/>
          <w:color w:val="000000" w:themeColor="text1"/>
          <w:sz w:val="20"/>
          <w:szCs w:val="20"/>
        </w:rPr>
      </w:pPr>
      <w:r w:rsidRPr="006E1EA3">
        <w:rPr>
          <w:rFonts w:ascii="Arial" w:eastAsia="Calibri" w:hAnsi="Arial" w:cs="Arial"/>
          <w:b/>
          <w:bCs/>
          <w:color w:val="000000" w:themeColor="text1"/>
          <w:sz w:val="20"/>
          <w:szCs w:val="20"/>
        </w:rPr>
        <w:t xml:space="preserve">Table.6 </w:t>
      </w:r>
      <w:r w:rsidR="002F1FAD" w:rsidRPr="006E1EA3">
        <w:rPr>
          <w:rFonts w:ascii="Arial" w:eastAsia="Calibri" w:hAnsi="Arial" w:cs="Arial"/>
          <w:b/>
          <w:bCs/>
          <w:color w:val="000000" w:themeColor="text1"/>
          <w:sz w:val="20"/>
          <w:szCs w:val="20"/>
        </w:rPr>
        <w:t xml:space="preserve">Prevalence of Water-Related Diseases in </w:t>
      </w:r>
      <w:proofErr w:type="spellStart"/>
      <w:r w:rsidR="002F1FAD" w:rsidRPr="006E1EA3">
        <w:rPr>
          <w:rFonts w:ascii="Arial" w:eastAsia="Calibri" w:hAnsi="Arial" w:cs="Arial"/>
          <w:b/>
          <w:bCs/>
          <w:color w:val="000000" w:themeColor="text1"/>
          <w:sz w:val="20"/>
          <w:szCs w:val="20"/>
        </w:rPr>
        <w:t>Mamfe</w:t>
      </w:r>
      <w:proofErr w:type="spellEnd"/>
      <w:r w:rsidR="002F1FAD" w:rsidRPr="006E1EA3">
        <w:rPr>
          <w:rFonts w:ascii="Arial" w:eastAsia="Calibri" w:hAnsi="Arial" w:cs="Arial"/>
          <w:b/>
          <w:bCs/>
          <w:color w:val="000000" w:themeColor="text1"/>
          <w:sz w:val="20"/>
          <w:szCs w:val="20"/>
        </w:rPr>
        <w:t xml:space="preserve"> (2019–2023)</w:t>
      </w:r>
    </w:p>
    <w:tbl>
      <w:tblPr>
        <w:tblStyle w:val="TableGrid"/>
        <w:tblW w:w="8647" w:type="dxa"/>
        <w:tblInd w:w="198" w:type="dxa"/>
        <w:tblLook w:val="04A0" w:firstRow="1" w:lastRow="0" w:firstColumn="1" w:lastColumn="0" w:noHBand="0" w:noVBand="1"/>
      </w:tblPr>
      <w:tblGrid>
        <w:gridCol w:w="3163"/>
        <w:gridCol w:w="1231"/>
        <w:gridCol w:w="1134"/>
        <w:gridCol w:w="1134"/>
        <w:gridCol w:w="992"/>
        <w:gridCol w:w="993"/>
      </w:tblGrid>
      <w:tr w:rsidR="002F1FAD" w:rsidRPr="006E1EA3" w14:paraId="0C67813F" w14:textId="77777777" w:rsidTr="004B4F11">
        <w:tc>
          <w:tcPr>
            <w:tcW w:w="3163" w:type="dxa"/>
            <w:hideMark/>
          </w:tcPr>
          <w:p w14:paraId="5B323314" w14:textId="77777777" w:rsidR="002F1FAD" w:rsidRPr="006E1EA3" w:rsidRDefault="002F1FAD" w:rsidP="004B4F11">
            <w:pPr>
              <w:spacing w:line="276" w:lineRule="auto"/>
              <w:jc w:val="both"/>
              <w:rPr>
                <w:rFonts w:ascii="Arial" w:eastAsiaTheme="minorHAnsi" w:hAnsi="Arial" w:cs="Arial"/>
                <w:b/>
                <w:bCs/>
                <w:sz w:val="20"/>
                <w:szCs w:val="20"/>
              </w:rPr>
            </w:pPr>
            <w:r w:rsidRPr="006E1EA3">
              <w:rPr>
                <w:rFonts w:ascii="Arial" w:eastAsiaTheme="minorHAnsi" w:hAnsi="Arial" w:cs="Arial"/>
                <w:b/>
                <w:bCs/>
                <w:sz w:val="20"/>
                <w:szCs w:val="20"/>
              </w:rPr>
              <w:t>Health Condition</w:t>
            </w:r>
          </w:p>
        </w:tc>
        <w:tc>
          <w:tcPr>
            <w:tcW w:w="1231" w:type="dxa"/>
            <w:hideMark/>
          </w:tcPr>
          <w:p w14:paraId="2FDE7589" w14:textId="77777777" w:rsidR="002F1FAD" w:rsidRPr="006E1EA3" w:rsidRDefault="002F1FAD" w:rsidP="004B4F11">
            <w:pPr>
              <w:spacing w:line="276" w:lineRule="auto"/>
              <w:jc w:val="center"/>
              <w:rPr>
                <w:rFonts w:ascii="Arial" w:eastAsiaTheme="minorHAnsi" w:hAnsi="Arial" w:cs="Arial"/>
                <w:b/>
                <w:bCs/>
                <w:sz w:val="20"/>
                <w:szCs w:val="20"/>
              </w:rPr>
            </w:pPr>
            <w:r w:rsidRPr="006E1EA3">
              <w:rPr>
                <w:rFonts w:ascii="Arial" w:eastAsiaTheme="minorHAnsi" w:hAnsi="Arial" w:cs="Arial"/>
                <w:b/>
                <w:bCs/>
                <w:sz w:val="20"/>
                <w:szCs w:val="20"/>
              </w:rPr>
              <w:t>2019</w:t>
            </w:r>
          </w:p>
        </w:tc>
        <w:tc>
          <w:tcPr>
            <w:tcW w:w="1134" w:type="dxa"/>
            <w:hideMark/>
          </w:tcPr>
          <w:p w14:paraId="044FD87F" w14:textId="77777777" w:rsidR="002F1FAD" w:rsidRPr="006E1EA3" w:rsidRDefault="002F1FAD" w:rsidP="004B4F11">
            <w:pPr>
              <w:spacing w:line="276" w:lineRule="auto"/>
              <w:jc w:val="center"/>
              <w:rPr>
                <w:rFonts w:ascii="Arial" w:eastAsiaTheme="minorHAnsi" w:hAnsi="Arial" w:cs="Arial"/>
                <w:b/>
                <w:bCs/>
                <w:sz w:val="20"/>
                <w:szCs w:val="20"/>
              </w:rPr>
            </w:pPr>
            <w:r w:rsidRPr="006E1EA3">
              <w:rPr>
                <w:rFonts w:ascii="Arial" w:eastAsiaTheme="minorHAnsi" w:hAnsi="Arial" w:cs="Arial"/>
                <w:b/>
                <w:bCs/>
                <w:sz w:val="20"/>
                <w:szCs w:val="20"/>
              </w:rPr>
              <w:t>2020</w:t>
            </w:r>
          </w:p>
        </w:tc>
        <w:tc>
          <w:tcPr>
            <w:tcW w:w="1134" w:type="dxa"/>
            <w:hideMark/>
          </w:tcPr>
          <w:p w14:paraId="06313DCE" w14:textId="77777777" w:rsidR="002F1FAD" w:rsidRPr="006E1EA3" w:rsidRDefault="002F1FAD" w:rsidP="004B4F11">
            <w:pPr>
              <w:spacing w:line="276" w:lineRule="auto"/>
              <w:jc w:val="center"/>
              <w:rPr>
                <w:rFonts w:ascii="Arial" w:eastAsiaTheme="minorHAnsi" w:hAnsi="Arial" w:cs="Arial"/>
                <w:b/>
                <w:bCs/>
                <w:sz w:val="20"/>
                <w:szCs w:val="20"/>
              </w:rPr>
            </w:pPr>
            <w:r w:rsidRPr="006E1EA3">
              <w:rPr>
                <w:rFonts w:ascii="Arial" w:eastAsiaTheme="minorHAnsi" w:hAnsi="Arial" w:cs="Arial"/>
                <w:b/>
                <w:bCs/>
                <w:sz w:val="20"/>
                <w:szCs w:val="20"/>
              </w:rPr>
              <w:t>2021</w:t>
            </w:r>
          </w:p>
        </w:tc>
        <w:tc>
          <w:tcPr>
            <w:tcW w:w="992" w:type="dxa"/>
            <w:hideMark/>
          </w:tcPr>
          <w:p w14:paraId="2A1CCE1F" w14:textId="77777777" w:rsidR="002F1FAD" w:rsidRPr="006E1EA3" w:rsidRDefault="002F1FAD" w:rsidP="004B4F11">
            <w:pPr>
              <w:spacing w:line="276" w:lineRule="auto"/>
              <w:jc w:val="center"/>
              <w:rPr>
                <w:rFonts w:ascii="Arial" w:eastAsiaTheme="minorHAnsi" w:hAnsi="Arial" w:cs="Arial"/>
                <w:b/>
                <w:bCs/>
                <w:sz w:val="20"/>
                <w:szCs w:val="20"/>
              </w:rPr>
            </w:pPr>
            <w:r w:rsidRPr="006E1EA3">
              <w:rPr>
                <w:rFonts w:ascii="Arial" w:eastAsiaTheme="minorHAnsi" w:hAnsi="Arial" w:cs="Arial"/>
                <w:b/>
                <w:bCs/>
                <w:sz w:val="20"/>
                <w:szCs w:val="20"/>
              </w:rPr>
              <w:t>2022</w:t>
            </w:r>
          </w:p>
        </w:tc>
        <w:tc>
          <w:tcPr>
            <w:tcW w:w="993" w:type="dxa"/>
            <w:hideMark/>
          </w:tcPr>
          <w:p w14:paraId="2E1C3D46" w14:textId="77777777" w:rsidR="002F1FAD" w:rsidRPr="006E1EA3" w:rsidRDefault="002F1FAD" w:rsidP="004B4F11">
            <w:pPr>
              <w:spacing w:line="276" w:lineRule="auto"/>
              <w:jc w:val="center"/>
              <w:rPr>
                <w:rFonts w:ascii="Arial" w:eastAsiaTheme="minorHAnsi" w:hAnsi="Arial" w:cs="Arial"/>
                <w:b/>
                <w:bCs/>
                <w:sz w:val="20"/>
                <w:szCs w:val="20"/>
              </w:rPr>
            </w:pPr>
            <w:r w:rsidRPr="006E1EA3">
              <w:rPr>
                <w:rFonts w:ascii="Arial" w:eastAsiaTheme="minorHAnsi" w:hAnsi="Arial" w:cs="Arial"/>
                <w:b/>
                <w:bCs/>
                <w:sz w:val="20"/>
                <w:szCs w:val="20"/>
              </w:rPr>
              <w:t>2023</w:t>
            </w:r>
          </w:p>
        </w:tc>
      </w:tr>
      <w:tr w:rsidR="002F1FAD" w:rsidRPr="006E1EA3" w14:paraId="4E4EC611" w14:textId="77777777" w:rsidTr="004B4F11">
        <w:tc>
          <w:tcPr>
            <w:tcW w:w="3163" w:type="dxa"/>
            <w:hideMark/>
          </w:tcPr>
          <w:p w14:paraId="79D6070E" w14:textId="77777777" w:rsidR="002F1FAD" w:rsidRPr="006E1EA3" w:rsidRDefault="002F1FAD" w:rsidP="004B4F11">
            <w:pPr>
              <w:spacing w:line="276" w:lineRule="auto"/>
              <w:jc w:val="both"/>
              <w:rPr>
                <w:rFonts w:ascii="Arial" w:eastAsiaTheme="minorHAnsi" w:hAnsi="Arial" w:cs="Arial"/>
                <w:bCs/>
                <w:sz w:val="20"/>
                <w:szCs w:val="20"/>
              </w:rPr>
            </w:pPr>
            <w:r w:rsidRPr="006E1EA3">
              <w:rPr>
                <w:rFonts w:ascii="Arial" w:eastAsiaTheme="minorHAnsi" w:hAnsi="Arial" w:cs="Arial"/>
                <w:bCs/>
                <w:sz w:val="20"/>
                <w:szCs w:val="20"/>
              </w:rPr>
              <w:t>Typhoid Fever</w:t>
            </w:r>
          </w:p>
        </w:tc>
        <w:tc>
          <w:tcPr>
            <w:tcW w:w="1231" w:type="dxa"/>
            <w:hideMark/>
          </w:tcPr>
          <w:p w14:paraId="22D994A1"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1,215</w:t>
            </w:r>
          </w:p>
        </w:tc>
        <w:tc>
          <w:tcPr>
            <w:tcW w:w="1134" w:type="dxa"/>
            <w:hideMark/>
          </w:tcPr>
          <w:p w14:paraId="1027B796"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1,089</w:t>
            </w:r>
          </w:p>
        </w:tc>
        <w:tc>
          <w:tcPr>
            <w:tcW w:w="1134" w:type="dxa"/>
            <w:hideMark/>
          </w:tcPr>
          <w:p w14:paraId="5EBAB9D3"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1,436</w:t>
            </w:r>
          </w:p>
        </w:tc>
        <w:tc>
          <w:tcPr>
            <w:tcW w:w="992" w:type="dxa"/>
            <w:hideMark/>
          </w:tcPr>
          <w:p w14:paraId="3C77C6AB"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1,001</w:t>
            </w:r>
          </w:p>
        </w:tc>
        <w:tc>
          <w:tcPr>
            <w:tcW w:w="993" w:type="dxa"/>
            <w:hideMark/>
          </w:tcPr>
          <w:p w14:paraId="5A0D60FE"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1,227</w:t>
            </w:r>
          </w:p>
        </w:tc>
      </w:tr>
      <w:tr w:rsidR="002F1FAD" w:rsidRPr="006E1EA3" w14:paraId="74F73AEF" w14:textId="77777777" w:rsidTr="004B4F11">
        <w:trPr>
          <w:trHeight w:val="339"/>
        </w:trPr>
        <w:tc>
          <w:tcPr>
            <w:tcW w:w="3163" w:type="dxa"/>
            <w:hideMark/>
          </w:tcPr>
          <w:p w14:paraId="3F115331" w14:textId="77777777" w:rsidR="002F1FAD" w:rsidRPr="006E1EA3" w:rsidRDefault="002F1FAD" w:rsidP="004B4F11">
            <w:pPr>
              <w:spacing w:line="276" w:lineRule="auto"/>
              <w:jc w:val="both"/>
              <w:rPr>
                <w:rFonts w:ascii="Arial" w:eastAsiaTheme="minorHAnsi" w:hAnsi="Arial" w:cs="Arial"/>
                <w:bCs/>
                <w:sz w:val="20"/>
                <w:szCs w:val="20"/>
              </w:rPr>
            </w:pPr>
            <w:proofErr w:type="spellStart"/>
            <w:r w:rsidRPr="006E1EA3">
              <w:rPr>
                <w:rFonts w:ascii="Arial" w:eastAsiaTheme="minorHAnsi" w:hAnsi="Arial" w:cs="Arial"/>
                <w:bCs/>
                <w:sz w:val="20"/>
                <w:szCs w:val="20"/>
              </w:rPr>
              <w:t>Diarrhea</w:t>
            </w:r>
            <w:proofErr w:type="spellEnd"/>
            <w:r w:rsidRPr="006E1EA3">
              <w:rPr>
                <w:rFonts w:ascii="Arial" w:eastAsiaTheme="minorHAnsi" w:hAnsi="Arial" w:cs="Arial"/>
                <w:bCs/>
                <w:sz w:val="20"/>
                <w:szCs w:val="20"/>
              </w:rPr>
              <w:t>/Dysentery</w:t>
            </w:r>
          </w:p>
        </w:tc>
        <w:tc>
          <w:tcPr>
            <w:tcW w:w="1231" w:type="dxa"/>
            <w:hideMark/>
          </w:tcPr>
          <w:p w14:paraId="16B1508D"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802</w:t>
            </w:r>
          </w:p>
        </w:tc>
        <w:tc>
          <w:tcPr>
            <w:tcW w:w="1134" w:type="dxa"/>
            <w:hideMark/>
          </w:tcPr>
          <w:p w14:paraId="2B6BEB38"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1,089</w:t>
            </w:r>
          </w:p>
        </w:tc>
        <w:tc>
          <w:tcPr>
            <w:tcW w:w="1134" w:type="dxa"/>
            <w:hideMark/>
          </w:tcPr>
          <w:p w14:paraId="662B8D72"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1,059</w:t>
            </w:r>
          </w:p>
        </w:tc>
        <w:tc>
          <w:tcPr>
            <w:tcW w:w="992" w:type="dxa"/>
            <w:hideMark/>
          </w:tcPr>
          <w:p w14:paraId="2FDE40E8"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964</w:t>
            </w:r>
          </w:p>
        </w:tc>
        <w:tc>
          <w:tcPr>
            <w:tcW w:w="993" w:type="dxa"/>
            <w:hideMark/>
          </w:tcPr>
          <w:p w14:paraId="7C6CCCBC"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890</w:t>
            </w:r>
          </w:p>
        </w:tc>
      </w:tr>
      <w:tr w:rsidR="002F1FAD" w:rsidRPr="006E1EA3" w14:paraId="37E99FBB" w14:textId="77777777" w:rsidTr="004B4F11">
        <w:tc>
          <w:tcPr>
            <w:tcW w:w="3163" w:type="dxa"/>
            <w:hideMark/>
          </w:tcPr>
          <w:p w14:paraId="4B9CDF94" w14:textId="77777777" w:rsidR="002F1FAD" w:rsidRPr="006E1EA3" w:rsidRDefault="002F1FAD" w:rsidP="004B4F11">
            <w:pPr>
              <w:spacing w:line="276" w:lineRule="auto"/>
              <w:jc w:val="both"/>
              <w:rPr>
                <w:rFonts w:ascii="Arial" w:eastAsiaTheme="minorHAnsi" w:hAnsi="Arial" w:cs="Arial"/>
                <w:bCs/>
                <w:sz w:val="20"/>
                <w:szCs w:val="20"/>
              </w:rPr>
            </w:pPr>
            <w:r w:rsidRPr="006E1EA3">
              <w:rPr>
                <w:rFonts w:ascii="Arial" w:eastAsiaTheme="minorHAnsi" w:hAnsi="Arial" w:cs="Arial"/>
                <w:bCs/>
                <w:sz w:val="20"/>
                <w:szCs w:val="20"/>
              </w:rPr>
              <w:t>Cholera</w:t>
            </w:r>
          </w:p>
        </w:tc>
        <w:tc>
          <w:tcPr>
            <w:tcW w:w="1231" w:type="dxa"/>
            <w:hideMark/>
          </w:tcPr>
          <w:p w14:paraId="5C3A1B3D"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211</w:t>
            </w:r>
          </w:p>
        </w:tc>
        <w:tc>
          <w:tcPr>
            <w:tcW w:w="1134" w:type="dxa"/>
            <w:hideMark/>
          </w:tcPr>
          <w:p w14:paraId="3C33D145"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122</w:t>
            </w:r>
          </w:p>
        </w:tc>
        <w:tc>
          <w:tcPr>
            <w:tcW w:w="1134" w:type="dxa"/>
            <w:hideMark/>
          </w:tcPr>
          <w:p w14:paraId="2AF0234D"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137</w:t>
            </w:r>
          </w:p>
        </w:tc>
        <w:tc>
          <w:tcPr>
            <w:tcW w:w="992" w:type="dxa"/>
            <w:hideMark/>
          </w:tcPr>
          <w:p w14:paraId="598715A4"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209</w:t>
            </w:r>
          </w:p>
        </w:tc>
        <w:tc>
          <w:tcPr>
            <w:tcW w:w="993" w:type="dxa"/>
            <w:hideMark/>
          </w:tcPr>
          <w:p w14:paraId="2E561829"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198</w:t>
            </w:r>
          </w:p>
        </w:tc>
      </w:tr>
      <w:tr w:rsidR="002F1FAD" w:rsidRPr="006E1EA3" w14:paraId="05B3CF70" w14:textId="77777777" w:rsidTr="004B4F11">
        <w:tc>
          <w:tcPr>
            <w:tcW w:w="3163" w:type="dxa"/>
            <w:hideMark/>
          </w:tcPr>
          <w:p w14:paraId="18A1A3AD" w14:textId="77777777" w:rsidR="002F1FAD" w:rsidRPr="006E1EA3" w:rsidRDefault="002F1FAD" w:rsidP="004B4F11">
            <w:pPr>
              <w:spacing w:line="276" w:lineRule="auto"/>
              <w:jc w:val="both"/>
              <w:rPr>
                <w:rFonts w:ascii="Arial" w:eastAsiaTheme="minorHAnsi" w:hAnsi="Arial" w:cs="Arial"/>
                <w:bCs/>
                <w:sz w:val="20"/>
                <w:szCs w:val="20"/>
              </w:rPr>
            </w:pPr>
            <w:r w:rsidRPr="006E1EA3">
              <w:rPr>
                <w:rFonts w:ascii="Arial" w:eastAsiaTheme="minorHAnsi" w:hAnsi="Arial" w:cs="Arial"/>
                <w:bCs/>
                <w:sz w:val="20"/>
                <w:szCs w:val="20"/>
              </w:rPr>
              <w:t>Malaria (Severe cases)</w:t>
            </w:r>
          </w:p>
        </w:tc>
        <w:tc>
          <w:tcPr>
            <w:tcW w:w="1231" w:type="dxa"/>
            <w:hideMark/>
          </w:tcPr>
          <w:p w14:paraId="0C10D60E"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4,326</w:t>
            </w:r>
          </w:p>
        </w:tc>
        <w:tc>
          <w:tcPr>
            <w:tcW w:w="1134" w:type="dxa"/>
            <w:hideMark/>
          </w:tcPr>
          <w:p w14:paraId="7CF07F05"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4,098</w:t>
            </w:r>
          </w:p>
        </w:tc>
        <w:tc>
          <w:tcPr>
            <w:tcW w:w="1134" w:type="dxa"/>
            <w:hideMark/>
          </w:tcPr>
          <w:p w14:paraId="3145DBE7"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4,811</w:t>
            </w:r>
          </w:p>
        </w:tc>
        <w:tc>
          <w:tcPr>
            <w:tcW w:w="992" w:type="dxa"/>
            <w:hideMark/>
          </w:tcPr>
          <w:p w14:paraId="6011F4C6"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5,120</w:t>
            </w:r>
          </w:p>
        </w:tc>
        <w:tc>
          <w:tcPr>
            <w:tcW w:w="993" w:type="dxa"/>
            <w:hideMark/>
          </w:tcPr>
          <w:p w14:paraId="2BE83130"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4,982</w:t>
            </w:r>
          </w:p>
        </w:tc>
      </w:tr>
      <w:tr w:rsidR="002F1FAD" w:rsidRPr="006E1EA3" w14:paraId="72412B24" w14:textId="77777777" w:rsidTr="004B4F11">
        <w:tc>
          <w:tcPr>
            <w:tcW w:w="3163" w:type="dxa"/>
            <w:hideMark/>
          </w:tcPr>
          <w:p w14:paraId="5E29BCB9" w14:textId="77777777" w:rsidR="002F1FAD" w:rsidRPr="006E1EA3" w:rsidRDefault="002F1FAD" w:rsidP="004B4F11">
            <w:pPr>
              <w:spacing w:line="276" w:lineRule="auto"/>
              <w:jc w:val="both"/>
              <w:rPr>
                <w:rFonts w:ascii="Arial" w:eastAsiaTheme="minorHAnsi" w:hAnsi="Arial" w:cs="Arial"/>
                <w:bCs/>
                <w:sz w:val="20"/>
                <w:szCs w:val="20"/>
              </w:rPr>
            </w:pPr>
            <w:r w:rsidRPr="006E1EA3">
              <w:rPr>
                <w:rFonts w:ascii="Arial" w:eastAsiaTheme="minorHAnsi" w:hAnsi="Arial" w:cs="Arial"/>
                <w:bCs/>
                <w:sz w:val="20"/>
                <w:szCs w:val="20"/>
              </w:rPr>
              <w:t>Skin Infections/Rashes</w:t>
            </w:r>
          </w:p>
        </w:tc>
        <w:tc>
          <w:tcPr>
            <w:tcW w:w="1231" w:type="dxa"/>
            <w:hideMark/>
          </w:tcPr>
          <w:p w14:paraId="0239F887"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674</w:t>
            </w:r>
          </w:p>
        </w:tc>
        <w:tc>
          <w:tcPr>
            <w:tcW w:w="1134" w:type="dxa"/>
            <w:hideMark/>
          </w:tcPr>
          <w:p w14:paraId="04FFF510"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555</w:t>
            </w:r>
          </w:p>
        </w:tc>
        <w:tc>
          <w:tcPr>
            <w:tcW w:w="1134" w:type="dxa"/>
            <w:hideMark/>
          </w:tcPr>
          <w:p w14:paraId="6A692C1F"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684</w:t>
            </w:r>
          </w:p>
        </w:tc>
        <w:tc>
          <w:tcPr>
            <w:tcW w:w="992" w:type="dxa"/>
            <w:hideMark/>
          </w:tcPr>
          <w:p w14:paraId="5FCE92C6"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699</w:t>
            </w:r>
          </w:p>
        </w:tc>
        <w:tc>
          <w:tcPr>
            <w:tcW w:w="993" w:type="dxa"/>
            <w:hideMark/>
          </w:tcPr>
          <w:p w14:paraId="12E18F3F"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738</w:t>
            </w:r>
          </w:p>
        </w:tc>
      </w:tr>
      <w:tr w:rsidR="002F1FAD" w:rsidRPr="006E1EA3" w14:paraId="396D88A0" w14:textId="77777777" w:rsidTr="004B4F11">
        <w:tc>
          <w:tcPr>
            <w:tcW w:w="3163" w:type="dxa"/>
            <w:hideMark/>
          </w:tcPr>
          <w:p w14:paraId="4920FA51" w14:textId="77777777" w:rsidR="002F1FAD" w:rsidRPr="006E1EA3" w:rsidRDefault="002F1FAD" w:rsidP="004B4F11">
            <w:pPr>
              <w:spacing w:line="276" w:lineRule="auto"/>
              <w:jc w:val="both"/>
              <w:rPr>
                <w:rFonts w:ascii="Arial" w:eastAsiaTheme="minorHAnsi" w:hAnsi="Arial" w:cs="Arial"/>
                <w:bCs/>
                <w:sz w:val="20"/>
                <w:szCs w:val="20"/>
              </w:rPr>
            </w:pPr>
            <w:r w:rsidRPr="006E1EA3">
              <w:rPr>
                <w:rFonts w:ascii="Arial" w:eastAsiaTheme="minorHAnsi" w:hAnsi="Arial" w:cs="Arial"/>
                <w:bCs/>
                <w:sz w:val="20"/>
                <w:szCs w:val="20"/>
              </w:rPr>
              <w:t>Intestinal Worms</w:t>
            </w:r>
          </w:p>
        </w:tc>
        <w:tc>
          <w:tcPr>
            <w:tcW w:w="1231" w:type="dxa"/>
            <w:hideMark/>
          </w:tcPr>
          <w:p w14:paraId="112FC108"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1,243</w:t>
            </w:r>
          </w:p>
        </w:tc>
        <w:tc>
          <w:tcPr>
            <w:tcW w:w="1134" w:type="dxa"/>
            <w:hideMark/>
          </w:tcPr>
          <w:p w14:paraId="700D0DF2"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1,089</w:t>
            </w:r>
          </w:p>
        </w:tc>
        <w:tc>
          <w:tcPr>
            <w:tcW w:w="1134" w:type="dxa"/>
            <w:hideMark/>
          </w:tcPr>
          <w:p w14:paraId="3FDCE60A"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1,178</w:t>
            </w:r>
          </w:p>
        </w:tc>
        <w:tc>
          <w:tcPr>
            <w:tcW w:w="992" w:type="dxa"/>
            <w:hideMark/>
          </w:tcPr>
          <w:p w14:paraId="1871E17B"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1,256</w:t>
            </w:r>
          </w:p>
        </w:tc>
        <w:tc>
          <w:tcPr>
            <w:tcW w:w="993" w:type="dxa"/>
            <w:hideMark/>
          </w:tcPr>
          <w:p w14:paraId="63E3E8F9" w14:textId="77777777" w:rsidR="002F1FAD" w:rsidRPr="006E1EA3" w:rsidRDefault="002F1FAD" w:rsidP="004B4F11">
            <w:pPr>
              <w:spacing w:line="276" w:lineRule="auto"/>
              <w:jc w:val="center"/>
              <w:rPr>
                <w:rFonts w:ascii="Arial" w:eastAsiaTheme="minorHAnsi" w:hAnsi="Arial" w:cs="Arial"/>
                <w:bCs/>
                <w:sz w:val="20"/>
                <w:szCs w:val="20"/>
              </w:rPr>
            </w:pPr>
            <w:r w:rsidRPr="006E1EA3">
              <w:rPr>
                <w:rFonts w:ascii="Arial" w:eastAsiaTheme="minorHAnsi" w:hAnsi="Arial" w:cs="Arial"/>
                <w:bCs/>
                <w:sz w:val="20"/>
                <w:szCs w:val="20"/>
              </w:rPr>
              <w:t>1,187</w:t>
            </w:r>
          </w:p>
        </w:tc>
      </w:tr>
    </w:tbl>
    <w:p w14:paraId="7A8CAAE6" w14:textId="201B2426" w:rsidR="002F1FAD" w:rsidRPr="008C20EA" w:rsidRDefault="002F1FAD" w:rsidP="008C20EA">
      <w:pPr>
        <w:spacing w:line="360" w:lineRule="auto"/>
        <w:jc w:val="center"/>
        <w:rPr>
          <w:rFonts w:ascii="Times New Roman" w:eastAsia="Calibri" w:hAnsi="Times New Roman" w:cs="Times New Roman"/>
          <w:bCs/>
          <w:sz w:val="24"/>
          <w:szCs w:val="24"/>
        </w:rPr>
      </w:pPr>
      <w:r w:rsidRPr="006E1EA3">
        <w:rPr>
          <w:rFonts w:ascii="Arial" w:eastAsia="Calibri" w:hAnsi="Arial" w:cs="Arial"/>
          <w:bCs/>
          <w:sz w:val="20"/>
          <w:szCs w:val="20"/>
        </w:rPr>
        <w:t xml:space="preserve">Source: Divisional delegation of public Health </w:t>
      </w:r>
      <w:proofErr w:type="spellStart"/>
      <w:r w:rsidRPr="006E1EA3">
        <w:rPr>
          <w:rFonts w:ascii="Arial" w:eastAsia="Calibri" w:hAnsi="Arial" w:cs="Arial"/>
          <w:bCs/>
          <w:sz w:val="20"/>
          <w:szCs w:val="20"/>
        </w:rPr>
        <w:t>Manyu</w:t>
      </w:r>
      <w:proofErr w:type="spellEnd"/>
    </w:p>
    <w:p w14:paraId="3FAFAF03" w14:textId="77777777" w:rsidR="006A3D61" w:rsidRDefault="006A3D61" w:rsidP="004A5A50">
      <w:pPr>
        <w:spacing w:before="160" w:after="60" w:line="360" w:lineRule="auto"/>
        <w:jc w:val="both"/>
        <w:rPr>
          <w:rFonts w:ascii="Arial Black" w:hAnsi="Arial Black" w:cs="Times New Roman"/>
          <w:b/>
          <w:bCs/>
        </w:rPr>
      </w:pPr>
    </w:p>
    <w:p w14:paraId="76125998" w14:textId="2BD84D54" w:rsidR="001B2BC0" w:rsidRPr="006E1EA3" w:rsidRDefault="001B2BC0" w:rsidP="004A5A50">
      <w:pPr>
        <w:spacing w:before="160" w:after="60" w:line="360" w:lineRule="auto"/>
        <w:jc w:val="both"/>
        <w:rPr>
          <w:rFonts w:ascii="Arial Black" w:hAnsi="Arial Black" w:cs="Times New Roman"/>
        </w:rPr>
      </w:pPr>
      <w:r w:rsidRPr="006E1EA3">
        <w:rPr>
          <w:rFonts w:ascii="Arial Black" w:hAnsi="Arial Black" w:cs="Times New Roman"/>
          <w:b/>
          <w:bCs/>
        </w:rPr>
        <w:lastRenderedPageBreak/>
        <w:t>3.4.1 Water</w:t>
      </w:r>
      <w:r w:rsidR="00346BDD" w:rsidRPr="006E1EA3">
        <w:rPr>
          <w:rFonts w:ascii="Arial Black" w:hAnsi="Arial Black" w:cs="Times New Roman"/>
          <w:b/>
          <w:bCs/>
        </w:rPr>
        <w:t xml:space="preserve"> Sources and Quality </w:t>
      </w:r>
      <w:r w:rsidR="00280DA5" w:rsidRPr="006E1EA3">
        <w:rPr>
          <w:rFonts w:ascii="Arial Black" w:hAnsi="Arial Black" w:cs="Times New Roman"/>
          <w:b/>
          <w:bCs/>
        </w:rPr>
        <w:t>Evaluation</w:t>
      </w:r>
    </w:p>
    <w:p w14:paraId="39041DC5" w14:textId="0EDE3227" w:rsidR="001B2BC0" w:rsidRPr="006E1EA3" w:rsidRDefault="001B2BC0" w:rsidP="004A5A50">
      <w:pPr>
        <w:spacing w:before="80" w:after="80" w:line="360" w:lineRule="auto"/>
        <w:jc w:val="both"/>
        <w:rPr>
          <w:rFonts w:ascii="Arial" w:hAnsi="Arial" w:cs="Arial"/>
          <w:sz w:val="20"/>
          <w:szCs w:val="20"/>
        </w:rPr>
      </w:pPr>
      <w:r w:rsidRPr="006E1EA3">
        <w:rPr>
          <w:rFonts w:ascii="Arial" w:hAnsi="Arial" w:cs="Arial"/>
          <w:sz w:val="20"/>
          <w:szCs w:val="20"/>
        </w:rPr>
        <w:t>Protected wells and boreholes serve 42.4% of households, primarily in established residential areas with prioritised in</w:t>
      </w:r>
      <w:r w:rsidR="00A05FC3" w:rsidRPr="006E1EA3">
        <w:rPr>
          <w:rFonts w:ascii="Arial" w:hAnsi="Arial" w:cs="Arial"/>
          <w:sz w:val="20"/>
          <w:szCs w:val="20"/>
        </w:rPr>
        <w:t>frastructure investment (Table</w:t>
      </w:r>
      <w:r w:rsidR="008C20EA" w:rsidRPr="006E1EA3">
        <w:rPr>
          <w:rFonts w:ascii="Arial" w:hAnsi="Arial" w:cs="Arial"/>
          <w:sz w:val="20"/>
          <w:szCs w:val="20"/>
        </w:rPr>
        <w:t xml:space="preserve"> 7</w:t>
      </w:r>
      <w:r w:rsidRPr="006E1EA3">
        <w:rPr>
          <w:rFonts w:ascii="Arial" w:hAnsi="Arial" w:cs="Arial"/>
          <w:sz w:val="20"/>
          <w:szCs w:val="20"/>
        </w:rPr>
        <w:t xml:space="preserve">). Unprotected wells serve 31.9% of households, primarily in </w:t>
      </w:r>
      <w:r w:rsidR="00280DA5" w:rsidRPr="006E1EA3">
        <w:rPr>
          <w:rFonts w:ascii="Arial" w:hAnsi="Arial" w:cs="Arial"/>
          <w:sz w:val="20"/>
          <w:szCs w:val="20"/>
        </w:rPr>
        <w:t xml:space="preserve">areas such as New Layout, </w:t>
      </w:r>
      <w:proofErr w:type="spellStart"/>
      <w:r w:rsidR="00280DA5" w:rsidRPr="006E1EA3">
        <w:rPr>
          <w:rFonts w:ascii="Arial" w:hAnsi="Arial" w:cs="Arial"/>
          <w:sz w:val="20"/>
          <w:szCs w:val="20"/>
        </w:rPr>
        <w:t>Banya</w:t>
      </w:r>
      <w:proofErr w:type="spellEnd"/>
      <w:r w:rsidRPr="006E1EA3">
        <w:rPr>
          <w:rFonts w:ascii="Arial" w:hAnsi="Arial" w:cs="Arial"/>
          <w:sz w:val="20"/>
          <w:szCs w:val="20"/>
        </w:rPr>
        <w:t xml:space="preserve"> and peripheral quarters where contamination risks from surface runoff and nearby sanitation facilities are elevated. Surface water dependence (16.2%) presents serious health risks, particularly in communities along water courses in Small </w:t>
      </w:r>
      <w:proofErr w:type="spellStart"/>
      <w:r w:rsidRPr="006E1EA3">
        <w:rPr>
          <w:rFonts w:ascii="Arial" w:hAnsi="Arial" w:cs="Arial"/>
          <w:sz w:val="20"/>
          <w:szCs w:val="20"/>
        </w:rPr>
        <w:t>Mamfe</w:t>
      </w:r>
      <w:proofErr w:type="spellEnd"/>
      <w:r w:rsidRPr="006E1EA3">
        <w:rPr>
          <w:rFonts w:ascii="Arial" w:hAnsi="Arial" w:cs="Arial"/>
          <w:sz w:val="20"/>
          <w:szCs w:val="20"/>
        </w:rPr>
        <w:t xml:space="preserve"> and areas near river systems, where contamination from wast</w:t>
      </w:r>
      <w:r w:rsidR="00FE3A8D" w:rsidRPr="006E1EA3">
        <w:rPr>
          <w:rFonts w:ascii="Arial" w:hAnsi="Arial" w:cs="Arial"/>
          <w:sz w:val="20"/>
          <w:szCs w:val="20"/>
        </w:rPr>
        <w:t>e disposal, agricultural runoff</w:t>
      </w:r>
      <w:r w:rsidRPr="006E1EA3">
        <w:rPr>
          <w:rFonts w:ascii="Arial" w:hAnsi="Arial" w:cs="Arial"/>
          <w:sz w:val="20"/>
          <w:szCs w:val="20"/>
        </w:rPr>
        <w:t xml:space="preserve"> and upstream activities is documented.</w:t>
      </w:r>
    </w:p>
    <w:p w14:paraId="6DF6EAA7" w14:textId="26F63FD8" w:rsidR="001B2BC0" w:rsidRPr="006E1EA3" w:rsidRDefault="008C20EA" w:rsidP="006C013C">
      <w:pPr>
        <w:spacing w:before="160" w:after="60" w:line="360" w:lineRule="auto"/>
        <w:jc w:val="center"/>
        <w:rPr>
          <w:rFonts w:ascii="Arial" w:hAnsi="Arial" w:cs="Arial"/>
          <w:sz w:val="20"/>
          <w:szCs w:val="20"/>
        </w:rPr>
      </w:pPr>
      <w:r w:rsidRPr="006E1EA3">
        <w:rPr>
          <w:rFonts w:ascii="Arial" w:hAnsi="Arial" w:cs="Arial"/>
          <w:b/>
          <w:bCs/>
          <w:sz w:val="20"/>
          <w:szCs w:val="20"/>
        </w:rPr>
        <w:t>Table 7</w:t>
      </w:r>
      <w:r w:rsidR="001B2BC0" w:rsidRPr="006E1EA3">
        <w:rPr>
          <w:rFonts w:ascii="Arial" w:hAnsi="Arial" w:cs="Arial"/>
          <w:b/>
          <w:bCs/>
          <w:sz w:val="20"/>
          <w:szCs w:val="20"/>
        </w:rPr>
        <w:t xml:space="preserve">: Primary Water Sources in </w:t>
      </w:r>
      <w:proofErr w:type="spellStart"/>
      <w:r w:rsidR="001B2BC0" w:rsidRPr="006E1EA3">
        <w:rPr>
          <w:rFonts w:ascii="Arial" w:hAnsi="Arial" w:cs="Arial"/>
          <w:b/>
          <w:bCs/>
          <w:sz w:val="20"/>
          <w:szCs w:val="20"/>
        </w:rPr>
        <w:t>Mamfe</w:t>
      </w:r>
      <w:proofErr w:type="spellEnd"/>
      <w:r w:rsidR="001B2BC0" w:rsidRPr="006E1EA3">
        <w:rPr>
          <w:rFonts w:ascii="Arial" w:hAnsi="Arial" w:cs="Arial"/>
          <w:b/>
          <w:bCs/>
          <w:sz w:val="20"/>
          <w:szCs w:val="20"/>
        </w:rPr>
        <w:t xml:space="preserve"> Central Sub-Division</w:t>
      </w:r>
    </w:p>
    <w:tbl>
      <w:tblPr>
        <w:tblW w:w="7350" w:type="dxa"/>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64"/>
        <w:gridCol w:w="1701"/>
        <w:gridCol w:w="1985"/>
      </w:tblGrid>
      <w:tr w:rsidR="001B2BC0" w:rsidRPr="006E1EA3" w14:paraId="064320AE" w14:textId="77777777" w:rsidTr="006C013C">
        <w:tc>
          <w:tcPr>
            <w:tcW w:w="3664"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3494EB93" w14:textId="77777777" w:rsidR="001B2BC0" w:rsidRPr="006E1EA3" w:rsidRDefault="001B2BC0" w:rsidP="004B4F11">
            <w:pPr>
              <w:jc w:val="both"/>
              <w:rPr>
                <w:rFonts w:ascii="Arial" w:hAnsi="Arial" w:cs="Arial"/>
                <w:sz w:val="20"/>
                <w:szCs w:val="20"/>
              </w:rPr>
            </w:pPr>
            <w:r w:rsidRPr="006E1EA3">
              <w:rPr>
                <w:rFonts w:ascii="Arial" w:hAnsi="Arial" w:cs="Arial"/>
                <w:b/>
                <w:bCs/>
                <w:sz w:val="20"/>
                <w:szCs w:val="20"/>
              </w:rPr>
              <w:t>Water Source</w:t>
            </w:r>
          </w:p>
        </w:tc>
        <w:tc>
          <w:tcPr>
            <w:tcW w:w="1701"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501E3740" w14:textId="77777777" w:rsidR="001B2BC0" w:rsidRPr="006E1EA3" w:rsidRDefault="001B2BC0" w:rsidP="004B4F11">
            <w:pPr>
              <w:jc w:val="both"/>
              <w:rPr>
                <w:rFonts w:ascii="Arial" w:hAnsi="Arial" w:cs="Arial"/>
                <w:sz w:val="20"/>
                <w:szCs w:val="20"/>
              </w:rPr>
            </w:pPr>
            <w:r w:rsidRPr="006E1EA3">
              <w:rPr>
                <w:rFonts w:ascii="Arial" w:hAnsi="Arial" w:cs="Arial"/>
                <w:b/>
                <w:bCs/>
                <w:sz w:val="20"/>
                <w:szCs w:val="20"/>
              </w:rPr>
              <w:t>Frequency</w:t>
            </w:r>
          </w:p>
        </w:tc>
        <w:tc>
          <w:tcPr>
            <w:tcW w:w="1985"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323A6BB7" w14:textId="77777777" w:rsidR="001B2BC0" w:rsidRPr="006E1EA3" w:rsidRDefault="001B2BC0" w:rsidP="004B4F11">
            <w:pPr>
              <w:jc w:val="both"/>
              <w:rPr>
                <w:rFonts w:ascii="Arial" w:hAnsi="Arial" w:cs="Arial"/>
                <w:sz w:val="20"/>
                <w:szCs w:val="20"/>
              </w:rPr>
            </w:pPr>
            <w:r w:rsidRPr="006E1EA3">
              <w:rPr>
                <w:rFonts w:ascii="Arial" w:hAnsi="Arial" w:cs="Arial"/>
                <w:b/>
                <w:bCs/>
                <w:sz w:val="20"/>
                <w:szCs w:val="20"/>
              </w:rPr>
              <w:t>Percentage (%)</w:t>
            </w:r>
          </w:p>
        </w:tc>
      </w:tr>
      <w:tr w:rsidR="001B2BC0" w:rsidRPr="006E1EA3" w14:paraId="29759BC4" w14:textId="77777777" w:rsidTr="006C013C">
        <w:tc>
          <w:tcPr>
            <w:tcW w:w="366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849547A" w14:textId="77777777" w:rsidR="001B2BC0" w:rsidRPr="006E1EA3" w:rsidRDefault="001B2BC0" w:rsidP="004B4F11">
            <w:pPr>
              <w:jc w:val="both"/>
              <w:rPr>
                <w:rFonts w:ascii="Arial" w:hAnsi="Arial" w:cs="Arial"/>
                <w:sz w:val="20"/>
                <w:szCs w:val="20"/>
              </w:rPr>
            </w:pPr>
            <w:r w:rsidRPr="006E1EA3">
              <w:rPr>
                <w:rFonts w:ascii="Arial" w:hAnsi="Arial" w:cs="Arial"/>
                <w:sz w:val="20"/>
                <w:szCs w:val="20"/>
              </w:rPr>
              <w:t>Protected wells/boreholes</w:t>
            </w:r>
          </w:p>
        </w:tc>
        <w:tc>
          <w:tcPr>
            <w:tcW w:w="17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03ABF0A"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89</w:t>
            </w:r>
          </w:p>
        </w:tc>
        <w:tc>
          <w:tcPr>
            <w:tcW w:w="198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8BF99A2"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42.4</w:t>
            </w:r>
          </w:p>
        </w:tc>
      </w:tr>
      <w:tr w:rsidR="001B2BC0" w:rsidRPr="006E1EA3" w14:paraId="06C4C588" w14:textId="77777777" w:rsidTr="006C013C">
        <w:tc>
          <w:tcPr>
            <w:tcW w:w="366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FE585B9" w14:textId="77777777" w:rsidR="001B2BC0" w:rsidRPr="006E1EA3" w:rsidRDefault="001B2BC0" w:rsidP="004B4F11">
            <w:pPr>
              <w:jc w:val="both"/>
              <w:rPr>
                <w:rFonts w:ascii="Arial" w:hAnsi="Arial" w:cs="Arial"/>
                <w:sz w:val="20"/>
                <w:szCs w:val="20"/>
              </w:rPr>
            </w:pPr>
            <w:r w:rsidRPr="006E1EA3">
              <w:rPr>
                <w:rFonts w:ascii="Arial" w:hAnsi="Arial" w:cs="Arial"/>
                <w:sz w:val="20"/>
                <w:szCs w:val="20"/>
              </w:rPr>
              <w:t>Unprotected wells</w:t>
            </w:r>
          </w:p>
        </w:tc>
        <w:tc>
          <w:tcPr>
            <w:tcW w:w="17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347C3AD"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67</w:t>
            </w:r>
          </w:p>
        </w:tc>
        <w:tc>
          <w:tcPr>
            <w:tcW w:w="198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32AA9E7"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31.9</w:t>
            </w:r>
          </w:p>
        </w:tc>
      </w:tr>
      <w:tr w:rsidR="001B2BC0" w:rsidRPr="006E1EA3" w14:paraId="7E59CAD7" w14:textId="77777777" w:rsidTr="006C013C">
        <w:tc>
          <w:tcPr>
            <w:tcW w:w="366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5DAB83D" w14:textId="77777777" w:rsidR="001B2BC0" w:rsidRPr="006E1EA3" w:rsidRDefault="001B2BC0" w:rsidP="004B4F11">
            <w:pPr>
              <w:jc w:val="both"/>
              <w:rPr>
                <w:rFonts w:ascii="Arial" w:hAnsi="Arial" w:cs="Arial"/>
                <w:sz w:val="20"/>
                <w:szCs w:val="20"/>
              </w:rPr>
            </w:pPr>
            <w:r w:rsidRPr="006E1EA3">
              <w:rPr>
                <w:rFonts w:ascii="Arial" w:hAnsi="Arial" w:cs="Arial"/>
                <w:sz w:val="20"/>
                <w:szCs w:val="20"/>
              </w:rPr>
              <w:t>Surface water (streams/rivers)</w:t>
            </w:r>
          </w:p>
        </w:tc>
        <w:tc>
          <w:tcPr>
            <w:tcW w:w="17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2DAE116"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34</w:t>
            </w:r>
          </w:p>
        </w:tc>
        <w:tc>
          <w:tcPr>
            <w:tcW w:w="198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1F9FC88"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16.2</w:t>
            </w:r>
          </w:p>
        </w:tc>
      </w:tr>
      <w:tr w:rsidR="001B2BC0" w:rsidRPr="006E1EA3" w14:paraId="70DF879F" w14:textId="77777777" w:rsidTr="006C013C">
        <w:tc>
          <w:tcPr>
            <w:tcW w:w="366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5C7875A" w14:textId="77777777" w:rsidR="001B2BC0" w:rsidRPr="006E1EA3" w:rsidRDefault="001B2BC0" w:rsidP="004B4F11">
            <w:pPr>
              <w:jc w:val="both"/>
              <w:rPr>
                <w:rFonts w:ascii="Arial" w:hAnsi="Arial" w:cs="Arial"/>
                <w:sz w:val="20"/>
                <w:szCs w:val="20"/>
              </w:rPr>
            </w:pPr>
            <w:r w:rsidRPr="006E1EA3">
              <w:rPr>
                <w:rFonts w:ascii="Arial" w:hAnsi="Arial" w:cs="Arial"/>
                <w:sz w:val="20"/>
                <w:szCs w:val="20"/>
              </w:rPr>
              <w:t>Rainwater harvesting</w:t>
            </w:r>
          </w:p>
        </w:tc>
        <w:tc>
          <w:tcPr>
            <w:tcW w:w="17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2A05B3D"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15</w:t>
            </w:r>
          </w:p>
        </w:tc>
        <w:tc>
          <w:tcPr>
            <w:tcW w:w="198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CD9214E"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7.1</w:t>
            </w:r>
          </w:p>
        </w:tc>
      </w:tr>
      <w:tr w:rsidR="001B2BC0" w:rsidRPr="006E1EA3" w14:paraId="1219D1A7" w14:textId="77777777" w:rsidTr="006C013C">
        <w:tc>
          <w:tcPr>
            <w:tcW w:w="366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A62DA3E" w14:textId="77777777" w:rsidR="001B2BC0" w:rsidRPr="006E1EA3" w:rsidRDefault="001B2BC0" w:rsidP="004B4F11">
            <w:pPr>
              <w:jc w:val="both"/>
              <w:rPr>
                <w:rFonts w:ascii="Arial" w:hAnsi="Arial" w:cs="Arial"/>
                <w:sz w:val="20"/>
                <w:szCs w:val="20"/>
              </w:rPr>
            </w:pPr>
            <w:r w:rsidRPr="006E1EA3">
              <w:rPr>
                <w:rFonts w:ascii="Arial" w:hAnsi="Arial" w:cs="Arial"/>
                <w:sz w:val="20"/>
                <w:szCs w:val="20"/>
              </w:rPr>
              <w:t>Vendor/truck water</w:t>
            </w:r>
          </w:p>
        </w:tc>
        <w:tc>
          <w:tcPr>
            <w:tcW w:w="17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D5B638D" w14:textId="124364A5" w:rsidR="001B2BC0" w:rsidRPr="006E1EA3" w:rsidRDefault="00FE3A8D" w:rsidP="004F4699">
            <w:pPr>
              <w:jc w:val="center"/>
              <w:rPr>
                <w:rFonts w:ascii="Arial" w:hAnsi="Arial" w:cs="Arial"/>
                <w:sz w:val="20"/>
                <w:szCs w:val="20"/>
              </w:rPr>
            </w:pPr>
            <w:r w:rsidRPr="006E1EA3">
              <w:rPr>
                <w:rFonts w:ascii="Arial" w:hAnsi="Arial" w:cs="Arial"/>
                <w:sz w:val="20"/>
                <w:szCs w:val="20"/>
              </w:rPr>
              <w:t>13</w:t>
            </w:r>
          </w:p>
        </w:tc>
        <w:tc>
          <w:tcPr>
            <w:tcW w:w="198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606E8B2"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2.4</w:t>
            </w:r>
          </w:p>
        </w:tc>
      </w:tr>
      <w:tr w:rsidR="001B2BC0" w:rsidRPr="006E1EA3" w14:paraId="087F2284" w14:textId="77777777" w:rsidTr="006C013C">
        <w:tc>
          <w:tcPr>
            <w:tcW w:w="366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38CB71C" w14:textId="77777777" w:rsidR="001B2BC0" w:rsidRPr="006E1EA3" w:rsidRDefault="001B2BC0" w:rsidP="004B4F11">
            <w:pPr>
              <w:jc w:val="both"/>
              <w:rPr>
                <w:rFonts w:ascii="Arial" w:hAnsi="Arial" w:cs="Arial"/>
                <w:sz w:val="20"/>
                <w:szCs w:val="20"/>
              </w:rPr>
            </w:pPr>
            <w:r w:rsidRPr="006E1EA3">
              <w:rPr>
                <w:rFonts w:ascii="Arial" w:hAnsi="Arial" w:cs="Arial"/>
                <w:sz w:val="20"/>
                <w:szCs w:val="20"/>
              </w:rPr>
              <w:t>Total</w:t>
            </w:r>
          </w:p>
        </w:tc>
        <w:tc>
          <w:tcPr>
            <w:tcW w:w="17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8594C91" w14:textId="141FC674" w:rsidR="001B2BC0" w:rsidRPr="006E1EA3" w:rsidRDefault="00FE3A8D" w:rsidP="004F4699">
            <w:pPr>
              <w:jc w:val="center"/>
              <w:rPr>
                <w:rFonts w:ascii="Arial" w:hAnsi="Arial" w:cs="Arial"/>
                <w:sz w:val="20"/>
                <w:szCs w:val="20"/>
              </w:rPr>
            </w:pPr>
            <w:r w:rsidRPr="006E1EA3">
              <w:rPr>
                <w:rFonts w:ascii="Arial" w:hAnsi="Arial" w:cs="Arial"/>
                <w:sz w:val="20"/>
                <w:szCs w:val="20"/>
              </w:rPr>
              <w:t>218</w:t>
            </w:r>
          </w:p>
        </w:tc>
        <w:tc>
          <w:tcPr>
            <w:tcW w:w="198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4DB34A3"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100.0</w:t>
            </w:r>
          </w:p>
        </w:tc>
      </w:tr>
    </w:tbl>
    <w:p w14:paraId="105BD881" w14:textId="77777777" w:rsidR="001B2BC0" w:rsidRPr="006E1EA3" w:rsidRDefault="001B2BC0" w:rsidP="00A0718F">
      <w:pPr>
        <w:spacing w:before="40" w:after="80"/>
        <w:jc w:val="center"/>
        <w:rPr>
          <w:rFonts w:ascii="Arial" w:hAnsi="Arial" w:cs="Arial"/>
          <w:sz w:val="20"/>
          <w:szCs w:val="20"/>
        </w:rPr>
      </w:pPr>
      <w:r w:rsidRPr="006E1EA3">
        <w:rPr>
          <w:rFonts w:ascii="Arial" w:hAnsi="Arial" w:cs="Arial"/>
          <w:i/>
          <w:iCs/>
          <w:sz w:val="20"/>
          <w:szCs w:val="20"/>
        </w:rPr>
        <w:t>Source: Fieldwork, 2024</w:t>
      </w:r>
    </w:p>
    <w:p w14:paraId="2E8D8955" w14:textId="3DBE80E6" w:rsidR="001B2BC0" w:rsidRPr="001B2BC0" w:rsidRDefault="001B2BC0" w:rsidP="004A5A50">
      <w:pPr>
        <w:spacing w:before="80" w:after="80" w:line="360" w:lineRule="auto"/>
        <w:jc w:val="both"/>
        <w:rPr>
          <w:rFonts w:ascii="Times New Roman" w:hAnsi="Times New Roman" w:cs="Times New Roman"/>
          <w:sz w:val="24"/>
          <w:szCs w:val="24"/>
        </w:rPr>
      </w:pPr>
      <w:r w:rsidRPr="006E1EA3">
        <w:rPr>
          <w:rFonts w:ascii="Arial" w:hAnsi="Arial" w:cs="Arial"/>
          <w:sz w:val="20"/>
          <w:szCs w:val="20"/>
        </w:rPr>
        <w:t>Water quality perceptions reveal widespread concern, with 57.2% of residents rating their water quality as poor to very poor, particularly in areas dependent on unprotected wells and surface water. Only 42.9% rate their water as good to excellent. Water treatment practices are broadly practised, with 84.3% of households employing some form of treatment: boiling (46.7%), filtration systems (21.4%), and chemical treatment (16.2%). The 15.7% with no treatment practice are most concentrated in lower-income peripheral areas</w:t>
      </w:r>
      <w:r w:rsidR="00EA7114" w:rsidRPr="006E1EA3">
        <w:rPr>
          <w:rFonts w:ascii="Arial" w:hAnsi="Arial" w:cs="Arial"/>
          <w:sz w:val="20"/>
          <w:szCs w:val="20"/>
        </w:rPr>
        <w:t xml:space="preserve"> like Laterite-pit, </w:t>
      </w:r>
      <w:proofErr w:type="spellStart"/>
      <w:r w:rsidR="00EA7114" w:rsidRPr="006E1EA3">
        <w:rPr>
          <w:rFonts w:ascii="Arial" w:hAnsi="Arial" w:cs="Arial"/>
          <w:sz w:val="20"/>
          <w:szCs w:val="20"/>
        </w:rPr>
        <w:t>LaLa</w:t>
      </w:r>
      <w:proofErr w:type="spellEnd"/>
      <w:r w:rsidR="00EA7114" w:rsidRPr="006E1EA3">
        <w:rPr>
          <w:rFonts w:ascii="Arial" w:hAnsi="Arial" w:cs="Arial"/>
          <w:sz w:val="20"/>
          <w:szCs w:val="20"/>
        </w:rPr>
        <w:t xml:space="preserve"> and </w:t>
      </w:r>
      <w:proofErr w:type="spellStart"/>
      <w:r w:rsidR="00EA7114" w:rsidRPr="006E1EA3">
        <w:rPr>
          <w:rFonts w:ascii="Arial" w:hAnsi="Arial" w:cs="Arial"/>
          <w:sz w:val="20"/>
          <w:szCs w:val="20"/>
        </w:rPr>
        <w:t>Banya</w:t>
      </w:r>
      <w:proofErr w:type="spellEnd"/>
      <w:r w:rsidR="00EA7114" w:rsidRPr="006E1EA3">
        <w:rPr>
          <w:rFonts w:ascii="Arial" w:hAnsi="Arial" w:cs="Arial"/>
          <w:sz w:val="20"/>
          <w:szCs w:val="20"/>
        </w:rPr>
        <w:t xml:space="preserve"> </w:t>
      </w:r>
      <w:r w:rsidR="002F1FAD" w:rsidRPr="006E1EA3">
        <w:rPr>
          <w:rFonts w:ascii="Arial" w:hAnsi="Arial" w:cs="Arial"/>
          <w:sz w:val="20"/>
          <w:szCs w:val="20"/>
        </w:rPr>
        <w:t>with least</w:t>
      </w:r>
      <w:r w:rsidRPr="006E1EA3">
        <w:rPr>
          <w:rFonts w:ascii="Arial" w:hAnsi="Arial" w:cs="Arial"/>
          <w:sz w:val="20"/>
          <w:szCs w:val="20"/>
        </w:rPr>
        <w:t xml:space="preserve"> access to treatment knowledge or materials</w:t>
      </w:r>
      <w:r w:rsidRPr="001B2BC0">
        <w:rPr>
          <w:rFonts w:ascii="Times New Roman" w:hAnsi="Times New Roman" w:cs="Times New Roman"/>
          <w:sz w:val="24"/>
          <w:szCs w:val="24"/>
        </w:rPr>
        <w:t>.</w:t>
      </w:r>
    </w:p>
    <w:p w14:paraId="06DA4BC3" w14:textId="77777777" w:rsidR="001B2BC0" w:rsidRPr="006E1EA3" w:rsidRDefault="001B2BC0" w:rsidP="004A5A50">
      <w:pPr>
        <w:spacing w:before="160" w:after="60" w:line="360" w:lineRule="auto"/>
        <w:jc w:val="both"/>
        <w:rPr>
          <w:rFonts w:ascii="Arial" w:hAnsi="Arial" w:cs="Arial"/>
          <w:sz w:val="20"/>
          <w:szCs w:val="20"/>
        </w:rPr>
      </w:pPr>
      <w:r w:rsidRPr="006E1EA3">
        <w:rPr>
          <w:rFonts w:ascii="Arial" w:hAnsi="Arial" w:cs="Arial"/>
          <w:b/>
          <w:bCs/>
          <w:sz w:val="20"/>
          <w:szCs w:val="20"/>
        </w:rPr>
        <w:t>3.4.2 Water Source Proximity and Health Impacts</w:t>
      </w:r>
    </w:p>
    <w:p w14:paraId="7F992F0F" w14:textId="18972CE1" w:rsidR="001B2BC0" w:rsidRPr="006E1EA3" w:rsidRDefault="001B2BC0" w:rsidP="004A5A50">
      <w:pPr>
        <w:spacing w:before="80" w:after="80" w:line="360" w:lineRule="auto"/>
        <w:jc w:val="both"/>
        <w:rPr>
          <w:rFonts w:ascii="Arial" w:hAnsi="Arial" w:cs="Arial"/>
          <w:sz w:val="20"/>
          <w:szCs w:val="20"/>
        </w:rPr>
      </w:pPr>
      <w:r w:rsidRPr="006E1EA3">
        <w:rPr>
          <w:rFonts w:ascii="Arial" w:hAnsi="Arial" w:cs="Arial"/>
          <w:sz w:val="20"/>
          <w:szCs w:val="20"/>
        </w:rPr>
        <w:t>A clear correlation between water source distance and reported health o</w:t>
      </w:r>
      <w:r w:rsidR="008C20EA" w:rsidRPr="006E1EA3">
        <w:rPr>
          <w:rFonts w:ascii="Arial" w:hAnsi="Arial" w:cs="Arial"/>
          <w:sz w:val="20"/>
          <w:szCs w:val="20"/>
        </w:rPr>
        <w:t>utcomes is documented in Table 8</w:t>
      </w:r>
      <w:r w:rsidRPr="006E1EA3">
        <w:rPr>
          <w:rFonts w:ascii="Arial" w:hAnsi="Arial" w:cs="Arial"/>
          <w:sz w:val="20"/>
          <w:szCs w:val="20"/>
        </w:rPr>
        <w:t>. Households with water sources within their compounds (31.9%) report the lowest health issue rate at 15.2%, while households accessing water at distances exceeding 500 m (5.2%) report health issues at 67.3%. The progressive increase in reported health impacts with increasing distance reflects both the substitution toward lower-quality sources at greater distances and the compromised hygiene practices that result from constrained water availability.</w:t>
      </w:r>
    </w:p>
    <w:p w14:paraId="04DA24B4" w14:textId="77777777" w:rsidR="006C013C" w:rsidRPr="006E1EA3" w:rsidRDefault="006C013C" w:rsidP="004A5A50">
      <w:pPr>
        <w:spacing w:before="160" w:after="60" w:line="360" w:lineRule="auto"/>
        <w:jc w:val="both"/>
        <w:rPr>
          <w:rFonts w:ascii="Arial" w:hAnsi="Arial" w:cs="Arial"/>
          <w:b/>
          <w:bCs/>
          <w:sz w:val="20"/>
          <w:szCs w:val="20"/>
        </w:rPr>
      </w:pPr>
    </w:p>
    <w:p w14:paraId="3FBEB148" w14:textId="77777777" w:rsidR="006C013C" w:rsidRPr="006E1EA3" w:rsidRDefault="006C013C" w:rsidP="004A5A50">
      <w:pPr>
        <w:spacing w:before="160" w:after="60" w:line="360" w:lineRule="auto"/>
        <w:jc w:val="both"/>
        <w:rPr>
          <w:rFonts w:ascii="Arial" w:hAnsi="Arial" w:cs="Arial"/>
          <w:b/>
          <w:bCs/>
          <w:sz w:val="20"/>
          <w:szCs w:val="20"/>
        </w:rPr>
      </w:pPr>
    </w:p>
    <w:p w14:paraId="32AF4DA2" w14:textId="5436B8F2" w:rsidR="001B2BC0" w:rsidRPr="006E1EA3" w:rsidRDefault="008C20EA" w:rsidP="006C013C">
      <w:pPr>
        <w:spacing w:before="160" w:after="60" w:line="360" w:lineRule="auto"/>
        <w:jc w:val="center"/>
        <w:rPr>
          <w:rFonts w:ascii="Arial" w:hAnsi="Arial" w:cs="Arial"/>
          <w:sz w:val="20"/>
          <w:szCs w:val="20"/>
        </w:rPr>
      </w:pPr>
      <w:r w:rsidRPr="006E1EA3">
        <w:rPr>
          <w:rFonts w:ascii="Arial" w:hAnsi="Arial" w:cs="Arial"/>
          <w:b/>
          <w:bCs/>
          <w:sz w:val="20"/>
          <w:szCs w:val="20"/>
        </w:rPr>
        <w:lastRenderedPageBreak/>
        <w:t>Table 8</w:t>
      </w:r>
      <w:r w:rsidR="001B2BC0" w:rsidRPr="006E1EA3">
        <w:rPr>
          <w:rFonts w:ascii="Arial" w:hAnsi="Arial" w:cs="Arial"/>
          <w:b/>
          <w:bCs/>
          <w:sz w:val="20"/>
          <w:szCs w:val="20"/>
        </w:rPr>
        <w:t>: Water Source Proximity and Health Impact Relationships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00"/>
        <w:gridCol w:w="1800"/>
        <w:gridCol w:w="3060"/>
      </w:tblGrid>
      <w:tr w:rsidR="001B2BC0" w:rsidRPr="006E1EA3" w14:paraId="2C1C9AE1" w14:textId="77777777" w:rsidTr="004B4F11">
        <w:tc>
          <w:tcPr>
            <w:tcW w:w="3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0A420B02" w14:textId="77777777" w:rsidR="001B2BC0" w:rsidRPr="006E1EA3" w:rsidRDefault="001B2BC0" w:rsidP="004B4F11">
            <w:pPr>
              <w:jc w:val="both"/>
              <w:rPr>
                <w:rFonts w:ascii="Arial" w:hAnsi="Arial" w:cs="Arial"/>
                <w:sz w:val="20"/>
                <w:szCs w:val="20"/>
              </w:rPr>
            </w:pPr>
            <w:r w:rsidRPr="006E1EA3">
              <w:rPr>
                <w:rFonts w:ascii="Arial" w:hAnsi="Arial" w:cs="Arial"/>
                <w:b/>
                <w:bCs/>
                <w:sz w:val="20"/>
                <w:szCs w:val="20"/>
              </w:rPr>
              <w:t>Distance to Water Source</w:t>
            </w:r>
          </w:p>
        </w:tc>
        <w:tc>
          <w:tcPr>
            <w:tcW w:w="15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22AD0653" w14:textId="77777777" w:rsidR="001B2BC0" w:rsidRPr="006E1EA3" w:rsidRDefault="001B2BC0" w:rsidP="004B4F11">
            <w:pPr>
              <w:jc w:val="both"/>
              <w:rPr>
                <w:rFonts w:ascii="Arial" w:hAnsi="Arial" w:cs="Arial"/>
                <w:sz w:val="20"/>
                <w:szCs w:val="20"/>
              </w:rPr>
            </w:pPr>
            <w:r w:rsidRPr="006E1EA3">
              <w:rPr>
                <w:rFonts w:ascii="Arial" w:hAnsi="Arial" w:cs="Arial"/>
                <w:b/>
                <w:bCs/>
                <w:sz w:val="20"/>
                <w:szCs w:val="20"/>
              </w:rPr>
              <w:t>Frequency</w:t>
            </w:r>
          </w:p>
        </w:tc>
        <w:tc>
          <w:tcPr>
            <w:tcW w:w="18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62D85346" w14:textId="77777777" w:rsidR="001B2BC0" w:rsidRPr="006E1EA3" w:rsidRDefault="001B2BC0" w:rsidP="004B4F11">
            <w:pPr>
              <w:jc w:val="both"/>
              <w:rPr>
                <w:rFonts w:ascii="Arial" w:hAnsi="Arial" w:cs="Arial"/>
                <w:sz w:val="20"/>
                <w:szCs w:val="20"/>
              </w:rPr>
            </w:pPr>
            <w:r w:rsidRPr="006E1EA3">
              <w:rPr>
                <w:rFonts w:ascii="Arial" w:hAnsi="Arial" w:cs="Arial"/>
                <w:b/>
                <w:bCs/>
                <w:sz w:val="20"/>
                <w:szCs w:val="20"/>
              </w:rPr>
              <w:t>Percentage (%)</w:t>
            </w:r>
          </w:p>
        </w:tc>
        <w:tc>
          <w:tcPr>
            <w:tcW w:w="30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FFF9C51" w14:textId="77777777" w:rsidR="001B2BC0" w:rsidRPr="006E1EA3" w:rsidRDefault="001B2BC0" w:rsidP="004B4F11">
            <w:pPr>
              <w:jc w:val="both"/>
              <w:rPr>
                <w:rFonts w:ascii="Arial" w:hAnsi="Arial" w:cs="Arial"/>
                <w:sz w:val="20"/>
                <w:szCs w:val="20"/>
              </w:rPr>
            </w:pPr>
            <w:r w:rsidRPr="006E1EA3">
              <w:rPr>
                <w:rFonts w:ascii="Arial" w:hAnsi="Arial" w:cs="Arial"/>
                <w:b/>
                <w:bCs/>
                <w:sz w:val="20"/>
                <w:szCs w:val="20"/>
              </w:rPr>
              <w:t>Reported Health Issues (%)</w:t>
            </w:r>
          </w:p>
        </w:tc>
      </w:tr>
      <w:tr w:rsidR="001B2BC0" w:rsidRPr="006E1EA3" w14:paraId="43B86AEC" w14:textId="77777777" w:rsidTr="004B4F11">
        <w:tc>
          <w:tcPr>
            <w:tcW w:w="3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06E8034" w14:textId="77777777" w:rsidR="001B2BC0" w:rsidRPr="006E1EA3" w:rsidRDefault="001B2BC0" w:rsidP="004B4F11">
            <w:pPr>
              <w:jc w:val="both"/>
              <w:rPr>
                <w:rFonts w:ascii="Arial" w:hAnsi="Arial" w:cs="Arial"/>
                <w:sz w:val="20"/>
                <w:szCs w:val="20"/>
              </w:rPr>
            </w:pPr>
            <w:r w:rsidRPr="006E1EA3">
              <w:rPr>
                <w:rFonts w:ascii="Arial" w:hAnsi="Arial" w:cs="Arial"/>
                <w:sz w:val="20"/>
                <w:szCs w:val="20"/>
              </w:rPr>
              <w:t>Within compound (0–20m)</w:t>
            </w:r>
          </w:p>
        </w:tc>
        <w:tc>
          <w:tcPr>
            <w:tcW w:w="1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A393C43"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67</w:t>
            </w:r>
          </w:p>
        </w:tc>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0C982FF"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31.9</w:t>
            </w:r>
          </w:p>
        </w:tc>
        <w:tc>
          <w:tcPr>
            <w:tcW w:w="30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DB3545D"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15.2</w:t>
            </w:r>
          </w:p>
        </w:tc>
      </w:tr>
      <w:tr w:rsidR="001B2BC0" w:rsidRPr="006E1EA3" w14:paraId="5EED828C" w14:textId="77777777" w:rsidTr="004B4F11">
        <w:tc>
          <w:tcPr>
            <w:tcW w:w="3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4EAB23C" w14:textId="77777777" w:rsidR="001B2BC0" w:rsidRPr="006E1EA3" w:rsidRDefault="001B2BC0" w:rsidP="004B4F11">
            <w:pPr>
              <w:jc w:val="both"/>
              <w:rPr>
                <w:rFonts w:ascii="Arial" w:hAnsi="Arial" w:cs="Arial"/>
                <w:sz w:val="20"/>
                <w:szCs w:val="20"/>
              </w:rPr>
            </w:pPr>
            <w:r w:rsidRPr="006E1EA3">
              <w:rPr>
                <w:rFonts w:ascii="Arial" w:hAnsi="Arial" w:cs="Arial"/>
                <w:sz w:val="20"/>
                <w:szCs w:val="20"/>
              </w:rPr>
              <w:t>Short distance (21–100m)</w:t>
            </w:r>
          </w:p>
        </w:tc>
        <w:tc>
          <w:tcPr>
            <w:tcW w:w="1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AC45AC0"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89</w:t>
            </w:r>
          </w:p>
        </w:tc>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9DA3F02"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42.4</w:t>
            </w:r>
          </w:p>
        </w:tc>
        <w:tc>
          <w:tcPr>
            <w:tcW w:w="30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4AFFF9A"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28.4</w:t>
            </w:r>
          </w:p>
        </w:tc>
      </w:tr>
      <w:tr w:rsidR="001B2BC0" w:rsidRPr="006E1EA3" w14:paraId="6B56F2DC" w14:textId="77777777" w:rsidTr="004B4F11">
        <w:tc>
          <w:tcPr>
            <w:tcW w:w="3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8B61943" w14:textId="77777777" w:rsidR="001B2BC0" w:rsidRPr="006E1EA3" w:rsidRDefault="001B2BC0" w:rsidP="004B4F11">
            <w:pPr>
              <w:jc w:val="both"/>
              <w:rPr>
                <w:rFonts w:ascii="Arial" w:hAnsi="Arial" w:cs="Arial"/>
                <w:sz w:val="20"/>
                <w:szCs w:val="20"/>
              </w:rPr>
            </w:pPr>
            <w:r w:rsidRPr="006E1EA3">
              <w:rPr>
                <w:rFonts w:ascii="Arial" w:hAnsi="Arial" w:cs="Arial"/>
                <w:sz w:val="20"/>
                <w:szCs w:val="20"/>
              </w:rPr>
              <w:t>Medium distance (101–500m)</w:t>
            </w:r>
          </w:p>
        </w:tc>
        <w:tc>
          <w:tcPr>
            <w:tcW w:w="1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CF40876"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43</w:t>
            </w:r>
          </w:p>
        </w:tc>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8F59101"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20.5</w:t>
            </w:r>
          </w:p>
        </w:tc>
        <w:tc>
          <w:tcPr>
            <w:tcW w:w="30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FC889B0"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45.7</w:t>
            </w:r>
          </w:p>
        </w:tc>
      </w:tr>
      <w:tr w:rsidR="001B2BC0" w:rsidRPr="006E1EA3" w14:paraId="617D319C" w14:textId="77777777" w:rsidTr="004B4F11">
        <w:tc>
          <w:tcPr>
            <w:tcW w:w="3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1AFDE88" w14:textId="77777777" w:rsidR="001B2BC0" w:rsidRPr="006E1EA3" w:rsidRDefault="001B2BC0" w:rsidP="004B4F11">
            <w:pPr>
              <w:jc w:val="both"/>
              <w:rPr>
                <w:rFonts w:ascii="Arial" w:hAnsi="Arial" w:cs="Arial"/>
                <w:sz w:val="20"/>
                <w:szCs w:val="20"/>
              </w:rPr>
            </w:pPr>
            <w:r w:rsidRPr="006E1EA3">
              <w:rPr>
                <w:rFonts w:ascii="Arial" w:hAnsi="Arial" w:cs="Arial"/>
                <w:sz w:val="20"/>
                <w:szCs w:val="20"/>
              </w:rPr>
              <w:t>Long distance (&gt;500m)</w:t>
            </w:r>
          </w:p>
        </w:tc>
        <w:tc>
          <w:tcPr>
            <w:tcW w:w="1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2F8BD94" w14:textId="2EC9C1DD" w:rsidR="001B2BC0" w:rsidRPr="006E1EA3" w:rsidRDefault="001B2BC0" w:rsidP="00FE3A8D">
            <w:pPr>
              <w:jc w:val="center"/>
              <w:rPr>
                <w:rFonts w:ascii="Arial" w:hAnsi="Arial" w:cs="Arial"/>
                <w:sz w:val="20"/>
                <w:szCs w:val="20"/>
              </w:rPr>
            </w:pPr>
            <w:r w:rsidRPr="006E1EA3">
              <w:rPr>
                <w:rFonts w:ascii="Arial" w:hAnsi="Arial" w:cs="Arial"/>
                <w:sz w:val="20"/>
                <w:szCs w:val="20"/>
              </w:rPr>
              <w:t>1</w:t>
            </w:r>
            <w:r w:rsidR="00FE3A8D" w:rsidRPr="006E1EA3">
              <w:rPr>
                <w:rFonts w:ascii="Arial" w:hAnsi="Arial" w:cs="Arial"/>
                <w:sz w:val="20"/>
                <w:szCs w:val="20"/>
              </w:rPr>
              <w:t>9</w:t>
            </w:r>
          </w:p>
        </w:tc>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B8DBD1F"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5.2</w:t>
            </w:r>
          </w:p>
        </w:tc>
        <w:tc>
          <w:tcPr>
            <w:tcW w:w="30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79D1D62"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67.3</w:t>
            </w:r>
          </w:p>
        </w:tc>
      </w:tr>
      <w:tr w:rsidR="001B2BC0" w:rsidRPr="006E1EA3" w14:paraId="5E4C9411" w14:textId="77777777" w:rsidTr="004B4F11">
        <w:tc>
          <w:tcPr>
            <w:tcW w:w="3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AE51500" w14:textId="77777777" w:rsidR="001B2BC0" w:rsidRPr="006E1EA3" w:rsidRDefault="001B2BC0" w:rsidP="004B4F11">
            <w:pPr>
              <w:jc w:val="both"/>
              <w:rPr>
                <w:rFonts w:ascii="Arial" w:hAnsi="Arial" w:cs="Arial"/>
                <w:sz w:val="20"/>
                <w:szCs w:val="20"/>
              </w:rPr>
            </w:pPr>
            <w:r w:rsidRPr="006E1EA3">
              <w:rPr>
                <w:rFonts w:ascii="Arial" w:hAnsi="Arial" w:cs="Arial"/>
                <w:sz w:val="20"/>
                <w:szCs w:val="20"/>
              </w:rPr>
              <w:t>Total</w:t>
            </w:r>
          </w:p>
        </w:tc>
        <w:tc>
          <w:tcPr>
            <w:tcW w:w="1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16366FB" w14:textId="50095F04" w:rsidR="001B2BC0" w:rsidRPr="006E1EA3" w:rsidRDefault="00FE3A8D" w:rsidP="004F4699">
            <w:pPr>
              <w:jc w:val="center"/>
              <w:rPr>
                <w:rFonts w:ascii="Arial" w:hAnsi="Arial" w:cs="Arial"/>
                <w:sz w:val="20"/>
                <w:szCs w:val="20"/>
              </w:rPr>
            </w:pPr>
            <w:r w:rsidRPr="006E1EA3">
              <w:rPr>
                <w:rFonts w:ascii="Arial" w:hAnsi="Arial" w:cs="Arial"/>
                <w:sz w:val="20"/>
                <w:szCs w:val="20"/>
              </w:rPr>
              <w:t>218</w:t>
            </w:r>
          </w:p>
        </w:tc>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D729E0D"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100.0</w:t>
            </w:r>
          </w:p>
        </w:tc>
        <w:tc>
          <w:tcPr>
            <w:tcW w:w="30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1261DA7" w14:textId="77777777" w:rsidR="001B2BC0" w:rsidRPr="006E1EA3" w:rsidRDefault="001B2BC0" w:rsidP="004F4699">
            <w:pPr>
              <w:jc w:val="center"/>
              <w:rPr>
                <w:rFonts w:ascii="Arial" w:hAnsi="Arial" w:cs="Arial"/>
                <w:sz w:val="20"/>
                <w:szCs w:val="20"/>
              </w:rPr>
            </w:pPr>
            <w:r w:rsidRPr="006E1EA3">
              <w:rPr>
                <w:rFonts w:ascii="Arial" w:hAnsi="Arial" w:cs="Arial"/>
                <w:sz w:val="20"/>
                <w:szCs w:val="20"/>
              </w:rPr>
              <w:t>–</w:t>
            </w:r>
          </w:p>
        </w:tc>
      </w:tr>
    </w:tbl>
    <w:p w14:paraId="3AD92884" w14:textId="77777777" w:rsidR="001B2BC0" w:rsidRPr="006E1EA3" w:rsidRDefault="001B2BC0" w:rsidP="00A0718F">
      <w:pPr>
        <w:spacing w:before="40" w:after="80"/>
        <w:jc w:val="center"/>
        <w:rPr>
          <w:rFonts w:ascii="Arial" w:hAnsi="Arial" w:cs="Arial"/>
          <w:sz w:val="20"/>
          <w:szCs w:val="20"/>
        </w:rPr>
      </w:pPr>
      <w:r w:rsidRPr="006E1EA3">
        <w:rPr>
          <w:rFonts w:ascii="Arial" w:hAnsi="Arial" w:cs="Arial"/>
          <w:i/>
          <w:iCs/>
          <w:sz w:val="20"/>
          <w:szCs w:val="20"/>
        </w:rPr>
        <w:t>Source: Fieldwork, 2024</w:t>
      </w:r>
    </w:p>
    <w:p w14:paraId="37F42FB6" w14:textId="77777777" w:rsidR="001B2BC0" w:rsidRPr="006E1EA3" w:rsidRDefault="001B2BC0" w:rsidP="004A5A50">
      <w:pPr>
        <w:pStyle w:val="Heading2"/>
        <w:spacing w:line="360" w:lineRule="auto"/>
        <w:jc w:val="both"/>
        <w:rPr>
          <w:rFonts w:ascii="Arial Black" w:hAnsi="Arial Black"/>
          <w:sz w:val="22"/>
          <w:szCs w:val="22"/>
        </w:rPr>
      </w:pPr>
      <w:r w:rsidRPr="006E1EA3">
        <w:rPr>
          <w:rFonts w:ascii="Arial Black" w:hAnsi="Arial Black"/>
          <w:sz w:val="22"/>
          <w:szCs w:val="22"/>
        </w:rPr>
        <w:t>3.5 Institutional Support</w:t>
      </w:r>
    </w:p>
    <w:p w14:paraId="2DD73834" w14:textId="1BBD59A8" w:rsidR="001B2BC0" w:rsidRPr="006E1EA3" w:rsidRDefault="001B2BC0" w:rsidP="005617DE">
      <w:pPr>
        <w:pStyle w:val="Heading2"/>
        <w:spacing w:line="360" w:lineRule="auto"/>
        <w:jc w:val="both"/>
        <w:rPr>
          <w:rFonts w:ascii="Arial" w:hAnsi="Arial" w:cs="Arial"/>
          <w:b w:val="0"/>
          <w:sz w:val="20"/>
          <w:szCs w:val="20"/>
        </w:rPr>
      </w:pPr>
      <w:r w:rsidRPr="006E1EA3">
        <w:rPr>
          <w:rFonts w:ascii="Arial" w:hAnsi="Arial" w:cs="Arial"/>
          <w:b w:val="0"/>
          <w:sz w:val="20"/>
          <w:szCs w:val="20"/>
        </w:rPr>
        <w:t xml:space="preserve">Law enforcement assessments reveal severe inadequacies across all environmental sanitation categories. Water quality protection enforcement is rated ineffective to very ineffective by 78.6% of respondents, and waste disposal regulation enforcement is similarly rated by 74.3%. Building sanitation codes show relatively better enforcement outcomes at 37.7% effective to very effective, reflecting the more visible nature of building violations and the involvement of multiple agencies in building approval processes. Funding assessments reveal critical deficiencies: 73.4% rate municipal waste collection funding as inadequate to very inadequate, 79.5% rate sanitation infrastructure development funding similarly, and 81.4% consider public toilet maintenance funding inadequate. Religious institution partnerships demonstrate the highest effectiveness among stakeholder collaboration mechanisms, with 63.8% rating them effective to very effective, reflecting their role in community mobilisation for sanitation activities, health education, and environmental </w:t>
      </w:r>
      <w:r w:rsidR="00A0718F" w:rsidRPr="006E1EA3">
        <w:rPr>
          <w:rFonts w:ascii="Arial" w:hAnsi="Arial" w:cs="Arial"/>
          <w:b w:val="0"/>
          <w:sz w:val="20"/>
          <w:szCs w:val="20"/>
        </w:rPr>
        <w:t>clean-up</w:t>
      </w:r>
      <w:r w:rsidRPr="006E1EA3">
        <w:rPr>
          <w:rFonts w:ascii="Arial" w:hAnsi="Arial" w:cs="Arial"/>
          <w:b w:val="0"/>
          <w:sz w:val="20"/>
          <w:szCs w:val="20"/>
        </w:rPr>
        <w:t>. Inter-agency coordination receives the poorest effectiveness rating at only 19% effective to very effective</w:t>
      </w:r>
      <w:r w:rsidRPr="006E1EA3">
        <w:rPr>
          <w:rFonts w:ascii="Arial" w:hAnsi="Arial" w:cs="Arial"/>
          <w:sz w:val="20"/>
          <w:szCs w:val="20"/>
        </w:rPr>
        <w:t>.</w:t>
      </w:r>
      <w:r w:rsidR="005617DE" w:rsidRPr="006E1EA3">
        <w:rPr>
          <w:rFonts w:ascii="Arial" w:hAnsi="Arial" w:cs="Arial"/>
          <w:sz w:val="20"/>
          <w:szCs w:val="20"/>
        </w:rPr>
        <w:t xml:space="preserve"> </w:t>
      </w:r>
      <w:r w:rsidR="005617DE" w:rsidRPr="006E1EA3">
        <w:rPr>
          <w:rFonts w:ascii="Arial" w:hAnsi="Arial" w:cs="Arial"/>
          <w:b w:val="0"/>
          <w:sz w:val="20"/>
          <w:szCs w:val="20"/>
        </w:rPr>
        <w:t xml:space="preserve">The bacteriological analysis during the rainy season reveals intensified contamination patterns across all water sources. Coliform bacterial counts show significant increases compared to the dry season, with streams exhibiting the highest contamination (490.2 CFU/100ml), followed by wells (453.1 CFU/100ml). The introduction of pipe-borne water during this period shows concerning contamination levels (226.5 CFU/100ml), indicating possible infrastructure-related contamination during the rainy season. Boreholes maintain the lowest but still elevated coliform counts (15.2 CFU/100ml) compared to dry season levels. Salmonella contamination follows a similar intensification pattern, with streams showing the highest levels (71.3 CFU/100ml), followed by wells (60.5 CFU/100ml) and pipe-borne water (45.3 CFU/100ml). Rivers and springs also show increased contamination (34.3 and 16.5 CFU/100ml respectively) compared to dry season measurements. Streptococcus contamination is particularly severe in wells (220.4 CFU/100ml), nearly doubling from dry season levels. Streams (90.2 CFU/100ml) and pipe-borne water (81.4 CFU/100ml) also exhibit high contamination levels. The overall pattern indicates that rainy season conditions significantly worsen bacteriological water quality across all sources, with increased surface runoff, infrastructure stress, and dilution effects contributing </w:t>
      </w:r>
      <w:r w:rsidR="005617DE" w:rsidRPr="006E1EA3">
        <w:rPr>
          <w:rFonts w:ascii="Arial" w:hAnsi="Arial" w:cs="Arial"/>
          <w:b w:val="0"/>
          <w:sz w:val="20"/>
          <w:szCs w:val="20"/>
        </w:rPr>
        <w:lastRenderedPageBreak/>
        <w:t>to widespread microbial contamination. This seasonal deterioration poses heightened public health risks and underscores the need for improved water treatment and protection measures during the rainy season.</w:t>
      </w:r>
    </w:p>
    <w:p w14:paraId="72ED3B95" w14:textId="578B2344" w:rsidR="005617DE" w:rsidRPr="006E1EA3" w:rsidRDefault="005617DE" w:rsidP="005617DE">
      <w:pPr>
        <w:spacing w:after="200" w:line="240" w:lineRule="auto"/>
        <w:jc w:val="center"/>
        <w:rPr>
          <w:rFonts w:ascii="Arial" w:hAnsi="Arial" w:cs="Arial"/>
          <w:b/>
          <w:bCs/>
          <w:color w:val="000000" w:themeColor="text1"/>
          <w:sz w:val="20"/>
          <w:szCs w:val="20"/>
        </w:rPr>
      </w:pPr>
      <w:r w:rsidRPr="006E1EA3">
        <w:rPr>
          <w:rFonts w:ascii="Arial" w:hAnsi="Arial" w:cs="Arial"/>
          <w:b/>
          <w:bCs/>
          <w:color w:val="000000" w:themeColor="text1"/>
          <w:sz w:val="20"/>
          <w:szCs w:val="20"/>
        </w:rPr>
        <w:t>Table:</w:t>
      </w:r>
      <w:proofErr w:type="gramStart"/>
      <w:r w:rsidRPr="006E1EA3">
        <w:rPr>
          <w:rFonts w:ascii="Arial" w:hAnsi="Arial" w:cs="Arial"/>
          <w:b/>
          <w:bCs/>
          <w:color w:val="000000" w:themeColor="text1"/>
          <w:sz w:val="20"/>
          <w:szCs w:val="20"/>
        </w:rPr>
        <w:t>9  Bacteriological</w:t>
      </w:r>
      <w:proofErr w:type="gramEnd"/>
      <w:r w:rsidRPr="006E1EA3">
        <w:rPr>
          <w:rFonts w:ascii="Arial" w:hAnsi="Arial" w:cs="Arial"/>
          <w:b/>
          <w:bCs/>
          <w:color w:val="000000" w:themeColor="text1"/>
          <w:sz w:val="20"/>
          <w:szCs w:val="20"/>
        </w:rPr>
        <w:t xml:space="preserve"> Parameters (Rainy Season)</w:t>
      </w:r>
    </w:p>
    <w:tbl>
      <w:tblPr>
        <w:tblStyle w:val="PlainTable51"/>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643"/>
        <w:gridCol w:w="1768"/>
        <w:gridCol w:w="1626"/>
        <w:gridCol w:w="1673"/>
        <w:gridCol w:w="1505"/>
      </w:tblGrid>
      <w:tr w:rsidR="005617DE" w:rsidRPr="006E1EA3" w14:paraId="3CFFAADF" w14:textId="77777777" w:rsidTr="004B4F11">
        <w:trPr>
          <w:cnfStyle w:val="100000000000" w:firstRow="1" w:lastRow="0" w:firstColumn="0" w:lastColumn="0" w:oddVBand="0" w:evenVBand="0" w:oddHBand="0" w:evenHBand="0" w:firstRowFirstColumn="0" w:firstRowLastColumn="0" w:lastRowFirstColumn="0" w:lastRowLastColumn="0"/>
          <w:trHeight w:val="986"/>
        </w:trPr>
        <w:tc>
          <w:tcPr>
            <w:cnfStyle w:val="001000000100" w:firstRow="0" w:lastRow="0" w:firstColumn="1" w:lastColumn="0" w:oddVBand="0" w:evenVBand="0" w:oddHBand="0" w:evenHBand="0" w:firstRowFirstColumn="1" w:firstRowLastColumn="0" w:lastRowFirstColumn="0" w:lastRowLastColumn="0"/>
            <w:tcW w:w="1096" w:type="dxa"/>
            <w:tcBorders>
              <w:bottom w:val="none" w:sz="0" w:space="0" w:color="auto"/>
              <w:right w:val="none" w:sz="0" w:space="0" w:color="auto"/>
            </w:tcBorders>
            <w:hideMark/>
          </w:tcPr>
          <w:p w14:paraId="1213C25C" w14:textId="77777777" w:rsidR="005617DE" w:rsidRPr="006E1EA3" w:rsidRDefault="005617DE" w:rsidP="004B4F11">
            <w:pPr>
              <w:spacing w:line="360" w:lineRule="auto"/>
              <w:jc w:val="center"/>
              <w:rPr>
                <w:rFonts w:ascii="Arial" w:eastAsiaTheme="minorHAnsi" w:hAnsi="Arial" w:cs="Arial"/>
                <w:b/>
                <w:bCs/>
                <w:sz w:val="20"/>
                <w:szCs w:val="20"/>
              </w:rPr>
            </w:pPr>
          </w:p>
          <w:p w14:paraId="1B14073C" w14:textId="77777777" w:rsidR="005617DE" w:rsidRPr="006E1EA3" w:rsidRDefault="005617DE" w:rsidP="004B4F11">
            <w:pPr>
              <w:spacing w:line="360" w:lineRule="auto"/>
              <w:jc w:val="center"/>
              <w:rPr>
                <w:rFonts w:ascii="Arial" w:eastAsiaTheme="minorHAnsi" w:hAnsi="Arial" w:cs="Arial"/>
                <w:b/>
                <w:bCs/>
                <w:sz w:val="20"/>
                <w:szCs w:val="20"/>
              </w:rPr>
            </w:pPr>
            <w:r w:rsidRPr="006E1EA3">
              <w:rPr>
                <w:rFonts w:ascii="Arial" w:eastAsiaTheme="minorHAnsi" w:hAnsi="Arial" w:cs="Arial"/>
                <w:b/>
                <w:bCs/>
                <w:sz w:val="20"/>
                <w:szCs w:val="20"/>
              </w:rPr>
              <w:t>Sample</w:t>
            </w:r>
          </w:p>
        </w:tc>
        <w:tc>
          <w:tcPr>
            <w:tcW w:w="1643" w:type="dxa"/>
            <w:tcBorders>
              <w:bottom w:val="none" w:sz="0" w:space="0" w:color="auto"/>
            </w:tcBorders>
          </w:tcPr>
          <w:p w14:paraId="6A664B08" w14:textId="77777777" w:rsidR="005617DE" w:rsidRPr="006E1EA3" w:rsidRDefault="005617DE" w:rsidP="004B4F1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sz w:val="20"/>
                <w:szCs w:val="20"/>
              </w:rPr>
            </w:pPr>
          </w:p>
          <w:p w14:paraId="7159619F" w14:textId="77777777" w:rsidR="005617DE" w:rsidRPr="006E1EA3" w:rsidRDefault="005617DE" w:rsidP="004B4F1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sz w:val="20"/>
                <w:szCs w:val="20"/>
              </w:rPr>
            </w:pPr>
            <w:r w:rsidRPr="006E1EA3">
              <w:rPr>
                <w:rFonts w:ascii="Arial" w:hAnsi="Arial" w:cs="Arial"/>
                <w:bCs/>
                <w:sz w:val="20"/>
                <w:szCs w:val="20"/>
              </w:rPr>
              <w:t>GIS COOR</w:t>
            </w:r>
          </w:p>
        </w:tc>
        <w:tc>
          <w:tcPr>
            <w:tcW w:w="0" w:type="auto"/>
            <w:tcBorders>
              <w:bottom w:val="none" w:sz="0" w:space="0" w:color="auto"/>
            </w:tcBorders>
            <w:hideMark/>
          </w:tcPr>
          <w:p w14:paraId="0D030A4D" w14:textId="77777777" w:rsidR="005617DE" w:rsidRPr="006E1EA3" w:rsidRDefault="005617DE" w:rsidP="004B4F1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bCs/>
                <w:sz w:val="20"/>
                <w:szCs w:val="20"/>
              </w:rPr>
            </w:pPr>
            <w:r w:rsidRPr="006E1EA3">
              <w:rPr>
                <w:rFonts w:ascii="Arial" w:eastAsiaTheme="minorHAnsi" w:hAnsi="Arial" w:cs="Arial"/>
                <w:b/>
                <w:bCs/>
                <w:sz w:val="20"/>
                <w:szCs w:val="20"/>
              </w:rPr>
              <w:t>Coliform bacterial (CFU/100ml)</w:t>
            </w:r>
          </w:p>
        </w:tc>
        <w:tc>
          <w:tcPr>
            <w:tcW w:w="0" w:type="auto"/>
            <w:tcBorders>
              <w:bottom w:val="none" w:sz="0" w:space="0" w:color="auto"/>
            </w:tcBorders>
            <w:hideMark/>
          </w:tcPr>
          <w:p w14:paraId="48AED0E9" w14:textId="77777777" w:rsidR="005617DE" w:rsidRPr="006E1EA3" w:rsidRDefault="005617DE" w:rsidP="004B4F1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bCs/>
                <w:sz w:val="20"/>
                <w:szCs w:val="20"/>
              </w:rPr>
            </w:pPr>
            <w:r w:rsidRPr="006E1EA3">
              <w:rPr>
                <w:rFonts w:ascii="Arial" w:eastAsiaTheme="minorHAnsi" w:hAnsi="Arial" w:cs="Arial"/>
                <w:b/>
                <w:bCs/>
                <w:sz w:val="20"/>
                <w:szCs w:val="20"/>
              </w:rPr>
              <w:t>Salmonella (CFU/100ml)</w:t>
            </w:r>
          </w:p>
        </w:tc>
        <w:tc>
          <w:tcPr>
            <w:tcW w:w="1673" w:type="dxa"/>
            <w:tcBorders>
              <w:bottom w:val="none" w:sz="0" w:space="0" w:color="auto"/>
            </w:tcBorders>
            <w:hideMark/>
          </w:tcPr>
          <w:p w14:paraId="75916989" w14:textId="77777777" w:rsidR="005617DE" w:rsidRPr="006E1EA3" w:rsidRDefault="005617DE" w:rsidP="004B4F1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bCs/>
                <w:sz w:val="20"/>
                <w:szCs w:val="20"/>
              </w:rPr>
            </w:pPr>
            <w:r w:rsidRPr="006E1EA3">
              <w:rPr>
                <w:rFonts w:ascii="Arial" w:eastAsiaTheme="minorHAnsi" w:hAnsi="Arial" w:cs="Arial"/>
                <w:b/>
                <w:bCs/>
                <w:sz w:val="20"/>
                <w:szCs w:val="20"/>
              </w:rPr>
              <w:t>Streptococcus (CFU/100ml)</w:t>
            </w:r>
          </w:p>
        </w:tc>
        <w:tc>
          <w:tcPr>
            <w:tcW w:w="1379" w:type="dxa"/>
            <w:tcBorders>
              <w:bottom w:val="none" w:sz="0" w:space="0" w:color="auto"/>
            </w:tcBorders>
          </w:tcPr>
          <w:p w14:paraId="668AA660" w14:textId="77777777" w:rsidR="005617DE" w:rsidRPr="006E1EA3" w:rsidRDefault="005617DE" w:rsidP="004B4F1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701DA995" w14:textId="77777777" w:rsidR="005617DE" w:rsidRPr="006E1EA3" w:rsidRDefault="005617DE" w:rsidP="004B4F1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b/>
                <w:sz w:val="20"/>
                <w:szCs w:val="20"/>
              </w:rPr>
              <w:t>LOCATION</w:t>
            </w:r>
          </w:p>
        </w:tc>
      </w:tr>
      <w:tr w:rsidR="005617DE" w:rsidRPr="006E1EA3" w14:paraId="6E8B0913" w14:textId="77777777" w:rsidTr="004B4F11">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096" w:type="dxa"/>
            <w:tcBorders>
              <w:right w:val="none" w:sz="0" w:space="0" w:color="auto"/>
            </w:tcBorders>
            <w:hideMark/>
          </w:tcPr>
          <w:p w14:paraId="374AFC83" w14:textId="77777777" w:rsidR="005617DE" w:rsidRPr="006E1EA3" w:rsidRDefault="005617DE" w:rsidP="004B4F11">
            <w:pPr>
              <w:spacing w:line="360" w:lineRule="auto"/>
              <w:jc w:val="both"/>
              <w:rPr>
                <w:rFonts w:ascii="Arial" w:eastAsiaTheme="minorHAnsi" w:hAnsi="Arial" w:cs="Arial"/>
                <w:sz w:val="20"/>
                <w:szCs w:val="20"/>
              </w:rPr>
            </w:pPr>
            <w:r w:rsidRPr="006E1EA3">
              <w:rPr>
                <w:rFonts w:ascii="Arial" w:eastAsiaTheme="minorHAnsi" w:hAnsi="Arial" w:cs="Arial"/>
                <w:sz w:val="20"/>
                <w:szCs w:val="20"/>
              </w:rPr>
              <w:t>Borehole</w:t>
            </w:r>
          </w:p>
        </w:tc>
        <w:tc>
          <w:tcPr>
            <w:tcW w:w="1643" w:type="dxa"/>
          </w:tcPr>
          <w:p w14:paraId="52C5FCB7"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Lat.5.760526</w:t>
            </w:r>
            <w:r w:rsidRPr="006E1EA3">
              <w:rPr>
                <w:rFonts w:ascii="Arial" w:hAnsi="Arial" w:cs="Arial"/>
                <w:sz w:val="20"/>
                <w:szCs w:val="20"/>
                <w:vertAlign w:val="superscript"/>
              </w:rPr>
              <w:t>0</w:t>
            </w:r>
          </w:p>
          <w:p w14:paraId="107CCB21" w14:textId="77777777" w:rsidR="005617DE" w:rsidRPr="006E1EA3" w:rsidRDefault="005617DE" w:rsidP="004B4F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Lon.9.308535</w:t>
            </w:r>
            <w:r w:rsidRPr="006E1EA3">
              <w:rPr>
                <w:rFonts w:ascii="Arial" w:hAnsi="Arial" w:cs="Arial"/>
                <w:sz w:val="20"/>
                <w:szCs w:val="20"/>
                <w:vertAlign w:val="superscript"/>
              </w:rPr>
              <w:t>0</w:t>
            </w:r>
          </w:p>
        </w:tc>
        <w:tc>
          <w:tcPr>
            <w:tcW w:w="0" w:type="auto"/>
            <w:hideMark/>
          </w:tcPr>
          <w:p w14:paraId="1E8971E1"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9E283C1"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15.2</w:t>
            </w:r>
          </w:p>
        </w:tc>
        <w:tc>
          <w:tcPr>
            <w:tcW w:w="0" w:type="auto"/>
            <w:hideMark/>
          </w:tcPr>
          <w:p w14:paraId="21E553BD"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5CA3E37"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ND</w:t>
            </w:r>
          </w:p>
        </w:tc>
        <w:tc>
          <w:tcPr>
            <w:tcW w:w="1673" w:type="dxa"/>
            <w:hideMark/>
          </w:tcPr>
          <w:p w14:paraId="6AC1CBE6"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7B8236D"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ND</w:t>
            </w:r>
          </w:p>
        </w:tc>
        <w:tc>
          <w:tcPr>
            <w:tcW w:w="1379" w:type="dxa"/>
          </w:tcPr>
          <w:p w14:paraId="5E33E383" w14:textId="77777777" w:rsidR="005617DE" w:rsidRPr="006E1EA3" w:rsidRDefault="005617DE" w:rsidP="004B4F1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AC0D68" w14:textId="77777777" w:rsidR="005617DE" w:rsidRPr="006E1EA3" w:rsidRDefault="005617DE" w:rsidP="004B4F1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EGBEKAW</w:t>
            </w:r>
          </w:p>
        </w:tc>
      </w:tr>
      <w:tr w:rsidR="005617DE" w:rsidRPr="006E1EA3" w14:paraId="7BBA7A6A" w14:textId="77777777" w:rsidTr="004B4F11">
        <w:trPr>
          <w:trHeight w:val="93"/>
        </w:trPr>
        <w:tc>
          <w:tcPr>
            <w:cnfStyle w:val="001000000000" w:firstRow="0" w:lastRow="0" w:firstColumn="1" w:lastColumn="0" w:oddVBand="0" w:evenVBand="0" w:oddHBand="0" w:evenHBand="0" w:firstRowFirstColumn="0" w:firstRowLastColumn="0" w:lastRowFirstColumn="0" w:lastRowLastColumn="0"/>
            <w:tcW w:w="1096" w:type="dxa"/>
            <w:tcBorders>
              <w:right w:val="none" w:sz="0" w:space="0" w:color="auto"/>
            </w:tcBorders>
            <w:hideMark/>
          </w:tcPr>
          <w:p w14:paraId="66E803E1" w14:textId="77777777" w:rsidR="005617DE" w:rsidRPr="006E1EA3" w:rsidRDefault="005617DE" w:rsidP="004B4F11">
            <w:pPr>
              <w:spacing w:line="360" w:lineRule="auto"/>
              <w:jc w:val="both"/>
              <w:rPr>
                <w:rFonts w:ascii="Arial" w:eastAsiaTheme="minorHAnsi" w:hAnsi="Arial" w:cs="Arial"/>
                <w:sz w:val="20"/>
                <w:szCs w:val="20"/>
              </w:rPr>
            </w:pPr>
            <w:r w:rsidRPr="006E1EA3">
              <w:rPr>
                <w:rFonts w:ascii="Arial" w:eastAsiaTheme="minorHAnsi" w:hAnsi="Arial" w:cs="Arial"/>
                <w:sz w:val="20"/>
                <w:szCs w:val="20"/>
              </w:rPr>
              <w:t>Well</w:t>
            </w:r>
          </w:p>
        </w:tc>
        <w:tc>
          <w:tcPr>
            <w:tcW w:w="1643" w:type="dxa"/>
          </w:tcPr>
          <w:p w14:paraId="6DE9B0D1" w14:textId="77777777" w:rsidR="005617DE" w:rsidRPr="006E1EA3" w:rsidRDefault="005617DE" w:rsidP="004B4F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6E1EA3">
              <w:rPr>
                <w:rFonts w:ascii="Arial" w:hAnsi="Arial" w:cs="Arial"/>
                <w:sz w:val="20"/>
                <w:szCs w:val="20"/>
              </w:rPr>
              <w:t>Lat.5.758166</w:t>
            </w:r>
            <w:r w:rsidRPr="006E1EA3">
              <w:rPr>
                <w:rFonts w:ascii="Arial" w:hAnsi="Arial" w:cs="Arial"/>
                <w:sz w:val="20"/>
                <w:szCs w:val="20"/>
                <w:vertAlign w:val="superscript"/>
              </w:rPr>
              <w:t>0</w:t>
            </w:r>
          </w:p>
          <w:p w14:paraId="39313936" w14:textId="77777777" w:rsidR="005617DE" w:rsidRPr="006E1EA3" w:rsidRDefault="005617DE" w:rsidP="004B4F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Lon.9.308535</w:t>
            </w:r>
            <w:r w:rsidRPr="006E1EA3">
              <w:rPr>
                <w:rFonts w:ascii="Arial" w:hAnsi="Arial" w:cs="Arial"/>
                <w:sz w:val="20"/>
                <w:szCs w:val="20"/>
                <w:vertAlign w:val="superscript"/>
              </w:rPr>
              <w:t>0</w:t>
            </w:r>
          </w:p>
        </w:tc>
        <w:tc>
          <w:tcPr>
            <w:tcW w:w="0" w:type="auto"/>
            <w:hideMark/>
          </w:tcPr>
          <w:p w14:paraId="306CAD0D"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4379CCB"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453.1</w:t>
            </w:r>
          </w:p>
        </w:tc>
        <w:tc>
          <w:tcPr>
            <w:tcW w:w="0" w:type="auto"/>
            <w:hideMark/>
          </w:tcPr>
          <w:p w14:paraId="7487061D"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B0275BA"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60.5</w:t>
            </w:r>
          </w:p>
        </w:tc>
        <w:tc>
          <w:tcPr>
            <w:tcW w:w="1673" w:type="dxa"/>
            <w:hideMark/>
          </w:tcPr>
          <w:p w14:paraId="286B4FB1"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7DCFB2A"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220.4</w:t>
            </w:r>
          </w:p>
        </w:tc>
        <w:tc>
          <w:tcPr>
            <w:tcW w:w="1379" w:type="dxa"/>
          </w:tcPr>
          <w:p w14:paraId="339C4723" w14:textId="77777777" w:rsidR="005617DE" w:rsidRPr="006E1EA3" w:rsidRDefault="005617DE" w:rsidP="004B4F1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MAINSTREET</w:t>
            </w:r>
          </w:p>
          <w:p w14:paraId="0D61CB21" w14:textId="77777777" w:rsidR="005617DE" w:rsidRPr="006E1EA3" w:rsidRDefault="005617DE" w:rsidP="004B4F1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MAMFE</w:t>
            </w:r>
          </w:p>
        </w:tc>
      </w:tr>
      <w:tr w:rsidR="005617DE" w:rsidRPr="006E1EA3" w14:paraId="3D1E7B34" w14:textId="77777777" w:rsidTr="004B4F11">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096" w:type="dxa"/>
            <w:tcBorders>
              <w:right w:val="none" w:sz="0" w:space="0" w:color="auto"/>
            </w:tcBorders>
            <w:hideMark/>
          </w:tcPr>
          <w:p w14:paraId="3BF73503" w14:textId="77777777" w:rsidR="005617DE" w:rsidRPr="006E1EA3" w:rsidRDefault="005617DE" w:rsidP="004B4F11">
            <w:pPr>
              <w:spacing w:line="360" w:lineRule="auto"/>
              <w:jc w:val="both"/>
              <w:rPr>
                <w:rFonts w:ascii="Arial" w:eastAsiaTheme="minorHAnsi" w:hAnsi="Arial" w:cs="Arial"/>
                <w:sz w:val="20"/>
                <w:szCs w:val="20"/>
              </w:rPr>
            </w:pPr>
            <w:r w:rsidRPr="006E1EA3">
              <w:rPr>
                <w:rFonts w:ascii="Arial" w:eastAsiaTheme="minorHAnsi" w:hAnsi="Arial" w:cs="Arial"/>
                <w:sz w:val="20"/>
                <w:szCs w:val="20"/>
              </w:rPr>
              <w:t>Spring</w:t>
            </w:r>
          </w:p>
        </w:tc>
        <w:tc>
          <w:tcPr>
            <w:tcW w:w="1643" w:type="dxa"/>
          </w:tcPr>
          <w:p w14:paraId="15B97B59" w14:textId="77777777" w:rsidR="005617DE" w:rsidRPr="006E1EA3" w:rsidRDefault="005617DE" w:rsidP="004B4F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6E1EA3">
              <w:rPr>
                <w:rFonts w:ascii="Arial" w:hAnsi="Arial" w:cs="Arial"/>
                <w:sz w:val="20"/>
                <w:szCs w:val="20"/>
              </w:rPr>
              <w:t>Lat.5.728255</w:t>
            </w:r>
            <w:r w:rsidRPr="006E1EA3">
              <w:rPr>
                <w:rFonts w:ascii="Arial" w:hAnsi="Arial" w:cs="Arial"/>
                <w:sz w:val="20"/>
                <w:szCs w:val="20"/>
                <w:vertAlign w:val="superscript"/>
              </w:rPr>
              <w:t>0</w:t>
            </w:r>
          </w:p>
          <w:p w14:paraId="07BDD536" w14:textId="77777777" w:rsidR="005617DE" w:rsidRPr="006E1EA3" w:rsidRDefault="005617DE" w:rsidP="004B4F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Lon.9.352221</w:t>
            </w:r>
            <w:r w:rsidRPr="006E1EA3">
              <w:rPr>
                <w:rFonts w:ascii="Arial" w:hAnsi="Arial" w:cs="Arial"/>
                <w:sz w:val="20"/>
                <w:szCs w:val="20"/>
                <w:vertAlign w:val="superscript"/>
              </w:rPr>
              <w:t>0</w:t>
            </w:r>
          </w:p>
        </w:tc>
        <w:tc>
          <w:tcPr>
            <w:tcW w:w="0" w:type="auto"/>
            <w:hideMark/>
          </w:tcPr>
          <w:p w14:paraId="18A91DDC"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AEB3EF7"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170.5</w:t>
            </w:r>
          </w:p>
        </w:tc>
        <w:tc>
          <w:tcPr>
            <w:tcW w:w="0" w:type="auto"/>
            <w:hideMark/>
          </w:tcPr>
          <w:p w14:paraId="1DDB4C7E"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112518C"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16.5</w:t>
            </w:r>
          </w:p>
        </w:tc>
        <w:tc>
          <w:tcPr>
            <w:tcW w:w="1673" w:type="dxa"/>
            <w:hideMark/>
          </w:tcPr>
          <w:p w14:paraId="36CF1E2F" w14:textId="77777777" w:rsidR="005617DE" w:rsidRPr="006E1EA3" w:rsidRDefault="005617DE" w:rsidP="004B4F11">
            <w:pPr>
              <w:tabs>
                <w:tab w:val="left" w:pos="472"/>
                <w:tab w:val="center" w:pos="728"/>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ab/>
            </w:r>
          </w:p>
          <w:p w14:paraId="42C5BF00" w14:textId="77777777" w:rsidR="005617DE" w:rsidRPr="006E1EA3" w:rsidRDefault="005617DE" w:rsidP="004B4F11">
            <w:pPr>
              <w:tabs>
                <w:tab w:val="left" w:pos="472"/>
                <w:tab w:val="center" w:pos="728"/>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ab/>
              <w:t>7.6</w:t>
            </w:r>
          </w:p>
        </w:tc>
        <w:tc>
          <w:tcPr>
            <w:tcW w:w="1379" w:type="dxa"/>
          </w:tcPr>
          <w:p w14:paraId="373D44B5" w14:textId="77777777" w:rsidR="005617DE" w:rsidRPr="006E1EA3" w:rsidRDefault="005617DE" w:rsidP="004B4F1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481A833" w14:textId="77777777" w:rsidR="005617DE" w:rsidRPr="006E1EA3" w:rsidRDefault="005617DE" w:rsidP="004B4F1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OKOYONG</w:t>
            </w:r>
          </w:p>
        </w:tc>
      </w:tr>
      <w:tr w:rsidR="005617DE" w:rsidRPr="006E1EA3" w14:paraId="4ACE8353" w14:textId="77777777" w:rsidTr="004B4F11">
        <w:trPr>
          <w:trHeight w:val="70"/>
        </w:trPr>
        <w:tc>
          <w:tcPr>
            <w:cnfStyle w:val="001000000000" w:firstRow="0" w:lastRow="0" w:firstColumn="1" w:lastColumn="0" w:oddVBand="0" w:evenVBand="0" w:oddHBand="0" w:evenHBand="0" w:firstRowFirstColumn="0" w:firstRowLastColumn="0" w:lastRowFirstColumn="0" w:lastRowLastColumn="0"/>
            <w:tcW w:w="1096" w:type="dxa"/>
            <w:tcBorders>
              <w:right w:val="none" w:sz="0" w:space="0" w:color="auto"/>
            </w:tcBorders>
            <w:hideMark/>
          </w:tcPr>
          <w:p w14:paraId="55694917" w14:textId="77777777" w:rsidR="005617DE" w:rsidRPr="006E1EA3" w:rsidRDefault="005617DE" w:rsidP="004B4F11">
            <w:pPr>
              <w:spacing w:line="360" w:lineRule="auto"/>
              <w:jc w:val="both"/>
              <w:rPr>
                <w:rFonts w:ascii="Arial" w:eastAsiaTheme="minorHAnsi" w:hAnsi="Arial" w:cs="Arial"/>
                <w:sz w:val="20"/>
                <w:szCs w:val="20"/>
              </w:rPr>
            </w:pPr>
            <w:r w:rsidRPr="006E1EA3">
              <w:rPr>
                <w:rFonts w:ascii="Arial" w:eastAsiaTheme="minorHAnsi" w:hAnsi="Arial" w:cs="Arial"/>
                <w:sz w:val="20"/>
                <w:szCs w:val="20"/>
              </w:rPr>
              <w:t>River</w:t>
            </w:r>
          </w:p>
        </w:tc>
        <w:tc>
          <w:tcPr>
            <w:tcW w:w="1643" w:type="dxa"/>
          </w:tcPr>
          <w:p w14:paraId="4325D0F8" w14:textId="77777777" w:rsidR="005617DE" w:rsidRPr="006E1EA3" w:rsidRDefault="005617DE" w:rsidP="004B4F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6E1EA3">
              <w:rPr>
                <w:rFonts w:ascii="Arial" w:hAnsi="Arial" w:cs="Arial"/>
                <w:sz w:val="20"/>
                <w:szCs w:val="20"/>
              </w:rPr>
              <w:t>Lat.5.754264</w:t>
            </w:r>
            <w:r w:rsidRPr="006E1EA3">
              <w:rPr>
                <w:rFonts w:ascii="Arial" w:hAnsi="Arial" w:cs="Arial"/>
                <w:sz w:val="20"/>
                <w:szCs w:val="20"/>
                <w:vertAlign w:val="superscript"/>
              </w:rPr>
              <w:t>0</w:t>
            </w:r>
          </w:p>
          <w:p w14:paraId="1CCE9D3A" w14:textId="77777777" w:rsidR="005617DE" w:rsidRPr="006E1EA3" w:rsidRDefault="005617DE" w:rsidP="004B4F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Lon.9.313388</w:t>
            </w:r>
            <w:r w:rsidRPr="006E1EA3">
              <w:rPr>
                <w:rFonts w:ascii="Arial" w:hAnsi="Arial" w:cs="Arial"/>
                <w:sz w:val="20"/>
                <w:szCs w:val="20"/>
                <w:vertAlign w:val="superscript"/>
              </w:rPr>
              <w:t>0</w:t>
            </w:r>
          </w:p>
        </w:tc>
        <w:tc>
          <w:tcPr>
            <w:tcW w:w="0" w:type="auto"/>
            <w:hideMark/>
          </w:tcPr>
          <w:p w14:paraId="3D727976"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BAA70F7"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290.4</w:t>
            </w:r>
          </w:p>
        </w:tc>
        <w:tc>
          <w:tcPr>
            <w:tcW w:w="0" w:type="auto"/>
            <w:hideMark/>
          </w:tcPr>
          <w:p w14:paraId="04BCB06A"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C88F93"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34.3</w:t>
            </w:r>
          </w:p>
        </w:tc>
        <w:tc>
          <w:tcPr>
            <w:tcW w:w="1673" w:type="dxa"/>
            <w:hideMark/>
          </w:tcPr>
          <w:p w14:paraId="0A38D5AB" w14:textId="77777777" w:rsidR="005617DE" w:rsidRPr="006E1EA3" w:rsidRDefault="005617DE" w:rsidP="004B4F11">
            <w:pPr>
              <w:tabs>
                <w:tab w:val="left" w:pos="449"/>
                <w:tab w:val="center" w:pos="728"/>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ab/>
            </w:r>
          </w:p>
          <w:p w14:paraId="4169BDBD" w14:textId="77777777" w:rsidR="005617DE" w:rsidRPr="006E1EA3" w:rsidRDefault="005617DE" w:rsidP="004B4F11">
            <w:pPr>
              <w:tabs>
                <w:tab w:val="left" w:pos="449"/>
                <w:tab w:val="center" w:pos="728"/>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ab/>
              <w:t>36.5</w:t>
            </w:r>
          </w:p>
        </w:tc>
        <w:tc>
          <w:tcPr>
            <w:tcW w:w="1379" w:type="dxa"/>
          </w:tcPr>
          <w:p w14:paraId="10A0D37B" w14:textId="77777777" w:rsidR="005617DE" w:rsidRPr="006E1EA3" w:rsidRDefault="005617DE" w:rsidP="004B4F11">
            <w:pPr>
              <w:autoSpaceDE w:val="0"/>
              <w:autoSpaceDN w:val="0"/>
              <w:adjustRightInd w:val="0"/>
              <w:spacing w:before="120" w:after="120"/>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sz w:val="20"/>
                <w:szCs w:val="20"/>
              </w:rPr>
            </w:pPr>
            <w:bookmarkStart w:id="7" w:name="_Toc207024797"/>
            <w:bookmarkStart w:id="8" w:name="_Toc217863198"/>
            <w:bookmarkStart w:id="9" w:name="_Toc218100315"/>
            <w:bookmarkStart w:id="10" w:name="_Toc218100635"/>
            <w:bookmarkStart w:id="11" w:name="_Toc218100863"/>
            <w:r w:rsidRPr="006E1EA3">
              <w:rPr>
                <w:rFonts w:ascii="Arial" w:hAnsi="Arial" w:cs="Arial"/>
                <w:bCs/>
                <w:iCs/>
                <w:color w:val="000000"/>
                <w:sz w:val="20"/>
                <w:szCs w:val="20"/>
              </w:rPr>
              <w:t>JOHNHOLT</w:t>
            </w:r>
            <w:bookmarkEnd w:id="7"/>
            <w:bookmarkEnd w:id="8"/>
            <w:bookmarkEnd w:id="9"/>
            <w:bookmarkEnd w:id="10"/>
            <w:bookmarkEnd w:id="11"/>
          </w:p>
          <w:p w14:paraId="04DDC4AB" w14:textId="77777777" w:rsidR="005617DE" w:rsidRPr="006E1EA3" w:rsidRDefault="005617DE" w:rsidP="004B4F1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MAMFE</w:t>
            </w:r>
          </w:p>
        </w:tc>
      </w:tr>
      <w:tr w:rsidR="005617DE" w:rsidRPr="006E1EA3" w14:paraId="4BFABC53" w14:textId="77777777" w:rsidTr="004B4F11">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1096" w:type="dxa"/>
            <w:tcBorders>
              <w:right w:val="none" w:sz="0" w:space="0" w:color="auto"/>
            </w:tcBorders>
            <w:hideMark/>
          </w:tcPr>
          <w:p w14:paraId="6F90F19F" w14:textId="77777777" w:rsidR="005617DE" w:rsidRPr="006E1EA3" w:rsidRDefault="005617DE" w:rsidP="004B4F11">
            <w:pPr>
              <w:spacing w:line="360" w:lineRule="auto"/>
              <w:jc w:val="both"/>
              <w:rPr>
                <w:rFonts w:ascii="Arial" w:eastAsiaTheme="minorHAnsi" w:hAnsi="Arial" w:cs="Arial"/>
                <w:sz w:val="20"/>
                <w:szCs w:val="20"/>
              </w:rPr>
            </w:pPr>
            <w:r w:rsidRPr="006E1EA3">
              <w:rPr>
                <w:rFonts w:ascii="Arial" w:eastAsiaTheme="minorHAnsi" w:hAnsi="Arial" w:cs="Arial"/>
                <w:sz w:val="20"/>
                <w:szCs w:val="20"/>
              </w:rPr>
              <w:t>Stream</w:t>
            </w:r>
          </w:p>
        </w:tc>
        <w:tc>
          <w:tcPr>
            <w:tcW w:w="1643" w:type="dxa"/>
          </w:tcPr>
          <w:p w14:paraId="2692653D" w14:textId="77777777" w:rsidR="005617DE" w:rsidRPr="006E1EA3" w:rsidRDefault="005617DE" w:rsidP="004B4F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6E1EA3">
              <w:rPr>
                <w:rFonts w:ascii="Arial" w:hAnsi="Arial" w:cs="Arial"/>
                <w:sz w:val="20"/>
                <w:szCs w:val="20"/>
              </w:rPr>
              <w:t>Lat.5.754264</w:t>
            </w:r>
            <w:r w:rsidRPr="006E1EA3">
              <w:rPr>
                <w:rFonts w:ascii="Arial" w:hAnsi="Arial" w:cs="Arial"/>
                <w:sz w:val="20"/>
                <w:szCs w:val="20"/>
                <w:vertAlign w:val="superscript"/>
              </w:rPr>
              <w:t>0</w:t>
            </w:r>
          </w:p>
          <w:p w14:paraId="59428E08"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Lon.9.313388</w:t>
            </w:r>
            <w:r w:rsidRPr="006E1EA3">
              <w:rPr>
                <w:rFonts w:ascii="Arial" w:hAnsi="Arial" w:cs="Arial"/>
                <w:sz w:val="20"/>
                <w:szCs w:val="20"/>
                <w:vertAlign w:val="superscript"/>
              </w:rPr>
              <w:t>0</w:t>
            </w:r>
          </w:p>
        </w:tc>
        <w:tc>
          <w:tcPr>
            <w:tcW w:w="0" w:type="auto"/>
            <w:hideMark/>
          </w:tcPr>
          <w:p w14:paraId="694F9D93"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E5CF3FC"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490.2</w:t>
            </w:r>
          </w:p>
        </w:tc>
        <w:tc>
          <w:tcPr>
            <w:tcW w:w="0" w:type="auto"/>
            <w:hideMark/>
          </w:tcPr>
          <w:p w14:paraId="3F08CD62"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FBC0357"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71.3</w:t>
            </w:r>
          </w:p>
        </w:tc>
        <w:tc>
          <w:tcPr>
            <w:tcW w:w="1673" w:type="dxa"/>
            <w:hideMark/>
          </w:tcPr>
          <w:p w14:paraId="7AD8F92B"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0DBDB48" w14:textId="77777777" w:rsidR="005617DE" w:rsidRPr="006E1EA3" w:rsidRDefault="005617DE" w:rsidP="004B4F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90.2</w:t>
            </w:r>
          </w:p>
        </w:tc>
        <w:tc>
          <w:tcPr>
            <w:tcW w:w="1379" w:type="dxa"/>
          </w:tcPr>
          <w:p w14:paraId="3D785251" w14:textId="77777777" w:rsidR="005617DE" w:rsidRPr="006E1EA3" w:rsidRDefault="005617DE" w:rsidP="004B4F1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1EA3">
              <w:rPr>
                <w:rFonts w:ascii="Arial" w:hAnsi="Arial" w:cs="Arial"/>
                <w:sz w:val="20"/>
                <w:szCs w:val="20"/>
              </w:rPr>
              <w:t>BANYA QUARTER</w:t>
            </w:r>
          </w:p>
        </w:tc>
      </w:tr>
      <w:tr w:rsidR="005617DE" w:rsidRPr="006E1EA3" w14:paraId="325771A8" w14:textId="77777777" w:rsidTr="004B4F11">
        <w:trPr>
          <w:trHeight w:val="245"/>
        </w:trPr>
        <w:tc>
          <w:tcPr>
            <w:cnfStyle w:val="001000000000" w:firstRow="0" w:lastRow="0" w:firstColumn="1" w:lastColumn="0" w:oddVBand="0" w:evenVBand="0" w:oddHBand="0" w:evenHBand="0" w:firstRowFirstColumn="0" w:firstRowLastColumn="0" w:lastRowFirstColumn="0" w:lastRowLastColumn="0"/>
            <w:tcW w:w="1096" w:type="dxa"/>
            <w:tcBorders>
              <w:right w:val="none" w:sz="0" w:space="0" w:color="auto"/>
            </w:tcBorders>
            <w:hideMark/>
          </w:tcPr>
          <w:p w14:paraId="6D17A041" w14:textId="77777777" w:rsidR="005617DE" w:rsidRPr="006E1EA3" w:rsidRDefault="005617DE" w:rsidP="004B4F11">
            <w:pPr>
              <w:spacing w:line="360" w:lineRule="auto"/>
              <w:jc w:val="both"/>
              <w:rPr>
                <w:rFonts w:ascii="Arial" w:eastAsiaTheme="minorHAnsi" w:hAnsi="Arial" w:cs="Arial"/>
                <w:sz w:val="20"/>
                <w:szCs w:val="20"/>
              </w:rPr>
            </w:pPr>
            <w:r w:rsidRPr="006E1EA3">
              <w:rPr>
                <w:rFonts w:ascii="Arial" w:eastAsiaTheme="minorHAnsi" w:hAnsi="Arial" w:cs="Arial"/>
                <w:sz w:val="20"/>
                <w:szCs w:val="20"/>
              </w:rPr>
              <w:t>Pipe borne</w:t>
            </w:r>
          </w:p>
        </w:tc>
        <w:tc>
          <w:tcPr>
            <w:tcW w:w="1643" w:type="dxa"/>
          </w:tcPr>
          <w:p w14:paraId="3E6BD13A" w14:textId="77777777" w:rsidR="005617DE" w:rsidRPr="006E1EA3" w:rsidRDefault="005617DE" w:rsidP="004B4F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6E1EA3">
              <w:rPr>
                <w:rFonts w:ascii="Arial" w:hAnsi="Arial" w:cs="Arial"/>
                <w:sz w:val="20"/>
                <w:szCs w:val="20"/>
              </w:rPr>
              <w:t>Lat.5.758088</w:t>
            </w:r>
            <w:r w:rsidRPr="006E1EA3">
              <w:rPr>
                <w:rFonts w:ascii="Arial" w:hAnsi="Arial" w:cs="Arial"/>
                <w:sz w:val="20"/>
                <w:szCs w:val="20"/>
                <w:vertAlign w:val="superscript"/>
              </w:rPr>
              <w:t>0</w:t>
            </w:r>
          </w:p>
          <w:p w14:paraId="49468266" w14:textId="77777777" w:rsidR="005617DE" w:rsidRPr="006E1EA3" w:rsidRDefault="005617DE" w:rsidP="004B4F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Lon.9.311017</w:t>
            </w:r>
            <w:r w:rsidRPr="006E1EA3">
              <w:rPr>
                <w:rFonts w:ascii="Arial" w:hAnsi="Arial" w:cs="Arial"/>
                <w:sz w:val="20"/>
                <w:szCs w:val="20"/>
                <w:vertAlign w:val="superscript"/>
              </w:rPr>
              <w:t>0</w:t>
            </w:r>
          </w:p>
        </w:tc>
        <w:tc>
          <w:tcPr>
            <w:tcW w:w="0" w:type="auto"/>
            <w:hideMark/>
          </w:tcPr>
          <w:p w14:paraId="31056536"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708A082"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226.5</w:t>
            </w:r>
          </w:p>
        </w:tc>
        <w:tc>
          <w:tcPr>
            <w:tcW w:w="0" w:type="auto"/>
            <w:hideMark/>
          </w:tcPr>
          <w:p w14:paraId="61027789"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6B0BA95"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45.3</w:t>
            </w:r>
          </w:p>
        </w:tc>
        <w:tc>
          <w:tcPr>
            <w:tcW w:w="1673" w:type="dxa"/>
            <w:hideMark/>
          </w:tcPr>
          <w:p w14:paraId="34F2AA9D"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C88239F" w14:textId="77777777" w:rsidR="005617DE" w:rsidRPr="006E1EA3" w:rsidRDefault="005617DE" w:rsidP="004B4F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81.4</w:t>
            </w:r>
          </w:p>
        </w:tc>
        <w:tc>
          <w:tcPr>
            <w:tcW w:w="1379" w:type="dxa"/>
          </w:tcPr>
          <w:p w14:paraId="6DCB7BC0" w14:textId="77777777" w:rsidR="005617DE" w:rsidRPr="006E1EA3" w:rsidRDefault="005617DE" w:rsidP="004B4F1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EA3">
              <w:rPr>
                <w:rFonts w:ascii="Arial" w:hAnsi="Arial" w:cs="Arial"/>
                <w:sz w:val="20"/>
                <w:szCs w:val="20"/>
              </w:rPr>
              <w:t>LALA QUARTER</w:t>
            </w:r>
          </w:p>
        </w:tc>
      </w:tr>
    </w:tbl>
    <w:p w14:paraId="2EFC6790" w14:textId="4C3190EA" w:rsidR="005617DE" w:rsidRPr="006E1EA3" w:rsidRDefault="005617DE" w:rsidP="005617DE">
      <w:pPr>
        <w:tabs>
          <w:tab w:val="center" w:pos="4513"/>
          <w:tab w:val="left" w:pos="8214"/>
        </w:tabs>
        <w:spacing w:line="360" w:lineRule="auto"/>
        <w:rPr>
          <w:rFonts w:ascii="Arial" w:hAnsi="Arial" w:cs="Arial"/>
          <w:sz w:val="20"/>
          <w:szCs w:val="20"/>
        </w:rPr>
      </w:pPr>
      <w:r w:rsidRPr="006E1EA3">
        <w:rPr>
          <w:rFonts w:ascii="Arial" w:hAnsi="Arial" w:cs="Arial"/>
          <w:sz w:val="20"/>
          <w:szCs w:val="20"/>
        </w:rPr>
        <w:tab/>
        <w:t xml:space="preserve">Source: URASCE of the University of </w:t>
      </w:r>
      <w:proofErr w:type="spellStart"/>
      <w:r w:rsidRPr="006E1EA3">
        <w:rPr>
          <w:rFonts w:ascii="Arial" w:hAnsi="Arial" w:cs="Arial"/>
          <w:sz w:val="20"/>
          <w:szCs w:val="20"/>
        </w:rPr>
        <w:t>Dschang</w:t>
      </w:r>
      <w:proofErr w:type="spellEnd"/>
    </w:p>
    <w:p w14:paraId="3493E9A0" w14:textId="77777777" w:rsidR="001B2BC0" w:rsidRPr="00AF3F3C" w:rsidRDefault="001B2BC0" w:rsidP="004A5A50">
      <w:pPr>
        <w:pStyle w:val="Heading2"/>
        <w:spacing w:line="360" w:lineRule="auto"/>
        <w:jc w:val="both"/>
        <w:rPr>
          <w:rFonts w:ascii="Arial Black" w:hAnsi="Arial Black"/>
          <w:sz w:val="22"/>
          <w:szCs w:val="22"/>
        </w:rPr>
      </w:pPr>
      <w:r w:rsidRPr="00AF3F3C">
        <w:rPr>
          <w:rFonts w:ascii="Arial Black" w:hAnsi="Arial Black"/>
          <w:sz w:val="22"/>
          <w:szCs w:val="22"/>
        </w:rPr>
        <w:t>3.6 Statistical Verification of the Hypothesis</w:t>
      </w:r>
    </w:p>
    <w:p w14:paraId="29766496" w14:textId="37D5FC0E" w:rsidR="001B2BC0" w:rsidRPr="00AF3F3C" w:rsidRDefault="001B2BC0" w:rsidP="004A5A50">
      <w:pPr>
        <w:spacing w:before="80" w:after="80" w:line="360" w:lineRule="auto"/>
        <w:jc w:val="both"/>
        <w:rPr>
          <w:rFonts w:ascii="Arial" w:hAnsi="Arial" w:cs="Arial"/>
          <w:sz w:val="20"/>
          <w:szCs w:val="20"/>
        </w:rPr>
      </w:pPr>
      <w:r w:rsidRPr="00AF3F3C">
        <w:rPr>
          <w:rFonts w:ascii="Arial" w:hAnsi="Arial" w:cs="Arial"/>
          <w:sz w:val="20"/>
          <w:szCs w:val="20"/>
        </w:rPr>
        <w:t xml:space="preserve">To test the relationship between environmental sanitation and water quality in </w:t>
      </w:r>
      <w:proofErr w:type="spellStart"/>
      <w:r w:rsidRPr="00AF3F3C">
        <w:rPr>
          <w:rFonts w:ascii="Arial" w:hAnsi="Arial" w:cs="Arial"/>
          <w:sz w:val="20"/>
          <w:szCs w:val="20"/>
        </w:rPr>
        <w:t>Mamfe</w:t>
      </w:r>
      <w:proofErr w:type="spellEnd"/>
      <w:r w:rsidRPr="00AF3F3C">
        <w:rPr>
          <w:rFonts w:ascii="Arial" w:hAnsi="Arial" w:cs="Arial"/>
          <w:sz w:val="20"/>
          <w:szCs w:val="20"/>
        </w:rPr>
        <w:t xml:space="preserve"> Central Sub-Division, Pearson correlation analysis was performed on composite sanitation and water quality scores. Results show a strong positive correlation (r = 0.876, p &lt; 0.001) between environmental sanitation conditions and water quality, confirming that as sanitation conditions deteriorate through increased waste dumping, poor drainage, and inadequate sewage management, water quality deter</w:t>
      </w:r>
      <w:r w:rsidR="00A05FC3" w:rsidRPr="00AF3F3C">
        <w:rPr>
          <w:rFonts w:ascii="Arial" w:hAnsi="Arial" w:cs="Arial"/>
          <w:sz w:val="20"/>
          <w:szCs w:val="20"/>
        </w:rPr>
        <w:t>iorates correspondingly (Tabl</w:t>
      </w:r>
      <w:r w:rsidR="005617DE" w:rsidRPr="00AF3F3C">
        <w:rPr>
          <w:rFonts w:ascii="Arial" w:hAnsi="Arial" w:cs="Arial"/>
          <w:sz w:val="20"/>
          <w:szCs w:val="20"/>
        </w:rPr>
        <w:t>e 10</w:t>
      </w:r>
      <w:r w:rsidRPr="00AF3F3C">
        <w:rPr>
          <w:rFonts w:ascii="Arial" w:hAnsi="Arial" w:cs="Arial"/>
          <w:sz w:val="20"/>
          <w:szCs w:val="20"/>
        </w:rPr>
        <w:t>).</w:t>
      </w:r>
    </w:p>
    <w:p w14:paraId="3DFD9094" w14:textId="2D7A65E2" w:rsidR="001B2BC0" w:rsidRPr="00AF3F3C" w:rsidRDefault="005617DE" w:rsidP="006C013C">
      <w:pPr>
        <w:spacing w:before="160" w:after="60" w:line="360" w:lineRule="auto"/>
        <w:jc w:val="center"/>
        <w:rPr>
          <w:rFonts w:ascii="Arial" w:hAnsi="Arial" w:cs="Arial"/>
          <w:sz w:val="20"/>
          <w:szCs w:val="20"/>
        </w:rPr>
      </w:pPr>
      <w:r w:rsidRPr="00AF3F3C">
        <w:rPr>
          <w:rFonts w:ascii="Arial" w:hAnsi="Arial" w:cs="Arial"/>
          <w:b/>
          <w:bCs/>
          <w:sz w:val="20"/>
          <w:szCs w:val="20"/>
        </w:rPr>
        <w:t>Table 10</w:t>
      </w:r>
      <w:r w:rsidR="001B2BC0" w:rsidRPr="00AF3F3C">
        <w:rPr>
          <w:rFonts w:ascii="Arial" w:hAnsi="Arial" w:cs="Arial"/>
          <w:b/>
          <w:bCs/>
          <w:sz w:val="20"/>
          <w:szCs w:val="20"/>
        </w:rPr>
        <w:t xml:space="preserve">: Correlation </w:t>
      </w:r>
      <w:r w:rsidR="00A0718F" w:rsidRPr="00AF3F3C">
        <w:rPr>
          <w:rFonts w:ascii="Arial" w:hAnsi="Arial" w:cs="Arial"/>
          <w:b/>
          <w:bCs/>
          <w:sz w:val="20"/>
          <w:szCs w:val="20"/>
        </w:rPr>
        <w:t>between</w:t>
      </w:r>
      <w:r w:rsidR="001B2BC0" w:rsidRPr="00AF3F3C">
        <w:rPr>
          <w:rFonts w:ascii="Arial" w:hAnsi="Arial" w:cs="Arial"/>
          <w:b/>
          <w:bCs/>
          <w:sz w:val="20"/>
          <w:szCs w:val="20"/>
        </w:rPr>
        <w:t xml:space="preserve"> Environmental Sanitation and Water Quality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2880"/>
        <w:gridCol w:w="2880"/>
      </w:tblGrid>
      <w:tr w:rsidR="001B2BC0" w:rsidRPr="00AF3F3C" w14:paraId="431A3F32" w14:textId="77777777" w:rsidTr="004B4F11">
        <w:tc>
          <w:tcPr>
            <w:tcW w:w="36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43A05F8C" w14:textId="77777777" w:rsidR="001B2BC0" w:rsidRPr="00AF3F3C" w:rsidRDefault="001B2BC0" w:rsidP="004B4F11">
            <w:pPr>
              <w:jc w:val="both"/>
              <w:rPr>
                <w:rFonts w:ascii="Arial" w:hAnsi="Arial" w:cs="Arial"/>
                <w:sz w:val="20"/>
                <w:szCs w:val="20"/>
              </w:rPr>
            </w:pPr>
            <w:r w:rsidRPr="00AF3F3C">
              <w:rPr>
                <w:rFonts w:ascii="Arial" w:hAnsi="Arial" w:cs="Arial"/>
                <w:b/>
                <w:bCs/>
                <w:sz w:val="20"/>
                <w:szCs w:val="20"/>
              </w:rPr>
              <w:t>Variable</w:t>
            </w:r>
          </w:p>
        </w:tc>
        <w:tc>
          <w:tcPr>
            <w:tcW w:w="288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7A7E5945" w14:textId="77777777" w:rsidR="001B2BC0" w:rsidRPr="00AF3F3C" w:rsidRDefault="001B2BC0" w:rsidP="004B4F11">
            <w:pPr>
              <w:jc w:val="both"/>
              <w:rPr>
                <w:rFonts w:ascii="Arial" w:hAnsi="Arial" w:cs="Arial"/>
                <w:sz w:val="20"/>
                <w:szCs w:val="20"/>
              </w:rPr>
            </w:pPr>
            <w:r w:rsidRPr="00AF3F3C">
              <w:rPr>
                <w:rFonts w:ascii="Arial" w:hAnsi="Arial" w:cs="Arial"/>
                <w:b/>
                <w:bCs/>
                <w:sz w:val="20"/>
                <w:szCs w:val="20"/>
              </w:rPr>
              <w:t>Environmental Sanitation</w:t>
            </w:r>
          </w:p>
        </w:tc>
        <w:tc>
          <w:tcPr>
            <w:tcW w:w="288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5C339CFB" w14:textId="77777777" w:rsidR="001B2BC0" w:rsidRPr="00AF3F3C" w:rsidRDefault="001B2BC0" w:rsidP="004B4F11">
            <w:pPr>
              <w:jc w:val="both"/>
              <w:rPr>
                <w:rFonts w:ascii="Arial" w:hAnsi="Arial" w:cs="Arial"/>
                <w:sz w:val="20"/>
                <w:szCs w:val="20"/>
              </w:rPr>
            </w:pPr>
            <w:r w:rsidRPr="00AF3F3C">
              <w:rPr>
                <w:rFonts w:ascii="Arial" w:hAnsi="Arial" w:cs="Arial"/>
                <w:b/>
                <w:bCs/>
                <w:sz w:val="20"/>
                <w:szCs w:val="20"/>
              </w:rPr>
              <w:t>Water Quality</w:t>
            </w:r>
          </w:p>
        </w:tc>
      </w:tr>
      <w:tr w:rsidR="001B2BC0" w:rsidRPr="00AF3F3C" w14:paraId="1CBEA357" w14:textId="77777777" w:rsidTr="004B4F11">
        <w:tc>
          <w:tcPr>
            <w:tcW w:w="36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0F73E39" w14:textId="77777777" w:rsidR="001B2BC0" w:rsidRPr="00AF3F3C" w:rsidRDefault="001B2BC0" w:rsidP="004B4F11">
            <w:pPr>
              <w:jc w:val="both"/>
              <w:rPr>
                <w:rFonts w:ascii="Arial" w:hAnsi="Arial" w:cs="Arial"/>
                <w:sz w:val="20"/>
                <w:szCs w:val="20"/>
              </w:rPr>
            </w:pPr>
            <w:r w:rsidRPr="00AF3F3C">
              <w:rPr>
                <w:rFonts w:ascii="Arial" w:hAnsi="Arial" w:cs="Arial"/>
                <w:sz w:val="20"/>
                <w:szCs w:val="20"/>
              </w:rPr>
              <w:t>Environmental Sanitation</w:t>
            </w:r>
          </w:p>
        </w:tc>
        <w:tc>
          <w:tcPr>
            <w:tcW w:w="288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81B017A" w14:textId="77777777" w:rsidR="001B2BC0" w:rsidRPr="00AF3F3C" w:rsidRDefault="001B2BC0" w:rsidP="004B4F11">
            <w:pPr>
              <w:jc w:val="both"/>
              <w:rPr>
                <w:rFonts w:ascii="Arial" w:hAnsi="Arial" w:cs="Arial"/>
                <w:sz w:val="20"/>
                <w:szCs w:val="20"/>
              </w:rPr>
            </w:pPr>
            <w:r w:rsidRPr="00AF3F3C">
              <w:rPr>
                <w:rFonts w:ascii="Arial" w:hAnsi="Arial" w:cs="Arial"/>
                <w:sz w:val="20"/>
                <w:szCs w:val="20"/>
              </w:rPr>
              <w:t>1.000</w:t>
            </w:r>
          </w:p>
        </w:tc>
        <w:tc>
          <w:tcPr>
            <w:tcW w:w="288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F1466F6" w14:textId="77777777" w:rsidR="001B2BC0" w:rsidRPr="00AF3F3C" w:rsidRDefault="001B2BC0" w:rsidP="004B4F11">
            <w:pPr>
              <w:jc w:val="both"/>
              <w:rPr>
                <w:rFonts w:ascii="Arial" w:hAnsi="Arial" w:cs="Arial"/>
                <w:sz w:val="20"/>
                <w:szCs w:val="20"/>
              </w:rPr>
            </w:pPr>
            <w:r w:rsidRPr="00AF3F3C">
              <w:rPr>
                <w:rFonts w:ascii="Arial" w:hAnsi="Arial" w:cs="Arial"/>
                <w:sz w:val="20"/>
                <w:szCs w:val="20"/>
              </w:rPr>
              <w:t>0.876**</w:t>
            </w:r>
          </w:p>
        </w:tc>
      </w:tr>
      <w:tr w:rsidR="001B2BC0" w:rsidRPr="00AF3F3C" w14:paraId="5E8F5F2E" w14:textId="77777777" w:rsidTr="004B4F11">
        <w:tc>
          <w:tcPr>
            <w:tcW w:w="36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88D0E61" w14:textId="77777777" w:rsidR="001B2BC0" w:rsidRPr="00AF3F3C" w:rsidRDefault="001B2BC0" w:rsidP="004B4F11">
            <w:pPr>
              <w:jc w:val="both"/>
              <w:rPr>
                <w:rFonts w:ascii="Arial" w:hAnsi="Arial" w:cs="Arial"/>
                <w:sz w:val="20"/>
                <w:szCs w:val="20"/>
              </w:rPr>
            </w:pPr>
            <w:r w:rsidRPr="00AF3F3C">
              <w:rPr>
                <w:rFonts w:ascii="Arial" w:hAnsi="Arial" w:cs="Arial"/>
                <w:sz w:val="20"/>
                <w:szCs w:val="20"/>
              </w:rPr>
              <w:t>Water Quality</w:t>
            </w:r>
          </w:p>
        </w:tc>
        <w:tc>
          <w:tcPr>
            <w:tcW w:w="288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66D8DE9" w14:textId="77777777" w:rsidR="001B2BC0" w:rsidRPr="00AF3F3C" w:rsidRDefault="001B2BC0" w:rsidP="004B4F11">
            <w:pPr>
              <w:jc w:val="both"/>
              <w:rPr>
                <w:rFonts w:ascii="Arial" w:hAnsi="Arial" w:cs="Arial"/>
                <w:sz w:val="20"/>
                <w:szCs w:val="20"/>
              </w:rPr>
            </w:pPr>
            <w:r w:rsidRPr="00AF3F3C">
              <w:rPr>
                <w:rFonts w:ascii="Arial" w:hAnsi="Arial" w:cs="Arial"/>
                <w:sz w:val="20"/>
                <w:szCs w:val="20"/>
              </w:rPr>
              <w:t>0.876**</w:t>
            </w:r>
          </w:p>
        </w:tc>
        <w:tc>
          <w:tcPr>
            <w:tcW w:w="288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3E9E1FD" w14:textId="77777777" w:rsidR="001B2BC0" w:rsidRPr="00AF3F3C" w:rsidRDefault="001B2BC0" w:rsidP="004B4F11">
            <w:pPr>
              <w:jc w:val="both"/>
              <w:rPr>
                <w:rFonts w:ascii="Arial" w:hAnsi="Arial" w:cs="Arial"/>
                <w:sz w:val="20"/>
                <w:szCs w:val="20"/>
              </w:rPr>
            </w:pPr>
            <w:r w:rsidRPr="00AF3F3C">
              <w:rPr>
                <w:rFonts w:ascii="Arial" w:hAnsi="Arial" w:cs="Arial"/>
                <w:sz w:val="20"/>
                <w:szCs w:val="20"/>
              </w:rPr>
              <w:t>1.000</w:t>
            </w:r>
          </w:p>
        </w:tc>
      </w:tr>
    </w:tbl>
    <w:p w14:paraId="3D43515C" w14:textId="77777777" w:rsidR="001B2BC0" w:rsidRPr="00AF3F3C" w:rsidRDefault="001B2BC0" w:rsidP="001B2BC0">
      <w:pPr>
        <w:spacing w:before="40" w:after="80"/>
        <w:jc w:val="both"/>
        <w:rPr>
          <w:rFonts w:ascii="Arial" w:hAnsi="Arial" w:cs="Arial"/>
          <w:sz w:val="20"/>
          <w:szCs w:val="20"/>
        </w:rPr>
      </w:pPr>
      <w:r w:rsidRPr="00AF3F3C">
        <w:rPr>
          <w:rFonts w:ascii="Arial" w:hAnsi="Arial" w:cs="Arial"/>
          <w:i/>
          <w:iCs/>
          <w:sz w:val="20"/>
          <w:szCs w:val="20"/>
        </w:rPr>
        <w:t>Note: Correlation is significant at the 0.01 level (2-tailed). Source: Fieldwork, 2024</w:t>
      </w:r>
    </w:p>
    <w:p w14:paraId="5A95149B" w14:textId="44F69BA0" w:rsidR="001B2BC0" w:rsidRPr="00AF3F3C" w:rsidRDefault="001B2BC0" w:rsidP="004A5A50">
      <w:pPr>
        <w:spacing w:before="80" w:after="80" w:line="360" w:lineRule="auto"/>
        <w:jc w:val="both"/>
        <w:rPr>
          <w:rFonts w:ascii="Arial" w:hAnsi="Arial" w:cs="Arial"/>
          <w:sz w:val="20"/>
          <w:szCs w:val="20"/>
        </w:rPr>
      </w:pPr>
      <w:r w:rsidRPr="00AF3F3C">
        <w:rPr>
          <w:rFonts w:ascii="Arial" w:hAnsi="Arial" w:cs="Arial"/>
          <w:sz w:val="20"/>
          <w:szCs w:val="20"/>
        </w:rPr>
        <w:lastRenderedPageBreak/>
        <w:t xml:space="preserve">Linear regression analysis established that 76.7% of the variability in water quality is explained by the state of environmental sanitation (R² = 0.767, adjusted </w:t>
      </w:r>
      <w:r w:rsidR="008C20EA" w:rsidRPr="00AF3F3C">
        <w:rPr>
          <w:rFonts w:ascii="Arial" w:hAnsi="Arial" w:cs="Arial"/>
          <w:sz w:val="20"/>
          <w:szCs w:val="20"/>
        </w:rPr>
        <w:t>R</w:t>
      </w:r>
      <w:r w:rsidR="005617DE" w:rsidRPr="00AF3F3C">
        <w:rPr>
          <w:rFonts w:ascii="Arial" w:hAnsi="Arial" w:cs="Arial"/>
          <w:sz w:val="20"/>
          <w:szCs w:val="20"/>
        </w:rPr>
        <w:t>² = 0.762), as shown in Table 11</w:t>
      </w:r>
      <w:r w:rsidRPr="00AF3F3C">
        <w:rPr>
          <w:rFonts w:ascii="Arial" w:hAnsi="Arial" w:cs="Arial"/>
          <w:sz w:val="20"/>
          <w:szCs w:val="20"/>
        </w:rPr>
        <w:t xml:space="preserve">. The high explanatory power of the model confirms that environmental sanitation is a key determinant of water quality in the sub-division. These statistical findings support the rejection of the null hypothesis: improper waste disposal and inadequate sanitation practices significantly contribute to the degradation of water quality in </w:t>
      </w:r>
      <w:proofErr w:type="spellStart"/>
      <w:r w:rsidRPr="00AF3F3C">
        <w:rPr>
          <w:rFonts w:ascii="Arial" w:hAnsi="Arial" w:cs="Arial"/>
          <w:sz w:val="20"/>
          <w:szCs w:val="20"/>
        </w:rPr>
        <w:t>Mamfe</w:t>
      </w:r>
      <w:proofErr w:type="spellEnd"/>
      <w:r w:rsidRPr="00AF3F3C">
        <w:rPr>
          <w:rFonts w:ascii="Arial" w:hAnsi="Arial" w:cs="Arial"/>
          <w:sz w:val="20"/>
          <w:szCs w:val="20"/>
        </w:rPr>
        <w:t xml:space="preserve"> Central Sub-Division.</w:t>
      </w:r>
    </w:p>
    <w:p w14:paraId="24446483" w14:textId="5A5AB56A" w:rsidR="001B2BC0" w:rsidRPr="00AF3F3C" w:rsidRDefault="005617DE" w:rsidP="006C013C">
      <w:pPr>
        <w:spacing w:before="160" w:after="60" w:line="360" w:lineRule="auto"/>
        <w:jc w:val="center"/>
        <w:rPr>
          <w:rFonts w:ascii="Arial" w:hAnsi="Arial" w:cs="Arial"/>
          <w:sz w:val="20"/>
          <w:szCs w:val="20"/>
        </w:rPr>
      </w:pPr>
      <w:r w:rsidRPr="00AF3F3C">
        <w:rPr>
          <w:rFonts w:ascii="Arial" w:hAnsi="Arial" w:cs="Arial"/>
          <w:b/>
          <w:bCs/>
          <w:sz w:val="20"/>
          <w:szCs w:val="20"/>
        </w:rPr>
        <w:t>Table 11</w:t>
      </w:r>
      <w:r w:rsidR="001B2BC0" w:rsidRPr="00AF3F3C">
        <w:rPr>
          <w:rFonts w:ascii="Arial" w:hAnsi="Arial" w:cs="Arial"/>
          <w:b/>
          <w:bCs/>
          <w:sz w:val="20"/>
          <w:szCs w:val="20"/>
        </w:rPr>
        <w:t>: Regression Model Summary of the Effect of Sanitation on Water Quality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1800"/>
        <w:gridCol w:w="1800"/>
        <w:gridCol w:w="2160"/>
        <w:gridCol w:w="2160"/>
      </w:tblGrid>
      <w:tr w:rsidR="001B2BC0" w:rsidRPr="00AF3F3C" w14:paraId="2CDABD97" w14:textId="77777777" w:rsidTr="004B4F11">
        <w:tc>
          <w:tcPr>
            <w:tcW w:w="14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6ED0C623" w14:textId="77777777" w:rsidR="001B2BC0" w:rsidRPr="00AF3F3C" w:rsidRDefault="001B2BC0" w:rsidP="004B4F11">
            <w:pPr>
              <w:jc w:val="both"/>
              <w:rPr>
                <w:rFonts w:ascii="Arial" w:hAnsi="Arial" w:cs="Arial"/>
                <w:sz w:val="20"/>
                <w:szCs w:val="20"/>
              </w:rPr>
            </w:pPr>
            <w:r w:rsidRPr="00AF3F3C">
              <w:rPr>
                <w:rFonts w:ascii="Arial" w:hAnsi="Arial" w:cs="Arial"/>
                <w:b/>
                <w:bCs/>
                <w:sz w:val="20"/>
                <w:szCs w:val="20"/>
              </w:rPr>
              <w:t>Model</w:t>
            </w:r>
          </w:p>
        </w:tc>
        <w:tc>
          <w:tcPr>
            <w:tcW w:w="18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5A4E10AB" w14:textId="77777777" w:rsidR="001B2BC0" w:rsidRPr="00AF3F3C" w:rsidRDefault="001B2BC0" w:rsidP="004B4F11">
            <w:pPr>
              <w:jc w:val="both"/>
              <w:rPr>
                <w:rFonts w:ascii="Arial" w:hAnsi="Arial" w:cs="Arial"/>
                <w:sz w:val="20"/>
                <w:szCs w:val="20"/>
              </w:rPr>
            </w:pPr>
            <w:r w:rsidRPr="00AF3F3C">
              <w:rPr>
                <w:rFonts w:ascii="Arial" w:hAnsi="Arial" w:cs="Arial"/>
                <w:b/>
                <w:bCs/>
                <w:sz w:val="20"/>
                <w:szCs w:val="20"/>
              </w:rPr>
              <w:t>R</w:t>
            </w:r>
          </w:p>
        </w:tc>
        <w:tc>
          <w:tcPr>
            <w:tcW w:w="18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7FE255F2" w14:textId="77777777" w:rsidR="001B2BC0" w:rsidRPr="00AF3F3C" w:rsidRDefault="001B2BC0" w:rsidP="004B4F11">
            <w:pPr>
              <w:jc w:val="both"/>
              <w:rPr>
                <w:rFonts w:ascii="Arial" w:hAnsi="Arial" w:cs="Arial"/>
                <w:sz w:val="20"/>
                <w:szCs w:val="20"/>
              </w:rPr>
            </w:pPr>
            <w:r w:rsidRPr="00AF3F3C">
              <w:rPr>
                <w:rFonts w:ascii="Arial" w:hAnsi="Arial" w:cs="Arial"/>
                <w:b/>
                <w:bCs/>
                <w:sz w:val="20"/>
                <w:szCs w:val="20"/>
              </w:rPr>
              <w:t>R²</w:t>
            </w:r>
          </w:p>
        </w:tc>
        <w:tc>
          <w:tcPr>
            <w:tcW w:w="21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29081F59" w14:textId="77777777" w:rsidR="001B2BC0" w:rsidRPr="00AF3F3C" w:rsidRDefault="001B2BC0" w:rsidP="004B4F11">
            <w:pPr>
              <w:jc w:val="both"/>
              <w:rPr>
                <w:rFonts w:ascii="Arial" w:hAnsi="Arial" w:cs="Arial"/>
                <w:sz w:val="20"/>
                <w:szCs w:val="20"/>
              </w:rPr>
            </w:pPr>
            <w:r w:rsidRPr="00AF3F3C">
              <w:rPr>
                <w:rFonts w:ascii="Arial" w:hAnsi="Arial" w:cs="Arial"/>
                <w:b/>
                <w:bCs/>
                <w:sz w:val="20"/>
                <w:szCs w:val="20"/>
              </w:rPr>
              <w:t>Adjusted R²</w:t>
            </w:r>
          </w:p>
        </w:tc>
        <w:tc>
          <w:tcPr>
            <w:tcW w:w="21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37A76BAE" w14:textId="77777777" w:rsidR="001B2BC0" w:rsidRPr="00AF3F3C" w:rsidRDefault="001B2BC0" w:rsidP="004B4F11">
            <w:pPr>
              <w:jc w:val="both"/>
              <w:rPr>
                <w:rFonts w:ascii="Arial" w:hAnsi="Arial" w:cs="Arial"/>
                <w:sz w:val="20"/>
                <w:szCs w:val="20"/>
              </w:rPr>
            </w:pPr>
            <w:r w:rsidRPr="00AF3F3C">
              <w:rPr>
                <w:rFonts w:ascii="Arial" w:hAnsi="Arial" w:cs="Arial"/>
                <w:b/>
                <w:bCs/>
                <w:sz w:val="20"/>
                <w:szCs w:val="20"/>
              </w:rPr>
              <w:t>Std. Error of Estimate</w:t>
            </w:r>
          </w:p>
        </w:tc>
      </w:tr>
      <w:tr w:rsidR="001B2BC0" w:rsidRPr="00AF3F3C" w14:paraId="5560F177" w14:textId="77777777" w:rsidTr="004B4F11">
        <w:tc>
          <w:tcPr>
            <w:tcW w:w="144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EA8195A" w14:textId="77777777" w:rsidR="001B2BC0" w:rsidRPr="00AF3F3C" w:rsidRDefault="001B2BC0" w:rsidP="004B4F11">
            <w:pPr>
              <w:jc w:val="both"/>
              <w:rPr>
                <w:rFonts w:ascii="Arial" w:hAnsi="Arial" w:cs="Arial"/>
                <w:sz w:val="20"/>
                <w:szCs w:val="20"/>
              </w:rPr>
            </w:pPr>
            <w:r w:rsidRPr="00AF3F3C">
              <w:rPr>
                <w:rFonts w:ascii="Arial" w:hAnsi="Arial" w:cs="Arial"/>
                <w:sz w:val="20"/>
                <w:szCs w:val="20"/>
              </w:rPr>
              <w:t>1</w:t>
            </w:r>
          </w:p>
        </w:tc>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1E1872E" w14:textId="77777777" w:rsidR="001B2BC0" w:rsidRPr="00AF3F3C" w:rsidRDefault="001B2BC0" w:rsidP="004B4F11">
            <w:pPr>
              <w:jc w:val="both"/>
              <w:rPr>
                <w:rFonts w:ascii="Arial" w:hAnsi="Arial" w:cs="Arial"/>
                <w:sz w:val="20"/>
                <w:szCs w:val="20"/>
              </w:rPr>
            </w:pPr>
            <w:r w:rsidRPr="00AF3F3C">
              <w:rPr>
                <w:rFonts w:ascii="Arial" w:hAnsi="Arial" w:cs="Arial"/>
                <w:sz w:val="20"/>
                <w:szCs w:val="20"/>
              </w:rPr>
              <w:t>0.876</w:t>
            </w:r>
          </w:p>
        </w:tc>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40BE8B8" w14:textId="77777777" w:rsidR="001B2BC0" w:rsidRPr="00AF3F3C" w:rsidRDefault="001B2BC0" w:rsidP="004B4F11">
            <w:pPr>
              <w:jc w:val="both"/>
              <w:rPr>
                <w:rFonts w:ascii="Arial" w:hAnsi="Arial" w:cs="Arial"/>
                <w:sz w:val="20"/>
                <w:szCs w:val="20"/>
              </w:rPr>
            </w:pPr>
            <w:r w:rsidRPr="00AF3F3C">
              <w:rPr>
                <w:rFonts w:ascii="Arial" w:hAnsi="Arial" w:cs="Arial"/>
                <w:sz w:val="20"/>
                <w:szCs w:val="20"/>
              </w:rPr>
              <w:t>0.767</w:t>
            </w:r>
          </w:p>
        </w:tc>
        <w:tc>
          <w:tcPr>
            <w:tcW w:w="21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7EBC22C" w14:textId="77777777" w:rsidR="001B2BC0" w:rsidRPr="00AF3F3C" w:rsidRDefault="001B2BC0" w:rsidP="004B4F11">
            <w:pPr>
              <w:jc w:val="both"/>
              <w:rPr>
                <w:rFonts w:ascii="Arial" w:hAnsi="Arial" w:cs="Arial"/>
                <w:sz w:val="20"/>
                <w:szCs w:val="20"/>
              </w:rPr>
            </w:pPr>
            <w:r w:rsidRPr="00AF3F3C">
              <w:rPr>
                <w:rFonts w:ascii="Arial" w:hAnsi="Arial" w:cs="Arial"/>
                <w:sz w:val="20"/>
                <w:szCs w:val="20"/>
              </w:rPr>
              <w:t>0.762</w:t>
            </w:r>
          </w:p>
        </w:tc>
        <w:tc>
          <w:tcPr>
            <w:tcW w:w="21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A84D80A" w14:textId="77777777" w:rsidR="001B2BC0" w:rsidRPr="00AF3F3C" w:rsidRDefault="001B2BC0" w:rsidP="004B4F11">
            <w:pPr>
              <w:jc w:val="both"/>
              <w:rPr>
                <w:rFonts w:ascii="Arial" w:hAnsi="Arial" w:cs="Arial"/>
                <w:sz w:val="20"/>
                <w:szCs w:val="20"/>
              </w:rPr>
            </w:pPr>
            <w:r w:rsidRPr="00AF3F3C">
              <w:rPr>
                <w:rFonts w:ascii="Arial" w:hAnsi="Arial" w:cs="Arial"/>
                <w:sz w:val="20"/>
                <w:szCs w:val="20"/>
              </w:rPr>
              <w:t>4.873</w:t>
            </w:r>
          </w:p>
        </w:tc>
      </w:tr>
    </w:tbl>
    <w:p w14:paraId="031C4990" w14:textId="77777777" w:rsidR="001B2BC0" w:rsidRPr="00AF3F3C" w:rsidRDefault="001B2BC0" w:rsidP="00A0718F">
      <w:pPr>
        <w:spacing w:before="40" w:after="80"/>
        <w:jc w:val="center"/>
        <w:rPr>
          <w:rFonts w:ascii="Arial" w:hAnsi="Arial" w:cs="Arial"/>
          <w:sz w:val="20"/>
          <w:szCs w:val="20"/>
        </w:rPr>
      </w:pPr>
      <w:r w:rsidRPr="00AF3F3C">
        <w:rPr>
          <w:rFonts w:ascii="Arial" w:hAnsi="Arial" w:cs="Arial"/>
          <w:i/>
          <w:iCs/>
          <w:sz w:val="20"/>
          <w:szCs w:val="20"/>
        </w:rPr>
        <w:t>Source: Fieldwork, 2024</w:t>
      </w:r>
    </w:p>
    <w:p w14:paraId="6F3EB8EE" w14:textId="77777777" w:rsidR="001B2BC0" w:rsidRPr="00203197" w:rsidRDefault="001B2BC0" w:rsidP="004A5A50">
      <w:pPr>
        <w:pStyle w:val="Heading1"/>
        <w:spacing w:line="360" w:lineRule="auto"/>
        <w:jc w:val="both"/>
        <w:rPr>
          <w:rFonts w:ascii="Arial Black" w:hAnsi="Arial Black" w:cs="Times New Roman"/>
          <w:b/>
          <w:color w:val="auto"/>
          <w:sz w:val="22"/>
          <w:szCs w:val="22"/>
        </w:rPr>
      </w:pPr>
      <w:r w:rsidRPr="00203197">
        <w:rPr>
          <w:rFonts w:ascii="Arial Black" w:hAnsi="Arial Black" w:cs="Times New Roman"/>
          <w:b/>
          <w:color w:val="auto"/>
          <w:sz w:val="22"/>
          <w:szCs w:val="22"/>
        </w:rPr>
        <w:t>4 Discussion</w:t>
      </w:r>
    </w:p>
    <w:p w14:paraId="54497554" w14:textId="27C2B398" w:rsidR="001B2BC0" w:rsidRPr="00971011" w:rsidRDefault="001B2BC0" w:rsidP="004A5A50">
      <w:pPr>
        <w:spacing w:before="80" w:after="80" w:line="360" w:lineRule="auto"/>
        <w:jc w:val="both"/>
        <w:rPr>
          <w:rFonts w:ascii="Arial" w:hAnsi="Arial" w:cs="Arial"/>
          <w:sz w:val="20"/>
          <w:szCs w:val="20"/>
        </w:rPr>
      </w:pPr>
      <w:r w:rsidRPr="00971011">
        <w:rPr>
          <w:rFonts w:ascii="Arial" w:hAnsi="Arial" w:cs="Arial"/>
          <w:sz w:val="20"/>
          <w:szCs w:val="20"/>
        </w:rPr>
        <w:t xml:space="preserve">The dominance of informal waste disposal practices in </w:t>
      </w:r>
      <w:proofErr w:type="spellStart"/>
      <w:r w:rsidRPr="00971011">
        <w:rPr>
          <w:rFonts w:ascii="Arial" w:hAnsi="Arial" w:cs="Arial"/>
          <w:sz w:val="20"/>
          <w:szCs w:val="20"/>
        </w:rPr>
        <w:t>Mamfe</w:t>
      </w:r>
      <w:proofErr w:type="spellEnd"/>
      <w:r w:rsidRPr="00971011">
        <w:rPr>
          <w:rFonts w:ascii="Arial" w:hAnsi="Arial" w:cs="Arial"/>
          <w:sz w:val="20"/>
          <w:szCs w:val="20"/>
        </w:rPr>
        <w:t xml:space="preserve"> Central Sub-Division, with 35.2% of residents burning waste and 31.9% open-dumping in vacant lots while only 11% access municipal collection services, reflects the structural waste management deficits that characterise secondary Cameroonian towns.</w:t>
      </w:r>
      <w:r w:rsidR="00CE4293" w:rsidRPr="00971011">
        <w:rPr>
          <w:rFonts w:ascii="Arial" w:hAnsi="Arial" w:cs="Arial"/>
          <w:sz w:val="20"/>
          <w:szCs w:val="20"/>
        </w:rPr>
        <w:t xml:space="preserve"> The findings confirm a pattern of informal and environmentally harmful disposal practices that characterise secondary town waste management in Cameroon (Manga </w:t>
      </w:r>
      <w:r w:rsidR="00CE4293" w:rsidRPr="00971011">
        <w:rPr>
          <w:rFonts w:ascii="Arial" w:hAnsi="Arial" w:cs="Arial"/>
          <w:i/>
          <w:sz w:val="20"/>
          <w:szCs w:val="20"/>
        </w:rPr>
        <w:t>et al.,</w:t>
      </w:r>
      <w:r w:rsidR="00CE4293" w:rsidRPr="00971011">
        <w:rPr>
          <w:rFonts w:ascii="Arial" w:hAnsi="Arial" w:cs="Arial"/>
          <w:sz w:val="20"/>
          <w:szCs w:val="20"/>
        </w:rPr>
        <w:t xml:space="preserve"> 2011). </w:t>
      </w:r>
      <w:r w:rsidRPr="00971011">
        <w:rPr>
          <w:rFonts w:ascii="Arial" w:hAnsi="Arial" w:cs="Arial"/>
          <w:sz w:val="20"/>
          <w:szCs w:val="20"/>
        </w:rPr>
        <w:t xml:space="preserve">This pattern is consistent with the broader sub-Saharan African urban pattern documented by Guerrero </w:t>
      </w:r>
      <w:r w:rsidRPr="00971011">
        <w:rPr>
          <w:rFonts w:ascii="Arial" w:hAnsi="Arial" w:cs="Arial"/>
          <w:i/>
          <w:sz w:val="20"/>
          <w:szCs w:val="20"/>
        </w:rPr>
        <w:t>et al</w:t>
      </w:r>
      <w:r w:rsidRPr="00971011">
        <w:rPr>
          <w:rFonts w:ascii="Arial" w:hAnsi="Arial" w:cs="Arial"/>
          <w:sz w:val="20"/>
          <w:szCs w:val="20"/>
        </w:rPr>
        <w:t>.</w:t>
      </w:r>
      <w:r w:rsidR="005617DE" w:rsidRPr="00971011">
        <w:rPr>
          <w:rFonts w:ascii="Arial" w:hAnsi="Arial" w:cs="Arial"/>
          <w:sz w:val="20"/>
          <w:szCs w:val="20"/>
        </w:rPr>
        <w:t>,</w:t>
      </w:r>
      <w:r w:rsidRPr="00971011">
        <w:rPr>
          <w:rFonts w:ascii="Arial" w:hAnsi="Arial" w:cs="Arial"/>
          <w:sz w:val="20"/>
          <w:szCs w:val="20"/>
        </w:rPr>
        <w:t xml:space="preserve"> (2013), in which the expansion of informal settlement areas systematically outpaces municipal waste management capacity, and with Manga et al.'s (2011) documentation of waste management deficiencies in Cameroonian secondary urban centres. The severe deficiency in collection frequency, with 60.5% of residents experiencing irregular or absent collection, mirrors the findings of Henry </w:t>
      </w:r>
      <w:r w:rsidRPr="00971011">
        <w:rPr>
          <w:rFonts w:ascii="Arial" w:hAnsi="Arial" w:cs="Arial"/>
          <w:i/>
          <w:sz w:val="20"/>
          <w:szCs w:val="20"/>
        </w:rPr>
        <w:t>et al.</w:t>
      </w:r>
      <w:r w:rsidR="005617DE" w:rsidRPr="00971011">
        <w:rPr>
          <w:rFonts w:ascii="Arial" w:hAnsi="Arial" w:cs="Arial"/>
          <w:i/>
          <w:sz w:val="20"/>
          <w:szCs w:val="20"/>
        </w:rPr>
        <w:t>,</w:t>
      </w:r>
      <w:r w:rsidRPr="00971011">
        <w:rPr>
          <w:rFonts w:ascii="Arial" w:hAnsi="Arial" w:cs="Arial"/>
          <w:sz w:val="20"/>
          <w:szCs w:val="20"/>
        </w:rPr>
        <w:t xml:space="preserve"> (2006) for West African cities, where service irregularity functions as a proximate driver of informal and environmentally hazardous disposal behaviour.</w:t>
      </w:r>
    </w:p>
    <w:p w14:paraId="2126F374" w14:textId="23B8FA35" w:rsidR="001B2BC0" w:rsidRPr="00971011" w:rsidRDefault="001B2BC0" w:rsidP="004A5A50">
      <w:pPr>
        <w:spacing w:before="80" w:after="80" w:line="360" w:lineRule="auto"/>
        <w:jc w:val="both"/>
        <w:rPr>
          <w:rFonts w:ascii="Arial" w:hAnsi="Arial" w:cs="Arial"/>
          <w:sz w:val="20"/>
          <w:szCs w:val="20"/>
        </w:rPr>
      </w:pPr>
      <w:r w:rsidRPr="00971011">
        <w:rPr>
          <w:rFonts w:ascii="Arial" w:hAnsi="Arial" w:cs="Arial"/>
          <w:sz w:val="20"/>
          <w:szCs w:val="20"/>
        </w:rPr>
        <w:t xml:space="preserve">The 72.4% combined poor to very poor drainage condition documented across the sub-division is particularly significant as a water quality risk factor. Drainage failure in tropical urban environments creates the hydrological conditions for contaminant mobilisation and concentration identified by </w:t>
      </w:r>
      <w:proofErr w:type="spellStart"/>
      <w:r w:rsidRPr="00971011">
        <w:rPr>
          <w:rFonts w:ascii="Arial" w:hAnsi="Arial" w:cs="Arial"/>
          <w:sz w:val="20"/>
          <w:szCs w:val="20"/>
        </w:rPr>
        <w:t>Prüss-Üstün</w:t>
      </w:r>
      <w:proofErr w:type="spellEnd"/>
      <w:r w:rsidRPr="00971011">
        <w:rPr>
          <w:rFonts w:ascii="Arial" w:hAnsi="Arial" w:cs="Arial"/>
          <w:sz w:val="20"/>
          <w:szCs w:val="20"/>
        </w:rPr>
        <w:t xml:space="preserve"> </w:t>
      </w:r>
      <w:r w:rsidRPr="00971011">
        <w:rPr>
          <w:rFonts w:ascii="Arial" w:hAnsi="Arial" w:cs="Arial"/>
          <w:i/>
          <w:sz w:val="20"/>
          <w:szCs w:val="20"/>
        </w:rPr>
        <w:t>et al.</w:t>
      </w:r>
      <w:r w:rsidR="005617DE" w:rsidRPr="00971011">
        <w:rPr>
          <w:rFonts w:ascii="Arial" w:hAnsi="Arial" w:cs="Arial"/>
          <w:i/>
          <w:sz w:val="20"/>
          <w:szCs w:val="20"/>
        </w:rPr>
        <w:t>,</w:t>
      </w:r>
      <w:r w:rsidRPr="00971011">
        <w:rPr>
          <w:rFonts w:ascii="Arial" w:hAnsi="Arial" w:cs="Arial"/>
          <w:sz w:val="20"/>
          <w:szCs w:val="20"/>
        </w:rPr>
        <w:t xml:space="preserve"> (2019) as principal pathways connecting sanitation deficits to waterborne disease. The near-total absence of leachate management systems at dumpsites (76.2% with no management) compounds this risk by creating chronic groundwater contamination pathways from the 31.9% of households dependent on unprotected wells, which are most concentrated in the quarters nearest to informal dumpsites.</w:t>
      </w:r>
    </w:p>
    <w:p w14:paraId="6E567E1B" w14:textId="165A5D46" w:rsidR="001B2BC0" w:rsidRPr="00971011" w:rsidRDefault="001B2BC0" w:rsidP="004A5A50">
      <w:pPr>
        <w:spacing w:before="80" w:after="80" w:line="360" w:lineRule="auto"/>
        <w:jc w:val="both"/>
        <w:rPr>
          <w:rFonts w:ascii="Arial" w:hAnsi="Arial" w:cs="Arial"/>
          <w:sz w:val="20"/>
          <w:szCs w:val="20"/>
        </w:rPr>
      </w:pPr>
      <w:r w:rsidRPr="00971011">
        <w:rPr>
          <w:rFonts w:ascii="Arial" w:hAnsi="Arial" w:cs="Arial"/>
          <w:sz w:val="20"/>
          <w:szCs w:val="20"/>
        </w:rPr>
        <w:t xml:space="preserve">The documented water quality perception pattern, with 57.2% of residents perceiving their water as poor to very poor and the correlation between proximity to sanitation deficits and health outcomes showing health issue rates ranging from 15.2% for in-compound water sources to 67.3% for distant sources, aligns with the established relationship between urban sanitation infrastructure, water source quality, and waterborne disease incidence documented by </w:t>
      </w:r>
      <w:proofErr w:type="spellStart"/>
      <w:r w:rsidRPr="00971011">
        <w:rPr>
          <w:rFonts w:ascii="Arial" w:hAnsi="Arial" w:cs="Arial"/>
          <w:sz w:val="20"/>
          <w:szCs w:val="20"/>
        </w:rPr>
        <w:t>Fewtrell</w:t>
      </w:r>
      <w:proofErr w:type="spellEnd"/>
      <w:r w:rsidRPr="00971011">
        <w:rPr>
          <w:rFonts w:ascii="Arial" w:hAnsi="Arial" w:cs="Arial"/>
          <w:sz w:val="20"/>
          <w:szCs w:val="20"/>
        </w:rPr>
        <w:t xml:space="preserve"> </w:t>
      </w:r>
      <w:r w:rsidRPr="00971011">
        <w:rPr>
          <w:rFonts w:ascii="Arial" w:hAnsi="Arial" w:cs="Arial"/>
          <w:i/>
          <w:sz w:val="20"/>
          <w:szCs w:val="20"/>
        </w:rPr>
        <w:t>et al.</w:t>
      </w:r>
      <w:r w:rsidR="005617DE" w:rsidRPr="00971011">
        <w:rPr>
          <w:rFonts w:ascii="Arial" w:hAnsi="Arial" w:cs="Arial"/>
          <w:i/>
          <w:sz w:val="20"/>
          <w:szCs w:val="20"/>
        </w:rPr>
        <w:t>,</w:t>
      </w:r>
      <w:r w:rsidRPr="00971011">
        <w:rPr>
          <w:rFonts w:ascii="Arial" w:hAnsi="Arial" w:cs="Arial"/>
          <w:sz w:val="20"/>
          <w:szCs w:val="20"/>
        </w:rPr>
        <w:t xml:space="preserve"> (2005) and Hunter </w:t>
      </w:r>
      <w:r w:rsidRPr="00971011">
        <w:rPr>
          <w:rFonts w:ascii="Arial" w:hAnsi="Arial" w:cs="Arial"/>
          <w:i/>
          <w:sz w:val="20"/>
          <w:szCs w:val="20"/>
        </w:rPr>
        <w:t>et al</w:t>
      </w:r>
      <w:r w:rsidRPr="00971011">
        <w:rPr>
          <w:rFonts w:ascii="Arial" w:hAnsi="Arial" w:cs="Arial"/>
          <w:sz w:val="20"/>
          <w:szCs w:val="20"/>
        </w:rPr>
        <w:t>.</w:t>
      </w:r>
      <w:r w:rsidR="005617DE" w:rsidRPr="00971011">
        <w:rPr>
          <w:rFonts w:ascii="Arial" w:hAnsi="Arial" w:cs="Arial"/>
          <w:sz w:val="20"/>
          <w:szCs w:val="20"/>
        </w:rPr>
        <w:t>,</w:t>
      </w:r>
      <w:r w:rsidRPr="00971011">
        <w:rPr>
          <w:rFonts w:ascii="Arial" w:hAnsi="Arial" w:cs="Arial"/>
          <w:sz w:val="20"/>
          <w:szCs w:val="20"/>
        </w:rPr>
        <w:t xml:space="preserve"> </w:t>
      </w:r>
      <w:r w:rsidRPr="00971011">
        <w:rPr>
          <w:rFonts w:ascii="Arial" w:hAnsi="Arial" w:cs="Arial"/>
          <w:sz w:val="20"/>
          <w:szCs w:val="20"/>
        </w:rPr>
        <w:lastRenderedPageBreak/>
        <w:t>(2010) for comparable low-income urban settings in sub-Saharan Africa. The high adoption of water treatment practices (84.3%), led by boiling at 46.7%, reflects community awareness of water contamination risks and represents an important adaptive strategy, though it does not address the upstream sanitation conditions generating contamination.</w:t>
      </w:r>
    </w:p>
    <w:p w14:paraId="0730D144" w14:textId="7443DD9A" w:rsidR="001B2BC0" w:rsidRPr="00971011" w:rsidRDefault="001B2BC0" w:rsidP="004A5A50">
      <w:pPr>
        <w:spacing w:before="80" w:after="80" w:line="360" w:lineRule="auto"/>
        <w:jc w:val="both"/>
        <w:rPr>
          <w:rFonts w:ascii="Arial" w:hAnsi="Arial" w:cs="Arial"/>
          <w:sz w:val="20"/>
          <w:szCs w:val="20"/>
        </w:rPr>
      </w:pPr>
      <w:r w:rsidRPr="00971011">
        <w:rPr>
          <w:rFonts w:ascii="Arial" w:hAnsi="Arial" w:cs="Arial"/>
          <w:sz w:val="20"/>
          <w:szCs w:val="20"/>
        </w:rPr>
        <w:t xml:space="preserve">The strong positive correlation </w:t>
      </w:r>
      <w:r w:rsidRPr="00971011">
        <w:rPr>
          <w:rFonts w:ascii="Arial" w:hAnsi="Arial" w:cs="Arial"/>
          <w:i/>
          <w:sz w:val="20"/>
          <w:szCs w:val="20"/>
        </w:rPr>
        <w:t>(r = 0.876,</w:t>
      </w:r>
      <w:r w:rsidRPr="00971011">
        <w:rPr>
          <w:rFonts w:ascii="Arial" w:hAnsi="Arial" w:cs="Arial"/>
          <w:sz w:val="20"/>
          <w:szCs w:val="20"/>
        </w:rPr>
        <w:t xml:space="preserve"> </w:t>
      </w:r>
      <w:r w:rsidR="00971011" w:rsidRPr="00971011">
        <w:rPr>
          <w:rFonts w:ascii="Arial" w:hAnsi="Arial" w:cs="Arial"/>
          <w:i/>
          <w:sz w:val="20"/>
          <w:szCs w:val="20"/>
        </w:rPr>
        <w:t>P</w:t>
      </w:r>
      <w:r w:rsidRPr="00971011">
        <w:rPr>
          <w:rFonts w:ascii="Arial" w:hAnsi="Arial" w:cs="Arial"/>
          <w:sz w:val="20"/>
          <w:szCs w:val="20"/>
        </w:rPr>
        <w:t xml:space="preserve"> &lt; 0.001) between environmental sanitation and water quality, with regression modelling establishing an explanatory power of 76.7% </w:t>
      </w:r>
      <w:r w:rsidRPr="00971011">
        <w:rPr>
          <w:rFonts w:ascii="Arial" w:hAnsi="Arial" w:cs="Arial"/>
          <w:i/>
          <w:sz w:val="20"/>
          <w:szCs w:val="20"/>
        </w:rPr>
        <w:t>(R² = 0.767</w:t>
      </w:r>
      <w:r w:rsidRPr="00971011">
        <w:rPr>
          <w:rFonts w:ascii="Arial" w:hAnsi="Arial" w:cs="Arial"/>
          <w:sz w:val="20"/>
          <w:szCs w:val="20"/>
        </w:rPr>
        <w:t xml:space="preserve">), provides statistical confirmation of the sanitation-water quality pathway at the community scale. This finding is consistent with the systematic review by </w:t>
      </w:r>
      <w:proofErr w:type="spellStart"/>
      <w:r w:rsidRPr="00971011">
        <w:rPr>
          <w:rFonts w:ascii="Arial" w:hAnsi="Arial" w:cs="Arial"/>
          <w:sz w:val="20"/>
          <w:szCs w:val="20"/>
        </w:rPr>
        <w:t>Fewtrell</w:t>
      </w:r>
      <w:proofErr w:type="spellEnd"/>
      <w:r w:rsidRPr="00971011">
        <w:rPr>
          <w:rFonts w:ascii="Arial" w:hAnsi="Arial" w:cs="Arial"/>
          <w:sz w:val="20"/>
          <w:szCs w:val="20"/>
        </w:rPr>
        <w:t xml:space="preserve"> and </w:t>
      </w:r>
      <w:proofErr w:type="spellStart"/>
      <w:r w:rsidRPr="00971011">
        <w:rPr>
          <w:rFonts w:ascii="Arial" w:hAnsi="Arial" w:cs="Arial"/>
          <w:sz w:val="20"/>
          <w:szCs w:val="20"/>
        </w:rPr>
        <w:t>Colford</w:t>
      </w:r>
      <w:proofErr w:type="spellEnd"/>
      <w:r w:rsidRPr="00971011">
        <w:rPr>
          <w:rFonts w:ascii="Arial" w:hAnsi="Arial" w:cs="Arial"/>
          <w:sz w:val="20"/>
          <w:szCs w:val="20"/>
        </w:rPr>
        <w:t xml:space="preserve"> (2004), which established that water source sanitation improvements are among the most impactful interventions for reducing waterborne disease burden, and with the quantitative analysis by </w:t>
      </w:r>
      <w:proofErr w:type="spellStart"/>
      <w:r w:rsidRPr="00971011">
        <w:rPr>
          <w:rFonts w:ascii="Arial" w:hAnsi="Arial" w:cs="Arial"/>
          <w:sz w:val="20"/>
          <w:szCs w:val="20"/>
        </w:rPr>
        <w:t>Prüss-Üstün</w:t>
      </w:r>
      <w:proofErr w:type="spellEnd"/>
      <w:r w:rsidRPr="00971011">
        <w:rPr>
          <w:rFonts w:ascii="Arial" w:hAnsi="Arial" w:cs="Arial"/>
          <w:sz w:val="20"/>
          <w:szCs w:val="20"/>
        </w:rPr>
        <w:t xml:space="preserve"> </w:t>
      </w:r>
      <w:r w:rsidRPr="00971011">
        <w:rPr>
          <w:rFonts w:ascii="Arial" w:hAnsi="Arial" w:cs="Arial"/>
          <w:i/>
          <w:sz w:val="20"/>
          <w:szCs w:val="20"/>
        </w:rPr>
        <w:t>et al.</w:t>
      </w:r>
      <w:r w:rsidR="005617DE" w:rsidRPr="00971011">
        <w:rPr>
          <w:rFonts w:ascii="Arial" w:hAnsi="Arial" w:cs="Arial"/>
          <w:i/>
          <w:sz w:val="20"/>
          <w:szCs w:val="20"/>
        </w:rPr>
        <w:t>,</w:t>
      </w:r>
      <w:r w:rsidRPr="00971011">
        <w:rPr>
          <w:rFonts w:ascii="Arial" w:hAnsi="Arial" w:cs="Arial"/>
          <w:sz w:val="20"/>
          <w:szCs w:val="20"/>
        </w:rPr>
        <w:t xml:space="preserve"> (2014), which attributed 58% of diarrhoeal disease burden globally to inadequate water, sanitation, and hygiene conditions. The magnitude of the correlation found in this study places </w:t>
      </w:r>
      <w:proofErr w:type="spellStart"/>
      <w:r w:rsidRPr="00971011">
        <w:rPr>
          <w:rFonts w:ascii="Arial" w:hAnsi="Arial" w:cs="Arial"/>
          <w:sz w:val="20"/>
          <w:szCs w:val="20"/>
        </w:rPr>
        <w:t>Mamfe</w:t>
      </w:r>
      <w:proofErr w:type="spellEnd"/>
      <w:r w:rsidRPr="00971011">
        <w:rPr>
          <w:rFonts w:ascii="Arial" w:hAnsi="Arial" w:cs="Arial"/>
          <w:sz w:val="20"/>
          <w:szCs w:val="20"/>
        </w:rPr>
        <w:t xml:space="preserve"> Central Sub-Division among the highest-risk urban settings in terms of the documented sanitation-water quality relationship.</w:t>
      </w:r>
    </w:p>
    <w:p w14:paraId="76D8D020" w14:textId="64EE8BBB" w:rsidR="001B2BC0" w:rsidRPr="00971011" w:rsidRDefault="001B2BC0" w:rsidP="004A5A50">
      <w:pPr>
        <w:spacing w:before="80" w:after="80" w:line="360" w:lineRule="auto"/>
        <w:jc w:val="both"/>
        <w:rPr>
          <w:rFonts w:ascii="Arial" w:hAnsi="Arial" w:cs="Arial"/>
          <w:sz w:val="20"/>
          <w:szCs w:val="20"/>
        </w:rPr>
      </w:pPr>
      <w:r w:rsidRPr="00971011">
        <w:rPr>
          <w:rFonts w:ascii="Arial" w:hAnsi="Arial" w:cs="Arial"/>
          <w:sz w:val="20"/>
          <w:szCs w:val="20"/>
        </w:rPr>
        <w:t xml:space="preserve">The institutional analysis reveals a governance environment characterised by weak enforcement, severe funding inadequacies, and fragmented stakeholder coordination. The 74.3–78.6% ineffective enforcement ratings across waste disposal and water quality protection categories indicate a regulatory gap that sustains informal disposal practices by removing the deterrent effect of sanitation regulation. This governance failure is consistent with the pattern documented by Guerrero </w:t>
      </w:r>
      <w:r w:rsidRPr="00971011">
        <w:rPr>
          <w:rFonts w:ascii="Arial" w:hAnsi="Arial" w:cs="Arial"/>
          <w:i/>
          <w:sz w:val="20"/>
          <w:szCs w:val="20"/>
        </w:rPr>
        <w:t>et al.</w:t>
      </w:r>
      <w:r w:rsidR="005617DE" w:rsidRPr="00971011">
        <w:rPr>
          <w:rFonts w:ascii="Arial" w:hAnsi="Arial" w:cs="Arial"/>
          <w:i/>
          <w:sz w:val="20"/>
          <w:szCs w:val="20"/>
        </w:rPr>
        <w:t>,</w:t>
      </w:r>
      <w:r w:rsidRPr="00971011">
        <w:rPr>
          <w:rFonts w:ascii="Arial" w:hAnsi="Arial" w:cs="Arial"/>
          <w:sz w:val="20"/>
          <w:szCs w:val="20"/>
        </w:rPr>
        <w:t xml:space="preserve"> (2013) and </w:t>
      </w:r>
      <w:proofErr w:type="spellStart"/>
      <w:r w:rsidRPr="00971011">
        <w:rPr>
          <w:rFonts w:ascii="Arial" w:hAnsi="Arial" w:cs="Arial"/>
          <w:sz w:val="20"/>
          <w:szCs w:val="20"/>
        </w:rPr>
        <w:t>Yhdego</w:t>
      </w:r>
      <w:proofErr w:type="spellEnd"/>
      <w:r w:rsidRPr="00971011">
        <w:rPr>
          <w:rFonts w:ascii="Arial" w:hAnsi="Arial" w:cs="Arial"/>
          <w:sz w:val="20"/>
          <w:szCs w:val="20"/>
        </w:rPr>
        <w:t xml:space="preserve"> (1995) for secondary towns in sub-Saharan Africa, where enforcement capacity at the municipal level is structurally underfunded relative to the scale of the sanitation challenge. The relatively strong effectiveness of religious institution partnerships (63.8% effective to very effective) offers a potential governance resource, as faith-based organisations have been documented as effective community mobilisation agents for sanitation improvement in comparable settings (Nawab </w:t>
      </w:r>
      <w:r w:rsidRPr="00971011">
        <w:rPr>
          <w:rFonts w:ascii="Arial" w:hAnsi="Arial" w:cs="Arial"/>
          <w:i/>
          <w:sz w:val="20"/>
          <w:szCs w:val="20"/>
        </w:rPr>
        <w:t>et al.,</w:t>
      </w:r>
      <w:r w:rsidRPr="00971011">
        <w:rPr>
          <w:rFonts w:ascii="Arial" w:hAnsi="Arial" w:cs="Arial"/>
          <w:sz w:val="20"/>
          <w:szCs w:val="20"/>
        </w:rPr>
        <w:t xml:space="preserve"> 2006).</w:t>
      </w:r>
    </w:p>
    <w:p w14:paraId="76B56531" w14:textId="77777777" w:rsidR="001B2BC0" w:rsidRPr="00971011" w:rsidRDefault="001B2BC0" w:rsidP="004A5A50">
      <w:pPr>
        <w:pStyle w:val="Heading1"/>
        <w:spacing w:line="360" w:lineRule="auto"/>
        <w:jc w:val="both"/>
        <w:rPr>
          <w:rFonts w:ascii="Arial Black" w:hAnsi="Arial Black" w:cs="Times New Roman"/>
          <w:b/>
          <w:color w:val="auto"/>
          <w:sz w:val="22"/>
          <w:szCs w:val="22"/>
        </w:rPr>
      </w:pPr>
      <w:r w:rsidRPr="00971011">
        <w:rPr>
          <w:rFonts w:ascii="Arial Black" w:hAnsi="Arial Black" w:cs="Times New Roman"/>
          <w:b/>
          <w:color w:val="auto"/>
          <w:sz w:val="22"/>
          <w:szCs w:val="22"/>
        </w:rPr>
        <w:t>5 Conclusion</w:t>
      </w:r>
    </w:p>
    <w:p w14:paraId="27F7F586" w14:textId="5D4CF844" w:rsidR="001B2BC0" w:rsidRPr="00971011" w:rsidRDefault="001B2BC0" w:rsidP="004A5A50">
      <w:pPr>
        <w:spacing w:before="80" w:after="80" w:line="360" w:lineRule="auto"/>
        <w:jc w:val="both"/>
        <w:rPr>
          <w:rFonts w:ascii="Arial" w:hAnsi="Arial" w:cs="Arial"/>
          <w:sz w:val="20"/>
          <w:szCs w:val="20"/>
        </w:rPr>
      </w:pPr>
      <w:r w:rsidRPr="00971011">
        <w:rPr>
          <w:rFonts w:ascii="Arial" w:hAnsi="Arial" w:cs="Arial"/>
          <w:sz w:val="20"/>
          <w:szCs w:val="20"/>
        </w:rPr>
        <w:t xml:space="preserve">This study has documented the environmental sanitation conditions and their relationship to water quality and health outcomes in </w:t>
      </w:r>
      <w:proofErr w:type="spellStart"/>
      <w:r w:rsidRPr="00971011">
        <w:rPr>
          <w:rFonts w:ascii="Arial" w:hAnsi="Arial" w:cs="Arial"/>
          <w:sz w:val="20"/>
          <w:szCs w:val="20"/>
        </w:rPr>
        <w:t>Mamfe</w:t>
      </w:r>
      <w:proofErr w:type="spellEnd"/>
      <w:r w:rsidRPr="00971011">
        <w:rPr>
          <w:rFonts w:ascii="Arial" w:hAnsi="Arial" w:cs="Arial"/>
          <w:sz w:val="20"/>
          <w:szCs w:val="20"/>
        </w:rPr>
        <w:t xml:space="preserve"> Central </w:t>
      </w:r>
      <w:r w:rsidR="00A0718F" w:rsidRPr="00971011">
        <w:rPr>
          <w:rFonts w:ascii="Arial" w:hAnsi="Arial" w:cs="Arial"/>
          <w:sz w:val="20"/>
          <w:szCs w:val="20"/>
        </w:rPr>
        <w:t>Sub-Division, South West Region of</w:t>
      </w:r>
      <w:r w:rsidRPr="00971011">
        <w:rPr>
          <w:rFonts w:ascii="Arial" w:hAnsi="Arial" w:cs="Arial"/>
          <w:sz w:val="20"/>
          <w:szCs w:val="20"/>
        </w:rPr>
        <w:t xml:space="preserve"> Cameroon. Environmental sanitation conditions are predominantly poor across multiple dimensions: waste management is dominated by burning and open dumping in the absence of reliable municipal collection; drainage infrastructure is severely degraded across 72.4% of the sub-division; sanitation facility coverage is inequitable with over 30% of households relying on unimproved pit latrines; and institutional enforcement and funding mechanisms are critically inadequate. These conditions collectively produce a sanitation-water quality relationship confirmed by strong statistical evidence </w:t>
      </w:r>
      <w:r w:rsidRPr="00971011">
        <w:rPr>
          <w:rFonts w:ascii="Arial" w:hAnsi="Arial" w:cs="Arial"/>
          <w:i/>
          <w:sz w:val="20"/>
          <w:szCs w:val="20"/>
        </w:rPr>
        <w:t>(r = 0.876; R² = 0.767),</w:t>
      </w:r>
      <w:r w:rsidRPr="00971011">
        <w:rPr>
          <w:rFonts w:ascii="Arial" w:hAnsi="Arial" w:cs="Arial"/>
          <w:sz w:val="20"/>
          <w:szCs w:val="20"/>
        </w:rPr>
        <w:t xml:space="preserve"> establishing that poor environmental sanitation is the principal determinant of water quality deterioration across the sub-division.</w:t>
      </w:r>
    </w:p>
    <w:p w14:paraId="1A0073CE" w14:textId="1A5A2900" w:rsidR="004A5A50" w:rsidRPr="00971011" w:rsidRDefault="001B2BC0" w:rsidP="00E44534">
      <w:pPr>
        <w:spacing w:before="80" w:after="80" w:line="360" w:lineRule="auto"/>
        <w:jc w:val="both"/>
        <w:rPr>
          <w:rFonts w:ascii="Arial" w:hAnsi="Arial" w:cs="Arial"/>
          <w:sz w:val="20"/>
          <w:szCs w:val="20"/>
        </w:rPr>
      </w:pPr>
      <w:r w:rsidRPr="00971011">
        <w:rPr>
          <w:rFonts w:ascii="Arial" w:hAnsi="Arial" w:cs="Arial"/>
          <w:sz w:val="20"/>
          <w:szCs w:val="20"/>
        </w:rPr>
        <w:t xml:space="preserve">Despite these challenges, the study documents promising community-based capacities including high rates of organic waste composting, active community </w:t>
      </w:r>
      <w:r w:rsidR="004F4699" w:rsidRPr="00971011">
        <w:rPr>
          <w:rFonts w:ascii="Arial" w:hAnsi="Arial" w:cs="Arial"/>
          <w:sz w:val="20"/>
          <w:szCs w:val="20"/>
        </w:rPr>
        <w:t>clean-up</w:t>
      </w:r>
      <w:r w:rsidRPr="00971011">
        <w:rPr>
          <w:rFonts w:ascii="Arial" w:hAnsi="Arial" w:cs="Arial"/>
          <w:sz w:val="20"/>
          <w:szCs w:val="20"/>
        </w:rPr>
        <w:t xml:space="preserve"> participation, and widespread adoption of water treatment practices that provide a foundation for sustainable sanitation improvement. Priority </w:t>
      </w:r>
      <w:r w:rsidRPr="00971011">
        <w:rPr>
          <w:rFonts w:ascii="Arial" w:hAnsi="Arial" w:cs="Arial"/>
          <w:sz w:val="20"/>
          <w:szCs w:val="20"/>
        </w:rPr>
        <w:lastRenderedPageBreak/>
        <w:t>policy interventions identified by this study include: expansion and regularisation of municipal waste collection services to peripheral and low-income quarters currently without coverage; rehabilitation of drainage infrastructure in flood-prone low-lying areas; enforcement of waste disposal regulations through consistent penalty application and community monitoring; improvement and maintenance of public sanitation facilities in markets, schools, and transport stations; and investment in protected water source infrastructure for households currently dependent on unprotected wells and surface water. Strengthening inter-agency coordination, expanding NGO-community collaborations, and formalising the role of religious institutions as sanitation promotion partners represent institutional pathways for improving governance of environmental sanitation in the sub-division.</w:t>
      </w:r>
    </w:p>
    <w:p w14:paraId="09BA3100" w14:textId="76BED2EA" w:rsidR="001C044D" w:rsidRPr="00971011" w:rsidRDefault="00F843A8" w:rsidP="001C044D">
      <w:pPr>
        <w:spacing w:line="360" w:lineRule="auto"/>
        <w:jc w:val="both"/>
        <w:rPr>
          <w:rFonts w:ascii="Arial" w:hAnsi="Arial" w:cs="Arial"/>
          <w:sz w:val="20"/>
          <w:szCs w:val="20"/>
        </w:rPr>
      </w:pPr>
      <w:r w:rsidRPr="00971011">
        <w:rPr>
          <w:rFonts w:ascii="Arial" w:hAnsi="Arial" w:cs="Arial"/>
          <w:sz w:val="20"/>
          <w:szCs w:val="20"/>
        </w:rPr>
        <w:t xml:space="preserve">Some challenges faced </w:t>
      </w:r>
      <w:r w:rsidR="00443DD8" w:rsidRPr="00971011">
        <w:rPr>
          <w:rFonts w:ascii="Arial" w:hAnsi="Arial" w:cs="Arial"/>
          <w:sz w:val="20"/>
          <w:szCs w:val="20"/>
        </w:rPr>
        <w:t>in the study are;</w:t>
      </w:r>
      <w:r w:rsidRPr="00971011">
        <w:rPr>
          <w:rFonts w:ascii="Arial" w:hAnsi="Arial" w:cs="Arial"/>
          <w:sz w:val="20"/>
          <w:szCs w:val="20"/>
        </w:rPr>
        <w:t xml:space="preserve"> </w:t>
      </w:r>
    </w:p>
    <w:p w14:paraId="70BFD0CD" w14:textId="3A1C07A4" w:rsidR="001C044D" w:rsidRPr="00971011" w:rsidRDefault="001C044D" w:rsidP="00F843A8">
      <w:pPr>
        <w:spacing w:line="360" w:lineRule="auto"/>
        <w:jc w:val="both"/>
        <w:rPr>
          <w:rFonts w:ascii="Arial" w:hAnsi="Arial" w:cs="Arial"/>
          <w:sz w:val="20"/>
          <w:szCs w:val="20"/>
        </w:rPr>
      </w:pPr>
      <w:r w:rsidRPr="00971011">
        <w:rPr>
          <w:rFonts w:ascii="Arial" w:hAnsi="Arial" w:cs="Arial"/>
          <w:sz w:val="20"/>
          <w:szCs w:val="20"/>
        </w:rPr>
        <w:t xml:space="preserve">The implications for public health are immediate and profound. It is </w:t>
      </w:r>
      <w:proofErr w:type="gramStart"/>
      <w:r w:rsidRPr="00971011">
        <w:rPr>
          <w:rFonts w:ascii="Arial" w:hAnsi="Arial" w:cs="Arial"/>
          <w:sz w:val="20"/>
          <w:szCs w:val="20"/>
        </w:rPr>
        <w:t>confirms</w:t>
      </w:r>
      <w:proofErr w:type="gramEnd"/>
      <w:r w:rsidRPr="00971011">
        <w:rPr>
          <w:rFonts w:ascii="Arial" w:hAnsi="Arial" w:cs="Arial"/>
          <w:sz w:val="20"/>
          <w:szCs w:val="20"/>
        </w:rPr>
        <w:t xml:space="preserve"> that a significant portion of the population in </w:t>
      </w:r>
      <w:proofErr w:type="spellStart"/>
      <w:r w:rsidRPr="00971011">
        <w:rPr>
          <w:rFonts w:ascii="Arial" w:hAnsi="Arial" w:cs="Arial"/>
          <w:sz w:val="20"/>
          <w:szCs w:val="20"/>
        </w:rPr>
        <w:t>Mamfe</w:t>
      </w:r>
      <w:proofErr w:type="spellEnd"/>
      <w:r w:rsidRPr="00971011">
        <w:rPr>
          <w:rFonts w:ascii="Arial" w:hAnsi="Arial" w:cs="Arial"/>
          <w:sz w:val="20"/>
          <w:szCs w:val="20"/>
        </w:rPr>
        <w:t xml:space="preserve"> Central Sub-Division is exposed to contaminated water and associated health risks, especially in rural communities with limited access to piped water. Seasonal peaks in disease outbreaks reflect vulnerabilities in both the water infrastructure and the health system’s preparedness to manage them but are resistant to give out information freely for fear of the unkno</w:t>
      </w:r>
      <w:r w:rsidR="0067017C" w:rsidRPr="00971011">
        <w:rPr>
          <w:rFonts w:ascii="Arial" w:hAnsi="Arial" w:cs="Arial"/>
          <w:sz w:val="20"/>
          <w:szCs w:val="20"/>
        </w:rPr>
        <w:t>wn.</w:t>
      </w:r>
      <w:r w:rsidRPr="00971011">
        <w:rPr>
          <w:rFonts w:ascii="Arial" w:hAnsi="Arial" w:cs="Arial"/>
          <w:sz w:val="20"/>
          <w:szCs w:val="20"/>
        </w:rPr>
        <w:t xml:space="preserve">   This calls for a paradigm shift in health planning from a reactive, treatment-focused approach to a proactive, preventive public health strategy rooted in environmental</w:t>
      </w:r>
      <w:r w:rsidR="002F1FAD" w:rsidRPr="00971011">
        <w:rPr>
          <w:rFonts w:ascii="Arial" w:hAnsi="Arial" w:cs="Arial"/>
          <w:sz w:val="20"/>
          <w:szCs w:val="20"/>
        </w:rPr>
        <w:t xml:space="preserve"> hygiene and safe water </w:t>
      </w:r>
      <w:proofErr w:type="spellStart"/>
      <w:proofErr w:type="gramStart"/>
      <w:r w:rsidR="002F1FAD" w:rsidRPr="00971011">
        <w:rPr>
          <w:rFonts w:ascii="Arial" w:hAnsi="Arial" w:cs="Arial"/>
          <w:sz w:val="20"/>
          <w:szCs w:val="20"/>
        </w:rPr>
        <w:t>access.</w:t>
      </w:r>
      <w:r w:rsidRPr="00971011">
        <w:rPr>
          <w:rFonts w:ascii="Arial" w:hAnsi="Arial" w:cs="Arial"/>
          <w:sz w:val="20"/>
          <w:szCs w:val="20"/>
        </w:rPr>
        <w:t>The</w:t>
      </w:r>
      <w:proofErr w:type="spellEnd"/>
      <w:proofErr w:type="gramEnd"/>
      <w:r w:rsidRPr="00971011">
        <w:rPr>
          <w:rFonts w:ascii="Arial" w:hAnsi="Arial" w:cs="Arial"/>
          <w:sz w:val="20"/>
          <w:szCs w:val="20"/>
        </w:rPr>
        <w:t xml:space="preserve"> findings urge public health stakeholders to prioritize health promotion campaigns, community-based disease surveillance, and cross-sectorial collaboration with water and sanitation actors. The inclusion of traditional leaders and indigenous knowledge systems in health sensitization efforts is also recommended as a culturally appropriate strategy to improve outreach and compliance. The research also points to the need for synergies between traditional and modern health systems. In the absence of functional healthcare facilities, many households rely on indigenous practices for the treatment of waterborne diseases. While these methods offer temporary relief, their unregulated use poses risks of delayed treatment or health complications. Therefore, the findings encourage public health planners to explore integration models where traditional healers are trained and included in broader disease surveillance and water hygiene education initiatives.</w:t>
      </w:r>
    </w:p>
    <w:p w14:paraId="3151D12C" w14:textId="13CB641D" w:rsidR="00F843A8" w:rsidRPr="00971011" w:rsidRDefault="005034D7" w:rsidP="00F843A8">
      <w:pPr>
        <w:spacing w:line="360" w:lineRule="auto"/>
        <w:jc w:val="both"/>
        <w:rPr>
          <w:rFonts w:ascii="Arial" w:hAnsi="Arial" w:cs="Arial"/>
          <w:sz w:val="20"/>
          <w:szCs w:val="20"/>
        </w:rPr>
      </w:pPr>
      <w:r w:rsidRPr="00971011">
        <w:rPr>
          <w:rFonts w:ascii="Arial" w:hAnsi="Arial" w:cs="Arial"/>
          <w:sz w:val="20"/>
          <w:szCs w:val="20"/>
        </w:rPr>
        <w:t xml:space="preserve">Environmentally, the </w:t>
      </w:r>
      <w:r w:rsidR="00F843A8" w:rsidRPr="00971011">
        <w:rPr>
          <w:rFonts w:ascii="Arial" w:hAnsi="Arial" w:cs="Arial"/>
          <w:sz w:val="20"/>
          <w:szCs w:val="20"/>
        </w:rPr>
        <w:t xml:space="preserve">unregulated land use, deforestation, and chemical-intensive farming </w:t>
      </w:r>
      <w:r w:rsidRPr="00971011">
        <w:rPr>
          <w:rFonts w:ascii="Arial" w:hAnsi="Arial" w:cs="Arial"/>
          <w:sz w:val="20"/>
          <w:szCs w:val="20"/>
        </w:rPr>
        <w:t xml:space="preserve">that </w:t>
      </w:r>
      <w:r w:rsidR="00F843A8" w:rsidRPr="00971011">
        <w:rPr>
          <w:rFonts w:ascii="Arial" w:hAnsi="Arial" w:cs="Arial"/>
          <w:sz w:val="20"/>
          <w:szCs w:val="20"/>
        </w:rPr>
        <w:t>compromise</w:t>
      </w:r>
      <w:r w:rsidRPr="00971011">
        <w:rPr>
          <w:rFonts w:ascii="Arial" w:hAnsi="Arial" w:cs="Arial"/>
          <w:sz w:val="20"/>
          <w:szCs w:val="20"/>
        </w:rPr>
        <w:t>s</w:t>
      </w:r>
      <w:r w:rsidR="00F843A8" w:rsidRPr="00971011">
        <w:rPr>
          <w:rFonts w:ascii="Arial" w:hAnsi="Arial" w:cs="Arial"/>
          <w:sz w:val="20"/>
          <w:szCs w:val="20"/>
        </w:rPr>
        <w:t xml:space="preserve"> watershed health and reduce the resilience of ecosystems</w:t>
      </w:r>
      <w:r w:rsidRPr="00971011">
        <w:rPr>
          <w:rFonts w:ascii="Arial" w:hAnsi="Arial" w:cs="Arial"/>
          <w:sz w:val="20"/>
          <w:szCs w:val="20"/>
        </w:rPr>
        <w:t xml:space="preserve"> posed as a major challenge in the acquisition of information in the field</w:t>
      </w:r>
      <w:r w:rsidR="00F843A8" w:rsidRPr="00971011">
        <w:rPr>
          <w:rFonts w:ascii="Arial" w:hAnsi="Arial" w:cs="Arial"/>
          <w:sz w:val="20"/>
          <w:szCs w:val="20"/>
        </w:rPr>
        <w:t xml:space="preserve">. This not only affects water quality and availability but also undermines climate adaptation efforts. The findings advocate for the enforcement of watershed protection policies, including reforestation, afforestation, and prohibition of harmful farming practices near springs and streams. The study also emphasizes the importance of watershed rehabilitation as a low-cost, high-impact strategy to enhance both water security and environmental quality. Planting water-loving tree species, building terracing and buffer zones, and involving youth in environmental clubs or school-based water protection initiatives are some of the practical approaches proposed. Additionally, the research presents a compelling case for community-based environmental monitoring systems, where local actors can take ownership of protecting and reporting the status of their water </w:t>
      </w:r>
      <w:r w:rsidR="00F843A8" w:rsidRPr="00971011">
        <w:rPr>
          <w:rFonts w:ascii="Arial" w:hAnsi="Arial" w:cs="Arial"/>
          <w:sz w:val="20"/>
          <w:szCs w:val="20"/>
        </w:rPr>
        <w:lastRenderedPageBreak/>
        <w:t>sources. These systems, when supported with basic training and tools, offer cost-effective alternatives to centralized regulatory systems that are often underfunded and overstretched.</w:t>
      </w:r>
    </w:p>
    <w:p w14:paraId="6F9AC10E" w14:textId="3FA4CA12" w:rsidR="00F843A8" w:rsidRPr="00971011" w:rsidRDefault="00F843A8" w:rsidP="00F843A8">
      <w:pPr>
        <w:spacing w:line="360" w:lineRule="auto"/>
        <w:jc w:val="both"/>
        <w:rPr>
          <w:rFonts w:ascii="Arial" w:hAnsi="Arial" w:cs="Arial"/>
          <w:sz w:val="20"/>
          <w:szCs w:val="20"/>
        </w:rPr>
      </w:pPr>
      <w:r w:rsidRPr="00971011">
        <w:rPr>
          <w:rFonts w:ascii="Arial" w:hAnsi="Arial" w:cs="Arial"/>
          <w:sz w:val="20"/>
          <w:szCs w:val="20"/>
        </w:rPr>
        <w:t xml:space="preserve">  Further Research</w:t>
      </w:r>
      <w:r w:rsidR="00443DD8" w:rsidRPr="00971011">
        <w:rPr>
          <w:rFonts w:ascii="Arial" w:hAnsi="Arial" w:cs="Arial"/>
          <w:sz w:val="20"/>
          <w:szCs w:val="20"/>
        </w:rPr>
        <w:t xml:space="preserve"> can be carried out with</w:t>
      </w:r>
      <w:r w:rsidRPr="00971011">
        <w:rPr>
          <w:rFonts w:ascii="Arial" w:hAnsi="Arial" w:cs="Arial"/>
          <w:sz w:val="20"/>
          <w:szCs w:val="20"/>
        </w:rPr>
        <w:t xml:space="preserve"> the following themes:</w:t>
      </w:r>
    </w:p>
    <w:p w14:paraId="5BCE6EAA" w14:textId="77777777" w:rsidR="00F843A8" w:rsidRPr="00971011" w:rsidRDefault="00F843A8" w:rsidP="00F843A8">
      <w:pPr>
        <w:pStyle w:val="Heading3"/>
        <w:numPr>
          <w:ilvl w:val="0"/>
          <w:numId w:val="6"/>
        </w:numPr>
        <w:spacing w:line="360" w:lineRule="auto"/>
        <w:jc w:val="both"/>
        <w:rPr>
          <w:rFonts w:ascii="Arial" w:hAnsi="Arial" w:cs="Arial"/>
          <w:color w:val="000000" w:themeColor="text1"/>
          <w:sz w:val="20"/>
          <w:szCs w:val="20"/>
        </w:rPr>
      </w:pPr>
      <w:r w:rsidRPr="00971011">
        <w:rPr>
          <w:rFonts w:ascii="Arial" w:hAnsi="Arial" w:cs="Arial"/>
          <w:color w:val="000000" w:themeColor="text1"/>
          <w:sz w:val="20"/>
          <w:szCs w:val="20"/>
        </w:rPr>
        <w:t>Climate Variability and Water Quality Dynamics in Mountainous and Lowland Zones</w:t>
      </w:r>
    </w:p>
    <w:p w14:paraId="588206C0" w14:textId="77777777" w:rsidR="00F843A8" w:rsidRPr="00971011" w:rsidRDefault="00F843A8" w:rsidP="00F843A8">
      <w:pPr>
        <w:pStyle w:val="Heading3"/>
        <w:numPr>
          <w:ilvl w:val="0"/>
          <w:numId w:val="6"/>
        </w:numPr>
        <w:spacing w:line="360" w:lineRule="auto"/>
        <w:jc w:val="both"/>
        <w:rPr>
          <w:rFonts w:ascii="Arial" w:hAnsi="Arial" w:cs="Arial"/>
          <w:color w:val="000000" w:themeColor="text1"/>
          <w:sz w:val="20"/>
          <w:szCs w:val="20"/>
        </w:rPr>
      </w:pPr>
      <w:r w:rsidRPr="00971011">
        <w:rPr>
          <w:rFonts w:ascii="Arial" w:hAnsi="Arial" w:cs="Arial"/>
          <w:color w:val="000000" w:themeColor="text1"/>
          <w:sz w:val="20"/>
          <w:szCs w:val="20"/>
        </w:rPr>
        <w:t>Effectiveness and Sustainability of Traditional Water Management Practices</w:t>
      </w:r>
    </w:p>
    <w:p w14:paraId="7B654586" w14:textId="064AF18D" w:rsidR="00F843A8" w:rsidRPr="00971011" w:rsidRDefault="00F843A8" w:rsidP="00F843A8">
      <w:pPr>
        <w:pStyle w:val="ListParagraph"/>
        <w:numPr>
          <w:ilvl w:val="0"/>
          <w:numId w:val="6"/>
        </w:numPr>
        <w:spacing w:line="360" w:lineRule="auto"/>
        <w:jc w:val="both"/>
        <w:rPr>
          <w:rFonts w:ascii="Arial" w:hAnsi="Arial" w:cs="Arial"/>
          <w:color w:val="000000" w:themeColor="text1"/>
          <w:sz w:val="20"/>
          <w:szCs w:val="20"/>
        </w:rPr>
      </w:pPr>
      <w:r w:rsidRPr="00971011">
        <w:rPr>
          <w:rFonts w:ascii="Arial" w:hAnsi="Arial" w:cs="Arial"/>
          <w:color w:val="000000" w:themeColor="text1"/>
          <w:sz w:val="20"/>
          <w:szCs w:val="20"/>
        </w:rPr>
        <w:t>Gender Dynamics and Health Vulnerabilities in Water Access and Management</w:t>
      </w:r>
    </w:p>
    <w:p w14:paraId="7C928781" w14:textId="50353896" w:rsidR="00F843A8" w:rsidRPr="00971011" w:rsidRDefault="00F843A8" w:rsidP="00F843A8">
      <w:pPr>
        <w:pStyle w:val="ListParagraph"/>
        <w:numPr>
          <w:ilvl w:val="0"/>
          <w:numId w:val="6"/>
        </w:numPr>
        <w:spacing w:line="360" w:lineRule="auto"/>
        <w:jc w:val="both"/>
        <w:rPr>
          <w:rFonts w:ascii="Arial" w:hAnsi="Arial" w:cs="Arial"/>
          <w:color w:val="000000" w:themeColor="text1"/>
          <w:sz w:val="20"/>
          <w:szCs w:val="20"/>
        </w:rPr>
      </w:pPr>
      <w:r w:rsidRPr="00971011">
        <w:rPr>
          <w:rFonts w:ascii="Arial" w:hAnsi="Arial" w:cs="Arial"/>
          <w:color w:val="000000" w:themeColor="text1"/>
          <w:sz w:val="20"/>
          <w:szCs w:val="20"/>
        </w:rPr>
        <w:t>Geospatial Modelling of Waterborne Disease</w:t>
      </w:r>
      <w:r w:rsidR="0067017C" w:rsidRPr="00971011">
        <w:rPr>
          <w:rFonts w:ascii="Arial" w:hAnsi="Arial" w:cs="Arial"/>
          <w:color w:val="000000" w:themeColor="text1"/>
          <w:sz w:val="20"/>
          <w:szCs w:val="20"/>
        </w:rPr>
        <w:t xml:space="preserve"> Outbreaks and Pollution Sourc</w:t>
      </w:r>
      <w:r w:rsidR="00971011">
        <w:rPr>
          <w:rFonts w:ascii="Arial" w:hAnsi="Arial" w:cs="Arial"/>
          <w:color w:val="000000" w:themeColor="text1"/>
          <w:sz w:val="20"/>
          <w:szCs w:val="20"/>
        </w:rPr>
        <w:t>e</w:t>
      </w:r>
    </w:p>
    <w:p w14:paraId="4DE5AECA" w14:textId="77777777" w:rsidR="00F843A8" w:rsidRDefault="00F843A8" w:rsidP="00FB01DC">
      <w:pPr>
        <w:pStyle w:val="Heading1"/>
        <w:jc w:val="center"/>
        <w:rPr>
          <w:rFonts w:ascii="Times New Roman" w:hAnsi="Times New Roman" w:cs="Times New Roman"/>
          <w:b/>
          <w:bCs/>
          <w:color w:val="auto"/>
          <w:sz w:val="24"/>
          <w:szCs w:val="24"/>
        </w:rPr>
      </w:pPr>
    </w:p>
    <w:p w14:paraId="2237DE4C" w14:textId="77777777" w:rsidR="00660192" w:rsidRDefault="00660192" w:rsidP="00FB01DC">
      <w:pPr>
        <w:pStyle w:val="Heading1"/>
        <w:jc w:val="center"/>
        <w:rPr>
          <w:rFonts w:ascii="Times New Roman" w:hAnsi="Times New Roman" w:cs="Times New Roman"/>
          <w:b/>
          <w:bCs/>
          <w:color w:val="auto"/>
          <w:sz w:val="24"/>
          <w:szCs w:val="24"/>
        </w:rPr>
      </w:pPr>
    </w:p>
    <w:p w14:paraId="5457DC08" w14:textId="77777777" w:rsidR="00660192" w:rsidRDefault="00660192" w:rsidP="00FB01DC">
      <w:pPr>
        <w:pStyle w:val="Heading1"/>
        <w:jc w:val="center"/>
        <w:rPr>
          <w:rFonts w:ascii="Times New Roman" w:hAnsi="Times New Roman" w:cs="Times New Roman"/>
          <w:b/>
          <w:bCs/>
          <w:color w:val="auto"/>
          <w:sz w:val="24"/>
          <w:szCs w:val="24"/>
        </w:rPr>
      </w:pPr>
    </w:p>
    <w:p w14:paraId="49A0F141" w14:textId="77777777" w:rsidR="00660192" w:rsidRDefault="00660192" w:rsidP="00FB01DC">
      <w:pPr>
        <w:pStyle w:val="Heading1"/>
        <w:jc w:val="center"/>
        <w:rPr>
          <w:rFonts w:ascii="Times New Roman" w:hAnsi="Times New Roman" w:cs="Times New Roman"/>
          <w:b/>
          <w:bCs/>
          <w:color w:val="auto"/>
          <w:sz w:val="24"/>
          <w:szCs w:val="24"/>
        </w:rPr>
      </w:pPr>
    </w:p>
    <w:p w14:paraId="3E5415FE" w14:textId="77777777" w:rsidR="00660192" w:rsidRDefault="00660192" w:rsidP="00FB01DC">
      <w:pPr>
        <w:pStyle w:val="Heading1"/>
        <w:jc w:val="center"/>
        <w:rPr>
          <w:rFonts w:ascii="Times New Roman" w:hAnsi="Times New Roman" w:cs="Times New Roman"/>
          <w:b/>
          <w:bCs/>
          <w:color w:val="auto"/>
          <w:sz w:val="24"/>
          <w:szCs w:val="24"/>
        </w:rPr>
      </w:pPr>
    </w:p>
    <w:p w14:paraId="3ADC80C6" w14:textId="77777777" w:rsidR="00660192" w:rsidRDefault="00660192" w:rsidP="00FB01DC">
      <w:pPr>
        <w:pStyle w:val="Heading1"/>
        <w:jc w:val="center"/>
        <w:rPr>
          <w:rFonts w:ascii="Times New Roman" w:hAnsi="Times New Roman" w:cs="Times New Roman"/>
          <w:b/>
          <w:bCs/>
          <w:color w:val="auto"/>
          <w:sz w:val="24"/>
          <w:szCs w:val="24"/>
        </w:rPr>
      </w:pPr>
    </w:p>
    <w:p w14:paraId="3844FB0E" w14:textId="77777777" w:rsidR="00660192" w:rsidRDefault="00660192" w:rsidP="00FB01DC">
      <w:pPr>
        <w:pStyle w:val="Heading1"/>
        <w:jc w:val="center"/>
        <w:rPr>
          <w:rFonts w:ascii="Times New Roman" w:hAnsi="Times New Roman" w:cs="Times New Roman"/>
          <w:b/>
          <w:bCs/>
          <w:color w:val="auto"/>
          <w:sz w:val="24"/>
          <w:szCs w:val="24"/>
        </w:rPr>
      </w:pPr>
    </w:p>
    <w:p w14:paraId="49601ABB" w14:textId="77777777" w:rsidR="00660192" w:rsidRDefault="00660192" w:rsidP="00FB01DC">
      <w:pPr>
        <w:pStyle w:val="Heading1"/>
        <w:jc w:val="center"/>
        <w:rPr>
          <w:rFonts w:ascii="Times New Roman" w:hAnsi="Times New Roman" w:cs="Times New Roman"/>
          <w:b/>
          <w:bCs/>
          <w:color w:val="auto"/>
          <w:sz w:val="24"/>
          <w:szCs w:val="24"/>
        </w:rPr>
      </w:pPr>
    </w:p>
    <w:p w14:paraId="06EE5F30" w14:textId="77777777" w:rsidR="00660192" w:rsidRDefault="00660192" w:rsidP="00FB01DC">
      <w:pPr>
        <w:pStyle w:val="Heading1"/>
        <w:jc w:val="center"/>
        <w:rPr>
          <w:rFonts w:ascii="Times New Roman" w:hAnsi="Times New Roman" w:cs="Times New Roman"/>
          <w:b/>
          <w:bCs/>
          <w:color w:val="auto"/>
          <w:sz w:val="24"/>
          <w:szCs w:val="24"/>
        </w:rPr>
      </w:pPr>
    </w:p>
    <w:p w14:paraId="01C67375" w14:textId="77777777" w:rsidR="00660192" w:rsidRDefault="00660192" w:rsidP="00FB01DC">
      <w:pPr>
        <w:pStyle w:val="Heading1"/>
        <w:jc w:val="center"/>
        <w:rPr>
          <w:rFonts w:ascii="Times New Roman" w:hAnsi="Times New Roman" w:cs="Times New Roman"/>
          <w:b/>
          <w:bCs/>
          <w:color w:val="auto"/>
          <w:sz w:val="24"/>
          <w:szCs w:val="24"/>
        </w:rPr>
      </w:pPr>
    </w:p>
    <w:p w14:paraId="4298360A" w14:textId="77777777" w:rsidR="00660192" w:rsidRDefault="00660192" w:rsidP="00C056A2">
      <w:pPr>
        <w:pStyle w:val="Heading1"/>
        <w:rPr>
          <w:rFonts w:ascii="Times New Roman" w:hAnsi="Times New Roman" w:cs="Times New Roman"/>
          <w:b/>
          <w:bCs/>
          <w:color w:val="auto"/>
          <w:sz w:val="24"/>
          <w:szCs w:val="24"/>
        </w:rPr>
      </w:pPr>
    </w:p>
    <w:p w14:paraId="645E07BB" w14:textId="77777777" w:rsidR="00660192" w:rsidRPr="00660192" w:rsidRDefault="00660192" w:rsidP="00660192"/>
    <w:p w14:paraId="24C8C24A" w14:textId="77777777" w:rsidR="00971011" w:rsidRDefault="00971011" w:rsidP="00FB01DC">
      <w:pPr>
        <w:pStyle w:val="Heading1"/>
        <w:jc w:val="center"/>
        <w:rPr>
          <w:rFonts w:ascii="Times New Roman" w:hAnsi="Times New Roman" w:cs="Times New Roman"/>
          <w:b/>
          <w:bCs/>
          <w:color w:val="auto"/>
          <w:sz w:val="24"/>
          <w:szCs w:val="24"/>
        </w:rPr>
      </w:pPr>
    </w:p>
    <w:p w14:paraId="44D244A9" w14:textId="77777777" w:rsidR="00971011" w:rsidRDefault="00971011" w:rsidP="00FB01DC">
      <w:pPr>
        <w:pStyle w:val="Heading1"/>
        <w:jc w:val="center"/>
        <w:rPr>
          <w:rFonts w:ascii="Times New Roman" w:hAnsi="Times New Roman" w:cs="Times New Roman"/>
          <w:b/>
          <w:bCs/>
          <w:color w:val="auto"/>
          <w:sz w:val="24"/>
          <w:szCs w:val="24"/>
        </w:rPr>
      </w:pPr>
    </w:p>
    <w:p w14:paraId="51A0CE93" w14:textId="77777777" w:rsidR="00971011" w:rsidRDefault="00971011" w:rsidP="00FB01DC">
      <w:pPr>
        <w:pStyle w:val="Heading1"/>
        <w:jc w:val="center"/>
        <w:rPr>
          <w:rFonts w:ascii="Times New Roman" w:hAnsi="Times New Roman" w:cs="Times New Roman"/>
          <w:b/>
          <w:bCs/>
          <w:color w:val="auto"/>
          <w:sz w:val="24"/>
          <w:szCs w:val="24"/>
        </w:rPr>
      </w:pPr>
    </w:p>
    <w:p w14:paraId="2121CCAC" w14:textId="77777777" w:rsidR="00971011" w:rsidRDefault="00971011" w:rsidP="00FB01DC">
      <w:pPr>
        <w:pStyle w:val="Heading1"/>
        <w:jc w:val="center"/>
        <w:rPr>
          <w:rFonts w:ascii="Times New Roman" w:hAnsi="Times New Roman" w:cs="Times New Roman"/>
          <w:b/>
          <w:bCs/>
          <w:color w:val="auto"/>
          <w:sz w:val="24"/>
          <w:szCs w:val="24"/>
        </w:rPr>
      </w:pPr>
    </w:p>
    <w:p w14:paraId="5D827F48" w14:textId="77777777" w:rsidR="00971011" w:rsidRDefault="00971011" w:rsidP="00FB01DC">
      <w:pPr>
        <w:pStyle w:val="Heading1"/>
        <w:jc w:val="center"/>
        <w:rPr>
          <w:rFonts w:ascii="Times New Roman" w:hAnsi="Times New Roman" w:cs="Times New Roman"/>
          <w:b/>
          <w:bCs/>
          <w:color w:val="auto"/>
          <w:sz w:val="24"/>
          <w:szCs w:val="24"/>
        </w:rPr>
      </w:pPr>
    </w:p>
    <w:p w14:paraId="1C5D1281" w14:textId="77777777" w:rsidR="00971011" w:rsidRPr="00971011" w:rsidRDefault="00971011" w:rsidP="00971011"/>
    <w:p w14:paraId="500CD156" w14:textId="77777777" w:rsidR="00971011" w:rsidRPr="00971011" w:rsidRDefault="00971011" w:rsidP="00971011"/>
    <w:p w14:paraId="6967D96B" w14:textId="77777777" w:rsidR="00971011" w:rsidRDefault="00971011" w:rsidP="00FB01DC">
      <w:pPr>
        <w:pStyle w:val="Heading1"/>
        <w:jc w:val="center"/>
        <w:rPr>
          <w:rFonts w:ascii="Times New Roman" w:hAnsi="Times New Roman" w:cs="Times New Roman"/>
          <w:b/>
          <w:bCs/>
          <w:color w:val="auto"/>
          <w:sz w:val="24"/>
          <w:szCs w:val="24"/>
        </w:rPr>
      </w:pPr>
    </w:p>
    <w:p w14:paraId="1377AFF6" w14:textId="77777777" w:rsidR="001B2BC0" w:rsidRPr="00971011" w:rsidRDefault="001B2BC0" w:rsidP="00FB01DC">
      <w:pPr>
        <w:pStyle w:val="Heading1"/>
        <w:jc w:val="center"/>
        <w:rPr>
          <w:rFonts w:ascii="Arial Black" w:hAnsi="Arial Black" w:cs="Times New Roman"/>
          <w:b/>
          <w:bCs/>
          <w:color w:val="auto"/>
          <w:sz w:val="22"/>
          <w:szCs w:val="22"/>
        </w:rPr>
      </w:pPr>
      <w:r w:rsidRPr="00971011">
        <w:rPr>
          <w:rFonts w:ascii="Arial Black" w:hAnsi="Arial Black" w:cs="Times New Roman"/>
          <w:b/>
          <w:bCs/>
          <w:color w:val="auto"/>
          <w:sz w:val="22"/>
          <w:szCs w:val="22"/>
        </w:rPr>
        <w:t>References</w:t>
      </w:r>
    </w:p>
    <w:p w14:paraId="3FF14A66"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proofErr w:type="spellStart"/>
      <w:r w:rsidRPr="00971011">
        <w:rPr>
          <w:rFonts w:ascii="Arial" w:eastAsia="Times New Roman" w:hAnsi="Arial" w:cs="Arial"/>
          <w:b/>
          <w:sz w:val="20"/>
          <w:szCs w:val="20"/>
        </w:rPr>
        <w:t>Fewtrell</w:t>
      </w:r>
      <w:proofErr w:type="spellEnd"/>
      <w:r w:rsidRPr="00971011">
        <w:rPr>
          <w:rFonts w:ascii="Arial" w:eastAsia="Times New Roman" w:hAnsi="Arial" w:cs="Arial"/>
          <w:b/>
          <w:sz w:val="20"/>
          <w:szCs w:val="20"/>
        </w:rPr>
        <w:t xml:space="preserve">, L., &amp; </w:t>
      </w:r>
      <w:proofErr w:type="spellStart"/>
      <w:r w:rsidRPr="00971011">
        <w:rPr>
          <w:rFonts w:ascii="Arial" w:eastAsia="Times New Roman" w:hAnsi="Arial" w:cs="Arial"/>
          <w:b/>
          <w:sz w:val="20"/>
          <w:szCs w:val="20"/>
        </w:rPr>
        <w:t>Colford</w:t>
      </w:r>
      <w:proofErr w:type="spellEnd"/>
      <w:r w:rsidRPr="00971011">
        <w:rPr>
          <w:rFonts w:ascii="Arial" w:eastAsia="Times New Roman" w:hAnsi="Arial" w:cs="Arial"/>
          <w:b/>
          <w:sz w:val="20"/>
          <w:szCs w:val="20"/>
        </w:rPr>
        <w:t>, J.</w:t>
      </w:r>
      <w:r w:rsidRPr="00971011">
        <w:rPr>
          <w:rFonts w:ascii="Arial" w:eastAsia="Times New Roman" w:hAnsi="Arial" w:cs="Arial"/>
          <w:sz w:val="20"/>
          <w:szCs w:val="20"/>
        </w:rPr>
        <w:t xml:space="preserve"> M. (2004). </w:t>
      </w:r>
      <w:r w:rsidRPr="00971011">
        <w:rPr>
          <w:rFonts w:ascii="Arial" w:eastAsia="Times New Roman" w:hAnsi="Arial" w:cs="Arial"/>
          <w:i/>
          <w:iCs/>
          <w:sz w:val="20"/>
          <w:szCs w:val="20"/>
        </w:rPr>
        <w:t>Water, sanitation and hygiene: Interventions and diarrhoea. A systematic review and meta-analysis</w:t>
      </w:r>
      <w:r w:rsidRPr="00971011">
        <w:rPr>
          <w:rFonts w:ascii="Arial" w:eastAsia="Times New Roman" w:hAnsi="Arial" w:cs="Arial"/>
          <w:sz w:val="20"/>
          <w:szCs w:val="20"/>
        </w:rPr>
        <w:t>. World Bank.</w:t>
      </w:r>
    </w:p>
    <w:p w14:paraId="26C01036"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proofErr w:type="spellStart"/>
      <w:r w:rsidRPr="00971011">
        <w:rPr>
          <w:rFonts w:ascii="Arial" w:eastAsia="Times New Roman" w:hAnsi="Arial" w:cs="Arial"/>
          <w:sz w:val="20"/>
          <w:szCs w:val="20"/>
        </w:rPr>
        <w:t>Fewtrell</w:t>
      </w:r>
      <w:proofErr w:type="spellEnd"/>
      <w:r w:rsidRPr="00971011">
        <w:rPr>
          <w:rFonts w:ascii="Arial" w:eastAsia="Times New Roman" w:hAnsi="Arial" w:cs="Arial"/>
          <w:sz w:val="20"/>
          <w:szCs w:val="20"/>
        </w:rPr>
        <w:t xml:space="preserve">, L., Kaufmann, R. B., Kay, D., </w:t>
      </w:r>
      <w:proofErr w:type="spellStart"/>
      <w:r w:rsidRPr="00971011">
        <w:rPr>
          <w:rFonts w:ascii="Arial" w:eastAsia="Times New Roman" w:hAnsi="Arial" w:cs="Arial"/>
          <w:sz w:val="20"/>
          <w:szCs w:val="20"/>
        </w:rPr>
        <w:t>Enanoria</w:t>
      </w:r>
      <w:proofErr w:type="spellEnd"/>
      <w:r w:rsidRPr="00971011">
        <w:rPr>
          <w:rFonts w:ascii="Arial" w:eastAsia="Times New Roman" w:hAnsi="Arial" w:cs="Arial"/>
          <w:sz w:val="20"/>
          <w:szCs w:val="20"/>
        </w:rPr>
        <w:t xml:space="preserve">, W., Haller, L., &amp; </w:t>
      </w:r>
      <w:proofErr w:type="spellStart"/>
      <w:r w:rsidRPr="00971011">
        <w:rPr>
          <w:rFonts w:ascii="Arial" w:eastAsia="Times New Roman" w:hAnsi="Arial" w:cs="Arial"/>
          <w:sz w:val="20"/>
          <w:szCs w:val="20"/>
        </w:rPr>
        <w:t>Colford</w:t>
      </w:r>
      <w:proofErr w:type="spellEnd"/>
      <w:r w:rsidRPr="00971011">
        <w:rPr>
          <w:rFonts w:ascii="Arial" w:eastAsia="Times New Roman" w:hAnsi="Arial" w:cs="Arial"/>
          <w:sz w:val="20"/>
          <w:szCs w:val="20"/>
        </w:rPr>
        <w:t xml:space="preserve">, J. M. (2005). Water, sanitation, and hygiene interventions to reduce diarrhoea in less developed countries: A systematic review and meta-analysis. </w:t>
      </w:r>
      <w:r w:rsidRPr="00971011">
        <w:rPr>
          <w:rFonts w:ascii="Arial" w:eastAsia="Times New Roman" w:hAnsi="Arial" w:cs="Arial"/>
          <w:i/>
          <w:iCs/>
          <w:sz w:val="20"/>
          <w:szCs w:val="20"/>
        </w:rPr>
        <w:t>The Lancet Infectious Diseases, 5</w:t>
      </w:r>
      <w:r w:rsidRPr="00971011">
        <w:rPr>
          <w:rFonts w:ascii="Arial" w:eastAsia="Times New Roman" w:hAnsi="Arial" w:cs="Arial"/>
          <w:sz w:val="20"/>
          <w:szCs w:val="20"/>
        </w:rPr>
        <w:t>(1), 42–52. https://doi.org/10.1016/S1473-3099(04)01253-8</w:t>
      </w:r>
    </w:p>
    <w:p w14:paraId="313AA356"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r w:rsidRPr="00971011">
        <w:rPr>
          <w:rFonts w:ascii="Arial" w:eastAsia="Times New Roman" w:hAnsi="Arial" w:cs="Arial"/>
          <w:sz w:val="20"/>
          <w:szCs w:val="20"/>
        </w:rPr>
        <w:t xml:space="preserve">Guerrero, L. A., Maas, G., &amp; </w:t>
      </w:r>
      <w:proofErr w:type="spellStart"/>
      <w:r w:rsidRPr="00971011">
        <w:rPr>
          <w:rFonts w:ascii="Arial" w:eastAsia="Times New Roman" w:hAnsi="Arial" w:cs="Arial"/>
          <w:sz w:val="20"/>
          <w:szCs w:val="20"/>
        </w:rPr>
        <w:t>Hogland</w:t>
      </w:r>
      <w:proofErr w:type="spellEnd"/>
      <w:r w:rsidRPr="00971011">
        <w:rPr>
          <w:rFonts w:ascii="Arial" w:eastAsia="Times New Roman" w:hAnsi="Arial" w:cs="Arial"/>
          <w:sz w:val="20"/>
          <w:szCs w:val="20"/>
        </w:rPr>
        <w:t xml:space="preserve">, W. (2013). Solid waste management challenges for cities in developing countries. </w:t>
      </w:r>
      <w:r w:rsidRPr="00971011">
        <w:rPr>
          <w:rFonts w:ascii="Arial" w:eastAsia="Times New Roman" w:hAnsi="Arial" w:cs="Arial"/>
          <w:i/>
          <w:iCs/>
          <w:sz w:val="20"/>
          <w:szCs w:val="20"/>
        </w:rPr>
        <w:t>Waste Management, 33</w:t>
      </w:r>
      <w:r w:rsidRPr="00971011">
        <w:rPr>
          <w:rFonts w:ascii="Arial" w:eastAsia="Times New Roman" w:hAnsi="Arial" w:cs="Arial"/>
          <w:sz w:val="20"/>
          <w:szCs w:val="20"/>
        </w:rPr>
        <w:t>(1), 220–232. https://doi.org/10.1016/j.wasman.2012.09.008</w:t>
      </w:r>
    </w:p>
    <w:p w14:paraId="3198EB2A"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r w:rsidRPr="00971011">
        <w:rPr>
          <w:rFonts w:ascii="Arial" w:eastAsia="Times New Roman" w:hAnsi="Arial" w:cs="Arial"/>
          <w:sz w:val="20"/>
          <w:szCs w:val="20"/>
        </w:rPr>
        <w:t xml:space="preserve">Henry, R. K., </w:t>
      </w:r>
      <w:proofErr w:type="spellStart"/>
      <w:r w:rsidRPr="00971011">
        <w:rPr>
          <w:rFonts w:ascii="Arial" w:eastAsia="Times New Roman" w:hAnsi="Arial" w:cs="Arial"/>
          <w:sz w:val="20"/>
          <w:szCs w:val="20"/>
        </w:rPr>
        <w:t>Yongsheng</w:t>
      </w:r>
      <w:proofErr w:type="spellEnd"/>
      <w:r w:rsidRPr="00971011">
        <w:rPr>
          <w:rFonts w:ascii="Arial" w:eastAsia="Times New Roman" w:hAnsi="Arial" w:cs="Arial"/>
          <w:sz w:val="20"/>
          <w:szCs w:val="20"/>
        </w:rPr>
        <w:t xml:space="preserve">, Z., &amp; Jun, D. (2006). Municipal solid waste management challenges in developing countries: Kenyan case study. </w:t>
      </w:r>
      <w:r w:rsidRPr="00971011">
        <w:rPr>
          <w:rFonts w:ascii="Arial" w:eastAsia="Times New Roman" w:hAnsi="Arial" w:cs="Arial"/>
          <w:i/>
          <w:iCs/>
          <w:sz w:val="20"/>
          <w:szCs w:val="20"/>
        </w:rPr>
        <w:t>Waste Management, 26</w:t>
      </w:r>
      <w:r w:rsidRPr="00971011">
        <w:rPr>
          <w:rFonts w:ascii="Arial" w:eastAsia="Times New Roman" w:hAnsi="Arial" w:cs="Arial"/>
          <w:sz w:val="20"/>
          <w:szCs w:val="20"/>
        </w:rPr>
        <w:t xml:space="preserve">(1), 92–100. </w:t>
      </w:r>
      <w:hyperlink r:id="rId9" w:tgtFrame="_new" w:history="1">
        <w:r w:rsidRPr="00971011">
          <w:rPr>
            <w:rFonts w:ascii="Arial" w:eastAsia="Times New Roman" w:hAnsi="Arial" w:cs="Arial"/>
            <w:sz w:val="20"/>
            <w:szCs w:val="20"/>
            <w:u w:val="single"/>
          </w:rPr>
          <w:t>https://doi.org/10.1016/j.wasman.2005.03.007</w:t>
        </w:r>
      </w:hyperlink>
    </w:p>
    <w:p w14:paraId="52828AB1"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r w:rsidRPr="00971011">
        <w:rPr>
          <w:rFonts w:ascii="Arial" w:eastAsia="Times New Roman" w:hAnsi="Arial" w:cs="Arial"/>
          <w:sz w:val="20"/>
          <w:szCs w:val="20"/>
        </w:rPr>
        <w:t xml:space="preserve">Hunter, P. R., MacDonald, A. M., &amp; Carter, R. C. (2010). Water supply and health. </w:t>
      </w:r>
      <w:proofErr w:type="spellStart"/>
      <w:r w:rsidRPr="00971011">
        <w:rPr>
          <w:rFonts w:ascii="Arial" w:eastAsia="Times New Roman" w:hAnsi="Arial" w:cs="Arial"/>
          <w:i/>
          <w:iCs/>
          <w:sz w:val="20"/>
          <w:szCs w:val="20"/>
        </w:rPr>
        <w:t>PLoS</w:t>
      </w:r>
      <w:proofErr w:type="spellEnd"/>
      <w:r w:rsidRPr="00971011">
        <w:rPr>
          <w:rFonts w:ascii="Arial" w:eastAsia="Times New Roman" w:hAnsi="Arial" w:cs="Arial"/>
          <w:i/>
          <w:iCs/>
          <w:sz w:val="20"/>
          <w:szCs w:val="20"/>
        </w:rPr>
        <w:t xml:space="preserve"> Medicine, 7</w:t>
      </w:r>
      <w:r w:rsidRPr="00971011">
        <w:rPr>
          <w:rFonts w:ascii="Arial" w:eastAsia="Times New Roman" w:hAnsi="Arial" w:cs="Arial"/>
          <w:sz w:val="20"/>
          <w:szCs w:val="20"/>
        </w:rPr>
        <w:t>(11), e1000361. https://doi.org/10.1371/journal.pmed.1000361</w:t>
      </w:r>
    </w:p>
    <w:p w14:paraId="180FFF40" w14:textId="387CAE4F" w:rsidR="00660192" w:rsidRPr="00971011" w:rsidRDefault="00660192" w:rsidP="00660192">
      <w:pPr>
        <w:spacing w:line="360" w:lineRule="auto"/>
        <w:ind w:left="567" w:hanging="567"/>
        <w:jc w:val="both"/>
        <w:rPr>
          <w:rFonts w:ascii="Arial" w:hAnsi="Arial" w:cs="Arial"/>
          <w:color w:val="000000" w:themeColor="text1"/>
          <w:sz w:val="20"/>
          <w:szCs w:val="20"/>
        </w:rPr>
      </w:pPr>
      <w:proofErr w:type="spellStart"/>
      <w:r w:rsidRPr="00971011">
        <w:rPr>
          <w:rFonts w:ascii="Arial" w:hAnsi="Arial" w:cs="Arial"/>
          <w:color w:val="000000" w:themeColor="text1"/>
          <w:sz w:val="20"/>
          <w:szCs w:val="20"/>
        </w:rPr>
        <w:t>Mamfe</w:t>
      </w:r>
      <w:proofErr w:type="spellEnd"/>
      <w:r w:rsidRPr="00971011">
        <w:rPr>
          <w:rFonts w:ascii="Arial" w:hAnsi="Arial" w:cs="Arial"/>
          <w:color w:val="000000" w:themeColor="text1"/>
          <w:sz w:val="20"/>
          <w:szCs w:val="20"/>
        </w:rPr>
        <w:t xml:space="preserve"> Council Development Plan. (2012). Participatory and Decentralised Rural Development Project-GPDERUDEP, 189</w:t>
      </w:r>
    </w:p>
    <w:p w14:paraId="750F795F"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r w:rsidRPr="00971011">
        <w:rPr>
          <w:rFonts w:ascii="Arial" w:eastAsia="Times New Roman" w:hAnsi="Arial" w:cs="Arial"/>
          <w:sz w:val="20"/>
          <w:szCs w:val="20"/>
        </w:rPr>
        <w:t xml:space="preserve">Manga, V. E., </w:t>
      </w:r>
      <w:proofErr w:type="spellStart"/>
      <w:r w:rsidRPr="00971011">
        <w:rPr>
          <w:rFonts w:ascii="Arial" w:eastAsia="Times New Roman" w:hAnsi="Arial" w:cs="Arial"/>
          <w:sz w:val="20"/>
          <w:szCs w:val="20"/>
        </w:rPr>
        <w:t>Forton</w:t>
      </w:r>
      <w:proofErr w:type="spellEnd"/>
      <w:r w:rsidRPr="00971011">
        <w:rPr>
          <w:rFonts w:ascii="Arial" w:eastAsia="Times New Roman" w:hAnsi="Arial" w:cs="Arial"/>
          <w:sz w:val="20"/>
          <w:szCs w:val="20"/>
        </w:rPr>
        <w:t xml:space="preserve">, O. T., </w:t>
      </w:r>
      <w:proofErr w:type="spellStart"/>
      <w:r w:rsidRPr="00971011">
        <w:rPr>
          <w:rFonts w:ascii="Arial" w:eastAsia="Times New Roman" w:hAnsi="Arial" w:cs="Arial"/>
          <w:sz w:val="20"/>
          <w:szCs w:val="20"/>
        </w:rPr>
        <w:t>Mofor</w:t>
      </w:r>
      <w:proofErr w:type="spellEnd"/>
      <w:r w:rsidRPr="00971011">
        <w:rPr>
          <w:rFonts w:ascii="Arial" w:eastAsia="Times New Roman" w:hAnsi="Arial" w:cs="Arial"/>
          <w:sz w:val="20"/>
          <w:szCs w:val="20"/>
        </w:rPr>
        <w:t xml:space="preserve">, L. A., &amp; Woodard, R. (2011). Health care waste management in Cameroon: A case study from the Southwestern Region. </w:t>
      </w:r>
      <w:r w:rsidRPr="00971011">
        <w:rPr>
          <w:rFonts w:ascii="Arial" w:eastAsia="Times New Roman" w:hAnsi="Arial" w:cs="Arial"/>
          <w:i/>
          <w:iCs/>
          <w:sz w:val="20"/>
          <w:szCs w:val="20"/>
        </w:rPr>
        <w:t>Resources, Conservation and Recycling, 57</w:t>
      </w:r>
      <w:r w:rsidRPr="00971011">
        <w:rPr>
          <w:rFonts w:ascii="Arial" w:eastAsia="Times New Roman" w:hAnsi="Arial" w:cs="Arial"/>
          <w:sz w:val="20"/>
          <w:szCs w:val="20"/>
        </w:rPr>
        <w:t>, 108–116. https://doi.org/10.1016/j.resconrec.2011.10.002</w:t>
      </w:r>
    </w:p>
    <w:p w14:paraId="6DB01FE1"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lang w:val="fr-BE"/>
        </w:rPr>
      </w:pPr>
      <w:proofErr w:type="spellStart"/>
      <w:r w:rsidRPr="00971011">
        <w:rPr>
          <w:rFonts w:ascii="Arial" w:eastAsia="Times New Roman" w:hAnsi="Arial" w:cs="Arial"/>
          <w:sz w:val="20"/>
          <w:szCs w:val="20"/>
          <w:lang w:val="fr-BE"/>
        </w:rPr>
        <w:t>Nawab</w:t>
      </w:r>
      <w:proofErr w:type="spellEnd"/>
      <w:r w:rsidRPr="00971011">
        <w:rPr>
          <w:rFonts w:ascii="Arial" w:eastAsia="Times New Roman" w:hAnsi="Arial" w:cs="Arial"/>
          <w:sz w:val="20"/>
          <w:szCs w:val="20"/>
          <w:lang w:val="fr-BE"/>
        </w:rPr>
        <w:t xml:space="preserve">, B., Nyborg, I. L., Esser, K. B., &amp; </w:t>
      </w:r>
      <w:proofErr w:type="spellStart"/>
      <w:r w:rsidRPr="00971011">
        <w:rPr>
          <w:rFonts w:ascii="Arial" w:eastAsia="Times New Roman" w:hAnsi="Arial" w:cs="Arial"/>
          <w:sz w:val="20"/>
          <w:szCs w:val="20"/>
          <w:lang w:val="fr-BE"/>
        </w:rPr>
        <w:t>Jenssen</w:t>
      </w:r>
      <w:proofErr w:type="spellEnd"/>
      <w:r w:rsidRPr="00971011">
        <w:rPr>
          <w:rFonts w:ascii="Arial" w:eastAsia="Times New Roman" w:hAnsi="Arial" w:cs="Arial"/>
          <w:sz w:val="20"/>
          <w:szCs w:val="20"/>
          <w:lang w:val="fr-BE"/>
        </w:rPr>
        <w:t xml:space="preserve">, P. D. (2006). </w:t>
      </w:r>
      <w:r w:rsidRPr="00971011">
        <w:rPr>
          <w:rFonts w:ascii="Arial" w:eastAsia="Times New Roman" w:hAnsi="Arial" w:cs="Arial"/>
          <w:sz w:val="20"/>
          <w:szCs w:val="20"/>
        </w:rPr>
        <w:t xml:space="preserve">Cultural preferences in designing ecological sanitation systems in North West Frontier Province, Pakistan. </w:t>
      </w:r>
      <w:r w:rsidRPr="00971011">
        <w:rPr>
          <w:rFonts w:ascii="Arial" w:eastAsia="Times New Roman" w:hAnsi="Arial" w:cs="Arial"/>
          <w:i/>
          <w:iCs/>
          <w:sz w:val="20"/>
          <w:szCs w:val="20"/>
          <w:lang w:val="fr-BE"/>
        </w:rPr>
        <w:t xml:space="preserve">Journal of </w:t>
      </w:r>
      <w:proofErr w:type="spellStart"/>
      <w:r w:rsidRPr="00971011">
        <w:rPr>
          <w:rFonts w:ascii="Arial" w:eastAsia="Times New Roman" w:hAnsi="Arial" w:cs="Arial"/>
          <w:i/>
          <w:iCs/>
          <w:sz w:val="20"/>
          <w:szCs w:val="20"/>
          <w:lang w:val="fr-BE"/>
        </w:rPr>
        <w:t>Environmental</w:t>
      </w:r>
      <w:proofErr w:type="spellEnd"/>
      <w:r w:rsidRPr="00971011">
        <w:rPr>
          <w:rFonts w:ascii="Arial" w:eastAsia="Times New Roman" w:hAnsi="Arial" w:cs="Arial"/>
          <w:i/>
          <w:iCs/>
          <w:sz w:val="20"/>
          <w:szCs w:val="20"/>
          <w:lang w:val="fr-BE"/>
        </w:rPr>
        <w:t xml:space="preserve"> Psychology, 26</w:t>
      </w:r>
      <w:r w:rsidRPr="00971011">
        <w:rPr>
          <w:rFonts w:ascii="Arial" w:eastAsia="Times New Roman" w:hAnsi="Arial" w:cs="Arial"/>
          <w:sz w:val="20"/>
          <w:szCs w:val="20"/>
          <w:lang w:val="fr-BE"/>
        </w:rPr>
        <w:t>(3), 236–246. https://doi.org/10.1016/j.jenvp.2006.07.005</w:t>
      </w:r>
    </w:p>
    <w:p w14:paraId="18C3EA02"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lang w:val="en-US"/>
        </w:rPr>
      </w:pPr>
      <w:proofErr w:type="spellStart"/>
      <w:r w:rsidRPr="00971011">
        <w:rPr>
          <w:rFonts w:ascii="Arial" w:eastAsia="Times New Roman" w:hAnsi="Arial" w:cs="Arial"/>
          <w:sz w:val="20"/>
          <w:szCs w:val="20"/>
          <w:lang w:val="fr-BE"/>
        </w:rPr>
        <w:t>Ngnikam</w:t>
      </w:r>
      <w:proofErr w:type="spellEnd"/>
      <w:r w:rsidRPr="00971011">
        <w:rPr>
          <w:rFonts w:ascii="Arial" w:eastAsia="Times New Roman" w:hAnsi="Arial" w:cs="Arial"/>
          <w:sz w:val="20"/>
          <w:szCs w:val="20"/>
          <w:lang w:val="fr-BE"/>
        </w:rPr>
        <w:t xml:space="preserve">, E., &amp; </w:t>
      </w:r>
      <w:proofErr w:type="spellStart"/>
      <w:r w:rsidRPr="00971011">
        <w:rPr>
          <w:rFonts w:ascii="Arial" w:eastAsia="Times New Roman" w:hAnsi="Arial" w:cs="Arial"/>
          <w:sz w:val="20"/>
          <w:szCs w:val="20"/>
          <w:lang w:val="fr-BE"/>
        </w:rPr>
        <w:t>Tanawa</w:t>
      </w:r>
      <w:proofErr w:type="spellEnd"/>
      <w:r w:rsidRPr="00971011">
        <w:rPr>
          <w:rFonts w:ascii="Arial" w:eastAsia="Times New Roman" w:hAnsi="Arial" w:cs="Arial"/>
          <w:sz w:val="20"/>
          <w:szCs w:val="20"/>
          <w:lang w:val="fr-BE"/>
        </w:rPr>
        <w:t xml:space="preserve">, E. (2006). </w:t>
      </w:r>
      <w:r w:rsidRPr="00971011">
        <w:rPr>
          <w:rFonts w:ascii="Arial" w:eastAsia="Times New Roman" w:hAnsi="Arial" w:cs="Arial"/>
          <w:i/>
          <w:iCs/>
          <w:sz w:val="20"/>
          <w:szCs w:val="20"/>
          <w:lang w:val="fr-BE"/>
        </w:rPr>
        <w:t>Les villes d’Afrique face à leurs déchets</w:t>
      </w:r>
      <w:r w:rsidRPr="00971011">
        <w:rPr>
          <w:rFonts w:ascii="Arial" w:eastAsia="Times New Roman" w:hAnsi="Arial" w:cs="Arial"/>
          <w:sz w:val="20"/>
          <w:szCs w:val="20"/>
          <w:lang w:val="fr-BE"/>
        </w:rPr>
        <w:t xml:space="preserve">. </w:t>
      </w:r>
      <w:proofErr w:type="spellStart"/>
      <w:r w:rsidRPr="00971011">
        <w:rPr>
          <w:rFonts w:ascii="Arial" w:eastAsia="Times New Roman" w:hAnsi="Arial" w:cs="Arial"/>
          <w:sz w:val="20"/>
          <w:szCs w:val="20"/>
          <w:lang w:val="en-US"/>
        </w:rPr>
        <w:t>Université</w:t>
      </w:r>
      <w:proofErr w:type="spellEnd"/>
      <w:r w:rsidRPr="00971011">
        <w:rPr>
          <w:rFonts w:ascii="Arial" w:eastAsia="Times New Roman" w:hAnsi="Arial" w:cs="Arial"/>
          <w:sz w:val="20"/>
          <w:szCs w:val="20"/>
          <w:lang w:val="en-US"/>
        </w:rPr>
        <w:t xml:space="preserve"> de </w:t>
      </w:r>
      <w:proofErr w:type="spellStart"/>
      <w:r w:rsidRPr="00971011">
        <w:rPr>
          <w:rFonts w:ascii="Arial" w:eastAsia="Times New Roman" w:hAnsi="Arial" w:cs="Arial"/>
          <w:sz w:val="20"/>
          <w:szCs w:val="20"/>
          <w:lang w:val="en-US"/>
        </w:rPr>
        <w:t>Technologie</w:t>
      </w:r>
      <w:proofErr w:type="spellEnd"/>
      <w:r w:rsidRPr="00971011">
        <w:rPr>
          <w:rFonts w:ascii="Arial" w:eastAsia="Times New Roman" w:hAnsi="Arial" w:cs="Arial"/>
          <w:sz w:val="20"/>
          <w:szCs w:val="20"/>
          <w:lang w:val="en-US"/>
        </w:rPr>
        <w:t xml:space="preserve"> de Belfort-</w:t>
      </w:r>
      <w:proofErr w:type="spellStart"/>
      <w:r w:rsidRPr="00971011">
        <w:rPr>
          <w:rFonts w:ascii="Arial" w:eastAsia="Times New Roman" w:hAnsi="Arial" w:cs="Arial"/>
          <w:sz w:val="20"/>
          <w:szCs w:val="20"/>
          <w:lang w:val="en-US"/>
        </w:rPr>
        <w:t>Montbéliard</w:t>
      </w:r>
      <w:proofErr w:type="spellEnd"/>
      <w:r w:rsidRPr="00971011">
        <w:rPr>
          <w:rFonts w:ascii="Arial" w:eastAsia="Times New Roman" w:hAnsi="Arial" w:cs="Arial"/>
          <w:sz w:val="20"/>
          <w:szCs w:val="20"/>
          <w:lang w:val="en-US"/>
        </w:rPr>
        <w:t>.</w:t>
      </w:r>
    </w:p>
    <w:p w14:paraId="3935EEB5" w14:textId="77777777" w:rsidR="000B3085" w:rsidRPr="00971011" w:rsidRDefault="000B3085" w:rsidP="000B3085">
      <w:pPr>
        <w:spacing w:line="360" w:lineRule="auto"/>
        <w:ind w:left="567" w:hanging="567"/>
        <w:jc w:val="both"/>
        <w:rPr>
          <w:rFonts w:ascii="Arial" w:hAnsi="Arial" w:cs="Arial"/>
          <w:color w:val="000000" w:themeColor="text1"/>
          <w:sz w:val="20"/>
          <w:szCs w:val="20"/>
        </w:rPr>
      </w:pPr>
      <w:r w:rsidRPr="00971011">
        <w:rPr>
          <w:rFonts w:ascii="Arial" w:hAnsi="Arial" w:cs="Arial"/>
          <w:color w:val="000000" w:themeColor="text1"/>
          <w:sz w:val="20"/>
          <w:szCs w:val="20"/>
        </w:rPr>
        <w:t>OECD (2020). Interim Economic Assessment, Coronavirus: The world economy at risk. Oecd.org/economic-outlook</w:t>
      </w:r>
    </w:p>
    <w:p w14:paraId="07E36212" w14:textId="76C997B9" w:rsidR="000B3085" w:rsidRPr="00971011" w:rsidRDefault="000B3085" w:rsidP="0044095D">
      <w:pPr>
        <w:spacing w:before="100" w:beforeAutospacing="1" w:after="100" w:afterAutospacing="1" w:line="240" w:lineRule="auto"/>
        <w:jc w:val="both"/>
        <w:rPr>
          <w:rFonts w:ascii="Arial" w:eastAsia="Times New Roman" w:hAnsi="Arial" w:cs="Arial"/>
          <w:sz w:val="20"/>
          <w:szCs w:val="20"/>
          <w:lang w:val="en-US"/>
        </w:rPr>
      </w:pPr>
      <w:r w:rsidRPr="00971011">
        <w:rPr>
          <w:rFonts w:ascii="Arial" w:hAnsi="Arial" w:cs="Arial"/>
          <w:color w:val="000000" w:themeColor="text1"/>
          <w:sz w:val="20"/>
          <w:szCs w:val="20"/>
          <w:lang w:val="en-US"/>
        </w:rPr>
        <w:t>Pratt, A. (2019). “</w:t>
      </w:r>
      <w:r w:rsidRPr="00971011">
        <w:rPr>
          <w:rFonts w:ascii="Arial" w:hAnsi="Arial" w:cs="Arial"/>
          <w:color w:val="000000" w:themeColor="text1"/>
          <w:sz w:val="20"/>
          <w:szCs w:val="20"/>
        </w:rPr>
        <w:t>Sachet Water Consumption and Health Effects in Low Income Neighbourhoods</w:t>
      </w:r>
      <w:r w:rsidRPr="00971011">
        <w:rPr>
          <w:rFonts w:ascii="Arial" w:hAnsi="Arial" w:cs="Arial"/>
          <w:color w:val="000000" w:themeColor="text1"/>
          <w:sz w:val="20"/>
          <w:szCs w:val="20"/>
          <w:lang w:val="en-US"/>
        </w:rPr>
        <w:t xml:space="preserve"> Formality as Exception.” </w:t>
      </w:r>
      <w:r w:rsidRPr="00971011">
        <w:rPr>
          <w:rFonts w:ascii="Arial" w:hAnsi="Arial" w:cs="Arial"/>
          <w:i/>
          <w:color w:val="000000" w:themeColor="text1"/>
          <w:sz w:val="20"/>
          <w:szCs w:val="20"/>
          <w:lang w:val="en-US"/>
        </w:rPr>
        <w:t>Urban Studies,</w:t>
      </w:r>
      <w:r w:rsidRPr="00971011">
        <w:rPr>
          <w:rFonts w:ascii="Arial" w:hAnsi="Arial" w:cs="Arial"/>
          <w:color w:val="000000" w:themeColor="text1"/>
          <w:sz w:val="20"/>
          <w:szCs w:val="20"/>
          <w:lang w:val="en-US"/>
        </w:rPr>
        <w:t xml:space="preserve"> Vol.56, Issue (3) 612-615. </w:t>
      </w:r>
      <w:hyperlink r:id="rId10" w:history="1">
        <w:r w:rsidRPr="00971011">
          <w:rPr>
            <w:rFonts w:ascii="Arial" w:hAnsi="Arial" w:cs="Arial"/>
            <w:color w:val="000000" w:themeColor="text1"/>
            <w:sz w:val="20"/>
            <w:szCs w:val="20"/>
            <w:u w:val="single"/>
            <w:lang w:val="en-US"/>
          </w:rPr>
          <w:t>https://Doi.Org/10.1177/0042098018810600</w:t>
        </w:r>
      </w:hyperlink>
    </w:p>
    <w:p w14:paraId="2EF51E87"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proofErr w:type="spellStart"/>
      <w:r w:rsidRPr="00971011">
        <w:rPr>
          <w:rFonts w:ascii="Arial" w:eastAsia="Times New Roman" w:hAnsi="Arial" w:cs="Arial"/>
          <w:sz w:val="20"/>
          <w:szCs w:val="20"/>
          <w:lang w:val="en-US"/>
        </w:rPr>
        <w:t>Prüss-Üstün</w:t>
      </w:r>
      <w:proofErr w:type="spellEnd"/>
      <w:r w:rsidRPr="00971011">
        <w:rPr>
          <w:rFonts w:ascii="Arial" w:eastAsia="Times New Roman" w:hAnsi="Arial" w:cs="Arial"/>
          <w:sz w:val="20"/>
          <w:szCs w:val="20"/>
          <w:lang w:val="en-US"/>
        </w:rPr>
        <w:t xml:space="preserve">, A., Bartram, J., </w:t>
      </w:r>
      <w:proofErr w:type="spellStart"/>
      <w:r w:rsidRPr="00971011">
        <w:rPr>
          <w:rFonts w:ascii="Arial" w:eastAsia="Times New Roman" w:hAnsi="Arial" w:cs="Arial"/>
          <w:sz w:val="20"/>
          <w:szCs w:val="20"/>
          <w:lang w:val="en-US"/>
        </w:rPr>
        <w:t>Clasen</w:t>
      </w:r>
      <w:proofErr w:type="spellEnd"/>
      <w:r w:rsidRPr="00971011">
        <w:rPr>
          <w:rFonts w:ascii="Arial" w:eastAsia="Times New Roman" w:hAnsi="Arial" w:cs="Arial"/>
          <w:sz w:val="20"/>
          <w:szCs w:val="20"/>
          <w:lang w:val="en-US"/>
        </w:rPr>
        <w:t xml:space="preserve">, T., </w:t>
      </w:r>
      <w:proofErr w:type="spellStart"/>
      <w:r w:rsidRPr="00971011">
        <w:rPr>
          <w:rFonts w:ascii="Arial" w:eastAsia="Times New Roman" w:hAnsi="Arial" w:cs="Arial"/>
          <w:sz w:val="20"/>
          <w:szCs w:val="20"/>
          <w:lang w:val="en-US"/>
        </w:rPr>
        <w:t>Colford</w:t>
      </w:r>
      <w:proofErr w:type="spellEnd"/>
      <w:r w:rsidRPr="00971011">
        <w:rPr>
          <w:rFonts w:ascii="Arial" w:eastAsia="Times New Roman" w:hAnsi="Arial" w:cs="Arial"/>
          <w:sz w:val="20"/>
          <w:szCs w:val="20"/>
          <w:lang w:val="en-US"/>
        </w:rPr>
        <w:t xml:space="preserve">, J. M., Cumming, O., Curtis, V., &amp; </w:t>
      </w:r>
      <w:proofErr w:type="spellStart"/>
      <w:r w:rsidRPr="00971011">
        <w:rPr>
          <w:rFonts w:ascii="Arial" w:eastAsia="Times New Roman" w:hAnsi="Arial" w:cs="Arial"/>
          <w:sz w:val="20"/>
          <w:szCs w:val="20"/>
          <w:lang w:val="en-US"/>
        </w:rPr>
        <w:t>Cairncross</w:t>
      </w:r>
      <w:proofErr w:type="spellEnd"/>
      <w:r w:rsidRPr="00971011">
        <w:rPr>
          <w:rFonts w:ascii="Arial" w:eastAsia="Times New Roman" w:hAnsi="Arial" w:cs="Arial"/>
          <w:sz w:val="20"/>
          <w:szCs w:val="20"/>
          <w:lang w:val="en-US"/>
        </w:rPr>
        <w:t xml:space="preserve">, S. (2014). </w:t>
      </w:r>
      <w:r w:rsidRPr="00971011">
        <w:rPr>
          <w:rFonts w:ascii="Arial" w:eastAsia="Times New Roman" w:hAnsi="Arial" w:cs="Arial"/>
          <w:sz w:val="20"/>
          <w:szCs w:val="20"/>
        </w:rPr>
        <w:t xml:space="preserve">Burden of disease from inadequate water, sanitation and hygiene in low- and middle-income settings: A retrospective analysis of data from 145 countries. </w:t>
      </w:r>
      <w:r w:rsidRPr="00971011">
        <w:rPr>
          <w:rFonts w:ascii="Arial" w:eastAsia="Times New Roman" w:hAnsi="Arial" w:cs="Arial"/>
          <w:i/>
          <w:iCs/>
          <w:sz w:val="20"/>
          <w:szCs w:val="20"/>
        </w:rPr>
        <w:t>Tropical Medicine &amp; International Health, 19</w:t>
      </w:r>
      <w:r w:rsidRPr="00971011">
        <w:rPr>
          <w:rFonts w:ascii="Arial" w:eastAsia="Times New Roman" w:hAnsi="Arial" w:cs="Arial"/>
          <w:sz w:val="20"/>
          <w:szCs w:val="20"/>
        </w:rPr>
        <w:t>(8), 894–905. https://doi.org/10.1111/tmi.12329</w:t>
      </w:r>
    </w:p>
    <w:p w14:paraId="0CA0E5AE"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proofErr w:type="spellStart"/>
      <w:r w:rsidRPr="00971011">
        <w:rPr>
          <w:rFonts w:ascii="Arial" w:eastAsia="Times New Roman" w:hAnsi="Arial" w:cs="Arial"/>
          <w:sz w:val="20"/>
          <w:szCs w:val="20"/>
        </w:rPr>
        <w:t>Prüss-Üstün</w:t>
      </w:r>
      <w:proofErr w:type="spellEnd"/>
      <w:r w:rsidRPr="00971011">
        <w:rPr>
          <w:rFonts w:ascii="Arial" w:eastAsia="Times New Roman" w:hAnsi="Arial" w:cs="Arial"/>
          <w:sz w:val="20"/>
          <w:szCs w:val="20"/>
        </w:rPr>
        <w:t xml:space="preserve">, A., Wolf, J., Bartram, J., </w:t>
      </w:r>
      <w:proofErr w:type="spellStart"/>
      <w:r w:rsidRPr="00971011">
        <w:rPr>
          <w:rFonts w:ascii="Arial" w:eastAsia="Times New Roman" w:hAnsi="Arial" w:cs="Arial"/>
          <w:sz w:val="20"/>
          <w:szCs w:val="20"/>
        </w:rPr>
        <w:t>Clasen</w:t>
      </w:r>
      <w:proofErr w:type="spellEnd"/>
      <w:r w:rsidRPr="00971011">
        <w:rPr>
          <w:rFonts w:ascii="Arial" w:eastAsia="Times New Roman" w:hAnsi="Arial" w:cs="Arial"/>
          <w:sz w:val="20"/>
          <w:szCs w:val="20"/>
        </w:rPr>
        <w:t xml:space="preserve">, T., Cumming, O., Freeman, M. C., &amp; Johnston, R. (2019). Burden of disease from inadequate water, sanitation and hygiene for selected adverse health outcomes: An updated analysis with a focus on low- and middle-income countries. </w:t>
      </w:r>
      <w:r w:rsidRPr="00971011">
        <w:rPr>
          <w:rFonts w:ascii="Arial" w:eastAsia="Times New Roman" w:hAnsi="Arial" w:cs="Arial"/>
          <w:i/>
          <w:iCs/>
          <w:sz w:val="20"/>
          <w:szCs w:val="20"/>
        </w:rPr>
        <w:t>International Journal of Hygiene and Environmental Health, 222</w:t>
      </w:r>
      <w:r w:rsidRPr="00971011">
        <w:rPr>
          <w:rFonts w:ascii="Arial" w:eastAsia="Times New Roman" w:hAnsi="Arial" w:cs="Arial"/>
          <w:sz w:val="20"/>
          <w:szCs w:val="20"/>
        </w:rPr>
        <w:t xml:space="preserve">(5), 765–777. </w:t>
      </w:r>
      <w:hyperlink r:id="rId11" w:tgtFrame="_new" w:history="1">
        <w:r w:rsidRPr="00971011">
          <w:rPr>
            <w:rFonts w:ascii="Arial" w:eastAsia="Times New Roman" w:hAnsi="Arial" w:cs="Arial"/>
            <w:sz w:val="20"/>
            <w:szCs w:val="20"/>
            <w:u w:val="single"/>
          </w:rPr>
          <w:t>https://doi.org/10.1016/j.ijheh.2019.05.004</w:t>
        </w:r>
      </w:hyperlink>
    </w:p>
    <w:p w14:paraId="13980660"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r w:rsidRPr="00971011">
        <w:rPr>
          <w:rFonts w:ascii="Arial" w:eastAsia="Times New Roman" w:hAnsi="Arial" w:cs="Arial"/>
          <w:sz w:val="20"/>
          <w:szCs w:val="20"/>
        </w:rPr>
        <w:lastRenderedPageBreak/>
        <w:t xml:space="preserve">Satterthwaite, D., </w:t>
      </w:r>
      <w:proofErr w:type="spellStart"/>
      <w:r w:rsidRPr="00971011">
        <w:rPr>
          <w:rFonts w:ascii="Arial" w:eastAsia="Times New Roman" w:hAnsi="Arial" w:cs="Arial"/>
          <w:sz w:val="20"/>
          <w:szCs w:val="20"/>
        </w:rPr>
        <w:t>McGranahan</w:t>
      </w:r>
      <w:proofErr w:type="spellEnd"/>
      <w:r w:rsidRPr="00971011">
        <w:rPr>
          <w:rFonts w:ascii="Arial" w:eastAsia="Times New Roman" w:hAnsi="Arial" w:cs="Arial"/>
          <w:sz w:val="20"/>
          <w:szCs w:val="20"/>
        </w:rPr>
        <w:t xml:space="preserve">, G., &amp; </w:t>
      </w:r>
      <w:proofErr w:type="spellStart"/>
      <w:r w:rsidRPr="00971011">
        <w:rPr>
          <w:rFonts w:ascii="Arial" w:eastAsia="Times New Roman" w:hAnsi="Arial" w:cs="Arial"/>
          <w:sz w:val="20"/>
          <w:szCs w:val="20"/>
        </w:rPr>
        <w:t>Mitlin</w:t>
      </w:r>
      <w:proofErr w:type="spellEnd"/>
      <w:r w:rsidRPr="00971011">
        <w:rPr>
          <w:rFonts w:ascii="Arial" w:eastAsia="Times New Roman" w:hAnsi="Arial" w:cs="Arial"/>
          <w:sz w:val="20"/>
          <w:szCs w:val="20"/>
        </w:rPr>
        <w:t xml:space="preserve">, D. (2005). </w:t>
      </w:r>
      <w:r w:rsidRPr="00971011">
        <w:rPr>
          <w:rFonts w:ascii="Arial" w:eastAsia="Times New Roman" w:hAnsi="Arial" w:cs="Arial"/>
          <w:i/>
          <w:iCs/>
          <w:sz w:val="20"/>
          <w:szCs w:val="20"/>
        </w:rPr>
        <w:t>Community-driven development for water and sanitation in urban areas</w:t>
      </w:r>
      <w:r w:rsidRPr="00971011">
        <w:rPr>
          <w:rFonts w:ascii="Arial" w:eastAsia="Times New Roman" w:hAnsi="Arial" w:cs="Arial"/>
          <w:sz w:val="20"/>
          <w:szCs w:val="20"/>
        </w:rPr>
        <w:t>. WHO/UNICEF.</w:t>
      </w:r>
    </w:p>
    <w:p w14:paraId="4A395343"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r w:rsidRPr="00971011">
        <w:rPr>
          <w:rFonts w:ascii="Arial" w:eastAsia="Times New Roman" w:hAnsi="Arial" w:cs="Arial"/>
          <w:sz w:val="20"/>
          <w:szCs w:val="20"/>
        </w:rPr>
        <w:t xml:space="preserve">United Nations Environment Programme. (2016). </w:t>
      </w:r>
      <w:r w:rsidRPr="00971011">
        <w:rPr>
          <w:rFonts w:ascii="Arial" w:eastAsia="Times New Roman" w:hAnsi="Arial" w:cs="Arial"/>
          <w:i/>
          <w:iCs/>
          <w:sz w:val="20"/>
          <w:szCs w:val="20"/>
        </w:rPr>
        <w:t>Global waste management outlook</w:t>
      </w:r>
      <w:r w:rsidRPr="00971011">
        <w:rPr>
          <w:rFonts w:ascii="Arial" w:eastAsia="Times New Roman" w:hAnsi="Arial" w:cs="Arial"/>
          <w:sz w:val="20"/>
          <w:szCs w:val="20"/>
        </w:rPr>
        <w:t>. UNEP.</w:t>
      </w:r>
    </w:p>
    <w:p w14:paraId="143C08A2"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r w:rsidRPr="00971011">
        <w:rPr>
          <w:rFonts w:ascii="Arial" w:eastAsia="Times New Roman" w:hAnsi="Arial" w:cs="Arial"/>
          <w:sz w:val="20"/>
          <w:szCs w:val="20"/>
        </w:rPr>
        <w:t xml:space="preserve">World Health Organization. (2020). </w:t>
      </w:r>
      <w:r w:rsidRPr="00971011">
        <w:rPr>
          <w:rFonts w:ascii="Arial" w:eastAsia="Times New Roman" w:hAnsi="Arial" w:cs="Arial"/>
          <w:i/>
          <w:iCs/>
          <w:sz w:val="20"/>
          <w:szCs w:val="20"/>
        </w:rPr>
        <w:t>Progress on household drinking water, sanitation and hygiene: 2000–2020</w:t>
      </w:r>
      <w:r w:rsidRPr="00971011">
        <w:rPr>
          <w:rFonts w:ascii="Arial" w:eastAsia="Times New Roman" w:hAnsi="Arial" w:cs="Arial"/>
          <w:sz w:val="20"/>
          <w:szCs w:val="20"/>
        </w:rPr>
        <w:t>. WHO.</w:t>
      </w:r>
    </w:p>
    <w:p w14:paraId="5E23F9C7"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r w:rsidRPr="00971011">
        <w:rPr>
          <w:rFonts w:ascii="Arial" w:eastAsia="Times New Roman" w:hAnsi="Arial" w:cs="Arial"/>
          <w:sz w:val="20"/>
          <w:szCs w:val="20"/>
        </w:rPr>
        <w:t xml:space="preserve">World Health Organization &amp; United Nations Children’s Fund. (2019). </w:t>
      </w:r>
      <w:r w:rsidRPr="00971011">
        <w:rPr>
          <w:rFonts w:ascii="Arial" w:eastAsia="Times New Roman" w:hAnsi="Arial" w:cs="Arial"/>
          <w:i/>
          <w:iCs/>
          <w:sz w:val="20"/>
          <w:szCs w:val="20"/>
        </w:rPr>
        <w:t>Progress on household drinking water, sanitation and hygiene 2000–2017</w:t>
      </w:r>
      <w:r w:rsidRPr="00971011">
        <w:rPr>
          <w:rFonts w:ascii="Arial" w:eastAsia="Times New Roman" w:hAnsi="Arial" w:cs="Arial"/>
          <w:sz w:val="20"/>
          <w:szCs w:val="20"/>
        </w:rPr>
        <w:t>. WHO/UNICEF Joint Monitoring Programme.</w:t>
      </w:r>
    </w:p>
    <w:p w14:paraId="203D405F" w14:textId="6BE228F8" w:rsidR="000B3085" w:rsidRPr="00971011" w:rsidRDefault="00787D88" w:rsidP="0044095D">
      <w:pPr>
        <w:spacing w:before="100" w:beforeAutospacing="1" w:after="100" w:afterAutospacing="1" w:line="240" w:lineRule="auto"/>
        <w:jc w:val="both"/>
        <w:rPr>
          <w:rFonts w:ascii="Arial" w:eastAsia="Times New Roman" w:hAnsi="Arial" w:cs="Arial"/>
          <w:sz w:val="20"/>
          <w:szCs w:val="20"/>
        </w:rPr>
      </w:pPr>
      <w:r w:rsidRPr="00971011">
        <w:rPr>
          <w:rFonts w:ascii="Arial" w:eastAsia="Times New Roman" w:hAnsi="Arial" w:cs="Arial"/>
          <w:sz w:val="20"/>
          <w:szCs w:val="20"/>
        </w:rPr>
        <w:t xml:space="preserve">World Health Organization (2025), Water, Sanitation, Hygiene and Waste strategy 2026-2035 </w:t>
      </w:r>
      <w:proofErr w:type="spellStart"/>
      <w:r w:rsidRPr="00971011">
        <w:rPr>
          <w:rFonts w:ascii="Arial" w:eastAsia="Times New Roman" w:hAnsi="Arial" w:cs="Arial"/>
          <w:sz w:val="20"/>
          <w:szCs w:val="20"/>
        </w:rPr>
        <w:t>Genva</w:t>
      </w:r>
      <w:proofErr w:type="spellEnd"/>
      <w:r w:rsidRPr="00971011">
        <w:rPr>
          <w:rFonts w:ascii="Arial" w:eastAsia="Times New Roman" w:hAnsi="Arial" w:cs="Arial"/>
          <w:sz w:val="20"/>
          <w:szCs w:val="20"/>
        </w:rPr>
        <w:t>, https//doi.org/10.2471/B09661.liciene:cc BY-NC-SA3:0 IGO.</w:t>
      </w:r>
    </w:p>
    <w:p w14:paraId="253239B6" w14:textId="77777777" w:rsidR="0044095D" w:rsidRPr="00971011" w:rsidRDefault="0044095D" w:rsidP="0044095D">
      <w:pPr>
        <w:spacing w:before="100" w:beforeAutospacing="1" w:after="100" w:afterAutospacing="1" w:line="240" w:lineRule="auto"/>
        <w:jc w:val="both"/>
        <w:rPr>
          <w:rFonts w:ascii="Arial" w:eastAsia="Times New Roman" w:hAnsi="Arial" w:cs="Arial"/>
          <w:sz w:val="20"/>
          <w:szCs w:val="20"/>
        </w:rPr>
      </w:pPr>
      <w:proofErr w:type="spellStart"/>
      <w:r w:rsidRPr="00971011">
        <w:rPr>
          <w:rFonts w:ascii="Arial" w:eastAsia="Times New Roman" w:hAnsi="Arial" w:cs="Arial"/>
          <w:sz w:val="20"/>
          <w:szCs w:val="20"/>
        </w:rPr>
        <w:t>Yhdego</w:t>
      </w:r>
      <w:proofErr w:type="spellEnd"/>
      <w:r w:rsidRPr="00971011">
        <w:rPr>
          <w:rFonts w:ascii="Arial" w:eastAsia="Times New Roman" w:hAnsi="Arial" w:cs="Arial"/>
          <w:sz w:val="20"/>
          <w:szCs w:val="20"/>
        </w:rPr>
        <w:t xml:space="preserve">, M. (1995). Urban solid waste management in Tanzania: Issues, concepts and challenges. </w:t>
      </w:r>
      <w:r w:rsidRPr="00971011">
        <w:rPr>
          <w:rFonts w:ascii="Arial" w:eastAsia="Times New Roman" w:hAnsi="Arial" w:cs="Arial"/>
          <w:i/>
          <w:iCs/>
          <w:sz w:val="20"/>
          <w:szCs w:val="20"/>
        </w:rPr>
        <w:t>Resources, Conservation and Recycling, 14</w:t>
      </w:r>
      <w:r w:rsidRPr="00971011">
        <w:rPr>
          <w:rFonts w:ascii="Arial" w:eastAsia="Times New Roman" w:hAnsi="Arial" w:cs="Arial"/>
          <w:sz w:val="20"/>
          <w:szCs w:val="20"/>
        </w:rPr>
        <w:t>(1), 1–10. https://doi.org/10.1016/0921-3449(94)00042-6</w:t>
      </w:r>
    </w:p>
    <w:p w14:paraId="15F4D650" w14:textId="77777777" w:rsidR="001B2BC0" w:rsidRPr="00971011" w:rsidRDefault="001B2BC0" w:rsidP="0044095D">
      <w:pPr>
        <w:spacing w:before="80" w:after="80" w:line="276" w:lineRule="auto"/>
        <w:jc w:val="both"/>
        <w:rPr>
          <w:rFonts w:ascii="Arial" w:eastAsia="Times New Roman" w:hAnsi="Arial" w:cs="Arial"/>
          <w:sz w:val="20"/>
          <w:szCs w:val="20"/>
        </w:rPr>
      </w:pPr>
    </w:p>
    <w:sectPr w:rsidR="001B2BC0" w:rsidRPr="0097101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C4175" w14:textId="77777777" w:rsidR="00334C52" w:rsidRDefault="00334C52" w:rsidP="00DE3324">
      <w:pPr>
        <w:spacing w:after="0" w:line="240" w:lineRule="auto"/>
      </w:pPr>
      <w:r>
        <w:separator/>
      </w:r>
    </w:p>
  </w:endnote>
  <w:endnote w:type="continuationSeparator" w:id="0">
    <w:p w14:paraId="1F27DC91" w14:textId="77777777" w:rsidR="00334C52" w:rsidRDefault="00334C52" w:rsidP="00DE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D8BE" w14:textId="77777777" w:rsidR="006415CE" w:rsidRDefault="00641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130604"/>
      <w:docPartObj>
        <w:docPartGallery w:val="Page Numbers (Bottom of Page)"/>
        <w:docPartUnique/>
      </w:docPartObj>
    </w:sdtPr>
    <w:sdtEndPr>
      <w:rPr>
        <w:noProof/>
      </w:rPr>
    </w:sdtEndPr>
    <w:sdtContent>
      <w:p w14:paraId="70FBFFDE" w14:textId="582A4ADC" w:rsidR="00043681" w:rsidRDefault="00043681">
        <w:pPr>
          <w:pStyle w:val="Footer"/>
          <w:jc w:val="center"/>
        </w:pPr>
        <w:r>
          <w:fldChar w:fldCharType="begin"/>
        </w:r>
        <w:r>
          <w:instrText xml:space="preserve"> PAGE   \* MERGEFORMAT </w:instrText>
        </w:r>
        <w:r>
          <w:fldChar w:fldCharType="separate"/>
        </w:r>
        <w:r w:rsidR="006A3D61">
          <w:rPr>
            <w:noProof/>
          </w:rPr>
          <w:t>19</w:t>
        </w:r>
        <w:r>
          <w:rPr>
            <w:noProof/>
          </w:rPr>
          <w:fldChar w:fldCharType="end"/>
        </w:r>
      </w:p>
    </w:sdtContent>
  </w:sdt>
  <w:p w14:paraId="3A010229" w14:textId="77777777" w:rsidR="00043681" w:rsidRDefault="00043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1F4F" w14:textId="77777777" w:rsidR="006415CE" w:rsidRDefault="00641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CB840" w14:textId="77777777" w:rsidR="00334C52" w:rsidRDefault="00334C52" w:rsidP="00DE3324">
      <w:pPr>
        <w:spacing w:after="0" w:line="240" w:lineRule="auto"/>
      </w:pPr>
      <w:r>
        <w:separator/>
      </w:r>
    </w:p>
  </w:footnote>
  <w:footnote w:type="continuationSeparator" w:id="0">
    <w:p w14:paraId="6C0B31A2" w14:textId="77777777" w:rsidR="00334C52" w:rsidRDefault="00334C52" w:rsidP="00DE3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5B82" w14:textId="77207AD2" w:rsidR="006415CE" w:rsidRDefault="006415CE">
    <w:pPr>
      <w:pStyle w:val="Header"/>
    </w:pPr>
    <w:r>
      <w:rPr>
        <w:noProof/>
      </w:rPr>
      <w:pict w14:anchorId="6128D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86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C9D1" w14:textId="4D4B4ED1" w:rsidR="006415CE" w:rsidRDefault="006415CE">
    <w:pPr>
      <w:pStyle w:val="Header"/>
    </w:pPr>
    <w:r>
      <w:rPr>
        <w:noProof/>
      </w:rPr>
      <w:pict w14:anchorId="466FE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86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0ED5" w14:textId="397F662C" w:rsidR="006415CE" w:rsidRDefault="006415CE">
    <w:pPr>
      <w:pStyle w:val="Header"/>
    </w:pPr>
    <w:r>
      <w:rPr>
        <w:noProof/>
      </w:rPr>
      <w:pict w14:anchorId="36DF8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86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9178D"/>
    <w:multiLevelType w:val="hybridMultilevel"/>
    <w:tmpl w:val="4CE8B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17D47"/>
    <w:multiLevelType w:val="hybridMultilevel"/>
    <w:tmpl w:val="ADF0862C"/>
    <w:lvl w:ilvl="0" w:tplc="AB52D71C">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207674"/>
    <w:multiLevelType w:val="multilevel"/>
    <w:tmpl w:val="4612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95589D"/>
    <w:multiLevelType w:val="hybridMultilevel"/>
    <w:tmpl w:val="45EA80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872F13"/>
    <w:multiLevelType w:val="multilevel"/>
    <w:tmpl w:val="40B2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CC7B87"/>
    <w:multiLevelType w:val="hybridMultilevel"/>
    <w:tmpl w:val="BC046A3E"/>
    <w:lvl w:ilvl="0" w:tplc="86D6498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688162C5"/>
    <w:multiLevelType w:val="multilevel"/>
    <w:tmpl w:val="C7BC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DF44B0"/>
    <w:multiLevelType w:val="multilevel"/>
    <w:tmpl w:val="BD00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22602"/>
    <w:multiLevelType w:val="multilevel"/>
    <w:tmpl w:val="BB52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8"/>
  </w:num>
  <w:num w:numId="5">
    <w:abstractNumId w:val="1"/>
  </w:num>
  <w:num w:numId="6">
    <w:abstractNumId w:val="0"/>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50A"/>
    <w:rsid w:val="00003098"/>
    <w:rsid w:val="00043681"/>
    <w:rsid w:val="000B3085"/>
    <w:rsid w:val="000C3C88"/>
    <w:rsid w:val="000C5DBD"/>
    <w:rsid w:val="000E273F"/>
    <w:rsid w:val="00101CD5"/>
    <w:rsid w:val="00111B90"/>
    <w:rsid w:val="00124F88"/>
    <w:rsid w:val="001325C3"/>
    <w:rsid w:val="00172CA5"/>
    <w:rsid w:val="00181833"/>
    <w:rsid w:val="001B2BC0"/>
    <w:rsid w:val="001C044D"/>
    <w:rsid w:val="001F35FB"/>
    <w:rsid w:val="001F5B82"/>
    <w:rsid w:val="00203197"/>
    <w:rsid w:val="002441C4"/>
    <w:rsid w:val="00280DA5"/>
    <w:rsid w:val="00284AEF"/>
    <w:rsid w:val="002B56BB"/>
    <w:rsid w:val="002F1FAD"/>
    <w:rsid w:val="00334C52"/>
    <w:rsid w:val="00346BDD"/>
    <w:rsid w:val="003648AA"/>
    <w:rsid w:val="003C3263"/>
    <w:rsid w:val="003D3EC7"/>
    <w:rsid w:val="003E2741"/>
    <w:rsid w:val="00416228"/>
    <w:rsid w:val="0042240D"/>
    <w:rsid w:val="004236E4"/>
    <w:rsid w:val="00426528"/>
    <w:rsid w:val="00435487"/>
    <w:rsid w:val="0044095D"/>
    <w:rsid w:val="00443DD8"/>
    <w:rsid w:val="004A5A50"/>
    <w:rsid w:val="004B4F11"/>
    <w:rsid w:val="004E5EA1"/>
    <w:rsid w:val="004F4699"/>
    <w:rsid w:val="005034D7"/>
    <w:rsid w:val="0051097E"/>
    <w:rsid w:val="00514BB6"/>
    <w:rsid w:val="005617DE"/>
    <w:rsid w:val="0057352C"/>
    <w:rsid w:val="00576FF3"/>
    <w:rsid w:val="00582D3C"/>
    <w:rsid w:val="005874A7"/>
    <w:rsid w:val="00611236"/>
    <w:rsid w:val="0061442B"/>
    <w:rsid w:val="006415CE"/>
    <w:rsid w:val="00660192"/>
    <w:rsid w:val="0067017C"/>
    <w:rsid w:val="006A3D61"/>
    <w:rsid w:val="006B6CBE"/>
    <w:rsid w:val="006C013C"/>
    <w:rsid w:val="006C0261"/>
    <w:rsid w:val="006D29D1"/>
    <w:rsid w:val="006E1EA3"/>
    <w:rsid w:val="0070450A"/>
    <w:rsid w:val="00787D88"/>
    <w:rsid w:val="00795F9B"/>
    <w:rsid w:val="007D0D77"/>
    <w:rsid w:val="00850BF9"/>
    <w:rsid w:val="008739BB"/>
    <w:rsid w:val="008C20EA"/>
    <w:rsid w:val="00901890"/>
    <w:rsid w:val="00971011"/>
    <w:rsid w:val="009735AE"/>
    <w:rsid w:val="00980444"/>
    <w:rsid w:val="00A00172"/>
    <w:rsid w:val="00A05FC3"/>
    <w:rsid w:val="00A0718F"/>
    <w:rsid w:val="00A63A50"/>
    <w:rsid w:val="00A70EA9"/>
    <w:rsid w:val="00A75F7E"/>
    <w:rsid w:val="00A97478"/>
    <w:rsid w:val="00AA7EB3"/>
    <w:rsid w:val="00AC38C3"/>
    <w:rsid w:val="00AF3F3C"/>
    <w:rsid w:val="00B44703"/>
    <w:rsid w:val="00B81D87"/>
    <w:rsid w:val="00BB4D47"/>
    <w:rsid w:val="00BD7AF6"/>
    <w:rsid w:val="00C056A2"/>
    <w:rsid w:val="00CB3603"/>
    <w:rsid w:val="00CC2139"/>
    <w:rsid w:val="00CC4F51"/>
    <w:rsid w:val="00CC5F4F"/>
    <w:rsid w:val="00CE4293"/>
    <w:rsid w:val="00D33451"/>
    <w:rsid w:val="00D40C59"/>
    <w:rsid w:val="00D41680"/>
    <w:rsid w:val="00D65E80"/>
    <w:rsid w:val="00DA3824"/>
    <w:rsid w:val="00DB0A7F"/>
    <w:rsid w:val="00DE3324"/>
    <w:rsid w:val="00E20A5B"/>
    <w:rsid w:val="00E3061D"/>
    <w:rsid w:val="00E44534"/>
    <w:rsid w:val="00E53DFE"/>
    <w:rsid w:val="00E654F6"/>
    <w:rsid w:val="00EA0ECC"/>
    <w:rsid w:val="00EA7114"/>
    <w:rsid w:val="00F843A8"/>
    <w:rsid w:val="00F91520"/>
    <w:rsid w:val="00FA0AC3"/>
    <w:rsid w:val="00FA24F4"/>
    <w:rsid w:val="00FB01DC"/>
    <w:rsid w:val="00FE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E6C62F"/>
  <w15:docId w15:val="{524C5D86-F64E-4F38-BF4D-F01CC47C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1C4"/>
    <w:rPr>
      <w:lang w:val="en-GB"/>
    </w:rPr>
  </w:style>
  <w:style w:type="paragraph" w:styleId="Heading1">
    <w:name w:val="heading 1"/>
    <w:basedOn w:val="Normal"/>
    <w:next w:val="Normal"/>
    <w:link w:val="Heading1Char"/>
    <w:uiPriority w:val="9"/>
    <w:qFormat/>
    <w:rsid w:val="001B2B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045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045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45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450A"/>
    <w:rPr>
      <w:b/>
      <w:bCs/>
    </w:rPr>
  </w:style>
  <w:style w:type="character" w:customStyle="1" w:styleId="Heading2Char">
    <w:name w:val="Heading 2 Char"/>
    <w:basedOn w:val="DefaultParagraphFont"/>
    <w:link w:val="Heading2"/>
    <w:uiPriority w:val="9"/>
    <w:rsid w:val="007045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450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B2BC0"/>
    <w:pPr>
      <w:ind w:left="720"/>
      <w:contextualSpacing/>
    </w:pPr>
  </w:style>
  <w:style w:type="character" w:customStyle="1" w:styleId="Heading1Char">
    <w:name w:val="Heading 1 Char"/>
    <w:basedOn w:val="DefaultParagraphFont"/>
    <w:link w:val="Heading1"/>
    <w:uiPriority w:val="9"/>
    <w:rsid w:val="001B2BC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44095D"/>
    <w:rPr>
      <w:i/>
      <w:iCs/>
    </w:rPr>
  </w:style>
  <w:style w:type="character" w:styleId="Hyperlink">
    <w:name w:val="Hyperlink"/>
    <w:basedOn w:val="DefaultParagraphFont"/>
    <w:uiPriority w:val="99"/>
    <w:unhideWhenUsed/>
    <w:rsid w:val="0044095D"/>
    <w:rPr>
      <w:color w:val="0000FF"/>
      <w:u w:val="single"/>
    </w:rPr>
  </w:style>
  <w:style w:type="paragraph" w:styleId="BalloonText">
    <w:name w:val="Balloon Text"/>
    <w:basedOn w:val="Normal"/>
    <w:link w:val="BalloonTextChar"/>
    <w:uiPriority w:val="99"/>
    <w:semiHidden/>
    <w:unhideWhenUsed/>
    <w:rsid w:val="000C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C88"/>
    <w:rPr>
      <w:rFonts w:ascii="Tahoma" w:hAnsi="Tahoma" w:cs="Tahoma"/>
      <w:sz w:val="16"/>
      <w:szCs w:val="16"/>
      <w:lang w:val="en-GB"/>
    </w:rPr>
  </w:style>
  <w:style w:type="table" w:styleId="TableGrid">
    <w:name w:val="Table Grid"/>
    <w:basedOn w:val="TableNormal"/>
    <w:uiPriority w:val="39"/>
    <w:qFormat/>
    <w:rsid w:val="00A05F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05FC3"/>
    <w:pPr>
      <w:spacing w:after="200" w:line="240" w:lineRule="auto"/>
    </w:pPr>
    <w:rPr>
      <w:i/>
      <w:iCs/>
      <w:color w:val="44546A" w:themeColor="text2"/>
      <w:sz w:val="18"/>
      <w:szCs w:val="18"/>
    </w:rPr>
  </w:style>
  <w:style w:type="table" w:customStyle="1" w:styleId="PlainTable51">
    <w:name w:val="Plain Table 51"/>
    <w:basedOn w:val="TableNormal"/>
    <w:uiPriority w:val="45"/>
    <w:rsid w:val="005617DE"/>
    <w:pPr>
      <w:spacing w:after="0" w:line="240" w:lineRule="auto"/>
    </w:pPr>
    <w:rPr>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DE3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324"/>
    <w:rPr>
      <w:lang w:val="en-GB"/>
    </w:rPr>
  </w:style>
  <w:style w:type="paragraph" w:styleId="Footer">
    <w:name w:val="footer"/>
    <w:basedOn w:val="Normal"/>
    <w:link w:val="FooterChar"/>
    <w:uiPriority w:val="99"/>
    <w:unhideWhenUsed/>
    <w:rsid w:val="00DE3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32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6684">
      <w:bodyDiv w:val="1"/>
      <w:marLeft w:val="0"/>
      <w:marRight w:val="0"/>
      <w:marTop w:val="0"/>
      <w:marBottom w:val="0"/>
      <w:divBdr>
        <w:top w:val="none" w:sz="0" w:space="0" w:color="auto"/>
        <w:left w:val="none" w:sz="0" w:space="0" w:color="auto"/>
        <w:bottom w:val="none" w:sz="0" w:space="0" w:color="auto"/>
        <w:right w:val="none" w:sz="0" w:space="0" w:color="auto"/>
      </w:divBdr>
    </w:div>
    <w:div w:id="139469614">
      <w:bodyDiv w:val="1"/>
      <w:marLeft w:val="0"/>
      <w:marRight w:val="0"/>
      <w:marTop w:val="0"/>
      <w:marBottom w:val="0"/>
      <w:divBdr>
        <w:top w:val="none" w:sz="0" w:space="0" w:color="auto"/>
        <w:left w:val="none" w:sz="0" w:space="0" w:color="auto"/>
        <w:bottom w:val="none" w:sz="0" w:space="0" w:color="auto"/>
        <w:right w:val="none" w:sz="0" w:space="0" w:color="auto"/>
      </w:divBdr>
    </w:div>
    <w:div w:id="156576240">
      <w:bodyDiv w:val="1"/>
      <w:marLeft w:val="0"/>
      <w:marRight w:val="0"/>
      <w:marTop w:val="0"/>
      <w:marBottom w:val="0"/>
      <w:divBdr>
        <w:top w:val="none" w:sz="0" w:space="0" w:color="auto"/>
        <w:left w:val="none" w:sz="0" w:space="0" w:color="auto"/>
        <w:bottom w:val="none" w:sz="0" w:space="0" w:color="auto"/>
        <w:right w:val="none" w:sz="0" w:space="0" w:color="auto"/>
      </w:divBdr>
    </w:div>
    <w:div w:id="340396074">
      <w:bodyDiv w:val="1"/>
      <w:marLeft w:val="0"/>
      <w:marRight w:val="0"/>
      <w:marTop w:val="0"/>
      <w:marBottom w:val="0"/>
      <w:divBdr>
        <w:top w:val="none" w:sz="0" w:space="0" w:color="auto"/>
        <w:left w:val="none" w:sz="0" w:space="0" w:color="auto"/>
        <w:bottom w:val="none" w:sz="0" w:space="0" w:color="auto"/>
        <w:right w:val="none" w:sz="0" w:space="0" w:color="auto"/>
      </w:divBdr>
    </w:div>
    <w:div w:id="456029265">
      <w:bodyDiv w:val="1"/>
      <w:marLeft w:val="0"/>
      <w:marRight w:val="0"/>
      <w:marTop w:val="0"/>
      <w:marBottom w:val="0"/>
      <w:divBdr>
        <w:top w:val="none" w:sz="0" w:space="0" w:color="auto"/>
        <w:left w:val="none" w:sz="0" w:space="0" w:color="auto"/>
        <w:bottom w:val="none" w:sz="0" w:space="0" w:color="auto"/>
        <w:right w:val="none" w:sz="0" w:space="0" w:color="auto"/>
      </w:divBdr>
    </w:div>
    <w:div w:id="1311980095">
      <w:bodyDiv w:val="1"/>
      <w:marLeft w:val="0"/>
      <w:marRight w:val="0"/>
      <w:marTop w:val="0"/>
      <w:marBottom w:val="0"/>
      <w:divBdr>
        <w:top w:val="none" w:sz="0" w:space="0" w:color="auto"/>
        <w:left w:val="none" w:sz="0" w:space="0" w:color="auto"/>
        <w:bottom w:val="none" w:sz="0" w:space="0" w:color="auto"/>
        <w:right w:val="none" w:sz="0" w:space="0" w:color="auto"/>
      </w:divBdr>
    </w:div>
    <w:div w:id="1324815907">
      <w:bodyDiv w:val="1"/>
      <w:marLeft w:val="0"/>
      <w:marRight w:val="0"/>
      <w:marTop w:val="0"/>
      <w:marBottom w:val="0"/>
      <w:divBdr>
        <w:top w:val="none" w:sz="0" w:space="0" w:color="auto"/>
        <w:left w:val="none" w:sz="0" w:space="0" w:color="auto"/>
        <w:bottom w:val="none" w:sz="0" w:space="0" w:color="auto"/>
        <w:right w:val="none" w:sz="0" w:space="0" w:color="auto"/>
      </w:divBdr>
    </w:div>
    <w:div w:id="13518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heh.2019.05.00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77/00420980188106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wasman.2005.03.0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92DD-48A4-4CD6-B9FE-F69CE871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4762</TotalTime>
  <Pages>19</Pages>
  <Words>6460</Words>
  <Characters>36826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MATURIN</dc:creator>
  <cp:keywords/>
  <dc:description/>
  <cp:lastModifiedBy>SDI 1084</cp:lastModifiedBy>
  <cp:revision>45</cp:revision>
  <dcterms:created xsi:type="dcterms:W3CDTF">2026-03-30T09:50:00Z</dcterms:created>
  <dcterms:modified xsi:type="dcterms:W3CDTF">2026-05-19T13:11:00Z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48ecd104-bffc-4b6c-9427-5161c7602edf</vt:lpwstr>
  </property>
</Properties>
</file>