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7BC" w:rsidRDefault="00C760AB">
      <w:pPr>
        <w:spacing w:before="480" w:after="240"/>
        <w:jc w:val="center"/>
      </w:pPr>
      <w:bookmarkStart w:id="0" w:name="_GoBack"/>
      <w:bookmarkEnd w:id="0"/>
      <w:r>
        <w:rPr>
          <w:b/>
          <w:bCs/>
          <w:sz w:val="32"/>
          <w:szCs w:val="32"/>
        </w:rPr>
        <w:t>Crop Residue Management for Climate-Smart Agriculture: Alternatives to Burning and Pathways to Circularity</w:t>
      </w:r>
    </w:p>
    <w:p w:rsidR="003577BC" w:rsidRDefault="003577BC"/>
    <w:p w:rsidR="003577BC" w:rsidRDefault="003577BC"/>
    <w:p w:rsidR="003577BC" w:rsidRDefault="00C760AB">
      <w:pPr>
        <w:spacing w:before="240" w:after="120"/>
      </w:pPr>
      <w:r>
        <w:rPr>
          <w:b/>
          <w:bCs/>
        </w:rPr>
        <w:t>Abstract</w:t>
      </w:r>
    </w:p>
    <w:p w:rsidR="003577BC" w:rsidRDefault="00C760AB">
      <w:pPr>
        <w:spacing w:after="200" w:line="480" w:lineRule="auto"/>
        <w:ind w:firstLine="720"/>
        <w:jc w:val="both"/>
      </w:pPr>
      <w:r>
        <w:t xml:space="preserve">Agricultural production generates vast quantities of crop residues annually, the management of which poses one of the most consequential yet under-addressed challenges in contemporary agri-food systems. Open-field burning remains the predominant disposal method in many low- and middle-income agricultural regions, principally across South and Southeast Asia, sub-Saharan Africa, and parts of Eastern Europe and Latin America, where logistical and economic pressures </w:t>
      </w:r>
      <w:proofErr w:type="spellStart"/>
      <w:r>
        <w:t>incentivise</w:t>
      </w:r>
      <w:proofErr w:type="spellEnd"/>
      <w:r>
        <w:t xml:space="preserve"> the rapid clearance of fields between cropping seasons. This review </w:t>
      </w:r>
      <w:proofErr w:type="spellStart"/>
      <w:r>
        <w:t>synthesises</w:t>
      </w:r>
      <w:proofErr w:type="spellEnd"/>
      <w:r>
        <w:t xml:space="preserve"> evidence from peer-reviewed literature and authoritative institutional reports, published primarily between 2000 and 2026, to </w:t>
      </w:r>
      <w:proofErr w:type="spellStart"/>
      <w:r>
        <w:t>characterise</w:t>
      </w:r>
      <w:proofErr w:type="spellEnd"/>
      <w:r>
        <w:t xml:space="preserve"> the scale and consequences of crop residue burning, evaluate the scientific basis for alternative management strategies, and situate residue </w:t>
      </w:r>
      <w:proofErr w:type="spellStart"/>
      <w:r>
        <w:t>valorisation</w:t>
      </w:r>
      <w:proofErr w:type="spellEnd"/>
      <w:r>
        <w:t xml:space="preserve"> within the dual conceptual frameworks of climate-smart agriculture and the circular </w:t>
      </w:r>
      <w:proofErr w:type="spellStart"/>
      <w:r>
        <w:t>bioeconomy</w:t>
      </w:r>
      <w:proofErr w:type="spellEnd"/>
      <w:r>
        <w:t xml:space="preserve">. The principal findings indicate that open burning releases substantial quantities of carbon dioxide, methane, nitrous oxide, black carbon, and fine particulate matter, with profound consequences for soil health, air quality, human respiratory health, and global climate stability. A spectrum of technically viable alternatives is examined, including in-situ residue incorporation, biochar production, composting and vermicomposting, anaerobic digestion for biogas, lignocellulosic bioethanol production, thermochemical conversion, and use as animal feed or raw industrial material. Climate-smart soil management, grounded in enhanced organic matter inputs and the </w:t>
      </w:r>
      <w:proofErr w:type="spellStart"/>
      <w:r>
        <w:t>stabilisation</w:t>
      </w:r>
      <w:proofErr w:type="spellEnd"/>
      <w:r>
        <w:t xml:space="preserve"> of soil carbon pools, emerges as a central strategy for simultaneously improving agricultural resilience and mitigating greenhouse gas emissions. The circular </w:t>
      </w:r>
      <w:proofErr w:type="spellStart"/>
      <w:r>
        <w:t>bioeconomy</w:t>
      </w:r>
      <w:proofErr w:type="spellEnd"/>
      <w:r>
        <w:t xml:space="preserve"> </w:t>
      </w:r>
      <w:r>
        <w:lastRenderedPageBreak/>
        <w:t>framework provides a coherent architecture for transforming residues from waste streams into value-added products, integrating energy, nutrient, and carbon recovery within cascading use hierarchies. Significant policy, institutional, and knowledge barriers remain, however, particularly in smallholder farming systems. The review concludes by identifying critical research gaps and recommending governance measures to accelerate the transition from burning to sustainable, circular residue management.</w:t>
      </w:r>
    </w:p>
    <w:p w:rsidR="003577BC" w:rsidRDefault="003577BC"/>
    <w:p w:rsidR="003577BC" w:rsidRDefault="00C760AB">
      <w:pPr>
        <w:spacing w:after="120"/>
      </w:pPr>
      <w:r>
        <w:rPr>
          <w:b/>
          <w:bCs/>
        </w:rPr>
        <w:t xml:space="preserve">Keywords: </w:t>
      </w:r>
      <w:r>
        <w:t xml:space="preserve">crop residue management; biomass burning; climate-smart agriculture; biochar; circular </w:t>
      </w:r>
      <w:proofErr w:type="spellStart"/>
      <w:r>
        <w:t>bioeconomy</w:t>
      </w:r>
      <w:proofErr w:type="spellEnd"/>
      <w:r>
        <w:t>; soil organic matter; greenhouse gas emissions; bioenergy; sustainable agriculture; nitrogen cycling</w:t>
      </w:r>
    </w:p>
    <w:p w:rsidR="003577BC" w:rsidRDefault="003577BC"/>
    <w:p w:rsidR="003577BC" w:rsidRDefault="00C760AB">
      <w:pPr>
        <w:pStyle w:val="Heading1"/>
      </w:pPr>
      <w:r>
        <w:t>1. Introduction</w:t>
      </w:r>
    </w:p>
    <w:p w:rsidR="003577BC" w:rsidRDefault="00C760AB">
      <w:pPr>
        <w:spacing w:after="200" w:line="480" w:lineRule="auto"/>
        <w:ind w:firstLine="720"/>
        <w:jc w:val="both"/>
      </w:pPr>
      <w:r>
        <w:t xml:space="preserve">Agriculture represents one of the foundational pillars of global </w:t>
      </w:r>
      <w:proofErr w:type="spellStart"/>
      <w:r>
        <w:t>civilisation</w:t>
      </w:r>
      <w:proofErr w:type="spellEnd"/>
      <w:r>
        <w:t>, occupying approximately half of the world's habitable land surface and sustaining the dietary needs of a human population that continues to grow in both size and dietary aspiration (</w:t>
      </w:r>
      <w:proofErr w:type="spellStart"/>
      <w:r>
        <w:t>Cassman</w:t>
      </w:r>
      <w:proofErr w:type="spellEnd"/>
      <w:r>
        <w:t xml:space="preserve"> et al., 2003). The intensification of cereal and other staple crop production over the past several decades has brought substantial increases in yields, yet it has simultaneously generated enormous quantities of biological by-products in the form of crop residues—the stalks, straw, leaves, husks, and roots that remain in fields after harvest (</w:t>
      </w:r>
      <w:r w:rsidR="005869F8">
        <w:t>Kumar &amp; Goh, 1999</w:t>
      </w:r>
      <w:r>
        <w:t xml:space="preserve">). The management of these residues has become one of the most pressing yet insufficiently resolved challenges in contemporary agri-food systems, with consequences that extend from the microbiological communities inhabiting the top few </w:t>
      </w:r>
      <w:proofErr w:type="spellStart"/>
      <w:r>
        <w:t>centimetres</w:t>
      </w:r>
      <w:proofErr w:type="spellEnd"/>
      <w:r>
        <w:t xml:space="preserve"> of the soil to the composition of the global atmosphere.</w:t>
      </w:r>
    </w:p>
    <w:p w:rsidR="003577BC" w:rsidRDefault="00C760AB">
      <w:pPr>
        <w:spacing w:after="200" w:line="480" w:lineRule="auto"/>
        <w:ind w:firstLine="720"/>
        <w:jc w:val="both"/>
      </w:pPr>
      <w:r>
        <w:t xml:space="preserve">Open-field burning is the most widespread and expedient method employed globally for crop residue disposal. This practice, deeply embedded in the agricultural calendars of South and Southeast Asia, sub-Saharan Africa, and parts of Latin America and Eastern </w:t>
      </w:r>
      <w:r>
        <w:lastRenderedPageBreak/>
        <w:t>Europe, allows farmers to rapidly clear fields ahead of the following planting season (Streets et al., 2003). The combustion of rice and wheat straw is particularly prevalent across the Indo-Gangetic Plain of South Asia, where the narrow temporal window between paddy harvest and wheat sowing creates powerful logistical incentives for burning (</w:t>
      </w:r>
      <w:proofErr w:type="spellStart"/>
      <w:r>
        <w:t>Gadde</w:t>
      </w:r>
      <w:proofErr w:type="spellEnd"/>
      <w:r>
        <w:t xml:space="preserve"> et al., 2009). Yet the ecological and public health costs of this practice are severe. The combustion of crop residues releases substantial quantities of carbon dioxide (CO</w:t>
      </w:r>
      <w:r>
        <w:rPr>
          <w:vertAlign w:val="subscript"/>
        </w:rPr>
        <w:t>2</w:t>
      </w:r>
      <w:r>
        <w:t>), methane (CH</w:t>
      </w:r>
      <w:r>
        <w:rPr>
          <w:vertAlign w:val="subscript"/>
        </w:rPr>
        <w:t>4</w:t>
      </w:r>
      <w:r>
        <w:t>), nitrous oxide (N</w:t>
      </w:r>
      <w:r>
        <w:rPr>
          <w:vertAlign w:val="subscript"/>
        </w:rPr>
        <w:t>2</w:t>
      </w:r>
      <w:r>
        <w:t xml:space="preserve">O), black carbon, polycyclic aromatic hydrocarbons, and a range of particulate matter fractions (Smith et al., 2008). Beyond the atmospheric burden, burning destroys soil biological communities, </w:t>
      </w:r>
      <w:proofErr w:type="spellStart"/>
      <w:r>
        <w:t>volatilises</w:t>
      </w:r>
      <w:proofErr w:type="spellEnd"/>
      <w:r>
        <w:t xml:space="preserve"> nitrogen and </w:t>
      </w:r>
      <w:proofErr w:type="spellStart"/>
      <w:r>
        <w:t>sulphur</w:t>
      </w:r>
      <w:proofErr w:type="spellEnd"/>
      <w:r>
        <w:t>, and reduces the long-term carbon storage capacity of agricultural soils (Lal, 2004).</w:t>
      </w:r>
    </w:p>
    <w:p w:rsidR="003577BC" w:rsidRDefault="00C760AB">
      <w:pPr>
        <w:spacing w:after="200" w:line="480" w:lineRule="auto"/>
        <w:ind w:firstLine="720"/>
        <w:jc w:val="both"/>
      </w:pPr>
      <w:r>
        <w:t xml:space="preserve">The urgency of addressing these impacts is amplified by the accelerating trajectory of global climate change. The Intergovernmental Panel on Climate Change has unequivocally established that land use and land management, including agricultural practices, are central to both the problem and the solution regarding climate disruption (IPCC, 2019). Rising temperatures are already affecting crop yields in multiple regions, creating a feedback loop in which climate stress further </w:t>
      </w:r>
      <w:proofErr w:type="spellStart"/>
      <w:r>
        <w:t>incentivises</w:t>
      </w:r>
      <w:proofErr w:type="spellEnd"/>
      <w:r>
        <w:t xml:space="preserve"> the intensification of practices such as burning that degrade the very soil system upon which agricultural productivity depends (Lobell et al., 2011). Transitioning to climate-smart agriculture—defined by the Food and Agriculture </w:t>
      </w:r>
      <w:proofErr w:type="spellStart"/>
      <w:r>
        <w:t>Organisation</w:t>
      </w:r>
      <w:proofErr w:type="spellEnd"/>
      <w:r>
        <w:t xml:space="preserve"> as an approach that helps guide actions to transform agri-food systems towards sustainable and climate-resilient pathways—offers a coherent framework within which residue management can be reoriented towards environmental benefit (Lipper et al., 2014).</w:t>
      </w:r>
    </w:p>
    <w:p w:rsidR="003577BC" w:rsidRDefault="00C760AB">
      <w:pPr>
        <w:spacing w:after="200" w:line="480" w:lineRule="auto"/>
        <w:ind w:firstLine="720"/>
        <w:jc w:val="both"/>
      </w:pPr>
      <w:r>
        <w:t>Simultaneously, the emergence of circular economy thinking has provided both conceptual vocabulary and practical tools for reconceiving crop residues not as waste but as resources embedded within biological material cycles (</w:t>
      </w:r>
      <w:proofErr w:type="spellStart"/>
      <w:r>
        <w:t>Geissdoerfer</w:t>
      </w:r>
      <w:proofErr w:type="spellEnd"/>
      <w:r>
        <w:t xml:space="preserve"> et al., 2017). By retaining the embodied energy, carbon, nitrogen, phosphorus, and other nutrients within </w:t>
      </w:r>
      <w:r>
        <w:lastRenderedPageBreak/>
        <w:t xml:space="preserve">functional uses—whether as soil amendments, bioenergy feedstocks, compost, animal feed, or industrial materials—circular pathways promise to reduce net greenhouse gas emissions, enhance agricultural resilience, generate rural income, and reduce dependence on synthetic inputs. The integration of these two frameworks—climate-smart agriculture and circular </w:t>
      </w:r>
      <w:proofErr w:type="spellStart"/>
      <w:r>
        <w:t>bioeconomy</w:t>
      </w:r>
      <w:proofErr w:type="spellEnd"/>
      <w:r>
        <w:t>—offers a powerful architecture for transforming crop residue management at scale.</w:t>
      </w:r>
    </w:p>
    <w:p w:rsidR="003577BC" w:rsidRDefault="00C760AB">
      <w:pPr>
        <w:spacing w:after="200" w:line="480" w:lineRule="auto"/>
        <w:ind w:firstLine="720"/>
        <w:jc w:val="both"/>
      </w:pPr>
      <w:r>
        <w:t xml:space="preserve">Despite growing evidence for the benefits of alternative residue management strategies, adoption of such practices remains constrained by a complex web of technical, economic, institutional, and </w:t>
      </w:r>
      <w:proofErr w:type="spellStart"/>
      <w:r>
        <w:t>behavioural</w:t>
      </w:r>
      <w:proofErr w:type="spellEnd"/>
      <w:r>
        <w:t xml:space="preserve"> barriers. Farmers in many regions lack access to appropriate machinery, markets for residue-derived products, knowledge of best practices, and financial incentives to change long-established habits (Pannell et al., 2006). Policy frameworks in many countries remain inadequate or poorly </w:t>
      </w:r>
      <w:proofErr w:type="spellStart"/>
      <w:r>
        <w:t>co-ordinated</w:t>
      </w:r>
      <w:proofErr w:type="spellEnd"/>
      <w:r>
        <w:t>, and research continues to reveal new dimensions of uncertainty regarding the net environmental trade-offs of various residue management options (</w:t>
      </w:r>
      <w:proofErr w:type="spellStart"/>
      <w:r>
        <w:t>Powlson</w:t>
      </w:r>
      <w:proofErr w:type="spellEnd"/>
      <w:r>
        <w:t xml:space="preserve"> et al., 2014). These gaps underscore the need for a comprehensive, evidence-based synthesis of the current state of knowledge.</w:t>
      </w:r>
    </w:p>
    <w:p w:rsidR="003577BC" w:rsidRDefault="00C760AB">
      <w:pPr>
        <w:pStyle w:val="Heading2"/>
      </w:pPr>
      <w:r>
        <w:t>1.1 Scope and Objectives</w:t>
      </w:r>
    </w:p>
    <w:p w:rsidR="003577BC" w:rsidRDefault="00C760AB">
      <w:pPr>
        <w:spacing w:after="200" w:line="480" w:lineRule="auto"/>
        <w:ind w:firstLine="720"/>
        <w:jc w:val="both"/>
      </w:pPr>
      <w:r>
        <w:t xml:space="preserve">This review article examines the scientific literature on crop residue management within the dual context of climate-smart agriculture and circular </w:t>
      </w:r>
      <w:proofErr w:type="spellStart"/>
      <w:r>
        <w:t>bioeconomy</w:t>
      </w:r>
      <w:proofErr w:type="spellEnd"/>
      <w:r>
        <w:t xml:space="preserve"> principles. The principal objectives are: (</w:t>
      </w:r>
      <w:proofErr w:type="spellStart"/>
      <w:r>
        <w:t>i</w:t>
      </w:r>
      <w:proofErr w:type="spellEnd"/>
      <w:r>
        <w:t xml:space="preserve">) to </w:t>
      </w:r>
      <w:proofErr w:type="spellStart"/>
      <w:r>
        <w:t>characterise</w:t>
      </w:r>
      <w:proofErr w:type="spellEnd"/>
      <w:r>
        <w:t xml:space="preserve"> the global dimensions of crop residue production and the scale and consequences of open burning; (ii) to </w:t>
      </w:r>
      <w:proofErr w:type="spellStart"/>
      <w:r>
        <w:t>synthesise</w:t>
      </w:r>
      <w:proofErr w:type="spellEnd"/>
      <w:r>
        <w:t xml:space="preserve"> evidence on the agronomic, environmental, and socio-economic dimensions of principal alternatives to burning, including in-situ incorporation, biochar, composting, anaerobic digestion, bioenergy production, and industrial applications; (iii) to situate residue management within the climate-smart agriculture framework, with particular attention to carbon sequestration, greenhouse gas mitigation, and soil health; (iv) to evaluate circular </w:t>
      </w:r>
      <w:proofErr w:type="spellStart"/>
      <w:r>
        <w:t>bioeconomy</w:t>
      </w:r>
      <w:proofErr w:type="spellEnd"/>
      <w:r>
        <w:t xml:space="preserve"> pathways for </w:t>
      </w:r>
      <w:r>
        <w:lastRenderedPageBreak/>
        <w:t>transforming residues into value-added products; and (v) to identify governance challenges, knowledge gaps, and future research priorities. The review is primarily concerned with field-scale agricultural systems in tropical, subtropical, and temperate regions, with emphasis on major cereal crops including rice, wheat, and maize. It does not extend to the detailed engineering economics of specific bioenergy conversion technologies, nor does it engage with the biomass burning practices of non-agricultural systems.</w:t>
      </w:r>
    </w:p>
    <w:p w:rsidR="003577BC" w:rsidRDefault="00C760AB">
      <w:pPr>
        <w:pStyle w:val="Heading1"/>
      </w:pPr>
      <w:r>
        <w:t>2. Methods for Literature Selection</w:t>
      </w:r>
    </w:p>
    <w:p w:rsidR="003577BC" w:rsidRDefault="00C760AB">
      <w:pPr>
        <w:spacing w:after="200" w:line="480" w:lineRule="auto"/>
        <w:ind w:firstLine="720"/>
        <w:jc w:val="both"/>
      </w:pPr>
      <w:r>
        <w:t xml:space="preserve">This article is presented as a narrative review rather than a systematic review, reflecting the breadth of the topic and the necessity of </w:t>
      </w:r>
      <w:proofErr w:type="spellStart"/>
      <w:r>
        <w:t>synthesising</w:t>
      </w:r>
      <w:proofErr w:type="spellEnd"/>
      <w:r>
        <w:t xml:space="preserve"> evidence across multiple disciplines including soil science, atmospheric chemistry, bioenergy engineering, agricultural economics, and governance studies. Narrative reviews are appropriate when the aim is to comprehend the state of a field, identify debates and tensions within the literature, and develop integrative conceptual frameworks, rather than to answer a single focused empirical question through formal effect-size pooling (Green et al., 2006). The heterogeneity of study designs, outcome measures, and geographic contexts across the crop residue management literature renders a systematic meta-analytic approach impractical for the integrated purposes of this review. Narrative reviews of this nature do not follow Preferred Reporting Items for Systematic Reviews and Meta-Analyses (PRISMA) protocols, but adhere to comparable standards of transparency in search strategy and source selection.</w:t>
      </w:r>
    </w:p>
    <w:p w:rsidR="003577BC" w:rsidRDefault="00C760AB">
      <w:pPr>
        <w:spacing w:after="200" w:line="480" w:lineRule="auto"/>
        <w:ind w:firstLine="720"/>
        <w:jc w:val="both"/>
      </w:pPr>
      <w:r>
        <w:t xml:space="preserve">Literature was identified through systematic searches of multiple academic databases. The primary search platforms used were Web of Science Core Collection, Scopus, Google Scholar, and PubMed. Complementing these, subject-specific repositories were consulted, including AGRIS (the International System for Agricultural Science and Technology, maintained by the Food and Agriculture </w:t>
      </w:r>
      <w:proofErr w:type="spellStart"/>
      <w:r>
        <w:t>Organisation</w:t>
      </w:r>
      <w:proofErr w:type="spellEnd"/>
      <w:r>
        <w:t xml:space="preserve"> of the United Nations), CAB Abstracts, </w:t>
      </w:r>
      <w:r>
        <w:lastRenderedPageBreak/>
        <w:t xml:space="preserve">the FAOLEX legislative database, and the CGIAR Research </w:t>
      </w:r>
      <w:proofErr w:type="spellStart"/>
      <w:r>
        <w:t>Programme</w:t>
      </w:r>
      <w:proofErr w:type="spellEnd"/>
      <w:r>
        <w:t xml:space="preserve"> online repository. These additional databases were selected for their particular depth in agricultural, environmental, and food systems research relevant to the topic.</w:t>
      </w:r>
    </w:p>
    <w:p w:rsidR="003577BC" w:rsidRDefault="00C760AB">
      <w:pPr>
        <w:spacing w:after="200" w:line="480" w:lineRule="auto"/>
        <w:ind w:firstLine="720"/>
        <w:jc w:val="both"/>
      </w:pPr>
      <w:r>
        <w:t xml:space="preserve">The primary search strings employed combinations of the following terms: "crop residue management," "straw burning," "open field burning," "biomass burning agriculture," "biochar crop residue," "climate-smart agriculture," "circular </w:t>
      </w:r>
      <w:proofErr w:type="spellStart"/>
      <w:r>
        <w:t>bioeconomy</w:t>
      </w:r>
      <w:proofErr w:type="spellEnd"/>
      <w:r>
        <w:t xml:space="preserve"> agriculture," "straw incorporation," "rice straw management," "wheat straw management," "maize </w:t>
      </w:r>
      <w:proofErr w:type="spellStart"/>
      <w:r>
        <w:t>stover</w:t>
      </w:r>
      <w:proofErr w:type="spellEnd"/>
      <w:r>
        <w:t xml:space="preserve">," "anaerobic digestion residue," "composting crop residue," "residue </w:t>
      </w:r>
      <w:proofErr w:type="spellStart"/>
      <w:r>
        <w:t>valorisation</w:t>
      </w:r>
      <w:proofErr w:type="spellEnd"/>
      <w:r>
        <w:t>," and "bioethanol lignocellulosic." Searches were not mechanically restricted to a single date range, but priority was accorded to literature published between 2000 and 2026, with additional inclusion of foundational studies from earlier decades where their scientific contribution to the field warranted it. Records retrieved across databases were merged, and duplicates were removed during the screening stage.</w:t>
      </w:r>
    </w:p>
    <w:p w:rsidR="003577BC" w:rsidRDefault="00C760AB">
      <w:pPr>
        <w:spacing w:after="200" w:line="480" w:lineRule="auto"/>
        <w:ind w:firstLine="720"/>
        <w:jc w:val="both"/>
      </w:pPr>
      <w:r>
        <w:t xml:space="preserve">Title and abstract screening was applied to all retrieved records to assess relevance to the review's objectives. Full-text assessment was subsequently carried out on all potentially eligible sources. Only papers published in peer-reviewed academic journals were included in the primary reference base; supplementary reference to institutional reports from the United Nations system, the Food and Agriculture </w:t>
      </w:r>
      <w:proofErr w:type="spellStart"/>
      <w:r>
        <w:t>Organisation</w:t>
      </w:r>
      <w:proofErr w:type="spellEnd"/>
      <w:r>
        <w:t xml:space="preserve">, and the Intergovernmental Panel on Climate Change was made for contextual data and policy framing. Books, conference proceedings, preprint servers, and grey literature were excluded. Studies written in languages other than English were excluded owing to constraints of consistent verification and interpretation. Influential studies were identified on the basis of citation frequency in the field, journal impact, explicit endorsement within review literature, and demonstrated relevance to the review's conceptual framework; no formal bibliometric threshold was applied. Where evidence from multiple studies converged on a consistent finding, synthesis </w:t>
      </w:r>
      <w:r>
        <w:lastRenderedPageBreak/>
        <w:t>was conducted with appropriate epistemic caution, acknowledging heterogeneity in experimental conditions and geographic context.</w:t>
      </w:r>
    </w:p>
    <w:p w:rsidR="003577BC" w:rsidRDefault="00C760AB">
      <w:pPr>
        <w:pStyle w:val="Heading1"/>
      </w:pPr>
      <w:r>
        <w:t>3. Global Dimensions of Crop Residue Generation</w:t>
      </w:r>
    </w:p>
    <w:p w:rsidR="003577BC" w:rsidRDefault="00C760AB">
      <w:pPr>
        <w:spacing w:after="200" w:line="480" w:lineRule="auto"/>
        <w:ind w:firstLine="720"/>
        <w:jc w:val="both"/>
      </w:pPr>
      <w:r>
        <w:t xml:space="preserve">Crop residues are the above- and below-ground plant materials that remain in the field, or are separated during harvesting and processing, after the economically valued product—grain, </w:t>
      </w:r>
      <w:proofErr w:type="spellStart"/>
      <w:r>
        <w:t>fibre</w:t>
      </w:r>
      <w:proofErr w:type="spellEnd"/>
      <w:r>
        <w:t>, or root—has been recovered. They encompass diverse fractions depending on crop type and the stage of the agricultural cycle: straw, stalks, and leaf material are typical primary residues generated in the field during and after mechanical harvest, whilst husks, bran, bagasse, and analogous materials constitute secondary or processing residues produced at mills and processing facilities (</w:t>
      </w:r>
      <w:r w:rsidR="005869F8">
        <w:t>Kumar &amp; Goh, 1999</w:t>
      </w:r>
      <w:r>
        <w:t>). The chemical composition of these materials varies considerably, with cellulose, hemicellulose, and lignin constituting the three principal structural components of most lignocellulosic residues, and with significant inter- and intra-specific variation in nitrogen, phosphorus, potassium, and micronutrient content reflecting differences in soil fertility, crop variety, and management history.</w:t>
      </w:r>
    </w:p>
    <w:p w:rsidR="003577BC" w:rsidRDefault="00C760AB">
      <w:pPr>
        <w:spacing w:after="200" w:line="480" w:lineRule="auto"/>
        <w:ind w:firstLine="720"/>
        <w:jc w:val="both"/>
      </w:pPr>
      <w:r>
        <w:t xml:space="preserve">The global quantum of crop residue production is substantial. Lal (2005) estimated that approximately 3.8 billion </w:t>
      </w:r>
      <w:proofErr w:type="spellStart"/>
      <w:r>
        <w:t>tonnes</w:t>
      </w:r>
      <w:proofErr w:type="spellEnd"/>
      <w:r>
        <w:t xml:space="preserve"> of crop residues are produced annually on a dry-weight basis from major cereals, legumes, and oil crops, with a further component attributable to roots and other subterranean biomass. When secondary and processing residues are included, total global residue generation is considered to exceed 4 billion </w:t>
      </w:r>
      <w:proofErr w:type="spellStart"/>
      <w:r>
        <w:t>tonnes</w:t>
      </w:r>
      <w:proofErr w:type="spellEnd"/>
      <w:r>
        <w:t xml:space="preserve"> per year. Rice and wheat are the two most significant residue-generating crops by volume. The Indo-Gangetic Plain alone generates over 100 million </w:t>
      </w:r>
      <w:proofErr w:type="spellStart"/>
      <w:r>
        <w:t>tonnes</w:t>
      </w:r>
      <w:proofErr w:type="spellEnd"/>
      <w:r>
        <w:t xml:space="preserve"> of rice straw annually (</w:t>
      </w:r>
      <w:proofErr w:type="spellStart"/>
      <w:r>
        <w:t>Gadde</w:t>
      </w:r>
      <w:proofErr w:type="spellEnd"/>
      <w:r>
        <w:t xml:space="preserve"> et al., 2009), making South Asia one of the highest-residue-generating regions on earth. Maize </w:t>
      </w:r>
      <w:proofErr w:type="spellStart"/>
      <w:r>
        <w:t>stover</w:t>
      </w:r>
      <w:proofErr w:type="spellEnd"/>
      <w:r>
        <w:t xml:space="preserve"> is the dominant residue across much of sub-Saharan Africa and the Americas, where it plays a dual </w:t>
      </w:r>
      <w:r>
        <w:lastRenderedPageBreak/>
        <w:t>role as potential soil cover and as a feedstock for bioenergy and animal nutrition. Sugarcane bagasse, cotton stalks, and groundnut shells represent important secondary streams in tropical and subtropical production systems.</w:t>
      </w:r>
    </w:p>
    <w:p w:rsidR="003577BC" w:rsidRDefault="00C760AB">
      <w:pPr>
        <w:spacing w:after="200" w:line="480" w:lineRule="auto"/>
        <w:ind w:firstLine="720"/>
        <w:jc w:val="both"/>
      </w:pPr>
      <w:r>
        <w:t xml:space="preserve">The ratio of residue to economic product—commonly expressed as the harvest index complement or the residue-to-product ratio—varies by crop and production system, but typically ranges from 1.0 to 2.5 for major cereals, meaning that for every </w:t>
      </w:r>
      <w:proofErr w:type="spellStart"/>
      <w:r>
        <w:t>tonne</w:t>
      </w:r>
      <w:proofErr w:type="spellEnd"/>
      <w:r>
        <w:t xml:space="preserve"> of grain produced, one to two and a half </w:t>
      </w:r>
      <w:proofErr w:type="spellStart"/>
      <w:r>
        <w:t>tonnes</w:t>
      </w:r>
      <w:proofErr w:type="spellEnd"/>
      <w:r>
        <w:t xml:space="preserve"> of straw or </w:t>
      </w:r>
      <w:proofErr w:type="spellStart"/>
      <w:r>
        <w:t>stover</w:t>
      </w:r>
      <w:proofErr w:type="spellEnd"/>
      <w:r>
        <w:t xml:space="preserve"> remain in or near the field (Lal, 2005). Given that global cereal production now substantially exceeds 2.8 billion </w:t>
      </w:r>
      <w:proofErr w:type="spellStart"/>
      <w:r>
        <w:t>tonnes</w:t>
      </w:r>
      <w:proofErr w:type="spellEnd"/>
      <w:r>
        <w:t xml:space="preserve"> annually (FAO, 2017), the scale of the residue management challenge confronting agriculture is readily apparent. A substantial fraction of these residues is retained in situ as mulch or incorporated into the soil, used as animal fodder, or processed as fuel in domestic cooking and heating systems in low-income rural settings. Nevertheless, open-field burning of all biomass types across Asian agricultural, forest, and grassland landscapes was estimated at 730 </w:t>
      </w:r>
      <w:proofErr w:type="spellStart"/>
      <w:r>
        <w:t>Tg</w:t>
      </w:r>
      <w:proofErr w:type="spellEnd"/>
      <w:r>
        <w:t xml:space="preserve"> (730 million </w:t>
      </w:r>
      <w:proofErr w:type="spellStart"/>
      <w:r>
        <w:t>tonnes</w:t>
      </w:r>
      <w:proofErr w:type="spellEnd"/>
      <w:r>
        <w:t>) in a typical year (Streets et al., 2003); of this total, crop residue field burning constitutes approximately one-third, representing a profound missed opportunity for nutrient and carbon recycling.</w:t>
      </w:r>
    </w:p>
    <w:p w:rsidR="003577BC" w:rsidRDefault="00C760AB">
      <w:pPr>
        <w:spacing w:after="200" w:line="480" w:lineRule="auto"/>
        <w:ind w:firstLine="720"/>
        <w:jc w:val="both"/>
      </w:pPr>
      <w:r>
        <w:t xml:space="preserve">The geographic distribution of residue burning is highly uneven. Asia accounts for the largest absolute volumes, with China, India, Pakistan, Bangladesh, and Thailand each generating significant quantities of field-burned rice and wheat straw (Streets et al., 2003). Sub-Saharan Africa, despite lower absolute volumes, exhibits among the highest proportions of residue burned relative to total production, reflecting the prevalence of smallholder shifting cultivation and the absence of accessible alternative disposal technologies (Smith et al., 2008). In Europe and North America, </w:t>
      </w:r>
      <w:proofErr w:type="spellStart"/>
      <w:r>
        <w:t>mechanisation</w:t>
      </w:r>
      <w:proofErr w:type="spellEnd"/>
      <w:r>
        <w:t xml:space="preserve"> and more developed markets for residue-derived products have substantially reduced burning, though it persists in specific crop systems. The heterogeneous global distribution of residue burning underscores the </w:t>
      </w:r>
      <w:r>
        <w:lastRenderedPageBreak/>
        <w:t>importance of contextually sensitive, regionally differentiated policy and technical interventions that account for the diversity of agro-ecological, economic, and social conditions across major crop-producing regions.</w:t>
      </w:r>
    </w:p>
    <w:p w:rsidR="003577BC" w:rsidRDefault="00C760AB">
      <w:pPr>
        <w:pStyle w:val="Heading1"/>
      </w:pPr>
      <w:r>
        <w:t>4. Environmental and Health Impacts of Crop Residue Burning</w:t>
      </w:r>
    </w:p>
    <w:p w:rsidR="003577BC" w:rsidRDefault="00C760AB">
      <w:pPr>
        <w:spacing w:after="200" w:line="480" w:lineRule="auto"/>
        <w:ind w:firstLine="720"/>
        <w:jc w:val="both"/>
      </w:pPr>
      <w:r>
        <w:t xml:space="preserve">The environmental consequences of open-field crop residue burning operate across multiple scales, from the microbiological community inhabiting the top few </w:t>
      </w:r>
      <w:proofErr w:type="spellStart"/>
      <w:r>
        <w:t>centimetres</w:t>
      </w:r>
      <w:proofErr w:type="spellEnd"/>
      <w:r>
        <w:t xml:space="preserve"> of the soil to the global atmospheric system. At the field scale, the immediate physical effect of burning is the destruction of the surface litter layer and the uppermost soil organic horizon. The intense heat generated during combustion—often exceeding 400°C at the soil surface—kills a large proportion of beneficial soil micro-organisms, disrupts fungal hyphal networks, and eliminates soil invertebrate fauna including earthworms, springtails, and beneficial nematodes (</w:t>
      </w:r>
      <w:r w:rsidR="005869F8">
        <w:t>Kumar &amp; Goh, 1999</w:t>
      </w:r>
      <w:r>
        <w:t xml:space="preserve">). The </w:t>
      </w:r>
      <w:proofErr w:type="spellStart"/>
      <w:r>
        <w:t>volatilisation</w:t>
      </w:r>
      <w:proofErr w:type="spellEnd"/>
      <w:r>
        <w:t xml:space="preserve"> of nitrogen during burning is particularly consequential, as it removes a nutrient that would otherwise have been </w:t>
      </w:r>
      <w:proofErr w:type="spellStart"/>
      <w:r>
        <w:t>mineralised</w:t>
      </w:r>
      <w:proofErr w:type="spellEnd"/>
      <w:r>
        <w:t xml:space="preserve"> over subsequent seasons and made available to crop root systems, thereby increasing dependence on synthetic nitrogen </w:t>
      </w:r>
      <w:proofErr w:type="spellStart"/>
      <w:r>
        <w:t>fertiliser</w:t>
      </w:r>
      <w:proofErr w:type="spellEnd"/>
      <w:r>
        <w:t xml:space="preserve"> inputs and contributing to the widening gap between nitrogen application and plant uptake that </w:t>
      </w:r>
      <w:proofErr w:type="spellStart"/>
      <w:r>
        <w:t>characterises</w:t>
      </w:r>
      <w:proofErr w:type="spellEnd"/>
      <w:r>
        <w:t xml:space="preserve"> many intensified production systems (</w:t>
      </w:r>
      <w:proofErr w:type="spellStart"/>
      <w:r>
        <w:t>Lassaletta</w:t>
      </w:r>
      <w:proofErr w:type="spellEnd"/>
      <w:r>
        <w:t xml:space="preserve"> et al., 2014).</w:t>
      </w:r>
    </w:p>
    <w:p w:rsidR="003577BC" w:rsidRDefault="00C760AB">
      <w:pPr>
        <w:spacing w:after="200" w:line="480" w:lineRule="auto"/>
        <w:ind w:firstLine="720"/>
        <w:jc w:val="both"/>
      </w:pPr>
      <w:r>
        <w:t xml:space="preserve">At the atmospheric scale, the combustion of crop residues is a significant source of multiple greenhouse gases and air pollutants. Smith et al. (2008) identified agricultural burning as one of the major agricultural sources of nitrous oxide—a greenhouse gas with a global warming potential approximately 298 times that of carbon dioxide over a 100-year horizon—as well as methane, carbon monoxide, and black carbon. </w:t>
      </w:r>
      <w:proofErr w:type="spellStart"/>
      <w:r>
        <w:t>Gadde</w:t>
      </w:r>
      <w:proofErr w:type="spellEnd"/>
      <w:r>
        <w:t xml:space="preserve"> et al. (2009) estimated that open burning of rice straw in India, Thailand, and the Philippines alone releases approximately 1.1 to 1.5 million </w:t>
      </w:r>
      <w:proofErr w:type="spellStart"/>
      <w:r>
        <w:t>tonnes</w:t>
      </w:r>
      <w:proofErr w:type="spellEnd"/>
      <w:r>
        <w:t xml:space="preserve"> of particulate matter per year, alongside </w:t>
      </w:r>
      <w:r>
        <w:lastRenderedPageBreak/>
        <w:t>substantial quantities of carbon monoxide, methane, and volatile organic compounds. The contribution of Asian crop residue burning to regional and continental-scale air quality degradation is considerable; Streets et al. (2003) calculated that biomass burning in Asia contributes meaningfully to elevated aerosol loadings, reduced solar radiation, and altered precipitation patterns across large swathes of the continent, with implications for both regional agricultural systems and the broader climate system.</w:t>
      </w:r>
    </w:p>
    <w:p w:rsidR="003577BC" w:rsidRDefault="00C760AB">
      <w:pPr>
        <w:spacing w:after="200" w:line="480" w:lineRule="auto"/>
        <w:ind w:firstLine="720"/>
        <w:jc w:val="both"/>
      </w:pPr>
      <w:r>
        <w:t>From a public health perspective, the fine and ultra-fine particulate matter (PM</w:t>
      </w:r>
      <w:r>
        <w:rPr>
          <w:vertAlign w:val="subscript"/>
        </w:rPr>
        <w:t>2.5</w:t>
      </w:r>
      <w:r>
        <w:t xml:space="preserve"> and PM</w:t>
      </w:r>
      <w:r>
        <w:rPr>
          <w:vertAlign w:val="subscript"/>
        </w:rPr>
        <w:t>10</w:t>
      </w:r>
      <w:r>
        <w:t>) generated by residue burning poses acute and chronic respiratory risks for farming communities and urban populations in downwind areas. Epidemiological evidence implicates smoke from agricultural burning in elevated rates of respiratory morbidity, cardiovascular disease, and premature mortality, with children and the elderly being disproportionately affected (</w:t>
      </w:r>
      <w:proofErr w:type="spellStart"/>
      <w:r>
        <w:t>Bhuvaneshwari</w:t>
      </w:r>
      <w:proofErr w:type="spellEnd"/>
      <w:r>
        <w:t xml:space="preserve"> et al., 2019). The seasonal smoke episodes triggered by </w:t>
      </w:r>
      <w:proofErr w:type="spellStart"/>
      <w:r>
        <w:t>co-ordinated</w:t>
      </w:r>
      <w:proofErr w:type="spellEnd"/>
      <w:r>
        <w:t xml:space="preserve"> post-harvest burning across large agricultural regions—such as the October–November burning of paddy straw in Punjab and Haryana in India—can reduce air quality in major cities to hazardous levels, creating acute public health emergencies that extend far beyond the agricultural sector (</w:t>
      </w:r>
      <w:proofErr w:type="spellStart"/>
      <w:r>
        <w:t>Bhuvaneshwari</w:t>
      </w:r>
      <w:proofErr w:type="spellEnd"/>
      <w:r>
        <w:t xml:space="preserve"> et al., 2019). These health impacts extend beyond those immediately resident in burning areas, as pollutants are transported over long distances by regional wind systems, exposing populations with no direct connection to agricultural production.</w:t>
      </w:r>
    </w:p>
    <w:p w:rsidR="003577BC" w:rsidRDefault="00C760AB">
      <w:pPr>
        <w:spacing w:after="200" w:line="480" w:lineRule="auto"/>
        <w:ind w:firstLine="720"/>
        <w:jc w:val="both"/>
      </w:pPr>
      <w:r>
        <w:t xml:space="preserve">The soil-level consequences of repeated burning are also poorly reversible over agronomic timescales. The destruction of organic matter on and near the soil surface reduces water infiltration capacity, promotes surface crusting, and increases susceptibility to wind and water erosion (Lal, 2004). Over successive seasons, the cumulative loss of soil organic carbon from repeated burning diminishes the capacity of soil to retain moisture, buffer pH fluctuations, support nutrient cycling, and provide physical habitat for soil biota. These </w:t>
      </w:r>
      <w:r>
        <w:lastRenderedPageBreak/>
        <w:t>processes undermine the long-term productive potential of agricultural land, contributing to a slow but progressive degradation that may compromise food security over decadal timescales (Lal, 2005). The negative feedback between soil degradation and climate vulnerability represents a central concern within the climate-smart agriculture agenda, as soils under stress are simultaneously less productive and less resilient to the extreme weather events that climate change is expected to intensify in frequency and severity (IPCC, 2019). Understanding this nexus is essential for designing interventions that break the cycle of burning, soil degradation, and agricultural vulnerability.</w:t>
      </w:r>
    </w:p>
    <w:p w:rsidR="003577BC" w:rsidRDefault="00C760AB">
      <w:pPr>
        <w:pStyle w:val="Heading1"/>
      </w:pPr>
      <w:r>
        <w:t>5. Alternatives to Crop Residue Burning</w:t>
      </w:r>
    </w:p>
    <w:p w:rsidR="003577BC" w:rsidRDefault="00C760AB">
      <w:pPr>
        <w:pStyle w:val="Heading2"/>
      </w:pPr>
      <w:r>
        <w:t>5.1 In-Situ Incorporation and Surface Mulching</w:t>
      </w:r>
    </w:p>
    <w:p w:rsidR="003577BC" w:rsidRDefault="00C760AB">
      <w:pPr>
        <w:spacing w:after="200" w:line="480" w:lineRule="auto"/>
        <w:ind w:firstLine="720"/>
        <w:jc w:val="both"/>
      </w:pPr>
      <w:r>
        <w:t>The most structurally straightforward alternative to burning is to retain residues on or within the soil, either through mechanical incorporation by tillage or through leaving them as a surface mulch under conservation agriculture and no-till systems. Residue incorporation stimulates microbial decomposition and the subsequent release of nutrients into the soil solution, whilst also adding to the pool of soil organic matter that underpins long-term soil fertility and physical stability (</w:t>
      </w:r>
      <w:r w:rsidR="005869F8">
        <w:t>Kumar &amp; Goh, 1999</w:t>
      </w:r>
      <w:r>
        <w:t>). Liu et al. (2014) conducted a meta-analysis encompassing 176 published field studies and found that straw carbon inputs to soil increased soil organic carbon by an average of approximately 12.8% relative to controls without residue return, with effects that were larger in tropical than in temperate climates reflecting the higher decomposition rates and historically lower carbon stocks characteristic of warm, humid soils. The implications for soil carbon sequestration are significant, given that agricultural soils globally have lost substantial fractions of their original organic carbon stocks through tillage, burning, and biomass removal (Lal, 2004).</w:t>
      </w:r>
    </w:p>
    <w:p w:rsidR="003577BC" w:rsidRDefault="00C760AB">
      <w:pPr>
        <w:spacing w:after="200" w:line="480" w:lineRule="auto"/>
        <w:ind w:firstLine="720"/>
        <w:jc w:val="both"/>
      </w:pPr>
      <w:r>
        <w:lastRenderedPageBreak/>
        <w:t>Surface mulching—leaving residues as an unincorporated layer at the soil surface—offers additional agronomic benefits, including suppression of weed emergence, reduction in evapotranspiration losses, moderation of soil temperature extremes, and protection of the soil surface from the kinetic energy of rainfall and the associated risks of surface sealing and runoff generation. These functions are particularly valuable in rainfed dryland systems where water is a critical limiting factor and where surface soil organic matter influences water infiltration and plant-available moisture across the growing season (Blanco-</w:t>
      </w:r>
      <w:proofErr w:type="spellStart"/>
      <w:r>
        <w:t>Canqui</w:t>
      </w:r>
      <w:proofErr w:type="spellEnd"/>
      <w:r>
        <w:t xml:space="preserve"> &amp; Lal, 2009). Under conservation agriculture, surface residue retention is combined with reduced or zero tillage and crop rotational diversity to </w:t>
      </w:r>
      <w:proofErr w:type="spellStart"/>
      <w:r>
        <w:t>maximise</w:t>
      </w:r>
      <w:proofErr w:type="spellEnd"/>
      <w:r>
        <w:t xml:space="preserve"> these benefits and create synergistic soil health outcomes across multiple seasons.</w:t>
      </w:r>
    </w:p>
    <w:p w:rsidR="003577BC" w:rsidRDefault="00C760AB">
      <w:pPr>
        <w:spacing w:after="200" w:line="480" w:lineRule="auto"/>
        <w:ind w:firstLine="720"/>
        <w:jc w:val="both"/>
      </w:pPr>
      <w:r>
        <w:t xml:space="preserve">However, the literature reveals important trade-offs and context dependencies associated with in-situ residue management. </w:t>
      </w:r>
      <w:proofErr w:type="spellStart"/>
      <w:r>
        <w:t>Powlson</w:t>
      </w:r>
      <w:proofErr w:type="spellEnd"/>
      <w:r>
        <w:t xml:space="preserve"> et al. (2014) challenged prevailing assumptions that no-till agriculture reliably sequesters more carbon than conventional tillage, arguing that the evidence base is frequently confounded by shallow sampling depths and short experimental durations that fail to capture carbon redistribution within the soil profile. Baker et al. (2007) similarly concluded that apparent carbon sequestration benefits of no-till agriculture may in part reflect artefacts of sampling design, and that redistribution of carbon within the soil profile, rather than genuine net sequestration, may account for much of the reported difference between tillage treatments in some contexts. Furthermore, in rice-based systems where anaerobic soil conditions prevail during the cropping season, incorporation of large quantities of fresh straw can stimulate methanogenesis and elevate methane emissions, potentially offsetting some carbon sequestration benefits and requiring careful timing of incorporation relative to flooding management (Smith et al., 2008). Blanco-</w:t>
      </w:r>
      <w:proofErr w:type="spellStart"/>
      <w:r>
        <w:t>Canqui</w:t>
      </w:r>
      <w:proofErr w:type="spellEnd"/>
      <w:r>
        <w:t xml:space="preserve"> and Lal (2009) demonstrated that the wholesale removal of maize </w:t>
      </w:r>
      <w:proofErr w:type="spellStart"/>
      <w:r>
        <w:t>stover</w:t>
      </w:r>
      <w:proofErr w:type="spellEnd"/>
      <w:r>
        <w:t xml:space="preserve">, whilst beneficial for bioenergy feedstock supply chains, compromises soil physical properties and long-term </w:t>
      </w:r>
      <w:r>
        <w:lastRenderedPageBreak/>
        <w:t xml:space="preserve">productivity, illustrating that </w:t>
      </w:r>
      <w:proofErr w:type="spellStart"/>
      <w:r>
        <w:t>optimising</w:t>
      </w:r>
      <w:proofErr w:type="spellEnd"/>
      <w:r>
        <w:t xml:space="preserve"> residue retention rates rather than pursuing either complete retention or complete removal is critical to achieving sustainable outcomes.</w:t>
      </w:r>
    </w:p>
    <w:p w:rsidR="003577BC" w:rsidRDefault="00C760AB">
      <w:pPr>
        <w:pStyle w:val="Heading2"/>
      </w:pPr>
      <w:r>
        <w:t>5.2 Biochar Production and Application</w:t>
      </w:r>
    </w:p>
    <w:p w:rsidR="003577BC" w:rsidRDefault="00C760AB">
      <w:pPr>
        <w:spacing w:after="200" w:line="480" w:lineRule="auto"/>
        <w:ind w:firstLine="720"/>
        <w:jc w:val="both"/>
      </w:pPr>
      <w:r>
        <w:t xml:space="preserve">Biochar—a stable, carbon-rich solid produced by the thermal decomposition of organic matter in the absence or near-absence of oxygen through a process known as pyrolysis—represents one of the most scientifically compelling and extensively studied alternatives for crop residue </w:t>
      </w:r>
      <w:proofErr w:type="spellStart"/>
      <w:r>
        <w:t>valorisation</w:t>
      </w:r>
      <w:proofErr w:type="spellEnd"/>
      <w:r>
        <w:t xml:space="preserve">. The </w:t>
      </w:r>
      <w:proofErr w:type="spellStart"/>
      <w:r>
        <w:t>physico</w:t>
      </w:r>
      <w:proofErr w:type="spellEnd"/>
      <w:r>
        <w:t>-chemical properties of biochar—including its highly aromatic molecular structure, its large specific surface area, and its abundance of surface functional groups—confer upon it exceptional resistance to biological decomposition, enabling the long-term sequestration of carbon in soils on timescales of centuries to millennia. This is in marked contrast to the rapid release of carbon through burning or through conventional decomposition of uncharred residues (Glaser et al., 2002; Lehmann, 2007).</w:t>
      </w:r>
    </w:p>
    <w:p w:rsidR="003577BC" w:rsidRDefault="00C760AB">
      <w:pPr>
        <w:spacing w:after="200" w:line="480" w:lineRule="auto"/>
        <w:ind w:firstLine="720"/>
        <w:jc w:val="both"/>
      </w:pPr>
      <w:r>
        <w:t>Woolf et al. (2010) modelled the maximum sustainable global potential of biochar to mitigate climate change and concluded that biochar production and application to soils could offset up to 12% of current anthropogenic CO</w:t>
      </w:r>
      <w:r>
        <w:rPr>
          <w:vertAlign w:val="subscript"/>
        </w:rPr>
        <w:t>2</w:t>
      </w:r>
      <w:r>
        <w:t xml:space="preserve"> equivalent emissions annually on a sustained basis, without threatening food security or ecosystem services. Subsequent research has confirmed and refined these estimates. Lehmann et al. (2021) </w:t>
      </w:r>
      <w:proofErr w:type="spellStart"/>
      <w:r>
        <w:t>synthesised</w:t>
      </w:r>
      <w:proofErr w:type="spellEnd"/>
      <w:r>
        <w:t xml:space="preserve"> evidence from over two decades of biochar research in a landmark review, demonstrating that biochar represents a technically sound and scalable carbon dioxide removal strategy, though its efficacy is highly sensitive to feedstock type, pyrolysis conditions, soil properties, and application rates. The mean residence time of biochar carbon in soil is estimated at centuries to millennia under typical field conditions, far exceeding the decadal-scale stability of conventionally incorporated organic matter (Lehmann et al., 2021).</w:t>
      </w:r>
    </w:p>
    <w:p w:rsidR="003577BC" w:rsidRDefault="00C760AB">
      <w:pPr>
        <w:spacing w:after="200" w:line="480" w:lineRule="auto"/>
        <w:ind w:firstLine="720"/>
        <w:jc w:val="both"/>
      </w:pPr>
      <w:r>
        <w:lastRenderedPageBreak/>
        <w:t xml:space="preserve">Beyond carbon sequestration, biochar application to soil has been shown to improve a range of soil properties, including water-holding capacity, cation exchange capacity, pH in acid soils, and the diversity and activity of microbial communities (Glaser et al., 2002; Laird, 2008). The liming effect of alkaline biochar is particularly valuable in the acidic tropical soils that predominate across much of sub-Saharan Africa and South and Southeast Asia, where </w:t>
      </w:r>
      <w:proofErr w:type="spellStart"/>
      <w:r>
        <w:t>aluminium</w:t>
      </w:r>
      <w:proofErr w:type="spellEnd"/>
      <w:r>
        <w:t xml:space="preserve"> toxicity and phosphorus fixation constrain crop yields below their agronomic potential. Gaunt and Lehmann (2008) carried out an energy balance assessment and found that crop residue pyrolysis for biochar production, when combined with the use of pyrolysis syngas for energy generation, yielded a net negative carbon balance—meaning that more carbon was sequestered than was emitted by the overall process—while simultaneously producing useful energy. This property has been </w:t>
      </w:r>
      <w:proofErr w:type="spellStart"/>
      <w:r>
        <w:t>emphasised</w:t>
      </w:r>
      <w:proofErr w:type="spellEnd"/>
      <w:r>
        <w:t xml:space="preserve"> as a key advantage of pyrolysis-based crop residue management compared with alternatives that return all carbon rapidly to the atmosphere (Laird, 2008).</w:t>
      </w:r>
    </w:p>
    <w:p w:rsidR="003577BC" w:rsidRDefault="00C760AB">
      <w:pPr>
        <w:spacing w:after="200" w:line="480" w:lineRule="auto"/>
        <w:ind w:firstLine="720"/>
        <w:jc w:val="both"/>
      </w:pPr>
      <w:r>
        <w:t>Challenges persist, however. The cost of producing and applying biochar at scale remains high relative to alternative soil amendments, particularly in contexts where smallholder farmers lack access to financing or co-operative purchasing arrangements. Variability in biochar quality, particularly when produced using low-cost traditional kilns rather than engineered pyrolysis reactors, can result in inconsistent agronomic outcomes and in some cases may introduce contaminants into soils if biomass feedstocks are of mixed or contaminated origin. Regulatory frameworks governing the application of biochar to agricultural soils remain underdeveloped in many jurisdictions, and long-term field studies spanning multiple decades remain relatively few, limiting confidence in projections of persistence and agronomic benefit over extended timescales (Lehmann et al., 2021).</w:t>
      </w:r>
    </w:p>
    <w:p w:rsidR="003577BC" w:rsidRDefault="00C760AB">
      <w:pPr>
        <w:pStyle w:val="Heading2"/>
      </w:pPr>
      <w:r>
        <w:t>5.3 Composting and Vermicomposting</w:t>
      </w:r>
    </w:p>
    <w:p w:rsidR="003577BC" w:rsidRDefault="00C760AB">
      <w:pPr>
        <w:spacing w:after="200" w:line="480" w:lineRule="auto"/>
        <w:ind w:firstLine="720"/>
        <w:jc w:val="both"/>
      </w:pPr>
      <w:r>
        <w:lastRenderedPageBreak/>
        <w:t xml:space="preserve">Composting—the managed aerobic biological decomposition of organic materials—is one of the oldest and most widely </w:t>
      </w:r>
      <w:proofErr w:type="spellStart"/>
      <w:r>
        <w:t>practised</w:t>
      </w:r>
      <w:proofErr w:type="spellEnd"/>
      <w:r>
        <w:t xml:space="preserve"> methods of crop residue </w:t>
      </w:r>
      <w:proofErr w:type="spellStart"/>
      <w:r>
        <w:t>valorisation</w:t>
      </w:r>
      <w:proofErr w:type="spellEnd"/>
      <w:r>
        <w:t>. When crop residues are composted, the thermophilic microbial communities that develop during the active phase of composting break down cellulose, hemicellulose, and other complex polymers into simpler organic compounds, ultimately producing a stable, humus-rich material that serves as a slow-release nutrient source and soil conditioner with well-documented benefits for soil physical structure, biological activity, and long-term fertility (</w:t>
      </w:r>
      <w:r w:rsidR="005869F8">
        <w:t>Kumar &amp; Goh, 1999</w:t>
      </w:r>
      <w:r>
        <w:t>). Well-prepared compost derived from crop residues contributes to increases in aggregate stability, pore size distribution, and water retention in degraded soils, as well as to reductions in pathogen load when thermophilic temperatures are adequately sustained throughout the composting process.</w:t>
      </w:r>
    </w:p>
    <w:p w:rsidR="003577BC" w:rsidRDefault="00C760AB">
      <w:pPr>
        <w:spacing w:after="200" w:line="480" w:lineRule="auto"/>
        <w:ind w:firstLine="720"/>
        <w:jc w:val="both"/>
      </w:pPr>
      <w:r>
        <w:t xml:space="preserve">Vermicomposting—the use of earthworms, particularly </w:t>
      </w:r>
      <w:r>
        <w:rPr>
          <w:i/>
          <w:iCs/>
        </w:rPr>
        <w:t xml:space="preserve">Eisenia </w:t>
      </w:r>
      <w:proofErr w:type="spellStart"/>
      <w:r>
        <w:rPr>
          <w:i/>
          <w:iCs/>
        </w:rPr>
        <w:t>fetida</w:t>
      </w:r>
      <w:proofErr w:type="spellEnd"/>
      <w:r>
        <w:t xml:space="preserve"> and related species, to process organic materials—accelerates decomposition relative to unaided thermophilic composting and produces a vermicompost with superior agronomic properties, including higher concentrations of plant-available nutrients, greater microbial diversity, and elevated levels of plant growth-promoting substances such as </w:t>
      </w:r>
      <w:proofErr w:type="spellStart"/>
      <w:r>
        <w:t>humic</w:t>
      </w:r>
      <w:proofErr w:type="spellEnd"/>
      <w:r>
        <w:t xml:space="preserve"> acids and plant hormones (</w:t>
      </w:r>
      <w:proofErr w:type="spellStart"/>
      <w:r>
        <w:t>Ndegwa</w:t>
      </w:r>
      <w:proofErr w:type="spellEnd"/>
      <w:r>
        <w:t xml:space="preserve"> &amp; Thompson, 2001). </w:t>
      </w:r>
      <w:proofErr w:type="spellStart"/>
      <w:r>
        <w:t>Ndegwa</w:t>
      </w:r>
      <w:proofErr w:type="spellEnd"/>
      <w:r>
        <w:t xml:space="preserve"> and Thompson (2001) demonstrated that integrating composting and vermicomposting processes enhanced nitrogen recovery from organic substrates and produced biologically more active end products than either process alone. The combination of these biological treatment approaches with crop residue inputs therefore offers a pathway to close nutrient loops at the farm or village scale, reducing dependence on synthetic </w:t>
      </w:r>
      <w:proofErr w:type="spellStart"/>
      <w:r>
        <w:t>fertilisers</w:t>
      </w:r>
      <w:proofErr w:type="spellEnd"/>
      <w:r>
        <w:t xml:space="preserve"> whilst enriching the biological capital of local soils.</w:t>
      </w:r>
    </w:p>
    <w:p w:rsidR="003577BC" w:rsidRDefault="00C760AB">
      <w:pPr>
        <w:spacing w:after="200" w:line="480" w:lineRule="auto"/>
        <w:ind w:firstLine="720"/>
        <w:jc w:val="both"/>
      </w:pPr>
      <w:r>
        <w:t xml:space="preserve">A practical limitation of composting approaches is the time, </w:t>
      </w:r>
      <w:proofErr w:type="spellStart"/>
      <w:r>
        <w:t>labour</w:t>
      </w:r>
      <w:proofErr w:type="spellEnd"/>
      <w:r>
        <w:t xml:space="preserve">, and management skill required to conduct the process effectively and consistently. For smallholder farmers facing time poverty—particularly women, who bear disproportionate shares of agricultural </w:t>
      </w:r>
      <w:proofErr w:type="spellStart"/>
      <w:r>
        <w:lastRenderedPageBreak/>
        <w:t>labour</w:t>
      </w:r>
      <w:proofErr w:type="spellEnd"/>
      <w:r>
        <w:t xml:space="preserve"> in many low- and middle-income countries—the additional demands of compost management may not be readily accommodable within existing livelihood systems (Pannell et al., 2006). Moreover, the carbon-to-nitrogen ratios of many crop residues, particularly cereal straws, are high, often exceeding 80:1 for rice straw, which can impede decomposition and necessitate the co-composting of nitrogen-rich materials such as animal manure or leguminous biomass to achieve optimal microbial activity and product quality. These technical requirements underscore the importance of context-specific extension advice and the development of co-operative composting models that share </w:t>
      </w:r>
      <w:proofErr w:type="spellStart"/>
      <w:r>
        <w:t>labour</w:t>
      </w:r>
      <w:proofErr w:type="spellEnd"/>
      <w:r>
        <w:t xml:space="preserve"> and infrastructure costs among groups of farmers.</w:t>
      </w:r>
    </w:p>
    <w:p w:rsidR="003577BC" w:rsidRDefault="00C760AB">
      <w:pPr>
        <w:pStyle w:val="Heading2"/>
      </w:pPr>
      <w:r>
        <w:t>5.4 Bioenergy Production</w:t>
      </w:r>
    </w:p>
    <w:p w:rsidR="003577BC" w:rsidRDefault="00C760AB">
      <w:pPr>
        <w:spacing w:after="200" w:line="480" w:lineRule="auto"/>
        <w:ind w:firstLine="720"/>
        <w:jc w:val="both"/>
      </w:pPr>
      <w:r>
        <w:t xml:space="preserve">The transformation of crop residues into bioenergy represents one of the most extensively studied and commercially developed pathways for residue </w:t>
      </w:r>
      <w:proofErr w:type="spellStart"/>
      <w:r>
        <w:t>valorisation</w:t>
      </w:r>
      <w:proofErr w:type="spellEnd"/>
      <w:r>
        <w:t xml:space="preserve">. Three principal conversion routes are </w:t>
      </w:r>
      <w:proofErr w:type="spellStart"/>
      <w:r>
        <w:t>recognised</w:t>
      </w:r>
      <w:proofErr w:type="spellEnd"/>
      <w:r>
        <w:t xml:space="preserve">: biochemical pathways, including anaerobic digestion for biogas and fermentation for bioethanol; thermochemical pathways, including pyrolysis, gasification, and direct combustion; and </w:t>
      </w:r>
      <w:proofErr w:type="spellStart"/>
      <w:r>
        <w:t>physico</w:t>
      </w:r>
      <w:proofErr w:type="spellEnd"/>
      <w:r>
        <w:t>-chemical pathways applied to oil-bearing residue fractions. Each route offers distinct advantages and limitations in terms of energy conversion efficiency, economic competitiveness, technology readiness, and environmental performance under different agro-ecological and institutional conditions.</w:t>
      </w:r>
    </w:p>
    <w:p w:rsidR="003577BC" w:rsidRDefault="00C760AB">
      <w:pPr>
        <w:spacing w:after="200" w:line="480" w:lineRule="auto"/>
        <w:ind w:firstLine="720"/>
        <w:jc w:val="both"/>
      </w:pPr>
      <w:r>
        <w:t xml:space="preserve">Anaerobic digestion of crop residues—in particular, cellulose-rich straws and haulms that have been pre-treated to disrupt the lignocellulosic matrix—produces biogas that can be used for electricity generation, heat provision, or upgrading to biomethane for injection into gas grids. A critical co-benefit of anaerobic digestion is the production of digestate, the nutrient-rich liquid and solid residue remaining after digestion, which can be returned to agricultural land as a </w:t>
      </w:r>
      <w:proofErr w:type="spellStart"/>
      <w:r>
        <w:t>fertiliser</w:t>
      </w:r>
      <w:proofErr w:type="spellEnd"/>
      <w:r>
        <w:t>, thereby closing the nutrient cycle between field and farm (</w:t>
      </w:r>
      <w:proofErr w:type="spellStart"/>
      <w:r>
        <w:t>Möller</w:t>
      </w:r>
      <w:proofErr w:type="spellEnd"/>
      <w:r>
        <w:t xml:space="preserve"> &amp; Müller, 2012). </w:t>
      </w:r>
      <w:proofErr w:type="spellStart"/>
      <w:r>
        <w:t>Möller</w:t>
      </w:r>
      <w:proofErr w:type="spellEnd"/>
      <w:r>
        <w:t xml:space="preserve"> and Müller (2012) reviewed the evidence on digestate </w:t>
      </w:r>
      <w:r>
        <w:lastRenderedPageBreak/>
        <w:t xml:space="preserve">nutrient availability and found that digestate nitrogen is highly plant-available, frequently comparable to mineral nitrogen </w:t>
      </w:r>
      <w:proofErr w:type="spellStart"/>
      <w:r>
        <w:t>fertiliser</w:t>
      </w:r>
      <w:proofErr w:type="spellEnd"/>
      <w:r>
        <w:t xml:space="preserve"> in its agronomic effect, representing a significant economic and environmental advantage and contributing meaningfully to nutrient recycling within the circular </w:t>
      </w:r>
      <w:proofErr w:type="spellStart"/>
      <w:r>
        <w:t>bioeconomy</w:t>
      </w:r>
      <w:proofErr w:type="spellEnd"/>
      <w:r>
        <w:t>.</w:t>
      </w:r>
    </w:p>
    <w:p w:rsidR="003577BC" w:rsidRDefault="00C760AB">
      <w:pPr>
        <w:spacing w:after="200" w:line="480" w:lineRule="auto"/>
        <w:ind w:firstLine="720"/>
        <w:jc w:val="both"/>
      </w:pPr>
      <w:r>
        <w:t>The production of lignocellulosic bioethanol from cereal straw represents a technologically advanced but commercially challenging pathway. Hahn-</w:t>
      </w:r>
      <w:proofErr w:type="spellStart"/>
      <w:r>
        <w:t>Hägerdal</w:t>
      </w:r>
      <w:proofErr w:type="spellEnd"/>
      <w:r>
        <w:t xml:space="preserve"> et al. (2006) reviewed the biochemical and engineering challenges involved in fermenting both the </w:t>
      </w:r>
      <w:proofErr w:type="spellStart"/>
      <w:r>
        <w:t>hemicellulosic</w:t>
      </w:r>
      <w:proofErr w:type="spellEnd"/>
      <w:r>
        <w:t xml:space="preserve"> pentose sugars and the cellulosic glucose, noting that the development of robust fermentative organisms capable of co-</w:t>
      </w:r>
      <w:proofErr w:type="spellStart"/>
      <w:r>
        <w:t>metabolising</w:t>
      </w:r>
      <w:proofErr w:type="spellEnd"/>
      <w:r>
        <w:t xml:space="preserve"> these structurally different sugar fractions was critical to improving overall ethanol yields from straw. Significant progress has since been made in enzyme cocktail development, physicochemical pre-treatment technologies, and process integration, and commercial-scale lignocellulosic ethanol facilities have been demonstrated in several countries. However, the economics of straw-based ethanol remain sensitive to feedstock logistics costs, energy prices, and the availability of consistent policy support (</w:t>
      </w:r>
      <w:proofErr w:type="spellStart"/>
      <w:r>
        <w:t>Demirbas</w:t>
      </w:r>
      <w:proofErr w:type="spellEnd"/>
      <w:r>
        <w:t xml:space="preserve">, 2007). </w:t>
      </w:r>
      <w:proofErr w:type="spellStart"/>
      <w:r>
        <w:t>Searchinger</w:t>
      </w:r>
      <w:proofErr w:type="spellEnd"/>
      <w:r>
        <w:t xml:space="preserve"> et al. (2008) raised important concerns about the indirect land-use change consequences of large-scale bioenergy </w:t>
      </w:r>
      <w:proofErr w:type="spellStart"/>
      <w:r>
        <w:t>programmes</w:t>
      </w:r>
      <w:proofErr w:type="spellEnd"/>
      <w:r>
        <w:t>, cautioning that the displacement of food crop area by energy crop cultivation or the diversion of crop residues away from their soil fertility-maintaining functions could result in carbon debts that negate the climate benefits of fuel substitution. These considerations are directly relevant to any large-scale strategy for crop residue-to-bioenergy conversion.</w:t>
      </w:r>
    </w:p>
    <w:p w:rsidR="003577BC" w:rsidRDefault="00C760AB">
      <w:pPr>
        <w:spacing w:after="200" w:line="480" w:lineRule="auto"/>
        <w:ind w:firstLine="720"/>
        <w:jc w:val="both"/>
      </w:pPr>
      <w:r>
        <w:t xml:space="preserve">Thermochemical conversion routes, including gasification, offer the possibility of producing syngas—a mixture of carbon monoxide and hydrogen—that can be used for electricity generation or as a platform for the synthesis of advanced liquid biofuels and platform chemicals. </w:t>
      </w:r>
      <w:proofErr w:type="spellStart"/>
      <w:r>
        <w:t>Demirbas</w:t>
      </w:r>
      <w:proofErr w:type="spellEnd"/>
      <w:r>
        <w:t xml:space="preserve"> (2007) reviewed thermochemical biomass conversion technologies and highlighted gasification as particularly promising for distributed, off-grid </w:t>
      </w:r>
      <w:r>
        <w:lastRenderedPageBreak/>
        <w:t>energy generation from agricultural biomass, given its relatively broad feedstock tolerance and its capacity to produce a versatile energy carrier. The integration of pyrolysis biochar co-products with energy recovery from pyrolysis off-gases offers a simultaneous climate and agronomic dividend, as discussed in Section 5.2, and represents one of the most synergistic combinations of residue management outcomes available from a single technological platform.</w:t>
      </w:r>
    </w:p>
    <w:p w:rsidR="003577BC" w:rsidRDefault="00C760AB">
      <w:pPr>
        <w:pStyle w:val="Heading2"/>
      </w:pPr>
      <w:r>
        <w:t>5.5 Industrial and Construction Applications</w:t>
      </w:r>
    </w:p>
    <w:p w:rsidR="003577BC" w:rsidRDefault="00C760AB">
      <w:pPr>
        <w:spacing w:after="200" w:line="480" w:lineRule="auto"/>
        <w:ind w:firstLine="720"/>
        <w:jc w:val="both"/>
      </w:pPr>
      <w:r>
        <w:t xml:space="preserve">Beyond biological and energy conversion routes, crop residues offer considerable potential as raw materials for a range of industrial products, including building materials, packaging substrates, </w:t>
      </w:r>
      <w:proofErr w:type="spellStart"/>
      <w:r>
        <w:t>fibre</w:t>
      </w:r>
      <w:proofErr w:type="spellEnd"/>
      <w:r>
        <w:t xml:space="preserve"> products, and bio-based chemicals. Rice and wheat straw, for example, can be processed into particle boards, insulation panels, and </w:t>
      </w:r>
      <w:proofErr w:type="spellStart"/>
      <w:r>
        <w:t>fibreboard</w:t>
      </w:r>
      <w:proofErr w:type="spellEnd"/>
      <w:r>
        <w:t xml:space="preserve"> products that compete with wood-based alternatives in construction and furniture manufacturing, and may offer advantages in terms of moisture resistance and thermal performance in certain building typologies (Tripathi et al., 2019). Tripathi et al. (2019) examined the potential for agricultural biomass to serve as a feedstock for low-carbon construction materials and concluded that straw-based composites could contribute meaningfully to the </w:t>
      </w:r>
      <w:proofErr w:type="spellStart"/>
      <w:r>
        <w:t>decarbonisation</w:t>
      </w:r>
      <w:proofErr w:type="spellEnd"/>
      <w:r>
        <w:t xml:space="preserve"> of the built environment whilst simultaneously reducing field burning and creating new rural income streams. The use of straw in traditional earthen and </w:t>
      </w:r>
      <w:proofErr w:type="spellStart"/>
      <w:r>
        <w:t>fibre</w:t>
      </w:r>
      <w:proofErr w:type="spellEnd"/>
      <w:r>
        <w:t xml:space="preserve">-reinforced construction has deep historical roots across agricultural </w:t>
      </w:r>
      <w:proofErr w:type="spellStart"/>
      <w:r>
        <w:t>civilisations</w:t>
      </w:r>
      <w:proofErr w:type="spellEnd"/>
      <w:r>
        <w:t>, and the revival of these approaches in a contemporary engineering context represents both a recovery of traditional knowledge and a genuine opportunity for technological innovation in sustainable construction.</w:t>
      </w:r>
    </w:p>
    <w:p w:rsidR="003577BC" w:rsidRDefault="00C760AB">
      <w:pPr>
        <w:spacing w:after="200" w:line="480" w:lineRule="auto"/>
        <w:ind w:firstLine="720"/>
        <w:jc w:val="both"/>
      </w:pPr>
      <w:r>
        <w:t xml:space="preserve">The biochemical </w:t>
      </w:r>
      <w:proofErr w:type="spellStart"/>
      <w:r>
        <w:t>valorisation</w:t>
      </w:r>
      <w:proofErr w:type="spellEnd"/>
      <w:r>
        <w:t xml:space="preserve"> of crop residues through integrated biorefinery approaches—in which multiple product streams are extracted from a single biomass input in a cascading sequence—is examined more fully in Section 7. The </w:t>
      </w:r>
      <w:proofErr w:type="spellStart"/>
      <w:r>
        <w:t>valorisation</w:t>
      </w:r>
      <w:proofErr w:type="spellEnd"/>
      <w:r>
        <w:t xml:space="preserve"> of lignin, the polyaromatic polymer that constitutes 15–25% of most lignocellulosic residues and is </w:t>
      </w:r>
      <w:r>
        <w:lastRenderedPageBreak/>
        <w:t xml:space="preserve">currently </w:t>
      </w:r>
      <w:proofErr w:type="spellStart"/>
      <w:r>
        <w:t>underutilised</w:t>
      </w:r>
      <w:proofErr w:type="spellEnd"/>
      <w:r>
        <w:t xml:space="preserve"> even in advanced bioenergy systems, represents a major frontier for future industrial applications, including aromatic platform chemicals, carbon </w:t>
      </w:r>
      <w:proofErr w:type="spellStart"/>
      <w:r>
        <w:t>fibre</w:t>
      </w:r>
      <w:proofErr w:type="spellEnd"/>
      <w:r>
        <w:t xml:space="preserve"> precursors, and bio-based adhesives (Cherubini, 2010). As markets for these bio-based materials develop and as regulatory frameworks increasingly value the bio-based content of industrial products, the economic case for treating crop residues as multi-product biorefinery feedstocks rather than as single-use energy sources is expected to strengthen.</w:t>
      </w:r>
    </w:p>
    <w:p w:rsidR="003577BC" w:rsidRDefault="00C760AB">
      <w:pPr>
        <w:pStyle w:val="Heading1"/>
      </w:pPr>
      <w:r>
        <w:t>6. Climate-Smart Agriculture and Residue Management</w:t>
      </w:r>
    </w:p>
    <w:p w:rsidR="003577BC" w:rsidRDefault="00C760AB">
      <w:pPr>
        <w:pStyle w:val="Heading2"/>
      </w:pPr>
      <w:r>
        <w:t>6.1 Conceptual Foundations of Climate-Smart Agriculture</w:t>
      </w:r>
    </w:p>
    <w:p w:rsidR="003577BC" w:rsidRDefault="00C760AB">
      <w:pPr>
        <w:spacing w:after="200" w:line="480" w:lineRule="auto"/>
        <w:ind w:firstLine="720"/>
        <w:jc w:val="both"/>
      </w:pPr>
      <w:r>
        <w:t xml:space="preserve">Climate-smart agriculture (CSA) is an integrative approach developed by the Food and Agriculture </w:t>
      </w:r>
      <w:proofErr w:type="spellStart"/>
      <w:r>
        <w:t>Organisation</w:t>
      </w:r>
      <w:proofErr w:type="spellEnd"/>
      <w:r>
        <w:t xml:space="preserve"> to align food production with the imperatives of climate adaptation and mitigation across diverse agro-ecological and socio-economic contexts. Lipper et al. (2014) identified three core pillars of CSA: sustainably increasing agricultural productivity and incomes to support food security; adapting and building resilience to climate change in farming systems and rural livelihoods; and reducing and removing greenhouse gas emissions where possible, whilst avoiding locking in development pathways that foreclose low-emission futures. Crop residue management intersects with all three pillars. Enhanced residue management practices that increase soil organic matter support higher and more stable yields by improving soil water retention, nutrient supply, and root-zone physical properties. The retention of residue-derived carbon in soil improves moisture buffering and reduces crop vulnerability during drought periods, which is critical for climate adaptation in increasingly moisture-stressed environments. And the replacement of burning with biological or industrial residue </w:t>
      </w:r>
      <w:proofErr w:type="spellStart"/>
      <w:r>
        <w:t>valorisation</w:t>
      </w:r>
      <w:proofErr w:type="spellEnd"/>
      <w:r>
        <w:t xml:space="preserve"> reduces direct greenhouse gas and black carbon emissions from agriculture.</w:t>
      </w:r>
    </w:p>
    <w:p w:rsidR="003577BC" w:rsidRDefault="00C760AB">
      <w:pPr>
        <w:pStyle w:val="Heading2"/>
      </w:pPr>
      <w:r>
        <w:t>6.2 Carbon Sequestration and Soil Organic Matter Dynamics</w:t>
      </w:r>
    </w:p>
    <w:p w:rsidR="003577BC" w:rsidRDefault="00C760AB">
      <w:pPr>
        <w:spacing w:after="200" w:line="480" w:lineRule="auto"/>
        <w:ind w:firstLine="720"/>
        <w:jc w:val="both"/>
      </w:pPr>
      <w:r>
        <w:lastRenderedPageBreak/>
        <w:t xml:space="preserve">The capacity of agricultural soils to sequester carbon is now well-established, though the magnitude of this potential and the conditions under which it is most reliably </w:t>
      </w:r>
      <w:proofErr w:type="spellStart"/>
      <w:r>
        <w:t>realised</w:t>
      </w:r>
      <w:proofErr w:type="spellEnd"/>
      <w:r>
        <w:t xml:space="preserve"> remain subjects of active scientific inquiry. Lal (2004) estimated that the world's agricultural soils have a technical potential to sequester between 0.9 and 1.85 </w:t>
      </w:r>
      <w:proofErr w:type="spellStart"/>
      <w:r>
        <w:t>petagrams</w:t>
      </w:r>
      <w:proofErr w:type="spellEnd"/>
      <w:r>
        <w:t xml:space="preserve"> of carbon per year through improved management practices, including residue retention and conservation tillage, representing a contribution that could offset a significant fraction of current anthropogenic CO</w:t>
      </w:r>
      <w:r>
        <w:rPr>
          <w:vertAlign w:val="subscript"/>
        </w:rPr>
        <w:t>2</w:t>
      </w:r>
      <w:r>
        <w:t xml:space="preserve"> emissions. </w:t>
      </w:r>
      <w:proofErr w:type="spellStart"/>
      <w:r>
        <w:t>Paustian</w:t>
      </w:r>
      <w:proofErr w:type="spellEnd"/>
      <w:r>
        <w:t xml:space="preserve"> et al. (2016) extended this analysis in a synthesis published in </w:t>
      </w:r>
      <w:r>
        <w:rPr>
          <w:i/>
          <w:iCs/>
        </w:rPr>
        <w:t>Nature</w:t>
      </w:r>
      <w:r>
        <w:t xml:space="preserve">, arguing that climate-smart soils management—encompassing cover cropping, enhanced residue management, biochar application, and the reduction of soil disturbance—could increase the global soil carbon sink by approximately 1.2 </w:t>
      </w:r>
      <w:proofErr w:type="spellStart"/>
      <w:r>
        <w:t>petagrams</w:t>
      </w:r>
      <w:proofErr w:type="spellEnd"/>
      <w:r>
        <w:t xml:space="preserve"> of carbon per year. This potential places soil carbon sequestration alongside other major carbon dioxide removal strategies as a critical component of meeting the temperature targets established under the Paris Agreement.</w:t>
      </w:r>
    </w:p>
    <w:p w:rsidR="003577BC" w:rsidRDefault="00C760AB">
      <w:pPr>
        <w:spacing w:after="200" w:line="480" w:lineRule="auto"/>
        <w:ind w:firstLine="720"/>
        <w:jc w:val="both"/>
      </w:pPr>
      <w:proofErr w:type="spellStart"/>
      <w:r>
        <w:t>Poeplau</w:t>
      </w:r>
      <w:proofErr w:type="spellEnd"/>
      <w:r>
        <w:t xml:space="preserve"> and Don (2015) conducted a meta-analysis of the effects of cover crop cultivation on soil carbon sequestration and found an average increase of 0.32 </w:t>
      </w:r>
      <w:proofErr w:type="spellStart"/>
      <w:r>
        <w:t>tonnes</w:t>
      </w:r>
      <w:proofErr w:type="spellEnd"/>
      <w:r>
        <w:t xml:space="preserve"> of carbon per hectare per year attributable to cover crop biomass inputs, with effects that persisted across temperate and subtropical systems. Whilst cover crops and crop residues are distinct management inputs, their combined contribution to the organic matter balance of the soil underlines the complementarity of practices within a CSA framework. Liu et al. (2014) demonstrated through meta-analysis that continuous straw return to soil resulted in progressive and statistically significant increases in soil organic carbon, with the magnitude of response dependent on clay content, mean annual temperature, and initial organic matter levels. These findings collectively support the argument that sustained, multi-year residue retention strategies are more effective at building soil organic carbon than intermittent or partial retention approaches.</w:t>
      </w:r>
    </w:p>
    <w:p w:rsidR="003577BC" w:rsidRDefault="00C760AB">
      <w:pPr>
        <w:spacing w:after="200" w:line="480" w:lineRule="auto"/>
        <w:ind w:firstLine="720"/>
        <w:jc w:val="both"/>
      </w:pPr>
      <w:proofErr w:type="spellStart"/>
      <w:r>
        <w:lastRenderedPageBreak/>
        <w:t>Rumpel</w:t>
      </w:r>
      <w:proofErr w:type="spellEnd"/>
      <w:r>
        <w:t xml:space="preserve"> et al. (2018) argued in a commentary published in </w:t>
      </w:r>
      <w:r>
        <w:rPr>
          <w:i/>
          <w:iCs/>
        </w:rPr>
        <w:t>Nature</w:t>
      </w:r>
      <w:r>
        <w:t xml:space="preserve"> that agricultural soils have considerably greater physical and chemical capacity to store carbon than current estimates assume, and called for substantially greater policy ambition in pursuing soil carbon sequestration as a contribution to the Paris Agreement targets. These authors </w:t>
      </w:r>
      <w:proofErr w:type="spellStart"/>
      <w:r>
        <w:t>emphasised</w:t>
      </w:r>
      <w:proofErr w:type="spellEnd"/>
      <w:r>
        <w:t xml:space="preserve"> the importance of organic carbon inputs—including crop residues—as the primary mechanism for building soil carbon stocks, and called for incentive structures that reward farmers for increasing soil carbon through demonstrably sustainable management practices. The nitrogen dimension of residue management is also pertinent to greenhouse gas accounting. </w:t>
      </w:r>
      <w:proofErr w:type="spellStart"/>
      <w:r>
        <w:t>Lassaletta</w:t>
      </w:r>
      <w:proofErr w:type="spellEnd"/>
      <w:r>
        <w:t xml:space="preserve"> et al. (2014) showed that nitrogen use efficiency in global crop production has improved only modestly over 50 years despite massive increases in </w:t>
      </w:r>
      <w:proofErr w:type="spellStart"/>
      <w:r>
        <w:t>fertiliser</w:t>
      </w:r>
      <w:proofErr w:type="spellEnd"/>
      <w:r>
        <w:t xml:space="preserve"> inputs, and that improved nitrogen cycling through residue management could contribute to reductions in reactive nitrogen losses to waterways and the atmosphere, including reductions in N</w:t>
      </w:r>
      <w:r>
        <w:rPr>
          <w:vertAlign w:val="subscript"/>
        </w:rPr>
        <w:t>2</w:t>
      </w:r>
      <w:r>
        <w:t>O emissions from agricultural soils.</w:t>
      </w:r>
    </w:p>
    <w:p w:rsidR="003577BC" w:rsidRDefault="00C760AB">
      <w:pPr>
        <w:pStyle w:val="Heading2"/>
      </w:pPr>
      <w:r>
        <w:t>6.3 Greenhouse Gas Emission Dynamics Under Alternative Management</w:t>
      </w:r>
    </w:p>
    <w:p w:rsidR="003577BC" w:rsidRDefault="00C760AB">
      <w:pPr>
        <w:spacing w:after="200" w:line="480" w:lineRule="auto"/>
        <w:ind w:firstLine="720"/>
        <w:jc w:val="both"/>
      </w:pPr>
      <w:r>
        <w:t>The relationship between crop residue management and greenhouse gas emissions is complex and, in some cases, counter-intuitive. Avoiding burning clearly eliminates the direct pyrogenic emissions of CO</w:t>
      </w:r>
      <w:r>
        <w:rPr>
          <w:vertAlign w:val="subscript"/>
        </w:rPr>
        <w:t>2</w:t>
      </w:r>
      <w:r>
        <w:t>, CH</w:t>
      </w:r>
      <w:r>
        <w:rPr>
          <w:vertAlign w:val="subscript"/>
        </w:rPr>
        <w:t>4</w:t>
      </w:r>
      <w:r>
        <w:t>, N</w:t>
      </w:r>
      <w:r>
        <w:rPr>
          <w:vertAlign w:val="subscript"/>
        </w:rPr>
        <w:t>2</w:t>
      </w:r>
      <w:r>
        <w:t>O, and black carbon associated with combustion. However, the anaerobic decomposition of incorporated straw under flooded rice cultivation can stimulate methane production, and the enhanced nitrogen cycling associated with residue decomposition can contribute to elevated N</w:t>
      </w:r>
      <w:r>
        <w:rPr>
          <w:vertAlign w:val="subscript"/>
        </w:rPr>
        <w:t>2</w:t>
      </w:r>
      <w:r>
        <w:t>O emissions under certain soil moisture conditions (Smith et al., 2008). These dynamics mean that the net greenhouse gas balance of alternative residue management options must be assessed carefully and holistically, accounting for the full suite of emission sources and sinks across the agricultural system and over timescales relevant to the persistence of the management intervention.</w:t>
      </w:r>
    </w:p>
    <w:p w:rsidR="003577BC" w:rsidRDefault="00C760AB">
      <w:pPr>
        <w:spacing w:after="200" w:line="480" w:lineRule="auto"/>
        <w:ind w:firstLine="720"/>
        <w:jc w:val="both"/>
      </w:pPr>
      <w:proofErr w:type="spellStart"/>
      <w:r>
        <w:lastRenderedPageBreak/>
        <w:t>Govaerts</w:t>
      </w:r>
      <w:proofErr w:type="spellEnd"/>
      <w:r>
        <w:t xml:space="preserve"> et al. (2009) reviewed the evidence on conservation agriculture and soil carbon sequestration and concluded that, when properly implemented with permanent soil cover and minimal disturbance, conservation tillage contributed to net carbon accumulation in surface soil horizons alongside co-benefits for biodiversity and water quality. Baker et al. (2007) introduced an important methodological caveat, noting that the apparent carbon sequestration benefits of no-till systems may depend on the depth to which soil carbon is sampled, and called for more rigorous and consistently </w:t>
      </w:r>
      <w:proofErr w:type="spellStart"/>
      <w:r>
        <w:t>standardised</w:t>
      </w:r>
      <w:proofErr w:type="spellEnd"/>
      <w:r>
        <w:t xml:space="preserve"> measurement protocols across long-term comparative experiments. These methodological considerations do not negate the positive contribution of residue retention to soil carbon but do call for caution in translating short-term trial results into long-term policy projections without adequate validation across diverse environments. The integration of biochar into soil management systems has been proposed as a means of creating more permanent, recalcitrant carbon pools alongside the more labile organic matter derived from residue incorporation, providing complementary short- and long-term carbon sequestration benefits within an integrated soil management framework (Woolf et al., 2010; Lehmann et al., 2021).</w:t>
      </w:r>
    </w:p>
    <w:p w:rsidR="003577BC" w:rsidRDefault="00C760AB">
      <w:pPr>
        <w:pStyle w:val="Heading1"/>
      </w:pPr>
      <w:r>
        <w:t>7. Circular Economy Pathways for Crop Residues</w:t>
      </w:r>
    </w:p>
    <w:p w:rsidR="003577BC" w:rsidRDefault="00C760AB">
      <w:pPr>
        <w:pStyle w:val="Heading2"/>
      </w:pPr>
      <w:r>
        <w:t xml:space="preserve">7.1 Conceptual Framework of the Circular </w:t>
      </w:r>
      <w:proofErr w:type="spellStart"/>
      <w:r>
        <w:t>Bioeconomy</w:t>
      </w:r>
      <w:proofErr w:type="spellEnd"/>
    </w:p>
    <w:p w:rsidR="003577BC" w:rsidRDefault="00C760AB">
      <w:pPr>
        <w:spacing w:after="200" w:line="480" w:lineRule="auto"/>
        <w:ind w:firstLine="720"/>
        <w:jc w:val="both"/>
      </w:pPr>
      <w:r>
        <w:t>The circular economy represents a fundamental departure from the dominant linear model of production and consumption—in which resources are extracted, processed, used, and discarded—towards systems in which material value is retained for as long as possible through strategies of reuse, remanufacturing, recycling, and biological recovery (</w:t>
      </w:r>
      <w:proofErr w:type="spellStart"/>
      <w:r>
        <w:t>Geissdoerfer</w:t>
      </w:r>
      <w:proofErr w:type="spellEnd"/>
      <w:r>
        <w:t xml:space="preserve"> et al., 2017). When applied to agriculture, circular economy principles imply that the nutrients, carbon, water, and energy embodied in crop residues should be returned to productive use rather than dissipated through burning. The concept of the circular </w:t>
      </w:r>
      <w:proofErr w:type="spellStart"/>
      <w:r>
        <w:t>bioeconomy</w:t>
      </w:r>
      <w:proofErr w:type="spellEnd"/>
      <w:r>
        <w:t xml:space="preserve">, articulated by D'Amato et al. (2017) as the integration of circular economy and </w:t>
      </w:r>
      <w:r>
        <w:lastRenderedPageBreak/>
        <w:t>bio-based economy frameworks, provides a particularly relevant conceptual architecture for agricultural residue management. In this framework, biological feedstocks—including agricultural residues—serve as the raw material base for a cascade of progressively higher-value products, with energy recovery as the final step before the residual fraction is returned to the land as a nutrient and carbon amendment.</w:t>
      </w:r>
    </w:p>
    <w:p w:rsidR="003577BC" w:rsidRDefault="00C760AB">
      <w:pPr>
        <w:spacing w:after="200" w:line="480" w:lineRule="auto"/>
        <w:ind w:firstLine="720"/>
        <w:jc w:val="both"/>
      </w:pPr>
      <w:r>
        <w:t xml:space="preserve">The hierarchical </w:t>
      </w:r>
      <w:proofErr w:type="spellStart"/>
      <w:r>
        <w:t>organisation</w:t>
      </w:r>
      <w:proofErr w:type="spellEnd"/>
      <w:r>
        <w:t xml:space="preserve"> of material flows within the circular </w:t>
      </w:r>
      <w:proofErr w:type="spellStart"/>
      <w:r>
        <w:t>bioeconomy</w:t>
      </w:r>
      <w:proofErr w:type="spellEnd"/>
      <w:r>
        <w:t xml:space="preserve"> is particularly important for </w:t>
      </w:r>
      <w:proofErr w:type="spellStart"/>
      <w:r>
        <w:t>maximising</w:t>
      </w:r>
      <w:proofErr w:type="spellEnd"/>
      <w:r>
        <w:t xml:space="preserve"> the social and environmental return on investment from crop residue management. The greatest value—economic, nutritional, and climatic—is generally associated with the use of residue fractions in their most complex and information-rich form, whether as soil amendments that sustain biological communities, as feedstocks for high-value chemical products, or as nutrient sources for animal or plant nutrition. Energy recovery, whilst economically and climatically valuable, typically represents a lower position in the value hierarchy than material and biological uses, as it consumes the chemical complexity of the residue irreversibly. This cascading logic challenges the tendency to frame bioenergy as the primary or default </w:t>
      </w:r>
      <w:proofErr w:type="spellStart"/>
      <w:r>
        <w:t>valorisation</w:t>
      </w:r>
      <w:proofErr w:type="spellEnd"/>
      <w:r>
        <w:t xml:space="preserve"> pathway for agricultural residues, and instead encourages multi-product system designs that </w:t>
      </w:r>
      <w:proofErr w:type="spellStart"/>
      <w:r>
        <w:t>maximise</w:t>
      </w:r>
      <w:proofErr w:type="spellEnd"/>
      <w:r>
        <w:t xml:space="preserve"> total value recovery per unit of biomass input (D'Amato et al., 2017).</w:t>
      </w:r>
    </w:p>
    <w:p w:rsidR="003577BC" w:rsidRDefault="00C760AB">
      <w:pPr>
        <w:pStyle w:val="Heading2"/>
      </w:pPr>
      <w:r>
        <w:t xml:space="preserve">7.2 Biorefinery Approaches to Residue </w:t>
      </w:r>
      <w:proofErr w:type="spellStart"/>
      <w:r>
        <w:t>Valorisation</w:t>
      </w:r>
      <w:proofErr w:type="spellEnd"/>
    </w:p>
    <w:p w:rsidR="003577BC" w:rsidRDefault="00C760AB">
      <w:pPr>
        <w:spacing w:after="200" w:line="480" w:lineRule="auto"/>
        <w:ind w:firstLine="720"/>
        <w:jc w:val="both"/>
      </w:pPr>
      <w:r>
        <w:t xml:space="preserve">The biorefinery concept offers one of the most technologically ambitious frameworks for crop residue </w:t>
      </w:r>
      <w:proofErr w:type="spellStart"/>
      <w:r>
        <w:t>valorisation</w:t>
      </w:r>
      <w:proofErr w:type="spellEnd"/>
      <w:r>
        <w:t xml:space="preserve"> within a circular economy context. Drawing an analogy with petroleum refinery systems that extract multiple products from a single crude feedstock, Cherubini (2010) defined the biorefinery as a facility that integrates biomass conversion processes to produce a spectrum of marketable products and energy, </w:t>
      </w:r>
      <w:proofErr w:type="spellStart"/>
      <w:r>
        <w:t>maximising</w:t>
      </w:r>
      <w:proofErr w:type="spellEnd"/>
      <w:r>
        <w:t xml:space="preserve"> the use of all biomass components and </w:t>
      </w:r>
      <w:proofErr w:type="spellStart"/>
      <w:r>
        <w:t>minimising</w:t>
      </w:r>
      <w:proofErr w:type="spellEnd"/>
      <w:r>
        <w:t xml:space="preserve"> waste outputs. Applied to crop residue streams, a biorefinery approach might involve the sequential extraction of cellulose for paper, textile, or </w:t>
      </w:r>
      <w:r>
        <w:lastRenderedPageBreak/>
        <w:t xml:space="preserve">composite material applications, fermentation of the </w:t>
      </w:r>
      <w:proofErr w:type="spellStart"/>
      <w:r>
        <w:t>hemicellulosic</w:t>
      </w:r>
      <w:proofErr w:type="spellEnd"/>
      <w:r>
        <w:t xml:space="preserve"> sugars to ethanol or platform chemicals such as furfural and xylitol, </w:t>
      </w:r>
      <w:proofErr w:type="spellStart"/>
      <w:r>
        <w:t>valorisation</w:t>
      </w:r>
      <w:proofErr w:type="spellEnd"/>
      <w:r>
        <w:t xml:space="preserve"> of lignin as a fuel or as an aromatic precursor for resins and adhesives, and return of the mineral-rich ash fraction to agricultural soils as a source of potassium and micronutrients. This cascading use </w:t>
      </w:r>
      <w:proofErr w:type="spellStart"/>
      <w:r>
        <w:t>maximises</w:t>
      </w:r>
      <w:proofErr w:type="spellEnd"/>
      <w:r>
        <w:t xml:space="preserve"> the value extracted from each </w:t>
      </w:r>
      <w:proofErr w:type="spellStart"/>
      <w:r>
        <w:t>tonne</w:t>
      </w:r>
      <w:proofErr w:type="spellEnd"/>
      <w:r>
        <w:t xml:space="preserve"> of biomass whilst </w:t>
      </w:r>
      <w:proofErr w:type="spellStart"/>
      <w:r>
        <w:t>minimising</w:t>
      </w:r>
      <w:proofErr w:type="spellEnd"/>
      <w:r>
        <w:t xml:space="preserve"> net carbon losses to the atmosphere over the full lifecycle of the residue stream.</w:t>
      </w:r>
    </w:p>
    <w:p w:rsidR="003577BC" w:rsidRDefault="00C760AB">
      <w:pPr>
        <w:spacing w:after="200" w:line="480" w:lineRule="auto"/>
        <w:ind w:firstLine="720"/>
        <w:jc w:val="both"/>
      </w:pPr>
      <w:r>
        <w:t xml:space="preserve">Tripathi et al. (2019) assessed the technological readiness and commercial prospects of multiple biomass-based conversion pathways and identified bio-based building materials and chemical platform molecules as sectors with particularly </w:t>
      </w:r>
      <w:proofErr w:type="spellStart"/>
      <w:r>
        <w:t>favourable</w:t>
      </w:r>
      <w:proofErr w:type="spellEnd"/>
      <w:r>
        <w:t xml:space="preserve"> near-term commercial prospects relative to commodity bioenergy alone, owing to the higher market values achievable for material products relative to electricity and heat. The integration of biochar production within a biorefinery context has been explored as a strategy for simultaneously sequestering carbon and generating energy from pyrolysis off-gases, with the biochar product subsequently applied to the field as a long-term soil amendment (Woolf et al., 2010). Such integrated systems, whilst not yet widely </w:t>
      </w:r>
      <w:proofErr w:type="spellStart"/>
      <w:r>
        <w:t>commercialised</w:t>
      </w:r>
      <w:proofErr w:type="spellEnd"/>
      <w:r>
        <w:t xml:space="preserve"> at the scale of smallholder agriculture in low-income countries, represent compelling targets for public research investment, technology demonstration, and the development of enabling policy frameworks that can </w:t>
      </w:r>
      <w:proofErr w:type="spellStart"/>
      <w:r>
        <w:t>catalyse</w:t>
      </w:r>
      <w:proofErr w:type="spellEnd"/>
      <w:r>
        <w:t xml:space="preserve"> private sector engagement.</w:t>
      </w:r>
    </w:p>
    <w:p w:rsidR="003577BC" w:rsidRDefault="00C760AB">
      <w:pPr>
        <w:pStyle w:val="Heading2"/>
      </w:pPr>
      <w:r>
        <w:t>7.3 Value Chains and Rural Economic Development</w:t>
      </w:r>
    </w:p>
    <w:p w:rsidR="003577BC" w:rsidRDefault="00C760AB">
      <w:pPr>
        <w:spacing w:after="200" w:line="480" w:lineRule="auto"/>
        <w:ind w:firstLine="720"/>
        <w:jc w:val="both"/>
      </w:pPr>
      <w:r>
        <w:t xml:space="preserve">The </w:t>
      </w:r>
      <w:proofErr w:type="spellStart"/>
      <w:r>
        <w:t>realisation</w:t>
      </w:r>
      <w:proofErr w:type="spellEnd"/>
      <w:r>
        <w:t xml:space="preserve"> of circular </w:t>
      </w:r>
      <w:proofErr w:type="spellStart"/>
      <w:r>
        <w:t>bioeconomy</w:t>
      </w:r>
      <w:proofErr w:type="spellEnd"/>
      <w:r>
        <w:t xml:space="preserve"> pathways for crop residues is contingent upon the development of functional value chains that connect residue supply at the farm level with demand for residue-derived products in industrial and agricultural markets. In many developing country contexts, these value chains are nascent or largely absent, and the lack of transparent markets for residue-derived commodities—biogas, biochar, compost, straw board—constitutes a significant barrier to uptake by individual farmers who cannot absorb </w:t>
      </w:r>
      <w:r>
        <w:lastRenderedPageBreak/>
        <w:t xml:space="preserve">the transaction costs of market development unilaterally (Pannell et al., 2006). Co-operative or collective action models, in which groups of farmers aggregate residue supplies and invest collectively in processing infrastructure, offer one approach to overcoming the scale barriers that constrain individual smallholder participation in residue </w:t>
      </w:r>
      <w:proofErr w:type="spellStart"/>
      <w:r>
        <w:t>valorisation</w:t>
      </w:r>
      <w:proofErr w:type="spellEnd"/>
      <w:r>
        <w:t xml:space="preserve"> markets. Community-scale biogas plants in China and India have demonstrated that anaerobic digestion of agricultural residues at the village level is both technically and </w:t>
      </w:r>
      <w:proofErr w:type="spellStart"/>
      <w:r>
        <w:t>organisationally</w:t>
      </w:r>
      <w:proofErr w:type="spellEnd"/>
      <w:r>
        <w:t xml:space="preserve"> feasible, generating energy and digestate </w:t>
      </w:r>
      <w:proofErr w:type="spellStart"/>
      <w:r>
        <w:t>fertiliser</w:t>
      </w:r>
      <w:proofErr w:type="spellEnd"/>
      <w:r>
        <w:t xml:space="preserve"> for participating households whilst simultaneously removing a fraction of the residue that would otherwise be burned (</w:t>
      </w:r>
      <w:proofErr w:type="spellStart"/>
      <w:r>
        <w:t>Möller</w:t>
      </w:r>
      <w:proofErr w:type="spellEnd"/>
      <w:r>
        <w:t xml:space="preserve"> &amp; Müller, 2012).</w:t>
      </w:r>
    </w:p>
    <w:p w:rsidR="003577BC" w:rsidRDefault="00C760AB">
      <w:pPr>
        <w:spacing w:after="200" w:line="480" w:lineRule="auto"/>
        <w:ind w:firstLine="720"/>
        <w:jc w:val="both"/>
      </w:pPr>
      <w:r>
        <w:t xml:space="preserve">Pretty et al. (2018) argued that genuinely sustainable agricultural intensification requires systemic redesign of agri-food systems, not merely the adoption of individual improved practices in isolation from the institutional and market contexts in which farmers operate. This systems perspective is particularly relevant to crop residue management, where the optimal allocation of residue fractions among competing uses—soil amendment, bioenergy, animal feed, industrial processing—depends on regional ecological conditions, economic structures, and social priorities that cannot be determined by universal prescriptions. The circular </w:t>
      </w:r>
      <w:proofErr w:type="spellStart"/>
      <w:r>
        <w:t>bioeconomy</w:t>
      </w:r>
      <w:proofErr w:type="spellEnd"/>
      <w:r>
        <w:t xml:space="preserve"> framework, at its most ambitious, envisions regionally adapted residue </w:t>
      </w:r>
      <w:proofErr w:type="spellStart"/>
      <w:r>
        <w:t>valorisation</w:t>
      </w:r>
      <w:proofErr w:type="spellEnd"/>
      <w:r>
        <w:t xml:space="preserve"> systems in which the mix of uses is calibrated to local resource endowments, market conditions, and sustainability objectives, and in which the distributional benefits of value creation are shared equitably among farmers, processors, energy consumers, and society at large.</w:t>
      </w:r>
    </w:p>
    <w:p w:rsidR="003577BC" w:rsidRDefault="00C760AB">
      <w:pPr>
        <w:pStyle w:val="Heading1"/>
      </w:pPr>
      <w:r>
        <w:t>8. Policy, Governance, and Socio-Economic Dimensions</w:t>
      </w:r>
    </w:p>
    <w:p w:rsidR="003577BC" w:rsidRDefault="00C760AB">
      <w:pPr>
        <w:pStyle w:val="Heading2"/>
      </w:pPr>
      <w:r>
        <w:t>8.1 International and National Policy Frameworks</w:t>
      </w:r>
    </w:p>
    <w:p w:rsidR="003577BC" w:rsidRDefault="00C760AB">
      <w:pPr>
        <w:spacing w:after="200" w:line="480" w:lineRule="auto"/>
        <w:ind w:firstLine="720"/>
        <w:jc w:val="both"/>
      </w:pPr>
      <w:r>
        <w:lastRenderedPageBreak/>
        <w:t>International climate and biodiversity frameworks provide the overarching policy architecture within which national strategies for crop residue management must be situated. The Paris Agreement's global temperature targets and the associated nationally determined contributions create both a normative imperative and a potential financial mechanism—through carbon markets and international climate finance—for the transition away from burning in agricultural systems. The IPCC Special Report on Climate Change and Land (IPCC, 2019) explicitly identified sustainable land management, including improved crop residue management, as a key response option with high mitigation potential and multiple co-benefits for food security, water quality, and ecosystem services. The FAO's assessment of global food and agriculture trends underlined the centrality of sustainable resource management—including the recycling of agricultural waste streams—to the achievement of food security in the context of population growth, climate change, and natural resource scarcity (FAO, 2017).</w:t>
      </w:r>
    </w:p>
    <w:p w:rsidR="003577BC" w:rsidRDefault="00C760AB">
      <w:pPr>
        <w:spacing w:after="200" w:line="480" w:lineRule="auto"/>
        <w:ind w:firstLine="720"/>
        <w:jc w:val="both"/>
      </w:pPr>
      <w:r>
        <w:t>At the national level, several major residue-burning countries have introduced regulatory and incentive-based policies to reduce burning. India, for example, enacted a National Policy for Management of Crop Residue and has implemented subsidy schemes for direct-seeding machinery that enables wheat to be sown into standing rice stubble without prior residue removal or burning. China has similarly implemented provincial bans on field burning backed by satellite monitoring systems, and has invested in biogas plant construction and straw collection enterprises as alternative outlets for residue biomass (</w:t>
      </w:r>
      <w:proofErr w:type="spellStart"/>
      <w:r>
        <w:t>Bhuvaneshwari</w:t>
      </w:r>
      <w:proofErr w:type="spellEnd"/>
      <w:r>
        <w:t xml:space="preserve"> et al., 2019). The effectiveness of these top-down regulatory approaches has been mixed, however, with compliance often limited by the inadequacy of economically viable alternatives, the short inter-season windows that make expedient burning attractive, and the challenges of enforcement across dispersed smallholder landscapes. More effective approaches appear to combine regulation with positive economic incentives and with </w:t>
      </w:r>
      <w:r>
        <w:lastRenderedPageBreak/>
        <w:t>investments in the infrastructure and knowledge systems that enable farmers to adopt and sustain alternatives.</w:t>
      </w:r>
    </w:p>
    <w:p w:rsidR="003577BC" w:rsidRDefault="00C760AB">
      <w:pPr>
        <w:pStyle w:val="Heading2"/>
      </w:pPr>
      <w:r>
        <w:t>8.2 Barriers to Adoption of Alternative Practices</w:t>
      </w:r>
    </w:p>
    <w:p w:rsidR="003577BC" w:rsidRDefault="00C760AB">
      <w:pPr>
        <w:spacing w:after="200" w:line="480" w:lineRule="auto"/>
        <w:ind w:firstLine="720"/>
        <w:jc w:val="both"/>
      </w:pPr>
      <w:r>
        <w:t xml:space="preserve">The adoption of alternative residue management practices by individual farmers is governed by a complex interplay of economic incentives, knowledge access, social norms, risk perceptions, and institutional support (Pannell et al., 2006). From an economic standpoint, the cost of alternatives to burning—whether in the form of machinery rental, additional </w:t>
      </w:r>
      <w:proofErr w:type="spellStart"/>
      <w:r>
        <w:t>labour</w:t>
      </w:r>
      <w:proofErr w:type="spellEnd"/>
      <w:r>
        <w:t xml:space="preserve"> inputs, or foregone revenues from residues sold as animal fodder—must be competitive with the near-zero direct cost of burning for </w:t>
      </w:r>
      <w:proofErr w:type="spellStart"/>
      <w:r>
        <w:t>behaviour</w:t>
      </w:r>
      <w:proofErr w:type="spellEnd"/>
      <w:r>
        <w:t xml:space="preserve"> change to occur voluntarily in the absence of external incentives or regulations. In contexts where the social and environmental costs of burning are not </w:t>
      </w:r>
      <w:proofErr w:type="spellStart"/>
      <w:r>
        <w:t>internalised</w:t>
      </w:r>
      <w:proofErr w:type="spellEnd"/>
      <w:r>
        <w:t xml:space="preserve"> into farm-level decision-making through pricing mechanisms, carbon taxes, or regulatory requirements, rational short-term economic calculation continues to </w:t>
      </w:r>
      <w:proofErr w:type="spellStart"/>
      <w:r>
        <w:t>favour</w:t>
      </w:r>
      <w:proofErr w:type="spellEnd"/>
      <w:r>
        <w:t xml:space="preserve"> burning over alternative management (Pannell et al., 2006).</w:t>
      </w:r>
    </w:p>
    <w:p w:rsidR="003577BC" w:rsidRDefault="00C760AB">
      <w:pPr>
        <w:spacing w:after="200" w:line="480" w:lineRule="auto"/>
        <w:ind w:firstLine="720"/>
        <w:jc w:val="both"/>
      </w:pPr>
      <w:r>
        <w:t xml:space="preserve">Knowledge barriers are equally significant in many farming contexts. Many farmers are unaware of the soil health and long-term productivity benefits of residue retention, or are </w:t>
      </w:r>
      <w:proofErr w:type="spellStart"/>
      <w:r>
        <w:t>sceptical</w:t>
      </w:r>
      <w:proofErr w:type="spellEnd"/>
      <w:r>
        <w:t xml:space="preserve"> of claims made by extension services that do not resonate with their own observed experience on their specific soils and within their specific farming systems. The disconnect between scientific evidence and farmer knowledge systems often reflects the limited reach and credibility of agricultural extension services, the absence of trusted local intermediaries who can translate technical recommendations into context-specific management advice, and the historical dominance of top-down technology transfer models that give insufficient weight to indigenous ecological knowledge (Pretty et al., 2018). Socio-cultural factors, including the social norms around burning as an accepted and visible farming practice, and the challenges of </w:t>
      </w:r>
      <w:proofErr w:type="spellStart"/>
      <w:r>
        <w:t>co-ordinating</w:t>
      </w:r>
      <w:proofErr w:type="spellEnd"/>
      <w:r>
        <w:t xml:space="preserve"> </w:t>
      </w:r>
      <w:proofErr w:type="spellStart"/>
      <w:r>
        <w:t>behaviour</w:t>
      </w:r>
      <w:proofErr w:type="spellEnd"/>
      <w:r>
        <w:t xml:space="preserve"> change across a farming community where </w:t>
      </w:r>
      <w:r>
        <w:lastRenderedPageBreak/>
        <w:t xml:space="preserve">individual compliance is undermined by fire spread from </w:t>
      </w:r>
      <w:proofErr w:type="spellStart"/>
      <w:r>
        <w:t>neighbouring</w:t>
      </w:r>
      <w:proofErr w:type="spellEnd"/>
      <w:r>
        <w:t xml:space="preserve"> plots, further complicate transitions to non-burning residue management.</w:t>
      </w:r>
    </w:p>
    <w:p w:rsidR="003577BC" w:rsidRDefault="00C760AB">
      <w:pPr>
        <w:pStyle w:val="Heading2"/>
      </w:pPr>
      <w:r>
        <w:t>8.3 Economic Incentives and Market Development Pathways</w:t>
      </w:r>
    </w:p>
    <w:p w:rsidR="003577BC" w:rsidRDefault="00C760AB">
      <w:pPr>
        <w:spacing w:after="200" w:line="480" w:lineRule="auto"/>
        <w:ind w:firstLine="720"/>
        <w:jc w:val="both"/>
      </w:pPr>
      <w:r>
        <w:t xml:space="preserve">Effective policy for crop residue management should combine negative incentives for burning with positive incentives for alternative practices and with investments in the enabling conditions for sustainable markets. Subsidies for machinery and processing infrastructure, guaranteed purchase prices for residue-derived commodities, and payments for ecosystem services such as carbon sequestration and improved water quality each represent potential components of a supportive policy package. The development of voluntary carbon markets, in which agricultural carbon sequestration is </w:t>
      </w:r>
      <w:proofErr w:type="spellStart"/>
      <w:r>
        <w:t>monetised</w:t>
      </w:r>
      <w:proofErr w:type="spellEnd"/>
      <w:r>
        <w:t xml:space="preserve"> and traded, offers a potentially powerful financial mechanism for rewarding farmers who adopt practices—including biochar application, residue incorporation, and conservation agriculture—that demonstrably enhance soil carbon stocks (</w:t>
      </w:r>
      <w:proofErr w:type="spellStart"/>
      <w:r>
        <w:t>Paustian</w:t>
      </w:r>
      <w:proofErr w:type="spellEnd"/>
      <w:r>
        <w:t xml:space="preserve"> et al., 2016). For these markets to function effectively and to achieve genuine climate impact, robust and cost-effective measurement, reporting, and verification systems for agricultural carbon are required, alongside standards that are sufficiently stringent to ensure environmental integrity and to withstand scientific scrutiny.</w:t>
      </w:r>
    </w:p>
    <w:p w:rsidR="003577BC" w:rsidRDefault="00C760AB">
      <w:pPr>
        <w:spacing w:after="200" w:line="480" w:lineRule="auto"/>
        <w:ind w:firstLine="720"/>
        <w:jc w:val="both"/>
      </w:pPr>
      <w:r>
        <w:t xml:space="preserve">The FAO's assessment of future food and agriculture trends </w:t>
      </w:r>
      <w:proofErr w:type="spellStart"/>
      <w:r>
        <w:t>emphasised</w:t>
      </w:r>
      <w:proofErr w:type="spellEnd"/>
      <w:r>
        <w:t xml:space="preserve"> the importance of institutional innovation in enabling the transition to sustainable intensification, including the development of new forms of co-operation among farmers, between the private sector and farming communities, and between national governments and international </w:t>
      </w:r>
      <w:proofErr w:type="spellStart"/>
      <w:r>
        <w:t>organisations</w:t>
      </w:r>
      <w:proofErr w:type="spellEnd"/>
      <w:r>
        <w:t xml:space="preserve"> (FAO, 2017). Investment in rural processing infrastructure—including small-scale pyrolysis units, biogas digesters, and compost production facilities—alongside research and development for adapted residue conversion technologies, and sustained capacity building for extension services capable of reaching smallholder farmers, are identified as priority areas for public expenditure. The circular residue economy will not emerge </w:t>
      </w:r>
      <w:r>
        <w:lastRenderedPageBreak/>
        <w:t>spontaneously from individual farm-level decisions alone; it requires the deliberate co-ordination of public investment, regulatory reform, market development, and knowledge generation across multiple governance scales.</w:t>
      </w:r>
    </w:p>
    <w:p w:rsidR="003577BC" w:rsidRDefault="00C760AB">
      <w:pPr>
        <w:pStyle w:val="Heading1"/>
      </w:pPr>
      <w:r>
        <w:t>9. Knowledge Gaps and Future Research Directions</w:t>
      </w:r>
    </w:p>
    <w:p w:rsidR="003577BC" w:rsidRDefault="00C760AB">
      <w:pPr>
        <w:spacing w:after="200" w:line="480" w:lineRule="auto"/>
        <w:ind w:firstLine="720"/>
        <w:jc w:val="both"/>
      </w:pPr>
      <w:r>
        <w:t xml:space="preserve">Notwithstanding the substantial evidence base </w:t>
      </w:r>
      <w:proofErr w:type="spellStart"/>
      <w:r>
        <w:t>synthesised</w:t>
      </w:r>
      <w:proofErr w:type="spellEnd"/>
      <w:r>
        <w:t xml:space="preserve"> in this review, significant knowledge gaps persist that constrain both the scientific understanding and the practical implementation of sustainable crop residue management. Foremost among these is the scarcity of long-term, multi-site field experiments that rigorously track the full suite of agronomic, environmental, and economic outcomes of alternative residue management practices under diverse agro-ecological conditions and over extended timescales. Much of the existing evidence derives from short-term trials conducted under controlled or semi-controlled conditions, which may not capture the trajectory of soil property changes over the decadal and multi-decadal timescales most relevant to policy planning (Liu et al., 2014). Longitudinal observational studies co-designed with farming communities, supported by emerging remote sensing and sensor technologies, and integrated with farmer knowledge systems would substantially enhance the evidence base whilst improving the practical relevance of research findings.</w:t>
      </w:r>
    </w:p>
    <w:p w:rsidR="003577BC" w:rsidRDefault="00C760AB">
      <w:pPr>
        <w:spacing w:after="200" w:line="480" w:lineRule="auto"/>
        <w:ind w:firstLine="720"/>
        <w:jc w:val="both"/>
      </w:pPr>
      <w:r>
        <w:t>The net greenhouse gas balance of alternative residue management systems—accounting for all emission sources and sinks, including changes in soil CH</w:t>
      </w:r>
      <w:r>
        <w:rPr>
          <w:vertAlign w:val="subscript"/>
        </w:rPr>
        <w:t>4</w:t>
      </w:r>
      <w:r>
        <w:t xml:space="preserve"> and N</w:t>
      </w:r>
      <w:r>
        <w:rPr>
          <w:vertAlign w:val="subscript"/>
        </w:rPr>
        <w:t>2</w:t>
      </w:r>
      <w:r>
        <w:t>O fluxes as well as CO</w:t>
      </w:r>
      <w:r>
        <w:rPr>
          <w:vertAlign w:val="subscript"/>
        </w:rPr>
        <w:t>2</w:t>
      </w:r>
      <w:r>
        <w:t xml:space="preserve"> exchange—is inadequately quantified for many tropical and subtropical soil-climate combinations. Improved process-based models that can represent the interactive effects of residue quantity and quality, soil moisture and temperature, microbial community composition, and tillage practice on the full greenhouse gas balance are needed to support robust life cycle assessment and climate policy analysis. The emerging field of soil </w:t>
      </w:r>
      <w:r>
        <w:lastRenderedPageBreak/>
        <w:t xml:space="preserve">microbiome research, enabled by high-throughput DNA sequencing and metagenomics technologies, offers new opportunities to understand the mechanistic pathways linking residue management to soil functional processes, with potential to inform the </w:t>
      </w:r>
      <w:proofErr w:type="spellStart"/>
      <w:r>
        <w:t>optimisation</w:t>
      </w:r>
      <w:proofErr w:type="spellEnd"/>
      <w:r>
        <w:t xml:space="preserve"> of residue management for multiple co-benefits simultaneously, including carbon sequestration, nutrient cycling, and suppression of soil-borne plant pathogens.</w:t>
      </w:r>
    </w:p>
    <w:p w:rsidR="003577BC" w:rsidRDefault="00C760AB">
      <w:pPr>
        <w:spacing w:after="200" w:line="480" w:lineRule="auto"/>
        <w:ind w:firstLine="720"/>
        <w:jc w:val="both"/>
      </w:pPr>
      <w:r>
        <w:t xml:space="preserve">The socio-economic dimensions of residue management transitions remain comparatively understudied relative to the biophysical literature. Rigorous experimental and quasi-experimental evaluations of the effectiveness of policy instruments—including machinery subsidies, burning regulations, information campaigns, and carbon payment schemes—in changing farmer </w:t>
      </w:r>
      <w:proofErr w:type="spellStart"/>
      <w:r>
        <w:t>behaviour</w:t>
      </w:r>
      <w:proofErr w:type="spellEnd"/>
      <w:r>
        <w:t xml:space="preserve"> are needed, particularly in low- and middle-income country contexts (Pannell et al., 2006). The gender dimensions of residue management, including the differential </w:t>
      </w:r>
      <w:proofErr w:type="spellStart"/>
      <w:r>
        <w:t>labour</w:t>
      </w:r>
      <w:proofErr w:type="spellEnd"/>
      <w:r>
        <w:t xml:space="preserve"> burdens and decision-making authority of women and men in relation to residue handling, collection, and processing, have received insufficient systematic attention and warrant dedicated investigation. The integration of circular economy value chains into smallholder agriculture requires business model innovation that transcends disciplinary boundaries, combining agro-ecological, engineering, economic, and institutional analysis within genuinely collaborative research frameworks (D'Amato et al., 2017). Advances in precision agriculture, including drone-based monitoring, sensor networks, and machine learning applied to satellite imagery, offer promising tools for quantifying residue volumes, monitoring burning events, and tracking the adoption of alternative management practices at landscape scale, but their application to these research questions remains underdeveloped.</w:t>
      </w:r>
    </w:p>
    <w:p w:rsidR="003577BC" w:rsidRDefault="00C760AB">
      <w:pPr>
        <w:spacing w:after="200" w:line="480" w:lineRule="auto"/>
        <w:ind w:firstLine="720"/>
        <w:jc w:val="both"/>
      </w:pPr>
      <w:r>
        <w:t xml:space="preserve">Future research should also explore the synergies and potential conflicts among different residue management strategies within integrated farming systems, rather than evaluating individual options in isolation. The allocation of residues among competing </w:t>
      </w:r>
      <w:r>
        <w:lastRenderedPageBreak/>
        <w:t xml:space="preserve">uses—soil amendment, bioenergy, animal nutrition, and industrial processing—involves complex trade-offs that depend on local resource endowments, market conditions, and sustainability objectives, and that are most productively </w:t>
      </w:r>
      <w:proofErr w:type="spellStart"/>
      <w:r>
        <w:t>analysed</w:t>
      </w:r>
      <w:proofErr w:type="spellEnd"/>
      <w:r>
        <w:t xml:space="preserve"> within systems modelling frameworks that capture the interactions among land, energy, water, and nutrient cycles. These research directions collectively point towards a more integrated, place-based, and systems-oriented approach to crop residue management science that is better equipped to generate the knowledge needed by farmers, policymakers, and investors to drive meaningful change.</w:t>
      </w:r>
    </w:p>
    <w:p w:rsidR="003577BC" w:rsidRDefault="00C760AB">
      <w:pPr>
        <w:pStyle w:val="Heading1"/>
      </w:pPr>
      <w:r>
        <w:t>10. Conclusions</w:t>
      </w:r>
    </w:p>
    <w:p w:rsidR="003577BC" w:rsidRDefault="00C760AB">
      <w:pPr>
        <w:spacing w:after="200" w:line="480" w:lineRule="auto"/>
        <w:ind w:firstLine="720"/>
        <w:jc w:val="both"/>
      </w:pPr>
      <w:r>
        <w:t>Crop residue management stands at the intersection of some of the most pressing challenges confronting twenty-first-century agriculture: food security, climate change mitigation and adaptation, soil health, air quality, and rural livelihoods. This review has demonstrated that the prevailing practice of open-field burning, whilst economically expedient in the short term, imposes substantial and partially irreversible costs on agricultural soils, local and regional air quality, human health, and the global climate system. The evidence base for alternatives to burning is robust and growing across a range of management strategies, each with context-specific strengths and limitations.</w:t>
      </w:r>
    </w:p>
    <w:p w:rsidR="003577BC" w:rsidRDefault="00C760AB">
      <w:pPr>
        <w:spacing w:after="200" w:line="480" w:lineRule="auto"/>
        <w:ind w:firstLine="720"/>
        <w:jc w:val="both"/>
      </w:pPr>
      <w:r>
        <w:t xml:space="preserve">In-situ residue retention and incorporation supports soil organic matter accumulation and carbon sequestration, though the magnitude of benefits is context-dependent and must be managed carefully to avoid adverse effects on greenhouse gas balances in flooded rice systems. Biochar production from crop residues represents a genuinely promising carbon dioxide removal strategy with co-benefits for soil health, particularly in tropical acid soils, and its integration within pyrolysis bioenergy systems can deliver simultaneous climate and energy dividends. Composting and vermicomposting offer biologically grounded pathways </w:t>
      </w:r>
      <w:r>
        <w:lastRenderedPageBreak/>
        <w:t xml:space="preserve">for nutrient recycling at the farm and community scale, with well-established benefits for soil physical and biological properties. Anaerobic digestion, lignocellulosic bioethanol, and thermochemical conversion technologies provide energy and industrial </w:t>
      </w:r>
      <w:proofErr w:type="spellStart"/>
      <w:r>
        <w:t>valorisation</w:t>
      </w:r>
      <w:proofErr w:type="spellEnd"/>
      <w:r>
        <w:t xml:space="preserve"> routes, though their </w:t>
      </w:r>
      <w:proofErr w:type="spellStart"/>
      <w:r>
        <w:t>optimisation</w:t>
      </w:r>
      <w:proofErr w:type="spellEnd"/>
      <w:r>
        <w:t xml:space="preserve"> requires careful attention to lifecycle emissions, land-use trade-offs, and the opportunity cost of diverting residues from soil fertility functions.</w:t>
      </w:r>
    </w:p>
    <w:p w:rsidR="003577BC" w:rsidRDefault="00C760AB">
      <w:pPr>
        <w:spacing w:after="200" w:line="480" w:lineRule="auto"/>
        <w:ind w:firstLine="720"/>
        <w:jc w:val="both"/>
      </w:pPr>
      <w:r>
        <w:t xml:space="preserve">The climate-smart agriculture framework provides an integrative architecture for aligning residue management with the imperatives of productivity, adaptation, and mitigation, whilst the circular </w:t>
      </w:r>
      <w:proofErr w:type="spellStart"/>
      <w:r>
        <w:t>bioeconomy</w:t>
      </w:r>
      <w:proofErr w:type="spellEnd"/>
      <w:r>
        <w:t xml:space="preserve"> offers a conceptual and practical guide for transforming residues from waste streams into resource streams embedded within productive material cycles. Policy frameworks at international and national levels are evolving but remain insufficiently ambitious and poorly </w:t>
      </w:r>
      <w:proofErr w:type="spellStart"/>
      <w:r>
        <w:t>co-ordinated</w:t>
      </w:r>
      <w:proofErr w:type="spellEnd"/>
      <w:r>
        <w:t xml:space="preserve"> with the practical constraints facing smallholder farmers. Achieving meaningful change at scale will require sustained investment in technology development and deployment, institutional innovation, extension system capacity, market development, and governance reform across multiple scales. The transition from burning to circular residue management demands not merely individual practice change but systemic redesign of the agri-food systems within which residue management decisions are made. Climate urgency makes this transition both necessary and overdue.</w:t>
      </w:r>
    </w:p>
    <w:p w:rsidR="003577BC" w:rsidRDefault="00C760AB">
      <w:pPr>
        <w:pStyle w:val="Heading1"/>
      </w:pPr>
      <w:r>
        <w:t>11. Limitations</w:t>
      </w:r>
    </w:p>
    <w:p w:rsidR="003577BC" w:rsidRDefault="00C760AB">
      <w:pPr>
        <w:spacing w:after="200" w:line="480" w:lineRule="auto"/>
        <w:ind w:firstLine="720"/>
        <w:jc w:val="both"/>
      </w:pPr>
      <w:r>
        <w:t xml:space="preserve">This review is subject to several limitations that should be acknowledged when interpreting its findings. As a narrative review, the selection of literature necessarily reflects the scope and judgement of the authors and does not follow the fully pre-specified and mechanically replicable inclusion criteria of a systematic review, introducing a potential risk of selection bias in the evidence </w:t>
      </w:r>
      <w:proofErr w:type="spellStart"/>
      <w:r>
        <w:t>synthesised</w:t>
      </w:r>
      <w:proofErr w:type="spellEnd"/>
      <w:r>
        <w:t xml:space="preserve">. Only literature available in English was included, which may result in the under-representation of important research conducted in </w:t>
      </w:r>
      <w:r>
        <w:lastRenderedPageBreak/>
        <w:t>non-English-speaking countries—including China, India, Brazil, and several sub-Saharan African nations—where crop residue burning and its alternatives are of particular practical relevance. The breadth of the topic requires that coverage of individual subtopics is necessarily selective rather than exhaustive; specialist readers in any single discipline covered by the review may identify important studies that have not been included.</w:t>
      </w:r>
    </w:p>
    <w:p w:rsidR="003577BC" w:rsidRDefault="00C760AB">
      <w:pPr>
        <w:spacing w:after="200" w:line="480" w:lineRule="auto"/>
        <w:ind w:firstLine="720"/>
        <w:jc w:val="both"/>
      </w:pPr>
      <w:r>
        <w:t>The specific quantitative estimates cited throughout the review should be understood as indicative of orders of magnitude and directional trends rather than as precise universal values, given the high variability in residue management outcomes across agro-ecological contexts, management histories, and measurement protocols. The rapid pace of research in areas such as biochar, precision agriculture, and voluntary carbon markets means that some of the evidence reviewed here may be superseded by emerging findings in the near future. Finally, the review does not provide a comprehensive treatment of all residue types and crop systems globally, with the greatest depth of coverage given to major cereal residues in tropical and subtropical smallholder systems, reflecting the geographic distribution of burning as the primary management concern motivating this synthesis.</w:t>
      </w:r>
    </w:p>
    <w:p w:rsidR="003577BC" w:rsidRDefault="00C760AB">
      <w:pPr>
        <w:pStyle w:val="Heading1"/>
      </w:pPr>
      <w:r>
        <w:t>References</w:t>
      </w:r>
    </w:p>
    <w:p w:rsidR="00AE3E3A" w:rsidRPr="00AE3E3A" w:rsidRDefault="00AE3E3A" w:rsidP="00AE3E3A">
      <w:pPr>
        <w:spacing w:before="100" w:beforeAutospacing="1" w:after="100" w:afterAutospacing="1"/>
      </w:pPr>
      <w:r w:rsidRPr="00AE3E3A">
        <w:t xml:space="preserve">Baker, J. M., Ochsner, T. E., </w:t>
      </w:r>
      <w:proofErr w:type="spellStart"/>
      <w:r w:rsidRPr="00AE3E3A">
        <w:t>Venterea</w:t>
      </w:r>
      <w:proofErr w:type="spellEnd"/>
      <w:r w:rsidRPr="00AE3E3A">
        <w:t xml:space="preserve">, R. T., &amp; </w:t>
      </w:r>
      <w:proofErr w:type="spellStart"/>
      <w:r w:rsidRPr="00AE3E3A">
        <w:t>Griffis</w:t>
      </w:r>
      <w:proofErr w:type="spellEnd"/>
      <w:r w:rsidRPr="00AE3E3A">
        <w:t xml:space="preserve">, T. J. (2007). Tillage and soil carbon sequestration—What do we really know? </w:t>
      </w:r>
      <w:r w:rsidRPr="00AE3E3A">
        <w:rPr>
          <w:i/>
          <w:iCs/>
        </w:rPr>
        <w:t>Agriculture, Ecosystems &amp; Environment, 118</w:t>
      </w:r>
      <w:r w:rsidRPr="00AE3E3A">
        <w:t xml:space="preserve">(1–4), 1–5. </w:t>
      </w:r>
      <w:hyperlink r:id="rId7" w:tgtFrame="_new" w:history="1">
        <w:r w:rsidRPr="00AE3E3A">
          <w:rPr>
            <w:color w:val="0000FF"/>
            <w:u w:val="single"/>
          </w:rPr>
          <w:t>https://doi.org/10.1016/j.agee.2006.05.014</w:t>
        </w:r>
      </w:hyperlink>
    </w:p>
    <w:p w:rsidR="00AE3E3A" w:rsidRPr="00AE3E3A" w:rsidRDefault="00AE3E3A" w:rsidP="00AE3E3A">
      <w:pPr>
        <w:spacing w:before="100" w:beforeAutospacing="1" w:after="100" w:afterAutospacing="1"/>
      </w:pPr>
      <w:proofErr w:type="spellStart"/>
      <w:r w:rsidRPr="005869F8">
        <w:rPr>
          <w:bCs/>
        </w:rPr>
        <w:t>Bhuvaneshwari</w:t>
      </w:r>
      <w:proofErr w:type="spellEnd"/>
      <w:r w:rsidRPr="005869F8">
        <w:rPr>
          <w:bCs/>
        </w:rPr>
        <w:t xml:space="preserve">, S., </w:t>
      </w:r>
      <w:proofErr w:type="spellStart"/>
      <w:r w:rsidRPr="005869F8">
        <w:rPr>
          <w:bCs/>
        </w:rPr>
        <w:t>Hettiarachchi</w:t>
      </w:r>
      <w:proofErr w:type="spellEnd"/>
      <w:r w:rsidRPr="005869F8">
        <w:rPr>
          <w:bCs/>
        </w:rPr>
        <w:t xml:space="preserve">, H., &amp; </w:t>
      </w:r>
      <w:proofErr w:type="spellStart"/>
      <w:r w:rsidRPr="005869F8">
        <w:rPr>
          <w:bCs/>
        </w:rPr>
        <w:t>Meegoda</w:t>
      </w:r>
      <w:proofErr w:type="spellEnd"/>
      <w:r w:rsidRPr="005869F8">
        <w:rPr>
          <w:bCs/>
        </w:rPr>
        <w:t xml:space="preserve">, J. N. (2019). Crop residue burning in India: Policy challenges and potential solutions. </w:t>
      </w:r>
      <w:r w:rsidRPr="005869F8">
        <w:rPr>
          <w:bCs/>
          <w:i/>
          <w:iCs/>
        </w:rPr>
        <w:t>International Journal of Environmental Research and Public Health, 16</w:t>
      </w:r>
      <w:r w:rsidRPr="005869F8">
        <w:rPr>
          <w:bCs/>
        </w:rPr>
        <w:t xml:space="preserve">(5), 832. </w:t>
      </w:r>
      <w:hyperlink r:id="rId8" w:history="1">
        <w:r w:rsidR="005869F8" w:rsidRPr="00C736E6">
          <w:rPr>
            <w:rStyle w:val="Hyperlink"/>
            <w:bCs/>
          </w:rPr>
          <w:t>https://doi.org/10.3390/ijerph16050832</w:t>
        </w:r>
      </w:hyperlink>
      <w:r w:rsidR="005869F8">
        <w:rPr>
          <w:bCs/>
        </w:rPr>
        <w:t xml:space="preserve"> </w:t>
      </w:r>
    </w:p>
    <w:p w:rsidR="00AE3E3A" w:rsidRPr="00AE3E3A" w:rsidRDefault="00AE3E3A" w:rsidP="00AE3E3A">
      <w:pPr>
        <w:spacing w:before="100" w:beforeAutospacing="1" w:after="100" w:afterAutospacing="1"/>
      </w:pPr>
      <w:r w:rsidRPr="00AE3E3A">
        <w:t>Blanco-</w:t>
      </w:r>
      <w:proofErr w:type="spellStart"/>
      <w:r w:rsidRPr="00AE3E3A">
        <w:t>Canqui</w:t>
      </w:r>
      <w:proofErr w:type="spellEnd"/>
      <w:r w:rsidRPr="00AE3E3A">
        <w:t xml:space="preserve">, H., &amp; Lal, R. (2009). Corn </w:t>
      </w:r>
      <w:proofErr w:type="spellStart"/>
      <w:r w:rsidRPr="00AE3E3A">
        <w:t>stover</w:t>
      </w:r>
      <w:proofErr w:type="spellEnd"/>
      <w:r w:rsidRPr="00AE3E3A">
        <w:t xml:space="preserve"> removal for expanded uses reduces soil fertility and structural stability. </w:t>
      </w:r>
      <w:r w:rsidRPr="00AE3E3A">
        <w:rPr>
          <w:i/>
          <w:iCs/>
        </w:rPr>
        <w:t>Soil Science Society of America Journal, 73</w:t>
      </w:r>
      <w:r w:rsidRPr="00AE3E3A">
        <w:t xml:space="preserve">(2), 418–426. </w:t>
      </w:r>
      <w:hyperlink r:id="rId9" w:tgtFrame="_new" w:history="1">
        <w:r w:rsidRPr="00AE3E3A">
          <w:rPr>
            <w:color w:val="0000FF"/>
            <w:u w:val="single"/>
          </w:rPr>
          <w:t>https://doi.org/10.2136/sssaj2008.0141</w:t>
        </w:r>
      </w:hyperlink>
    </w:p>
    <w:p w:rsidR="00AE3E3A" w:rsidRPr="00AE3E3A" w:rsidRDefault="00AE3E3A" w:rsidP="00AE3E3A">
      <w:pPr>
        <w:spacing w:before="100" w:beforeAutospacing="1" w:after="100" w:afterAutospacing="1"/>
      </w:pPr>
      <w:proofErr w:type="spellStart"/>
      <w:r w:rsidRPr="00AE3E3A">
        <w:t>Cassman</w:t>
      </w:r>
      <w:proofErr w:type="spellEnd"/>
      <w:r w:rsidRPr="00AE3E3A">
        <w:t xml:space="preserve">, K. G., Dobermann, A., Walters, D. T., &amp; Yang, H. (2003). Meeting cereal demand while protecting natural resources and improving environmental quality. </w:t>
      </w:r>
      <w:r w:rsidRPr="00AE3E3A">
        <w:rPr>
          <w:i/>
          <w:iCs/>
        </w:rPr>
        <w:t>Annual Review of Environment and Resources, 28</w:t>
      </w:r>
      <w:r w:rsidRPr="00AE3E3A">
        <w:t xml:space="preserve">, 315–358. </w:t>
      </w:r>
      <w:hyperlink r:id="rId10" w:tgtFrame="_new" w:history="1">
        <w:r w:rsidRPr="00AE3E3A">
          <w:rPr>
            <w:color w:val="0000FF"/>
            <w:u w:val="single"/>
          </w:rPr>
          <w:t>https://doi.org/10.1146/annurev.energy.28.040202.122858</w:t>
        </w:r>
      </w:hyperlink>
    </w:p>
    <w:p w:rsidR="00AE3E3A" w:rsidRPr="00AE3E3A" w:rsidRDefault="00AE3E3A" w:rsidP="00AE3E3A">
      <w:pPr>
        <w:spacing w:before="100" w:beforeAutospacing="1" w:after="100" w:afterAutospacing="1"/>
      </w:pPr>
      <w:r w:rsidRPr="00AE3E3A">
        <w:lastRenderedPageBreak/>
        <w:t xml:space="preserve">Cherubini, F. (2010). The biorefinery concept: Using biomass instead of oil for producing energy and chemicals. </w:t>
      </w:r>
      <w:r w:rsidRPr="00AE3E3A">
        <w:rPr>
          <w:i/>
          <w:iCs/>
        </w:rPr>
        <w:t>Energy Conversion and Management, 51</w:t>
      </w:r>
      <w:r w:rsidRPr="00AE3E3A">
        <w:t xml:space="preserve">(7), 1412–1421. </w:t>
      </w:r>
      <w:hyperlink r:id="rId11" w:tgtFrame="_new" w:history="1">
        <w:r w:rsidRPr="00AE3E3A">
          <w:rPr>
            <w:color w:val="0000FF"/>
            <w:u w:val="single"/>
          </w:rPr>
          <w:t>https://doi.org/10.1016/j.enconman.2010.01.015</w:t>
        </w:r>
      </w:hyperlink>
    </w:p>
    <w:p w:rsidR="00AE3E3A" w:rsidRPr="00AE3E3A" w:rsidRDefault="00AE3E3A" w:rsidP="00AE3E3A">
      <w:pPr>
        <w:spacing w:before="100" w:beforeAutospacing="1" w:after="100" w:afterAutospacing="1"/>
      </w:pPr>
      <w:r w:rsidRPr="00AE3E3A">
        <w:t xml:space="preserve">D’Amato, D., </w:t>
      </w:r>
      <w:proofErr w:type="spellStart"/>
      <w:r w:rsidRPr="00AE3E3A">
        <w:t>Droste</w:t>
      </w:r>
      <w:proofErr w:type="spellEnd"/>
      <w:r w:rsidRPr="00AE3E3A">
        <w:t xml:space="preserve">, N., Allen, B., </w:t>
      </w:r>
      <w:proofErr w:type="spellStart"/>
      <w:r w:rsidRPr="00AE3E3A">
        <w:t>Kettunen</w:t>
      </w:r>
      <w:proofErr w:type="spellEnd"/>
      <w:r w:rsidRPr="00AE3E3A">
        <w:t xml:space="preserve">, M., </w:t>
      </w:r>
      <w:proofErr w:type="spellStart"/>
      <w:r w:rsidRPr="00AE3E3A">
        <w:t>Lähtinen</w:t>
      </w:r>
      <w:proofErr w:type="spellEnd"/>
      <w:r w:rsidRPr="00AE3E3A">
        <w:t xml:space="preserve">, K., Korhonen, J., </w:t>
      </w:r>
      <w:proofErr w:type="spellStart"/>
      <w:r w:rsidRPr="00AE3E3A">
        <w:t>Leskinen</w:t>
      </w:r>
      <w:proofErr w:type="spellEnd"/>
      <w:r w:rsidRPr="00AE3E3A">
        <w:t xml:space="preserve">, P., </w:t>
      </w:r>
      <w:proofErr w:type="spellStart"/>
      <w:r w:rsidRPr="00AE3E3A">
        <w:t>Matthies</w:t>
      </w:r>
      <w:proofErr w:type="spellEnd"/>
      <w:r w:rsidRPr="00AE3E3A">
        <w:t xml:space="preserve">, B. D., &amp; </w:t>
      </w:r>
      <w:proofErr w:type="spellStart"/>
      <w:r w:rsidRPr="00AE3E3A">
        <w:t>Toppinen</w:t>
      </w:r>
      <w:proofErr w:type="spellEnd"/>
      <w:r w:rsidRPr="00AE3E3A">
        <w:t xml:space="preserve">, A. (2017). Green, circular, bio economy: A comparative analysis of sustainability avenues. </w:t>
      </w:r>
      <w:r w:rsidRPr="00AE3E3A">
        <w:rPr>
          <w:i/>
          <w:iCs/>
        </w:rPr>
        <w:t>Journal of Cleaner Production, 168</w:t>
      </w:r>
      <w:r w:rsidRPr="00AE3E3A">
        <w:t xml:space="preserve">, 716–734. </w:t>
      </w:r>
      <w:hyperlink r:id="rId12" w:tgtFrame="_new" w:history="1">
        <w:r w:rsidRPr="00AE3E3A">
          <w:rPr>
            <w:color w:val="0000FF"/>
            <w:u w:val="single"/>
          </w:rPr>
          <w:t>https://doi.org/10.1016/j.jclepro.2017.09.053</w:t>
        </w:r>
      </w:hyperlink>
    </w:p>
    <w:p w:rsidR="00AE3E3A" w:rsidRPr="00AE3E3A" w:rsidRDefault="00AE3E3A" w:rsidP="00AE3E3A">
      <w:pPr>
        <w:spacing w:before="100" w:beforeAutospacing="1" w:after="100" w:afterAutospacing="1"/>
      </w:pPr>
      <w:proofErr w:type="spellStart"/>
      <w:r w:rsidRPr="00AE3E3A">
        <w:t>Demirbas</w:t>
      </w:r>
      <w:proofErr w:type="spellEnd"/>
      <w:r w:rsidRPr="00AE3E3A">
        <w:t xml:space="preserve">, A. (2007). Progress and recent trends in biofuels. </w:t>
      </w:r>
      <w:r w:rsidRPr="00AE3E3A">
        <w:rPr>
          <w:i/>
          <w:iCs/>
        </w:rPr>
        <w:t>Progress in Energy and Combustion Science, 33</w:t>
      </w:r>
      <w:r w:rsidRPr="00AE3E3A">
        <w:t xml:space="preserve">(1), 1–18. </w:t>
      </w:r>
      <w:hyperlink r:id="rId13" w:tgtFrame="_new" w:history="1">
        <w:r w:rsidRPr="00AE3E3A">
          <w:rPr>
            <w:color w:val="0000FF"/>
            <w:u w:val="single"/>
          </w:rPr>
          <w:t>https://doi.org/10.1016/j.pecs.2006.06.001</w:t>
        </w:r>
      </w:hyperlink>
    </w:p>
    <w:p w:rsidR="00AE3E3A" w:rsidRPr="00AE3E3A" w:rsidRDefault="00AE3E3A" w:rsidP="00AE3E3A">
      <w:pPr>
        <w:spacing w:before="100" w:beforeAutospacing="1" w:after="100" w:afterAutospacing="1"/>
      </w:pPr>
      <w:r w:rsidRPr="00AE3E3A">
        <w:t xml:space="preserve">Food and Agriculture Organization of the United Nations. (2017). </w:t>
      </w:r>
      <w:r w:rsidRPr="00AE3E3A">
        <w:rPr>
          <w:i/>
          <w:iCs/>
        </w:rPr>
        <w:t>The future of food and agriculture: Trends and challenges</w:t>
      </w:r>
      <w:r w:rsidRPr="00AE3E3A">
        <w:t>. https://doi.org/10.22004/ag.econ.319843</w:t>
      </w:r>
    </w:p>
    <w:p w:rsidR="00AE3E3A" w:rsidRPr="00AE3E3A" w:rsidRDefault="00AE3E3A" w:rsidP="00AE3E3A">
      <w:pPr>
        <w:spacing w:before="100" w:beforeAutospacing="1" w:after="100" w:afterAutospacing="1"/>
      </w:pPr>
      <w:proofErr w:type="spellStart"/>
      <w:r w:rsidRPr="00AE3E3A">
        <w:t>Gadde</w:t>
      </w:r>
      <w:proofErr w:type="spellEnd"/>
      <w:r w:rsidRPr="00AE3E3A">
        <w:t xml:space="preserve">, B., Bonnet, S., Menke, C., &amp; </w:t>
      </w:r>
      <w:proofErr w:type="spellStart"/>
      <w:r w:rsidRPr="00AE3E3A">
        <w:t>Garivait</w:t>
      </w:r>
      <w:proofErr w:type="spellEnd"/>
      <w:r w:rsidRPr="00AE3E3A">
        <w:t xml:space="preserve">, S. (2009). Air pollutant emissions from rice straw open field burning in India, Thailand and the Philippines. </w:t>
      </w:r>
      <w:r w:rsidRPr="00AE3E3A">
        <w:rPr>
          <w:i/>
          <w:iCs/>
        </w:rPr>
        <w:t>Environmental Pollution, 157</w:t>
      </w:r>
      <w:r w:rsidRPr="00AE3E3A">
        <w:t xml:space="preserve">(5), 1554–1558. </w:t>
      </w:r>
      <w:hyperlink r:id="rId14" w:tgtFrame="_new" w:history="1">
        <w:r w:rsidRPr="00AE3E3A">
          <w:rPr>
            <w:color w:val="0000FF"/>
            <w:u w:val="single"/>
          </w:rPr>
          <w:t>https://doi.org/10.1016/j.envpol.2009.01.004</w:t>
        </w:r>
      </w:hyperlink>
    </w:p>
    <w:p w:rsidR="00AE3E3A" w:rsidRPr="00AE3E3A" w:rsidRDefault="00AE3E3A" w:rsidP="00AE3E3A">
      <w:pPr>
        <w:spacing w:before="100" w:beforeAutospacing="1" w:after="100" w:afterAutospacing="1"/>
      </w:pPr>
      <w:r w:rsidRPr="00AE3E3A">
        <w:t xml:space="preserve">Gaunt, J. L., &amp; Lehmann, J. (2008). Energy balance and emissions associated with biochar sequestration and pyrolysis bioenergy production. </w:t>
      </w:r>
      <w:r w:rsidRPr="00AE3E3A">
        <w:rPr>
          <w:i/>
          <w:iCs/>
        </w:rPr>
        <w:t>Environmental Science &amp; Technology, 42</w:t>
      </w:r>
      <w:r w:rsidRPr="00AE3E3A">
        <w:t xml:space="preserve">(11), 4152–4158. </w:t>
      </w:r>
      <w:hyperlink r:id="rId15" w:tgtFrame="_new" w:history="1">
        <w:r w:rsidRPr="00AE3E3A">
          <w:rPr>
            <w:color w:val="0000FF"/>
            <w:u w:val="single"/>
          </w:rPr>
          <w:t>https://doi.org/10.1021/es071361i</w:t>
        </w:r>
      </w:hyperlink>
    </w:p>
    <w:p w:rsidR="00AE3E3A" w:rsidRPr="00AE3E3A" w:rsidRDefault="00AE3E3A" w:rsidP="00AE3E3A">
      <w:pPr>
        <w:spacing w:before="100" w:beforeAutospacing="1" w:after="100" w:afterAutospacing="1"/>
      </w:pPr>
      <w:proofErr w:type="spellStart"/>
      <w:r w:rsidRPr="00AE3E3A">
        <w:t>Geissdoerfer</w:t>
      </w:r>
      <w:proofErr w:type="spellEnd"/>
      <w:r w:rsidRPr="00AE3E3A">
        <w:t xml:space="preserve">, M., </w:t>
      </w:r>
      <w:proofErr w:type="spellStart"/>
      <w:r w:rsidRPr="00AE3E3A">
        <w:t>Savaget</w:t>
      </w:r>
      <w:proofErr w:type="spellEnd"/>
      <w:r w:rsidRPr="00AE3E3A">
        <w:t xml:space="preserve">, P., </w:t>
      </w:r>
      <w:proofErr w:type="spellStart"/>
      <w:r w:rsidRPr="00AE3E3A">
        <w:t>Bocken</w:t>
      </w:r>
      <w:proofErr w:type="spellEnd"/>
      <w:r w:rsidRPr="00AE3E3A">
        <w:t xml:space="preserve">, N. M. P., &amp; </w:t>
      </w:r>
      <w:proofErr w:type="spellStart"/>
      <w:r w:rsidRPr="00AE3E3A">
        <w:t>Hultink</w:t>
      </w:r>
      <w:proofErr w:type="spellEnd"/>
      <w:r w:rsidRPr="00AE3E3A">
        <w:t xml:space="preserve">, E. J. (2017). The circular economy—A new sustainability paradigm? </w:t>
      </w:r>
      <w:r w:rsidRPr="00AE3E3A">
        <w:rPr>
          <w:i/>
          <w:iCs/>
        </w:rPr>
        <w:t>Journal of Cleaner Production, 143</w:t>
      </w:r>
      <w:r w:rsidRPr="00AE3E3A">
        <w:t xml:space="preserve">, 757–768. </w:t>
      </w:r>
      <w:hyperlink r:id="rId16" w:tgtFrame="_new" w:history="1">
        <w:r w:rsidRPr="00AE3E3A">
          <w:rPr>
            <w:color w:val="0000FF"/>
            <w:u w:val="single"/>
          </w:rPr>
          <w:t>https://doi.org/10.1016/j.jclepro.2016.12.048</w:t>
        </w:r>
      </w:hyperlink>
    </w:p>
    <w:p w:rsidR="00AE3E3A" w:rsidRPr="00AE3E3A" w:rsidRDefault="00AE3E3A" w:rsidP="00AE3E3A">
      <w:pPr>
        <w:spacing w:before="100" w:beforeAutospacing="1" w:after="100" w:afterAutospacing="1"/>
      </w:pPr>
      <w:r w:rsidRPr="00AE3E3A">
        <w:t xml:space="preserve">Glaser, B., Lehmann, J., &amp; Zech, W. (2002). Ameliorating physical and chemical properties of highly weathered soils in the tropics with charcoal—A review. </w:t>
      </w:r>
      <w:r w:rsidRPr="00AE3E3A">
        <w:rPr>
          <w:i/>
          <w:iCs/>
        </w:rPr>
        <w:t>Biology and Fertility of Soils, 35</w:t>
      </w:r>
      <w:r w:rsidRPr="00AE3E3A">
        <w:t xml:space="preserve">(4), 219–230. </w:t>
      </w:r>
      <w:hyperlink r:id="rId17" w:tgtFrame="_new" w:history="1">
        <w:r w:rsidRPr="00AE3E3A">
          <w:rPr>
            <w:color w:val="0000FF"/>
            <w:u w:val="single"/>
          </w:rPr>
          <w:t>https://doi.org/10.1007/s00374-002-0466-4</w:t>
        </w:r>
      </w:hyperlink>
    </w:p>
    <w:p w:rsidR="00AE3E3A" w:rsidRPr="00AE3E3A" w:rsidRDefault="00AE3E3A" w:rsidP="00AE3E3A">
      <w:pPr>
        <w:spacing w:before="100" w:beforeAutospacing="1" w:after="100" w:afterAutospacing="1"/>
      </w:pPr>
      <w:proofErr w:type="spellStart"/>
      <w:r w:rsidRPr="00AE3E3A">
        <w:t>Govaerts</w:t>
      </w:r>
      <w:proofErr w:type="spellEnd"/>
      <w:r w:rsidRPr="00AE3E3A">
        <w:t xml:space="preserve">, B., Verhulst, N., Castellanos-Navarrete, A., Sayre, K. D., Dixon, J., &amp; </w:t>
      </w:r>
      <w:proofErr w:type="spellStart"/>
      <w:r w:rsidRPr="00AE3E3A">
        <w:t>Dendooven</w:t>
      </w:r>
      <w:proofErr w:type="spellEnd"/>
      <w:r w:rsidRPr="00AE3E3A">
        <w:t xml:space="preserve">, L. (2009). Conservation agriculture and soil carbon sequestration: Between myth and farmer reality. </w:t>
      </w:r>
      <w:r w:rsidRPr="00AE3E3A">
        <w:rPr>
          <w:i/>
          <w:iCs/>
        </w:rPr>
        <w:t>Critical Reviews in Plant Sciences, 28</w:t>
      </w:r>
      <w:r w:rsidRPr="00AE3E3A">
        <w:t xml:space="preserve">(3), 97–122. </w:t>
      </w:r>
      <w:hyperlink r:id="rId18" w:tgtFrame="_new" w:history="1">
        <w:r w:rsidRPr="00AE3E3A">
          <w:rPr>
            <w:color w:val="0000FF"/>
            <w:u w:val="single"/>
          </w:rPr>
          <w:t>https://doi.org/10.1080/07352680902776358</w:t>
        </w:r>
      </w:hyperlink>
    </w:p>
    <w:p w:rsidR="00AE3E3A" w:rsidRPr="00AE3E3A" w:rsidRDefault="00AE3E3A" w:rsidP="00AE3E3A">
      <w:pPr>
        <w:spacing w:before="100" w:beforeAutospacing="1" w:after="100" w:afterAutospacing="1"/>
      </w:pPr>
      <w:r w:rsidRPr="00AE3E3A">
        <w:t xml:space="preserve">Green, B. N., Johnson, C. D., &amp; Adams, A. (2006). Writing narrative literature reviews for peer-reviewed journals: Secrets of the trade. </w:t>
      </w:r>
      <w:r w:rsidRPr="00AE3E3A">
        <w:rPr>
          <w:i/>
          <w:iCs/>
        </w:rPr>
        <w:t>Journal of Chiropractic Medicine, 5</w:t>
      </w:r>
      <w:r w:rsidRPr="00AE3E3A">
        <w:t xml:space="preserve">(3), 101–117. </w:t>
      </w:r>
      <w:hyperlink r:id="rId19" w:tgtFrame="_new" w:history="1">
        <w:r w:rsidRPr="00AE3E3A">
          <w:rPr>
            <w:color w:val="0000FF"/>
            <w:u w:val="single"/>
          </w:rPr>
          <w:t>https://doi.org/10.1016/S0899-3467(07)60142-6</w:t>
        </w:r>
      </w:hyperlink>
    </w:p>
    <w:p w:rsidR="00AE3E3A" w:rsidRPr="00AE3E3A" w:rsidRDefault="00AE3E3A" w:rsidP="00AE3E3A">
      <w:pPr>
        <w:spacing w:before="100" w:beforeAutospacing="1" w:after="100" w:afterAutospacing="1"/>
      </w:pPr>
      <w:r w:rsidRPr="00AE3E3A">
        <w:t>Hahn-</w:t>
      </w:r>
      <w:proofErr w:type="spellStart"/>
      <w:r w:rsidRPr="00AE3E3A">
        <w:t>Hägerdal</w:t>
      </w:r>
      <w:proofErr w:type="spellEnd"/>
      <w:r w:rsidRPr="00AE3E3A">
        <w:t xml:space="preserve">, B., </w:t>
      </w:r>
      <w:proofErr w:type="spellStart"/>
      <w:r w:rsidRPr="00AE3E3A">
        <w:t>Galbe</w:t>
      </w:r>
      <w:proofErr w:type="spellEnd"/>
      <w:r w:rsidRPr="00AE3E3A">
        <w:t xml:space="preserve">, M., </w:t>
      </w:r>
      <w:proofErr w:type="spellStart"/>
      <w:r w:rsidRPr="00AE3E3A">
        <w:t>Gorwa-Grauslund</w:t>
      </w:r>
      <w:proofErr w:type="spellEnd"/>
      <w:r w:rsidRPr="00AE3E3A">
        <w:t xml:space="preserve">, M. F., </w:t>
      </w:r>
      <w:proofErr w:type="spellStart"/>
      <w:r w:rsidRPr="00AE3E3A">
        <w:t>Lidén</w:t>
      </w:r>
      <w:proofErr w:type="spellEnd"/>
      <w:r w:rsidRPr="00AE3E3A">
        <w:t xml:space="preserve">, G., &amp; </w:t>
      </w:r>
      <w:proofErr w:type="spellStart"/>
      <w:r w:rsidRPr="00AE3E3A">
        <w:t>Zacchi</w:t>
      </w:r>
      <w:proofErr w:type="spellEnd"/>
      <w:r w:rsidRPr="00AE3E3A">
        <w:t xml:space="preserve">, G. (2006). Bio-ethanol—The fuel of tomorrow from the residues of today. </w:t>
      </w:r>
      <w:r w:rsidRPr="00AE3E3A">
        <w:rPr>
          <w:i/>
          <w:iCs/>
        </w:rPr>
        <w:t>Trends in Biotechnology, 24</w:t>
      </w:r>
      <w:r w:rsidRPr="00AE3E3A">
        <w:t xml:space="preserve">(12), 549–556. </w:t>
      </w:r>
      <w:hyperlink r:id="rId20" w:tgtFrame="_new" w:history="1">
        <w:r w:rsidRPr="00AE3E3A">
          <w:rPr>
            <w:color w:val="0000FF"/>
            <w:u w:val="single"/>
          </w:rPr>
          <w:t>https://doi.org/10.1016/j.tibtech.2006.10.004</w:t>
        </w:r>
      </w:hyperlink>
    </w:p>
    <w:p w:rsidR="00AE3E3A" w:rsidRPr="00AE3E3A" w:rsidRDefault="00AE3E3A" w:rsidP="00AE3E3A">
      <w:pPr>
        <w:spacing w:before="100" w:beforeAutospacing="1" w:after="100" w:afterAutospacing="1"/>
      </w:pPr>
      <w:r w:rsidRPr="00AE3E3A">
        <w:t xml:space="preserve">Intergovernmental Panel on Climate Change. (2019). </w:t>
      </w:r>
      <w:r w:rsidRPr="00AE3E3A">
        <w:rPr>
          <w:i/>
          <w:iCs/>
        </w:rPr>
        <w:t>Climate change and land: An IPCC special report on climate change, desertification, land degradation, sustainable land management, food security, and greenhouse gas fluxes in terrestrial ecosystems</w:t>
      </w:r>
      <w:r w:rsidRPr="00AE3E3A">
        <w:t xml:space="preserve">. </w:t>
      </w:r>
      <w:hyperlink r:id="rId21" w:tgtFrame="_new" w:history="1">
        <w:r w:rsidRPr="00AE3E3A">
          <w:rPr>
            <w:color w:val="0000FF"/>
            <w:u w:val="single"/>
          </w:rPr>
          <w:t>https://www.ipcc.ch/srccl/</w:t>
        </w:r>
      </w:hyperlink>
    </w:p>
    <w:p w:rsidR="00AE3E3A" w:rsidRPr="00AE3E3A" w:rsidRDefault="00AE3E3A" w:rsidP="00AE3E3A">
      <w:pPr>
        <w:spacing w:before="100" w:beforeAutospacing="1" w:after="100" w:afterAutospacing="1"/>
      </w:pPr>
      <w:r w:rsidRPr="00AE3E3A">
        <w:lastRenderedPageBreak/>
        <w:t xml:space="preserve">Kumar, K., &amp; Goh, K. M. (1999). Crop residues and management practices: Effects on soil quality, soil nitrogen dynamics, crop yield, and nitrogen recovery. </w:t>
      </w:r>
      <w:r w:rsidRPr="00AE3E3A">
        <w:rPr>
          <w:i/>
          <w:iCs/>
        </w:rPr>
        <w:t>Advances in Agronomy, 68</w:t>
      </w:r>
      <w:r w:rsidRPr="00AE3E3A">
        <w:t xml:space="preserve">, 197–319. </w:t>
      </w:r>
      <w:hyperlink r:id="rId22" w:tgtFrame="_new" w:history="1">
        <w:r w:rsidRPr="00AE3E3A">
          <w:rPr>
            <w:color w:val="0000FF"/>
            <w:u w:val="single"/>
          </w:rPr>
          <w:t>https://doi.org/10.1016/S0065-2113(08)60846-9</w:t>
        </w:r>
      </w:hyperlink>
      <w:r w:rsidRPr="00AE3E3A">
        <w:t xml:space="preserve"> </w:t>
      </w:r>
    </w:p>
    <w:p w:rsidR="00AE3E3A" w:rsidRPr="00AE3E3A" w:rsidRDefault="00AE3E3A" w:rsidP="00AE3E3A">
      <w:pPr>
        <w:spacing w:before="100" w:beforeAutospacing="1" w:after="100" w:afterAutospacing="1"/>
      </w:pPr>
      <w:r w:rsidRPr="00AE3E3A">
        <w:t xml:space="preserve">Laird, D. A. (2008). The charcoal vision: A win–win–win scenario for simultaneously producing bioenergy, permanently sequestering carbon, while improving soil and water quality. </w:t>
      </w:r>
      <w:r w:rsidRPr="00AE3E3A">
        <w:rPr>
          <w:i/>
          <w:iCs/>
        </w:rPr>
        <w:t>Agronomy Journal, 100</w:t>
      </w:r>
      <w:r w:rsidRPr="00AE3E3A">
        <w:t xml:space="preserve">(1), 178–181. </w:t>
      </w:r>
      <w:hyperlink r:id="rId23" w:tgtFrame="_new" w:history="1">
        <w:r w:rsidRPr="00AE3E3A">
          <w:rPr>
            <w:color w:val="0000FF"/>
            <w:u w:val="single"/>
          </w:rPr>
          <w:t>https://doi.org/10.2134/agronj2007.0161</w:t>
        </w:r>
      </w:hyperlink>
    </w:p>
    <w:p w:rsidR="00AE3E3A" w:rsidRPr="00AE3E3A" w:rsidRDefault="00AE3E3A" w:rsidP="00AE3E3A">
      <w:pPr>
        <w:spacing w:before="100" w:beforeAutospacing="1" w:after="100" w:afterAutospacing="1"/>
      </w:pPr>
      <w:r w:rsidRPr="00AE3E3A">
        <w:t xml:space="preserve">Lal, R. (2004). Soil carbon sequestration impacts on global climate change and food security. </w:t>
      </w:r>
      <w:r w:rsidRPr="00AE3E3A">
        <w:rPr>
          <w:i/>
          <w:iCs/>
        </w:rPr>
        <w:t>Science, 304</w:t>
      </w:r>
      <w:r w:rsidRPr="00AE3E3A">
        <w:t xml:space="preserve">(5677), 1623–1627. </w:t>
      </w:r>
      <w:hyperlink r:id="rId24" w:tgtFrame="_new" w:history="1">
        <w:r w:rsidRPr="00AE3E3A">
          <w:rPr>
            <w:color w:val="0000FF"/>
            <w:u w:val="single"/>
          </w:rPr>
          <w:t>https://doi.org/10.1126/science.1097396</w:t>
        </w:r>
      </w:hyperlink>
    </w:p>
    <w:p w:rsidR="00AE3E3A" w:rsidRPr="00AE3E3A" w:rsidRDefault="00AE3E3A" w:rsidP="00AE3E3A">
      <w:pPr>
        <w:spacing w:before="100" w:beforeAutospacing="1" w:after="100" w:afterAutospacing="1"/>
      </w:pPr>
      <w:r w:rsidRPr="00AE3E3A">
        <w:t xml:space="preserve">Lal, R. (2005). World crop residues production and implications of its use as a biofuel. </w:t>
      </w:r>
      <w:r w:rsidRPr="00AE3E3A">
        <w:rPr>
          <w:i/>
          <w:iCs/>
        </w:rPr>
        <w:t>Environment International, 31</w:t>
      </w:r>
      <w:r w:rsidRPr="00AE3E3A">
        <w:t xml:space="preserve">(4), 575–584. </w:t>
      </w:r>
      <w:hyperlink r:id="rId25" w:tgtFrame="_new" w:history="1">
        <w:r w:rsidRPr="00AE3E3A">
          <w:rPr>
            <w:color w:val="0000FF"/>
            <w:u w:val="single"/>
          </w:rPr>
          <w:t>https://doi.org/10.1016/j.envint.2004.09.005</w:t>
        </w:r>
      </w:hyperlink>
    </w:p>
    <w:p w:rsidR="00AE3E3A" w:rsidRPr="00AE3E3A" w:rsidRDefault="00AE3E3A" w:rsidP="00AE3E3A">
      <w:pPr>
        <w:spacing w:before="100" w:beforeAutospacing="1" w:after="100" w:afterAutospacing="1"/>
      </w:pPr>
      <w:proofErr w:type="spellStart"/>
      <w:r w:rsidRPr="00AE3E3A">
        <w:t>Lassaletta</w:t>
      </w:r>
      <w:proofErr w:type="spellEnd"/>
      <w:r w:rsidRPr="00AE3E3A">
        <w:t xml:space="preserve">, L., </w:t>
      </w:r>
      <w:proofErr w:type="spellStart"/>
      <w:r w:rsidRPr="00AE3E3A">
        <w:t>Billen</w:t>
      </w:r>
      <w:proofErr w:type="spellEnd"/>
      <w:r w:rsidRPr="00AE3E3A">
        <w:t xml:space="preserve">, G., </w:t>
      </w:r>
      <w:proofErr w:type="spellStart"/>
      <w:r w:rsidRPr="00AE3E3A">
        <w:t>Grizzetti</w:t>
      </w:r>
      <w:proofErr w:type="spellEnd"/>
      <w:r w:rsidRPr="00AE3E3A">
        <w:t xml:space="preserve">, B., </w:t>
      </w:r>
      <w:proofErr w:type="spellStart"/>
      <w:r w:rsidRPr="00AE3E3A">
        <w:t>Anglade</w:t>
      </w:r>
      <w:proofErr w:type="spellEnd"/>
      <w:r w:rsidRPr="00AE3E3A">
        <w:t xml:space="preserve">, J., &amp; Garnier, J. (2014). 50 year trends in nitrogen use efficiency of world cropping systems: The relationship between yield and nitrogen input to cropland. </w:t>
      </w:r>
      <w:r w:rsidRPr="00AE3E3A">
        <w:rPr>
          <w:i/>
          <w:iCs/>
        </w:rPr>
        <w:t>Environmental Research Letters, 9</w:t>
      </w:r>
      <w:r w:rsidRPr="00AE3E3A">
        <w:t xml:space="preserve">(10), 105011. </w:t>
      </w:r>
      <w:hyperlink r:id="rId26" w:tgtFrame="_new" w:history="1">
        <w:r w:rsidRPr="00AE3E3A">
          <w:rPr>
            <w:color w:val="0000FF"/>
            <w:u w:val="single"/>
          </w:rPr>
          <w:t>https://doi.org/10.1088/1748-9326/9/10/105011</w:t>
        </w:r>
      </w:hyperlink>
    </w:p>
    <w:p w:rsidR="00AE3E3A" w:rsidRPr="00AE3E3A" w:rsidRDefault="00AE3E3A" w:rsidP="00AE3E3A">
      <w:pPr>
        <w:spacing w:before="100" w:beforeAutospacing="1" w:after="100" w:afterAutospacing="1"/>
      </w:pPr>
      <w:r w:rsidRPr="00AE3E3A">
        <w:t xml:space="preserve">Lehmann, J. (2007). A handful of carbon. </w:t>
      </w:r>
      <w:r w:rsidRPr="00AE3E3A">
        <w:rPr>
          <w:i/>
          <w:iCs/>
        </w:rPr>
        <w:t>Nature, 447</w:t>
      </w:r>
      <w:r w:rsidRPr="00AE3E3A">
        <w:t xml:space="preserve">(7141), 143–144. </w:t>
      </w:r>
      <w:hyperlink r:id="rId27" w:tgtFrame="_new" w:history="1">
        <w:r w:rsidRPr="00AE3E3A">
          <w:rPr>
            <w:color w:val="0000FF"/>
            <w:u w:val="single"/>
          </w:rPr>
          <w:t>https://doi.org/10.1038/447143a</w:t>
        </w:r>
      </w:hyperlink>
    </w:p>
    <w:p w:rsidR="00AE3E3A" w:rsidRPr="00AE3E3A" w:rsidRDefault="00AE3E3A" w:rsidP="00AE3E3A">
      <w:pPr>
        <w:spacing w:before="100" w:beforeAutospacing="1" w:after="100" w:afterAutospacing="1"/>
      </w:pPr>
      <w:r w:rsidRPr="00AE3E3A">
        <w:t xml:space="preserve">Lehmann, J., Cowie, A., </w:t>
      </w:r>
      <w:proofErr w:type="spellStart"/>
      <w:r w:rsidRPr="00AE3E3A">
        <w:t>Masiello</w:t>
      </w:r>
      <w:proofErr w:type="spellEnd"/>
      <w:r w:rsidRPr="00AE3E3A">
        <w:t xml:space="preserve">, C. A., </w:t>
      </w:r>
      <w:proofErr w:type="spellStart"/>
      <w:r w:rsidRPr="00AE3E3A">
        <w:t>Kammann</w:t>
      </w:r>
      <w:proofErr w:type="spellEnd"/>
      <w:r w:rsidRPr="00AE3E3A">
        <w:t xml:space="preserve">, C., Woolf, D., </w:t>
      </w:r>
      <w:proofErr w:type="spellStart"/>
      <w:r w:rsidRPr="00AE3E3A">
        <w:t>Amonette</w:t>
      </w:r>
      <w:proofErr w:type="spellEnd"/>
      <w:r w:rsidRPr="00AE3E3A">
        <w:t xml:space="preserve">, J. E., </w:t>
      </w:r>
      <w:proofErr w:type="spellStart"/>
      <w:r w:rsidRPr="00AE3E3A">
        <w:t>Cayuela</w:t>
      </w:r>
      <w:proofErr w:type="spellEnd"/>
      <w:r w:rsidRPr="00AE3E3A">
        <w:t>, M. L., Camps-</w:t>
      </w:r>
      <w:proofErr w:type="spellStart"/>
      <w:r w:rsidRPr="00AE3E3A">
        <w:t>Arbestain</w:t>
      </w:r>
      <w:proofErr w:type="spellEnd"/>
      <w:r w:rsidRPr="00AE3E3A">
        <w:t xml:space="preserve">, M., &amp; Whitman, T. (2021). Biochar in climate change mitigation. </w:t>
      </w:r>
      <w:r w:rsidRPr="00AE3E3A">
        <w:rPr>
          <w:i/>
          <w:iCs/>
        </w:rPr>
        <w:t>Nature Geoscience, 14</w:t>
      </w:r>
      <w:r w:rsidRPr="00AE3E3A">
        <w:t xml:space="preserve">(12), 883–892. </w:t>
      </w:r>
      <w:hyperlink r:id="rId28" w:tgtFrame="_new" w:history="1">
        <w:r w:rsidRPr="00AE3E3A">
          <w:rPr>
            <w:color w:val="0000FF"/>
            <w:u w:val="single"/>
          </w:rPr>
          <w:t>https://doi.org/10.1038/s41561-021-00852-8</w:t>
        </w:r>
      </w:hyperlink>
    </w:p>
    <w:p w:rsidR="00AE3E3A" w:rsidRPr="00AE3E3A" w:rsidRDefault="00AE3E3A" w:rsidP="00AE3E3A">
      <w:pPr>
        <w:spacing w:before="100" w:beforeAutospacing="1" w:after="100" w:afterAutospacing="1"/>
      </w:pPr>
      <w:r w:rsidRPr="00AE3E3A">
        <w:t xml:space="preserve">Lipper, L., Thornton, P., Campbell, B. M., Baedeker, T., </w:t>
      </w:r>
      <w:proofErr w:type="spellStart"/>
      <w:r w:rsidRPr="00AE3E3A">
        <w:t>Braimoh</w:t>
      </w:r>
      <w:proofErr w:type="spellEnd"/>
      <w:r w:rsidRPr="00AE3E3A">
        <w:t xml:space="preserve">, A., Bwalya, M., Caron, P., </w:t>
      </w:r>
      <w:proofErr w:type="spellStart"/>
      <w:r w:rsidRPr="00AE3E3A">
        <w:t>Cattaneo</w:t>
      </w:r>
      <w:proofErr w:type="spellEnd"/>
      <w:r w:rsidRPr="00AE3E3A">
        <w:t xml:space="preserve">, A., Garrity, D., Henry, K., </w:t>
      </w:r>
      <w:proofErr w:type="spellStart"/>
      <w:r w:rsidRPr="00AE3E3A">
        <w:t>Hottle</w:t>
      </w:r>
      <w:proofErr w:type="spellEnd"/>
      <w:r w:rsidRPr="00AE3E3A">
        <w:t xml:space="preserve">, R., Jackson, L., Jarvis, A., </w:t>
      </w:r>
      <w:proofErr w:type="spellStart"/>
      <w:r w:rsidRPr="00AE3E3A">
        <w:t>Kossam</w:t>
      </w:r>
      <w:proofErr w:type="spellEnd"/>
      <w:r w:rsidRPr="00AE3E3A">
        <w:t xml:space="preserve">, F., Mann, W., McCarthy, N., </w:t>
      </w:r>
      <w:proofErr w:type="spellStart"/>
      <w:r w:rsidRPr="00AE3E3A">
        <w:t>Meybeck</w:t>
      </w:r>
      <w:proofErr w:type="spellEnd"/>
      <w:r w:rsidRPr="00AE3E3A">
        <w:t xml:space="preserve">, A., </w:t>
      </w:r>
      <w:proofErr w:type="spellStart"/>
      <w:r w:rsidRPr="00AE3E3A">
        <w:t>Neufeldt</w:t>
      </w:r>
      <w:proofErr w:type="spellEnd"/>
      <w:r w:rsidRPr="00AE3E3A">
        <w:t xml:space="preserve">, H., Remington, T., &amp; </w:t>
      </w:r>
      <w:proofErr w:type="spellStart"/>
      <w:r w:rsidRPr="00AE3E3A">
        <w:t>Torquebiau</w:t>
      </w:r>
      <w:proofErr w:type="spellEnd"/>
      <w:r w:rsidRPr="00AE3E3A">
        <w:t xml:space="preserve">, E. F. (2014). Climate-smart agriculture for food security. </w:t>
      </w:r>
      <w:r w:rsidRPr="00AE3E3A">
        <w:rPr>
          <w:i/>
          <w:iCs/>
        </w:rPr>
        <w:t>Nature Climate Change, 4</w:t>
      </w:r>
      <w:r w:rsidRPr="00AE3E3A">
        <w:t xml:space="preserve">(12), 1068–1072. </w:t>
      </w:r>
      <w:hyperlink r:id="rId29" w:tgtFrame="_new" w:history="1">
        <w:r w:rsidRPr="00AE3E3A">
          <w:rPr>
            <w:color w:val="0000FF"/>
            <w:u w:val="single"/>
          </w:rPr>
          <w:t>https://doi.org/10.1038/nclimate2437</w:t>
        </w:r>
      </w:hyperlink>
    </w:p>
    <w:p w:rsidR="00AE3E3A" w:rsidRPr="00AE3E3A" w:rsidRDefault="00AE3E3A" w:rsidP="00AE3E3A">
      <w:pPr>
        <w:spacing w:before="100" w:beforeAutospacing="1" w:after="100" w:afterAutospacing="1"/>
      </w:pPr>
      <w:r w:rsidRPr="00AE3E3A">
        <w:t xml:space="preserve">Liu, C., Lu, M., Cui, J., Li, B., &amp; Fang, C. (2014). Effects of straw carbon input on carbon dynamics in agricultural soils: A meta-analysis. </w:t>
      </w:r>
      <w:r w:rsidRPr="00AE3E3A">
        <w:rPr>
          <w:i/>
          <w:iCs/>
        </w:rPr>
        <w:t>Global Change Biology, 20</w:t>
      </w:r>
      <w:r w:rsidRPr="00AE3E3A">
        <w:t xml:space="preserve">(5), 1366–1381. </w:t>
      </w:r>
      <w:hyperlink r:id="rId30" w:tgtFrame="_new" w:history="1">
        <w:r w:rsidRPr="00AE3E3A">
          <w:rPr>
            <w:color w:val="0000FF"/>
            <w:u w:val="single"/>
          </w:rPr>
          <w:t>https://doi.org/10.1111/gcb.12517</w:t>
        </w:r>
      </w:hyperlink>
    </w:p>
    <w:p w:rsidR="00AE3E3A" w:rsidRPr="00AE3E3A" w:rsidRDefault="00AE3E3A" w:rsidP="00AE3E3A">
      <w:pPr>
        <w:spacing w:before="100" w:beforeAutospacing="1" w:after="100" w:afterAutospacing="1"/>
      </w:pPr>
      <w:r w:rsidRPr="00AE3E3A">
        <w:t xml:space="preserve">Lobell, D. B., </w:t>
      </w:r>
      <w:proofErr w:type="spellStart"/>
      <w:r w:rsidRPr="00AE3E3A">
        <w:t>Schlenker</w:t>
      </w:r>
      <w:proofErr w:type="spellEnd"/>
      <w:r w:rsidRPr="00AE3E3A">
        <w:t xml:space="preserve">, W., &amp; Costa-Roberts, J. (2011). Climate trends and global crop production since 1980. </w:t>
      </w:r>
      <w:r w:rsidRPr="00AE3E3A">
        <w:rPr>
          <w:i/>
          <w:iCs/>
        </w:rPr>
        <w:t>Science, 333</w:t>
      </w:r>
      <w:r w:rsidRPr="00AE3E3A">
        <w:t xml:space="preserve">(6042), 616–620. </w:t>
      </w:r>
      <w:hyperlink r:id="rId31" w:tgtFrame="_new" w:history="1">
        <w:r w:rsidRPr="00AE3E3A">
          <w:rPr>
            <w:color w:val="0000FF"/>
            <w:u w:val="single"/>
          </w:rPr>
          <w:t>https://doi.org/10.1126/science.1204531</w:t>
        </w:r>
      </w:hyperlink>
    </w:p>
    <w:p w:rsidR="00AE3E3A" w:rsidRPr="00AE3E3A" w:rsidRDefault="00AE3E3A" w:rsidP="00AE3E3A">
      <w:pPr>
        <w:spacing w:before="100" w:beforeAutospacing="1" w:after="100" w:afterAutospacing="1"/>
      </w:pPr>
      <w:proofErr w:type="spellStart"/>
      <w:r w:rsidRPr="00AE3E3A">
        <w:t>Möller</w:t>
      </w:r>
      <w:proofErr w:type="spellEnd"/>
      <w:r w:rsidRPr="00AE3E3A">
        <w:t xml:space="preserve">, K., &amp; Müller, T. (2012). Effects of anaerobic digestion on digestate nutrient availability and crop growth: A review. </w:t>
      </w:r>
      <w:r w:rsidRPr="00AE3E3A">
        <w:rPr>
          <w:i/>
          <w:iCs/>
        </w:rPr>
        <w:t>Engineering in Life Sciences, 12</w:t>
      </w:r>
      <w:r w:rsidRPr="00AE3E3A">
        <w:t xml:space="preserve">(3), 242–257. </w:t>
      </w:r>
      <w:hyperlink r:id="rId32" w:tgtFrame="_new" w:history="1">
        <w:r w:rsidRPr="00AE3E3A">
          <w:rPr>
            <w:color w:val="0000FF"/>
            <w:u w:val="single"/>
          </w:rPr>
          <w:t>https://doi.org/10.1002/elsc.201100085</w:t>
        </w:r>
      </w:hyperlink>
    </w:p>
    <w:p w:rsidR="00AE3E3A" w:rsidRPr="00AE3E3A" w:rsidRDefault="00AE3E3A" w:rsidP="00AE3E3A">
      <w:pPr>
        <w:spacing w:before="100" w:beforeAutospacing="1" w:after="100" w:afterAutospacing="1"/>
      </w:pPr>
      <w:proofErr w:type="spellStart"/>
      <w:r w:rsidRPr="00AE3E3A">
        <w:t>Ndegwa</w:t>
      </w:r>
      <w:proofErr w:type="spellEnd"/>
      <w:r w:rsidRPr="00AE3E3A">
        <w:t xml:space="preserve">, P. M., &amp; Thompson, S. A. (2001). Integrating composting and vermicomposting in the treatment and bioconversion of biosolids. </w:t>
      </w:r>
      <w:r w:rsidRPr="00AE3E3A">
        <w:rPr>
          <w:i/>
          <w:iCs/>
        </w:rPr>
        <w:t>Bioresource Technology, 76</w:t>
      </w:r>
      <w:r w:rsidRPr="00AE3E3A">
        <w:t xml:space="preserve">(2), 107–112. </w:t>
      </w:r>
      <w:hyperlink r:id="rId33" w:tgtFrame="_new" w:history="1">
        <w:r w:rsidRPr="00AE3E3A">
          <w:rPr>
            <w:color w:val="0000FF"/>
            <w:u w:val="single"/>
          </w:rPr>
          <w:t>https://doi.org/10.1016/S0960-8524(00)00104-8</w:t>
        </w:r>
      </w:hyperlink>
    </w:p>
    <w:p w:rsidR="00AE3E3A" w:rsidRPr="00AE3E3A" w:rsidRDefault="00AE3E3A" w:rsidP="00AE3E3A">
      <w:pPr>
        <w:spacing w:before="100" w:beforeAutospacing="1" w:after="100" w:afterAutospacing="1"/>
      </w:pPr>
      <w:r w:rsidRPr="00AE3E3A">
        <w:t xml:space="preserve">Pannell, D. J., Marshall, G. R., Barr, N., Curtis, A., </w:t>
      </w:r>
      <w:proofErr w:type="spellStart"/>
      <w:r w:rsidRPr="00AE3E3A">
        <w:t>Vanclay</w:t>
      </w:r>
      <w:proofErr w:type="spellEnd"/>
      <w:r w:rsidRPr="00AE3E3A">
        <w:t xml:space="preserve">, F., &amp; Wilkinson, R. (2006). Understanding and promoting adoption of conservation practices by rural landholders. </w:t>
      </w:r>
      <w:r w:rsidRPr="00AE3E3A">
        <w:rPr>
          <w:i/>
          <w:iCs/>
        </w:rPr>
        <w:lastRenderedPageBreak/>
        <w:t>Australian Journal of Experimental Agriculture, 46</w:t>
      </w:r>
      <w:r w:rsidRPr="00AE3E3A">
        <w:t xml:space="preserve">(11), 1407–1424. </w:t>
      </w:r>
      <w:hyperlink r:id="rId34" w:tgtFrame="_new" w:history="1">
        <w:r w:rsidRPr="00AE3E3A">
          <w:rPr>
            <w:color w:val="0000FF"/>
            <w:u w:val="single"/>
          </w:rPr>
          <w:t>https://doi.org/10.1071/EA05037</w:t>
        </w:r>
      </w:hyperlink>
    </w:p>
    <w:p w:rsidR="00AE3E3A" w:rsidRPr="00AE3E3A" w:rsidRDefault="00AE3E3A" w:rsidP="00AE3E3A">
      <w:pPr>
        <w:spacing w:before="100" w:beforeAutospacing="1" w:after="100" w:afterAutospacing="1"/>
      </w:pPr>
      <w:proofErr w:type="spellStart"/>
      <w:r w:rsidRPr="00AE3E3A">
        <w:t>Paustian</w:t>
      </w:r>
      <w:proofErr w:type="spellEnd"/>
      <w:r w:rsidRPr="00AE3E3A">
        <w:t xml:space="preserve">, K., Lehmann, J., Ogle, S., Reay, D., Robertson, G. P., &amp; Smith, P. (2016). Climate-smart soils. </w:t>
      </w:r>
      <w:r w:rsidRPr="00AE3E3A">
        <w:rPr>
          <w:i/>
          <w:iCs/>
        </w:rPr>
        <w:t>Nature, 532</w:t>
      </w:r>
      <w:r w:rsidRPr="00AE3E3A">
        <w:t xml:space="preserve">(7597), 49–57. </w:t>
      </w:r>
      <w:hyperlink r:id="rId35" w:tgtFrame="_new" w:history="1">
        <w:r w:rsidRPr="00AE3E3A">
          <w:rPr>
            <w:color w:val="0000FF"/>
            <w:u w:val="single"/>
          </w:rPr>
          <w:t>https://doi.org/10.1038/nature17174</w:t>
        </w:r>
      </w:hyperlink>
    </w:p>
    <w:p w:rsidR="00AE3E3A" w:rsidRPr="00AE3E3A" w:rsidRDefault="00AE3E3A" w:rsidP="00AE3E3A">
      <w:pPr>
        <w:spacing w:before="100" w:beforeAutospacing="1" w:after="100" w:afterAutospacing="1"/>
      </w:pPr>
      <w:proofErr w:type="spellStart"/>
      <w:r w:rsidRPr="00AE3E3A">
        <w:t>Poeplau</w:t>
      </w:r>
      <w:proofErr w:type="spellEnd"/>
      <w:r w:rsidRPr="00AE3E3A">
        <w:t xml:space="preserve">, C., &amp; Don, A. (2015). Carbon sequestration in agricultural soils via cultivation of cover crops—A meta-analysis. </w:t>
      </w:r>
      <w:r w:rsidRPr="00AE3E3A">
        <w:rPr>
          <w:i/>
          <w:iCs/>
        </w:rPr>
        <w:t>Agriculture, Ecosystems &amp; Environment, 200</w:t>
      </w:r>
      <w:r w:rsidRPr="00AE3E3A">
        <w:t xml:space="preserve">, 33–41. </w:t>
      </w:r>
      <w:hyperlink r:id="rId36" w:tgtFrame="_new" w:history="1">
        <w:r w:rsidRPr="00AE3E3A">
          <w:rPr>
            <w:color w:val="0000FF"/>
            <w:u w:val="single"/>
          </w:rPr>
          <w:t>https://doi.org/10.1016/j.agee.2014.10.024</w:t>
        </w:r>
      </w:hyperlink>
    </w:p>
    <w:p w:rsidR="00AE3E3A" w:rsidRPr="00AE3E3A" w:rsidRDefault="00AE3E3A" w:rsidP="00AE3E3A">
      <w:pPr>
        <w:spacing w:before="100" w:beforeAutospacing="1" w:after="100" w:afterAutospacing="1"/>
      </w:pPr>
      <w:proofErr w:type="spellStart"/>
      <w:r w:rsidRPr="00AE3E3A">
        <w:t>Powlson</w:t>
      </w:r>
      <w:proofErr w:type="spellEnd"/>
      <w:r w:rsidRPr="00AE3E3A">
        <w:t xml:space="preserve">, D. S., Stirling, C. M., </w:t>
      </w:r>
      <w:proofErr w:type="spellStart"/>
      <w:r w:rsidRPr="00AE3E3A">
        <w:t>Jat</w:t>
      </w:r>
      <w:proofErr w:type="spellEnd"/>
      <w:r w:rsidRPr="00AE3E3A">
        <w:t xml:space="preserve">, M. L., Gerard, B. G., Palm, C. A., Sanchez, P. A., &amp; </w:t>
      </w:r>
      <w:proofErr w:type="spellStart"/>
      <w:r w:rsidRPr="00AE3E3A">
        <w:t>Cassman</w:t>
      </w:r>
      <w:proofErr w:type="spellEnd"/>
      <w:r w:rsidRPr="00AE3E3A">
        <w:t xml:space="preserve">, K. G. (2014). Limited potential of no-till agriculture for climate change mitigation. </w:t>
      </w:r>
      <w:r w:rsidRPr="00AE3E3A">
        <w:rPr>
          <w:i/>
          <w:iCs/>
        </w:rPr>
        <w:t>Nature Climate Change, 4</w:t>
      </w:r>
      <w:r w:rsidRPr="00AE3E3A">
        <w:t xml:space="preserve">(8), 678–683. </w:t>
      </w:r>
      <w:hyperlink r:id="rId37" w:tgtFrame="_new" w:history="1">
        <w:r w:rsidRPr="00AE3E3A">
          <w:rPr>
            <w:color w:val="0000FF"/>
            <w:u w:val="single"/>
          </w:rPr>
          <w:t>https://doi.org/10.1038/nclimate2292</w:t>
        </w:r>
      </w:hyperlink>
    </w:p>
    <w:p w:rsidR="00AE3E3A" w:rsidRPr="00AE3E3A" w:rsidRDefault="00AE3E3A" w:rsidP="00AE3E3A">
      <w:pPr>
        <w:spacing w:before="100" w:beforeAutospacing="1" w:after="100" w:afterAutospacing="1"/>
      </w:pPr>
      <w:r w:rsidRPr="00AE3E3A">
        <w:t xml:space="preserve">Pretty, J., Benton, T. G., </w:t>
      </w:r>
      <w:proofErr w:type="spellStart"/>
      <w:r w:rsidRPr="00AE3E3A">
        <w:t>Bharucha</w:t>
      </w:r>
      <w:proofErr w:type="spellEnd"/>
      <w:r w:rsidRPr="00AE3E3A">
        <w:t xml:space="preserve">, Z. P., Dicks, L. V., Flora, C. B., </w:t>
      </w:r>
      <w:proofErr w:type="spellStart"/>
      <w:r w:rsidRPr="00AE3E3A">
        <w:t>Godfray</w:t>
      </w:r>
      <w:proofErr w:type="spellEnd"/>
      <w:r w:rsidRPr="00AE3E3A">
        <w:t xml:space="preserve">, H. C. J., </w:t>
      </w:r>
      <w:proofErr w:type="spellStart"/>
      <w:r w:rsidRPr="00AE3E3A">
        <w:t>Goulson</w:t>
      </w:r>
      <w:proofErr w:type="spellEnd"/>
      <w:r w:rsidRPr="00AE3E3A">
        <w:t xml:space="preserve">, D., Hartley, S., Lampkin, N., Morris, C., Pierzynski, G., Prasad, P. V. V., </w:t>
      </w:r>
      <w:proofErr w:type="spellStart"/>
      <w:r w:rsidRPr="00AE3E3A">
        <w:t>Reganold</w:t>
      </w:r>
      <w:proofErr w:type="spellEnd"/>
      <w:r w:rsidRPr="00AE3E3A">
        <w:t xml:space="preserve">, J., </w:t>
      </w:r>
      <w:proofErr w:type="spellStart"/>
      <w:r w:rsidRPr="00AE3E3A">
        <w:t>Rockström</w:t>
      </w:r>
      <w:proofErr w:type="spellEnd"/>
      <w:r w:rsidRPr="00AE3E3A">
        <w:t xml:space="preserve">, J., Smith, P., Thorne, P., &amp; Wratten, S. (2018). Global assessment of agricultural system redesign for sustainable intensification. </w:t>
      </w:r>
      <w:r w:rsidRPr="00AE3E3A">
        <w:rPr>
          <w:i/>
          <w:iCs/>
        </w:rPr>
        <w:t>Nature Sustainability, 1</w:t>
      </w:r>
      <w:r w:rsidRPr="00AE3E3A">
        <w:t xml:space="preserve">(8), 441–446. </w:t>
      </w:r>
      <w:hyperlink r:id="rId38" w:tgtFrame="_new" w:history="1">
        <w:r w:rsidRPr="00AE3E3A">
          <w:rPr>
            <w:color w:val="0000FF"/>
            <w:u w:val="single"/>
          </w:rPr>
          <w:t>https://doi.org/10.1038/s41893-018-0114-0</w:t>
        </w:r>
      </w:hyperlink>
    </w:p>
    <w:p w:rsidR="00AE3E3A" w:rsidRPr="00AE3E3A" w:rsidRDefault="00AE3E3A" w:rsidP="00AE3E3A">
      <w:pPr>
        <w:spacing w:before="100" w:beforeAutospacing="1" w:after="100" w:afterAutospacing="1"/>
      </w:pPr>
      <w:proofErr w:type="spellStart"/>
      <w:r w:rsidRPr="00AE3E3A">
        <w:t>Rumpel</w:t>
      </w:r>
      <w:proofErr w:type="spellEnd"/>
      <w:r w:rsidRPr="00AE3E3A">
        <w:t xml:space="preserve">, C., </w:t>
      </w:r>
      <w:proofErr w:type="spellStart"/>
      <w:r w:rsidRPr="00AE3E3A">
        <w:t>Amiraslani</w:t>
      </w:r>
      <w:proofErr w:type="spellEnd"/>
      <w:r w:rsidRPr="00AE3E3A">
        <w:t xml:space="preserve">, F., </w:t>
      </w:r>
      <w:proofErr w:type="spellStart"/>
      <w:r w:rsidRPr="00AE3E3A">
        <w:t>Koutika</w:t>
      </w:r>
      <w:proofErr w:type="spellEnd"/>
      <w:r w:rsidRPr="00AE3E3A">
        <w:t xml:space="preserve">, L. S., Smith, P., Whitehead, D., &amp; </w:t>
      </w:r>
      <w:proofErr w:type="spellStart"/>
      <w:r w:rsidRPr="00AE3E3A">
        <w:t>Wollenberg</w:t>
      </w:r>
      <w:proofErr w:type="spellEnd"/>
      <w:r w:rsidRPr="00AE3E3A">
        <w:t xml:space="preserve">, E. (2018). Put more carbon in soils to meet Paris climate pledges. </w:t>
      </w:r>
      <w:r w:rsidRPr="00AE3E3A">
        <w:rPr>
          <w:i/>
          <w:iCs/>
        </w:rPr>
        <w:t>Nature, 564</w:t>
      </w:r>
      <w:r w:rsidRPr="00AE3E3A">
        <w:t xml:space="preserve">(7734), 32–34. </w:t>
      </w:r>
      <w:hyperlink r:id="rId39" w:tgtFrame="_new" w:history="1">
        <w:r w:rsidRPr="00AE3E3A">
          <w:rPr>
            <w:color w:val="0000FF"/>
            <w:u w:val="single"/>
          </w:rPr>
          <w:t>https://doi.org/10.1038/d41586-018-07587-4</w:t>
        </w:r>
      </w:hyperlink>
    </w:p>
    <w:p w:rsidR="00AE3E3A" w:rsidRPr="00AE3E3A" w:rsidRDefault="00AE3E3A" w:rsidP="00AE3E3A">
      <w:pPr>
        <w:spacing w:before="100" w:beforeAutospacing="1" w:after="100" w:afterAutospacing="1"/>
      </w:pPr>
      <w:proofErr w:type="spellStart"/>
      <w:r w:rsidRPr="00AE3E3A">
        <w:t>Searchinger</w:t>
      </w:r>
      <w:proofErr w:type="spellEnd"/>
      <w:r w:rsidRPr="00AE3E3A">
        <w:t xml:space="preserve">, T., Heimlich, R., Houghton, R. A., Dong, F., </w:t>
      </w:r>
      <w:proofErr w:type="spellStart"/>
      <w:r w:rsidRPr="00AE3E3A">
        <w:t>Elobeid</w:t>
      </w:r>
      <w:proofErr w:type="spellEnd"/>
      <w:r w:rsidRPr="00AE3E3A">
        <w:t xml:space="preserve">, A., </w:t>
      </w:r>
      <w:proofErr w:type="spellStart"/>
      <w:r w:rsidRPr="00AE3E3A">
        <w:t>Fabiosa</w:t>
      </w:r>
      <w:proofErr w:type="spellEnd"/>
      <w:r w:rsidRPr="00AE3E3A">
        <w:t xml:space="preserve">, J., </w:t>
      </w:r>
      <w:proofErr w:type="spellStart"/>
      <w:r w:rsidRPr="00AE3E3A">
        <w:t>Tokgoz</w:t>
      </w:r>
      <w:proofErr w:type="spellEnd"/>
      <w:r w:rsidRPr="00AE3E3A">
        <w:t xml:space="preserve">, S., Hayes, D., &amp; Yu, T. H. (2008). Use of U.S. croplands for biofuels increases greenhouse gases through emissions from land-use change. </w:t>
      </w:r>
      <w:r w:rsidRPr="00AE3E3A">
        <w:rPr>
          <w:i/>
          <w:iCs/>
        </w:rPr>
        <w:t>Science, 319</w:t>
      </w:r>
      <w:r w:rsidRPr="00AE3E3A">
        <w:t xml:space="preserve">(5867), 1238–1240. </w:t>
      </w:r>
      <w:hyperlink r:id="rId40" w:tgtFrame="_new" w:history="1">
        <w:r w:rsidRPr="00AE3E3A">
          <w:rPr>
            <w:color w:val="0000FF"/>
            <w:u w:val="single"/>
          </w:rPr>
          <w:t>https://doi.org/10.1126/science.1151861</w:t>
        </w:r>
      </w:hyperlink>
    </w:p>
    <w:p w:rsidR="00AE3E3A" w:rsidRPr="00AE3E3A" w:rsidRDefault="00AE3E3A" w:rsidP="00AE3E3A">
      <w:pPr>
        <w:spacing w:before="100" w:beforeAutospacing="1" w:after="100" w:afterAutospacing="1"/>
      </w:pPr>
      <w:r w:rsidRPr="00AE3E3A">
        <w:t xml:space="preserve">Smith, P., Martino, D., Cai, Z., </w:t>
      </w:r>
      <w:proofErr w:type="spellStart"/>
      <w:r w:rsidRPr="00AE3E3A">
        <w:t>Gwary</w:t>
      </w:r>
      <w:proofErr w:type="spellEnd"/>
      <w:r w:rsidRPr="00AE3E3A">
        <w:t xml:space="preserve">, D., Janzen, H., Kumar, P., </w:t>
      </w:r>
      <w:proofErr w:type="spellStart"/>
      <w:r w:rsidRPr="00AE3E3A">
        <w:t>McCarl</w:t>
      </w:r>
      <w:proofErr w:type="spellEnd"/>
      <w:r w:rsidRPr="00AE3E3A">
        <w:t xml:space="preserve">, B., Ogle, S., O’Mara, F., Rice, C., Scholes, B., </w:t>
      </w:r>
      <w:proofErr w:type="spellStart"/>
      <w:r w:rsidRPr="00AE3E3A">
        <w:t>Sirotenko</w:t>
      </w:r>
      <w:proofErr w:type="spellEnd"/>
      <w:r w:rsidRPr="00AE3E3A">
        <w:t xml:space="preserve">, O., </w:t>
      </w:r>
      <w:proofErr w:type="spellStart"/>
      <w:r w:rsidRPr="00AE3E3A">
        <w:t>Howden</w:t>
      </w:r>
      <w:proofErr w:type="spellEnd"/>
      <w:r w:rsidRPr="00AE3E3A">
        <w:t xml:space="preserve">, M., McAllister, T., Pan, G., </w:t>
      </w:r>
      <w:proofErr w:type="spellStart"/>
      <w:r w:rsidRPr="00AE3E3A">
        <w:t>Romanenkov</w:t>
      </w:r>
      <w:proofErr w:type="spellEnd"/>
      <w:r w:rsidRPr="00AE3E3A">
        <w:t xml:space="preserve">, V., Schneider, U., </w:t>
      </w:r>
      <w:proofErr w:type="spellStart"/>
      <w:r w:rsidRPr="00AE3E3A">
        <w:t>Towprayoon</w:t>
      </w:r>
      <w:proofErr w:type="spellEnd"/>
      <w:r w:rsidRPr="00AE3E3A">
        <w:t xml:space="preserve">, S., </w:t>
      </w:r>
      <w:proofErr w:type="spellStart"/>
      <w:r w:rsidRPr="00AE3E3A">
        <w:t>Wattenbach</w:t>
      </w:r>
      <w:proofErr w:type="spellEnd"/>
      <w:r w:rsidRPr="00AE3E3A">
        <w:t xml:space="preserve">, M., &amp; Smith, J. (2008). Greenhouse gas mitigation in agriculture. </w:t>
      </w:r>
      <w:r w:rsidRPr="00AE3E3A">
        <w:rPr>
          <w:i/>
          <w:iCs/>
        </w:rPr>
        <w:t>Philosophical Transactions of the Royal Society B: Biological Sciences, 363</w:t>
      </w:r>
      <w:r w:rsidRPr="00AE3E3A">
        <w:t xml:space="preserve">(1492), 789–813. </w:t>
      </w:r>
      <w:hyperlink r:id="rId41" w:tgtFrame="_new" w:history="1">
        <w:r w:rsidRPr="00AE3E3A">
          <w:rPr>
            <w:color w:val="0000FF"/>
            <w:u w:val="single"/>
          </w:rPr>
          <w:t>https://doi.org/10.1098/rstb.2007.2184</w:t>
        </w:r>
      </w:hyperlink>
    </w:p>
    <w:p w:rsidR="00AE3E3A" w:rsidRPr="00AE3E3A" w:rsidRDefault="00AE3E3A" w:rsidP="00AE3E3A">
      <w:pPr>
        <w:spacing w:before="100" w:beforeAutospacing="1" w:after="100" w:afterAutospacing="1"/>
      </w:pPr>
      <w:r w:rsidRPr="00AE3E3A">
        <w:t xml:space="preserve">Streets, D. G., </w:t>
      </w:r>
      <w:proofErr w:type="spellStart"/>
      <w:r w:rsidRPr="00AE3E3A">
        <w:t>Yarber</w:t>
      </w:r>
      <w:proofErr w:type="spellEnd"/>
      <w:r w:rsidRPr="00AE3E3A">
        <w:t xml:space="preserve">, K. F., Woo, J.-H., &amp; Carmichael, G. R. (2003). Biomass burning in Asia: Annual and seasonal estimates and atmospheric emissions. </w:t>
      </w:r>
      <w:r w:rsidRPr="00AE3E3A">
        <w:rPr>
          <w:i/>
          <w:iCs/>
        </w:rPr>
        <w:t>Global Biogeochemical Cycles, 17</w:t>
      </w:r>
      <w:r w:rsidRPr="00AE3E3A">
        <w:t xml:space="preserve">(4), 1099. </w:t>
      </w:r>
      <w:hyperlink r:id="rId42" w:tgtFrame="_new" w:history="1">
        <w:r w:rsidRPr="00AE3E3A">
          <w:rPr>
            <w:color w:val="0000FF"/>
            <w:u w:val="single"/>
          </w:rPr>
          <w:t>https://doi.org/10.1029/2003GB002040</w:t>
        </w:r>
      </w:hyperlink>
    </w:p>
    <w:p w:rsidR="00AE3E3A" w:rsidRPr="00AE3E3A" w:rsidRDefault="00AE3E3A" w:rsidP="00AE3E3A">
      <w:pPr>
        <w:spacing w:before="100" w:beforeAutospacing="1" w:after="100" w:afterAutospacing="1"/>
      </w:pPr>
      <w:r w:rsidRPr="00AE3E3A">
        <w:t xml:space="preserve">Tripathi, N., Hills, C. D., Singh, R. S., &amp; Atkinson, C. J. (2019). Biomass waste </w:t>
      </w:r>
      <w:proofErr w:type="spellStart"/>
      <w:r w:rsidRPr="00AE3E3A">
        <w:t>utilisation</w:t>
      </w:r>
      <w:proofErr w:type="spellEnd"/>
      <w:r w:rsidRPr="00AE3E3A">
        <w:t xml:space="preserve"> in low-carbon products: Harnessing a major potential resource. </w:t>
      </w:r>
      <w:proofErr w:type="spellStart"/>
      <w:r w:rsidRPr="00AE3E3A">
        <w:rPr>
          <w:i/>
          <w:iCs/>
        </w:rPr>
        <w:t>npj</w:t>
      </w:r>
      <w:proofErr w:type="spellEnd"/>
      <w:r w:rsidRPr="00AE3E3A">
        <w:rPr>
          <w:i/>
          <w:iCs/>
        </w:rPr>
        <w:t xml:space="preserve"> Climate and Atmospheric Science, 2</w:t>
      </w:r>
      <w:r w:rsidRPr="00AE3E3A">
        <w:t xml:space="preserve">, Article 35. </w:t>
      </w:r>
      <w:hyperlink r:id="rId43" w:tgtFrame="_new" w:history="1">
        <w:r w:rsidRPr="00AE3E3A">
          <w:rPr>
            <w:color w:val="0000FF"/>
            <w:u w:val="single"/>
          </w:rPr>
          <w:t>https://doi.org/10.1038/s41612-019-0093-5</w:t>
        </w:r>
      </w:hyperlink>
    </w:p>
    <w:p w:rsidR="00AE3E3A" w:rsidRPr="00AE3E3A" w:rsidRDefault="00AE3E3A" w:rsidP="00AE3E3A">
      <w:pPr>
        <w:spacing w:before="100" w:beforeAutospacing="1" w:after="100" w:afterAutospacing="1"/>
      </w:pPr>
      <w:r w:rsidRPr="00AE3E3A">
        <w:t xml:space="preserve">Woolf, D., </w:t>
      </w:r>
      <w:proofErr w:type="spellStart"/>
      <w:r w:rsidRPr="00AE3E3A">
        <w:t>Amonette</w:t>
      </w:r>
      <w:proofErr w:type="spellEnd"/>
      <w:r w:rsidRPr="00AE3E3A">
        <w:t xml:space="preserve">, J. E., Street-Perrott, F. A., Lehmann, J., &amp; Joseph, S. (2010). Sustainable biochar to mitigate global climate change. </w:t>
      </w:r>
      <w:r w:rsidRPr="00AE3E3A">
        <w:rPr>
          <w:i/>
          <w:iCs/>
        </w:rPr>
        <w:t>Nature Communications, 1</w:t>
      </w:r>
      <w:r w:rsidRPr="00AE3E3A">
        <w:t xml:space="preserve">, Article 56. </w:t>
      </w:r>
      <w:hyperlink r:id="rId44" w:tgtFrame="_new" w:history="1">
        <w:r w:rsidRPr="00AE3E3A">
          <w:rPr>
            <w:color w:val="0000FF"/>
            <w:u w:val="single"/>
          </w:rPr>
          <w:t>https://doi.org/10.1038/ncomms1053</w:t>
        </w:r>
      </w:hyperlink>
    </w:p>
    <w:p w:rsidR="003577BC" w:rsidRDefault="003577BC" w:rsidP="00AE3E3A">
      <w:pPr>
        <w:spacing w:after="160" w:line="480" w:lineRule="auto"/>
        <w:ind w:left="720" w:hanging="720"/>
        <w:jc w:val="both"/>
      </w:pPr>
    </w:p>
    <w:sectPr w:rsidR="003577BC" w:rsidSect="003577BC">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06C" w:rsidRDefault="00EA206C" w:rsidP="003577BC">
      <w:r>
        <w:separator/>
      </w:r>
    </w:p>
  </w:endnote>
  <w:endnote w:type="continuationSeparator" w:id="0">
    <w:p w:rsidR="00EA206C" w:rsidRDefault="00EA206C" w:rsidP="0035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6BD" w:rsidRDefault="00771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7BC" w:rsidRDefault="003577BC">
    <w:pPr>
      <w:jc w:val="center"/>
    </w:pPr>
    <w:r>
      <w:fldChar w:fldCharType="begin"/>
    </w:r>
    <w:r w:rsidR="00C760AB">
      <w:instrText>PAGE</w:instrText>
    </w:r>
    <w:r>
      <w:fldChar w:fldCharType="separate"/>
    </w:r>
    <w:r w:rsidR="005869F8">
      <w:rPr>
        <w:noProof/>
      </w:rPr>
      <w:t>36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6BD" w:rsidRDefault="00771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06C" w:rsidRDefault="00EA206C" w:rsidP="003577BC">
      <w:r>
        <w:separator/>
      </w:r>
    </w:p>
  </w:footnote>
  <w:footnote w:type="continuationSeparator" w:id="0">
    <w:p w:rsidR="00EA206C" w:rsidRDefault="00EA206C" w:rsidP="0035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6BD" w:rsidRDefault="007716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2559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6BD" w:rsidRDefault="007716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2559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6BD" w:rsidRDefault="007716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2559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6430B"/>
    <w:multiLevelType w:val="hybridMultilevel"/>
    <w:tmpl w:val="D06A144A"/>
    <w:lvl w:ilvl="0" w:tplc="A434D15E">
      <w:start w:val="1"/>
      <w:numFmt w:val="bullet"/>
      <w:lvlText w:val="●"/>
      <w:lvlJc w:val="left"/>
      <w:pPr>
        <w:ind w:left="720" w:hanging="360"/>
      </w:pPr>
    </w:lvl>
    <w:lvl w:ilvl="1" w:tplc="80AE2A4A">
      <w:start w:val="1"/>
      <w:numFmt w:val="bullet"/>
      <w:lvlText w:val="○"/>
      <w:lvlJc w:val="left"/>
      <w:pPr>
        <w:ind w:left="1440" w:hanging="360"/>
      </w:pPr>
    </w:lvl>
    <w:lvl w:ilvl="2" w:tplc="DE14528E">
      <w:start w:val="1"/>
      <w:numFmt w:val="bullet"/>
      <w:lvlText w:val="■"/>
      <w:lvlJc w:val="left"/>
      <w:pPr>
        <w:ind w:left="2160" w:hanging="360"/>
      </w:pPr>
    </w:lvl>
    <w:lvl w:ilvl="3" w:tplc="9A8A336C">
      <w:start w:val="1"/>
      <w:numFmt w:val="bullet"/>
      <w:lvlText w:val="●"/>
      <w:lvlJc w:val="left"/>
      <w:pPr>
        <w:ind w:left="2880" w:hanging="360"/>
      </w:pPr>
    </w:lvl>
    <w:lvl w:ilvl="4" w:tplc="3FAAB4B4">
      <w:start w:val="1"/>
      <w:numFmt w:val="bullet"/>
      <w:lvlText w:val="○"/>
      <w:lvlJc w:val="left"/>
      <w:pPr>
        <w:ind w:left="3600" w:hanging="360"/>
      </w:pPr>
    </w:lvl>
    <w:lvl w:ilvl="5" w:tplc="D76A8F86">
      <w:start w:val="1"/>
      <w:numFmt w:val="bullet"/>
      <w:lvlText w:val="■"/>
      <w:lvlJc w:val="left"/>
      <w:pPr>
        <w:ind w:left="4320" w:hanging="360"/>
      </w:pPr>
    </w:lvl>
    <w:lvl w:ilvl="6" w:tplc="89DEAE50">
      <w:start w:val="1"/>
      <w:numFmt w:val="bullet"/>
      <w:lvlText w:val="●"/>
      <w:lvlJc w:val="left"/>
      <w:pPr>
        <w:ind w:left="5040" w:hanging="360"/>
      </w:pPr>
    </w:lvl>
    <w:lvl w:ilvl="7" w:tplc="E84C3580">
      <w:start w:val="1"/>
      <w:numFmt w:val="bullet"/>
      <w:lvlText w:val="●"/>
      <w:lvlJc w:val="left"/>
      <w:pPr>
        <w:ind w:left="5760" w:hanging="360"/>
      </w:pPr>
    </w:lvl>
    <w:lvl w:ilvl="8" w:tplc="C0ECA62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77BC"/>
    <w:rsid w:val="003577BC"/>
    <w:rsid w:val="005869F8"/>
    <w:rsid w:val="007716BD"/>
    <w:rsid w:val="00AE3E3A"/>
    <w:rsid w:val="00C760AB"/>
    <w:rsid w:val="00EA2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13533CA-F69B-4DBB-AE04-C016A508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3577BC"/>
    <w:pPr>
      <w:spacing w:before="360" w:after="180"/>
      <w:outlineLvl w:val="0"/>
    </w:pPr>
    <w:rPr>
      <w:b/>
      <w:bCs/>
      <w:sz w:val="28"/>
      <w:szCs w:val="28"/>
    </w:rPr>
  </w:style>
  <w:style w:type="paragraph" w:styleId="Heading2">
    <w:name w:val="heading 2"/>
    <w:qFormat/>
    <w:rsid w:val="003577BC"/>
    <w:pPr>
      <w:spacing w:before="280" w:after="120"/>
      <w:outlineLvl w:val="1"/>
    </w:pPr>
    <w:rPr>
      <w:b/>
      <w:bCs/>
      <w:sz w:val="26"/>
      <w:szCs w:val="26"/>
    </w:rPr>
  </w:style>
  <w:style w:type="paragraph" w:styleId="Heading3">
    <w:name w:val="heading 3"/>
    <w:qFormat/>
    <w:rsid w:val="003577BC"/>
    <w:pPr>
      <w:spacing w:before="200" w:after="80"/>
      <w:outlineLvl w:val="2"/>
    </w:pPr>
    <w:rPr>
      <w:b/>
      <w:bCs/>
    </w:rPr>
  </w:style>
  <w:style w:type="paragraph" w:styleId="Heading4">
    <w:name w:val="heading 4"/>
    <w:qFormat/>
    <w:rsid w:val="003577BC"/>
    <w:pPr>
      <w:outlineLvl w:val="3"/>
    </w:pPr>
    <w:rPr>
      <w:i/>
      <w:iCs/>
      <w:color w:val="2E74B5"/>
    </w:rPr>
  </w:style>
  <w:style w:type="paragraph" w:styleId="Heading5">
    <w:name w:val="heading 5"/>
    <w:qFormat/>
    <w:rsid w:val="003577BC"/>
    <w:pPr>
      <w:outlineLvl w:val="4"/>
    </w:pPr>
    <w:rPr>
      <w:color w:val="2E74B5"/>
    </w:rPr>
  </w:style>
  <w:style w:type="paragraph" w:styleId="Heading6">
    <w:name w:val="heading 6"/>
    <w:qFormat/>
    <w:rsid w:val="003577BC"/>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577BC"/>
    <w:rPr>
      <w:sz w:val="56"/>
      <w:szCs w:val="56"/>
    </w:rPr>
  </w:style>
  <w:style w:type="paragraph" w:customStyle="1" w:styleId="Strong1">
    <w:name w:val="Strong1"/>
    <w:qFormat/>
    <w:rsid w:val="003577BC"/>
    <w:rPr>
      <w:b/>
      <w:bCs/>
    </w:rPr>
  </w:style>
  <w:style w:type="paragraph" w:styleId="ListParagraph">
    <w:name w:val="List Paragraph"/>
    <w:qFormat/>
    <w:rsid w:val="003577BC"/>
  </w:style>
  <w:style w:type="character" w:styleId="Hyperlink">
    <w:name w:val="Hyperlink"/>
    <w:uiPriority w:val="99"/>
    <w:unhideWhenUsed/>
    <w:rsid w:val="003577BC"/>
    <w:rPr>
      <w:color w:val="0563C1"/>
      <w:u w:val="single"/>
    </w:rPr>
  </w:style>
  <w:style w:type="character" w:styleId="FootnoteReference">
    <w:name w:val="footnote reference"/>
    <w:uiPriority w:val="99"/>
    <w:semiHidden/>
    <w:unhideWhenUsed/>
    <w:rsid w:val="003577BC"/>
    <w:rPr>
      <w:vertAlign w:val="superscript"/>
    </w:rPr>
  </w:style>
  <w:style w:type="paragraph" w:styleId="FootnoteText">
    <w:name w:val="footnote text"/>
    <w:link w:val="FootnoteTextChar"/>
    <w:uiPriority w:val="99"/>
    <w:semiHidden/>
    <w:unhideWhenUsed/>
    <w:rsid w:val="003577BC"/>
    <w:rPr>
      <w:sz w:val="20"/>
      <w:szCs w:val="20"/>
    </w:rPr>
  </w:style>
  <w:style w:type="character" w:customStyle="1" w:styleId="FootnoteTextChar">
    <w:name w:val="Footnote Text Char"/>
    <w:link w:val="FootnoteText"/>
    <w:uiPriority w:val="99"/>
    <w:semiHidden/>
    <w:unhideWhenUsed/>
    <w:rsid w:val="003577BC"/>
    <w:rPr>
      <w:sz w:val="20"/>
      <w:szCs w:val="20"/>
    </w:rPr>
  </w:style>
  <w:style w:type="character" w:styleId="EndnoteReference">
    <w:name w:val="endnote reference"/>
    <w:uiPriority w:val="99"/>
    <w:semiHidden/>
    <w:unhideWhenUsed/>
    <w:rsid w:val="003577BC"/>
    <w:rPr>
      <w:vertAlign w:val="superscript"/>
    </w:rPr>
  </w:style>
  <w:style w:type="paragraph" w:styleId="EndnoteText">
    <w:name w:val="endnote text"/>
    <w:link w:val="EndnoteTextChar"/>
    <w:uiPriority w:val="99"/>
    <w:semiHidden/>
    <w:unhideWhenUsed/>
    <w:rsid w:val="003577BC"/>
    <w:rPr>
      <w:sz w:val="20"/>
      <w:szCs w:val="20"/>
    </w:rPr>
  </w:style>
  <w:style w:type="character" w:customStyle="1" w:styleId="EndnoteTextChar">
    <w:name w:val="Endnote Text Char"/>
    <w:link w:val="EndnoteText"/>
    <w:uiPriority w:val="99"/>
    <w:semiHidden/>
    <w:unhideWhenUsed/>
    <w:rsid w:val="003577BC"/>
    <w:rPr>
      <w:sz w:val="20"/>
      <w:szCs w:val="20"/>
    </w:rPr>
  </w:style>
  <w:style w:type="paragraph" w:styleId="Header">
    <w:name w:val="header"/>
    <w:basedOn w:val="Normal"/>
    <w:link w:val="HeaderChar"/>
    <w:uiPriority w:val="99"/>
    <w:unhideWhenUsed/>
    <w:rsid w:val="007716BD"/>
    <w:pPr>
      <w:tabs>
        <w:tab w:val="center" w:pos="4513"/>
        <w:tab w:val="right" w:pos="9026"/>
      </w:tabs>
    </w:pPr>
  </w:style>
  <w:style w:type="character" w:customStyle="1" w:styleId="HeaderChar">
    <w:name w:val="Header Char"/>
    <w:basedOn w:val="DefaultParagraphFont"/>
    <w:link w:val="Header"/>
    <w:uiPriority w:val="99"/>
    <w:rsid w:val="007716BD"/>
  </w:style>
  <w:style w:type="paragraph" w:styleId="Footer">
    <w:name w:val="footer"/>
    <w:basedOn w:val="Normal"/>
    <w:link w:val="FooterChar"/>
    <w:uiPriority w:val="99"/>
    <w:unhideWhenUsed/>
    <w:rsid w:val="007716BD"/>
    <w:pPr>
      <w:tabs>
        <w:tab w:val="center" w:pos="4513"/>
        <w:tab w:val="right" w:pos="9026"/>
      </w:tabs>
    </w:pPr>
  </w:style>
  <w:style w:type="character" w:customStyle="1" w:styleId="FooterChar">
    <w:name w:val="Footer Char"/>
    <w:basedOn w:val="DefaultParagraphFont"/>
    <w:link w:val="Footer"/>
    <w:uiPriority w:val="99"/>
    <w:rsid w:val="00771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768226">
      <w:bodyDiv w:val="1"/>
      <w:marLeft w:val="0"/>
      <w:marRight w:val="0"/>
      <w:marTop w:val="0"/>
      <w:marBottom w:val="0"/>
      <w:divBdr>
        <w:top w:val="none" w:sz="0" w:space="0" w:color="auto"/>
        <w:left w:val="none" w:sz="0" w:space="0" w:color="auto"/>
        <w:bottom w:val="none" w:sz="0" w:space="0" w:color="auto"/>
        <w:right w:val="none" w:sz="0" w:space="0" w:color="auto"/>
      </w:divBdr>
    </w:div>
    <w:div w:id="1324161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ecs.2006.06.001" TargetMode="External"/><Relationship Id="rId18" Type="http://schemas.openxmlformats.org/officeDocument/2006/relationships/hyperlink" Target="https://doi.org/10.1080/07352680902776358" TargetMode="External"/><Relationship Id="rId26" Type="http://schemas.openxmlformats.org/officeDocument/2006/relationships/hyperlink" Target="https://doi.org/10.1088/1748-9326/9/10/105011" TargetMode="External"/><Relationship Id="rId39" Type="http://schemas.openxmlformats.org/officeDocument/2006/relationships/hyperlink" Target="https://doi.org/10.1038/d41586-018-07587-4" TargetMode="External"/><Relationship Id="rId21" Type="http://schemas.openxmlformats.org/officeDocument/2006/relationships/hyperlink" Target="https://www.ipcc.ch/srccl/?utm_source=chatgpt.com" TargetMode="External"/><Relationship Id="rId34" Type="http://schemas.openxmlformats.org/officeDocument/2006/relationships/hyperlink" Target="https://doi.org/10.1071/EA05037" TargetMode="External"/><Relationship Id="rId42" Type="http://schemas.openxmlformats.org/officeDocument/2006/relationships/hyperlink" Target="https://doi.org/10.1029/2003GB002040"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1016/j.agee.2006.05.014" TargetMode="External"/><Relationship Id="rId2" Type="http://schemas.openxmlformats.org/officeDocument/2006/relationships/styles" Target="styles.xml"/><Relationship Id="rId16" Type="http://schemas.openxmlformats.org/officeDocument/2006/relationships/hyperlink" Target="https://doi.org/10.1016/j.jclepro.2016.12.048" TargetMode="External"/><Relationship Id="rId29" Type="http://schemas.openxmlformats.org/officeDocument/2006/relationships/hyperlink" Target="https://doi.org/10.1038/nclimate2437" TargetMode="External"/><Relationship Id="rId11" Type="http://schemas.openxmlformats.org/officeDocument/2006/relationships/hyperlink" Target="https://doi.org/10.1016/j.enconman.2010.01.015" TargetMode="External"/><Relationship Id="rId24" Type="http://schemas.openxmlformats.org/officeDocument/2006/relationships/hyperlink" Target="https://doi.org/10.1126/science.1097396" TargetMode="External"/><Relationship Id="rId32" Type="http://schemas.openxmlformats.org/officeDocument/2006/relationships/hyperlink" Target="https://doi.org/10.1002/elsc.201100085" TargetMode="External"/><Relationship Id="rId37" Type="http://schemas.openxmlformats.org/officeDocument/2006/relationships/hyperlink" Target="https://doi.org/10.1038/nclimate2292" TargetMode="External"/><Relationship Id="rId40" Type="http://schemas.openxmlformats.org/officeDocument/2006/relationships/hyperlink" Target="https://doi.org/10.1126/science.115186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21/es071361i" TargetMode="External"/><Relationship Id="rId23" Type="http://schemas.openxmlformats.org/officeDocument/2006/relationships/hyperlink" Target="https://doi.org/10.2134/agronj2007.0161" TargetMode="External"/><Relationship Id="rId28" Type="http://schemas.openxmlformats.org/officeDocument/2006/relationships/hyperlink" Target="https://doi.org/10.1038/s41561-021-00852-8" TargetMode="External"/><Relationship Id="rId36" Type="http://schemas.openxmlformats.org/officeDocument/2006/relationships/hyperlink" Target="https://doi.org/10.1016/j.agee.2014.10.024" TargetMode="External"/><Relationship Id="rId49" Type="http://schemas.openxmlformats.org/officeDocument/2006/relationships/header" Target="header3.xml"/><Relationship Id="rId10" Type="http://schemas.openxmlformats.org/officeDocument/2006/relationships/hyperlink" Target="https://doi.org/10.1146/annurev.energy.28.040202.122858" TargetMode="External"/><Relationship Id="rId19" Type="http://schemas.openxmlformats.org/officeDocument/2006/relationships/hyperlink" Target="https://doi.org/10.1016/S0899-3467(07)60142-6" TargetMode="External"/><Relationship Id="rId31" Type="http://schemas.openxmlformats.org/officeDocument/2006/relationships/hyperlink" Target="https://doi.org/10.1126/science.1204531" TargetMode="External"/><Relationship Id="rId44" Type="http://schemas.openxmlformats.org/officeDocument/2006/relationships/hyperlink" Target="https://doi.org/10.1038/ncomms1053"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136/sssaj2008.0141" TargetMode="External"/><Relationship Id="rId14" Type="http://schemas.openxmlformats.org/officeDocument/2006/relationships/hyperlink" Target="https://doi.org/10.1016/j.envpol.2009.01.004" TargetMode="External"/><Relationship Id="rId22" Type="http://schemas.openxmlformats.org/officeDocument/2006/relationships/hyperlink" Target="https://doi.org/10.1016/S0065-2113(08)60846-9" TargetMode="External"/><Relationship Id="rId27" Type="http://schemas.openxmlformats.org/officeDocument/2006/relationships/hyperlink" Target="https://doi.org/10.1038/447143a" TargetMode="External"/><Relationship Id="rId30" Type="http://schemas.openxmlformats.org/officeDocument/2006/relationships/hyperlink" Target="https://doi.org/10.1111/gcb.12517" TargetMode="External"/><Relationship Id="rId35" Type="http://schemas.openxmlformats.org/officeDocument/2006/relationships/hyperlink" Target="https://doi.org/10.1038/nature17174" TargetMode="External"/><Relationship Id="rId43" Type="http://schemas.openxmlformats.org/officeDocument/2006/relationships/hyperlink" Target="https://doi.org/10.1038/s41612-019-0093-5" TargetMode="External"/><Relationship Id="rId48" Type="http://schemas.openxmlformats.org/officeDocument/2006/relationships/footer" Target="footer2.xml"/><Relationship Id="rId8" Type="http://schemas.openxmlformats.org/officeDocument/2006/relationships/hyperlink" Target="https://doi.org/10.3390/ijerph16050832"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16/j.jclepro.2017.09.053" TargetMode="External"/><Relationship Id="rId17" Type="http://schemas.openxmlformats.org/officeDocument/2006/relationships/hyperlink" Target="https://doi.org/10.1007/s00374-002-0466-4" TargetMode="External"/><Relationship Id="rId25" Type="http://schemas.openxmlformats.org/officeDocument/2006/relationships/hyperlink" Target="https://doi.org/10.1016/j.envint.2004.09.005" TargetMode="External"/><Relationship Id="rId33" Type="http://schemas.openxmlformats.org/officeDocument/2006/relationships/hyperlink" Target="https://doi.org/10.1016/S0960-8524(00)00104-8" TargetMode="External"/><Relationship Id="rId38" Type="http://schemas.openxmlformats.org/officeDocument/2006/relationships/hyperlink" Target="https://doi.org/10.1038/s41893-018-0114-0" TargetMode="External"/><Relationship Id="rId46" Type="http://schemas.openxmlformats.org/officeDocument/2006/relationships/header" Target="header2.xml"/><Relationship Id="rId20" Type="http://schemas.openxmlformats.org/officeDocument/2006/relationships/hyperlink" Target="https://doi.org/10.1016/j.tibtech.2006.10.004" TargetMode="External"/><Relationship Id="rId41" Type="http://schemas.openxmlformats.org/officeDocument/2006/relationships/hyperlink" Target="https://doi.org/10.1098/rstb.2007.218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36</Pages>
  <Words>11837</Words>
  <Characters>67474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4</cp:revision>
  <dcterms:created xsi:type="dcterms:W3CDTF">2026-04-22T17:24:00Z</dcterms:created>
  <dcterms:modified xsi:type="dcterms:W3CDTF">2026-05-15T11:11:00Z</dcterms:modified>
</cp:coreProperties>
</file>