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BB01" w14:textId="77777777" w:rsidR="000E2B60" w:rsidRDefault="000E2B60" w:rsidP="000E19B2">
      <w:pPr>
        <w:pStyle w:val="MDPI22heading2"/>
        <w:spacing w:before="240"/>
        <w:ind w:left="0"/>
        <w:jc w:val="both"/>
        <w:rPr>
          <w:rFonts w:ascii="Times New Roman" w:hAnsi="Times New Roman"/>
          <w:b/>
          <w:i w:val="0"/>
          <w:sz w:val="28"/>
          <w:szCs w:val="28"/>
        </w:rPr>
      </w:pPr>
      <w:r w:rsidRPr="000E2B60">
        <w:rPr>
          <w:rFonts w:ascii="Times New Roman" w:hAnsi="Times New Roman"/>
          <w:b/>
          <w:i w:val="0"/>
          <w:sz w:val="28"/>
          <w:szCs w:val="28"/>
        </w:rPr>
        <w:t>Original Research Article</w:t>
      </w:r>
    </w:p>
    <w:p w14:paraId="138FAD07" w14:textId="1CFDDB3F" w:rsidR="00064339" w:rsidRDefault="00CE64BB" w:rsidP="000E19B2">
      <w:pPr>
        <w:pStyle w:val="MDPI22heading2"/>
        <w:spacing w:before="240"/>
        <w:ind w:left="0"/>
        <w:jc w:val="both"/>
        <w:rPr>
          <w:rFonts w:ascii="Times New Roman" w:hAnsi="Times New Roman"/>
          <w:b/>
          <w:i w:val="0"/>
          <w:sz w:val="28"/>
          <w:szCs w:val="28"/>
        </w:rPr>
      </w:pPr>
      <w:r>
        <w:rPr>
          <w:rFonts w:ascii="Times New Roman" w:hAnsi="Times New Roman"/>
          <w:b/>
          <w:i w:val="0"/>
          <w:sz w:val="28"/>
          <w:szCs w:val="28"/>
        </w:rPr>
        <w:t>Climate change and h</w:t>
      </w:r>
      <w:r w:rsidR="00064339">
        <w:rPr>
          <w:rFonts w:ascii="Times New Roman" w:hAnsi="Times New Roman"/>
          <w:b/>
          <w:i w:val="0"/>
          <w:sz w:val="28"/>
          <w:szCs w:val="28"/>
        </w:rPr>
        <w:t>uman d</w:t>
      </w:r>
      <w:r w:rsidR="00715495" w:rsidRPr="00715495">
        <w:rPr>
          <w:rFonts w:ascii="Times New Roman" w:hAnsi="Times New Roman"/>
          <w:b/>
          <w:i w:val="0"/>
          <w:sz w:val="28"/>
          <w:szCs w:val="28"/>
        </w:rPr>
        <w:t>isplacem</w:t>
      </w:r>
      <w:r w:rsidR="00D747A4">
        <w:rPr>
          <w:rFonts w:ascii="Times New Roman" w:hAnsi="Times New Roman"/>
          <w:b/>
          <w:i w:val="0"/>
          <w:sz w:val="28"/>
          <w:szCs w:val="28"/>
        </w:rPr>
        <w:t>ent:</w:t>
      </w:r>
      <w:r w:rsidR="001529B6">
        <w:rPr>
          <w:rFonts w:ascii="Times New Roman" w:hAnsi="Times New Roman"/>
          <w:b/>
          <w:i w:val="0"/>
          <w:sz w:val="28"/>
          <w:szCs w:val="28"/>
        </w:rPr>
        <w:t xml:space="preserve"> emerging global t</w:t>
      </w:r>
      <w:r w:rsidR="001529B6" w:rsidRPr="0007477D">
        <w:rPr>
          <w:rFonts w:ascii="Times New Roman" w:hAnsi="Times New Roman"/>
          <w:b/>
          <w:i w:val="0"/>
          <w:sz w:val="28"/>
          <w:szCs w:val="28"/>
        </w:rPr>
        <w:t>rends</w:t>
      </w:r>
      <w:r w:rsidR="001529B6">
        <w:rPr>
          <w:rFonts w:ascii="Times New Roman" w:hAnsi="Times New Roman"/>
          <w:b/>
          <w:i w:val="0"/>
          <w:sz w:val="28"/>
          <w:szCs w:val="28"/>
        </w:rPr>
        <w:t xml:space="preserve"> </w:t>
      </w:r>
    </w:p>
    <w:p w14:paraId="6BD0BFF3" w14:textId="77777777" w:rsidR="000E2B60" w:rsidRDefault="000E2B60" w:rsidP="000E19B2">
      <w:pPr>
        <w:pStyle w:val="MDPI22heading2"/>
        <w:spacing w:before="240"/>
        <w:ind w:left="0"/>
        <w:jc w:val="both"/>
        <w:rPr>
          <w:rFonts w:ascii="Times New Roman" w:hAnsi="Times New Roman"/>
          <w:b/>
          <w:i w:val="0"/>
          <w:sz w:val="28"/>
          <w:szCs w:val="28"/>
        </w:rPr>
      </w:pPr>
    </w:p>
    <w:p w14:paraId="140EE904" w14:textId="77777777" w:rsidR="00E725ED" w:rsidRPr="00613EDA" w:rsidRDefault="00E725ED" w:rsidP="00E725ED">
      <w:pPr>
        <w:rPr>
          <w:rFonts w:ascii="Times New Roman" w:hAnsi="Times New Roman" w:cs="Times New Roman"/>
          <w:b/>
          <w:sz w:val="24"/>
          <w:szCs w:val="24"/>
          <w:lang w:val="es-ES"/>
        </w:rPr>
      </w:pPr>
    </w:p>
    <w:p w14:paraId="1B0E07BC" w14:textId="77777777" w:rsidR="00E725ED" w:rsidRPr="00635143" w:rsidRDefault="00E725ED" w:rsidP="00E725ED">
      <w:pPr>
        <w:rPr>
          <w:rFonts w:ascii="Times New Roman" w:hAnsi="Times New Roman" w:cs="Times New Roman"/>
          <w:b/>
          <w:sz w:val="24"/>
          <w:szCs w:val="24"/>
        </w:rPr>
      </w:pPr>
      <w:r w:rsidRPr="00635143">
        <w:rPr>
          <w:rFonts w:ascii="Times New Roman" w:hAnsi="Times New Roman" w:cs="Times New Roman"/>
          <w:b/>
          <w:sz w:val="24"/>
          <w:szCs w:val="24"/>
        </w:rPr>
        <w:t>Abstract</w:t>
      </w:r>
    </w:p>
    <w:p w14:paraId="044B8381" w14:textId="77777777" w:rsidR="005D24AB" w:rsidRPr="00635143" w:rsidRDefault="00635143" w:rsidP="00635143">
      <w:pPr>
        <w:jc w:val="both"/>
        <w:rPr>
          <w:rFonts w:ascii="Times New Roman" w:hAnsi="Times New Roman" w:cs="Times New Roman"/>
          <w:color w:val="FF0000"/>
          <w:sz w:val="24"/>
          <w:szCs w:val="24"/>
        </w:rPr>
      </w:pPr>
      <w:r w:rsidRPr="00635143">
        <w:rPr>
          <w:rFonts w:ascii="Times New Roman" w:hAnsi="Times New Roman" w:cs="Times New Roman"/>
          <w:sz w:val="24"/>
          <w:szCs w:val="24"/>
        </w:rPr>
        <w:t>The manuscript examines climate change through multiple complementary lenses, integrating quantit</w:t>
      </w:r>
      <w:r>
        <w:rPr>
          <w:rFonts w:ascii="Times New Roman" w:hAnsi="Times New Roman" w:cs="Times New Roman"/>
          <w:sz w:val="24"/>
          <w:szCs w:val="24"/>
        </w:rPr>
        <w:t>ative data analysis,</w:t>
      </w:r>
      <w:r w:rsidRPr="00635143">
        <w:rPr>
          <w:rFonts w:ascii="Times New Roman" w:hAnsi="Times New Roman" w:cs="Times New Roman"/>
          <w:sz w:val="24"/>
          <w:szCs w:val="24"/>
        </w:rPr>
        <w:t xml:space="preserve"> human displacement in response to nat</w:t>
      </w:r>
      <w:r>
        <w:rPr>
          <w:rFonts w:ascii="Times New Roman" w:hAnsi="Times New Roman" w:cs="Times New Roman"/>
          <w:sz w:val="24"/>
          <w:szCs w:val="24"/>
        </w:rPr>
        <w:t xml:space="preserve">ural hazards, and </w:t>
      </w:r>
      <w:r w:rsidRPr="00635143">
        <w:rPr>
          <w:rFonts w:ascii="Times New Roman" w:hAnsi="Times New Roman" w:cs="Times New Roman"/>
          <w:sz w:val="24"/>
          <w:szCs w:val="24"/>
        </w:rPr>
        <w:t>environmental processes such as flooding</w:t>
      </w:r>
      <w:r w:rsidR="007C2359">
        <w:rPr>
          <w:rFonts w:ascii="Times New Roman" w:hAnsi="Times New Roman" w:cs="Times New Roman"/>
          <w:sz w:val="24"/>
          <w:szCs w:val="24"/>
        </w:rPr>
        <w:t>, drought</w:t>
      </w:r>
      <w:r w:rsidRPr="00635143">
        <w:rPr>
          <w:rFonts w:ascii="Times New Roman" w:hAnsi="Times New Roman" w:cs="Times New Roman"/>
          <w:sz w:val="24"/>
          <w:szCs w:val="24"/>
        </w:rPr>
        <w:t xml:space="preserve"> and global temperature variations. </w:t>
      </w:r>
      <w:r>
        <w:rPr>
          <w:rFonts w:ascii="Times New Roman" w:hAnsi="Times New Roman" w:cs="Times New Roman"/>
          <w:sz w:val="24"/>
          <w:szCs w:val="24"/>
        </w:rPr>
        <w:t xml:space="preserve">Additionally, the study focuses </w:t>
      </w:r>
      <w:r w:rsidR="007C2359">
        <w:rPr>
          <w:rFonts w:ascii="Times New Roman" w:hAnsi="Times New Roman" w:cs="Times New Roman"/>
          <w:sz w:val="24"/>
          <w:szCs w:val="24"/>
        </w:rPr>
        <w:t>on</w:t>
      </w:r>
      <w:r>
        <w:rPr>
          <w:rFonts w:ascii="Times New Roman" w:hAnsi="Times New Roman" w:cs="Times New Roman"/>
          <w:sz w:val="24"/>
          <w:szCs w:val="24"/>
        </w:rPr>
        <w:t xml:space="preserve"> a particula</w:t>
      </w:r>
      <w:r w:rsidR="007C2359">
        <w:rPr>
          <w:rFonts w:ascii="Times New Roman" w:hAnsi="Times New Roman" w:cs="Times New Roman"/>
          <w:sz w:val="24"/>
          <w:szCs w:val="24"/>
        </w:rPr>
        <w:t xml:space="preserve">r Spanish experience occurred in 2026 and the problem of </w:t>
      </w:r>
      <w:r w:rsidR="007C2359" w:rsidRPr="006C0F1F">
        <w:rPr>
          <w:rFonts w:ascii="Times New Roman" w:hAnsi="Times New Roman" w:cs="Times New Roman"/>
          <w:sz w:val="24"/>
          <w:szCs w:val="24"/>
        </w:rPr>
        <w:t xml:space="preserve">the </w:t>
      </w:r>
      <w:r w:rsidR="007C2359">
        <w:rPr>
          <w:rFonts w:ascii="Times New Roman" w:hAnsi="Times New Roman" w:cs="Times New Roman"/>
          <w:sz w:val="24"/>
          <w:szCs w:val="24"/>
        </w:rPr>
        <w:t>European energy poverty</w:t>
      </w:r>
      <w:r w:rsidR="00C11EBD">
        <w:rPr>
          <w:rFonts w:ascii="Times New Roman" w:hAnsi="Times New Roman" w:cs="Times New Roman"/>
          <w:sz w:val="24"/>
          <w:szCs w:val="24"/>
        </w:rPr>
        <w:t xml:space="preserve"> thus providing</w:t>
      </w:r>
      <w:r w:rsidRPr="00635143">
        <w:rPr>
          <w:rFonts w:ascii="Times New Roman" w:hAnsi="Times New Roman" w:cs="Times New Roman"/>
          <w:sz w:val="24"/>
          <w:szCs w:val="24"/>
        </w:rPr>
        <w:t xml:space="preserve"> a holistic understanding of both the physical impacts of climate change and their societal consequences, particularly on vulnerable populations.</w:t>
      </w:r>
    </w:p>
    <w:p w14:paraId="600094EC" w14:textId="77777777" w:rsidR="005D24AB" w:rsidRDefault="00E725ED" w:rsidP="005D24AB">
      <w:pPr>
        <w:rPr>
          <w:rFonts w:ascii="Times New Roman" w:hAnsi="Times New Roman" w:cs="Times New Roman"/>
          <w:sz w:val="24"/>
          <w:szCs w:val="24"/>
        </w:rPr>
      </w:pPr>
      <w:r w:rsidRPr="005D24AB">
        <w:rPr>
          <w:rFonts w:ascii="Times New Roman" w:hAnsi="Times New Roman" w:cs="Times New Roman"/>
          <w:b/>
          <w:sz w:val="24"/>
          <w:szCs w:val="24"/>
        </w:rPr>
        <w:t xml:space="preserve">Keywords: </w:t>
      </w:r>
      <w:r w:rsidRPr="005D24AB">
        <w:rPr>
          <w:rFonts w:ascii="Times New Roman" w:hAnsi="Times New Roman" w:cs="Times New Roman"/>
          <w:sz w:val="24"/>
          <w:szCs w:val="24"/>
        </w:rPr>
        <w:t>Climate change, Clima</w:t>
      </w:r>
      <w:r w:rsidR="006D4A11">
        <w:rPr>
          <w:rFonts w:ascii="Times New Roman" w:hAnsi="Times New Roman" w:cs="Times New Roman"/>
          <w:sz w:val="24"/>
          <w:szCs w:val="24"/>
        </w:rPr>
        <w:t xml:space="preserve">te migrations, Adaptation, </w:t>
      </w:r>
      <w:r w:rsidR="00C11EBD">
        <w:rPr>
          <w:rFonts w:ascii="Times New Roman" w:hAnsi="Times New Roman" w:cs="Times New Roman"/>
          <w:sz w:val="24"/>
          <w:szCs w:val="24"/>
        </w:rPr>
        <w:t xml:space="preserve">Energy poverty, </w:t>
      </w:r>
      <w:r w:rsidR="005D24AB" w:rsidRPr="005D24AB">
        <w:rPr>
          <w:rFonts w:ascii="Times New Roman" w:hAnsi="Times New Roman" w:cs="Times New Roman"/>
          <w:sz w:val="24"/>
          <w:szCs w:val="24"/>
        </w:rPr>
        <w:t>Spain</w:t>
      </w:r>
      <w:r w:rsidR="009B558F">
        <w:rPr>
          <w:rFonts w:ascii="Times New Roman" w:hAnsi="Times New Roman" w:cs="Times New Roman"/>
          <w:sz w:val="24"/>
          <w:szCs w:val="24"/>
        </w:rPr>
        <w:t>, Bulgaria</w:t>
      </w:r>
    </w:p>
    <w:p w14:paraId="115E1042" w14:textId="77777777" w:rsidR="00635143" w:rsidRPr="005D24AB" w:rsidRDefault="00635143" w:rsidP="005D24AB">
      <w:pPr>
        <w:rPr>
          <w:rFonts w:ascii="Times New Roman" w:hAnsi="Times New Roman" w:cs="Times New Roman"/>
          <w:sz w:val="24"/>
          <w:szCs w:val="24"/>
        </w:rPr>
      </w:pPr>
    </w:p>
    <w:p w14:paraId="60A26461" w14:textId="77777777" w:rsidR="00765A37" w:rsidRPr="0005692B" w:rsidRDefault="00765A37" w:rsidP="0005692B">
      <w:pPr>
        <w:pStyle w:val="ListParagraph"/>
        <w:numPr>
          <w:ilvl w:val="0"/>
          <w:numId w:val="22"/>
        </w:numPr>
        <w:rPr>
          <w:rFonts w:ascii="Times New Roman" w:hAnsi="Times New Roman"/>
          <w:b/>
          <w:i/>
          <w:sz w:val="24"/>
          <w:szCs w:val="24"/>
        </w:rPr>
      </w:pPr>
      <w:r w:rsidRPr="0005692B">
        <w:rPr>
          <w:rFonts w:ascii="Times New Roman" w:hAnsi="Times New Roman"/>
          <w:b/>
          <w:sz w:val="24"/>
          <w:szCs w:val="24"/>
        </w:rPr>
        <w:t>Introduction</w:t>
      </w:r>
    </w:p>
    <w:p w14:paraId="50F1C41D" w14:textId="77777777" w:rsidR="00263B5D" w:rsidRDefault="00263B5D" w:rsidP="00F22D66">
      <w:pPr>
        <w:spacing w:before="100" w:beforeAutospacing="1" w:after="100" w:afterAutospacing="1" w:line="480" w:lineRule="auto"/>
        <w:jc w:val="both"/>
        <w:rPr>
          <w:rFonts w:ascii="Times New Roman" w:hAnsi="Times New Roman"/>
          <w:sz w:val="24"/>
          <w:szCs w:val="24"/>
        </w:rPr>
      </w:pPr>
      <w:r>
        <w:rPr>
          <w:rFonts w:ascii="Times New Roman" w:eastAsia="Times New Roman" w:hAnsi="Times New Roman" w:cs="Times New Roman"/>
          <w:sz w:val="24"/>
          <w:szCs w:val="24"/>
          <w:lang w:val="en-US" w:eastAsia="en-GB"/>
        </w:rPr>
        <w:t>C</w:t>
      </w:r>
      <w:proofErr w:type="spellStart"/>
      <w:r w:rsidRPr="00263B5D">
        <w:rPr>
          <w:rFonts w:ascii="Times New Roman" w:eastAsia="Times New Roman" w:hAnsi="Times New Roman" w:cs="Times New Roman"/>
          <w:sz w:val="24"/>
          <w:szCs w:val="24"/>
          <w:lang w:eastAsia="en-GB"/>
        </w:rPr>
        <w:t>limate</w:t>
      </w:r>
      <w:proofErr w:type="spellEnd"/>
      <w:r w:rsidRPr="00263B5D">
        <w:rPr>
          <w:rFonts w:ascii="Times New Roman" w:eastAsia="Times New Roman" w:hAnsi="Times New Roman" w:cs="Times New Roman"/>
          <w:sz w:val="24"/>
          <w:szCs w:val="24"/>
          <w:lang w:eastAsia="en-GB"/>
        </w:rPr>
        <w:t xml:space="preserve"> change is int</w:t>
      </w:r>
      <w:r>
        <w:rPr>
          <w:rFonts w:ascii="Times New Roman" w:eastAsia="Times New Roman" w:hAnsi="Times New Roman" w:cs="Times New Roman"/>
          <w:sz w:val="24"/>
          <w:szCs w:val="24"/>
          <w:lang w:eastAsia="en-GB"/>
        </w:rPr>
        <w:t xml:space="preserve">ensifying environmental hazards </w:t>
      </w:r>
      <w:r w:rsidRPr="00263B5D">
        <w:rPr>
          <w:rFonts w:ascii="Times New Roman" w:eastAsia="Times New Roman" w:hAnsi="Times New Roman" w:cs="Times New Roman"/>
          <w:sz w:val="24"/>
          <w:szCs w:val="24"/>
          <w:lang w:eastAsia="en-GB"/>
        </w:rPr>
        <w:t>including heatwaves, deterior</w:t>
      </w:r>
      <w:r>
        <w:rPr>
          <w:rFonts w:ascii="Times New Roman" w:eastAsia="Times New Roman" w:hAnsi="Times New Roman" w:cs="Times New Roman"/>
          <w:sz w:val="24"/>
          <w:szCs w:val="24"/>
          <w:lang w:eastAsia="en-GB"/>
        </w:rPr>
        <w:t xml:space="preserve">ating air quality, and flooding. </w:t>
      </w:r>
      <w:r w:rsidRPr="00263B5D">
        <w:rPr>
          <w:rFonts w:ascii="Times New Roman" w:eastAsia="Times New Roman" w:hAnsi="Times New Roman" w:cs="Times New Roman"/>
          <w:sz w:val="24"/>
          <w:szCs w:val="24"/>
          <w:lang w:eastAsia="en-GB"/>
        </w:rPr>
        <w:t xml:space="preserve">Across many regions, the frequency and intensity of </w:t>
      </w:r>
      <w:r>
        <w:rPr>
          <w:rFonts w:ascii="Times New Roman" w:eastAsia="Times New Roman" w:hAnsi="Times New Roman" w:cs="Times New Roman"/>
          <w:sz w:val="24"/>
          <w:szCs w:val="24"/>
          <w:lang w:eastAsia="en-GB"/>
        </w:rPr>
        <w:t xml:space="preserve">extreme weather events </w:t>
      </w:r>
      <w:r w:rsidR="007C2359">
        <w:rPr>
          <w:rFonts w:ascii="Times New Roman" w:eastAsia="Times New Roman" w:hAnsi="Times New Roman" w:cs="Times New Roman"/>
          <w:sz w:val="24"/>
          <w:szCs w:val="24"/>
          <w:lang w:eastAsia="en-GB"/>
        </w:rPr>
        <w:t>have risen</w:t>
      </w:r>
      <w:r w:rsidRPr="00263B5D">
        <w:rPr>
          <w:rFonts w:ascii="Times New Roman" w:eastAsia="Times New Roman" w:hAnsi="Times New Roman" w:cs="Times New Roman"/>
          <w:sz w:val="24"/>
          <w:szCs w:val="24"/>
          <w:lang w:eastAsia="en-GB"/>
        </w:rPr>
        <w:t xml:space="preserve">. </w:t>
      </w:r>
      <w:r w:rsidR="00765A37" w:rsidRPr="00765A37">
        <w:rPr>
          <w:rFonts w:ascii="Times New Roman" w:hAnsi="Times New Roman"/>
          <w:sz w:val="24"/>
          <w:szCs w:val="24"/>
        </w:rPr>
        <w:t xml:space="preserve">In a recent </w:t>
      </w:r>
      <w:r w:rsidR="00A26EEC">
        <w:rPr>
          <w:rFonts w:ascii="Times New Roman" w:hAnsi="Times New Roman"/>
          <w:sz w:val="24"/>
          <w:szCs w:val="24"/>
        </w:rPr>
        <w:t xml:space="preserve">publication, </w:t>
      </w:r>
      <w:r w:rsidR="00765A37" w:rsidRPr="00CE64BB">
        <w:rPr>
          <w:rFonts w:ascii="Times New Roman" w:hAnsi="Times New Roman"/>
          <w:sz w:val="24"/>
          <w:szCs w:val="24"/>
        </w:rPr>
        <w:t xml:space="preserve">Ripple et al. (2024) </w:t>
      </w:r>
      <w:r w:rsidRPr="00CE64BB">
        <w:rPr>
          <w:rFonts w:ascii="Times New Roman" w:hAnsi="Times New Roman"/>
          <w:sz w:val="24"/>
          <w:szCs w:val="24"/>
        </w:rPr>
        <w:t xml:space="preserve">highlighted </w:t>
      </w:r>
      <w:r w:rsidR="00765A37" w:rsidRPr="00765A37">
        <w:rPr>
          <w:rFonts w:ascii="Times New Roman" w:hAnsi="Times New Roman"/>
          <w:sz w:val="24"/>
          <w:szCs w:val="24"/>
        </w:rPr>
        <w:t>the escalating severity of the global climate emergency, warning that the Earth system may be approaching irreversible tipping points. The authors argue</w:t>
      </w:r>
      <w:r>
        <w:rPr>
          <w:rFonts w:ascii="Times New Roman" w:hAnsi="Times New Roman"/>
          <w:sz w:val="24"/>
          <w:szCs w:val="24"/>
        </w:rPr>
        <w:t>d</w:t>
      </w:r>
      <w:r w:rsidR="00765A37" w:rsidRPr="00765A37">
        <w:rPr>
          <w:rFonts w:ascii="Times New Roman" w:hAnsi="Times New Roman"/>
          <w:sz w:val="24"/>
          <w:szCs w:val="24"/>
        </w:rPr>
        <w:t xml:space="preserve"> that the fundamental conditions sustaining life are increasingly at risk as the climate system enters a critical and highly uncertain phase. </w:t>
      </w:r>
    </w:p>
    <w:p w14:paraId="65FD756F" w14:textId="77777777" w:rsidR="00765A37" w:rsidRPr="00263B5D" w:rsidRDefault="007C2359" w:rsidP="00F22D66">
      <w:pPr>
        <w:spacing w:before="100" w:beforeAutospacing="1" w:after="100" w:afterAutospacing="1" w:line="480" w:lineRule="auto"/>
        <w:jc w:val="both"/>
        <w:rPr>
          <w:rFonts w:ascii="Times New Roman" w:hAnsi="Times New Roman"/>
          <w:i/>
          <w:color w:val="FF0000"/>
          <w:sz w:val="24"/>
          <w:szCs w:val="24"/>
        </w:rPr>
      </w:pPr>
      <w:r>
        <w:rPr>
          <w:rFonts w:ascii="Times New Roman" w:hAnsi="Times New Roman"/>
          <w:sz w:val="24"/>
          <w:szCs w:val="24"/>
        </w:rPr>
        <w:t>Recent</w:t>
      </w:r>
      <w:r w:rsidR="00263B5D">
        <w:rPr>
          <w:rFonts w:ascii="Times New Roman" w:hAnsi="Times New Roman"/>
          <w:sz w:val="24"/>
          <w:szCs w:val="24"/>
        </w:rPr>
        <w:t xml:space="preserve"> studies have </w:t>
      </w:r>
      <w:r w:rsidR="00263B5D" w:rsidRPr="00263B5D">
        <w:rPr>
          <w:rFonts w:ascii="Times New Roman" w:hAnsi="Times New Roman"/>
          <w:sz w:val="24"/>
          <w:szCs w:val="24"/>
        </w:rPr>
        <w:t>revealed</w:t>
      </w:r>
      <w:r w:rsidR="00CA5F7B" w:rsidRPr="00263B5D">
        <w:rPr>
          <w:rFonts w:ascii="Times New Roman" w:hAnsi="Times New Roman"/>
          <w:sz w:val="24"/>
          <w:szCs w:val="24"/>
        </w:rPr>
        <w:t xml:space="preserve"> that</w:t>
      </w:r>
      <w:r w:rsidR="00CA5F7B">
        <w:rPr>
          <w:rFonts w:ascii="Times New Roman" w:hAnsi="Times New Roman"/>
          <w:i/>
          <w:sz w:val="24"/>
          <w:szCs w:val="24"/>
        </w:rPr>
        <w:t xml:space="preserve"> </w:t>
      </w:r>
      <w:r w:rsidR="00765A37" w:rsidRPr="00765A37">
        <w:rPr>
          <w:rFonts w:ascii="Times New Roman" w:hAnsi="Times New Roman"/>
          <w:sz w:val="24"/>
          <w:szCs w:val="24"/>
        </w:rPr>
        <w:t>fossil fuel emissions have reached unpre</w:t>
      </w:r>
      <w:r w:rsidR="00765A37">
        <w:rPr>
          <w:rFonts w:ascii="Times New Roman" w:hAnsi="Times New Roman"/>
          <w:sz w:val="24"/>
          <w:szCs w:val="24"/>
        </w:rPr>
        <w:t xml:space="preserve">cedented levels </w:t>
      </w:r>
      <w:r w:rsidR="00765A37" w:rsidRPr="00765A37">
        <w:rPr>
          <w:rFonts w:ascii="Times New Roman" w:hAnsi="Times New Roman"/>
          <w:sz w:val="24"/>
          <w:szCs w:val="24"/>
        </w:rPr>
        <w:t xml:space="preserve">and current policy trajectories are projected to result in approximately 2.7°C of warming by 2100 </w:t>
      </w:r>
      <w:r w:rsidR="00765A37" w:rsidRPr="00CE64BB">
        <w:rPr>
          <w:rFonts w:ascii="Times New Roman" w:hAnsi="Times New Roman"/>
          <w:sz w:val="24"/>
          <w:szCs w:val="24"/>
        </w:rPr>
        <w:t xml:space="preserve">(UNEP, 2023). As emphasized by Ripple et al. (2024), the impacts of climate change are no longer theoretical; rather, they are already manifesting in the </w:t>
      </w:r>
      <w:r w:rsidR="00765A37" w:rsidRPr="00765A37">
        <w:rPr>
          <w:rFonts w:ascii="Times New Roman" w:hAnsi="Times New Roman"/>
          <w:sz w:val="24"/>
          <w:szCs w:val="24"/>
        </w:rPr>
        <w:t>form of increasingly frequent and severe disruptions with global consequences.</w:t>
      </w:r>
    </w:p>
    <w:p w14:paraId="478F088D" w14:textId="77777777" w:rsidR="00D97AAB" w:rsidRPr="00E928E2" w:rsidRDefault="00D97AAB"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97AAB">
        <w:rPr>
          <w:rFonts w:ascii="Times New Roman" w:eastAsia="Times New Roman" w:hAnsi="Times New Roman" w:cs="Times New Roman"/>
          <w:sz w:val="24"/>
          <w:szCs w:val="24"/>
          <w:lang w:eastAsia="en-GB"/>
        </w:rPr>
        <w:lastRenderedPageBreak/>
        <w:t>During the period 2011–2020, global mean surface temperature was approximately 1.09°C above the 18</w:t>
      </w:r>
      <w:r w:rsidR="007C2359">
        <w:rPr>
          <w:rFonts w:ascii="Times New Roman" w:eastAsia="Times New Roman" w:hAnsi="Times New Roman" w:cs="Times New Roman"/>
          <w:sz w:val="24"/>
          <w:szCs w:val="24"/>
          <w:lang w:eastAsia="en-GB"/>
        </w:rPr>
        <w:t>50–1900 baseline (</w:t>
      </w:r>
      <w:r w:rsidRPr="00D97AAB">
        <w:rPr>
          <w:rFonts w:ascii="Times New Roman" w:eastAsia="Times New Roman" w:hAnsi="Times New Roman" w:cs="Times New Roman"/>
          <w:sz w:val="24"/>
          <w:szCs w:val="24"/>
          <w:lang w:eastAsia="en-GB"/>
        </w:rPr>
        <w:t>0.95–1.20°C). Warming has been spatially heterogeneous, with greater increa</w:t>
      </w:r>
      <w:r w:rsidR="007C2359">
        <w:rPr>
          <w:rFonts w:ascii="Times New Roman" w:eastAsia="Times New Roman" w:hAnsi="Times New Roman" w:cs="Times New Roman"/>
          <w:sz w:val="24"/>
          <w:szCs w:val="24"/>
          <w:lang w:eastAsia="en-GB"/>
        </w:rPr>
        <w:t>ses observed over land (</w:t>
      </w:r>
      <w:r w:rsidRPr="00D97AAB">
        <w:rPr>
          <w:rFonts w:ascii="Times New Roman" w:eastAsia="Times New Roman" w:hAnsi="Times New Roman" w:cs="Times New Roman"/>
          <w:sz w:val="24"/>
          <w:szCs w:val="24"/>
          <w:lang w:eastAsia="en-GB"/>
        </w:rPr>
        <w:t>1.34–1.83°</w:t>
      </w:r>
      <w:r w:rsidR="007C2359">
        <w:rPr>
          <w:rFonts w:ascii="Times New Roman" w:eastAsia="Times New Roman" w:hAnsi="Times New Roman" w:cs="Times New Roman"/>
          <w:sz w:val="24"/>
          <w:szCs w:val="24"/>
          <w:lang w:eastAsia="en-GB"/>
        </w:rPr>
        <w:t>C) than over the ocean (</w:t>
      </w:r>
      <w:r w:rsidRPr="00D97AAB">
        <w:rPr>
          <w:rFonts w:ascii="Times New Roman" w:eastAsia="Times New Roman" w:hAnsi="Times New Roman" w:cs="Times New Roman"/>
          <w:sz w:val="24"/>
          <w:szCs w:val="24"/>
          <w:lang w:eastAsia="en-GB"/>
        </w:rPr>
        <w:t>0.68–1.01°C). The observed rise in temperature is attributable primarily to anthropogenic influences, notably emissions of we</w:t>
      </w:r>
      <w:r w:rsidR="00CA5F7B">
        <w:rPr>
          <w:rFonts w:ascii="Times New Roman" w:eastAsia="Times New Roman" w:hAnsi="Times New Roman" w:cs="Times New Roman"/>
          <w:sz w:val="24"/>
          <w:szCs w:val="24"/>
          <w:lang w:eastAsia="en-GB"/>
        </w:rPr>
        <w:t>ll-mixed greenhouse gases</w:t>
      </w:r>
      <w:r w:rsidRPr="00D97AAB">
        <w:rPr>
          <w:rFonts w:ascii="Times New Roman" w:eastAsia="Times New Roman" w:hAnsi="Times New Roman" w:cs="Times New Roman"/>
          <w:sz w:val="24"/>
          <w:szCs w:val="24"/>
          <w:lang w:eastAsia="en-GB"/>
        </w:rPr>
        <w:t>, dominated by carb</w:t>
      </w:r>
      <w:r w:rsidR="00CA5F7B">
        <w:rPr>
          <w:rFonts w:ascii="Times New Roman" w:eastAsia="Times New Roman" w:hAnsi="Times New Roman" w:cs="Times New Roman"/>
          <w:sz w:val="24"/>
          <w:szCs w:val="24"/>
          <w:lang w:eastAsia="en-GB"/>
        </w:rPr>
        <w:t>on dioxide and methane</w:t>
      </w:r>
      <w:r w:rsidR="007C2359">
        <w:rPr>
          <w:rFonts w:ascii="Times New Roman" w:eastAsia="Times New Roman" w:hAnsi="Times New Roman" w:cs="Times New Roman"/>
          <w:sz w:val="24"/>
          <w:szCs w:val="24"/>
          <w:lang w:eastAsia="en-GB"/>
        </w:rPr>
        <w:t xml:space="preserve"> </w:t>
      </w:r>
      <w:r w:rsidR="00E928E2">
        <w:rPr>
          <w:rFonts w:ascii="Times New Roman" w:eastAsia="Times New Roman" w:hAnsi="Times New Roman" w:cs="Times New Roman"/>
          <w:sz w:val="24"/>
          <w:szCs w:val="24"/>
          <w:lang w:eastAsia="en-GB"/>
        </w:rPr>
        <w:t xml:space="preserve">(IPCC, 2023; </w:t>
      </w:r>
      <w:r w:rsidR="00E928E2" w:rsidRPr="00E928E2">
        <w:rPr>
          <w:rFonts w:ascii="Times New Roman" w:eastAsia="Times New Roman" w:hAnsi="Times New Roman" w:cs="Times New Roman"/>
          <w:sz w:val="24"/>
          <w:szCs w:val="24"/>
          <w:lang w:eastAsia="en-GB"/>
        </w:rPr>
        <w:t>UK Met Office</w:t>
      </w:r>
      <w:r w:rsidR="00E928E2">
        <w:rPr>
          <w:rFonts w:ascii="Times New Roman" w:eastAsia="Times New Roman" w:hAnsi="Times New Roman" w:cs="Times New Roman"/>
          <w:sz w:val="24"/>
          <w:szCs w:val="24"/>
          <w:lang w:eastAsia="en-GB"/>
        </w:rPr>
        <w:t>, 2026).</w:t>
      </w:r>
    </w:p>
    <w:p w14:paraId="5547F245" w14:textId="77777777" w:rsidR="00487B5F" w:rsidRDefault="00765A37" w:rsidP="00F22D66">
      <w:pPr>
        <w:pStyle w:val="NormalWeb"/>
        <w:spacing w:line="480" w:lineRule="auto"/>
        <w:jc w:val="both"/>
      </w:pPr>
      <w:r>
        <w:t>Recent observational data further support these trends. Daily sea surface temperature records from the Climate Change Institute at the University of Maine indicate a clear upward trajectory over the past decade</w:t>
      </w:r>
      <w:r w:rsidR="00F16A9D">
        <w:t>, with a pronounced peak in 2025 (Fig. 1</w:t>
      </w:r>
      <w:r>
        <w:t xml:space="preserve">) </w:t>
      </w:r>
      <w:r w:rsidRPr="00CE64BB">
        <w:t xml:space="preserve">(ClimateAnalyzer1, </w:t>
      </w:r>
      <w:r w:rsidR="00F16A9D" w:rsidRPr="00CE64BB">
        <w:t>2025</w:t>
      </w:r>
      <w:r w:rsidRPr="00CE64BB">
        <w:t>). A similar pattern is evident in global daily surface air t</w:t>
      </w:r>
      <w:r w:rsidR="00F16A9D" w:rsidRPr="00CE64BB">
        <w:t>emperatures (Fig. 2) (ClimateAnalyzer2, 2025</w:t>
      </w:r>
      <w:r w:rsidRPr="00CE64BB">
        <w:t>). These changes are accompanied by a marked decline</w:t>
      </w:r>
      <w:r w:rsidR="00CC6D56" w:rsidRPr="00CE64BB">
        <w:t xml:space="preserve"> in daily sea ice extent (Fig. 3</w:t>
      </w:r>
      <w:r w:rsidR="00E725ED" w:rsidRPr="00CE64BB">
        <w:t>) (ClimateAnalyzer3, 2025</w:t>
      </w:r>
      <w:r w:rsidRPr="00CE64BB">
        <w:t>)</w:t>
      </w:r>
      <w:r w:rsidR="00E928E2">
        <w:t xml:space="preserve">, (Lindsey et al., </w:t>
      </w:r>
      <w:r w:rsidR="00E928E2" w:rsidRPr="00E928E2">
        <w:t>2023)</w:t>
      </w:r>
      <w:r w:rsidR="00E928E2">
        <w:t>.</w:t>
      </w:r>
    </w:p>
    <w:p w14:paraId="4426343B" w14:textId="77777777" w:rsidR="00582BB9" w:rsidRPr="00582BB9" w:rsidRDefault="00582BB9" w:rsidP="00CA5F7B">
      <w:pPr>
        <w:pStyle w:val="NormalWeb"/>
        <w:jc w:val="both"/>
      </w:pPr>
    </w:p>
    <w:p w14:paraId="08AE9C3F" w14:textId="77777777" w:rsidR="00591525" w:rsidRPr="00591525" w:rsidRDefault="00591525" w:rsidP="00F16A9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91525">
        <w:rPr>
          <w:rFonts w:ascii="Times New Roman" w:eastAsia="Times New Roman" w:hAnsi="Times New Roman" w:cs="Times New Roman"/>
          <w:noProof/>
          <w:sz w:val="24"/>
          <w:szCs w:val="24"/>
          <w:lang w:eastAsia="en-GB"/>
        </w:rPr>
        <w:drawing>
          <wp:inline distT="0" distB="0" distL="0" distR="0" wp14:anchorId="594F46A9" wp14:editId="51569B4F">
            <wp:extent cx="5458920" cy="2895600"/>
            <wp:effectExtent l="0" t="0" r="8890" b="0"/>
            <wp:docPr id="14" name="Imagen 14" descr="C:\Users\elka\Downloads\oisst2.1_world2_sst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ka\Downloads\oisst2.1_world2_sst_day(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7575" cy="2974452"/>
                    </a:xfrm>
                    <a:prstGeom prst="rect">
                      <a:avLst/>
                    </a:prstGeom>
                    <a:noFill/>
                    <a:ln>
                      <a:noFill/>
                    </a:ln>
                  </pic:spPr>
                </pic:pic>
              </a:graphicData>
            </a:graphic>
          </wp:inline>
        </w:drawing>
      </w:r>
    </w:p>
    <w:p w14:paraId="2DACC413" w14:textId="77777777" w:rsidR="006C0F1F" w:rsidRDefault="00F16A9D" w:rsidP="00064339">
      <w:pPr>
        <w:pStyle w:val="NormalWeb"/>
        <w:jc w:val="center"/>
      </w:pPr>
      <w:r w:rsidRPr="006C0F1F">
        <w:t>Fig</w:t>
      </w:r>
      <w:r w:rsidR="00DD45CF" w:rsidRPr="006C0F1F">
        <w:t>ure</w:t>
      </w:r>
      <w:r w:rsidRPr="006C0F1F">
        <w:t>. 1</w:t>
      </w:r>
      <w:r w:rsidR="006C0F1F" w:rsidRPr="006C0F1F">
        <w:t>. Daily see surface temperature. Source: ClimateAnalyzer1</w:t>
      </w:r>
      <w:r w:rsidR="006C0F1F" w:rsidRPr="00CE64BB">
        <w:t xml:space="preserve">, </w:t>
      </w:r>
      <w:r w:rsidR="006C0F1F">
        <w:t>(</w:t>
      </w:r>
      <w:r w:rsidR="006C0F1F" w:rsidRPr="00CE64BB">
        <w:t>2025</w:t>
      </w:r>
      <w:r w:rsidR="006C0F1F">
        <w:t>)</w:t>
      </w:r>
      <w:r w:rsidR="00582BB9">
        <w:t>.</w:t>
      </w:r>
    </w:p>
    <w:p w14:paraId="57EAE6AA" w14:textId="77777777" w:rsidR="00582BB9" w:rsidRPr="00064339" w:rsidRDefault="00582BB9" w:rsidP="00064339">
      <w:pPr>
        <w:pStyle w:val="NormalWeb"/>
        <w:jc w:val="center"/>
      </w:pPr>
    </w:p>
    <w:p w14:paraId="699FF8D3" w14:textId="77777777" w:rsidR="00D46CF1" w:rsidRDefault="00D46CF1" w:rsidP="00E95F6F">
      <w:pPr>
        <w:pStyle w:val="NormalWeb"/>
        <w:jc w:val="center"/>
      </w:pPr>
      <w:r>
        <w:rPr>
          <w:noProof/>
        </w:rPr>
        <w:lastRenderedPageBreak/>
        <w:drawing>
          <wp:inline distT="0" distB="0" distL="0" distR="0" wp14:anchorId="0290FE58" wp14:editId="0F7A24E1">
            <wp:extent cx="5494832" cy="2914650"/>
            <wp:effectExtent l="0" t="0" r="0" b="0"/>
            <wp:docPr id="5" name="Imagen 5" descr="C:\Users\elka\Downloads\era5_world_t2_d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ka\Downloads\era5_world_t2_day.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9732" cy="3071075"/>
                    </a:xfrm>
                    <a:prstGeom prst="rect">
                      <a:avLst/>
                    </a:prstGeom>
                    <a:noFill/>
                    <a:ln>
                      <a:noFill/>
                    </a:ln>
                  </pic:spPr>
                </pic:pic>
              </a:graphicData>
            </a:graphic>
          </wp:inline>
        </w:drawing>
      </w:r>
    </w:p>
    <w:p w14:paraId="3919942A" w14:textId="77777777" w:rsidR="00591525" w:rsidRPr="00CC6D56" w:rsidRDefault="00F16A9D" w:rsidP="00CC6D56">
      <w:pPr>
        <w:pStyle w:val="NormalWeb"/>
        <w:jc w:val="center"/>
        <w:rPr>
          <w:color w:val="FF0000"/>
        </w:rPr>
      </w:pPr>
      <w:r w:rsidRPr="006C0F1F">
        <w:t>Fig</w:t>
      </w:r>
      <w:r w:rsidR="00DD45CF" w:rsidRPr="006C0F1F">
        <w:t>ure</w:t>
      </w:r>
      <w:r w:rsidRPr="006C0F1F">
        <w:t>. 2</w:t>
      </w:r>
      <w:r w:rsidR="006C0F1F" w:rsidRPr="006C0F1F">
        <w:t xml:space="preserve">. Daily surface temperature. Source </w:t>
      </w:r>
      <w:r w:rsidR="006C0F1F">
        <w:t>ClimateAnalyzer2</w:t>
      </w:r>
      <w:r w:rsidR="006C0F1F" w:rsidRPr="00CE64BB">
        <w:t xml:space="preserve">, </w:t>
      </w:r>
      <w:r w:rsidR="006C0F1F">
        <w:t>(</w:t>
      </w:r>
      <w:r w:rsidR="006C0F1F" w:rsidRPr="00CE64BB">
        <w:t>2025</w:t>
      </w:r>
      <w:r w:rsidR="006C0F1F">
        <w:t>)</w:t>
      </w:r>
    </w:p>
    <w:p w14:paraId="2555DD1C" w14:textId="77777777" w:rsidR="00E95F6F" w:rsidRPr="00E95F6F" w:rsidRDefault="00E95F6F" w:rsidP="00E95F6F">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95F6F">
        <w:rPr>
          <w:rFonts w:ascii="Times New Roman" w:eastAsia="Times New Roman" w:hAnsi="Times New Roman" w:cs="Times New Roman"/>
          <w:noProof/>
          <w:sz w:val="24"/>
          <w:szCs w:val="24"/>
          <w:lang w:eastAsia="en-GB"/>
        </w:rPr>
        <w:drawing>
          <wp:inline distT="0" distB="0" distL="0" distR="0" wp14:anchorId="5BE573FA" wp14:editId="0C9F1D0F">
            <wp:extent cx="5104043" cy="3248025"/>
            <wp:effectExtent l="0" t="0" r="1905" b="0"/>
            <wp:docPr id="15" name="Imagen 15" descr="C:\Users\elka\Downloads\seaice_ext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ka\Downloads\seaice_extent(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7835" cy="3371347"/>
                    </a:xfrm>
                    <a:prstGeom prst="rect">
                      <a:avLst/>
                    </a:prstGeom>
                    <a:noFill/>
                    <a:ln>
                      <a:noFill/>
                    </a:ln>
                  </pic:spPr>
                </pic:pic>
              </a:graphicData>
            </a:graphic>
          </wp:inline>
        </w:drawing>
      </w:r>
    </w:p>
    <w:p w14:paraId="6A104A72" w14:textId="77777777" w:rsidR="00E2066E" w:rsidRPr="00CC6D56" w:rsidRDefault="00F16A9D" w:rsidP="00CC6D56">
      <w:pPr>
        <w:pStyle w:val="NormalWeb"/>
        <w:jc w:val="center"/>
        <w:rPr>
          <w:color w:val="FF0000"/>
        </w:rPr>
      </w:pPr>
      <w:r w:rsidRPr="006C0F1F">
        <w:t>Fig</w:t>
      </w:r>
      <w:r w:rsidR="00DD45CF" w:rsidRPr="006C0F1F">
        <w:t>ure</w:t>
      </w:r>
      <w:r w:rsidRPr="006C0F1F">
        <w:t>. 3</w:t>
      </w:r>
      <w:r w:rsidR="006C0F1F" w:rsidRPr="006C0F1F">
        <w:t>. Northern hemisphere sea ice extent. Source Cli</w:t>
      </w:r>
      <w:r w:rsidR="006C0F1F">
        <w:t>mateAnalyzer3</w:t>
      </w:r>
      <w:r w:rsidR="006C0F1F" w:rsidRPr="00CE64BB">
        <w:t xml:space="preserve">, </w:t>
      </w:r>
      <w:r w:rsidR="006C0F1F">
        <w:t>(</w:t>
      </w:r>
      <w:r w:rsidR="006C0F1F" w:rsidRPr="00CE64BB">
        <w:t>2025</w:t>
      </w:r>
      <w:r w:rsidR="006C0F1F">
        <w:t>)</w:t>
      </w:r>
    </w:p>
    <w:p w14:paraId="0E04D800" w14:textId="77777777" w:rsidR="00F16A9D" w:rsidRPr="00F16A9D" w:rsidRDefault="00F16A9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6A9D">
        <w:rPr>
          <w:rFonts w:ascii="Times New Roman" w:eastAsia="Times New Roman" w:hAnsi="Times New Roman" w:cs="Times New Roman"/>
          <w:sz w:val="24"/>
          <w:szCs w:val="24"/>
          <w:lang w:eastAsia="en-GB"/>
        </w:rPr>
        <w:t xml:space="preserve">Climate change intensifies displacement risks and exacerbates existing vulnerabilities among affected populations. It contributes to food and water insecurity, loss of livelihoods, territorial degradation, and broader environmental decline. These impacts can generate competition over scarce resources, strain social and cultural systems, and deepen economic hardship, ultimately forcing populations to migrate. In certain contexts, such displacement may also contribute to </w:t>
      </w:r>
      <w:r w:rsidRPr="00F16A9D">
        <w:rPr>
          <w:rFonts w:ascii="Times New Roman" w:eastAsia="Times New Roman" w:hAnsi="Times New Roman" w:cs="Times New Roman"/>
          <w:sz w:val="24"/>
          <w:szCs w:val="24"/>
          <w:lang w:eastAsia="en-GB"/>
        </w:rPr>
        <w:lastRenderedPageBreak/>
        <w:t>social instability and undermine governance structures. These risks are particularly acute in regions where climate hazards intersect with conflict, resulting in compounded and mutually reinforcing vulnerabilities.</w:t>
      </w:r>
    </w:p>
    <w:p w14:paraId="6ADF30A5" w14:textId="77777777" w:rsidR="00F16A9D" w:rsidRPr="00F16A9D" w:rsidRDefault="00F16A9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6A9D">
        <w:rPr>
          <w:rFonts w:ascii="Times New Roman" w:eastAsia="Times New Roman" w:hAnsi="Times New Roman" w:cs="Times New Roman"/>
          <w:sz w:val="24"/>
          <w:szCs w:val="24"/>
          <w:lang w:eastAsia="en-GB"/>
        </w:rPr>
        <w:t xml:space="preserve">Displacement itself constitutes a critical driver of loss and damage, as it both creates and perpetuates vulnerability beyond directly affected populations. Disruption of livelihoods reduces the capacity of internally displaced persons (IDPs) to generate income, meet basic expenses, and contribute economically. At the same time, displacement increases pressure on housing, healthcare, education, and protection systems, thereby straining already limited resources and public </w:t>
      </w:r>
      <w:r w:rsidRPr="00CE64BB">
        <w:rPr>
          <w:rFonts w:ascii="Times New Roman" w:eastAsia="Times New Roman" w:hAnsi="Times New Roman" w:cs="Times New Roman"/>
          <w:sz w:val="24"/>
          <w:szCs w:val="24"/>
          <w:lang w:eastAsia="en-GB"/>
        </w:rPr>
        <w:t>services (WB, 2023; IDMC, 2024).</w:t>
      </w:r>
    </w:p>
    <w:p w14:paraId="0F5A1012" w14:textId="77777777" w:rsidR="00F16A9D" w:rsidRDefault="00F16A9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6A9D">
        <w:rPr>
          <w:rFonts w:ascii="Times New Roman" w:eastAsia="Times New Roman" w:hAnsi="Times New Roman" w:cs="Times New Roman"/>
          <w:sz w:val="24"/>
          <w:szCs w:val="24"/>
          <w:lang w:eastAsia="en-GB"/>
        </w:rPr>
        <w:t>Looking ahead, climate change is expected to significantly affect access to essential resources, including freshwater, food, and energy. Concurrently, global adaptation and mitigation efforts will increasingly shape development pathways. The interlinkages between climate change and sustainable development are therefore prof</w:t>
      </w:r>
      <w:r w:rsidR="00540B0A">
        <w:rPr>
          <w:rFonts w:ascii="Times New Roman" w:eastAsia="Times New Roman" w:hAnsi="Times New Roman" w:cs="Times New Roman"/>
          <w:sz w:val="24"/>
          <w:szCs w:val="24"/>
          <w:lang w:eastAsia="en-GB"/>
        </w:rPr>
        <w:t xml:space="preserve">ound, with developing countries, </w:t>
      </w:r>
      <w:r w:rsidRPr="00F16A9D">
        <w:rPr>
          <w:rFonts w:ascii="Times New Roman" w:eastAsia="Times New Roman" w:hAnsi="Times New Roman" w:cs="Times New Roman"/>
          <w:sz w:val="24"/>
          <w:szCs w:val="24"/>
          <w:lang w:eastAsia="en-GB"/>
        </w:rPr>
        <w:t>p</w:t>
      </w:r>
      <w:r w:rsidR="00540B0A">
        <w:rPr>
          <w:rFonts w:ascii="Times New Roman" w:eastAsia="Times New Roman" w:hAnsi="Times New Roman" w:cs="Times New Roman"/>
          <w:sz w:val="24"/>
          <w:szCs w:val="24"/>
          <w:lang w:eastAsia="en-GB"/>
        </w:rPr>
        <w:t xml:space="preserve">articularly the least developed, </w:t>
      </w:r>
      <w:r w:rsidRPr="00F16A9D">
        <w:rPr>
          <w:rFonts w:ascii="Times New Roman" w:eastAsia="Times New Roman" w:hAnsi="Times New Roman" w:cs="Times New Roman"/>
          <w:sz w:val="24"/>
          <w:szCs w:val="24"/>
          <w:lang w:eastAsia="en-GB"/>
        </w:rPr>
        <w:t>bearing a disproportionate share of the associated economic, social, and environmental burdens.</w:t>
      </w:r>
    </w:p>
    <w:p w14:paraId="0D274C32" w14:textId="77777777" w:rsidR="001E7973" w:rsidRPr="001E7973" w:rsidRDefault="00540B0A" w:rsidP="00F22D66">
      <w:pPr>
        <w:pStyle w:val="NormalWeb"/>
        <w:spacing w:line="480" w:lineRule="auto"/>
        <w:jc w:val="both"/>
      </w:pPr>
      <w:r>
        <w:t xml:space="preserve">As a step acting towards a mitigation of the climate change, in 2005 the EU designed the </w:t>
      </w:r>
      <w:proofErr w:type="gramStart"/>
      <w:r>
        <w:t>so called</w:t>
      </w:r>
      <w:proofErr w:type="gramEnd"/>
      <w:r>
        <w:t xml:space="preserve"> </w:t>
      </w:r>
      <w:r w:rsidRPr="00540B0A">
        <w:rPr>
          <w:rStyle w:val="Strong"/>
          <w:b w:val="0"/>
        </w:rPr>
        <w:t>European Union Emissions Trading System (EU ETS), which</w:t>
      </w:r>
      <w:r>
        <w:t xml:space="preserve"> is widely regarded as the central instrument of the EU’s climate strategy and a leading example of a large-scale carbon pricing mechanism. It is based on a cap-and-trade framework in which a progressively tightening emissions ceiling is imposed on regulated sectors, while tradable permits grant firms the right to emit a specified quantity of greenhouse gases. By requiring regulated installations to match their verified emissions with allowances, the system embeds a carbon cost into production decisions and promotes cost-effective emission reductions across firms and sectors (Ellerman et al., 2016). Empirical analyses indicate that the EU ETS has delivered measurable </w:t>
      </w:r>
      <w:r>
        <w:lastRenderedPageBreak/>
        <w:t xml:space="preserve">emission abatement, largely driven by changes in the energy mix and incremental technological improvements, even during periods of relatively low carbon prices (Bayer and </w:t>
      </w:r>
      <w:proofErr w:type="spellStart"/>
      <w:r>
        <w:t>Aklin</w:t>
      </w:r>
      <w:proofErr w:type="spellEnd"/>
      <w:r>
        <w:t xml:space="preserve">, 2020). </w:t>
      </w:r>
      <w:r w:rsidR="001E7973">
        <w:t xml:space="preserve">Recent policy developments under the </w:t>
      </w:r>
      <w:r w:rsidR="001E7973">
        <w:rPr>
          <w:rStyle w:val="whitespace-normal"/>
        </w:rPr>
        <w:t>European Green Deal</w:t>
      </w:r>
      <w:r w:rsidR="001E7973">
        <w:t xml:space="preserve"> and associated legislative packages further reinforce the system by tightening the emissions cap and broadening its scope. </w:t>
      </w:r>
      <w:r w:rsidR="00A42482">
        <w:rPr>
          <w:color w:val="000000"/>
          <w:lang w:eastAsia="de-DE" w:bidi="en-US"/>
        </w:rPr>
        <w:t>From the other side, the</w:t>
      </w:r>
      <w:r w:rsidR="00A42482" w:rsidRPr="00540B0A">
        <w:rPr>
          <w:color w:val="000000"/>
          <w:lang w:val="en-US" w:eastAsia="de-DE" w:bidi="en-US"/>
        </w:rPr>
        <w:t xml:space="preserve"> expansion of the EU Emissions Trading System to </w:t>
      </w:r>
      <w:r w:rsidR="00A42482">
        <w:rPr>
          <w:color w:val="000000"/>
          <w:lang w:val="en-US" w:eastAsia="de-DE" w:bidi="en-US"/>
        </w:rPr>
        <w:t>buildings and road transport</w:t>
      </w:r>
      <w:r w:rsidR="00A42482" w:rsidRPr="00540B0A">
        <w:rPr>
          <w:color w:val="000000"/>
          <w:lang w:val="en-US" w:eastAsia="de-DE" w:bidi="en-US"/>
        </w:rPr>
        <w:t xml:space="preserve"> is expected to significantly increase household energy and mobility costs, with disproportionate effects on vulnerable population groups.</w:t>
      </w:r>
      <w:r w:rsidR="00A42482">
        <w:rPr>
          <w:color w:val="000000"/>
          <w:lang w:val="en-US" w:eastAsia="de-DE" w:bidi="en-US"/>
        </w:rPr>
        <w:t xml:space="preserve"> </w:t>
      </w:r>
      <w:r w:rsidR="00A42482">
        <w:t>To mitigate these distributional consequences, Regulation (EU) 2023/955 establishing the Social Climate Fund obliges Member States to systematically identify and prioritize populations experiencing energy and transport pov</w:t>
      </w:r>
      <w:r w:rsidR="007C2359">
        <w:t>erty, with the aim of mitigate</w:t>
      </w:r>
      <w:r w:rsidR="00A42482">
        <w:t xml:space="preserve"> the social impact</w:t>
      </w:r>
      <w:r w:rsidR="00D555C6">
        <w:t xml:space="preserve">s of the low-carbon transition </w:t>
      </w:r>
      <w:r w:rsidR="0049544A">
        <w:t>(</w:t>
      </w:r>
      <w:proofErr w:type="spellStart"/>
      <w:r w:rsidR="0049544A">
        <w:t>Peneva</w:t>
      </w:r>
      <w:proofErr w:type="spellEnd"/>
      <w:r w:rsidR="00A42482">
        <w:t>, 2025).</w:t>
      </w:r>
    </w:p>
    <w:p w14:paraId="37A2E2D8" w14:textId="77777777" w:rsidR="00635143" w:rsidRPr="00C11EBD" w:rsidRDefault="00A26EEC" w:rsidP="00F22D66">
      <w:pPr>
        <w:spacing w:before="100" w:beforeAutospacing="1" w:after="100" w:afterAutospacing="1" w:line="480" w:lineRule="auto"/>
        <w:jc w:val="both"/>
        <w:rPr>
          <w:rFonts w:ascii="Times New Roman" w:hAnsi="Times New Roman" w:cs="Times New Roman"/>
          <w:sz w:val="24"/>
          <w:szCs w:val="24"/>
        </w:rPr>
      </w:pPr>
      <w:r w:rsidRPr="004C20EC">
        <w:rPr>
          <w:rFonts w:ascii="Times New Roman" w:hAnsi="Times New Roman" w:cs="Times New Roman"/>
          <w:sz w:val="24"/>
          <w:szCs w:val="24"/>
        </w:rPr>
        <w:t>The</w:t>
      </w:r>
      <w:r w:rsidR="00D555C6">
        <w:rPr>
          <w:rFonts w:ascii="Times New Roman" w:hAnsi="Times New Roman" w:cs="Times New Roman"/>
          <w:sz w:val="24"/>
          <w:szCs w:val="24"/>
        </w:rPr>
        <w:t xml:space="preserve"> study</w:t>
      </w:r>
      <w:r w:rsidRPr="004C20EC">
        <w:rPr>
          <w:rFonts w:ascii="Times New Roman" w:hAnsi="Times New Roman" w:cs="Times New Roman"/>
          <w:sz w:val="24"/>
          <w:szCs w:val="24"/>
        </w:rPr>
        <w:t xml:space="preserve"> is organised as follows: In Section 2 the Methodology used in this paper is explained. Section 3</w:t>
      </w:r>
      <w:r w:rsidR="00D555C6">
        <w:rPr>
          <w:rFonts w:ascii="Times New Roman" w:hAnsi="Times New Roman" w:cs="Times New Roman"/>
          <w:sz w:val="24"/>
          <w:szCs w:val="24"/>
        </w:rPr>
        <w:t xml:space="preserve"> (Results)</w:t>
      </w:r>
      <w:r w:rsidRPr="004C20EC">
        <w:rPr>
          <w:rFonts w:ascii="Times New Roman" w:hAnsi="Times New Roman" w:cs="Times New Roman"/>
          <w:sz w:val="24"/>
          <w:szCs w:val="24"/>
        </w:rPr>
        <w:t xml:space="preserve"> is devoted to the</w:t>
      </w:r>
      <w:r w:rsidR="004C20EC" w:rsidRPr="004C20EC">
        <w:rPr>
          <w:rFonts w:ascii="Times New Roman" w:hAnsi="Times New Roman" w:cs="Times New Roman"/>
          <w:sz w:val="24"/>
          <w:szCs w:val="24"/>
        </w:rPr>
        <w:t xml:space="preserve"> climate migration in general (3.1 and 3.2), geographic distribution of the natural hazards (3.3)</w:t>
      </w:r>
      <w:r w:rsidR="00C11EBD">
        <w:rPr>
          <w:rFonts w:ascii="Times New Roman" w:hAnsi="Times New Roman" w:cs="Times New Roman"/>
          <w:sz w:val="24"/>
          <w:szCs w:val="24"/>
        </w:rPr>
        <w:t xml:space="preserve">, </w:t>
      </w:r>
      <w:r w:rsidR="00582BB9">
        <w:rPr>
          <w:rFonts w:ascii="Times New Roman" w:hAnsi="Times New Roman" w:cs="Times New Roman"/>
          <w:sz w:val="24"/>
          <w:szCs w:val="24"/>
        </w:rPr>
        <w:t xml:space="preserve">a </w:t>
      </w:r>
      <w:r w:rsidR="00C11EBD">
        <w:rPr>
          <w:rFonts w:ascii="Times New Roman" w:hAnsi="Times New Roman" w:cs="Times New Roman"/>
          <w:sz w:val="24"/>
          <w:szCs w:val="24"/>
        </w:rPr>
        <w:t xml:space="preserve">particular Spanish case of displaced </w:t>
      </w:r>
      <w:r w:rsidR="00582BB9">
        <w:rPr>
          <w:rFonts w:ascii="Times New Roman" w:hAnsi="Times New Roman" w:cs="Times New Roman"/>
          <w:sz w:val="24"/>
          <w:szCs w:val="24"/>
        </w:rPr>
        <w:t>people from climate hazards (3.4</w:t>
      </w:r>
      <w:r w:rsidR="004C20EC" w:rsidRPr="004C20EC">
        <w:rPr>
          <w:rFonts w:ascii="Times New Roman" w:hAnsi="Times New Roman" w:cs="Times New Roman"/>
          <w:sz w:val="24"/>
          <w:szCs w:val="24"/>
        </w:rPr>
        <w:t>)</w:t>
      </w:r>
      <w:r w:rsidR="00CC2094">
        <w:rPr>
          <w:rFonts w:ascii="Times New Roman" w:hAnsi="Times New Roman" w:cs="Times New Roman"/>
          <w:sz w:val="24"/>
          <w:szCs w:val="24"/>
        </w:rPr>
        <w:t xml:space="preserve"> and the problem of energy poverty in Europe (3.5)</w:t>
      </w:r>
      <w:r w:rsidR="004C20EC" w:rsidRPr="004C20EC">
        <w:rPr>
          <w:rFonts w:ascii="Times New Roman" w:hAnsi="Times New Roman" w:cs="Times New Roman"/>
          <w:sz w:val="24"/>
          <w:szCs w:val="24"/>
        </w:rPr>
        <w:t xml:space="preserve">. </w:t>
      </w:r>
      <w:proofErr w:type="gramStart"/>
      <w:r w:rsidR="00064339">
        <w:rPr>
          <w:rFonts w:ascii="Times New Roman" w:hAnsi="Times New Roman" w:cs="Times New Roman"/>
          <w:sz w:val="24"/>
          <w:szCs w:val="24"/>
        </w:rPr>
        <w:t>Finally</w:t>
      </w:r>
      <w:proofErr w:type="gramEnd"/>
      <w:r w:rsidR="00064339">
        <w:rPr>
          <w:rFonts w:ascii="Times New Roman" w:hAnsi="Times New Roman" w:cs="Times New Roman"/>
          <w:sz w:val="24"/>
          <w:szCs w:val="24"/>
        </w:rPr>
        <w:t xml:space="preserve"> Section 4</w:t>
      </w:r>
      <w:r w:rsidR="00064339" w:rsidRPr="004C20EC">
        <w:rPr>
          <w:rFonts w:ascii="Times New Roman" w:hAnsi="Times New Roman" w:cs="Times New Roman"/>
          <w:sz w:val="24"/>
          <w:szCs w:val="24"/>
        </w:rPr>
        <w:t xml:space="preserve"> is devoted to the discussion concerning adaptation and some polic</w:t>
      </w:r>
      <w:r w:rsidR="00064339">
        <w:rPr>
          <w:rFonts w:ascii="Times New Roman" w:hAnsi="Times New Roman" w:cs="Times New Roman"/>
          <w:sz w:val="24"/>
          <w:szCs w:val="24"/>
        </w:rPr>
        <w:t>y instruments thus presenting</w:t>
      </w:r>
      <w:r w:rsidR="004C20EC" w:rsidRPr="004C20EC">
        <w:rPr>
          <w:rFonts w:ascii="Times New Roman" w:hAnsi="Times New Roman" w:cs="Times New Roman"/>
          <w:sz w:val="24"/>
          <w:szCs w:val="24"/>
        </w:rPr>
        <w:t xml:space="preserve"> </w:t>
      </w:r>
      <w:r w:rsidR="00C11EBD" w:rsidRPr="004C20EC">
        <w:rPr>
          <w:rFonts w:ascii="Times New Roman" w:hAnsi="Times New Roman" w:cs="Times New Roman"/>
          <w:sz w:val="24"/>
          <w:szCs w:val="24"/>
        </w:rPr>
        <w:t>the conclusions</w:t>
      </w:r>
      <w:r w:rsidR="00064339">
        <w:rPr>
          <w:rFonts w:ascii="Times New Roman" w:hAnsi="Times New Roman" w:cs="Times New Roman"/>
          <w:sz w:val="24"/>
          <w:szCs w:val="24"/>
        </w:rPr>
        <w:t xml:space="preserve"> of the</w:t>
      </w:r>
      <w:r w:rsidR="004C20EC" w:rsidRPr="004C20EC">
        <w:rPr>
          <w:rFonts w:ascii="Times New Roman" w:hAnsi="Times New Roman" w:cs="Times New Roman"/>
          <w:sz w:val="24"/>
          <w:szCs w:val="24"/>
        </w:rPr>
        <w:t xml:space="preserve"> study.</w:t>
      </w:r>
    </w:p>
    <w:p w14:paraId="7EE559A6" w14:textId="77777777" w:rsidR="00F16A9D" w:rsidRPr="0005692B" w:rsidRDefault="00F16A9D" w:rsidP="0005692B">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
          <w:sz w:val="24"/>
          <w:szCs w:val="24"/>
          <w:lang w:eastAsia="en-GB"/>
        </w:rPr>
      </w:pPr>
      <w:r w:rsidRPr="0005692B">
        <w:rPr>
          <w:rFonts w:ascii="Times New Roman" w:eastAsia="Times New Roman" w:hAnsi="Times New Roman" w:cs="Times New Roman"/>
          <w:b/>
          <w:sz w:val="24"/>
          <w:szCs w:val="24"/>
          <w:lang w:eastAsia="en-GB"/>
        </w:rPr>
        <w:t>Methodology</w:t>
      </w:r>
    </w:p>
    <w:p w14:paraId="3FAD25B3" w14:textId="77777777" w:rsidR="00A26EEC" w:rsidRDefault="00A26EEC" w:rsidP="00F22D66">
      <w:pPr>
        <w:pStyle w:val="NormalWeb"/>
        <w:spacing w:line="480" w:lineRule="auto"/>
        <w:jc w:val="both"/>
      </w:pPr>
      <w:r>
        <w:t>This study adopts a comprehensive methodological framework that integrates quantitative and qualitative techniques. It brings together statistical analyses derived from a range of official datasets and scientific literature with original simulations as well as a real situation in Spain.</w:t>
      </w:r>
    </w:p>
    <w:p w14:paraId="708C092F" w14:textId="77777777" w:rsidR="00A26EEC" w:rsidRDefault="00A26EEC" w:rsidP="00F22D66">
      <w:pPr>
        <w:pStyle w:val="NormalWeb"/>
        <w:spacing w:line="480" w:lineRule="auto"/>
        <w:jc w:val="both"/>
      </w:pPr>
      <w:r>
        <w:t xml:space="preserve">The analysis of the physical foundations of climate change is grounded in meteorological and oceanographic observations, particularly long-term records of sea surface temperature and sea ice extent. These datasets are sourced from the Climate Change Institute at the University of </w:t>
      </w:r>
      <w:r>
        <w:lastRenderedPageBreak/>
        <w:t>Maine.</w:t>
      </w:r>
      <w:r w:rsidR="00DD45CF">
        <w:t xml:space="preserve"> </w:t>
      </w:r>
      <w:r>
        <w:t>The assessment of climate-related migration relies on a mixed-methods approach, combining statistical evaluation of multiple data sources. Primary data are drawn from national authorities responsible for tracking disaster-related displacement and evacuations at national, regional, and local scales.</w:t>
      </w:r>
      <w:r w:rsidR="00DD45CF">
        <w:t xml:space="preserve"> </w:t>
      </w:r>
      <w:r>
        <w:t>In addition, international organiz</w:t>
      </w:r>
      <w:r w:rsidR="00B43E55">
        <w:t>ations, non-governmental actors</w:t>
      </w:r>
      <w:r>
        <w:t xml:space="preserve"> and United Nations agencies involved in humanitarian response contribu</w:t>
      </w:r>
      <w:r w:rsidR="00B43E55">
        <w:t>te with</w:t>
      </w:r>
      <w:r>
        <w:t xml:space="preserve"> context-specific data on affected populations. A key example is the International Organization for Migration’s Displacement Tracking Matrix. </w:t>
      </w:r>
    </w:p>
    <w:p w14:paraId="47494304" w14:textId="2EE65EE6" w:rsidR="001E7973" w:rsidRPr="005D24AB" w:rsidRDefault="00A26EEC" w:rsidP="00F22D66">
      <w:pPr>
        <w:pStyle w:val="NormalWeb"/>
        <w:spacing w:line="480" w:lineRule="auto"/>
        <w:jc w:val="both"/>
      </w:pPr>
      <w:r>
        <w:t>The study incorporates a broad set of forward-looking global projections addressing climate hazards with implications for human mobility, including extreme heat, drought, wildfires, and riverine flooding. These projections are generated through an ensemble of climate impact models, each designed to simulate distinct physical processes associated with weather and climate extremes.</w:t>
      </w:r>
      <w:r w:rsidR="00DD45CF">
        <w:t xml:space="preserve"> It incorporates as well</w:t>
      </w:r>
      <w:r w:rsidR="00801A31">
        <w:t xml:space="preserve"> some tools focused on climate change dynamics</w:t>
      </w:r>
      <w:r w:rsidR="005D24AB">
        <w:t xml:space="preserve"> and related human mobility</w:t>
      </w:r>
      <w:r w:rsidR="00801A31">
        <w:t>. These include the En-ROADS simulator</w:t>
      </w:r>
      <w:r w:rsidR="005D24AB">
        <w:t xml:space="preserve"> and the internal displacement platform</w:t>
      </w:r>
      <w:r w:rsidR="00801A31">
        <w:t xml:space="preserve">. </w:t>
      </w:r>
      <w:r w:rsidR="00C11EBD">
        <w:t>A special atten</w:t>
      </w:r>
      <w:r w:rsidR="00B43E55">
        <w:t>tion is paid to the problem of e</w:t>
      </w:r>
      <w:r w:rsidR="00C11EBD">
        <w:t>nergy po</w:t>
      </w:r>
      <w:r w:rsidR="00B43E55">
        <w:t>verty i</w:t>
      </w:r>
      <w:r w:rsidR="00C11EBD">
        <w:t>n Europe by usi</w:t>
      </w:r>
      <w:r w:rsidR="00153401">
        <w:t xml:space="preserve">ng data from Eurostat, </w:t>
      </w:r>
      <w:r w:rsidR="00C11EBD">
        <w:t>national statistical agencies</w:t>
      </w:r>
      <w:r w:rsidR="00153401">
        <w:t xml:space="preserve"> and data collections</w:t>
      </w:r>
      <w:r w:rsidR="00C11EBD">
        <w:t xml:space="preserve">. </w:t>
      </w:r>
      <w:r w:rsidR="00801A31">
        <w:t>In parallel, the analysis draws on interview</w:t>
      </w:r>
      <w:r w:rsidR="00B43E55">
        <w:t>s</w:t>
      </w:r>
      <w:r w:rsidR="00153401">
        <w:t>, during a field work in the area,</w:t>
      </w:r>
      <w:r w:rsidR="00801A31">
        <w:t xml:space="preserve"> with </w:t>
      </w:r>
      <w:r w:rsidR="00B43E55">
        <w:t xml:space="preserve">local people from </w:t>
      </w:r>
      <w:proofErr w:type="spellStart"/>
      <w:r w:rsidR="00B43E55">
        <w:t>Grazalema</w:t>
      </w:r>
      <w:proofErr w:type="spellEnd"/>
      <w:r w:rsidR="00B43E55">
        <w:t xml:space="preserve"> (</w:t>
      </w:r>
      <w:r w:rsidR="00801A31">
        <w:t>Spain</w:t>
      </w:r>
      <w:r w:rsidR="00B43E55">
        <w:t>)</w:t>
      </w:r>
      <w:r w:rsidR="00801A31">
        <w:t>, who have suffered severe floods at the beginning of 2026.</w:t>
      </w:r>
    </w:p>
    <w:p w14:paraId="609CBC81" w14:textId="77777777" w:rsidR="00011B53" w:rsidRDefault="0005692B" w:rsidP="00F16A9D">
      <w:pPr>
        <w:pStyle w:val="NormalWeb"/>
        <w:rPr>
          <w:b/>
        </w:rPr>
      </w:pPr>
      <w:r>
        <w:rPr>
          <w:b/>
        </w:rPr>
        <w:t xml:space="preserve">3.  </w:t>
      </w:r>
      <w:r w:rsidR="00011B53">
        <w:rPr>
          <w:b/>
        </w:rPr>
        <w:t>Results.</w:t>
      </w:r>
    </w:p>
    <w:p w14:paraId="77F888B6" w14:textId="77777777" w:rsidR="00F16A9D" w:rsidRPr="00F16A9D" w:rsidRDefault="00011B53" w:rsidP="00F16A9D">
      <w:pPr>
        <w:pStyle w:val="NormalWeb"/>
        <w:rPr>
          <w:b/>
        </w:rPr>
      </w:pPr>
      <w:r>
        <w:rPr>
          <w:b/>
        </w:rPr>
        <w:t xml:space="preserve">    3.</w:t>
      </w:r>
      <w:r w:rsidR="0005692B">
        <w:rPr>
          <w:b/>
        </w:rPr>
        <w:t>1. Effect of the c</w:t>
      </w:r>
      <w:r>
        <w:rPr>
          <w:b/>
        </w:rPr>
        <w:t>limate change</w:t>
      </w:r>
      <w:r w:rsidR="0005692B">
        <w:rPr>
          <w:b/>
        </w:rPr>
        <w:t xml:space="preserve"> on the population</w:t>
      </w:r>
    </w:p>
    <w:p w14:paraId="14A1A4E2" w14:textId="45667B3A" w:rsidR="00D97AAB" w:rsidRPr="006E745D" w:rsidRDefault="00D97AAB" w:rsidP="00F22D66">
      <w:pPr>
        <w:pStyle w:val="NormalWeb"/>
        <w:spacing w:line="480" w:lineRule="auto"/>
        <w:jc w:val="both"/>
      </w:pPr>
      <w:r>
        <w:t xml:space="preserve">As early as 1990, the </w:t>
      </w:r>
      <w:r>
        <w:rPr>
          <w:rStyle w:val="whitespace-normal"/>
        </w:rPr>
        <w:t>Intergovernmental Panel on Climate Change</w:t>
      </w:r>
      <w:r>
        <w:t xml:space="preserve"> (IPCC</w:t>
      </w:r>
      <w:r w:rsidR="00CE64BB">
        <w:t>, 2023</w:t>
      </w:r>
      <w:r>
        <w:t xml:space="preserve">) identified human mobility as one of the potential major consequences of climate change. </w:t>
      </w:r>
      <w:r w:rsidR="00C363AE">
        <w:t>According to</w:t>
      </w:r>
      <w:r w:rsidR="00CE64BB">
        <w:t xml:space="preserve"> </w:t>
      </w:r>
      <w:r w:rsidR="00F22D66">
        <w:t xml:space="preserve">the analysis, </w:t>
      </w:r>
      <w:r>
        <w:t xml:space="preserve">global mean temperature is projected to increase by approximately 1.8°C to 4.0°C by 2099. Large areas are expected to become progressively drier, with the proportion of land experiencing persistent drought rising from about 2% to 10% by 2050. By the end of the </w:t>
      </w:r>
      <w:r>
        <w:lastRenderedPageBreak/>
        <w:t>century, the extent of regions affected by extreme drought could expand to as much as 30%. At the same time, an intensified hydrological cycle is expected to alter precipitation patterns, increasing the frequency of heavy rainfall events in some regions. Such changes may accelerate soil erosion, heighten flood risks, and contribute to more frequent and severe extreme weather events, including droughts, storms, and flo</w:t>
      </w:r>
      <w:r w:rsidR="006E745D">
        <w:t xml:space="preserve">ods (MDP, </w:t>
      </w:r>
      <w:r w:rsidR="006E745D" w:rsidRPr="006E745D">
        <w:t>2024)</w:t>
      </w:r>
      <w:r w:rsidR="006E745D">
        <w:t>.</w:t>
      </w:r>
    </w:p>
    <w:p w14:paraId="4901B6E7" w14:textId="1C4F6495" w:rsidR="001E7973" w:rsidRPr="00F22D66" w:rsidRDefault="00C363AE" w:rsidP="00F22D66">
      <w:pPr>
        <w:pStyle w:val="Pa2"/>
        <w:spacing w:line="480" w:lineRule="auto"/>
        <w:jc w:val="both"/>
        <w:rPr>
          <w:rFonts w:ascii="Times New Roman" w:hAnsi="Times New Roman" w:cs="Times New Roman"/>
        </w:rPr>
      </w:pPr>
      <w:r w:rsidRPr="006C0F1F">
        <w:rPr>
          <w:rFonts w:ascii="Times New Roman" w:hAnsi="Times New Roman" w:cs="Times New Roman"/>
        </w:rPr>
        <w:t xml:space="preserve">Climate change is expected to intensify environmental pressures in vulnerable regions, with projections suggesting that up to 143 million people in the Global South could be affected by 2050, potentially reshaping patterns of human mobility. </w:t>
      </w:r>
      <w:r w:rsidR="00E66109" w:rsidRPr="006C0F1F">
        <w:rPr>
          <w:rFonts w:ascii="Times New Roman" w:hAnsi="Times New Roman" w:cs="Times New Roman"/>
        </w:rPr>
        <w:t>A</w:t>
      </w:r>
      <w:r w:rsidRPr="006C0F1F">
        <w:rPr>
          <w:rFonts w:ascii="Times New Roman" w:hAnsi="Times New Roman" w:cs="Times New Roman"/>
        </w:rPr>
        <w:t xml:space="preserve"> systematic review examining how rising temperatures, water scarcity and drought, and flooding and sea-level rise influence mobility outcomes across the Global South</w:t>
      </w:r>
      <w:r w:rsidR="004427D6" w:rsidRPr="006C0F1F">
        <w:rPr>
          <w:rFonts w:ascii="Times New Roman" w:hAnsi="Times New Roman" w:cs="Times New Roman"/>
        </w:rPr>
        <w:t xml:space="preserve"> has been recently published (Almulhim</w:t>
      </w:r>
      <w:r w:rsidRPr="006C0F1F">
        <w:rPr>
          <w:rFonts w:ascii="Times New Roman" w:hAnsi="Times New Roman" w:cs="Times New Roman"/>
        </w:rPr>
        <w:t>.</w:t>
      </w:r>
      <w:r w:rsidR="004427D6" w:rsidRPr="006C0F1F">
        <w:rPr>
          <w:rFonts w:ascii="Times New Roman" w:hAnsi="Times New Roman" w:cs="Times New Roman"/>
        </w:rPr>
        <w:t>et al. 2024).</w:t>
      </w:r>
      <w:r w:rsidR="00975480">
        <w:rPr>
          <w:rFonts w:ascii="Times New Roman" w:hAnsi="Times New Roman" w:cs="Times New Roman"/>
        </w:rPr>
        <w:t xml:space="preserve"> Other</w:t>
      </w:r>
      <w:r w:rsidRPr="006C0F1F">
        <w:rPr>
          <w:rFonts w:ascii="Times New Roman" w:hAnsi="Times New Roman" w:cs="Times New Roman"/>
        </w:rPr>
        <w:t xml:space="preserve"> analysis showed that these climate-related stressors have already displaced and affected millions of people, contributing to both internal and cross-border migration</w:t>
      </w:r>
      <w:r w:rsidR="006E745D" w:rsidRPr="006C0F1F">
        <w:rPr>
          <w:rFonts w:ascii="Times New Roman" w:hAnsi="Times New Roman" w:cs="Times New Roman"/>
          <w:color w:val="FF0000"/>
        </w:rPr>
        <w:t xml:space="preserve"> </w:t>
      </w:r>
      <w:r w:rsidR="00975480">
        <w:rPr>
          <w:rFonts w:ascii="Times New Roman" w:hAnsi="Times New Roman" w:cs="Times New Roman"/>
        </w:rPr>
        <w:t>(</w:t>
      </w:r>
      <w:r w:rsidR="006C0F1F" w:rsidRPr="006C0F1F">
        <w:rPr>
          <w:rFonts w:ascii="Times New Roman" w:hAnsi="Times New Roman" w:cs="Times New Roman"/>
        </w:rPr>
        <w:t>Beyer and Milan, 2022; IDMC, 2024; MDP, 2024; MPI, 2025; MPI, 2026).</w:t>
      </w:r>
    </w:p>
    <w:p w14:paraId="61D2A38B" w14:textId="77777777" w:rsidR="000E19B2" w:rsidRPr="005D24AB" w:rsidRDefault="000E19B2" w:rsidP="005D24AB">
      <w:pPr>
        <w:pStyle w:val="Pa2"/>
        <w:numPr>
          <w:ilvl w:val="0"/>
          <w:numId w:val="20"/>
        </w:numPr>
        <w:jc w:val="both"/>
        <w:rPr>
          <w:rFonts w:ascii="Times New Roman" w:hAnsi="Times New Roman" w:cs="Times New Roman"/>
        </w:rPr>
      </w:pPr>
      <w:r w:rsidRPr="005D24AB">
        <w:rPr>
          <w:rStyle w:val="A9"/>
          <w:rFonts w:ascii="Times New Roman" w:hAnsi="Times New Roman" w:cs="Times New Roman"/>
          <w:color w:val="auto"/>
        </w:rPr>
        <w:t xml:space="preserve">Sea level rise </w:t>
      </w:r>
    </w:p>
    <w:p w14:paraId="68D8ED5A" w14:textId="77777777" w:rsidR="008F6028" w:rsidRPr="006E745D" w:rsidRDefault="00D349B7" w:rsidP="00F22D66">
      <w:pPr>
        <w:pStyle w:val="Pa2"/>
        <w:spacing w:line="480" w:lineRule="auto"/>
        <w:jc w:val="both"/>
        <w:rPr>
          <w:rFonts w:ascii="Times New Roman" w:hAnsi="Times New Roman" w:cs="Times New Roman"/>
        </w:rPr>
      </w:pPr>
      <w:r w:rsidRPr="00B93D6B">
        <w:rPr>
          <w:rFonts w:ascii="Times New Roman" w:hAnsi="Times New Roman" w:cs="Times New Roman"/>
        </w:rPr>
        <w:t>By 2050, more than one billion people are projected to face risks associated with climate hazards affecting coastal regions. Rapid coastal urbanization, combined with the impacts of climate change, is expected to significantly increase exposure, particularly in Af</w:t>
      </w:r>
      <w:r w:rsidR="00975480">
        <w:rPr>
          <w:rFonts w:ascii="Times New Roman" w:hAnsi="Times New Roman" w:cs="Times New Roman"/>
        </w:rPr>
        <w:t>rica, where an estimated more than 200</w:t>
      </w:r>
      <w:r w:rsidRPr="00B93D6B">
        <w:rPr>
          <w:rFonts w:ascii="Times New Roman" w:hAnsi="Times New Roman" w:cs="Times New Roman"/>
        </w:rPr>
        <w:t xml:space="preserve"> million people could be at risk from sea-level rise by 2060. Under scenarios in which global temperatures rise between 1.5 and 2.5°C above pre-industria</w:t>
      </w:r>
      <w:r w:rsidR="00975480">
        <w:rPr>
          <w:rFonts w:ascii="Times New Roman" w:hAnsi="Times New Roman" w:cs="Times New Roman"/>
        </w:rPr>
        <w:t>l levels, approximately 430,000 inhabitants of small island developing s</w:t>
      </w:r>
      <w:r w:rsidRPr="00B93D6B">
        <w:rPr>
          <w:rFonts w:ascii="Times New Roman" w:hAnsi="Times New Roman" w:cs="Times New Roman"/>
        </w:rPr>
        <w:t>tates may experience permanent inundation by 2100. Nevertheless, many of these areas are likely to become uninhabitable before that point due to the increasing frequency of coastal flooding and progressive soil salinization. In the United States, projected sea-level rise of 0.9 meters by 2100 could expose around 4.2 million people to flooding risk, with this figure potentially increasing to 13.1 million under a higher-end scenario of 1.8 meters of sea-level rise</w:t>
      </w:r>
      <w:r w:rsidR="006C0F1F">
        <w:rPr>
          <w:rFonts w:ascii="Times New Roman" w:hAnsi="Times New Roman" w:cs="Times New Roman"/>
          <w:b/>
        </w:rPr>
        <w:t>.</w:t>
      </w:r>
    </w:p>
    <w:p w14:paraId="65167813" w14:textId="77777777" w:rsidR="00D349B7" w:rsidRPr="00B93D6B" w:rsidRDefault="00D349B7" w:rsidP="00F22D66">
      <w:pPr>
        <w:pStyle w:val="Default"/>
        <w:spacing w:line="480" w:lineRule="auto"/>
        <w:jc w:val="both"/>
        <w:rPr>
          <w:rFonts w:ascii="Times New Roman" w:hAnsi="Times New Roman" w:cs="Times New Roman"/>
        </w:rPr>
      </w:pPr>
    </w:p>
    <w:p w14:paraId="2A095DB3" w14:textId="77777777" w:rsidR="00D349B7" w:rsidRPr="005D24AB" w:rsidRDefault="000E19B2" w:rsidP="005D24AB">
      <w:pPr>
        <w:pStyle w:val="Pa2"/>
        <w:numPr>
          <w:ilvl w:val="0"/>
          <w:numId w:val="20"/>
        </w:numPr>
        <w:jc w:val="both"/>
        <w:rPr>
          <w:rStyle w:val="A9"/>
          <w:rFonts w:ascii="Times New Roman" w:hAnsi="Times New Roman" w:cs="Times New Roman"/>
          <w:color w:val="auto"/>
        </w:rPr>
      </w:pPr>
      <w:r w:rsidRPr="005D24AB">
        <w:rPr>
          <w:rStyle w:val="A9"/>
          <w:rFonts w:ascii="Times New Roman" w:hAnsi="Times New Roman" w:cs="Times New Roman"/>
          <w:color w:val="auto"/>
        </w:rPr>
        <w:t xml:space="preserve">Floods and Storms </w:t>
      </w:r>
    </w:p>
    <w:p w14:paraId="2FC5649D" w14:textId="653A91DE" w:rsidR="00975480" w:rsidRPr="00F22D66" w:rsidRDefault="00D349B7" w:rsidP="00F22D66">
      <w:pPr>
        <w:pStyle w:val="Pa2"/>
        <w:spacing w:line="480" w:lineRule="auto"/>
        <w:jc w:val="both"/>
        <w:rPr>
          <w:rFonts w:ascii="Times New Roman" w:eastAsia="Times New Roman" w:hAnsi="Times New Roman" w:cs="Times New Roman"/>
          <w:lang w:eastAsia="en-GB"/>
        </w:rPr>
      </w:pPr>
      <w:r w:rsidRPr="00D349B7">
        <w:rPr>
          <w:rFonts w:ascii="Times New Roman" w:eastAsia="Times New Roman" w:hAnsi="Times New Roman" w:cs="Times New Roman"/>
          <w:lang w:eastAsia="en-GB"/>
        </w:rPr>
        <w:t>At 2°</w:t>
      </w:r>
      <w:r w:rsidR="00975480">
        <w:rPr>
          <w:rFonts w:ascii="Times New Roman" w:eastAsia="Times New Roman" w:hAnsi="Times New Roman" w:cs="Times New Roman"/>
          <w:lang w:eastAsia="en-GB"/>
        </w:rPr>
        <w:t xml:space="preserve">C of global warming, the </w:t>
      </w:r>
      <w:r w:rsidRPr="00D349B7">
        <w:rPr>
          <w:rFonts w:ascii="Times New Roman" w:eastAsia="Times New Roman" w:hAnsi="Times New Roman" w:cs="Times New Roman"/>
          <w:lang w:eastAsia="en-GB"/>
        </w:rPr>
        <w:t xml:space="preserve">population exposed to river flooding is projected to increase by approximately 120%, with this figure potentially rising to 400% under a 4°C warming scenario. However, even in the absence of climate change, exposure to flooding in urban areas is expected to grow substantially by 2030 compared to </w:t>
      </w:r>
      <w:r w:rsidR="00975480">
        <w:rPr>
          <w:rFonts w:ascii="Times New Roman" w:eastAsia="Times New Roman" w:hAnsi="Times New Roman" w:cs="Times New Roman"/>
          <w:lang w:eastAsia="en-GB"/>
        </w:rPr>
        <w:t xml:space="preserve">year </w:t>
      </w:r>
      <w:r w:rsidRPr="00D349B7">
        <w:rPr>
          <w:rFonts w:ascii="Times New Roman" w:eastAsia="Times New Roman" w:hAnsi="Times New Roman" w:cs="Times New Roman"/>
          <w:lang w:eastAsia="en-GB"/>
        </w:rPr>
        <w:t xml:space="preserve">2000, primarily driven by population growth and urbanization. This expansion is particularly pronounced in Africa, where urban areas exposed to frequent flooding are projected to increase by around 270% in North </w:t>
      </w:r>
      <w:r w:rsidR="00E66109">
        <w:rPr>
          <w:rFonts w:ascii="Times New Roman" w:eastAsia="Times New Roman" w:hAnsi="Times New Roman" w:cs="Times New Roman"/>
          <w:lang w:eastAsia="en-GB"/>
        </w:rPr>
        <w:t>Africa and 800% in Southern Africa</w:t>
      </w:r>
      <w:r w:rsidRPr="00D349B7">
        <w:rPr>
          <w:rFonts w:ascii="Times New Roman" w:eastAsia="Times New Roman" w:hAnsi="Times New Roman" w:cs="Times New Roman"/>
          <w:lang w:eastAsia="en-GB"/>
        </w:rPr>
        <w:t xml:space="preserve">. In Indonesia, urbanization between </w:t>
      </w:r>
      <w:r w:rsidR="00975480">
        <w:rPr>
          <w:rFonts w:ascii="Times New Roman" w:eastAsia="Times New Roman" w:hAnsi="Times New Roman" w:cs="Times New Roman"/>
          <w:lang w:eastAsia="en-GB"/>
        </w:rPr>
        <w:t xml:space="preserve">years </w:t>
      </w:r>
      <w:r w:rsidRPr="00D349B7">
        <w:rPr>
          <w:rFonts w:ascii="Times New Roman" w:eastAsia="Times New Roman" w:hAnsi="Times New Roman" w:cs="Times New Roman"/>
          <w:lang w:eastAsia="en-GB"/>
        </w:rPr>
        <w:t>2000 and 2030 is anticipated to raise rive</w:t>
      </w:r>
      <w:r w:rsidR="00F22D66">
        <w:rPr>
          <w:rFonts w:ascii="Times New Roman" w:eastAsia="Times New Roman" w:hAnsi="Times New Roman" w:cs="Times New Roman"/>
          <w:lang w:eastAsia="en-GB"/>
        </w:rPr>
        <w:t xml:space="preserve">r and coastal flood risks by 76% to </w:t>
      </w:r>
      <w:r w:rsidRPr="00D349B7">
        <w:rPr>
          <w:rFonts w:ascii="Times New Roman" w:eastAsia="Times New Roman" w:hAnsi="Times New Roman" w:cs="Times New Roman"/>
          <w:lang w:eastAsia="en-GB"/>
        </w:rPr>
        <w:t>120%, with sea-level rise contributing an additional</w:t>
      </w:r>
      <w:r w:rsidR="00E66109">
        <w:rPr>
          <w:rFonts w:ascii="Times New Roman" w:eastAsia="Times New Roman" w:hAnsi="Times New Roman" w:cs="Times New Roman"/>
          <w:lang w:eastAsia="en-GB"/>
        </w:rPr>
        <w:t xml:space="preserve"> increase in exposure of 19</w:t>
      </w:r>
      <w:r w:rsidR="00F22D66">
        <w:rPr>
          <w:rFonts w:ascii="Times New Roman" w:eastAsia="Times New Roman" w:hAnsi="Times New Roman" w:cs="Times New Roman"/>
          <w:lang w:eastAsia="en-GB"/>
        </w:rPr>
        <w:t xml:space="preserve">% to </w:t>
      </w:r>
      <w:r w:rsidR="00E66109">
        <w:rPr>
          <w:rFonts w:ascii="Times New Roman" w:eastAsia="Times New Roman" w:hAnsi="Times New Roman" w:cs="Times New Roman"/>
          <w:lang w:eastAsia="en-GB"/>
        </w:rPr>
        <w:t>37%</w:t>
      </w:r>
      <w:r w:rsidR="006C0F1F">
        <w:rPr>
          <w:rFonts w:ascii="Times New Roman" w:eastAsia="Times New Roman" w:hAnsi="Times New Roman" w:cs="Times New Roman"/>
          <w:lang w:eastAsia="en-GB"/>
        </w:rPr>
        <w:t>.</w:t>
      </w:r>
    </w:p>
    <w:p w14:paraId="42B19E2C" w14:textId="77777777" w:rsidR="00975480" w:rsidRPr="006E745D" w:rsidRDefault="00975480" w:rsidP="006E745D">
      <w:pPr>
        <w:pStyle w:val="Default"/>
      </w:pPr>
    </w:p>
    <w:p w14:paraId="330DCE3C" w14:textId="77777777" w:rsidR="000E19B2" w:rsidRPr="005D24AB" w:rsidRDefault="000E19B2" w:rsidP="005D24AB">
      <w:pPr>
        <w:pStyle w:val="Pa2"/>
        <w:numPr>
          <w:ilvl w:val="0"/>
          <w:numId w:val="20"/>
        </w:numPr>
        <w:jc w:val="both"/>
        <w:rPr>
          <w:rFonts w:ascii="Times New Roman" w:hAnsi="Times New Roman" w:cs="Times New Roman"/>
        </w:rPr>
      </w:pPr>
      <w:r w:rsidRPr="005D24AB">
        <w:rPr>
          <w:rStyle w:val="A9"/>
          <w:rFonts w:ascii="Times New Roman" w:hAnsi="Times New Roman" w:cs="Times New Roman"/>
          <w:color w:val="auto"/>
        </w:rPr>
        <w:t xml:space="preserve">Extreme Heat </w:t>
      </w:r>
    </w:p>
    <w:p w14:paraId="2641D68A" w14:textId="5BCD21C6" w:rsidR="006E745D" w:rsidRPr="00F22D66" w:rsidRDefault="00D349B7" w:rsidP="00F22D66">
      <w:pPr>
        <w:pStyle w:val="Pa2"/>
        <w:spacing w:line="480" w:lineRule="auto"/>
        <w:jc w:val="both"/>
        <w:rPr>
          <w:rFonts w:ascii="Times New Roman" w:hAnsi="Times New Roman" w:cs="Times New Roman"/>
        </w:rPr>
      </w:pPr>
      <w:r w:rsidRPr="00B93D6B">
        <w:rPr>
          <w:rFonts w:ascii="Times New Roman" w:hAnsi="Times New Roman" w:cs="Times New Roman"/>
        </w:rPr>
        <w:t>By 2100, it is estimated that approximately 50% of the global population under a low-warming scenario, and up to 75% under a high-warming scenario, could be exposed to periods of extreme heat and humidity that pose significant risks to human survival. In West Africa, potentially lethal heat conditions may occur on as many as 150 days per year at 1.6°C of global warming, while in Central Africa similar conditions could persist for up to 150 days annually at 2.5°C. South Asia is also projected to experience heatwaves that are more intense, more frequent, and longer in duration</w:t>
      </w:r>
      <w:r w:rsidR="00E66109">
        <w:rPr>
          <w:rFonts w:ascii="Times New Roman" w:hAnsi="Times New Roman" w:cs="Times New Roman"/>
        </w:rPr>
        <w:t xml:space="preserve">. </w:t>
      </w:r>
      <w:r w:rsidRPr="00B93D6B">
        <w:rPr>
          <w:rFonts w:ascii="Times New Roman" w:hAnsi="Times New Roman" w:cs="Times New Roman"/>
        </w:rPr>
        <w:t>Similarly, with 2°C of global warming, roughly half of Europe’s population is projected to experience a very high risk of heat stress during the summer mon</w:t>
      </w:r>
      <w:r w:rsidR="006C0F1F">
        <w:rPr>
          <w:rFonts w:ascii="Times New Roman" w:hAnsi="Times New Roman" w:cs="Times New Roman"/>
        </w:rPr>
        <w:t>ths.</w:t>
      </w:r>
    </w:p>
    <w:p w14:paraId="46D030C4" w14:textId="77777777" w:rsidR="00D349B7" w:rsidRPr="001E7973" w:rsidRDefault="005D24AB" w:rsidP="00B93D6B">
      <w:pPr>
        <w:pStyle w:val="Pa2"/>
        <w:numPr>
          <w:ilvl w:val="0"/>
          <w:numId w:val="20"/>
        </w:numPr>
        <w:jc w:val="both"/>
        <w:rPr>
          <w:rFonts w:ascii="Times New Roman" w:hAnsi="Times New Roman" w:cs="Times New Roman"/>
        </w:rPr>
      </w:pPr>
      <w:r w:rsidRPr="005D24AB">
        <w:rPr>
          <w:rStyle w:val="A9"/>
          <w:rFonts w:ascii="Times New Roman" w:hAnsi="Times New Roman" w:cs="Times New Roman"/>
          <w:color w:val="auto"/>
        </w:rPr>
        <w:t xml:space="preserve">Drought </w:t>
      </w:r>
      <w:r w:rsidR="000E19B2" w:rsidRPr="005D24AB">
        <w:rPr>
          <w:rStyle w:val="A9"/>
          <w:rFonts w:ascii="Times New Roman" w:hAnsi="Times New Roman" w:cs="Times New Roman"/>
          <w:color w:val="auto"/>
        </w:rPr>
        <w:t xml:space="preserve"> </w:t>
      </w:r>
    </w:p>
    <w:p w14:paraId="3BEBB7BB" w14:textId="77777777" w:rsidR="00D349B7" w:rsidRPr="002F20F8" w:rsidRDefault="00D349B7" w:rsidP="00F22D66">
      <w:pPr>
        <w:pStyle w:val="Pa2"/>
        <w:spacing w:line="480" w:lineRule="auto"/>
        <w:jc w:val="both"/>
        <w:rPr>
          <w:rFonts w:ascii="Times New Roman" w:hAnsi="Times New Roman" w:cs="Times New Roman"/>
        </w:rPr>
      </w:pPr>
      <w:r w:rsidRPr="00B93D6B">
        <w:rPr>
          <w:rFonts w:ascii="Times New Roman" w:hAnsi="Times New Roman" w:cs="Times New Roman"/>
        </w:rPr>
        <w:t xml:space="preserve">Under a high-warming scenario, climate change is projected to push an additional 65 million people into food insecurity by 2050. At the global level, a 2°C increase in temperatures is expected to raise the number of people exposed to agricultural drought by approximately 370%. Even under a more moderate warming scenario of 1.5°C, the likelihood of extreme agricultural </w:t>
      </w:r>
      <w:r w:rsidRPr="00B93D6B">
        <w:rPr>
          <w:rFonts w:ascii="Times New Roman" w:hAnsi="Times New Roman" w:cs="Times New Roman"/>
        </w:rPr>
        <w:lastRenderedPageBreak/>
        <w:t>drought is projected to at least double across exten</w:t>
      </w:r>
      <w:r w:rsidR="004A70AC">
        <w:rPr>
          <w:rFonts w:ascii="Times New Roman" w:hAnsi="Times New Roman" w:cs="Times New Roman"/>
        </w:rPr>
        <w:t>sive regions, including</w:t>
      </w:r>
      <w:r w:rsidRPr="00B93D6B">
        <w:rPr>
          <w:rFonts w:ascii="Times New Roman" w:hAnsi="Times New Roman" w:cs="Times New Roman"/>
        </w:rPr>
        <w:t xml:space="preserve"> South America, the Mediterranean, western China, and high-latitude areas of North America and Eurasia. This risk is expected to intensify further with higher levels of warming, potentially increasing by up to 200% a</w:t>
      </w:r>
      <w:r w:rsidR="004427D6">
        <w:rPr>
          <w:rFonts w:ascii="Times New Roman" w:hAnsi="Times New Roman" w:cs="Times New Roman"/>
        </w:rPr>
        <w:t>t 2°C and exceeding 200% at 4°C</w:t>
      </w:r>
      <w:r w:rsidR="006C0F1F">
        <w:rPr>
          <w:rFonts w:ascii="Times New Roman" w:hAnsi="Times New Roman" w:cs="Times New Roman"/>
        </w:rPr>
        <w:t>.</w:t>
      </w:r>
    </w:p>
    <w:p w14:paraId="5CF44352" w14:textId="77777777" w:rsidR="0005692B" w:rsidRDefault="0005692B" w:rsidP="00B93D6B">
      <w:pPr>
        <w:pStyle w:val="Default"/>
        <w:jc w:val="both"/>
        <w:rPr>
          <w:rFonts w:ascii="Times New Roman" w:hAnsi="Times New Roman" w:cs="Times New Roman"/>
          <w:b/>
        </w:rPr>
      </w:pPr>
    </w:p>
    <w:p w14:paraId="21C77815" w14:textId="77777777" w:rsidR="0005692B" w:rsidRPr="00B93D6B" w:rsidRDefault="0005692B" w:rsidP="00B93D6B">
      <w:pPr>
        <w:pStyle w:val="Default"/>
        <w:jc w:val="both"/>
        <w:rPr>
          <w:rFonts w:ascii="Times New Roman" w:hAnsi="Times New Roman" w:cs="Times New Roman"/>
        </w:rPr>
      </w:pPr>
      <w:r>
        <w:rPr>
          <w:rFonts w:ascii="Times New Roman" w:hAnsi="Times New Roman" w:cs="Times New Roman"/>
          <w:b/>
        </w:rPr>
        <w:t xml:space="preserve">     3.2. Climate migration</w:t>
      </w:r>
    </w:p>
    <w:p w14:paraId="7C56888E" w14:textId="77777777" w:rsidR="00D85644" w:rsidRPr="0005692B" w:rsidRDefault="00D85644" w:rsidP="00F22D66">
      <w:pPr>
        <w:spacing w:before="100" w:beforeAutospacing="1" w:after="100" w:afterAutospacing="1" w:line="480" w:lineRule="auto"/>
        <w:jc w:val="both"/>
        <w:rPr>
          <w:rFonts w:ascii="Times New Roman" w:hAnsi="Times New Roman" w:cs="Times New Roman"/>
          <w:sz w:val="24"/>
          <w:szCs w:val="24"/>
        </w:rPr>
      </w:pPr>
      <w:r w:rsidRPr="00D85644">
        <w:rPr>
          <w:rFonts w:ascii="Times New Roman" w:hAnsi="Times New Roman" w:cs="Times New Roman"/>
          <w:sz w:val="24"/>
          <w:szCs w:val="24"/>
        </w:rPr>
        <w:t>Climate change is rarely the primary driver of migration, but it is becoming an increasingly important contributing factor. In most cases, environmental pressures rank well below economic motivations in shaping people’s decisions to move, even in countries heavi</w:t>
      </w:r>
      <w:r w:rsidR="002F20F8">
        <w:rPr>
          <w:rFonts w:ascii="Times New Roman" w:hAnsi="Times New Roman" w:cs="Times New Roman"/>
          <w:sz w:val="24"/>
          <w:szCs w:val="24"/>
        </w:rPr>
        <w:t>ly affected by climate impacts (Huang, 2</w:t>
      </w:r>
      <w:r w:rsidR="002F20F8" w:rsidRPr="002F20F8">
        <w:rPr>
          <w:rFonts w:ascii="Times New Roman" w:hAnsi="Times New Roman" w:cs="Times New Roman"/>
          <w:sz w:val="24"/>
          <w:szCs w:val="24"/>
        </w:rPr>
        <w:t>023)</w:t>
      </w:r>
      <w:r w:rsidR="00E725ED" w:rsidRPr="004427D6">
        <w:rPr>
          <w:rFonts w:ascii="Times New Roman" w:hAnsi="Times New Roman" w:cs="Times New Roman"/>
          <w:b/>
          <w:color w:val="FF0000"/>
          <w:sz w:val="24"/>
          <w:szCs w:val="24"/>
        </w:rPr>
        <w:t>.</w:t>
      </w:r>
      <w:r w:rsidR="0005692B" w:rsidRPr="004427D6">
        <w:rPr>
          <w:rFonts w:ascii="Times New Roman" w:hAnsi="Times New Roman" w:cs="Times New Roman"/>
          <w:color w:val="FF0000"/>
          <w:sz w:val="24"/>
          <w:szCs w:val="24"/>
        </w:rPr>
        <w:t xml:space="preserve"> </w:t>
      </w:r>
      <w:r w:rsidRPr="00D85644">
        <w:rPr>
          <w:rFonts w:ascii="Times New Roman" w:eastAsia="Times New Roman" w:hAnsi="Times New Roman" w:cs="Times New Roman"/>
          <w:sz w:val="24"/>
          <w:szCs w:val="24"/>
          <w:lang w:eastAsia="en-GB"/>
        </w:rPr>
        <w:t>This highlights a central difficulty in assessing the link between climate change and migration. Environmental pressures do influence mobility, but their role is rarely straightforward. Even when disasters lead directly to displacement, the connection to clim</w:t>
      </w:r>
      <w:r w:rsidR="004427D6">
        <w:rPr>
          <w:rFonts w:ascii="Times New Roman" w:eastAsia="Times New Roman" w:hAnsi="Times New Roman" w:cs="Times New Roman"/>
          <w:sz w:val="24"/>
          <w:szCs w:val="24"/>
          <w:lang w:eastAsia="en-GB"/>
        </w:rPr>
        <w:t>ate change is not always clear. S</w:t>
      </w:r>
      <w:r w:rsidRPr="00D85644">
        <w:rPr>
          <w:rFonts w:ascii="Times New Roman" w:eastAsia="Times New Roman" w:hAnsi="Times New Roman" w:cs="Times New Roman"/>
          <w:sz w:val="24"/>
          <w:szCs w:val="24"/>
          <w:lang w:eastAsia="en-GB"/>
        </w:rPr>
        <w:t>ome hazards, such as earthquakes, are unrelated to climate, and not all extreme events can be attributed to it</w:t>
      </w:r>
      <w:r w:rsidR="000428DA">
        <w:rPr>
          <w:rFonts w:ascii="Times New Roman" w:eastAsia="Times New Roman" w:hAnsi="Times New Roman" w:cs="Times New Roman"/>
          <w:sz w:val="24"/>
          <w:szCs w:val="24"/>
          <w:lang w:eastAsia="en-GB"/>
        </w:rPr>
        <w:t xml:space="preserve"> (Koroutchev, 2025</w:t>
      </w:r>
      <w:proofErr w:type="gramStart"/>
      <w:r w:rsidR="000428DA">
        <w:rPr>
          <w:rFonts w:ascii="Times New Roman" w:eastAsia="Times New Roman" w:hAnsi="Times New Roman" w:cs="Times New Roman"/>
          <w:sz w:val="24"/>
          <w:szCs w:val="24"/>
          <w:lang w:eastAsia="en-GB"/>
        </w:rPr>
        <w:t>).</w:t>
      </w:r>
      <w:r w:rsidRPr="00D85644">
        <w:rPr>
          <w:rFonts w:ascii="Times New Roman" w:eastAsia="Times New Roman" w:hAnsi="Times New Roman" w:cs="Times New Roman"/>
          <w:sz w:val="24"/>
          <w:szCs w:val="24"/>
          <w:lang w:eastAsia="en-GB"/>
        </w:rPr>
        <w:t>.</w:t>
      </w:r>
      <w:proofErr w:type="gramEnd"/>
    </w:p>
    <w:p w14:paraId="1EC1A201" w14:textId="77777777" w:rsidR="00D85644" w:rsidRPr="002F20F8" w:rsidRDefault="00D85644"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85644">
        <w:rPr>
          <w:rFonts w:ascii="Times New Roman" w:eastAsia="Times New Roman" w:hAnsi="Times New Roman" w:cs="Times New Roman"/>
          <w:sz w:val="24"/>
          <w:szCs w:val="24"/>
          <w:lang w:eastAsia="en-GB"/>
        </w:rPr>
        <w:t>Globally, natural disasters trigger more displacement each year than armed conflict, although such movements are usually temporary. By the end of 2022, there were 71.1 million internally displaced persons (IDPs)</w:t>
      </w:r>
      <w:r w:rsidR="004427D6">
        <w:rPr>
          <w:rFonts w:ascii="Times New Roman" w:eastAsia="Times New Roman" w:hAnsi="Times New Roman" w:cs="Times New Roman"/>
          <w:sz w:val="24"/>
          <w:szCs w:val="24"/>
          <w:lang w:eastAsia="en-GB"/>
        </w:rPr>
        <w:t xml:space="preserve"> worldwide, of whom around 12% </w:t>
      </w:r>
      <w:r w:rsidRPr="00D85644">
        <w:rPr>
          <w:rFonts w:ascii="Times New Roman" w:eastAsia="Times New Roman" w:hAnsi="Times New Roman" w:cs="Times New Roman"/>
          <w:sz w:val="24"/>
          <w:szCs w:val="24"/>
          <w:lang w:eastAsia="en-GB"/>
        </w:rPr>
        <w:t>had been displaced by disasters</w:t>
      </w:r>
      <w:r w:rsidR="002F20F8">
        <w:rPr>
          <w:rFonts w:ascii="Times New Roman" w:eastAsia="Times New Roman" w:hAnsi="Times New Roman" w:cs="Times New Roman"/>
          <w:b/>
          <w:sz w:val="24"/>
          <w:szCs w:val="24"/>
          <w:lang w:eastAsia="en-GB"/>
        </w:rPr>
        <w:t xml:space="preserve"> </w:t>
      </w:r>
      <w:r w:rsidR="002F20F8">
        <w:rPr>
          <w:rFonts w:ascii="Times New Roman" w:hAnsi="Times New Roman" w:cs="Times New Roman"/>
          <w:sz w:val="24"/>
          <w:szCs w:val="24"/>
        </w:rPr>
        <w:t>(Huang, 2</w:t>
      </w:r>
      <w:r w:rsidR="002F20F8" w:rsidRPr="002F20F8">
        <w:rPr>
          <w:rFonts w:ascii="Times New Roman" w:hAnsi="Times New Roman" w:cs="Times New Roman"/>
          <w:sz w:val="24"/>
          <w:szCs w:val="24"/>
        </w:rPr>
        <w:t>023)</w:t>
      </w:r>
      <w:r w:rsidR="002F20F8">
        <w:rPr>
          <w:rFonts w:ascii="Times New Roman" w:hAnsi="Times New Roman" w:cs="Times New Roman"/>
          <w:sz w:val="24"/>
          <w:szCs w:val="24"/>
        </w:rPr>
        <w:t>.</w:t>
      </w:r>
    </w:p>
    <w:p w14:paraId="0570C1EE" w14:textId="77777777" w:rsidR="00C363AE" w:rsidRPr="0005692B" w:rsidRDefault="00D85644"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85644">
        <w:rPr>
          <w:rFonts w:ascii="Times New Roman" w:eastAsia="Times New Roman" w:hAnsi="Times New Roman" w:cs="Times New Roman"/>
          <w:sz w:val="24"/>
          <w:szCs w:val="24"/>
          <w:lang w:eastAsia="en-GB"/>
        </w:rPr>
        <w:t>Unlike conflict-related displacement, which often prevents safe return, most people forced to move by natural hazards are able to go back once conditions stabilize. Between 2019 and 2022, more than 20 million new displacements linked to natural disasters were recorded annually. However, the majority were short-term, with fewer than 9 million people still living in internal displacement at the end of each year.</w:t>
      </w:r>
      <w:r w:rsidR="0005692B">
        <w:rPr>
          <w:rFonts w:ascii="Times New Roman" w:eastAsia="Times New Roman" w:hAnsi="Times New Roman" w:cs="Times New Roman"/>
          <w:sz w:val="24"/>
          <w:szCs w:val="24"/>
          <w:lang w:eastAsia="en-GB"/>
        </w:rPr>
        <w:t xml:space="preserve"> </w:t>
      </w:r>
      <w:r w:rsidRPr="00D85644">
        <w:rPr>
          <w:rFonts w:ascii="Times New Roman" w:hAnsi="Times New Roman" w:cs="Times New Roman"/>
          <w:sz w:val="24"/>
          <w:szCs w:val="24"/>
        </w:rPr>
        <w:t>The number o</w:t>
      </w:r>
      <w:r w:rsidR="004A70AC">
        <w:rPr>
          <w:rFonts w:ascii="Times New Roman" w:hAnsi="Times New Roman" w:cs="Times New Roman"/>
          <w:sz w:val="24"/>
          <w:szCs w:val="24"/>
        </w:rPr>
        <w:t xml:space="preserve">f IDPs </w:t>
      </w:r>
      <w:r w:rsidRPr="00D85644">
        <w:rPr>
          <w:rFonts w:ascii="Times New Roman" w:hAnsi="Times New Roman" w:cs="Times New Roman"/>
          <w:sz w:val="24"/>
          <w:szCs w:val="24"/>
        </w:rPr>
        <w:t>caused by disasters between 2014 and 2023 has changed fo</w:t>
      </w:r>
      <w:r w:rsidR="00CC6D56">
        <w:rPr>
          <w:rFonts w:ascii="Times New Roman" w:hAnsi="Times New Roman" w:cs="Times New Roman"/>
          <w:sz w:val="24"/>
          <w:szCs w:val="24"/>
        </w:rPr>
        <w:t>r a variety of reasons. Figure 4</w:t>
      </w:r>
      <w:r w:rsidRPr="00D85644">
        <w:rPr>
          <w:rFonts w:ascii="Times New Roman" w:hAnsi="Times New Roman" w:cs="Times New Roman"/>
          <w:sz w:val="24"/>
          <w:szCs w:val="24"/>
        </w:rPr>
        <w:t xml:space="preserve"> illustrates the IDPs resulting from both </w:t>
      </w:r>
      <w:r w:rsidRPr="00D85644">
        <w:rPr>
          <w:rFonts w:ascii="Times New Roman" w:hAnsi="Times New Roman" w:cs="Times New Roman"/>
          <w:sz w:val="24"/>
          <w:szCs w:val="24"/>
        </w:rPr>
        <w:lastRenderedPageBreak/>
        <w:t xml:space="preserve">weather-related and geophysical hazards over this period, showing a clear upward trend linked to these events </w:t>
      </w:r>
      <w:r w:rsidRPr="004427D6">
        <w:rPr>
          <w:rFonts w:ascii="Times New Roman" w:hAnsi="Times New Roman" w:cs="Times New Roman"/>
          <w:sz w:val="24"/>
          <w:szCs w:val="24"/>
        </w:rPr>
        <w:t>(MDP 2024a, b).</w:t>
      </w:r>
    </w:p>
    <w:p w14:paraId="51CC7877" w14:textId="77777777" w:rsidR="00382A6B" w:rsidRPr="00D85644" w:rsidRDefault="00382A6B" w:rsidP="00382A6B">
      <w:pPr>
        <w:jc w:val="center"/>
        <w:rPr>
          <w:rFonts w:ascii="Times New Roman" w:hAnsi="Times New Roman" w:cs="Times New Roman"/>
          <w:sz w:val="24"/>
          <w:szCs w:val="24"/>
        </w:rPr>
      </w:pPr>
      <w:r w:rsidRPr="00D85644">
        <w:rPr>
          <w:rFonts w:ascii="Times New Roman" w:hAnsi="Times New Roman" w:cs="Times New Roman"/>
          <w:noProof/>
          <w:sz w:val="24"/>
          <w:szCs w:val="24"/>
          <w:lang w:eastAsia="en-GB"/>
        </w:rPr>
        <w:drawing>
          <wp:inline distT="0" distB="0" distL="0" distR="0" wp14:anchorId="4F2A76C1" wp14:editId="2B1AADB2">
            <wp:extent cx="3933825" cy="23717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363F21" w14:textId="77777777" w:rsidR="00DA627C" w:rsidRPr="004427D6" w:rsidRDefault="00CC6D56" w:rsidP="001573F6">
      <w:pPr>
        <w:jc w:val="center"/>
        <w:rPr>
          <w:rFonts w:ascii="Times New Roman" w:hAnsi="Times New Roman" w:cs="Times New Roman"/>
          <w:sz w:val="24"/>
          <w:szCs w:val="24"/>
        </w:rPr>
      </w:pPr>
      <w:r w:rsidRPr="00CC6D56">
        <w:rPr>
          <w:rFonts w:ascii="Times New Roman" w:hAnsi="Times New Roman" w:cs="Times New Roman"/>
          <w:sz w:val="24"/>
          <w:szCs w:val="24"/>
        </w:rPr>
        <w:t>Fig</w:t>
      </w:r>
      <w:r w:rsidR="00DD45CF">
        <w:rPr>
          <w:rFonts w:ascii="Times New Roman" w:hAnsi="Times New Roman" w:cs="Times New Roman"/>
          <w:sz w:val="24"/>
          <w:szCs w:val="24"/>
        </w:rPr>
        <w:t>ure</w:t>
      </w:r>
      <w:r w:rsidRPr="00CC6D56">
        <w:rPr>
          <w:rFonts w:ascii="Times New Roman" w:hAnsi="Times New Roman" w:cs="Times New Roman"/>
          <w:sz w:val="24"/>
          <w:szCs w:val="24"/>
        </w:rPr>
        <w:t xml:space="preserve"> 4</w:t>
      </w:r>
      <w:r w:rsidR="00DA627C" w:rsidRPr="00CC6D56">
        <w:rPr>
          <w:rFonts w:ascii="Times New Roman" w:hAnsi="Times New Roman" w:cs="Times New Roman"/>
          <w:b/>
          <w:sz w:val="24"/>
          <w:szCs w:val="24"/>
        </w:rPr>
        <w:t>.</w:t>
      </w:r>
      <w:r w:rsidR="00DA627C" w:rsidRPr="00DA627C">
        <w:rPr>
          <w:rFonts w:ascii="Times New Roman" w:hAnsi="Times New Roman" w:cs="Times New Roman"/>
          <w:b/>
          <w:color w:val="FF0000"/>
          <w:sz w:val="24"/>
          <w:szCs w:val="24"/>
        </w:rPr>
        <w:t xml:space="preserve"> </w:t>
      </w:r>
      <w:r w:rsidR="00DA627C" w:rsidRPr="004427D6">
        <w:rPr>
          <w:rFonts w:ascii="Times New Roman" w:hAnsi="Times New Roman" w:cs="Times New Roman"/>
          <w:sz w:val="24"/>
          <w:szCs w:val="24"/>
        </w:rPr>
        <w:t>IDPs in millions due to</w:t>
      </w:r>
      <w:r w:rsidR="004427D6" w:rsidRPr="004427D6">
        <w:rPr>
          <w:rFonts w:ascii="Times New Roman" w:hAnsi="Times New Roman" w:cs="Times New Roman"/>
          <w:sz w:val="24"/>
          <w:szCs w:val="24"/>
        </w:rPr>
        <w:t xml:space="preserve"> climate hazards during </w:t>
      </w:r>
      <w:r w:rsidR="00DA627C" w:rsidRPr="004427D6">
        <w:rPr>
          <w:rFonts w:ascii="Times New Roman" w:hAnsi="Times New Roman" w:cs="Times New Roman"/>
          <w:sz w:val="24"/>
          <w:szCs w:val="24"/>
        </w:rPr>
        <w:t>2014-2023. Source (MDP 2024a, b).</w:t>
      </w:r>
    </w:p>
    <w:p w14:paraId="38209CEC" w14:textId="77777777" w:rsidR="007306C3" w:rsidRPr="008B0063" w:rsidRDefault="004427D6" w:rsidP="00F22D66">
      <w:pPr>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Figure 5 </w:t>
      </w:r>
      <w:r w:rsidRPr="004427D6">
        <w:rPr>
          <w:rFonts w:ascii="Times New Roman" w:eastAsia="Times New Roman" w:hAnsi="Times New Roman" w:cs="Times New Roman"/>
          <w:sz w:val="24"/>
          <w:szCs w:val="24"/>
          <w:lang w:eastAsia="en-GB"/>
        </w:rPr>
        <w:t>re</w:t>
      </w:r>
      <w:r w:rsidR="00D85644" w:rsidRPr="00D85644">
        <w:rPr>
          <w:rFonts w:ascii="Times New Roman" w:eastAsia="Times New Roman" w:hAnsi="Times New Roman" w:cs="Times New Roman"/>
          <w:sz w:val="24"/>
          <w:szCs w:val="24"/>
          <w:lang w:eastAsia="en-GB"/>
        </w:rPr>
        <w:t>presents IDPs caused by different hazards, highlighting a clear upward trend in flood-related displacements, while storm-related displacements peaked in 2020</w:t>
      </w:r>
      <w:r>
        <w:rPr>
          <w:rFonts w:ascii="Times New Roman" w:eastAsia="Times New Roman" w:hAnsi="Times New Roman" w:cs="Times New Roman"/>
          <w:sz w:val="24"/>
          <w:szCs w:val="24"/>
          <w:lang w:eastAsia="en-GB"/>
        </w:rPr>
        <w:t>.</w:t>
      </w:r>
    </w:p>
    <w:p w14:paraId="5630CB98" w14:textId="77777777" w:rsidR="004427D6" w:rsidRDefault="004427D6" w:rsidP="004427D6">
      <w:pPr>
        <w:spacing w:before="100" w:beforeAutospacing="1" w:after="100" w:afterAutospacing="1" w:line="240" w:lineRule="auto"/>
        <w:jc w:val="center"/>
        <w:rPr>
          <w:rFonts w:ascii="Times New Roman" w:hAnsi="Times New Roman"/>
          <w:sz w:val="24"/>
          <w:szCs w:val="24"/>
        </w:rPr>
      </w:pPr>
      <w:r w:rsidRPr="00C40982">
        <w:rPr>
          <w:noProof/>
          <w:color w:val="FF0000"/>
          <w:lang w:eastAsia="en-GB"/>
        </w:rPr>
        <w:drawing>
          <wp:inline distT="0" distB="0" distL="0" distR="0" wp14:anchorId="39864880" wp14:editId="6F98313C">
            <wp:extent cx="4257675" cy="2400300"/>
            <wp:effectExtent l="0" t="0" r="9525"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FF7976" w14:textId="77777777" w:rsidR="000E19B2" w:rsidRPr="004427D6" w:rsidRDefault="007306C3" w:rsidP="004427D6">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C6D56">
        <w:rPr>
          <w:rFonts w:ascii="Times New Roman" w:hAnsi="Times New Roman"/>
          <w:sz w:val="24"/>
          <w:szCs w:val="24"/>
        </w:rPr>
        <w:t>Figure 5.</w:t>
      </w:r>
      <w:r w:rsidRPr="00CC6D56">
        <w:rPr>
          <w:rFonts w:ascii="Times New Roman" w:hAnsi="Times New Roman"/>
          <w:b/>
          <w:sz w:val="24"/>
          <w:szCs w:val="24"/>
        </w:rPr>
        <w:t xml:space="preserve"> </w:t>
      </w:r>
      <w:r w:rsidRPr="00CC6D56">
        <w:rPr>
          <w:rFonts w:ascii="Times New Roman" w:hAnsi="Times New Roman"/>
          <w:sz w:val="24"/>
          <w:szCs w:val="24"/>
        </w:rPr>
        <w:t>IDPs due to disasters by hazard during 2014-2023.</w:t>
      </w:r>
      <w:r w:rsidR="004427D6">
        <w:rPr>
          <w:rFonts w:ascii="Times New Roman" w:hAnsi="Times New Roman"/>
          <w:sz w:val="24"/>
          <w:szCs w:val="24"/>
        </w:rPr>
        <w:t xml:space="preserve"> </w:t>
      </w:r>
      <w:r w:rsidRPr="004427D6">
        <w:rPr>
          <w:rFonts w:ascii="Times New Roman" w:hAnsi="Times New Roman"/>
          <w:sz w:val="24"/>
          <w:szCs w:val="24"/>
        </w:rPr>
        <w:t>Source</w:t>
      </w:r>
      <w:r w:rsidRPr="00CC6D56">
        <w:rPr>
          <w:rFonts w:ascii="Times New Roman" w:hAnsi="Times New Roman"/>
          <w:color w:val="FF0000"/>
          <w:sz w:val="24"/>
          <w:szCs w:val="24"/>
        </w:rPr>
        <w:t xml:space="preserve"> </w:t>
      </w:r>
      <w:r w:rsidR="004427D6" w:rsidRPr="004427D6">
        <w:rPr>
          <w:rFonts w:ascii="Times New Roman" w:hAnsi="Times New Roman" w:cs="Times New Roman"/>
          <w:sz w:val="24"/>
          <w:szCs w:val="24"/>
        </w:rPr>
        <w:t>(MDP 2024a, b).</w:t>
      </w:r>
    </w:p>
    <w:p w14:paraId="6BE36547" w14:textId="77777777" w:rsidR="00D85644" w:rsidRPr="004427D6" w:rsidRDefault="004A70AC" w:rsidP="00F22D66">
      <w:pPr>
        <w:pStyle w:val="source-box-sources"/>
        <w:spacing w:line="480" w:lineRule="auto"/>
        <w:jc w:val="both"/>
        <w:rPr>
          <w:color w:val="FF0000"/>
        </w:rPr>
      </w:pPr>
      <w:r>
        <w:t xml:space="preserve">According to a </w:t>
      </w:r>
      <w:r w:rsidR="00D85644" w:rsidRPr="00CC6D56">
        <w:t>World Bank projection</w:t>
      </w:r>
      <w:r>
        <w:t xml:space="preserve"> (WB, 2023)</w:t>
      </w:r>
      <w:r w:rsidR="00D85644" w:rsidRPr="00CC6D56">
        <w:t>, under a worst-case scenario</w:t>
      </w:r>
      <w:r w:rsidR="00D85644" w:rsidRPr="00D85644">
        <w:t xml:space="preserve">, up to 216 million people could be forced to move within their own countries by 2050 due to water scarcity and threats to agriculture. However, if governments successfully slow climate change and </w:t>
      </w:r>
      <w:r w:rsidR="00D85644" w:rsidRPr="00D85644">
        <w:lastRenderedPageBreak/>
        <w:t>implement adaptive measures, this figure could fall by as muc</w:t>
      </w:r>
      <w:r w:rsidR="0005692B">
        <w:t xml:space="preserve">h as 80%, to around 44 million </w:t>
      </w:r>
      <w:r w:rsidR="0005692B" w:rsidRPr="00CC6D56">
        <w:t>(</w:t>
      </w:r>
      <w:r w:rsidR="00CC6D56" w:rsidRPr="00CC6D56">
        <w:t>Figure 6</w:t>
      </w:r>
      <w:r w:rsidR="00D85644" w:rsidRPr="00CC6D56">
        <w:t>).</w:t>
      </w:r>
      <w:r w:rsidR="0005692B" w:rsidRPr="00CC6D56">
        <w:t xml:space="preserve"> </w:t>
      </w:r>
    </w:p>
    <w:p w14:paraId="0DB14497" w14:textId="77777777" w:rsidR="001573F6" w:rsidRDefault="001843B2" w:rsidP="00160D6B">
      <w:pPr>
        <w:jc w:val="center"/>
      </w:pPr>
      <w:r>
        <w:rPr>
          <w:noProof/>
          <w:lang w:eastAsia="en-GB"/>
        </w:rPr>
        <w:drawing>
          <wp:inline distT="0" distB="0" distL="0" distR="0" wp14:anchorId="3CA5C9BA" wp14:editId="3F38B305">
            <wp:extent cx="4686300" cy="2514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A108A1" w14:textId="77777777" w:rsidR="00CC6D56" w:rsidRPr="008B0063" w:rsidRDefault="00CC6D56" w:rsidP="00160D6B">
      <w:pPr>
        <w:jc w:val="center"/>
        <w:rPr>
          <w:rFonts w:ascii="Times New Roman" w:hAnsi="Times New Roman" w:cs="Times New Roman"/>
          <w:sz w:val="24"/>
          <w:szCs w:val="24"/>
        </w:rPr>
      </w:pPr>
      <w:r w:rsidRPr="008B0063">
        <w:rPr>
          <w:rFonts w:ascii="Times New Roman" w:hAnsi="Times New Roman" w:cs="Times New Roman"/>
          <w:sz w:val="24"/>
          <w:szCs w:val="24"/>
        </w:rPr>
        <w:t>Fig</w:t>
      </w:r>
      <w:r w:rsidR="00DD45CF" w:rsidRPr="008B0063">
        <w:rPr>
          <w:rFonts w:ascii="Times New Roman" w:hAnsi="Times New Roman" w:cs="Times New Roman"/>
          <w:sz w:val="24"/>
          <w:szCs w:val="24"/>
        </w:rPr>
        <w:t>ure</w:t>
      </w:r>
      <w:r w:rsidRPr="008B0063">
        <w:rPr>
          <w:rFonts w:ascii="Times New Roman" w:hAnsi="Times New Roman" w:cs="Times New Roman"/>
          <w:sz w:val="24"/>
          <w:szCs w:val="24"/>
        </w:rPr>
        <w:t>. 6</w:t>
      </w:r>
      <w:r w:rsidR="004427D6" w:rsidRPr="008B0063">
        <w:rPr>
          <w:rFonts w:ascii="Times New Roman" w:hAnsi="Times New Roman" w:cs="Times New Roman"/>
          <w:sz w:val="24"/>
          <w:szCs w:val="24"/>
        </w:rPr>
        <w:t xml:space="preserve"> </w:t>
      </w:r>
      <w:r w:rsidR="002B09E9" w:rsidRPr="008B0063">
        <w:rPr>
          <w:rFonts w:ascii="Times New Roman" w:hAnsi="Times New Roman" w:cs="Times New Roman"/>
          <w:sz w:val="24"/>
          <w:szCs w:val="24"/>
        </w:rPr>
        <w:t>Average number of internal climate migrants predicted under different scenarios.</w:t>
      </w:r>
      <w:r w:rsidR="002B09E9" w:rsidRPr="008B0063">
        <w:rPr>
          <w:rFonts w:ascii="Times New Roman" w:hAnsi="Times New Roman" w:cs="Times New Roman"/>
          <w:sz w:val="24"/>
          <w:szCs w:val="24"/>
        </w:rPr>
        <w:br/>
      </w:r>
      <w:r w:rsidR="004427D6" w:rsidRPr="008B0063">
        <w:rPr>
          <w:rFonts w:ascii="Times New Roman" w:hAnsi="Times New Roman" w:cs="Times New Roman"/>
          <w:sz w:val="24"/>
          <w:szCs w:val="24"/>
        </w:rPr>
        <w:t>Source</w:t>
      </w:r>
      <w:r w:rsidR="002F20F8" w:rsidRPr="008B0063">
        <w:rPr>
          <w:rFonts w:ascii="Times New Roman" w:hAnsi="Times New Roman" w:cs="Times New Roman"/>
          <w:sz w:val="24"/>
          <w:szCs w:val="24"/>
        </w:rPr>
        <w:t>:</w:t>
      </w:r>
      <w:r w:rsidR="004427D6" w:rsidRPr="008B0063">
        <w:rPr>
          <w:rFonts w:ascii="Times New Roman" w:hAnsi="Times New Roman" w:cs="Times New Roman"/>
          <w:sz w:val="24"/>
          <w:szCs w:val="24"/>
        </w:rPr>
        <w:t xml:space="preserve"> Clement V. at al. </w:t>
      </w:r>
      <w:r w:rsidR="002B09E9" w:rsidRPr="008B0063">
        <w:rPr>
          <w:rFonts w:ascii="Times New Roman" w:hAnsi="Times New Roman" w:cs="Times New Roman"/>
          <w:sz w:val="24"/>
          <w:szCs w:val="24"/>
        </w:rPr>
        <w:t>(</w:t>
      </w:r>
      <w:r w:rsidR="004427D6" w:rsidRPr="008B0063">
        <w:rPr>
          <w:rFonts w:ascii="Times New Roman" w:hAnsi="Times New Roman" w:cs="Times New Roman"/>
          <w:sz w:val="24"/>
          <w:szCs w:val="24"/>
        </w:rPr>
        <w:t>2021</w:t>
      </w:r>
      <w:r w:rsidR="002B09E9" w:rsidRPr="008B0063">
        <w:rPr>
          <w:rFonts w:ascii="Times New Roman" w:hAnsi="Times New Roman" w:cs="Times New Roman"/>
          <w:sz w:val="24"/>
          <w:szCs w:val="24"/>
        </w:rPr>
        <w:t>)</w:t>
      </w:r>
      <w:r w:rsidR="004427D6" w:rsidRPr="008B0063">
        <w:rPr>
          <w:rFonts w:ascii="Times New Roman" w:hAnsi="Times New Roman" w:cs="Times New Roman"/>
          <w:sz w:val="24"/>
          <w:szCs w:val="24"/>
        </w:rPr>
        <w:t>.</w:t>
      </w:r>
    </w:p>
    <w:p w14:paraId="10D4F609" w14:textId="77777777" w:rsidR="00011B53" w:rsidRPr="00011B53" w:rsidRDefault="00011B53" w:rsidP="000E19B2">
      <w:pPr>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 xml:space="preserve">       </w:t>
      </w:r>
      <w:r w:rsidR="0005692B">
        <w:rPr>
          <w:rStyle w:val="Hyperlink"/>
          <w:rFonts w:ascii="Times New Roman" w:hAnsi="Times New Roman" w:cs="Times New Roman"/>
          <w:b/>
          <w:color w:val="auto"/>
          <w:sz w:val="24"/>
          <w:szCs w:val="24"/>
          <w:u w:val="none"/>
        </w:rPr>
        <w:t>3.3. Geographic distribution of the</w:t>
      </w:r>
      <w:r w:rsidRPr="00011B53">
        <w:rPr>
          <w:rStyle w:val="Hyperlink"/>
          <w:rFonts w:ascii="Times New Roman" w:hAnsi="Times New Roman" w:cs="Times New Roman"/>
          <w:b/>
          <w:color w:val="auto"/>
          <w:sz w:val="24"/>
          <w:szCs w:val="24"/>
          <w:u w:val="none"/>
        </w:rPr>
        <w:t xml:space="preserve"> Natural Disasters</w:t>
      </w:r>
    </w:p>
    <w:p w14:paraId="54EF802C" w14:textId="3F7E9EF4" w:rsidR="002F20F8" w:rsidRDefault="004A70AC" w:rsidP="00F22D66">
      <w:pPr>
        <w:pStyle w:val="MDPI22heading2"/>
        <w:spacing w:before="240" w:line="480" w:lineRule="auto"/>
        <w:ind w:left="0"/>
        <w:jc w:val="both"/>
        <w:rPr>
          <w:rFonts w:ascii="Times New Roman" w:hAnsi="Times New Roman"/>
          <w:i w:val="0"/>
          <w:color w:val="auto"/>
          <w:sz w:val="24"/>
          <w:szCs w:val="24"/>
        </w:rPr>
      </w:pPr>
      <w:r>
        <w:rPr>
          <w:rFonts w:ascii="Times New Roman" w:hAnsi="Times New Roman"/>
          <w:i w:val="0"/>
          <w:color w:val="auto"/>
          <w:sz w:val="24"/>
          <w:szCs w:val="24"/>
          <w:lang w:val="en-GB"/>
        </w:rPr>
        <w:t>During the</w:t>
      </w:r>
      <w:r w:rsidR="00C40982" w:rsidRPr="00C363AE">
        <w:rPr>
          <w:rFonts w:ascii="Times New Roman" w:hAnsi="Times New Roman"/>
          <w:i w:val="0"/>
          <w:color w:val="auto"/>
          <w:sz w:val="24"/>
          <w:szCs w:val="24"/>
        </w:rPr>
        <w:t xml:space="preserve"> interval </w:t>
      </w:r>
      <w:r>
        <w:rPr>
          <w:rFonts w:ascii="Times New Roman" w:hAnsi="Times New Roman"/>
          <w:i w:val="0"/>
          <w:color w:val="auto"/>
          <w:sz w:val="24"/>
          <w:szCs w:val="24"/>
        </w:rPr>
        <w:t xml:space="preserve"> between years 2008 and 2024, </w:t>
      </w:r>
      <w:r w:rsidRPr="00C363AE">
        <w:rPr>
          <w:rFonts w:ascii="Times New Roman" w:hAnsi="Times New Roman"/>
          <w:i w:val="0"/>
          <w:color w:val="auto"/>
          <w:sz w:val="24"/>
          <w:szCs w:val="24"/>
        </w:rPr>
        <w:t xml:space="preserve">22.1k disaster events </w:t>
      </w:r>
      <w:r>
        <w:rPr>
          <w:rFonts w:ascii="Times New Roman" w:hAnsi="Times New Roman"/>
          <w:i w:val="0"/>
          <w:color w:val="auto"/>
          <w:sz w:val="24"/>
          <w:szCs w:val="24"/>
        </w:rPr>
        <w:t xml:space="preserve">have been </w:t>
      </w:r>
      <w:r w:rsidRPr="00C363AE">
        <w:rPr>
          <w:rFonts w:ascii="Times New Roman" w:hAnsi="Times New Roman"/>
          <w:i w:val="0"/>
          <w:color w:val="auto"/>
          <w:sz w:val="24"/>
          <w:szCs w:val="24"/>
        </w:rPr>
        <w:t>reported</w:t>
      </w:r>
      <w:r>
        <w:rPr>
          <w:rFonts w:ascii="Times New Roman" w:hAnsi="Times New Roman"/>
          <w:i w:val="0"/>
          <w:color w:val="auto"/>
          <w:sz w:val="24"/>
          <w:szCs w:val="24"/>
        </w:rPr>
        <w:t xml:space="preserve"> with</w:t>
      </w:r>
      <w:r w:rsidR="007860FB" w:rsidRPr="00C363AE">
        <w:rPr>
          <w:rFonts w:ascii="Times New Roman" w:hAnsi="Times New Roman"/>
          <w:i w:val="0"/>
          <w:color w:val="auto"/>
          <w:sz w:val="24"/>
          <w:szCs w:val="24"/>
        </w:rPr>
        <w:t xml:space="preserve"> 448.6m displaments produces mainly by flood (213.7m), storm (177.2m), earthqueake (41.4m), d</w:t>
      </w:r>
      <w:r w:rsidR="00CC6D56">
        <w:rPr>
          <w:rFonts w:ascii="Times New Roman" w:hAnsi="Times New Roman"/>
          <w:i w:val="0"/>
          <w:color w:val="auto"/>
          <w:sz w:val="24"/>
          <w:szCs w:val="24"/>
        </w:rPr>
        <w:t>rought</w:t>
      </w:r>
      <w:r w:rsidR="00DD45CF">
        <w:rPr>
          <w:rFonts w:ascii="Times New Roman" w:hAnsi="Times New Roman"/>
          <w:i w:val="0"/>
          <w:color w:val="auto"/>
          <w:sz w:val="24"/>
          <w:szCs w:val="24"/>
        </w:rPr>
        <w:t xml:space="preserve"> (5.8m) and wildfire (5m) (Figure </w:t>
      </w:r>
      <w:r w:rsidR="00CC6D56">
        <w:rPr>
          <w:rFonts w:ascii="Times New Roman" w:hAnsi="Times New Roman"/>
          <w:i w:val="0"/>
          <w:color w:val="auto"/>
          <w:sz w:val="24"/>
          <w:szCs w:val="24"/>
        </w:rPr>
        <w:t>7)</w:t>
      </w:r>
      <w:r w:rsidR="002B09E9">
        <w:rPr>
          <w:rFonts w:ascii="Times New Roman" w:hAnsi="Times New Roman"/>
          <w:i w:val="0"/>
          <w:color w:val="auto"/>
          <w:sz w:val="24"/>
          <w:szCs w:val="24"/>
        </w:rPr>
        <w:t xml:space="preserve"> </w:t>
      </w:r>
      <w:r w:rsidR="002F20F8">
        <w:rPr>
          <w:rFonts w:ascii="Times New Roman" w:hAnsi="Times New Roman"/>
          <w:i w:val="0"/>
          <w:color w:val="auto"/>
          <w:sz w:val="24"/>
          <w:szCs w:val="24"/>
        </w:rPr>
        <w:t xml:space="preserve">(IDMC, </w:t>
      </w:r>
      <w:r w:rsidR="002F20F8" w:rsidRPr="002F20F8">
        <w:rPr>
          <w:rFonts w:ascii="Times New Roman" w:hAnsi="Times New Roman"/>
          <w:i w:val="0"/>
          <w:color w:val="auto"/>
          <w:sz w:val="24"/>
          <w:szCs w:val="24"/>
        </w:rPr>
        <w:t>2024</w:t>
      </w:r>
      <w:r w:rsidR="002F20F8">
        <w:rPr>
          <w:rFonts w:ascii="Times New Roman" w:hAnsi="Times New Roman"/>
          <w:i w:val="0"/>
          <w:color w:val="auto"/>
          <w:sz w:val="24"/>
          <w:szCs w:val="24"/>
        </w:rPr>
        <w:t xml:space="preserve">; IDMC, </w:t>
      </w:r>
      <w:r w:rsidR="002F20F8" w:rsidRPr="002F20F8">
        <w:rPr>
          <w:rFonts w:ascii="Times New Roman" w:hAnsi="Times New Roman"/>
          <w:i w:val="0"/>
          <w:color w:val="auto"/>
          <w:sz w:val="24"/>
          <w:szCs w:val="24"/>
        </w:rPr>
        <w:t>2025)</w:t>
      </w:r>
      <w:r w:rsidR="002F20F8">
        <w:rPr>
          <w:rFonts w:ascii="Times New Roman" w:hAnsi="Times New Roman"/>
          <w:i w:val="0"/>
          <w:color w:val="auto"/>
          <w:sz w:val="24"/>
          <w:szCs w:val="24"/>
        </w:rPr>
        <w:t>.</w:t>
      </w:r>
    </w:p>
    <w:p w14:paraId="03150E13" w14:textId="77777777" w:rsidR="004A70AC" w:rsidRPr="00C363AE" w:rsidRDefault="004A70AC" w:rsidP="00C40982">
      <w:pPr>
        <w:pStyle w:val="MDPI22heading2"/>
        <w:spacing w:before="240"/>
        <w:ind w:left="0"/>
        <w:jc w:val="both"/>
        <w:rPr>
          <w:rFonts w:ascii="Times New Roman" w:hAnsi="Times New Roman"/>
          <w:i w:val="0"/>
          <w:color w:val="auto"/>
          <w:sz w:val="24"/>
          <w:szCs w:val="24"/>
        </w:rPr>
      </w:pPr>
    </w:p>
    <w:p w14:paraId="59C9AC91" w14:textId="77777777" w:rsidR="00C40982" w:rsidRDefault="00C40982" w:rsidP="0005692B">
      <w:pPr>
        <w:jc w:val="center"/>
      </w:pPr>
      <w:r>
        <w:rPr>
          <w:noProof/>
          <w:lang w:eastAsia="en-GB"/>
        </w:rPr>
        <w:drawing>
          <wp:inline distT="0" distB="0" distL="0" distR="0" wp14:anchorId="7D38A778" wp14:editId="017DB2F0">
            <wp:extent cx="4714875" cy="2533650"/>
            <wp:effectExtent l="0" t="0" r="9525"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EE2353" w14:textId="77777777" w:rsidR="00E135AD" w:rsidRPr="00E135AD" w:rsidRDefault="00CC6D56" w:rsidP="0005692B">
      <w:pPr>
        <w:jc w:val="center"/>
        <w:rPr>
          <w:rFonts w:ascii="Times New Roman" w:hAnsi="Times New Roman" w:cs="Times New Roman"/>
          <w:color w:val="FF0000"/>
          <w:sz w:val="24"/>
          <w:szCs w:val="24"/>
        </w:rPr>
      </w:pPr>
      <w:r w:rsidRPr="00E37540">
        <w:rPr>
          <w:rFonts w:ascii="Times New Roman" w:hAnsi="Times New Roman" w:cs="Times New Roman"/>
          <w:sz w:val="24"/>
          <w:szCs w:val="24"/>
        </w:rPr>
        <w:t>Fig</w:t>
      </w:r>
      <w:r w:rsidR="00DD45CF" w:rsidRPr="00E37540">
        <w:rPr>
          <w:rFonts w:ascii="Times New Roman" w:hAnsi="Times New Roman" w:cs="Times New Roman"/>
          <w:sz w:val="24"/>
          <w:szCs w:val="24"/>
        </w:rPr>
        <w:t>ure</w:t>
      </w:r>
      <w:r w:rsidRPr="00E37540">
        <w:rPr>
          <w:rFonts w:ascii="Times New Roman" w:hAnsi="Times New Roman" w:cs="Times New Roman"/>
          <w:sz w:val="24"/>
          <w:szCs w:val="24"/>
        </w:rPr>
        <w:t>. 7</w:t>
      </w:r>
      <w:r w:rsidR="006C0F1F" w:rsidRPr="00E37540">
        <w:rPr>
          <w:rFonts w:ascii="Times New Roman" w:hAnsi="Times New Roman" w:cs="Times New Roman"/>
          <w:sz w:val="24"/>
          <w:szCs w:val="24"/>
        </w:rPr>
        <w:t>. Natural disasters around the world in millions for the period 2008-2024. Source</w:t>
      </w:r>
      <w:r w:rsidR="00E37540" w:rsidRPr="00E37540">
        <w:rPr>
          <w:rFonts w:ascii="Times New Roman" w:hAnsi="Times New Roman" w:cs="Times New Roman"/>
          <w:sz w:val="24"/>
          <w:szCs w:val="24"/>
        </w:rPr>
        <w:t xml:space="preserve">: </w:t>
      </w:r>
      <w:r w:rsidR="00E37540">
        <w:rPr>
          <w:rFonts w:ascii="Times New Roman" w:hAnsi="Times New Roman"/>
          <w:sz w:val="24"/>
          <w:szCs w:val="24"/>
        </w:rPr>
        <w:t>IDMC (2024), IDMC (</w:t>
      </w:r>
      <w:r w:rsidR="00E37540" w:rsidRPr="002F20F8">
        <w:rPr>
          <w:rFonts w:ascii="Times New Roman" w:hAnsi="Times New Roman"/>
          <w:sz w:val="24"/>
          <w:szCs w:val="24"/>
        </w:rPr>
        <w:t>2025)</w:t>
      </w:r>
      <w:r w:rsidR="00E37540">
        <w:rPr>
          <w:rFonts w:ascii="Times New Roman" w:hAnsi="Times New Roman"/>
          <w:sz w:val="24"/>
          <w:szCs w:val="24"/>
        </w:rPr>
        <w:t>.</w:t>
      </w:r>
      <w:r w:rsidR="006C0F1F">
        <w:rPr>
          <w:rFonts w:ascii="Times New Roman" w:hAnsi="Times New Roman" w:cs="Times New Roman"/>
          <w:color w:val="FF0000"/>
          <w:sz w:val="24"/>
          <w:szCs w:val="24"/>
        </w:rPr>
        <w:t xml:space="preserve"> </w:t>
      </w:r>
    </w:p>
    <w:p w14:paraId="52CE002B" w14:textId="77777777" w:rsidR="00C40982" w:rsidRPr="00E135AD" w:rsidRDefault="007860FB" w:rsidP="00F22D66">
      <w:pPr>
        <w:spacing w:line="480" w:lineRule="auto"/>
        <w:jc w:val="both"/>
        <w:rPr>
          <w:rFonts w:ascii="Times New Roman" w:hAnsi="Times New Roman" w:cs="Times New Roman"/>
          <w:color w:val="FF0000"/>
          <w:sz w:val="24"/>
          <w:szCs w:val="24"/>
        </w:rPr>
      </w:pPr>
      <w:r w:rsidRPr="00C363AE">
        <w:rPr>
          <w:rFonts w:ascii="Times New Roman" w:hAnsi="Times New Roman" w:cs="Times New Roman"/>
          <w:sz w:val="24"/>
          <w:szCs w:val="24"/>
        </w:rPr>
        <w:lastRenderedPageBreak/>
        <w:t>In Europe, the most affected countries are among the Mediterranean’s as Greece, Italy and Spain with reported internal displacements as 291k, 199k and 200k respectively represented in the following graphs</w:t>
      </w:r>
      <w:r w:rsidR="00CC6D56">
        <w:rPr>
          <w:rFonts w:ascii="Times New Roman" w:hAnsi="Times New Roman" w:cs="Times New Roman"/>
          <w:sz w:val="24"/>
          <w:szCs w:val="24"/>
        </w:rPr>
        <w:t xml:space="preserve"> in Fig. 8</w:t>
      </w:r>
      <w:r w:rsidRPr="00C363AE">
        <w:rPr>
          <w:rFonts w:ascii="Times New Roman" w:hAnsi="Times New Roman" w:cs="Times New Roman"/>
          <w:sz w:val="24"/>
          <w:szCs w:val="24"/>
        </w:rPr>
        <w:t>. The primary reasons for these disasters are wildfire and storm (Greece)</w:t>
      </w:r>
      <w:r w:rsidR="00A5578F" w:rsidRPr="00C363AE">
        <w:rPr>
          <w:rFonts w:ascii="Times New Roman" w:hAnsi="Times New Roman" w:cs="Times New Roman"/>
          <w:sz w:val="24"/>
          <w:szCs w:val="24"/>
        </w:rPr>
        <w:t>, earthquake and storm (Italy) and wildfire</w:t>
      </w:r>
      <w:r w:rsidR="004A70AC">
        <w:rPr>
          <w:rFonts w:ascii="Times New Roman" w:hAnsi="Times New Roman" w:cs="Times New Roman"/>
          <w:sz w:val="24"/>
          <w:szCs w:val="24"/>
        </w:rPr>
        <w:t xml:space="preserve"> and flood (Spain). In contrast, Germany </w:t>
      </w:r>
      <w:r w:rsidR="00A5578F" w:rsidRPr="00C363AE">
        <w:rPr>
          <w:rFonts w:ascii="Times New Roman" w:hAnsi="Times New Roman" w:cs="Times New Roman"/>
          <w:sz w:val="24"/>
          <w:szCs w:val="24"/>
        </w:rPr>
        <w:t>shows 84k internal displacement</w:t>
      </w:r>
      <w:r w:rsidR="004A70AC">
        <w:rPr>
          <w:rFonts w:ascii="Times New Roman" w:hAnsi="Times New Roman" w:cs="Times New Roman"/>
          <w:sz w:val="24"/>
          <w:szCs w:val="24"/>
        </w:rPr>
        <w:t xml:space="preserve">s mainly due to flood disasters </w:t>
      </w:r>
      <w:r w:rsidR="004A70AC">
        <w:rPr>
          <w:rFonts w:ascii="Times New Roman" w:hAnsi="Times New Roman"/>
          <w:sz w:val="24"/>
          <w:szCs w:val="24"/>
        </w:rPr>
        <w:t>(IDMC, 2025).</w:t>
      </w:r>
    </w:p>
    <w:p w14:paraId="43E9435E" w14:textId="77777777" w:rsidR="00C40982" w:rsidRPr="00A5578F" w:rsidRDefault="00C40982" w:rsidP="00C40982">
      <w:pPr>
        <w:rPr>
          <w:b/>
        </w:rPr>
      </w:pPr>
      <w:r>
        <w:rPr>
          <w:noProof/>
          <w:lang w:eastAsia="en-GB"/>
        </w:rPr>
        <w:drawing>
          <wp:inline distT="0" distB="0" distL="0" distR="0" wp14:anchorId="4E465CE8" wp14:editId="7C670134">
            <wp:extent cx="2743200" cy="1628775"/>
            <wp:effectExtent l="0" t="0" r="0" b="952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5578F" w:rsidRPr="00A5578F">
        <w:rPr>
          <w:b/>
        </w:rPr>
        <w:t xml:space="preserve">  </w:t>
      </w:r>
      <w:r w:rsidR="00A5578F">
        <w:rPr>
          <w:noProof/>
          <w:lang w:eastAsia="en-GB"/>
        </w:rPr>
        <w:drawing>
          <wp:inline distT="0" distB="0" distL="0" distR="0" wp14:anchorId="16A613CA" wp14:editId="7C51F56F">
            <wp:extent cx="2571750" cy="16383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CA4D81" w14:textId="77777777" w:rsidR="00C40982" w:rsidRDefault="00C40982" w:rsidP="00C40982">
      <w:pPr>
        <w:rPr>
          <w:b/>
        </w:rPr>
      </w:pPr>
      <w:r>
        <w:rPr>
          <w:noProof/>
          <w:lang w:eastAsia="en-GB"/>
        </w:rPr>
        <w:drawing>
          <wp:inline distT="0" distB="0" distL="0" distR="0" wp14:anchorId="6F41A758" wp14:editId="44BDDD45">
            <wp:extent cx="2705100" cy="1905000"/>
            <wp:effectExtent l="0" t="0" r="0" b="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5578F" w:rsidRPr="00A5578F">
        <w:rPr>
          <w:b/>
        </w:rPr>
        <w:t xml:space="preserve">   </w:t>
      </w:r>
      <w:r w:rsidR="00A5578F">
        <w:rPr>
          <w:noProof/>
          <w:lang w:eastAsia="en-GB"/>
        </w:rPr>
        <w:drawing>
          <wp:inline distT="0" distB="0" distL="0" distR="0" wp14:anchorId="42DE751C" wp14:editId="6B3F933A">
            <wp:extent cx="2590800" cy="19050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0C3E54" w14:textId="77777777" w:rsidR="00E37540" w:rsidRPr="00E135AD" w:rsidRDefault="00CC6D56" w:rsidP="00E37540">
      <w:pPr>
        <w:jc w:val="center"/>
        <w:rPr>
          <w:rFonts w:ascii="Times New Roman" w:hAnsi="Times New Roman" w:cs="Times New Roman"/>
          <w:color w:val="FF0000"/>
          <w:sz w:val="24"/>
          <w:szCs w:val="24"/>
        </w:rPr>
      </w:pPr>
      <w:r w:rsidRPr="00E37540">
        <w:rPr>
          <w:rFonts w:ascii="Times New Roman" w:hAnsi="Times New Roman" w:cs="Times New Roman"/>
          <w:sz w:val="24"/>
          <w:szCs w:val="24"/>
        </w:rPr>
        <w:t>Fig</w:t>
      </w:r>
      <w:r w:rsidR="00DD45CF" w:rsidRPr="00E37540">
        <w:rPr>
          <w:rFonts w:ascii="Times New Roman" w:hAnsi="Times New Roman" w:cs="Times New Roman"/>
          <w:sz w:val="24"/>
          <w:szCs w:val="24"/>
        </w:rPr>
        <w:t>ure</w:t>
      </w:r>
      <w:r w:rsidRPr="00E37540">
        <w:rPr>
          <w:rFonts w:ascii="Times New Roman" w:hAnsi="Times New Roman" w:cs="Times New Roman"/>
          <w:sz w:val="24"/>
          <w:szCs w:val="24"/>
        </w:rPr>
        <w:t>. 8</w:t>
      </w:r>
      <w:r w:rsidR="00E37540" w:rsidRPr="00E37540">
        <w:rPr>
          <w:rFonts w:ascii="Times New Roman" w:hAnsi="Times New Roman" w:cs="Times New Roman"/>
          <w:sz w:val="24"/>
          <w:szCs w:val="24"/>
        </w:rPr>
        <w:t xml:space="preserve">. Natural disasters in millions in some European countries for the period 2008-2024. Source: </w:t>
      </w:r>
      <w:r w:rsidR="00E37540">
        <w:rPr>
          <w:rFonts w:ascii="Times New Roman" w:hAnsi="Times New Roman"/>
          <w:sz w:val="24"/>
          <w:szCs w:val="24"/>
        </w:rPr>
        <w:t>IDMC (2024), IDMC (</w:t>
      </w:r>
      <w:r w:rsidR="00E37540" w:rsidRPr="002F20F8">
        <w:rPr>
          <w:rFonts w:ascii="Times New Roman" w:hAnsi="Times New Roman"/>
          <w:sz w:val="24"/>
          <w:szCs w:val="24"/>
        </w:rPr>
        <w:t>2025)</w:t>
      </w:r>
      <w:r w:rsidR="00E37540">
        <w:rPr>
          <w:rFonts w:ascii="Times New Roman" w:hAnsi="Times New Roman"/>
          <w:sz w:val="24"/>
          <w:szCs w:val="24"/>
        </w:rPr>
        <w:t>.</w:t>
      </w:r>
      <w:r w:rsidR="00E37540">
        <w:rPr>
          <w:rFonts w:ascii="Times New Roman" w:hAnsi="Times New Roman" w:cs="Times New Roman"/>
          <w:color w:val="FF0000"/>
          <w:sz w:val="24"/>
          <w:szCs w:val="24"/>
        </w:rPr>
        <w:t xml:space="preserve"> </w:t>
      </w:r>
    </w:p>
    <w:p w14:paraId="42C00F02" w14:textId="77777777" w:rsidR="00E135AD" w:rsidRPr="00E135AD" w:rsidRDefault="00E135AD" w:rsidP="00E135AD">
      <w:pPr>
        <w:jc w:val="center"/>
        <w:rPr>
          <w:rFonts w:ascii="Times New Roman" w:hAnsi="Times New Roman" w:cs="Times New Roman"/>
          <w:color w:val="FF0000"/>
          <w:sz w:val="24"/>
          <w:szCs w:val="24"/>
        </w:rPr>
      </w:pPr>
    </w:p>
    <w:p w14:paraId="5D0C882E" w14:textId="77777777" w:rsidR="007860FB" w:rsidRPr="00C9256D" w:rsidRDefault="004A70AC" w:rsidP="00F22D66">
      <w:pPr>
        <w:pStyle w:val="MDPI22heading2"/>
        <w:spacing w:before="240" w:line="480" w:lineRule="auto"/>
        <w:ind w:left="0"/>
        <w:jc w:val="both"/>
        <w:rPr>
          <w:rFonts w:ascii="Times New Roman" w:hAnsi="Times New Roman"/>
          <w:i w:val="0"/>
          <w:color w:val="auto"/>
          <w:sz w:val="24"/>
          <w:szCs w:val="24"/>
        </w:rPr>
      </w:pPr>
      <w:r>
        <w:rPr>
          <w:rFonts w:ascii="Times New Roman" w:hAnsi="Times New Roman"/>
          <w:i w:val="0"/>
          <w:sz w:val="24"/>
          <w:szCs w:val="24"/>
          <w:lang w:val="en-GB"/>
        </w:rPr>
        <w:t>The</w:t>
      </w:r>
      <w:r w:rsidR="00A5578F" w:rsidRPr="002F20F8">
        <w:rPr>
          <w:rFonts w:ascii="Times New Roman" w:hAnsi="Times New Roman"/>
          <w:i w:val="0"/>
          <w:sz w:val="24"/>
          <w:szCs w:val="24"/>
        </w:rPr>
        <w:t xml:space="preserve"> </w:t>
      </w:r>
      <w:r w:rsidR="00F6768E" w:rsidRPr="002F20F8">
        <w:rPr>
          <w:rFonts w:ascii="Times New Roman" w:hAnsi="Times New Roman"/>
          <w:i w:val="0"/>
          <w:sz w:val="24"/>
          <w:szCs w:val="24"/>
        </w:rPr>
        <w:t>above</w:t>
      </w:r>
      <w:r w:rsidR="00A5578F" w:rsidRPr="002F20F8">
        <w:rPr>
          <w:rFonts w:ascii="Times New Roman" w:hAnsi="Times New Roman"/>
          <w:i w:val="0"/>
          <w:sz w:val="24"/>
          <w:szCs w:val="24"/>
        </w:rPr>
        <w:t xml:space="preserve"> results </w:t>
      </w:r>
      <w:r>
        <w:rPr>
          <w:rFonts w:ascii="Times New Roman" w:hAnsi="Times New Roman"/>
          <w:i w:val="0"/>
          <w:sz w:val="24"/>
          <w:szCs w:val="24"/>
        </w:rPr>
        <w:t xml:space="preserve">have been also contrasted </w:t>
      </w:r>
      <w:r w:rsidR="00A5578F" w:rsidRPr="002F20F8">
        <w:rPr>
          <w:rFonts w:ascii="Times New Roman" w:hAnsi="Times New Roman"/>
          <w:i w:val="0"/>
          <w:sz w:val="24"/>
          <w:szCs w:val="24"/>
        </w:rPr>
        <w:t>with those for different countries from Asia (Afghanistan and Philippines), Africa (Sudan) and South America (Brazil), known with their important natural disasters</w:t>
      </w:r>
      <w:r w:rsidR="00E135AD" w:rsidRPr="002F20F8">
        <w:rPr>
          <w:rFonts w:ascii="Times New Roman" w:hAnsi="Times New Roman"/>
          <w:b/>
          <w:i w:val="0"/>
          <w:sz w:val="24"/>
          <w:szCs w:val="24"/>
        </w:rPr>
        <w:t xml:space="preserve"> (</w:t>
      </w:r>
      <w:r w:rsidR="00DD45CF" w:rsidRPr="002F20F8">
        <w:rPr>
          <w:rFonts w:ascii="Times New Roman" w:hAnsi="Times New Roman"/>
          <w:i w:val="0"/>
          <w:sz w:val="24"/>
          <w:szCs w:val="24"/>
        </w:rPr>
        <w:t>Figure</w:t>
      </w:r>
      <w:r>
        <w:rPr>
          <w:rFonts w:ascii="Times New Roman" w:hAnsi="Times New Roman"/>
          <w:i w:val="0"/>
          <w:sz w:val="24"/>
          <w:szCs w:val="24"/>
        </w:rPr>
        <w:t>s</w:t>
      </w:r>
      <w:r w:rsidR="00CC6D56" w:rsidRPr="002F20F8">
        <w:rPr>
          <w:rFonts w:ascii="Times New Roman" w:hAnsi="Times New Roman"/>
          <w:i w:val="0"/>
          <w:sz w:val="24"/>
          <w:szCs w:val="24"/>
        </w:rPr>
        <w:t xml:space="preserve"> 9</w:t>
      </w:r>
      <w:r>
        <w:rPr>
          <w:rFonts w:ascii="Times New Roman" w:hAnsi="Times New Roman"/>
          <w:i w:val="0"/>
          <w:sz w:val="24"/>
          <w:szCs w:val="24"/>
        </w:rPr>
        <w:t>, 10</w:t>
      </w:r>
      <w:r w:rsidR="00E135AD" w:rsidRPr="002F20F8">
        <w:rPr>
          <w:rFonts w:ascii="Times New Roman" w:hAnsi="Times New Roman"/>
          <w:i w:val="0"/>
          <w:sz w:val="24"/>
          <w:szCs w:val="24"/>
        </w:rPr>
        <w:t>)</w:t>
      </w:r>
      <w:r w:rsidR="00E135AD" w:rsidRPr="002F20F8">
        <w:rPr>
          <w:rFonts w:ascii="Times New Roman" w:hAnsi="Times New Roman"/>
          <w:b/>
          <w:i w:val="0"/>
          <w:sz w:val="24"/>
          <w:szCs w:val="24"/>
        </w:rPr>
        <w:t xml:space="preserve"> </w:t>
      </w:r>
      <w:r w:rsidR="002F20F8" w:rsidRPr="002F20F8">
        <w:rPr>
          <w:rFonts w:ascii="Times New Roman" w:hAnsi="Times New Roman"/>
          <w:i w:val="0"/>
          <w:color w:val="auto"/>
          <w:sz w:val="24"/>
          <w:szCs w:val="24"/>
        </w:rPr>
        <w:t>(IDMC, 2024</w:t>
      </w:r>
      <w:r w:rsidR="002F20F8" w:rsidRPr="002F20F8">
        <w:rPr>
          <w:rFonts w:ascii="Times New Roman" w:hAnsi="Times New Roman"/>
          <w:i w:val="0"/>
          <w:sz w:val="24"/>
          <w:szCs w:val="24"/>
        </w:rPr>
        <w:t xml:space="preserve">; </w:t>
      </w:r>
      <w:r w:rsidR="00C9256D">
        <w:rPr>
          <w:rFonts w:ascii="Times New Roman" w:hAnsi="Times New Roman"/>
          <w:i w:val="0"/>
          <w:color w:val="auto"/>
          <w:sz w:val="24"/>
          <w:szCs w:val="24"/>
        </w:rPr>
        <w:t>IDMC, 2025).</w:t>
      </w:r>
    </w:p>
    <w:p w14:paraId="44D13F5A" w14:textId="77777777" w:rsidR="00C40982" w:rsidRPr="00794451" w:rsidRDefault="00C40982" w:rsidP="00F22D66">
      <w:pPr>
        <w:spacing w:line="480" w:lineRule="auto"/>
      </w:pPr>
    </w:p>
    <w:p w14:paraId="2A783617" w14:textId="77777777" w:rsidR="00C40982" w:rsidRDefault="00C40982" w:rsidP="00C40982">
      <w:r>
        <w:rPr>
          <w:noProof/>
          <w:lang w:eastAsia="en-GB"/>
        </w:rPr>
        <w:lastRenderedPageBreak/>
        <w:drawing>
          <wp:inline distT="0" distB="0" distL="0" distR="0" wp14:anchorId="01001308" wp14:editId="7AE6D03A">
            <wp:extent cx="2733675" cy="1914525"/>
            <wp:effectExtent l="0" t="0" r="9525" b="9525"/>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F6768E" w:rsidRPr="00F6768E">
        <w:t xml:space="preserve">  </w:t>
      </w:r>
      <w:r w:rsidR="00F6768E">
        <w:rPr>
          <w:noProof/>
          <w:lang w:eastAsia="en-GB"/>
        </w:rPr>
        <w:drawing>
          <wp:inline distT="0" distB="0" distL="0" distR="0" wp14:anchorId="03CF355D" wp14:editId="3F3EEC34">
            <wp:extent cx="2686050" cy="19431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BFD464" w14:textId="77777777" w:rsidR="00E135AD" w:rsidRDefault="00DD45CF" w:rsidP="00C9256D">
      <w:pPr>
        <w:jc w:val="center"/>
        <w:rPr>
          <w:rFonts w:ascii="Times New Roman" w:hAnsi="Times New Roman" w:cs="Times New Roman"/>
          <w:color w:val="FF0000"/>
          <w:sz w:val="24"/>
          <w:szCs w:val="24"/>
        </w:rPr>
      </w:pPr>
      <w:r w:rsidRPr="00C9256D">
        <w:rPr>
          <w:rFonts w:ascii="Times New Roman" w:hAnsi="Times New Roman" w:cs="Times New Roman"/>
          <w:sz w:val="24"/>
          <w:szCs w:val="24"/>
        </w:rPr>
        <w:t>Figure</w:t>
      </w:r>
      <w:r w:rsidR="00CC6D56" w:rsidRPr="00C9256D">
        <w:rPr>
          <w:rFonts w:ascii="Times New Roman" w:hAnsi="Times New Roman" w:cs="Times New Roman"/>
          <w:sz w:val="24"/>
          <w:szCs w:val="24"/>
        </w:rPr>
        <w:t xml:space="preserve"> 9</w:t>
      </w:r>
      <w:r w:rsidR="00C9256D" w:rsidRPr="00C9256D">
        <w:rPr>
          <w:rFonts w:ascii="Times New Roman" w:hAnsi="Times New Roman" w:cs="Times New Roman"/>
          <w:sz w:val="24"/>
          <w:szCs w:val="24"/>
        </w:rPr>
        <w:t xml:space="preserve">. </w:t>
      </w:r>
      <w:r w:rsidR="00C9256D" w:rsidRPr="00E37540">
        <w:rPr>
          <w:rFonts w:ascii="Times New Roman" w:hAnsi="Times New Roman" w:cs="Times New Roman"/>
          <w:sz w:val="24"/>
          <w:szCs w:val="24"/>
        </w:rPr>
        <w:t>Natural disasters in millions</w:t>
      </w:r>
      <w:r w:rsidR="00C9256D">
        <w:rPr>
          <w:rFonts w:ascii="Times New Roman" w:hAnsi="Times New Roman" w:cs="Times New Roman"/>
          <w:sz w:val="24"/>
          <w:szCs w:val="24"/>
        </w:rPr>
        <w:t xml:space="preserve"> in some most affected Asian countries</w:t>
      </w:r>
      <w:r w:rsidR="00C9256D" w:rsidRPr="00E37540">
        <w:rPr>
          <w:rFonts w:ascii="Times New Roman" w:hAnsi="Times New Roman" w:cs="Times New Roman"/>
          <w:sz w:val="24"/>
          <w:szCs w:val="24"/>
        </w:rPr>
        <w:t xml:space="preserve"> </w:t>
      </w:r>
      <w:r w:rsidR="00C9256D">
        <w:rPr>
          <w:rFonts w:ascii="Times New Roman" w:hAnsi="Times New Roman" w:cs="Times New Roman"/>
          <w:sz w:val="24"/>
          <w:szCs w:val="24"/>
        </w:rPr>
        <w:t xml:space="preserve">for </w:t>
      </w:r>
      <w:r w:rsidR="00C9256D" w:rsidRPr="00E37540">
        <w:rPr>
          <w:rFonts w:ascii="Times New Roman" w:hAnsi="Times New Roman" w:cs="Times New Roman"/>
          <w:sz w:val="24"/>
          <w:szCs w:val="24"/>
        </w:rPr>
        <w:t xml:space="preserve">the period 2008-2024. Source: </w:t>
      </w:r>
      <w:r w:rsidR="00C9256D">
        <w:rPr>
          <w:rFonts w:ascii="Times New Roman" w:hAnsi="Times New Roman"/>
          <w:sz w:val="24"/>
          <w:szCs w:val="24"/>
        </w:rPr>
        <w:t>IDMC (2024), IDMC (</w:t>
      </w:r>
      <w:r w:rsidR="00C9256D" w:rsidRPr="002F20F8">
        <w:rPr>
          <w:rFonts w:ascii="Times New Roman" w:hAnsi="Times New Roman"/>
          <w:sz w:val="24"/>
          <w:szCs w:val="24"/>
        </w:rPr>
        <w:t>2025)</w:t>
      </w:r>
      <w:r w:rsidR="00C9256D">
        <w:rPr>
          <w:rFonts w:ascii="Times New Roman" w:hAnsi="Times New Roman"/>
          <w:sz w:val="24"/>
          <w:szCs w:val="24"/>
        </w:rPr>
        <w:t>.</w:t>
      </w:r>
      <w:r w:rsidR="00C9256D">
        <w:rPr>
          <w:rFonts w:ascii="Times New Roman" w:hAnsi="Times New Roman" w:cs="Times New Roman"/>
          <w:color w:val="FF0000"/>
          <w:sz w:val="24"/>
          <w:szCs w:val="24"/>
        </w:rPr>
        <w:t xml:space="preserve"> </w:t>
      </w:r>
    </w:p>
    <w:p w14:paraId="3A43D778" w14:textId="77777777" w:rsidR="002F20F8" w:rsidRPr="002F20F8" w:rsidRDefault="00E135AD" w:rsidP="00F22D66">
      <w:pPr>
        <w:pStyle w:val="MDPI22heading2"/>
        <w:spacing w:before="240" w:line="480" w:lineRule="auto"/>
        <w:ind w:left="0"/>
        <w:jc w:val="both"/>
        <w:rPr>
          <w:rFonts w:ascii="Times New Roman" w:hAnsi="Times New Roman"/>
          <w:i w:val="0"/>
          <w:color w:val="auto"/>
          <w:sz w:val="24"/>
          <w:szCs w:val="24"/>
        </w:rPr>
      </w:pPr>
      <w:r w:rsidRPr="002F20F8">
        <w:rPr>
          <w:rFonts w:ascii="Times New Roman" w:hAnsi="Times New Roman"/>
          <w:i w:val="0"/>
          <w:sz w:val="24"/>
          <w:szCs w:val="24"/>
        </w:rPr>
        <w:t xml:space="preserve">The numbers are larger in magnitude compared to </w:t>
      </w:r>
      <w:r w:rsidR="004A70AC">
        <w:rPr>
          <w:rFonts w:ascii="Times New Roman" w:hAnsi="Times New Roman"/>
          <w:i w:val="0"/>
          <w:sz w:val="24"/>
          <w:szCs w:val="24"/>
        </w:rPr>
        <w:t>Europe. In Afghanistan there were</w:t>
      </w:r>
      <w:r w:rsidRPr="002F20F8">
        <w:rPr>
          <w:rFonts w:ascii="Times New Roman" w:hAnsi="Times New Roman"/>
          <w:i w:val="0"/>
          <w:sz w:val="24"/>
          <w:szCs w:val="24"/>
        </w:rPr>
        <w:t xml:space="preserve"> 390 disaster events reported with 2.5m internal displacements caused mainly by flood (1.5m) and earthquake (605k). The situation in Philippines shows 732 disaster events reported with 71.2m displaced mainly due to storm (58.5m) and flood (10.2m). The situation in Sudan shows 142 events reported with 2.2m displaced mainly due to flood. Finally, Brazil has shown 867 disaster events reported for the same period (2008-2024) with 5.4m internal displacements mainly due to flood (3.5m) and storm (1.7m) (</w:t>
      </w:r>
      <w:r w:rsidR="00DD45CF" w:rsidRPr="002F20F8">
        <w:rPr>
          <w:rFonts w:ascii="Times New Roman" w:hAnsi="Times New Roman"/>
          <w:i w:val="0"/>
          <w:sz w:val="24"/>
          <w:szCs w:val="24"/>
        </w:rPr>
        <w:t>Figure</w:t>
      </w:r>
      <w:r w:rsidR="00CC6D56" w:rsidRPr="002F20F8">
        <w:rPr>
          <w:rFonts w:ascii="Times New Roman" w:hAnsi="Times New Roman"/>
          <w:i w:val="0"/>
          <w:sz w:val="24"/>
          <w:szCs w:val="24"/>
        </w:rPr>
        <w:t xml:space="preserve"> 10</w:t>
      </w:r>
      <w:r w:rsidRPr="002F20F8">
        <w:rPr>
          <w:rFonts w:ascii="Times New Roman" w:hAnsi="Times New Roman"/>
          <w:i w:val="0"/>
          <w:sz w:val="24"/>
          <w:szCs w:val="24"/>
        </w:rPr>
        <w:t xml:space="preserve">) </w:t>
      </w:r>
      <w:r w:rsidR="002F20F8" w:rsidRPr="002F20F8">
        <w:rPr>
          <w:rFonts w:ascii="Times New Roman" w:hAnsi="Times New Roman"/>
          <w:i w:val="0"/>
          <w:color w:val="auto"/>
          <w:sz w:val="24"/>
          <w:szCs w:val="24"/>
        </w:rPr>
        <w:t>(IDMC, 2024</w:t>
      </w:r>
      <w:r w:rsidR="002F20F8" w:rsidRPr="002F20F8">
        <w:rPr>
          <w:rFonts w:ascii="Times New Roman" w:hAnsi="Times New Roman"/>
          <w:i w:val="0"/>
          <w:sz w:val="24"/>
          <w:szCs w:val="24"/>
        </w:rPr>
        <w:t xml:space="preserve">; </w:t>
      </w:r>
      <w:r w:rsidR="002F20F8" w:rsidRPr="002F20F8">
        <w:rPr>
          <w:rFonts w:ascii="Times New Roman" w:hAnsi="Times New Roman"/>
          <w:i w:val="0"/>
          <w:color w:val="auto"/>
          <w:sz w:val="24"/>
          <w:szCs w:val="24"/>
        </w:rPr>
        <w:t>IDMC, 2025).</w:t>
      </w:r>
    </w:p>
    <w:p w14:paraId="57ADF9F3" w14:textId="77777777" w:rsidR="00E135AD" w:rsidRPr="002F20F8" w:rsidRDefault="00E135AD" w:rsidP="00E135AD">
      <w:pPr>
        <w:jc w:val="both"/>
        <w:rPr>
          <w:rFonts w:ascii="Times New Roman" w:hAnsi="Times New Roman" w:cs="Times New Roman"/>
          <w:sz w:val="24"/>
          <w:szCs w:val="24"/>
          <w:lang w:val="en-US"/>
        </w:rPr>
      </w:pPr>
    </w:p>
    <w:p w14:paraId="485AB392" w14:textId="77777777" w:rsidR="00C40982" w:rsidRDefault="00C40982" w:rsidP="00C40982">
      <w:pPr>
        <w:rPr>
          <w:lang w:val="en-US"/>
        </w:rPr>
      </w:pPr>
      <w:r>
        <w:rPr>
          <w:noProof/>
          <w:lang w:eastAsia="en-GB"/>
        </w:rPr>
        <w:drawing>
          <wp:inline distT="0" distB="0" distL="0" distR="0" wp14:anchorId="6BF8624D" wp14:editId="32E014E4">
            <wp:extent cx="2724150" cy="2133600"/>
            <wp:effectExtent l="0" t="0" r="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F6768E">
        <w:rPr>
          <w:lang w:val="en-US"/>
        </w:rPr>
        <w:t xml:space="preserve">  </w:t>
      </w:r>
      <w:r w:rsidR="00F6768E">
        <w:rPr>
          <w:noProof/>
          <w:lang w:eastAsia="en-GB"/>
        </w:rPr>
        <w:drawing>
          <wp:inline distT="0" distB="0" distL="0" distR="0" wp14:anchorId="598E3E7A" wp14:editId="40FFAB62">
            <wp:extent cx="2733675" cy="214312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A7CF24" w14:textId="77777777" w:rsidR="00E135AD" w:rsidRPr="00C9256D" w:rsidRDefault="00DD45CF" w:rsidP="00C9256D">
      <w:pPr>
        <w:jc w:val="center"/>
        <w:rPr>
          <w:rFonts w:ascii="Times New Roman" w:hAnsi="Times New Roman" w:cs="Times New Roman"/>
          <w:color w:val="FF0000"/>
          <w:sz w:val="24"/>
          <w:szCs w:val="24"/>
        </w:rPr>
      </w:pPr>
      <w:r w:rsidRPr="00C9256D">
        <w:rPr>
          <w:rFonts w:ascii="Times New Roman" w:hAnsi="Times New Roman" w:cs="Times New Roman"/>
          <w:sz w:val="24"/>
          <w:szCs w:val="24"/>
          <w:lang w:val="en-US"/>
        </w:rPr>
        <w:t xml:space="preserve">Figure </w:t>
      </w:r>
      <w:r w:rsidR="00CC6D56" w:rsidRPr="00C9256D">
        <w:rPr>
          <w:rFonts w:ascii="Times New Roman" w:hAnsi="Times New Roman" w:cs="Times New Roman"/>
          <w:sz w:val="24"/>
          <w:szCs w:val="24"/>
          <w:lang w:val="en-US"/>
        </w:rPr>
        <w:t>10</w:t>
      </w:r>
      <w:r w:rsidR="00C9256D" w:rsidRPr="00C9256D">
        <w:rPr>
          <w:rFonts w:ascii="Times New Roman" w:hAnsi="Times New Roman" w:cs="Times New Roman"/>
          <w:sz w:val="24"/>
          <w:szCs w:val="24"/>
          <w:lang w:val="en-US"/>
        </w:rPr>
        <w:t xml:space="preserve">. </w:t>
      </w:r>
      <w:r w:rsidR="00C9256D" w:rsidRPr="00E37540">
        <w:rPr>
          <w:rFonts w:ascii="Times New Roman" w:hAnsi="Times New Roman" w:cs="Times New Roman"/>
          <w:sz w:val="24"/>
          <w:szCs w:val="24"/>
        </w:rPr>
        <w:t>Natural disasters in millions</w:t>
      </w:r>
      <w:r w:rsidR="00C9256D">
        <w:rPr>
          <w:rFonts w:ascii="Times New Roman" w:hAnsi="Times New Roman" w:cs="Times New Roman"/>
          <w:sz w:val="24"/>
          <w:szCs w:val="24"/>
        </w:rPr>
        <w:t xml:space="preserve"> in Sudan and Brazil for </w:t>
      </w:r>
      <w:r w:rsidR="00C9256D" w:rsidRPr="00E37540">
        <w:rPr>
          <w:rFonts w:ascii="Times New Roman" w:hAnsi="Times New Roman" w:cs="Times New Roman"/>
          <w:sz w:val="24"/>
          <w:szCs w:val="24"/>
        </w:rPr>
        <w:t xml:space="preserve">the period 2008-2024. Source: </w:t>
      </w:r>
      <w:r w:rsidR="00C9256D">
        <w:rPr>
          <w:rFonts w:ascii="Times New Roman" w:hAnsi="Times New Roman"/>
          <w:sz w:val="24"/>
          <w:szCs w:val="24"/>
        </w:rPr>
        <w:t>IDMC (2024), IDMC (</w:t>
      </w:r>
      <w:r w:rsidR="00C9256D" w:rsidRPr="002F20F8">
        <w:rPr>
          <w:rFonts w:ascii="Times New Roman" w:hAnsi="Times New Roman"/>
          <w:sz w:val="24"/>
          <w:szCs w:val="24"/>
        </w:rPr>
        <w:t>2025)</w:t>
      </w:r>
      <w:r w:rsidR="00C9256D">
        <w:rPr>
          <w:rFonts w:ascii="Times New Roman" w:hAnsi="Times New Roman"/>
          <w:sz w:val="24"/>
          <w:szCs w:val="24"/>
        </w:rPr>
        <w:t>.</w:t>
      </w:r>
      <w:r w:rsidR="00C9256D">
        <w:rPr>
          <w:rFonts w:ascii="Times New Roman" w:hAnsi="Times New Roman" w:cs="Times New Roman"/>
          <w:color w:val="FF0000"/>
          <w:sz w:val="24"/>
          <w:szCs w:val="24"/>
        </w:rPr>
        <w:t xml:space="preserve"> </w:t>
      </w:r>
    </w:p>
    <w:p w14:paraId="72C26F84" w14:textId="77777777" w:rsidR="00D85644" w:rsidRPr="002F20F8" w:rsidRDefault="00E135A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 xml:space="preserve">Studies revealed </w:t>
      </w:r>
      <w:r w:rsidR="00AD32EC">
        <w:rPr>
          <w:rFonts w:ascii="Times New Roman" w:eastAsia="Times New Roman" w:hAnsi="Times New Roman" w:cs="Times New Roman"/>
          <w:sz w:val="24"/>
          <w:szCs w:val="24"/>
          <w:lang w:val="en-US" w:eastAsia="en-GB"/>
        </w:rPr>
        <w:t xml:space="preserve">that </w:t>
      </w:r>
      <w:r w:rsidR="00AD32EC">
        <w:rPr>
          <w:rFonts w:ascii="Times New Roman" w:eastAsia="Times New Roman" w:hAnsi="Times New Roman" w:cs="Times New Roman"/>
          <w:sz w:val="24"/>
          <w:szCs w:val="24"/>
          <w:lang w:eastAsia="en-GB"/>
        </w:rPr>
        <w:t>within optimistic scenario</w:t>
      </w:r>
      <w:r w:rsidR="00D85644" w:rsidRPr="00D85644">
        <w:rPr>
          <w:rFonts w:ascii="Times New Roman" w:eastAsia="Times New Roman" w:hAnsi="Times New Roman" w:cs="Times New Roman"/>
          <w:sz w:val="24"/>
          <w:szCs w:val="24"/>
          <w:lang w:eastAsia="en-GB"/>
        </w:rPr>
        <w:t>, flood-related</w:t>
      </w:r>
      <w:r w:rsidR="00AD32EC">
        <w:rPr>
          <w:rFonts w:ascii="Times New Roman" w:eastAsia="Times New Roman" w:hAnsi="Times New Roman" w:cs="Times New Roman"/>
          <w:sz w:val="24"/>
          <w:szCs w:val="24"/>
          <w:lang w:eastAsia="en-GB"/>
        </w:rPr>
        <w:t xml:space="preserve"> displacement could rise, with an average annual d</w:t>
      </w:r>
      <w:r>
        <w:rPr>
          <w:rFonts w:ascii="Times New Roman" w:eastAsia="Times New Roman" w:hAnsi="Times New Roman" w:cs="Times New Roman"/>
          <w:sz w:val="24"/>
          <w:szCs w:val="24"/>
          <w:lang w:eastAsia="en-GB"/>
        </w:rPr>
        <w:t>isplacement</w:t>
      </w:r>
      <w:r w:rsidR="00D85644" w:rsidRPr="00D85644">
        <w:rPr>
          <w:rFonts w:ascii="Times New Roman" w:eastAsia="Times New Roman" w:hAnsi="Times New Roman" w:cs="Times New Roman"/>
          <w:sz w:val="24"/>
          <w:szCs w:val="24"/>
          <w:lang w:eastAsia="en-GB"/>
        </w:rPr>
        <w:t xml:space="preserve"> projected to be two to four times higher than current levels, </w:t>
      </w:r>
      <w:r w:rsidR="00D85644" w:rsidRPr="00D85644">
        <w:rPr>
          <w:rFonts w:ascii="Times New Roman" w:eastAsia="Times New Roman" w:hAnsi="Times New Roman" w:cs="Times New Roman"/>
          <w:sz w:val="24"/>
          <w:szCs w:val="24"/>
          <w:lang w:eastAsia="en-GB"/>
        </w:rPr>
        <w:lastRenderedPageBreak/>
        <w:t>varying by country. In pessimistic scenarios, the risk intensifies further, potentially increasing by a factor up to nine in Sudan</w:t>
      </w:r>
      <w:r>
        <w:rPr>
          <w:rFonts w:ascii="Times New Roman" w:eastAsia="Times New Roman" w:hAnsi="Times New Roman" w:cs="Times New Roman"/>
          <w:b/>
          <w:sz w:val="24"/>
          <w:szCs w:val="24"/>
          <w:lang w:eastAsia="en-GB"/>
        </w:rPr>
        <w:t>.</w:t>
      </w:r>
      <w:r>
        <w:rPr>
          <w:rFonts w:ascii="Times New Roman" w:eastAsia="Times New Roman" w:hAnsi="Times New Roman" w:cs="Times New Roman"/>
          <w:sz w:val="24"/>
          <w:szCs w:val="24"/>
          <w:lang w:eastAsia="en-GB"/>
        </w:rPr>
        <w:t xml:space="preserve"> </w:t>
      </w:r>
      <w:r w:rsidR="00D85644" w:rsidRPr="00E135AD">
        <w:rPr>
          <w:rFonts w:ascii="Times New Roman" w:eastAsia="Times New Roman" w:hAnsi="Times New Roman" w:cs="Times New Roman"/>
          <w:sz w:val="24"/>
          <w:szCs w:val="24"/>
          <w:lang w:eastAsia="en-GB"/>
        </w:rPr>
        <w:t>The results suggest</w:t>
      </w:r>
      <w:r w:rsidRPr="00E135AD">
        <w:rPr>
          <w:rFonts w:ascii="Times New Roman" w:eastAsia="Times New Roman" w:hAnsi="Times New Roman" w:cs="Times New Roman"/>
          <w:sz w:val="24"/>
          <w:szCs w:val="24"/>
          <w:lang w:eastAsia="en-GB"/>
        </w:rPr>
        <w:t xml:space="preserve"> as well that</w:t>
      </w:r>
      <w:r w:rsidR="00D85644" w:rsidRPr="00E135AD">
        <w:rPr>
          <w:rFonts w:ascii="Times New Roman" w:eastAsia="Times New Roman" w:hAnsi="Times New Roman" w:cs="Times New Roman"/>
          <w:sz w:val="24"/>
          <w:szCs w:val="24"/>
          <w:lang w:eastAsia="en-GB"/>
        </w:rPr>
        <w:t xml:space="preserve"> Sudan </w:t>
      </w:r>
      <w:r w:rsidR="00D85644" w:rsidRPr="00D85644">
        <w:rPr>
          <w:rFonts w:ascii="Times New Roman" w:eastAsia="Times New Roman" w:hAnsi="Times New Roman" w:cs="Times New Roman"/>
          <w:sz w:val="24"/>
          <w:szCs w:val="24"/>
          <w:lang w:eastAsia="en-GB"/>
        </w:rPr>
        <w:t>may see a slight decline in risk</w:t>
      </w:r>
      <w:r>
        <w:rPr>
          <w:rFonts w:ascii="Times New Roman" w:eastAsia="Times New Roman" w:hAnsi="Times New Roman" w:cs="Times New Roman"/>
          <w:sz w:val="24"/>
          <w:szCs w:val="24"/>
          <w:lang w:eastAsia="en-GB"/>
        </w:rPr>
        <w:t xml:space="preserve"> of drought displacement</w:t>
      </w:r>
      <w:r w:rsidR="00D85644" w:rsidRPr="00D85644">
        <w:rPr>
          <w:rFonts w:ascii="Times New Roman" w:eastAsia="Times New Roman" w:hAnsi="Times New Roman" w:cs="Times New Roman"/>
          <w:sz w:val="24"/>
          <w:szCs w:val="24"/>
          <w:lang w:eastAsia="en-GB"/>
        </w:rPr>
        <w:t>, ranging from 5% to 9% under both scenarios. Although Sudan lacks comprehensive empirical data on drought-induced internal displacement, millions of Sudanese are regularly affected by drought events. The findings indicate that, in years of severe drought, between 800,000 and 9</w:t>
      </w:r>
      <w:r w:rsidR="002B09E9">
        <w:rPr>
          <w:rFonts w:ascii="Times New Roman" w:eastAsia="Times New Roman" w:hAnsi="Times New Roman" w:cs="Times New Roman"/>
          <w:sz w:val="24"/>
          <w:szCs w:val="24"/>
          <w:lang w:eastAsia="en-GB"/>
        </w:rPr>
        <w:t xml:space="preserve">00,000 people could be displaced </w:t>
      </w:r>
      <w:r w:rsidR="002F20F8">
        <w:rPr>
          <w:rFonts w:ascii="Times New Roman" w:eastAsia="Times New Roman" w:hAnsi="Times New Roman" w:cs="Times New Roman"/>
          <w:sz w:val="24"/>
          <w:szCs w:val="24"/>
          <w:lang w:eastAsia="en-GB"/>
        </w:rPr>
        <w:t>(</w:t>
      </w:r>
      <w:r w:rsidR="00AD32EC">
        <w:rPr>
          <w:rFonts w:ascii="Times New Roman" w:eastAsia="Times New Roman" w:hAnsi="Times New Roman" w:cs="Times New Roman"/>
          <w:sz w:val="24"/>
          <w:szCs w:val="24"/>
          <w:lang w:eastAsia="en-GB"/>
        </w:rPr>
        <w:t>I</w:t>
      </w:r>
      <w:r w:rsidR="002F20F8" w:rsidRPr="002F20F8">
        <w:rPr>
          <w:rFonts w:ascii="Times New Roman" w:eastAsia="Times New Roman" w:hAnsi="Times New Roman" w:cs="Times New Roman"/>
          <w:sz w:val="24"/>
          <w:szCs w:val="24"/>
          <w:lang w:eastAsia="en-GB"/>
        </w:rPr>
        <w:t>D</w:t>
      </w:r>
      <w:r w:rsidR="002F20F8">
        <w:rPr>
          <w:rFonts w:ascii="Times New Roman" w:eastAsia="Times New Roman" w:hAnsi="Times New Roman" w:cs="Times New Roman"/>
          <w:sz w:val="24"/>
          <w:szCs w:val="24"/>
          <w:lang w:eastAsia="en-GB"/>
        </w:rPr>
        <w:t xml:space="preserve">MC, </w:t>
      </w:r>
      <w:r w:rsidR="002F20F8" w:rsidRPr="002F20F8">
        <w:rPr>
          <w:rFonts w:ascii="Times New Roman" w:eastAsia="Times New Roman" w:hAnsi="Times New Roman" w:cs="Times New Roman"/>
          <w:sz w:val="24"/>
          <w:szCs w:val="24"/>
          <w:lang w:eastAsia="en-GB"/>
        </w:rPr>
        <w:t>2024a)</w:t>
      </w:r>
      <w:r w:rsidR="002F20F8">
        <w:rPr>
          <w:rFonts w:ascii="Times New Roman" w:eastAsia="Times New Roman" w:hAnsi="Times New Roman" w:cs="Times New Roman"/>
          <w:sz w:val="24"/>
          <w:szCs w:val="24"/>
          <w:lang w:eastAsia="en-GB"/>
        </w:rPr>
        <w:t>.</w:t>
      </w:r>
    </w:p>
    <w:p w14:paraId="283D1A2F" w14:textId="77777777" w:rsidR="00C9256D" w:rsidRPr="00C9256D" w:rsidRDefault="00E135AD" w:rsidP="00F22D66">
      <w:pPr>
        <w:spacing w:line="480" w:lineRule="auto"/>
        <w:jc w:val="both"/>
        <w:rPr>
          <w:rFonts w:ascii="Times New Roman" w:hAnsi="Times New Roman" w:cs="Times New Roman"/>
          <w:sz w:val="24"/>
          <w:szCs w:val="24"/>
        </w:rPr>
      </w:pPr>
      <w:r w:rsidRPr="00E135AD">
        <w:rPr>
          <w:rFonts w:ascii="Times New Roman" w:hAnsi="Times New Roman" w:cs="Times New Roman"/>
          <w:sz w:val="24"/>
          <w:szCs w:val="24"/>
        </w:rPr>
        <w:t>In order to complement the study,</w:t>
      </w:r>
      <w:r w:rsidR="00D85644" w:rsidRPr="00E135AD">
        <w:rPr>
          <w:rFonts w:ascii="Times New Roman" w:hAnsi="Times New Roman" w:cs="Times New Roman"/>
          <w:sz w:val="24"/>
          <w:szCs w:val="24"/>
        </w:rPr>
        <w:t xml:space="preserve"> we employed the World </w:t>
      </w:r>
      <w:r w:rsidR="00D85644" w:rsidRPr="00D85644">
        <w:rPr>
          <w:rFonts w:ascii="Times New Roman" w:hAnsi="Times New Roman" w:cs="Times New Roman"/>
          <w:sz w:val="24"/>
          <w:szCs w:val="24"/>
        </w:rPr>
        <w:t>Climate Simulator</w:t>
      </w:r>
      <w:r w:rsidR="00AD32EC">
        <w:rPr>
          <w:rFonts w:ascii="Times New Roman" w:hAnsi="Times New Roman" w:cs="Times New Roman"/>
          <w:sz w:val="24"/>
          <w:szCs w:val="24"/>
        </w:rPr>
        <w:t xml:space="preserve"> </w:t>
      </w:r>
      <w:r w:rsidR="00AD32EC" w:rsidRPr="002B09E9">
        <w:rPr>
          <w:rFonts w:ascii="Times New Roman" w:hAnsi="Times New Roman" w:cs="Times New Roman"/>
          <w:sz w:val="24"/>
          <w:szCs w:val="24"/>
        </w:rPr>
        <w:t>(Varga et al.</w:t>
      </w:r>
      <w:r w:rsidR="00AD32EC">
        <w:rPr>
          <w:rFonts w:ascii="Times New Roman" w:hAnsi="Times New Roman" w:cs="Times New Roman"/>
          <w:sz w:val="24"/>
          <w:szCs w:val="24"/>
        </w:rPr>
        <w:t>, 2021;</w:t>
      </w:r>
      <w:r w:rsidR="00AD32EC" w:rsidRPr="002B09E9">
        <w:rPr>
          <w:rFonts w:ascii="Times New Roman" w:hAnsi="Times New Roman" w:cs="Times New Roman"/>
          <w:sz w:val="24"/>
          <w:szCs w:val="24"/>
        </w:rPr>
        <w:t xml:space="preserve"> </w:t>
      </w:r>
      <w:proofErr w:type="spellStart"/>
      <w:r w:rsidR="00AD32EC" w:rsidRPr="002B09E9">
        <w:rPr>
          <w:rFonts w:ascii="Times New Roman" w:hAnsi="Times New Roman" w:cs="Times New Roman"/>
          <w:sz w:val="24"/>
          <w:szCs w:val="24"/>
        </w:rPr>
        <w:t>EnRoads</w:t>
      </w:r>
      <w:proofErr w:type="spellEnd"/>
      <w:r w:rsidR="00AD32EC">
        <w:rPr>
          <w:rFonts w:ascii="Times New Roman" w:hAnsi="Times New Roman" w:cs="Times New Roman"/>
          <w:sz w:val="24"/>
          <w:szCs w:val="24"/>
        </w:rPr>
        <w:t>,</w:t>
      </w:r>
      <w:r w:rsidR="00AD32EC" w:rsidRPr="002B09E9">
        <w:rPr>
          <w:rFonts w:ascii="Times New Roman" w:hAnsi="Times New Roman" w:cs="Times New Roman"/>
          <w:sz w:val="24"/>
          <w:szCs w:val="24"/>
        </w:rPr>
        <w:t xml:space="preserve"> 2025</w:t>
      </w:r>
      <w:r w:rsidR="00AD32EC">
        <w:rPr>
          <w:rFonts w:ascii="Times New Roman" w:hAnsi="Times New Roman" w:cs="Times New Roman"/>
          <w:sz w:val="24"/>
          <w:szCs w:val="24"/>
        </w:rPr>
        <w:t>)</w:t>
      </w:r>
      <w:r w:rsidR="00D85644" w:rsidRPr="00D85644">
        <w:rPr>
          <w:rFonts w:ascii="Times New Roman" w:hAnsi="Times New Roman" w:cs="Times New Roman"/>
          <w:sz w:val="24"/>
          <w:szCs w:val="24"/>
        </w:rPr>
        <w:t>, which blends role-playing with interactive, science-based computer models to emphasize the urgenc</w:t>
      </w:r>
      <w:r>
        <w:rPr>
          <w:rFonts w:ascii="Times New Roman" w:hAnsi="Times New Roman" w:cs="Times New Roman"/>
          <w:sz w:val="24"/>
          <w:szCs w:val="24"/>
        </w:rPr>
        <w:t>y of cl</w:t>
      </w:r>
      <w:r w:rsidR="002B09E9">
        <w:rPr>
          <w:rFonts w:ascii="Times New Roman" w:hAnsi="Times New Roman" w:cs="Times New Roman"/>
          <w:sz w:val="24"/>
          <w:szCs w:val="24"/>
        </w:rPr>
        <w:t>imate change challenges. The aim</w:t>
      </w:r>
      <w:r>
        <w:rPr>
          <w:rFonts w:ascii="Times New Roman" w:hAnsi="Times New Roman" w:cs="Times New Roman"/>
          <w:sz w:val="24"/>
          <w:szCs w:val="24"/>
        </w:rPr>
        <w:t xml:space="preserve"> </w:t>
      </w:r>
      <w:r w:rsidR="008A7ACF">
        <w:rPr>
          <w:rFonts w:ascii="Times New Roman" w:hAnsi="Times New Roman" w:cs="Times New Roman"/>
          <w:sz w:val="24"/>
          <w:szCs w:val="24"/>
        </w:rPr>
        <w:t xml:space="preserve">was to estimate the effect of the extreme heat on the </w:t>
      </w:r>
      <w:r w:rsidR="002B09E9">
        <w:rPr>
          <w:rFonts w:ascii="Times New Roman" w:hAnsi="Times New Roman" w:cs="Times New Roman"/>
          <w:sz w:val="24"/>
          <w:szCs w:val="24"/>
        </w:rPr>
        <w:t>population</w:t>
      </w:r>
      <w:r w:rsidR="002B09E9" w:rsidRPr="002B09E9">
        <w:rPr>
          <w:rFonts w:ascii="Times New Roman" w:hAnsi="Times New Roman" w:cs="Times New Roman"/>
          <w:sz w:val="24"/>
          <w:szCs w:val="24"/>
        </w:rPr>
        <w:t>.</w:t>
      </w:r>
      <w:r w:rsidR="00CC6D56">
        <w:rPr>
          <w:rFonts w:ascii="Times New Roman" w:hAnsi="Times New Roman" w:cs="Times New Roman"/>
          <w:color w:val="FF0000"/>
          <w:sz w:val="24"/>
          <w:szCs w:val="24"/>
        </w:rPr>
        <w:t xml:space="preserve"> </w:t>
      </w:r>
      <w:r w:rsidR="00DD45CF">
        <w:rPr>
          <w:rFonts w:ascii="Times New Roman" w:hAnsi="Times New Roman" w:cs="Times New Roman"/>
          <w:sz w:val="24"/>
          <w:szCs w:val="24"/>
        </w:rPr>
        <w:t>In Figure</w:t>
      </w:r>
      <w:r w:rsidR="00CC6D56" w:rsidRPr="00CC6D56">
        <w:rPr>
          <w:rFonts w:ascii="Times New Roman" w:hAnsi="Times New Roman" w:cs="Times New Roman"/>
          <w:sz w:val="24"/>
          <w:szCs w:val="24"/>
        </w:rPr>
        <w:t xml:space="preserve"> 11</w:t>
      </w:r>
      <w:r w:rsidR="008A7ACF" w:rsidRPr="00CC6D56">
        <w:rPr>
          <w:rFonts w:ascii="Times New Roman" w:hAnsi="Times New Roman" w:cs="Times New Roman"/>
          <w:sz w:val="24"/>
          <w:szCs w:val="24"/>
        </w:rPr>
        <w:t xml:space="preserve"> </w:t>
      </w:r>
      <w:r w:rsidR="008A7ACF" w:rsidRPr="008A7ACF">
        <w:rPr>
          <w:rFonts w:ascii="Times New Roman" w:hAnsi="Times New Roman" w:cs="Times New Roman"/>
          <w:sz w:val="24"/>
          <w:szCs w:val="24"/>
        </w:rPr>
        <w:t xml:space="preserve">the </w:t>
      </w:r>
      <w:r w:rsidR="008A7ACF">
        <w:rPr>
          <w:rFonts w:ascii="Times New Roman" w:hAnsi="Times New Roman" w:cs="Times New Roman"/>
          <w:sz w:val="24"/>
          <w:szCs w:val="24"/>
        </w:rPr>
        <w:t xml:space="preserve">number of </w:t>
      </w:r>
      <w:proofErr w:type="gramStart"/>
      <w:r w:rsidR="002B09E9">
        <w:rPr>
          <w:rFonts w:ascii="Times New Roman" w:hAnsi="Times New Roman" w:cs="Times New Roman"/>
          <w:sz w:val="24"/>
          <w:szCs w:val="24"/>
        </w:rPr>
        <w:t>dead</w:t>
      </w:r>
      <w:proofErr w:type="gramEnd"/>
      <w:r w:rsidR="008A7ACF">
        <w:rPr>
          <w:rFonts w:ascii="Times New Roman" w:hAnsi="Times New Roman" w:cs="Times New Roman"/>
          <w:sz w:val="24"/>
          <w:szCs w:val="24"/>
        </w:rPr>
        <w:t xml:space="preserve"> </w:t>
      </w:r>
      <w:r w:rsidR="00DD45CF">
        <w:rPr>
          <w:rFonts w:ascii="Times New Roman" w:hAnsi="Times New Roman" w:cs="Times New Roman"/>
          <w:sz w:val="24"/>
          <w:szCs w:val="24"/>
        </w:rPr>
        <w:t>by extreme heat up to year 2010 has been represented.</w:t>
      </w:r>
    </w:p>
    <w:p w14:paraId="4B224109" w14:textId="77777777" w:rsidR="00E87AF5" w:rsidRDefault="00E87AF5" w:rsidP="00382A6B">
      <w:pPr>
        <w:jc w:val="center"/>
      </w:pPr>
      <w:r>
        <w:rPr>
          <w:noProof/>
          <w:lang w:eastAsia="en-GB"/>
        </w:rPr>
        <w:drawing>
          <wp:inline distT="0" distB="0" distL="0" distR="0" wp14:anchorId="2B5E9902" wp14:editId="6720A35D">
            <wp:extent cx="4143375" cy="2190750"/>
            <wp:effectExtent l="0" t="0" r="952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25C671" w14:textId="77777777" w:rsidR="008A7ACF" w:rsidRPr="00C9256D" w:rsidRDefault="00DD45CF" w:rsidP="00382A6B">
      <w:pPr>
        <w:jc w:val="center"/>
        <w:rPr>
          <w:rFonts w:ascii="Times New Roman" w:hAnsi="Times New Roman" w:cs="Times New Roman"/>
          <w:color w:val="FF0000"/>
          <w:lang w:val="bg-BG"/>
        </w:rPr>
      </w:pPr>
      <w:r w:rsidRPr="00C9256D">
        <w:rPr>
          <w:rFonts w:ascii="Times New Roman" w:hAnsi="Times New Roman" w:cs="Times New Roman"/>
        </w:rPr>
        <w:t xml:space="preserve">Figure </w:t>
      </w:r>
      <w:r w:rsidR="00CC6D56" w:rsidRPr="00C9256D">
        <w:rPr>
          <w:rFonts w:ascii="Times New Roman" w:hAnsi="Times New Roman" w:cs="Times New Roman"/>
        </w:rPr>
        <w:t>11</w:t>
      </w:r>
      <w:r w:rsidR="00C9256D" w:rsidRPr="00C9256D">
        <w:rPr>
          <w:rFonts w:ascii="Times New Roman" w:hAnsi="Times New Roman" w:cs="Times New Roman"/>
        </w:rPr>
        <w:t>. Estimation of the number of dead people by extreme heat until 2100 (</w:t>
      </w:r>
      <w:proofErr w:type="spellStart"/>
      <w:r w:rsidR="00C9256D" w:rsidRPr="00C9256D">
        <w:rPr>
          <w:rFonts w:ascii="Times New Roman" w:hAnsi="Times New Roman" w:cs="Times New Roman"/>
          <w:sz w:val="24"/>
          <w:szCs w:val="24"/>
        </w:rPr>
        <w:t>EnRoads</w:t>
      </w:r>
      <w:proofErr w:type="spellEnd"/>
      <w:r w:rsidR="00C9256D">
        <w:rPr>
          <w:rFonts w:ascii="Times New Roman" w:hAnsi="Times New Roman" w:cs="Times New Roman"/>
          <w:sz w:val="24"/>
          <w:szCs w:val="24"/>
        </w:rPr>
        <w:t>,</w:t>
      </w:r>
      <w:r w:rsidR="00C9256D" w:rsidRPr="002B09E9">
        <w:rPr>
          <w:rFonts w:ascii="Times New Roman" w:hAnsi="Times New Roman" w:cs="Times New Roman"/>
          <w:sz w:val="24"/>
          <w:szCs w:val="24"/>
        </w:rPr>
        <w:t xml:space="preserve"> 2025</w:t>
      </w:r>
      <w:r w:rsidR="00C9256D">
        <w:rPr>
          <w:rFonts w:ascii="Times New Roman" w:hAnsi="Times New Roman" w:cs="Times New Roman"/>
          <w:sz w:val="24"/>
          <w:szCs w:val="24"/>
        </w:rPr>
        <w:t>).</w:t>
      </w:r>
    </w:p>
    <w:p w14:paraId="503AC487" w14:textId="77777777" w:rsidR="00AD32EC" w:rsidRDefault="00E87AF5" w:rsidP="00F22D66">
      <w:pPr>
        <w:spacing w:line="480" w:lineRule="auto"/>
        <w:jc w:val="both"/>
        <w:rPr>
          <w:rFonts w:ascii="Times New Roman" w:hAnsi="Times New Roman" w:cs="Times New Roman"/>
          <w:sz w:val="24"/>
          <w:szCs w:val="24"/>
        </w:rPr>
      </w:pPr>
      <w:r w:rsidRPr="00E406B3">
        <w:rPr>
          <w:rFonts w:ascii="Times New Roman" w:hAnsi="Times New Roman" w:cs="Times New Roman"/>
          <w:sz w:val="24"/>
          <w:szCs w:val="24"/>
        </w:rPr>
        <w:t>In 2100 the number of deaths per 100.000</w:t>
      </w:r>
      <w:r w:rsidR="00DD45CF">
        <w:rPr>
          <w:rFonts w:ascii="Times New Roman" w:hAnsi="Times New Roman" w:cs="Times New Roman"/>
          <w:sz w:val="24"/>
          <w:szCs w:val="24"/>
        </w:rPr>
        <w:t xml:space="preserve"> </w:t>
      </w:r>
      <w:r w:rsidRPr="00E406B3">
        <w:rPr>
          <w:rFonts w:ascii="Times New Roman" w:hAnsi="Times New Roman" w:cs="Times New Roman"/>
          <w:sz w:val="24"/>
          <w:szCs w:val="24"/>
        </w:rPr>
        <w:t>persons/year in the case of Southeast Asia are expected to reach 29 (current scenario) and 51 (in baseline), being today 14, followed by Southern Europe 33 (current scenario), 49 (baseline) and 21(today) and Central Europe 23 (current scenario), 34 (baseline) and 13 (today). The smallest number corresponds to Australia 7(current scenario), 10 (baseline) and 5 (today).</w:t>
      </w:r>
    </w:p>
    <w:p w14:paraId="79924309" w14:textId="77777777" w:rsidR="00AD32EC" w:rsidRPr="00AD32EC" w:rsidRDefault="00AD32EC" w:rsidP="00F22D66">
      <w:pPr>
        <w:spacing w:line="480" w:lineRule="auto"/>
        <w:jc w:val="both"/>
        <w:rPr>
          <w:rFonts w:ascii="Times New Roman" w:hAnsi="Times New Roman" w:cs="Times New Roman"/>
          <w:sz w:val="24"/>
          <w:szCs w:val="24"/>
        </w:rPr>
      </w:pPr>
    </w:p>
    <w:p w14:paraId="7B22A1DC" w14:textId="77777777" w:rsidR="00582BB9" w:rsidRPr="00011B53" w:rsidRDefault="00582BB9" w:rsidP="00582BB9">
      <w:pPr>
        <w:rPr>
          <w:rFonts w:ascii="Times New Roman" w:hAnsi="Times New Roman" w:cs="Times New Roman"/>
          <w:b/>
          <w:sz w:val="24"/>
          <w:szCs w:val="24"/>
        </w:rPr>
      </w:pPr>
      <w:r>
        <w:rPr>
          <w:rStyle w:val="whitespace-normal"/>
          <w:rFonts w:ascii="Times New Roman" w:hAnsi="Times New Roman" w:cs="Times New Roman"/>
          <w:b/>
          <w:bCs/>
          <w:sz w:val="24"/>
          <w:szCs w:val="24"/>
        </w:rPr>
        <w:lastRenderedPageBreak/>
        <w:t>3.4</w:t>
      </w:r>
      <w:r w:rsidRPr="00011B53">
        <w:rPr>
          <w:rStyle w:val="whitespace-normal"/>
          <w:rFonts w:ascii="Times New Roman" w:hAnsi="Times New Roman" w:cs="Times New Roman"/>
          <w:b/>
          <w:bCs/>
          <w:sz w:val="24"/>
          <w:szCs w:val="24"/>
        </w:rPr>
        <w:t>. Th</w:t>
      </w:r>
      <w:r>
        <w:rPr>
          <w:rStyle w:val="whitespace-normal"/>
          <w:rFonts w:ascii="Times New Roman" w:hAnsi="Times New Roman" w:cs="Times New Roman"/>
          <w:b/>
          <w:bCs/>
          <w:sz w:val="24"/>
          <w:szCs w:val="24"/>
        </w:rPr>
        <w:t>e case of Spain – climate migration from</w:t>
      </w:r>
      <w:r w:rsidRPr="00011B53">
        <w:rPr>
          <w:rStyle w:val="whitespace-normal"/>
          <w:rFonts w:ascii="Times New Roman" w:hAnsi="Times New Roman" w:cs="Times New Roman"/>
          <w:b/>
          <w:bCs/>
          <w:sz w:val="24"/>
          <w:szCs w:val="24"/>
        </w:rPr>
        <w:t xml:space="preserve"> </w:t>
      </w:r>
      <w:proofErr w:type="spellStart"/>
      <w:r w:rsidRPr="00011B53">
        <w:rPr>
          <w:rStyle w:val="whitespace-normal"/>
          <w:rFonts w:ascii="Times New Roman" w:hAnsi="Times New Roman" w:cs="Times New Roman"/>
          <w:b/>
          <w:bCs/>
          <w:sz w:val="24"/>
          <w:szCs w:val="24"/>
        </w:rPr>
        <w:t>Grazalema</w:t>
      </w:r>
      <w:proofErr w:type="spellEnd"/>
      <w:r>
        <w:rPr>
          <w:rStyle w:val="whitespace-normal"/>
          <w:rFonts w:ascii="Times New Roman" w:hAnsi="Times New Roman" w:cs="Times New Roman"/>
          <w:b/>
          <w:bCs/>
          <w:sz w:val="24"/>
          <w:szCs w:val="24"/>
        </w:rPr>
        <w:t xml:space="preserve"> </w:t>
      </w:r>
    </w:p>
    <w:p w14:paraId="7AA85CD8" w14:textId="77777777" w:rsidR="00582BB9" w:rsidRPr="004B0C57"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 xml:space="preserve">In early February 2026, the municipality of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(Cádiz, Spain) experienced an extreme rainfall event that led to severe flooding and the temporary evacuation of the entire population. The episode was associated with the storm system “Leonardo,” which produced extraordinary precipitation across the region. Approximately 580 mm of rainfall were recorded within 24 hours, representing a historical record for the area. Within a nine-hour period alone, around 220 mm of rain fell, prompting the activation of a red weather warning for extreme precipitation.</w:t>
      </w:r>
    </w:p>
    <w:p w14:paraId="27FEC846" w14:textId="77777777" w:rsidR="00582BB9" w:rsidRPr="004B0C57"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The intense rainfall caused widespread flooding in the municipality. Streets were inundated, water entered homes through floors and electrical outlets, and several roads were closed due to damage or obstruction. Given the high risk of landslides and potential structural damage to buildings, authorities decided to carry out a precautionary evacuation of the entire town. Approximately 1,600 residents were temporarily displaced and relocated mainly to the nearby city of Ronda (Mál</w:t>
      </w:r>
      <w:r w:rsidR="00B24021">
        <w:rPr>
          <w:rFonts w:ascii="Times New Roman" w:eastAsia="Times New Roman" w:hAnsi="Times New Roman" w:cs="Times New Roman"/>
          <w:sz w:val="24"/>
          <w:szCs w:val="24"/>
          <w:lang w:eastAsia="en-GB"/>
        </w:rPr>
        <w:t>aga), located about 30 km away.</w:t>
      </w:r>
    </w:p>
    <w:p w14:paraId="7455FE5E" w14:textId="77777777" w:rsidR="00582BB9"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 xml:space="preserve">Although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is already known as one of the rainiest locations in Spain, this event represented an exceptional episode of accumulated precipitation within a short time period. The high rainfall levels in the area are largely explained by its geographical location and topography.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is situated within the Sierra de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mountain range, where moist air masses arriving from the Atlantic Ocean frequently encounter mountainous terrain. As these air masses move inland from the west or southwest, they are forced to rise when reaching the mountains. The upward movement causes the air to cool, leading to condensation </w:t>
      </w:r>
      <w:r w:rsidR="00B24021">
        <w:rPr>
          <w:rFonts w:ascii="Times New Roman" w:eastAsia="Times New Roman" w:hAnsi="Times New Roman" w:cs="Times New Roman"/>
          <w:sz w:val="24"/>
          <w:szCs w:val="24"/>
          <w:lang w:eastAsia="en-GB"/>
        </w:rPr>
        <w:t xml:space="preserve">and intense precipitation </w:t>
      </w:r>
      <w:r w:rsidR="00B24021">
        <w:rPr>
          <w:rFonts w:ascii="Times New Roman" w:hAnsi="Times New Roman" w:cs="Times New Roman"/>
          <w:sz w:val="24"/>
          <w:szCs w:val="24"/>
        </w:rPr>
        <w:t>(Figure 12).</w:t>
      </w:r>
    </w:p>
    <w:p w14:paraId="220C4D4B" w14:textId="77777777" w:rsidR="00582BB9" w:rsidRDefault="00582BB9" w:rsidP="00582BB9">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14:anchorId="6A28051E" wp14:editId="1C59440A">
            <wp:extent cx="2514600" cy="1959428"/>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4803" cy="1982962"/>
                    </a:xfrm>
                    <a:prstGeom prst="rect">
                      <a:avLst/>
                    </a:prstGeom>
                    <a:noFill/>
                    <a:ln>
                      <a:noFill/>
                    </a:ln>
                  </pic:spPr>
                </pic:pic>
              </a:graphicData>
            </a:graphic>
          </wp:inline>
        </w:drawing>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noProof/>
          <w:sz w:val="24"/>
          <w:szCs w:val="24"/>
          <w:lang w:eastAsia="en-GB"/>
        </w:rPr>
        <w:drawing>
          <wp:inline distT="0" distB="0" distL="0" distR="0" wp14:anchorId="2793FBF1" wp14:editId="73350AE3">
            <wp:extent cx="3091065" cy="194295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25611" cy="1964669"/>
                    </a:xfrm>
                    <a:prstGeom prst="rect">
                      <a:avLst/>
                    </a:prstGeom>
                    <a:noFill/>
                    <a:ln>
                      <a:noFill/>
                    </a:ln>
                  </pic:spPr>
                </pic:pic>
              </a:graphicData>
            </a:graphic>
          </wp:inline>
        </w:drawing>
      </w:r>
    </w:p>
    <w:p w14:paraId="4CFDF483" w14:textId="77777777" w:rsidR="00582BB9" w:rsidRPr="00C9256D" w:rsidRDefault="00582BB9" w:rsidP="00582BB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9256D">
        <w:rPr>
          <w:rFonts w:ascii="Times New Roman" w:eastAsia="Times New Roman" w:hAnsi="Times New Roman" w:cs="Times New Roman"/>
          <w:sz w:val="24"/>
          <w:szCs w:val="24"/>
          <w:lang w:eastAsia="en-GB"/>
        </w:rPr>
        <w:t xml:space="preserve">Fig. 12. Google map with the location of </w:t>
      </w:r>
      <w:proofErr w:type="spellStart"/>
      <w:r w:rsidRPr="00C9256D">
        <w:rPr>
          <w:rFonts w:ascii="Times New Roman" w:eastAsia="Times New Roman" w:hAnsi="Times New Roman" w:cs="Times New Roman"/>
          <w:sz w:val="24"/>
          <w:szCs w:val="24"/>
          <w:lang w:eastAsia="en-GB"/>
        </w:rPr>
        <w:t>Grazalema</w:t>
      </w:r>
      <w:proofErr w:type="spellEnd"/>
      <w:r w:rsidRPr="00C9256D">
        <w:rPr>
          <w:rFonts w:ascii="Times New Roman" w:eastAsia="Times New Roman" w:hAnsi="Times New Roman" w:cs="Times New Roman"/>
          <w:sz w:val="24"/>
          <w:szCs w:val="24"/>
          <w:lang w:eastAsia="en-GB"/>
        </w:rPr>
        <w:t xml:space="preserve"> in southe</w:t>
      </w:r>
      <w:r w:rsidR="00854D28">
        <w:rPr>
          <w:rFonts w:ascii="Times New Roman" w:eastAsia="Times New Roman" w:hAnsi="Times New Roman" w:cs="Times New Roman"/>
          <w:sz w:val="24"/>
          <w:szCs w:val="24"/>
          <w:lang w:eastAsia="en-GB"/>
        </w:rPr>
        <w:t>rn</w:t>
      </w:r>
      <w:r w:rsidRPr="00C9256D">
        <w:rPr>
          <w:rFonts w:ascii="Times New Roman" w:eastAsia="Times New Roman" w:hAnsi="Times New Roman" w:cs="Times New Roman"/>
          <w:sz w:val="24"/>
          <w:szCs w:val="24"/>
          <w:lang w:eastAsia="en-GB"/>
        </w:rPr>
        <w:t xml:space="preserve"> Spain.</w:t>
      </w:r>
    </w:p>
    <w:p w14:paraId="459A1D42" w14:textId="77777777" w:rsidR="00582BB9" w:rsidRPr="004B0C57"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 xml:space="preserve">As a result, the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meteor</w:t>
      </w:r>
      <w:r w:rsidR="00854D28">
        <w:rPr>
          <w:rFonts w:ascii="Times New Roman" w:eastAsia="Times New Roman" w:hAnsi="Times New Roman" w:cs="Times New Roman"/>
          <w:sz w:val="24"/>
          <w:szCs w:val="24"/>
          <w:lang w:eastAsia="en-GB"/>
        </w:rPr>
        <w:t>ological observatory records</w:t>
      </w:r>
      <w:r w:rsidRPr="004B0C57">
        <w:rPr>
          <w:rFonts w:ascii="Times New Roman" w:eastAsia="Times New Roman" w:hAnsi="Times New Roman" w:cs="Times New Roman"/>
          <w:sz w:val="24"/>
          <w:szCs w:val="24"/>
          <w:lang w:eastAsia="en-GB"/>
        </w:rPr>
        <w:t xml:space="preserve"> an average annual precipitation of approximately 2,000–2,200 mm. This is considerably higher than in many Spanish cities, such as Madrid (around 400 mm per year) or Seville (around 550 mm per year).</w:t>
      </w:r>
    </w:p>
    <w:p w14:paraId="44613462" w14:textId="77777777" w:rsidR="00582BB9"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Local geological conditions also influence hydrological processes in the region. The area is dominated by limestone formations typical of karst landscapes. These formations allow water to infiltrate rapidly into the subsurface, creating caves, sinkholes, and underground drainage systems. However, when rainfall intensity exceeds the soil’s infiltration capacity, surface runoff increases significantly, which can lead to flooding and rapid water accumulation. This mechanism contributed to the flooding observed during the February 2026 event.</w:t>
      </w:r>
    </w:p>
    <w:p w14:paraId="60237169" w14:textId="4073F742" w:rsidR="00582BB9" w:rsidRDefault="00582BB9" w:rsidP="00F22D66">
      <w:pPr>
        <w:pStyle w:val="NormalWeb"/>
        <w:spacing w:line="480" w:lineRule="auto"/>
        <w:jc w:val="both"/>
      </w:pPr>
      <w:r>
        <w:t>Testimonies from residents</w:t>
      </w:r>
      <w:r w:rsidR="00854D28">
        <w:t xml:space="preserve">, </w:t>
      </w:r>
      <w:r w:rsidR="00B162A6">
        <w:t>collected</w:t>
      </w:r>
      <w:r w:rsidR="00854D28">
        <w:t xml:space="preserve"> by the author,</w:t>
      </w:r>
      <w:r>
        <w:t xml:space="preserve"> indicate that the event was perceived as highly unusual despite the region’s long history of heavy rainfall</w:t>
      </w:r>
      <w:r w:rsidR="00854D28">
        <w:t xml:space="preserve">. </w:t>
      </w:r>
      <w:r>
        <w:t xml:space="preserve">Local business owners reported temporary closures due to flooding and the need for extensive cleaning and repairs. However, interviewees consistently emphasized the strong sense of community solidarity that emerged following the evacuation. </w:t>
      </w:r>
    </w:p>
    <w:p w14:paraId="4AC2B2DE" w14:textId="77777777" w:rsidR="00854D28" w:rsidRDefault="00582BB9" w:rsidP="00F22D66">
      <w:pPr>
        <w:pStyle w:val="NormalWeb"/>
        <w:spacing w:line="480" w:lineRule="auto"/>
        <w:jc w:val="both"/>
      </w:pPr>
      <w:r>
        <w:t xml:space="preserve">María, a 62-year-old resident who has lived in </w:t>
      </w:r>
      <w:proofErr w:type="spellStart"/>
      <w:r>
        <w:t>Grazalema</w:t>
      </w:r>
      <w:proofErr w:type="spellEnd"/>
      <w:r>
        <w:t xml:space="preserve"> her entire life, described the event as unprecedented despite the village’s well-known exposure to frequent rainfall. According to her account, precipitation intensified continuously during the night until water began flowing </w:t>
      </w:r>
      <w:r>
        <w:lastRenderedPageBreak/>
        <w:t>through the s</w:t>
      </w:r>
      <w:r w:rsidR="00854D28">
        <w:t>treets.</w:t>
      </w:r>
      <w:r>
        <w:t xml:space="preserve"> In the early morning hours, residents received warnings advising them to prepare for a possible evacuation. Emergency services later confirmed that the entire municipality would be evacuated as a precautionary measure.</w:t>
      </w:r>
      <w:r w:rsidR="00854D28">
        <w:t xml:space="preserve"> </w:t>
      </w:r>
      <w:r>
        <w:t xml:space="preserve">María reported that she and her husband quickly gathered essential belongings, including personal </w:t>
      </w:r>
      <w:r w:rsidR="00854D28">
        <w:t>documents</w:t>
      </w:r>
      <w:r>
        <w:t xml:space="preserve"> before leaving their home. They were temporarily relocated to the nearby city of Ronda, where public facilities and hotels were prepared to host evacuees. </w:t>
      </w:r>
    </w:p>
    <w:p w14:paraId="2A54D3CE" w14:textId="50DC9E84" w:rsidR="00582BB9" w:rsidRDefault="00582BB9" w:rsidP="00F22D66">
      <w:pPr>
        <w:pStyle w:val="NormalWeb"/>
        <w:spacing w:line="480" w:lineRule="auto"/>
        <w:jc w:val="both"/>
      </w:pPr>
      <w:r>
        <w:t xml:space="preserve">Pedro, a 47-year-old bar owner located in the town </w:t>
      </w:r>
      <w:r w:rsidR="00B162A6">
        <w:t>centre</w:t>
      </w:r>
      <w:r>
        <w:t>, also experienced significant impacts from the storm. He explained that the event initially appeared to be a typical heavy storm, but rainfall soon intensified to the point that the street drainage system could not cope with the water flow. As a result, water entered his establishment and caused damage, mainly due to mud and flooding inside the premises. The business remained closed for several days while cleaning and repairs were carried out.</w:t>
      </w:r>
      <w:r w:rsidR="00854D28">
        <w:t xml:space="preserve"> </w:t>
      </w:r>
      <w:r>
        <w:t xml:space="preserve">Pedro noted that the economic impact was significant, although some equipment and furniture were not severely damaged. He emphasized the collective response of the community following the evacuation, with residents helping each other to clean streets, remove damaged items, and provide food and assistance. </w:t>
      </w:r>
    </w:p>
    <w:p w14:paraId="134E418F" w14:textId="77777777" w:rsidR="00C11EBD" w:rsidRPr="00064339" w:rsidRDefault="00582BB9" w:rsidP="00E87AF5">
      <w:pPr>
        <w:pStyle w:val="MDPI22heading2"/>
        <w:spacing w:before="240"/>
        <w:ind w:left="0"/>
        <w:jc w:val="both"/>
        <w:rPr>
          <w:rFonts w:ascii="Times New Roman" w:hAnsi="Times New Roman"/>
          <w:b/>
          <w:i w:val="0"/>
          <w:color w:val="auto"/>
          <w:sz w:val="24"/>
          <w:szCs w:val="24"/>
        </w:rPr>
      </w:pPr>
      <w:r>
        <w:rPr>
          <w:rFonts w:ascii="Times New Roman" w:hAnsi="Times New Roman"/>
          <w:b/>
          <w:i w:val="0"/>
          <w:color w:val="auto"/>
          <w:sz w:val="24"/>
          <w:szCs w:val="24"/>
        </w:rPr>
        <w:t xml:space="preserve">        3.5</w:t>
      </w:r>
      <w:r w:rsidR="00C11EBD" w:rsidRPr="00064339">
        <w:rPr>
          <w:rFonts w:ascii="Times New Roman" w:hAnsi="Times New Roman"/>
          <w:b/>
          <w:i w:val="0"/>
          <w:color w:val="auto"/>
          <w:sz w:val="24"/>
          <w:szCs w:val="24"/>
        </w:rPr>
        <w:t>. The prob</w:t>
      </w:r>
      <w:r w:rsidR="008200A9" w:rsidRPr="00064339">
        <w:rPr>
          <w:rFonts w:ascii="Times New Roman" w:hAnsi="Times New Roman"/>
          <w:b/>
          <w:i w:val="0"/>
          <w:color w:val="auto"/>
          <w:sz w:val="24"/>
          <w:szCs w:val="24"/>
        </w:rPr>
        <w:t>lem of energy poverty in Europe</w:t>
      </w:r>
    </w:p>
    <w:p w14:paraId="3C35B582" w14:textId="77777777" w:rsidR="00854D28" w:rsidRPr="00A42482"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The</w:t>
      </w:r>
      <w:r>
        <w:rPr>
          <w:rFonts w:ascii="Times New Roman" w:eastAsia="Times New Roman" w:hAnsi="Times New Roman" w:cs="Times New Roman"/>
          <w:sz w:val="24"/>
          <w:szCs w:val="24"/>
          <w:lang w:eastAsia="en-GB"/>
        </w:rPr>
        <w:t xml:space="preserve"> final problem discussed in this article concerns the </w:t>
      </w:r>
      <w:proofErr w:type="gramStart"/>
      <w:r>
        <w:rPr>
          <w:rFonts w:ascii="Times New Roman" w:eastAsia="Times New Roman" w:hAnsi="Times New Roman" w:cs="Times New Roman"/>
          <w:sz w:val="24"/>
          <w:szCs w:val="24"/>
          <w:lang w:eastAsia="en-GB"/>
        </w:rPr>
        <w:t>so called</w:t>
      </w:r>
      <w:proofErr w:type="gramEnd"/>
      <w:r>
        <w:rPr>
          <w:rFonts w:ascii="Times New Roman" w:eastAsia="Times New Roman" w:hAnsi="Times New Roman" w:cs="Times New Roman"/>
          <w:sz w:val="24"/>
          <w:szCs w:val="24"/>
          <w:lang w:eastAsia="en-GB"/>
        </w:rPr>
        <w:t xml:space="preserve"> e</w:t>
      </w:r>
      <w:r w:rsidR="00A42482" w:rsidRPr="00A42482">
        <w:rPr>
          <w:rFonts w:ascii="Times New Roman" w:eastAsia="Times New Roman" w:hAnsi="Times New Roman" w:cs="Times New Roman"/>
          <w:sz w:val="24"/>
          <w:szCs w:val="24"/>
          <w:lang w:eastAsia="en-GB"/>
        </w:rPr>
        <w:t>nergy poverty</w:t>
      </w:r>
      <w:r>
        <w:rPr>
          <w:rFonts w:ascii="Times New Roman" w:eastAsia="Times New Roman" w:hAnsi="Times New Roman" w:cs="Times New Roman"/>
          <w:sz w:val="24"/>
          <w:szCs w:val="24"/>
          <w:lang w:eastAsia="en-GB"/>
        </w:rPr>
        <w:t>, which</w:t>
      </w:r>
      <w:r w:rsidR="00A42482" w:rsidRPr="00A42482">
        <w:rPr>
          <w:rFonts w:ascii="Times New Roman" w:eastAsia="Times New Roman" w:hAnsi="Times New Roman" w:cs="Times New Roman"/>
          <w:sz w:val="24"/>
          <w:szCs w:val="24"/>
          <w:lang w:eastAsia="en-GB"/>
        </w:rPr>
        <w:t xml:space="preserve"> has emerged as a critical socio-economic and policy challenge across Europe, reflecting the intersection of income inequality, energy market dynamics, and housing conditions. It is commonly defined as the inability of households to secure adequate levels of essential energy services, including heating, cooling, lighting, and electricity for everyday activities. This condition not only constrains living standards but also generates adv</w:t>
      </w:r>
      <w:r w:rsidR="00854D28">
        <w:rPr>
          <w:rFonts w:ascii="Times New Roman" w:eastAsia="Times New Roman" w:hAnsi="Times New Roman" w:cs="Times New Roman"/>
          <w:sz w:val="24"/>
          <w:szCs w:val="24"/>
          <w:lang w:eastAsia="en-GB"/>
        </w:rPr>
        <w:t>erse health and social outcomes (</w:t>
      </w:r>
      <w:r w:rsidR="00854D28" w:rsidRPr="00D3000C">
        <w:rPr>
          <w:rFonts w:ascii="Times New Roman" w:eastAsia="Times New Roman" w:hAnsi="Times New Roman" w:cs="Times New Roman"/>
          <w:sz w:val="24"/>
          <w:szCs w:val="24"/>
          <w:lang w:eastAsia="en-GB"/>
        </w:rPr>
        <w:t>Energy statistics, 2024; Energy poverty, 2025).</w:t>
      </w:r>
    </w:p>
    <w:p w14:paraId="73811CA8" w14:textId="77777777" w:rsidR="00A42482" w:rsidRPr="00A42482" w:rsidRDefault="00A42482"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42482">
        <w:rPr>
          <w:rFonts w:ascii="Times New Roman" w:eastAsia="Times New Roman" w:hAnsi="Times New Roman" w:cs="Times New Roman"/>
          <w:sz w:val="24"/>
          <w:szCs w:val="24"/>
          <w:lang w:eastAsia="en-GB"/>
        </w:rPr>
        <w:lastRenderedPageBreak/>
        <w:t xml:space="preserve">Across the European Union, energy poverty remains widespread despite recent policy efforts. Recent estimates </w:t>
      </w:r>
      <w:r>
        <w:rPr>
          <w:rFonts w:ascii="Times New Roman" w:eastAsia="Times New Roman" w:hAnsi="Times New Roman" w:cs="Times New Roman"/>
          <w:sz w:val="24"/>
          <w:szCs w:val="24"/>
          <w:lang w:eastAsia="en-GB"/>
        </w:rPr>
        <w:t>indicate that approximately 9.2</w:t>
      </w:r>
      <w:r w:rsidRPr="00A42482">
        <w:rPr>
          <w:rFonts w:ascii="Times New Roman" w:eastAsia="Times New Roman" w:hAnsi="Times New Roman" w:cs="Times New Roman"/>
          <w:sz w:val="24"/>
          <w:szCs w:val="24"/>
          <w:lang w:eastAsia="en-GB"/>
        </w:rPr>
        <w:t>% of EU households are unable to keep their homes adequately warm, corresponding to tens of mi</w:t>
      </w:r>
      <w:r w:rsidR="00D3000C">
        <w:rPr>
          <w:rFonts w:ascii="Times New Roman" w:eastAsia="Times New Roman" w:hAnsi="Times New Roman" w:cs="Times New Roman"/>
          <w:sz w:val="24"/>
          <w:szCs w:val="24"/>
          <w:lang w:eastAsia="en-GB"/>
        </w:rPr>
        <w:t>llions of individuals affected (</w:t>
      </w:r>
      <w:r w:rsidR="00D3000C" w:rsidRPr="00D3000C">
        <w:rPr>
          <w:rFonts w:ascii="Times New Roman" w:eastAsia="Times New Roman" w:hAnsi="Times New Roman" w:cs="Times New Roman"/>
          <w:sz w:val="24"/>
          <w:szCs w:val="24"/>
          <w:lang w:eastAsia="en-GB"/>
        </w:rPr>
        <w:t>Energy statistics, 2024; Energy poverty, 2025).</w:t>
      </w:r>
    </w:p>
    <w:p w14:paraId="3B355078" w14:textId="77777777" w:rsidR="00A42482" w:rsidRPr="00A42482" w:rsidRDefault="00A42482"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42482">
        <w:rPr>
          <w:rFonts w:ascii="Times New Roman" w:eastAsia="Times New Roman" w:hAnsi="Times New Roman" w:cs="Times New Roman"/>
          <w:sz w:val="24"/>
          <w:szCs w:val="24"/>
          <w:lang w:eastAsia="en-GB"/>
        </w:rPr>
        <w:t>Three structural drivers are typically highlighted: low household income, high energy prices, and poor energy efficiency of dwellings. These factors often interact cumulatively. For instance, low-income households are more likely to reside in inefficient buildings, thereby facing disproportionately high energy costs relative to their income. This dynamic reinforces existing socio-economic inequalities and creates persistent vulnerability.</w:t>
      </w:r>
    </w:p>
    <w:p w14:paraId="075CD3C1" w14:textId="77777777" w:rsidR="00A42482" w:rsidRDefault="00A42482"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42482">
        <w:rPr>
          <w:rFonts w:ascii="Times New Roman" w:eastAsia="Times New Roman" w:hAnsi="Times New Roman" w:cs="Times New Roman"/>
          <w:sz w:val="24"/>
          <w:szCs w:val="24"/>
          <w:lang w:eastAsia="en-GB"/>
        </w:rPr>
        <w:t>Spatial disparities are also evident. Energy poverty tends to be more prevalent in Southern and Eastern European countries, where lower average incomes and less efficient housing stocks prevail. Additionally, rural areas frequently exhibit higher levels of vulnerability due to older housing, greater reliance on fossil fuels, and limited access to energy-efficient infrastruc</w:t>
      </w:r>
      <w:r>
        <w:rPr>
          <w:rFonts w:ascii="Times New Roman" w:eastAsia="Times New Roman" w:hAnsi="Times New Roman" w:cs="Times New Roman"/>
          <w:sz w:val="24"/>
          <w:szCs w:val="24"/>
          <w:lang w:eastAsia="en-GB"/>
        </w:rPr>
        <w:t xml:space="preserve">ture. Certain population groups, </w:t>
      </w:r>
      <w:r w:rsidRPr="00A42482">
        <w:rPr>
          <w:rFonts w:ascii="Times New Roman" w:eastAsia="Times New Roman" w:hAnsi="Times New Roman" w:cs="Times New Roman"/>
          <w:sz w:val="24"/>
          <w:szCs w:val="24"/>
          <w:lang w:eastAsia="en-GB"/>
        </w:rPr>
        <w:t>including the elderly, low-income households, and tenant</w:t>
      </w:r>
      <w:r>
        <w:rPr>
          <w:rFonts w:ascii="Times New Roman" w:eastAsia="Times New Roman" w:hAnsi="Times New Roman" w:cs="Times New Roman"/>
          <w:sz w:val="24"/>
          <w:szCs w:val="24"/>
          <w:lang w:eastAsia="en-GB"/>
        </w:rPr>
        <w:t xml:space="preserve">s in poorly insulated buildings, </w:t>
      </w:r>
      <w:r w:rsidR="00D3000C">
        <w:rPr>
          <w:rFonts w:ascii="Times New Roman" w:eastAsia="Times New Roman" w:hAnsi="Times New Roman" w:cs="Times New Roman"/>
          <w:sz w:val="24"/>
          <w:szCs w:val="24"/>
          <w:lang w:eastAsia="en-GB"/>
        </w:rPr>
        <w:t>are particularly exposed (</w:t>
      </w:r>
      <w:r w:rsidR="00D3000C" w:rsidRPr="00D3000C">
        <w:rPr>
          <w:rFonts w:ascii="Times New Roman" w:eastAsia="Times New Roman" w:hAnsi="Times New Roman" w:cs="Times New Roman"/>
          <w:sz w:val="24"/>
          <w:szCs w:val="24"/>
          <w:lang w:eastAsia="en-GB"/>
        </w:rPr>
        <w:t>Energy statistics, 2024; Energy poverty, 2025).</w:t>
      </w:r>
    </w:p>
    <w:p w14:paraId="0F344385" w14:textId="3505B9C1" w:rsidR="00C22CAD" w:rsidRDefault="00C22CA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As an illustration the energy poverty rate in Europe, corresponding to 2024 is presented in the following Figure 13. The spatial inequalities are clearly seen in Southern and Eastern Europe (Energy statistics, 2024).</w:t>
      </w:r>
    </w:p>
    <w:p w14:paraId="630F05D4" w14:textId="73117660" w:rsidR="00555A32" w:rsidRDefault="00555A32"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representation of the </w:t>
      </w:r>
      <w:r w:rsidRPr="00555A32">
        <w:rPr>
          <w:rFonts w:ascii="Times New Roman" w:eastAsia="Times New Roman" w:hAnsi="Times New Roman" w:cs="Times New Roman"/>
          <w:sz w:val="24"/>
          <w:szCs w:val="24"/>
          <w:lang w:eastAsia="en-GB"/>
        </w:rPr>
        <w:t xml:space="preserve">individual </w:t>
      </w:r>
      <w:r w:rsidRPr="00555A32">
        <w:rPr>
          <w:rFonts w:ascii="Times New Roman" w:eastAsia="Times New Roman" w:hAnsi="Times New Roman" w:cs="Times New Roman"/>
          <w:bCs/>
          <w:sz w:val="24"/>
          <w:szCs w:val="24"/>
          <w:lang w:eastAsia="en-GB"/>
        </w:rPr>
        <w:t>energy expenditur</w:t>
      </w:r>
      <w:r w:rsidR="00854D28">
        <w:rPr>
          <w:rFonts w:ascii="Times New Roman" w:eastAsia="Times New Roman" w:hAnsi="Times New Roman" w:cs="Times New Roman"/>
          <w:bCs/>
          <w:sz w:val="24"/>
          <w:szCs w:val="24"/>
          <w:lang w:eastAsia="en-GB"/>
        </w:rPr>
        <w:t xml:space="preserve">e for middle-income </w:t>
      </w:r>
      <w:proofErr w:type="gramStart"/>
      <w:r w:rsidR="00854D28">
        <w:rPr>
          <w:rFonts w:ascii="Times New Roman" w:eastAsia="Times New Roman" w:hAnsi="Times New Roman" w:cs="Times New Roman"/>
          <w:bCs/>
          <w:sz w:val="24"/>
          <w:szCs w:val="24"/>
          <w:lang w:eastAsia="en-GB"/>
        </w:rPr>
        <w:t>households</w:t>
      </w:r>
      <w:proofErr w:type="gramEnd"/>
      <w:r w:rsidR="00854D28">
        <w:rPr>
          <w:rFonts w:ascii="Times New Roman" w:eastAsia="Times New Roman" w:hAnsi="Times New Roman" w:cs="Times New Roman"/>
          <w:bCs/>
          <w:sz w:val="24"/>
          <w:szCs w:val="24"/>
          <w:lang w:eastAsia="en-GB"/>
        </w:rPr>
        <w:t xml:space="preserve"> percentage</w:t>
      </w:r>
      <w:r>
        <w:rPr>
          <w:rFonts w:ascii="Times New Roman" w:eastAsia="Times New Roman" w:hAnsi="Times New Roman" w:cs="Times New Roman"/>
          <w:bCs/>
          <w:sz w:val="24"/>
          <w:szCs w:val="24"/>
          <w:lang w:eastAsia="en-GB"/>
        </w:rPr>
        <w:t xml:space="preserve"> in</w:t>
      </w:r>
      <w:r w:rsidRPr="00555A32">
        <w:rPr>
          <w:rFonts w:ascii="Times New Roman" w:eastAsia="Times New Roman" w:hAnsi="Times New Roman" w:cs="Times New Roman"/>
          <w:bCs/>
          <w:sz w:val="24"/>
          <w:szCs w:val="24"/>
          <w:lang w:eastAsia="en-GB"/>
        </w:rPr>
        <w:t xml:space="preserve"> EU </w:t>
      </w:r>
      <w:r>
        <w:rPr>
          <w:rFonts w:ascii="Times New Roman" w:eastAsia="Times New Roman" w:hAnsi="Times New Roman" w:cs="Times New Roman"/>
          <w:bCs/>
          <w:sz w:val="24"/>
          <w:szCs w:val="24"/>
          <w:lang w:eastAsia="en-GB"/>
        </w:rPr>
        <w:t xml:space="preserve">for </w:t>
      </w:r>
      <w:r w:rsidRPr="00555A32">
        <w:rPr>
          <w:rFonts w:ascii="Times New Roman" w:eastAsia="Times New Roman" w:hAnsi="Times New Roman" w:cs="Times New Roman"/>
          <w:bCs/>
          <w:sz w:val="24"/>
          <w:szCs w:val="24"/>
          <w:lang w:eastAsia="en-GB"/>
        </w:rPr>
        <w:t>2024</w:t>
      </w:r>
      <w:r>
        <w:rPr>
          <w:rFonts w:ascii="Times New Roman" w:eastAsia="Times New Roman" w:hAnsi="Times New Roman" w:cs="Times New Roman"/>
          <w:bCs/>
          <w:sz w:val="24"/>
          <w:szCs w:val="24"/>
          <w:lang w:eastAsia="en-GB"/>
        </w:rPr>
        <w:t xml:space="preserve"> is given in Figure 14 </w:t>
      </w:r>
      <w:r>
        <w:rPr>
          <w:rFonts w:ascii="Times New Roman" w:eastAsia="Times New Roman" w:hAnsi="Times New Roman" w:cs="Times New Roman"/>
          <w:sz w:val="24"/>
          <w:szCs w:val="24"/>
          <w:lang w:eastAsia="en-GB"/>
        </w:rPr>
        <w:t xml:space="preserve">(Energy statistics, </w:t>
      </w:r>
      <w:r w:rsidR="00F22D66">
        <w:rPr>
          <w:rFonts w:ascii="Times New Roman" w:eastAsia="Times New Roman" w:hAnsi="Times New Roman" w:cs="Times New Roman"/>
          <w:sz w:val="24"/>
          <w:szCs w:val="24"/>
          <w:lang w:eastAsia="en-GB"/>
        </w:rPr>
        <w:t>2024)</w:t>
      </w:r>
      <w:r w:rsidRPr="007837CD">
        <w:rPr>
          <w:rFonts w:ascii="Times New Roman" w:eastAsia="Times New Roman" w:hAnsi="Times New Roman" w:cs="Times New Roman"/>
          <w:sz w:val="24"/>
          <w:szCs w:val="24"/>
          <w:lang w:eastAsia="en-GB"/>
        </w:rPr>
        <w:t xml:space="preserve">, </w:t>
      </w:r>
      <w:r w:rsidR="00F22D66">
        <w:rPr>
          <w:rFonts w:ascii="Times New Roman" w:eastAsia="Times New Roman" w:hAnsi="Times New Roman" w:cs="Times New Roman"/>
          <w:sz w:val="24"/>
          <w:szCs w:val="24"/>
          <w:lang w:eastAsia="en-GB"/>
        </w:rPr>
        <w:t xml:space="preserve">where </w:t>
      </w:r>
      <w:r w:rsidR="00E15D13" w:rsidRPr="007837CD">
        <w:rPr>
          <w:rFonts w:ascii="Times New Roman" w:eastAsia="Times New Roman" w:hAnsi="Times New Roman" w:cs="Times New Roman"/>
          <w:sz w:val="24"/>
          <w:szCs w:val="24"/>
          <w:lang w:eastAsia="en-GB"/>
        </w:rPr>
        <w:t>Central and Eastern Europe have the bigge</w:t>
      </w:r>
      <w:r w:rsidR="00F22D66">
        <w:rPr>
          <w:rFonts w:ascii="Times New Roman" w:eastAsia="Times New Roman" w:hAnsi="Times New Roman" w:cs="Times New Roman"/>
          <w:sz w:val="24"/>
          <w:szCs w:val="24"/>
          <w:lang w:eastAsia="en-GB"/>
        </w:rPr>
        <w:t>st energy expenditure in the EU.</w:t>
      </w:r>
    </w:p>
    <w:p w14:paraId="525F7EEA" w14:textId="77777777" w:rsidR="00C22CAD" w:rsidRDefault="00C22CAD" w:rsidP="00C22CAD">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hAnsi="Times New Roman" w:cs="Times New Roman"/>
          <w:noProof/>
          <w:lang w:eastAsia="en-GB"/>
        </w:rPr>
        <w:lastRenderedPageBreak/>
        <w:drawing>
          <wp:inline distT="0" distB="0" distL="0" distR="0" wp14:anchorId="54EFAB76" wp14:editId="20269107">
            <wp:extent cx="3514725" cy="2925045"/>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49214" cy="2953747"/>
                    </a:xfrm>
                    <a:prstGeom prst="rect">
                      <a:avLst/>
                    </a:prstGeom>
                    <a:noFill/>
                    <a:ln>
                      <a:noFill/>
                    </a:ln>
                  </pic:spPr>
                </pic:pic>
              </a:graphicData>
            </a:graphic>
          </wp:inline>
        </w:drawing>
      </w:r>
    </w:p>
    <w:p w14:paraId="3494BC3D" w14:textId="77777777" w:rsidR="00C22CAD" w:rsidRDefault="00C22CAD" w:rsidP="00555A32">
      <w:pPr>
        <w:autoSpaceDE w:val="0"/>
        <w:autoSpaceDN w:val="0"/>
        <w:adjustRightInd w:val="0"/>
        <w:spacing w:after="0" w:line="240" w:lineRule="auto"/>
        <w:jc w:val="center"/>
        <w:rPr>
          <w:rStyle w:val="Hyperlink"/>
          <w:rFonts w:ascii="Times New Roman" w:hAnsi="Times New Roman" w:cs="Times New Roman"/>
        </w:rPr>
      </w:pPr>
      <w:r>
        <w:rPr>
          <w:rFonts w:ascii="Times New Roman" w:eastAsia="Times New Roman" w:hAnsi="Times New Roman" w:cs="Times New Roman"/>
          <w:sz w:val="24"/>
          <w:szCs w:val="24"/>
          <w:lang w:eastAsia="en-GB"/>
        </w:rPr>
        <w:t xml:space="preserve">Figure 13. </w:t>
      </w:r>
      <w:r w:rsidRPr="00555A32">
        <w:rPr>
          <w:rFonts w:ascii="Times New Roman" w:hAnsi="Times New Roman" w:cs="Times New Roman"/>
        </w:rPr>
        <w:t xml:space="preserve">Energy poverty rate in % </w:t>
      </w:r>
      <w:r w:rsidR="00555A32">
        <w:rPr>
          <w:rFonts w:ascii="Times New Roman" w:hAnsi="Times New Roman" w:cs="Times New Roman"/>
        </w:rPr>
        <w:t xml:space="preserve">for </w:t>
      </w:r>
      <w:r w:rsidRPr="00555A32">
        <w:rPr>
          <w:rFonts w:ascii="Times New Roman" w:hAnsi="Times New Roman" w:cs="Times New Roman"/>
        </w:rPr>
        <w:t xml:space="preserve">EU </w:t>
      </w:r>
      <w:r w:rsidR="00555A32">
        <w:rPr>
          <w:rFonts w:ascii="Times New Roman" w:hAnsi="Times New Roman" w:cs="Times New Roman"/>
        </w:rPr>
        <w:t xml:space="preserve">corresponding to </w:t>
      </w:r>
      <w:r w:rsidRPr="00555A32">
        <w:rPr>
          <w:rFonts w:ascii="Times New Roman" w:hAnsi="Times New Roman" w:cs="Times New Roman"/>
        </w:rPr>
        <w:t>2024</w:t>
      </w:r>
      <w:r w:rsidR="00555A32">
        <w:rPr>
          <w:rFonts w:ascii="Times New Roman" w:hAnsi="Times New Roman" w:cs="Times New Roman"/>
        </w:rPr>
        <w:t>. O</w:t>
      </w:r>
      <w:r w:rsidR="00555A32" w:rsidRPr="00555A32">
        <w:rPr>
          <w:rFonts w:ascii="Times New Roman" w:hAnsi="Times New Roman" w:cs="Times New Roman"/>
        </w:rPr>
        <w:t xml:space="preserve">wn </w:t>
      </w:r>
      <w:r w:rsidRPr="00555A32">
        <w:rPr>
          <w:rFonts w:ascii="Times New Roman" w:hAnsi="Times New Roman" w:cs="Times New Roman"/>
        </w:rPr>
        <w:t xml:space="preserve">graphical representation </w:t>
      </w:r>
      <w:r w:rsidR="00555A32" w:rsidRPr="00555A32">
        <w:rPr>
          <w:rFonts w:ascii="Times New Roman" w:hAnsi="Times New Roman" w:cs="Times New Roman"/>
        </w:rPr>
        <w:t xml:space="preserve">with </w:t>
      </w:r>
      <w:proofErr w:type="spellStart"/>
      <w:r w:rsidRPr="00555A32">
        <w:rPr>
          <w:rFonts w:ascii="Times New Roman" w:hAnsi="Times New Roman" w:cs="Times New Roman"/>
        </w:rPr>
        <w:t>Datawrapper</w:t>
      </w:r>
      <w:proofErr w:type="spellEnd"/>
      <w:r w:rsidRPr="00555A32">
        <w:rPr>
          <w:rFonts w:ascii="Times New Roman" w:hAnsi="Times New Roman" w:cs="Times New Roman"/>
        </w:rPr>
        <w:t xml:space="preserve"> </w:t>
      </w:r>
      <w:r w:rsidR="00555A32">
        <w:rPr>
          <w:rFonts w:ascii="Times New Roman" w:hAnsi="Times New Roman" w:cs="Times New Roman"/>
        </w:rPr>
        <w:t xml:space="preserve"> </w:t>
      </w:r>
      <w:hyperlink r:id="rId26" w:history="1">
        <w:r w:rsidRPr="00555A32">
          <w:rPr>
            <w:rStyle w:val="Hyperlink"/>
            <w:rFonts w:ascii="Times New Roman" w:hAnsi="Times New Roman" w:cs="Times New Roman"/>
          </w:rPr>
          <w:t>https://datawrapper.dwcdn.net/tBPxY/1/</w:t>
        </w:r>
      </w:hyperlink>
      <w:r w:rsidR="00742E28">
        <w:rPr>
          <w:rStyle w:val="Hyperlink"/>
          <w:rFonts w:ascii="Times New Roman" w:hAnsi="Times New Roman" w:cs="Times New Roman"/>
        </w:rPr>
        <w:t xml:space="preserve"> </w:t>
      </w:r>
      <w:r w:rsidR="00742E28" w:rsidRPr="00742E28">
        <w:rPr>
          <w:rStyle w:val="Hyperlink"/>
          <w:rFonts w:ascii="Times New Roman" w:hAnsi="Times New Roman" w:cs="Times New Roman"/>
          <w:color w:val="auto"/>
          <w:u w:val="none"/>
        </w:rPr>
        <w:t>Source:</w:t>
      </w:r>
      <w:r w:rsidR="00742E28">
        <w:rPr>
          <w:rStyle w:val="Hyperlink"/>
          <w:rFonts w:ascii="Times New Roman" w:hAnsi="Times New Roman" w:cs="Times New Roman"/>
        </w:rPr>
        <w:t xml:space="preserve"> </w:t>
      </w:r>
      <w:r w:rsidR="00742E28">
        <w:rPr>
          <w:rFonts w:ascii="Times New Roman" w:eastAsia="Times New Roman" w:hAnsi="Times New Roman" w:cs="Times New Roman"/>
          <w:sz w:val="24"/>
          <w:szCs w:val="24"/>
          <w:lang w:eastAsia="en-GB"/>
        </w:rPr>
        <w:t>Energy statistics (2024).</w:t>
      </w:r>
    </w:p>
    <w:p w14:paraId="490632D9" w14:textId="77777777" w:rsidR="00742E28" w:rsidRPr="00C22CAD" w:rsidRDefault="00742E28" w:rsidP="00555A32">
      <w:pPr>
        <w:autoSpaceDE w:val="0"/>
        <w:autoSpaceDN w:val="0"/>
        <w:adjustRightInd w:val="0"/>
        <w:spacing w:after="0" w:line="240" w:lineRule="auto"/>
        <w:jc w:val="center"/>
        <w:rPr>
          <w:rFonts w:ascii="Times New Roman" w:hAnsi="Times New Roman" w:cs="Times New Roman"/>
          <w:b/>
        </w:rPr>
      </w:pPr>
    </w:p>
    <w:p w14:paraId="0DD97BA3" w14:textId="77777777" w:rsidR="00C22CAD" w:rsidRDefault="00555A32" w:rsidP="00C22CAD">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hAnsi="Times New Roman" w:cs="Times New Roman"/>
          <w:noProof/>
          <w:lang w:eastAsia="en-GB"/>
        </w:rPr>
        <w:drawing>
          <wp:inline distT="0" distB="0" distL="0" distR="0" wp14:anchorId="363D0102" wp14:editId="314DE5CD">
            <wp:extent cx="3695700" cy="3038823"/>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45970" cy="3080158"/>
                    </a:xfrm>
                    <a:prstGeom prst="rect">
                      <a:avLst/>
                    </a:prstGeom>
                    <a:noFill/>
                    <a:ln>
                      <a:noFill/>
                    </a:ln>
                  </pic:spPr>
                </pic:pic>
              </a:graphicData>
            </a:graphic>
          </wp:inline>
        </w:drawing>
      </w:r>
    </w:p>
    <w:p w14:paraId="6B68D6A8" w14:textId="77777777" w:rsidR="00555A32" w:rsidRDefault="00555A32" w:rsidP="00555A32">
      <w:pPr>
        <w:spacing w:before="100" w:beforeAutospacing="1" w:after="100" w:afterAutospacing="1" w:line="240" w:lineRule="auto"/>
        <w:jc w:val="center"/>
        <w:outlineLvl w:val="2"/>
        <w:rPr>
          <w:rStyle w:val="Hyperlink"/>
          <w:rFonts w:ascii="Times New Roman" w:hAnsi="Times New Roman" w:cs="Times New Roman"/>
          <w:sz w:val="24"/>
          <w:szCs w:val="24"/>
        </w:rPr>
      </w:pPr>
      <w:r w:rsidRPr="00555A32">
        <w:rPr>
          <w:rFonts w:ascii="Times New Roman" w:eastAsia="Times New Roman" w:hAnsi="Times New Roman" w:cs="Times New Roman"/>
          <w:sz w:val="24"/>
          <w:szCs w:val="24"/>
          <w:lang w:eastAsia="en-GB"/>
        </w:rPr>
        <w:t xml:space="preserve">Figure 14. </w:t>
      </w:r>
      <w:r w:rsidRPr="00555A32">
        <w:rPr>
          <w:rFonts w:ascii="Times New Roman" w:eastAsia="Times New Roman" w:hAnsi="Times New Roman" w:cs="Times New Roman"/>
          <w:bCs/>
          <w:sz w:val="24"/>
          <w:szCs w:val="24"/>
          <w:lang w:eastAsia="en-GB"/>
        </w:rPr>
        <w:t xml:space="preserve">Average energy expenditure for middle-income households in % </w:t>
      </w:r>
      <w:r>
        <w:rPr>
          <w:rFonts w:ascii="Times New Roman" w:eastAsia="Times New Roman" w:hAnsi="Times New Roman" w:cs="Times New Roman"/>
          <w:bCs/>
          <w:sz w:val="24"/>
          <w:szCs w:val="24"/>
          <w:lang w:eastAsia="en-GB"/>
        </w:rPr>
        <w:t xml:space="preserve">for </w:t>
      </w:r>
      <w:r w:rsidRPr="00555A32">
        <w:rPr>
          <w:rFonts w:ascii="Times New Roman" w:eastAsia="Times New Roman" w:hAnsi="Times New Roman" w:cs="Times New Roman"/>
          <w:bCs/>
          <w:sz w:val="24"/>
          <w:szCs w:val="24"/>
          <w:lang w:eastAsia="en-GB"/>
        </w:rPr>
        <w:t>EU corresponding to 2024</w:t>
      </w:r>
      <w:r>
        <w:rPr>
          <w:rFonts w:ascii="Times New Roman" w:eastAsia="Times New Roman" w:hAnsi="Times New Roman" w:cs="Times New Roman"/>
          <w:b/>
          <w:bCs/>
          <w:sz w:val="24"/>
          <w:szCs w:val="24"/>
          <w:lang w:eastAsia="en-GB"/>
        </w:rPr>
        <w:t xml:space="preserve">. </w:t>
      </w:r>
      <w:r w:rsidRPr="00555A32">
        <w:rPr>
          <w:rFonts w:ascii="Times New Roman" w:eastAsia="Times New Roman" w:hAnsi="Times New Roman" w:cs="Times New Roman"/>
          <w:bCs/>
          <w:sz w:val="24"/>
          <w:szCs w:val="24"/>
          <w:lang w:eastAsia="en-GB"/>
        </w:rPr>
        <w:t>O</w:t>
      </w:r>
      <w:r w:rsidRPr="00555A32">
        <w:rPr>
          <w:rFonts w:ascii="Times New Roman" w:hAnsi="Times New Roman" w:cs="Times New Roman"/>
          <w:sz w:val="24"/>
          <w:szCs w:val="24"/>
        </w:rPr>
        <w:t xml:space="preserve">wn graphical representation with </w:t>
      </w:r>
      <w:proofErr w:type="spellStart"/>
      <w:r w:rsidRPr="00555A32">
        <w:rPr>
          <w:rFonts w:ascii="Times New Roman" w:hAnsi="Times New Roman" w:cs="Times New Roman"/>
          <w:sz w:val="24"/>
          <w:szCs w:val="24"/>
        </w:rPr>
        <w:t>Datawrapper</w:t>
      </w:r>
      <w:proofErr w:type="spellEnd"/>
      <w:r w:rsidRPr="00555A32">
        <w:rPr>
          <w:rFonts w:ascii="Times New Roman" w:eastAsia="Times New Roman" w:hAnsi="Times New Roman" w:cs="Times New Roman"/>
          <w:b/>
          <w:bCs/>
          <w:sz w:val="24"/>
          <w:szCs w:val="24"/>
          <w:lang w:eastAsia="en-GB"/>
        </w:rPr>
        <w:t xml:space="preserve"> </w:t>
      </w:r>
      <w:hyperlink r:id="rId28" w:history="1">
        <w:r w:rsidRPr="00555A32">
          <w:rPr>
            <w:rStyle w:val="Hyperlink"/>
            <w:rFonts w:ascii="Times New Roman" w:hAnsi="Times New Roman" w:cs="Times New Roman"/>
            <w:sz w:val="24"/>
            <w:szCs w:val="24"/>
          </w:rPr>
          <w:t>https://datawrapper.dwcdn.net/QBx36/1/</w:t>
        </w:r>
      </w:hyperlink>
      <w:r w:rsidR="00742E28">
        <w:rPr>
          <w:rStyle w:val="Hyperlink"/>
          <w:rFonts w:ascii="Times New Roman" w:hAnsi="Times New Roman" w:cs="Times New Roman"/>
          <w:sz w:val="24"/>
          <w:szCs w:val="24"/>
        </w:rPr>
        <w:t xml:space="preserve"> </w:t>
      </w:r>
      <w:r w:rsidR="00742E28" w:rsidRPr="00742E28">
        <w:rPr>
          <w:rStyle w:val="Hyperlink"/>
          <w:rFonts w:ascii="Times New Roman" w:hAnsi="Times New Roman" w:cs="Times New Roman"/>
          <w:color w:val="auto"/>
          <w:u w:val="none"/>
        </w:rPr>
        <w:t>Source:</w:t>
      </w:r>
      <w:r w:rsidR="00742E28">
        <w:rPr>
          <w:rStyle w:val="Hyperlink"/>
          <w:rFonts w:ascii="Times New Roman" w:hAnsi="Times New Roman" w:cs="Times New Roman"/>
        </w:rPr>
        <w:t xml:space="preserve"> </w:t>
      </w:r>
      <w:r w:rsidR="00742E28">
        <w:rPr>
          <w:rFonts w:ascii="Times New Roman" w:eastAsia="Times New Roman" w:hAnsi="Times New Roman" w:cs="Times New Roman"/>
          <w:sz w:val="24"/>
          <w:szCs w:val="24"/>
          <w:lang w:eastAsia="en-GB"/>
        </w:rPr>
        <w:t>Energy statistics (2024).</w:t>
      </w:r>
    </w:p>
    <w:p w14:paraId="7F1A94C8" w14:textId="4EF43DCB" w:rsidR="005E0D47" w:rsidRDefault="006B250C" w:rsidP="00AB3792">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Recently, an extensive project related to the energy poverty in Bulgaria has introduced an inter</w:t>
      </w:r>
      <w:r w:rsidR="005E0D47">
        <w:rPr>
          <w:rFonts w:ascii="Times New Roman" w:eastAsia="Times New Roman" w:hAnsi="Times New Roman" w:cs="Times New Roman"/>
          <w:sz w:val="24"/>
          <w:szCs w:val="24"/>
          <w:lang w:eastAsia="en-GB"/>
        </w:rPr>
        <w:t xml:space="preserve">esting methodology </w:t>
      </w:r>
      <w:r>
        <w:rPr>
          <w:rFonts w:ascii="Times New Roman" w:eastAsia="Times New Roman" w:hAnsi="Times New Roman" w:cs="Times New Roman"/>
          <w:sz w:val="24"/>
          <w:szCs w:val="24"/>
          <w:lang w:eastAsia="en-GB"/>
        </w:rPr>
        <w:t xml:space="preserve">corresponding </w:t>
      </w:r>
      <w:r w:rsidR="005E0D47">
        <w:rPr>
          <w:rFonts w:ascii="Times New Roman" w:eastAsia="Times New Roman" w:hAnsi="Times New Roman" w:cs="Times New Roman"/>
          <w:sz w:val="24"/>
          <w:szCs w:val="24"/>
          <w:lang w:eastAsia="en-GB"/>
        </w:rPr>
        <w:t xml:space="preserve">to </w:t>
      </w:r>
      <w:r>
        <w:rPr>
          <w:rFonts w:ascii="Times New Roman" w:eastAsia="Times New Roman" w:hAnsi="Times New Roman" w:cs="Times New Roman"/>
          <w:sz w:val="24"/>
          <w:szCs w:val="24"/>
          <w:lang w:eastAsia="en-GB"/>
        </w:rPr>
        <w:t xml:space="preserve">quantitative measures by the </w:t>
      </w:r>
      <w:proofErr w:type="gramStart"/>
      <w:r>
        <w:rPr>
          <w:rFonts w:ascii="Times New Roman" w:eastAsia="Times New Roman" w:hAnsi="Times New Roman" w:cs="Times New Roman"/>
          <w:sz w:val="24"/>
          <w:szCs w:val="24"/>
          <w:lang w:eastAsia="en-GB"/>
        </w:rPr>
        <w:t>so called</w:t>
      </w:r>
      <w:proofErr w:type="gramEnd"/>
      <w:r>
        <w:rPr>
          <w:rFonts w:ascii="Times New Roman" w:eastAsia="Times New Roman" w:hAnsi="Times New Roman" w:cs="Times New Roman"/>
          <w:sz w:val="24"/>
          <w:szCs w:val="24"/>
          <w:lang w:eastAsia="en-GB"/>
        </w:rPr>
        <w:t xml:space="preserve"> energy poverty index (</w:t>
      </w:r>
      <w:proofErr w:type="spellStart"/>
      <w:r w:rsidR="0049544A">
        <w:rPr>
          <w:rFonts w:ascii="Times New Roman" w:hAnsi="Times New Roman" w:cs="Times New Roman"/>
          <w:sz w:val="24"/>
          <w:szCs w:val="24"/>
        </w:rPr>
        <w:t>Peneva</w:t>
      </w:r>
      <w:proofErr w:type="spellEnd"/>
      <w:r>
        <w:rPr>
          <w:rFonts w:ascii="Times New Roman" w:hAnsi="Times New Roman" w:cs="Times New Roman"/>
          <w:sz w:val="24"/>
          <w:szCs w:val="24"/>
        </w:rPr>
        <w:t>, 2025</w:t>
      </w:r>
      <w:r w:rsidR="00153401">
        <w:rPr>
          <w:rFonts w:ascii="Times New Roman" w:hAnsi="Times New Roman" w:cs="Times New Roman"/>
          <w:sz w:val="24"/>
          <w:szCs w:val="24"/>
        </w:rPr>
        <w:t xml:space="preserve">; </w:t>
      </w:r>
      <w:proofErr w:type="spellStart"/>
      <w:r w:rsidR="00153401">
        <w:rPr>
          <w:rFonts w:ascii="Times New Roman" w:hAnsi="Times New Roman" w:cs="Times New Roman"/>
          <w:sz w:val="24"/>
          <w:szCs w:val="24"/>
        </w:rPr>
        <w:t>Koroutchev</w:t>
      </w:r>
      <w:proofErr w:type="spellEnd"/>
      <w:r w:rsidR="00153401">
        <w:rPr>
          <w:rFonts w:ascii="Times New Roman" w:hAnsi="Times New Roman" w:cs="Times New Roman"/>
          <w:sz w:val="24"/>
          <w:szCs w:val="24"/>
        </w:rPr>
        <w:t xml:space="preserve"> et al. 2026</w:t>
      </w:r>
      <w:r>
        <w:rPr>
          <w:rFonts w:ascii="Times New Roman" w:hAnsi="Times New Roman" w:cs="Times New Roman"/>
          <w:sz w:val="24"/>
          <w:szCs w:val="24"/>
        </w:rPr>
        <w:t xml:space="preserve">). This includes three sub-indexes related </w:t>
      </w:r>
      <w:r>
        <w:rPr>
          <w:rFonts w:ascii="Times New Roman" w:hAnsi="Times New Roman" w:cs="Times New Roman"/>
          <w:sz w:val="24"/>
          <w:szCs w:val="24"/>
        </w:rPr>
        <w:lastRenderedPageBreak/>
        <w:t>to energy needs, social vulnerability and energy poverty within SILC. An exhaustive database across the country based on a large list of parameters has been built thus showing the mo</w:t>
      </w:r>
      <w:r w:rsidR="00AB3792">
        <w:rPr>
          <w:rFonts w:ascii="Times New Roman" w:hAnsi="Times New Roman" w:cs="Times New Roman"/>
          <w:sz w:val="24"/>
          <w:szCs w:val="24"/>
        </w:rPr>
        <w:t>st vulnerable regions (Figure 15</w:t>
      </w:r>
      <w:r>
        <w:rPr>
          <w:rFonts w:ascii="Times New Roman" w:hAnsi="Times New Roman" w:cs="Times New Roman"/>
          <w:sz w:val="24"/>
          <w:szCs w:val="24"/>
        </w:rPr>
        <w:t xml:space="preserve">). </w:t>
      </w:r>
    </w:p>
    <w:p w14:paraId="39CABC69" w14:textId="77777777" w:rsidR="006B250C" w:rsidRDefault="0049544A" w:rsidP="007837CD">
      <w:pPr>
        <w:spacing w:before="100" w:beforeAutospacing="1" w:after="100" w:afterAutospacing="1" w:line="240" w:lineRule="auto"/>
        <w:jc w:val="center"/>
        <w:rPr>
          <w:rFonts w:ascii="Times New Roman" w:hAnsi="Times New Roman" w:cs="Times New Roman"/>
          <w:sz w:val="24"/>
          <w:szCs w:val="24"/>
        </w:rPr>
      </w:pPr>
      <w:r w:rsidRPr="0049544A">
        <w:rPr>
          <w:rFonts w:ascii="Times New Roman" w:hAnsi="Times New Roman" w:cs="Times New Roman"/>
          <w:noProof/>
          <w:sz w:val="24"/>
          <w:szCs w:val="24"/>
          <w:lang w:eastAsia="en-GB"/>
        </w:rPr>
        <w:drawing>
          <wp:inline distT="0" distB="0" distL="0" distR="0" wp14:anchorId="17128BBD" wp14:editId="08C13F17">
            <wp:extent cx="3219450" cy="2286000"/>
            <wp:effectExtent l="0" t="0" r="0" b="0"/>
            <wp:docPr id="8"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19450" cy="2286000"/>
                    </a:xfrm>
                    <a:prstGeom prst="rect">
                      <a:avLst/>
                    </a:prstGeom>
                    <a:noFill/>
                    <a:ln>
                      <a:noFill/>
                    </a:ln>
                  </pic:spPr>
                </pic:pic>
              </a:graphicData>
            </a:graphic>
          </wp:inline>
        </w:drawing>
      </w:r>
    </w:p>
    <w:p w14:paraId="31AAD672" w14:textId="7A717143" w:rsidR="007837CD" w:rsidRPr="0049544A" w:rsidRDefault="00AB3792" w:rsidP="0049544A">
      <w:pPr>
        <w:spacing w:before="100" w:beforeAutospacing="1" w:after="100" w:afterAutospacing="1"/>
        <w:jc w:val="center"/>
        <w:rPr>
          <w:rFonts w:ascii="Times New Roman" w:hAnsi="Times New Roman" w:cs="Times New Roman"/>
          <w:bCs/>
          <w:sz w:val="24"/>
          <w:szCs w:val="24"/>
        </w:rPr>
      </w:pPr>
      <w:r>
        <w:rPr>
          <w:rFonts w:ascii="Times New Roman" w:hAnsi="Times New Roman" w:cs="Times New Roman"/>
          <w:sz w:val="24"/>
          <w:szCs w:val="24"/>
        </w:rPr>
        <w:t>Figure 15</w:t>
      </w:r>
      <w:r w:rsidR="007837CD">
        <w:rPr>
          <w:rFonts w:ascii="Times New Roman" w:hAnsi="Times New Roman" w:cs="Times New Roman"/>
          <w:sz w:val="24"/>
          <w:szCs w:val="24"/>
        </w:rPr>
        <w:t>. Representation of the energy poverty index in Bulgaria. The dark regions are those with the highest values of the index. Own repr</w:t>
      </w:r>
      <w:r w:rsidR="0049544A">
        <w:rPr>
          <w:rFonts w:ascii="Times New Roman" w:hAnsi="Times New Roman" w:cs="Times New Roman"/>
          <w:sz w:val="24"/>
          <w:szCs w:val="24"/>
        </w:rPr>
        <w:t xml:space="preserve">esentation by using </w:t>
      </w:r>
      <w:proofErr w:type="spellStart"/>
      <w:r w:rsidR="0049544A">
        <w:rPr>
          <w:rFonts w:ascii="Times New Roman" w:hAnsi="Times New Roman" w:cs="Times New Roman"/>
          <w:sz w:val="24"/>
          <w:szCs w:val="24"/>
        </w:rPr>
        <w:t>Datawrapper</w:t>
      </w:r>
      <w:proofErr w:type="spellEnd"/>
      <w:r w:rsidR="0049544A">
        <w:rPr>
          <w:rFonts w:ascii="Times New Roman" w:hAnsi="Times New Roman" w:cs="Times New Roman"/>
          <w:sz w:val="24"/>
          <w:szCs w:val="24"/>
        </w:rPr>
        <w:t xml:space="preserve">: </w:t>
      </w:r>
      <w:hyperlink r:id="rId30" w:history="1">
        <w:r w:rsidR="0049544A" w:rsidRPr="00B44C68">
          <w:rPr>
            <w:rStyle w:val="Hyperlink"/>
            <w:rFonts w:ascii="Times New Roman" w:hAnsi="Times New Roman" w:cs="Times New Roman"/>
            <w:bCs/>
            <w:sz w:val="24"/>
            <w:szCs w:val="24"/>
          </w:rPr>
          <w:t>https://datawrapper.dwcdn.net/NCEuP/3</w:t>
        </w:r>
      </w:hyperlink>
      <w:r w:rsidR="0049544A">
        <w:rPr>
          <w:rFonts w:ascii="Times New Roman" w:hAnsi="Times New Roman" w:cs="Times New Roman"/>
          <w:bCs/>
          <w:sz w:val="24"/>
          <w:szCs w:val="24"/>
        </w:rPr>
        <w:t xml:space="preserve"> </w:t>
      </w:r>
      <w:r w:rsidR="0049544A">
        <w:rPr>
          <w:rFonts w:ascii="Times New Roman" w:hAnsi="Times New Roman" w:cs="Times New Roman"/>
          <w:sz w:val="24"/>
          <w:szCs w:val="24"/>
        </w:rPr>
        <w:t xml:space="preserve">Source: </w:t>
      </w:r>
      <w:proofErr w:type="spellStart"/>
      <w:r w:rsidR="0049544A">
        <w:rPr>
          <w:rFonts w:ascii="Times New Roman" w:hAnsi="Times New Roman" w:cs="Times New Roman"/>
          <w:sz w:val="24"/>
          <w:szCs w:val="24"/>
        </w:rPr>
        <w:t>Peneva</w:t>
      </w:r>
      <w:proofErr w:type="spellEnd"/>
      <w:r w:rsidR="0049544A">
        <w:rPr>
          <w:rFonts w:ascii="Times New Roman" w:hAnsi="Times New Roman" w:cs="Times New Roman"/>
          <w:sz w:val="24"/>
          <w:szCs w:val="24"/>
        </w:rPr>
        <w:t xml:space="preserve"> (2025)</w:t>
      </w:r>
      <w:r w:rsidR="007837CD">
        <w:rPr>
          <w:rFonts w:ascii="Times New Roman" w:hAnsi="Times New Roman" w:cs="Times New Roman"/>
          <w:sz w:val="24"/>
          <w:szCs w:val="24"/>
        </w:rPr>
        <w:t>.</w:t>
      </w:r>
    </w:p>
    <w:p w14:paraId="01F1A624" w14:textId="3EA2E409" w:rsidR="004B0C57" w:rsidRPr="005E0D47" w:rsidRDefault="006B250C"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6B250C">
        <w:rPr>
          <w:rStyle w:val="rynqvb"/>
          <w:rFonts w:ascii="Times New Roman" w:hAnsi="Times New Roman" w:cs="Times New Roman"/>
          <w:sz w:val="24"/>
          <w:szCs w:val="24"/>
          <w:lang w:val="en"/>
        </w:rPr>
        <w:t>The highest levels of energy poverty according to the general energy vulnerability index are observed in North-East and North-Central Bulgaria, while the most numerous vulnerable groups are in the South-West and South-East regions, which combine high shares of households using coal, wood and oil for heating, as well as many households without energy efficiency measures.</w:t>
      </w:r>
      <w:r>
        <w:rPr>
          <w:rStyle w:val="rynqvb"/>
          <w:rFonts w:ascii="Times New Roman" w:hAnsi="Times New Roman" w:cs="Times New Roman"/>
          <w:sz w:val="24"/>
          <w:szCs w:val="24"/>
          <w:lang w:val="en"/>
        </w:rPr>
        <w:t xml:space="preserve"> </w:t>
      </w:r>
      <w:r w:rsidRPr="006B250C">
        <w:rPr>
          <w:rStyle w:val="rynqvb"/>
          <w:rFonts w:ascii="Times New Roman" w:hAnsi="Times New Roman" w:cs="Times New Roman"/>
          <w:sz w:val="24"/>
          <w:szCs w:val="24"/>
          <w:lang w:val="en"/>
        </w:rPr>
        <w:t>In these regions, the energy needs index shows above average values ​​for the country, which is directly related to the large number of households in poverty and social vulnerability, especially the elderly and children.</w:t>
      </w:r>
      <w:r w:rsidRPr="006B250C">
        <w:rPr>
          <w:rStyle w:val="hwtze"/>
          <w:rFonts w:ascii="Times New Roman" w:hAnsi="Times New Roman" w:cs="Times New Roman"/>
          <w:sz w:val="24"/>
          <w:szCs w:val="24"/>
          <w:lang w:val="en"/>
        </w:rPr>
        <w:t xml:space="preserve"> </w:t>
      </w:r>
      <w:r w:rsidRPr="006B250C">
        <w:rPr>
          <w:rStyle w:val="rynqvb"/>
          <w:rFonts w:ascii="Times New Roman" w:hAnsi="Times New Roman" w:cs="Times New Roman"/>
          <w:sz w:val="24"/>
          <w:szCs w:val="24"/>
          <w:lang w:val="en"/>
        </w:rPr>
        <w:t xml:space="preserve">The largest number of people receiving heating benefits is </w:t>
      </w:r>
      <w:r w:rsidR="007837CD">
        <w:rPr>
          <w:rStyle w:val="rynqvb"/>
          <w:rFonts w:ascii="Times New Roman" w:hAnsi="Times New Roman" w:cs="Times New Roman"/>
          <w:sz w:val="24"/>
          <w:szCs w:val="24"/>
          <w:lang w:val="en"/>
        </w:rPr>
        <w:t xml:space="preserve">in the least populated region, </w:t>
      </w:r>
      <w:r w:rsidRPr="006B250C">
        <w:rPr>
          <w:rStyle w:val="rynqvb"/>
          <w:rFonts w:ascii="Times New Roman" w:hAnsi="Times New Roman" w:cs="Times New Roman"/>
          <w:sz w:val="24"/>
          <w:szCs w:val="24"/>
          <w:lang w:val="en"/>
        </w:rPr>
        <w:t>Northwestern Bulgaria, where more than a third of the p</w:t>
      </w:r>
      <w:r w:rsidR="005E0D47">
        <w:rPr>
          <w:rStyle w:val="rynqvb"/>
          <w:rFonts w:ascii="Times New Roman" w:hAnsi="Times New Roman" w:cs="Times New Roman"/>
          <w:sz w:val="24"/>
          <w:szCs w:val="24"/>
          <w:lang w:val="en"/>
        </w:rPr>
        <w:t xml:space="preserve">opulation is at risk of poverty </w:t>
      </w:r>
      <w:r>
        <w:rPr>
          <w:rFonts w:ascii="Times New Roman" w:eastAsia="Times New Roman" w:hAnsi="Times New Roman" w:cs="Times New Roman"/>
          <w:sz w:val="24"/>
          <w:szCs w:val="24"/>
          <w:lang w:eastAsia="en-GB"/>
        </w:rPr>
        <w:t>(</w:t>
      </w:r>
      <w:proofErr w:type="spellStart"/>
      <w:r w:rsidR="0049544A">
        <w:rPr>
          <w:rFonts w:ascii="Times New Roman" w:hAnsi="Times New Roman" w:cs="Times New Roman"/>
          <w:sz w:val="24"/>
          <w:szCs w:val="24"/>
        </w:rPr>
        <w:t>Peneva</w:t>
      </w:r>
      <w:proofErr w:type="spellEnd"/>
      <w:r w:rsidR="0049544A">
        <w:rPr>
          <w:rFonts w:ascii="Times New Roman" w:hAnsi="Times New Roman" w:cs="Times New Roman"/>
          <w:sz w:val="24"/>
          <w:szCs w:val="24"/>
        </w:rPr>
        <w:t>, 2025</w:t>
      </w:r>
      <w:r w:rsidR="00AB3792">
        <w:rPr>
          <w:rFonts w:ascii="Times New Roman" w:hAnsi="Times New Roman" w:cs="Times New Roman"/>
          <w:sz w:val="24"/>
          <w:szCs w:val="24"/>
        </w:rPr>
        <w:t xml:space="preserve">; </w:t>
      </w:r>
      <w:proofErr w:type="spellStart"/>
      <w:r w:rsidR="00AB3792">
        <w:rPr>
          <w:rFonts w:ascii="Times New Roman" w:hAnsi="Times New Roman" w:cs="Times New Roman"/>
          <w:sz w:val="24"/>
          <w:szCs w:val="24"/>
        </w:rPr>
        <w:t>Koroutchev</w:t>
      </w:r>
      <w:proofErr w:type="spellEnd"/>
      <w:r w:rsidR="00AB3792">
        <w:rPr>
          <w:rFonts w:ascii="Times New Roman" w:hAnsi="Times New Roman" w:cs="Times New Roman"/>
          <w:sz w:val="24"/>
          <w:szCs w:val="24"/>
        </w:rPr>
        <w:t xml:space="preserve"> 2026</w:t>
      </w:r>
      <w:r>
        <w:rPr>
          <w:rFonts w:ascii="Times New Roman" w:hAnsi="Times New Roman" w:cs="Times New Roman"/>
          <w:sz w:val="24"/>
          <w:szCs w:val="24"/>
        </w:rPr>
        <w:t>).</w:t>
      </w:r>
    </w:p>
    <w:p w14:paraId="2E7F5493" w14:textId="77777777" w:rsidR="00382A6B" w:rsidRPr="00382A6B" w:rsidRDefault="00064339" w:rsidP="00CA1BE6">
      <w:pPr>
        <w:spacing w:before="100" w:beforeAutospacing="1" w:after="100" w:afterAutospacing="1"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4. Conclusions</w:t>
      </w:r>
    </w:p>
    <w:p w14:paraId="65DC464C" w14:textId="77777777" w:rsidR="00064339" w:rsidRPr="00064339" w:rsidRDefault="00064339"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64339">
        <w:rPr>
          <w:rFonts w:ascii="Times New Roman" w:hAnsi="Times New Roman" w:cs="Times New Roman"/>
          <w:sz w:val="24"/>
          <w:szCs w:val="24"/>
        </w:rPr>
        <w:t xml:space="preserve">Climate change represents a highly intricate challenge that spans multiple domains, including scientific understanding, economic systems, social structures, political decision-making, and </w:t>
      </w:r>
      <w:r w:rsidRPr="00064339">
        <w:rPr>
          <w:rFonts w:ascii="Times New Roman" w:hAnsi="Times New Roman" w:cs="Times New Roman"/>
          <w:sz w:val="24"/>
          <w:szCs w:val="24"/>
        </w:rPr>
        <w:lastRenderedPageBreak/>
        <w:t>ethical considerations. Although it is a global phenomenon, its consequences are experienced at the local level and are expected to persist over very long timescales. Carbon dioxide, the main greenhouse gas responsible for contemporary warming, remains in the atmosphere for centuries to millennia, while</w:t>
      </w:r>
      <w:r w:rsidR="0005485D">
        <w:rPr>
          <w:rFonts w:ascii="Times New Roman" w:hAnsi="Times New Roman" w:cs="Times New Roman"/>
          <w:sz w:val="24"/>
          <w:szCs w:val="24"/>
        </w:rPr>
        <w:t xml:space="preserve"> components of the Earth system, particularly the oceans, </w:t>
      </w:r>
      <w:r w:rsidRPr="00064339">
        <w:rPr>
          <w:rFonts w:ascii="Times New Roman" w:hAnsi="Times New Roman" w:cs="Times New Roman"/>
          <w:sz w:val="24"/>
          <w:szCs w:val="24"/>
        </w:rPr>
        <w:t>respond slowly to temperature increases. As a result, even an immediate cessation of greenhouse gas emissions would not prevent ongoing warming and its associated impacts on future generations.</w:t>
      </w:r>
    </w:p>
    <w:p w14:paraId="61BA7401" w14:textId="3A41E702" w:rsidR="00CA1BE6" w:rsidRPr="00CA1BE6" w:rsidRDefault="00153401"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CA1BE6" w:rsidRPr="00CA1BE6">
        <w:rPr>
          <w:rFonts w:ascii="Times New Roman" w:eastAsia="Times New Roman" w:hAnsi="Times New Roman" w:cs="Times New Roman"/>
          <w:sz w:val="24"/>
          <w:szCs w:val="24"/>
          <w:lang w:eastAsia="en-GB"/>
        </w:rPr>
        <w:t>limate change is amplifying the frequency and intensity of extreme weather events, thereby increasing the likelihood of abrupt and large-scale population movements. On the other hand, it is also contributing to slo</w:t>
      </w:r>
      <w:r w:rsidR="00064339">
        <w:rPr>
          <w:rFonts w:ascii="Times New Roman" w:eastAsia="Times New Roman" w:hAnsi="Times New Roman" w:cs="Times New Roman"/>
          <w:sz w:val="24"/>
          <w:szCs w:val="24"/>
          <w:lang w:eastAsia="en-GB"/>
        </w:rPr>
        <w:t xml:space="preserve">w-onset environmental processes </w:t>
      </w:r>
      <w:r w:rsidR="00CA1BE6" w:rsidRPr="00CA1BE6">
        <w:rPr>
          <w:rFonts w:ascii="Times New Roman" w:eastAsia="Times New Roman" w:hAnsi="Times New Roman" w:cs="Times New Roman"/>
          <w:sz w:val="24"/>
          <w:szCs w:val="24"/>
          <w:lang w:eastAsia="en-GB"/>
        </w:rPr>
        <w:t xml:space="preserve">such as desertification, land </w:t>
      </w:r>
      <w:r w:rsidR="00064339">
        <w:rPr>
          <w:rFonts w:ascii="Times New Roman" w:eastAsia="Times New Roman" w:hAnsi="Times New Roman" w:cs="Times New Roman"/>
          <w:sz w:val="24"/>
          <w:szCs w:val="24"/>
          <w:lang w:eastAsia="en-GB"/>
        </w:rPr>
        <w:t xml:space="preserve">degradation, and sea level rise </w:t>
      </w:r>
      <w:r w:rsidR="00CA1BE6" w:rsidRPr="00CA1BE6">
        <w:rPr>
          <w:rFonts w:ascii="Times New Roman" w:eastAsia="Times New Roman" w:hAnsi="Times New Roman" w:cs="Times New Roman"/>
          <w:sz w:val="24"/>
          <w:szCs w:val="24"/>
          <w:lang w:eastAsia="en-GB"/>
        </w:rPr>
        <w:t>that progressively undermine livelihoods, weaken resilience, and erode the habitability of affected regions. These gradual changes often interact with existing social, economic, and political vulnerabilities, making mobility decisions more complex and less predictable.</w:t>
      </w:r>
    </w:p>
    <w:p w14:paraId="49013E80" w14:textId="77777777" w:rsidR="00CA1BE6" w:rsidRPr="00CA1BE6" w:rsidRDefault="00064339"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CA1BE6" w:rsidRPr="00CA1BE6">
        <w:rPr>
          <w:rFonts w:ascii="Times New Roman" w:eastAsia="Times New Roman" w:hAnsi="Times New Roman" w:cs="Times New Roman"/>
          <w:sz w:val="24"/>
          <w:szCs w:val="24"/>
          <w:lang w:eastAsia="en-GB"/>
        </w:rPr>
        <w:t xml:space="preserve">limate-related mobility is not limited to forced displacement alone, but also encompasses a spectrum of responses, including planned relocation, seasonal migration, and adaptive mobility strategies. This diversity further complicates policy design and implementation, as it requires moving beyond emergency response toward longer-term, </w:t>
      </w:r>
      <w:r w:rsidR="00BB15C1">
        <w:rPr>
          <w:rFonts w:ascii="Times New Roman" w:eastAsia="Times New Roman" w:hAnsi="Times New Roman" w:cs="Times New Roman"/>
          <w:sz w:val="24"/>
          <w:szCs w:val="24"/>
          <w:lang w:eastAsia="en-GB"/>
        </w:rPr>
        <w:t>development-oriented approaches.</w:t>
      </w:r>
    </w:p>
    <w:p w14:paraId="4FC7A32B" w14:textId="77777777" w:rsidR="00CA1BE6" w:rsidRPr="00CA1BE6" w:rsidRDefault="00CA1BE6" w:rsidP="00AB3792">
      <w:pPr>
        <w:spacing w:before="100" w:beforeAutospacing="1" w:after="100" w:afterAutospacing="1" w:line="480" w:lineRule="auto"/>
        <w:jc w:val="both"/>
        <w:rPr>
          <w:rFonts w:ascii="Times New Roman" w:hAnsi="Times New Roman" w:cs="Times New Roman"/>
          <w:sz w:val="24"/>
          <w:szCs w:val="24"/>
        </w:rPr>
      </w:pPr>
      <w:r w:rsidRPr="00CA1BE6">
        <w:rPr>
          <w:rFonts w:ascii="Times New Roman" w:hAnsi="Times New Roman" w:cs="Times New Roman"/>
          <w:sz w:val="24"/>
          <w:szCs w:val="24"/>
        </w:rPr>
        <w:t>In this context, the scale, diversity, and interconnected nature of climate-induced mobility highlight the inadequacy of existing funding structures, which are often fragmented, reactive, and short-term in scope. Addressing these emerging challenges necessitates a paradigm shift</w:t>
      </w:r>
      <w:r w:rsidR="00064339">
        <w:rPr>
          <w:rFonts w:ascii="Times New Roman" w:hAnsi="Times New Roman" w:cs="Times New Roman"/>
          <w:sz w:val="24"/>
          <w:szCs w:val="24"/>
        </w:rPr>
        <w:t xml:space="preserve"> in global financing mechanisms, </w:t>
      </w:r>
      <w:r w:rsidRPr="00CA1BE6">
        <w:rPr>
          <w:rFonts w:ascii="Times New Roman" w:hAnsi="Times New Roman" w:cs="Times New Roman"/>
          <w:sz w:val="24"/>
          <w:szCs w:val="24"/>
        </w:rPr>
        <w:t xml:space="preserve">one that integrates humanitarian assistance with climate adaptation and sustainable development objectives, enhances coordination across sectors and </w:t>
      </w:r>
      <w:r w:rsidRPr="00CA1BE6">
        <w:rPr>
          <w:rFonts w:ascii="Times New Roman" w:hAnsi="Times New Roman" w:cs="Times New Roman"/>
          <w:sz w:val="24"/>
          <w:szCs w:val="24"/>
        </w:rPr>
        <w:lastRenderedPageBreak/>
        <w:t>governance levels, and prioritizes anticipatory and preventive a</w:t>
      </w:r>
      <w:r w:rsidR="00BB15C1">
        <w:rPr>
          <w:rFonts w:ascii="Times New Roman" w:hAnsi="Times New Roman" w:cs="Times New Roman"/>
          <w:sz w:val="24"/>
          <w:szCs w:val="24"/>
        </w:rPr>
        <w:t xml:space="preserve">ction </w:t>
      </w:r>
      <w:r w:rsidR="00BB15C1">
        <w:rPr>
          <w:rFonts w:ascii="Times New Roman" w:eastAsia="Times New Roman" w:hAnsi="Times New Roman" w:cs="Times New Roman"/>
          <w:sz w:val="24"/>
          <w:szCs w:val="24"/>
          <w:lang w:eastAsia="en-GB"/>
        </w:rPr>
        <w:t>(</w:t>
      </w:r>
      <w:r w:rsidR="00BB15C1" w:rsidRPr="00BB15C1">
        <w:rPr>
          <w:rFonts w:ascii="Times New Roman" w:hAnsi="Times New Roman" w:cs="Times New Roman"/>
          <w:sz w:val="24"/>
          <w:szCs w:val="24"/>
        </w:rPr>
        <w:t>H</w:t>
      </w:r>
      <w:r w:rsidR="00BB15C1">
        <w:rPr>
          <w:rFonts w:ascii="Times New Roman" w:hAnsi="Times New Roman" w:cs="Times New Roman"/>
          <w:sz w:val="24"/>
          <w:szCs w:val="24"/>
        </w:rPr>
        <w:t xml:space="preserve">uang, L. and Davidoff-Gore, S., </w:t>
      </w:r>
      <w:r w:rsidR="00BB15C1" w:rsidRPr="00BB15C1">
        <w:rPr>
          <w:rFonts w:ascii="Times New Roman" w:hAnsi="Times New Roman" w:cs="Times New Roman"/>
          <w:sz w:val="24"/>
          <w:szCs w:val="24"/>
        </w:rPr>
        <w:t>2025)</w:t>
      </w:r>
      <w:r w:rsidR="00BB15C1">
        <w:rPr>
          <w:rFonts w:ascii="Times New Roman" w:hAnsi="Times New Roman" w:cs="Times New Roman"/>
          <w:sz w:val="24"/>
          <w:szCs w:val="24"/>
        </w:rPr>
        <w:t>.</w:t>
      </w:r>
    </w:p>
    <w:p w14:paraId="38CB8D53" w14:textId="32F07F54" w:rsidR="00CA1BE6" w:rsidRPr="00CA1BE6" w:rsidRDefault="00CA1BE6"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CA1BE6">
        <w:rPr>
          <w:rFonts w:ascii="Times New Roman" w:eastAsia="Times New Roman" w:hAnsi="Times New Roman" w:cs="Times New Roman"/>
          <w:sz w:val="24"/>
          <w:szCs w:val="24"/>
          <w:lang w:eastAsia="en-GB"/>
        </w:rPr>
        <w:t>The interaction between these environmental pressures and pre-existing socioeconomic vulnerabilities further complicates the picture. Factors such as poverty, inequality, governance deficits, demographic pressures, and dependence on climate-sensitive livelihoods can amplify the impacts of environmental change, shaping not only the likelihood of displacement but also the capacity of individuals an</w:t>
      </w:r>
      <w:r w:rsidR="0005485D">
        <w:rPr>
          <w:rFonts w:ascii="Times New Roman" w:eastAsia="Times New Roman" w:hAnsi="Times New Roman" w:cs="Times New Roman"/>
          <w:sz w:val="24"/>
          <w:szCs w:val="24"/>
          <w:lang w:eastAsia="en-GB"/>
        </w:rPr>
        <w:t xml:space="preserve">d communities to adapt. </w:t>
      </w:r>
      <w:r w:rsidRPr="00CA1BE6">
        <w:rPr>
          <w:rFonts w:ascii="Times New Roman" w:eastAsia="Times New Roman" w:hAnsi="Times New Roman" w:cs="Times New Roman"/>
          <w:sz w:val="24"/>
          <w:szCs w:val="24"/>
          <w:lang w:eastAsia="en-GB"/>
        </w:rPr>
        <w:t>Consequently, climate-related mobility should be understood as a multidimensional and context-dependent phenomenon, encompassing a continuum of outcomes ranging from forced displacement and distress migration to voluntary, planned,</w:t>
      </w:r>
      <w:r w:rsidR="00064339">
        <w:rPr>
          <w:rFonts w:ascii="Times New Roman" w:eastAsia="Times New Roman" w:hAnsi="Times New Roman" w:cs="Times New Roman"/>
          <w:sz w:val="24"/>
          <w:szCs w:val="24"/>
          <w:lang w:eastAsia="en-GB"/>
        </w:rPr>
        <w:t xml:space="preserve"> and adaptive forms of mobility (</w:t>
      </w:r>
      <w:r w:rsidR="00064339" w:rsidRPr="00BB15C1">
        <w:rPr>
          <w:rFonts w:ascii="Times New Roman" w:hAnsi="Times New Roman" w:cs="Times New Roman"/>
          <w:sz w:val="24"/>
          <w:szCs w:val="24"/>
        </w:rPr>
        <w:t>H</w:t>
      </w:r>
      <w:r w:rsidR="00064339">
        <w:rPr>
          <w:rFonts w:ascii="Times New Roman" w:hAnsi="Times New Roman" w:cs="Times New Roman"/>
          <w:sz w:val="24"/>
          <w:szCs w:val="24"/>
        </w:rPr>
        <w:t xml:space="preserve">uang, L. and Davidoff-Gore, S., </w:t>
      </w:r>
      <w:r w:rsidR="00064339" w:rsidRPr="00BB15C1">
        <w:rPr>
          <w:rFonts w:ascii="Times New Roman" w:hAnsi="Times New Roman" w:cs="Times New Roman"/>
          <w:sz w:val="24"/>
          <w:szCs w:val="24"/>
        </w:rPr>
        <w:t>2025)</w:t>
      </w:r>
      <w:r w:rsidR="00064339">
        <w:rPr>
          <w:rFonts w:ascii="Times New Roman" w:hAnsi="Times New Roman" w:cs="Times New Roman"/>
          <w:sz w:val="24"/>
          <w:szCs w:val="24"/>
        </w:rPr>
        <w:t>.</w:t>
      </w:r>
      <w:r w:rsidR="004069C5">
        <w:rPr>
          <w:rFonts w:ascii="Times New Roman" w:hAnsi="Times New Roman" w:cs="Times New Roman"/>
          <w:sz w:val="24"/>
          <w:szCs w:val="24"/>
        </w:rPr>
        <w:t xml:space="preserve"> In this context, the example of the </w:t>
      </w:r>
      <w:proofErr w:type="spellStart"/>
      <w:r w:rsidR="004069C5">
        <w:rPr>
          <w:rFonts w:ascii="Times New Roman" w:hAnsi="Times New Roman" w:cs="Times New Roman"/>
          <w:sz w:val="24"/>
          <w:szCs w:val="24"/>
        </w:rPr>
        <w:t>Grazalema’</w:t>
      </w:r>
      <w:r w:rsidR="000B16EE">
        <w:rPr>
          <w:rFonts w:ascii="Times New Roman" w:hAnsi="Times New Roman" w:cs="Times New Roman"/>
          <w:sz w:val="24"/>
          <w:szCs w:val="24"/>
        </w:rPr>
        <w:t>s</w:t>
      </w:r>
      <w:proofErr w:type="spellEnd"/>
      <w:r w:rsidR="000B16EE">
        <w:rPr>
          <w:rFonts w:ascii="Times New Roman" w:hAnsi="Times New Roman" w:cs="Times New Roman"/>
          <w:sz w:val="24"/>
          <w:szCs w:val="24"/>
        </w:rPr>
        <w:t xml:space="preserve"> flooding in South of Spain during</w:t>
      </w:r>
      <w:r w:rsidR="004069C5">
        <w:rPr>
          <w:rFonts w:ascii="Times New Roman" w:hAnsi="Times New Roman" w:cs="Times New Roman"/>
          <w:sz w:val="24"/>
          <w:szCs w:val="24"/>
        </w:rPr>
        <w:t xml:space="preserve"> February 2026 is an example of outstanding</w:t>
      </w:r>
      <w:r w:rsidR="00601518">
        <w:rPr>
          <w:rFonts w:ascii="Times New Roman" w:hAnsi="Times New Roman" w:cs="Times New Roman"/>
          <w:sz w:val="24"/>
          <w:szCs w:val="24"/>
        </w:rPr>
        <w:t xml:space="preserve"> organization and</w:t>
      </w:r>
      <w:r w:rsidR="004069C5">
        <w:rPr>
          <w:rFonts w:ascii="Times New Roman" w:hAnsi="Times New Roman" w:cs="Times New Roman"/>
          <w:sz w:val="24"/>
          <w:szCs w:val="24"/>
        </w:rPr>
        <w:t xml:space="preserve"> management.</w:t>
      </w:r>
    </w:p>
    <w:p w14:paraId="73F987C9" w14:textId="77777777" w:rsidR="00E15D13" w:rsidRDefault="00E15D13"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Finally, regarding the problem of energy poverty, </w:t>
      </w:r>
      <w:r w:rsidRPr="00E15D13">
        <w:rPr>
          <w:rFonts w:ascii="Times New Roman" w:eastAsia="Times New Roman" w:hAnsi="Times New Roman" w:cs="Times New Roman"/>
          <w:sz w:val="24"/>
          <w:szCs w:val="24"/>
          <w:lang w:eastAsia="en-GB"/>
        </w:rPr>
        <w:t>p</w:t>
      </w:r>
      <w:r w:rsidRPr="00A42482">
        <w:rPr>
          <w:rFonts w:ascii="Times New Roman" w:eastAsia="Times New Roman" w:hAnsi="Times New Roman" w:cs="Times New Roman"/>
          <w:sz w:val="24"/>
          <w:szCs w:val="24"/>
          <w:lang w:eastAsia="en-GB"/>
        </w:rPr>
        <w:t xml:space="preserve">olicy responses at the European level increasingly emphasize structural solutions. These include large-scale investments in building renovation and energy efficiency, expansion of renewable energy systems, and targeted financial support mechanisms for vulnerable groups. Instruments such as the </w:t>
      </w:r>
      <w:r w:rsidRPr="00E15D13">
        <w:rPr>
          <w:rFonts w:ascii="Times New Roman" w:eastAsia="Times New Roman" w:hAnsi="Times New Roman" w:cs="Times New Roman"/>
          <w:sz w:val="24"/>
          <w:szCs w:val="24"/>
          <w:lang w:eastAsia="en-GB"/>
        </w:rPr>
        <w:t>European Commission</w:t>
      </w:r>
      <w:r w:rsidRPr="00A42482">
        <w:rPr>
          <w:rFonts w:ascii="Times New Roman" w:eastAsia="Times New Roman" w:hAnsi="Times New Roman" w:cs="Times New Roman"/>
          <w:sz w:val="24"/>
          <w:szCs w:val="24"/>
          <w:lang w:eastAsia="en-GB"/>
        </w:rPr>
        <w:t>’s Social Climate Fund aim to mitigate the social impacts of the energy transition and ensure a more equitable distribution of its costs and benefits.</w:t>
      </w:r>
    </w:p>
    <w:p w14:paraId="5E285875" w14:textId="77777777" w:rsidR="006B08F4" w:rsidRDefault="006B08F4" w:rsidP="00CA1BE6">
      <w:pPr>
        <w:spacing w:before="100" w:beforeAutospacing="1" w:after="100" w:afterAutospacing="1" w:line="240" w:lineRule="auto"/>
        <w:jc w:val="both"/>
        <w:rPr>
          <w:rFonts w:ascii="Times New Roman" w:hAnsi="Times New Roman" w:cs="Times New Roman"/>
          <w:b/>
          <w:sz w:val="24"/>
          <w:szCs w:val="24"/>
        </w:rPr>
      </w:pPr>
      <w:bookmarkStart w:id="0" w:name="_GoBack"/>
      <w:bookmarkEnd w:id="0"/>
    </w:p>
    <w:p w14:paraId="663F1D76" w14:textId="77777777" w:rsidR="00E725ED" w:rsidRPr="00D3000C" w:rsidRDefault="00E725ED" w:rsidP="00CA1BE6">
      <w:pPr>
        <w:spacing w:before="100" w:beforeAutospacing="1" w:after="100" w:afterAutospacing="1" w:line="240" w:lineRule="auto"/>
        <w:jc w:val="both"/>
        <w:rPr>
          <w:rFonts w:ascii="Times New Roman" w:hAnsi="Times New Roman" w:cs="Times New Roman"/>
          <w:b/>
          <w:sz w:val="24"/>
          <w:szCs w:val="24"/>
        </w:rPr>
      </w:pPr>
      <w:r w:rsidRPr="00D3000C">
        <w:rPr>
          <w:rFonts w:ascii="Times New Roman" w:hAnsi="Times New Roman" w:cs="Times New Roman"/>
          <w:b/>
          <w:sz w:val="24"/>
          <w:szCs w:val="24"/>
        </w:rPr>
        <w:t>References</w:t>
      </w:r>
    </w:p>
    <w:p w14:paraId="1E5A1C93" w14:textId="77777777" w:rsidR="00510BFE" w:rsidRDefault="00510BFE" w:rsidP="00510BFE">
      <w:pPr>
        <w:spacing w:before="100" w:beforeAutospacing="1" w:after="100" w:afterAutospacing="1" w:line="240" w:lineRule="auto"/>
        <w:jc w:val="both"/>
        <w:rPr>
          <w:rStyle w:val="Hyperlink"/>
          <w:rFonts w:ascii="Times New Roman" w:hAnsi="Times New Roman" w:cs="Times New Roman"/>
          <w:sz w:val="24"/>
          <w:szCs w:val="24"/>
        </w:rPr>
      </w:pPr>
      <w:proofErr w:type="spellStart"/>
      <w:r w:rsidRPr="00564920">
        <w:rPr>
          <w:rFonts w:ascii="Times New Roman" w:hAnsi="Times New Roman" w:cs="Times New Roman"/>
          <w:sz w:val="24"/>
          <w:szCs w:val="24"/>
        </w:rPr>
        <w:t>Almulhim</w:t>
      </w:r>
      <w:proofErr w:type="spellEnd"/>
      <w:r w:rsidRPr="00564920">
        <w:rPr>
          <w:rFonts w:ascii="Times New Roman" w:hAnsi="Times New Roman" w:cs="Times New Roman"/>
          <w:sz w:val="24"/>
          <w:szCs w:val="24"/>
        </w:rPr>
        <w:t>, A. I. et al. (2024)</w:t>
      </w:r>
      <w:r w:rsidR="0005485D">
        <w:rPr>
          <w:rFonts w:ascii="Times New Roman" w:hAnsi="Times New Roman" w:cs="Times New Roman"/>
          <w:sz w:val="24"/>
          <w:szCs w:val="24"/>
        </w:rPr>
        <w:t>.</w:t>
      </w:r>
      <w:r w:rsidRPr="00564920">
        <w:rPr>
          <w:rFonts w:ascii="Times New Roman" w:hAnsi="Times New Roman" w:cs="Times New Roman"/>
          <w:sz w:val="24"/>
          <w:szCs w:val="24"/>
        </w:rPr>
        <w:t xml:space="preserve"> </w:t>
      </w:r>
      <w:r w:rsidRPr="00564920">
        <w:rPr>
          <w:rStyle w:val="whitespace-normal"/>
          <w:rFonts w:ascii="Times New Roman" w:hAnsi="Times New Roman" w:cs="Times New Roman"/>
          <w:sz w:val="24"/>
          <w:szCs w:val="24"/>
        </w:rPr>
        <w:t>Climate</w:t>
      </w:r>
      <w:r w:rsidRPr="00564920">
        <w:rPr>
          <w:rStyle w:val="whitespace-normal"/>
          <w:rFonts w:ascii="Times New Roman" w:hAnsi="Times New Roman" w:cs="Times New Roman"/>
          <w:sz w:val="24"/>
          <w:szCs w:val="24"/>
        </w:rPr>
        <w:noBreakHyphen/>
        <w:t>Induced Migration in the Global South: An In</w:t>
      </w:r>
      <w:r w:rsidRPr="00564920">
        <w:rPr>
          <w:rStyle w:val="whitespace-normal"/>
          <w:rFonts w:ascii="Times New Roman" w:hAnsi="Times New Roman" w:cs="Times New Roman"/>
          <w:sz w:val="24"/>
          <w:szCs w:val="24"/>
        </w:rPr>
        <w:noBreakHyphen/>
        <w:t>Depth Analysis</w:t>
      </w:r>
      <w:r w:rsidRPr="00564920">
        <w:rPr>
          <w:rFonts w:ascii="Times New Roman" w:hAnsi="Times New Roman" w:cs="Times New Roman"/>
          <w:sz w:val="24"/>
          <w:szCs w:val="24"/>
        </w:rPr>
        <w:t xml:space="preserve">, </w:t>
      </w:r>
      <w:r w:rsidRPr="00564920">
        <w:rPr>
          <w:rStyle w:val="Emphasis"/>
          <w:rFonts w:ascii="Times New Roman" w:hAnsi="Times New Roman" w:cs="Times New Roman"/>
          <w:sz w:val="24"/>
          <w:szCs w:val="24"/>
        </w:rPr>
        <w:t>Climate Action, 3</w:t>
      </w:r>
      <w:r w:rsidRPr="00564920">
        <w:rPr>
          <w:rFonts w:ascii="Times New Roman" w:hAnsi="Times New Roman" w:cs="Times New Roman"/>
          <w:sz w:val="24"/>
          <w:szCs w:val="24"/>
        </w:rPr>
        <w:t xml:space="preserve">(47). </w:t>
      </w:r>
      <w:hyperlink r:id="rId31" w:history="1">
        <w:r w:rsidRPr="00564920">
          <w:rPr>
            <w:rStyle w:val="Hyperlink"/>
            <w:rFonts w:ascii="Times New Roman" w:hAnsi="Times New Roman" w:cs="Times New Roman"/>
            <w:sz w:val="24"/>
            <w:szCs w:val="24"/>
          </w:rPr>
          <w:t>https://www.nature.com/articles/s44168-024-00133-1?fromPaywallRec=false</w:t>
        </w:r>
      </w:hyperlink>
    </w:p>
    <w:p w14:paraId="0206EBAD" w14:textId="77777777" w:rsidR="001E7973" w:rsidRPr="001E7973" w:rsidRDefault="0005485D" w:rsidP="001E797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Bayer, P. and</w:t>
      </w:r>
      <w:r w:rsidR="001E7973" w:rsidRPr="001E7973">
        <w:rPr>
          <w:rFonts w:ascii="Times New Roman" w:hAnsi="Times New Roman" w:cs="Times New Roman"/>
          <w:sz w:val="24"/>
          <w:szCs w:val="24"/>
        </w:rPr>
        <w:t xml:space="preserve"> </w:t>
      </w:r>
      <w:proofErr w:type="spellStart"/>
      <w:r w:rsidR="001E7973" w:rsidRPr="001E7973">
        <w:rPr>
          <w:rFonts w:ascii="Times New Roman" w:hAnsi="Times New Roman" w:cs="Times New Roman"/>
          <w:sz w:val="24"/>
          <w:szCs w:val="24"/>
        </w:rPr>
        <w:t>Aklin</w:t>
      </w:r>
      <w:proofErr w:type="spellEnd"/>
      <w:r w:rsidR="001E7973" w:rsidRPr="001E7973">
        <w:rPr>
          <w:rFonts w:ascii="Times New Roman" w:hAnsi="Times New Roman" w:cs="Times New Roman"/>
          <w:sz w:val="24"/>
          <w:szCs w:val="24"/>
        </w:rPr>
        <w:t xml:space="preserve">, M. (2020). The European Union Emissions Trading System reduced CO₂ emissions despite low prices. </w:t>
      </w:r>
      <w:r w:rsidR="001E7973" w:rsidRPr="001E7973">
        <w:rPr>
          <w:rStyle w:val="Emphasis"/>
          <w:rFonts w:ascii="Times New Roman" w:hAnsi="Times New Roman" w:cs="Times New Roman"/>
          <w:sz w:val="24"/>
          <w:szCs w:val="24"/>
        </w:rPr>
        <w:t>Proceedings of the National Academy of Sciences</w:t>
      </w:r>
      <w:r w:rsidR="001E7973" w:rsidRPr="001E7973">
        <w:rPr>
          <w:rFonts w:ascii="Times New Roman" w:hAnsi="Times New Roman" w:cs="Times New Roman"/>
          <w:sz w:val="24"/>
          <w:szCs w:val="24"/>
        </w:rPr>
        <w:t xml:space="preserve">, </w:t>
      </w:r>
      <w:r w:rsidR="001E7973" w:rsidRPr="0005485D">
        <w:rPr>
          <w:rFonts w:ascii="Times New Roman" w:hAnsi="Times New Roman" w:cs="Times New Roman"/>
          <w:i/>
          <w:sz w:val="24"/>
          <w:szCs w:val="24"/>
        </w:rPr>
        <w:t>117</w:t>
      </w:r>
      <w:r w:rsidR="001E7973" w:rsidRPr="001E7973">
        <w:rPr>
          <w:rFonts w:ascii="Times New Roman" w:hAnsi="Times New Roman" w:cs="Times New Roman"/>
          <w:sz w:val="24"/>
          <w:szCs w:val="24"/>
        </w:rPr>
        <w:t xml:space="preserve">(16), 8804–8812. </w:t>
      </w:r>
    </w:p>
    <w:p w14:paraId="5E8C0F22" w14:textId="77777777" w:rsidR="00510BFE" w:rsidRDefault="00510BFE" w:rsidP="00510BFE">
      <w:pPr>
        <w:pStyle w:val="Default"/>
        <w:rPr>
          <w:rFonts w:ascii="Times New Roman" w:hAnsi="Times New Roman" w:cs="Times New Roman"/>
        </w:rPr>
      </w:pPr>
      <w:r w:rsidRPr="006168B4">
        <w:rPr>
          <w:rStyle w:val="A7"/>
          <w:rFonts w:ascii="Times New Roman" w:hAnsi="Times New Roman" w:cs="Times New Roman"/>
          <w:color w:val="auto"/>
          <w:sz w:val="24"/>
          <w:szCs w:val="24"/>
        </w:rPr>
        <w:lastRenderedPageBreak/>
        <w:t>Beyer, R. and Milan, A.</w:t>
      </w:r>
      <w:r>
        <w:rPr>
          <w:rStyle w:val="A7"/>
          <w:rFonts w:ascii="Times New Roman" w:hAnsi="Times New Roman" w:cs="Times New Roman"/>
          <w:color w:val="auto"/>
          <w:sz w:val="24"/>
          <w:szCs w:val="24"/>
        </w:rPr>
        <w:t xml:space="preserve"> (2022). C</w:t>
      </w:r>
      <w:r w:rsidRPr="006168B4">
        <w:rPr>
          <w:rFonts w:ascii="Times New Roman" w:hAnsi="Times New Roman" w:cs="Times New Roman"/>
        </w:rPr>
        <w:t>limate change and future human mobility</w:t>
      </w:r>
      <w:r w:rsidR="0005485D">
        <w:rPr>
          <w:rFonts w:ascii="Times New Roman" w:hAnsi="Times New Roman" w:cs="Times New Roman"/>
        </w:rPr>
        <w:t>, IOM Global</w:t>
      </w:r>
      <w:r>
        <w:rPr>
          <w:rFonts w:ascii="Times New Roman" w:hAnsi="Times New Roman" w:cs="Times New Roman"/>
        </w:rPr>
        <w:t xml:space="preserve"> Data Institute, </w:t>
      </w:r>
      <w:hyperlink r:id="rId32" w:history="1">
        <w:r w:rsidRPr="00F866CA">
          <w:rPr>
            <w:rStyle w:val="Hyperlink"/>
            <w:rFonts w:ascii="Times New Roman" w:hAnsi="Times New Roman" w:cs="Times New Roman"/>
          </w:rPr>
          <w:t>https://publications.iom.int/books/people-move-changing-climate-linking-policy-evidence-and-action</w:t>
        </w:r>
      </w:hyperlink>
      <w:r w:rsidRPr="006168B4">
        <w:rPr>
          <w:rFonts w:ascii="Times New Roman" w:hAnsi="Times New Roman" w:cs="Times New Roman"/>
        </w:rPr>
        <w:t>.</w:t>
      </w:r>
    </w:p>
    <w:p w14:paraId="3E2D698A" w14:textId="77777777" w:rsidR="00510BFE" w:rsidRPr="00BB15C1" w:rsidRDefault="00510BFE" w:rsidP="00510BFE">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Clement, V. et al. (2021). Groundswell Part 2: Acting on Internal Climate Migration</w:t>
      </w:r>
      <w:r>
        <w:rPr>
          <w:rFonts w:ascii="Times New Roman" w:eastAsia="Times New Roman" w:hAnsi="Times New Roman" w:cs="Times New Roman"/>
          <w:sz w:val="24"/>
          <w:szCs w:val="24"/>
          <w:lang w:eastAsia="en-GB"/>
        </w:rPr>
        <w:t>, (Washington, DC: World Bank).</w:t>
      </w:r>
    </w:p>
    <w:p w14:paraId="6F36A9F9" w14:textId="77777777" w:rsidR="00510BFE"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ClimateAnalyzer1 (</w:t>
      </w:r>
      <w:r w:rsidRPr="00CE64BB">
        <w:rPr>
          <w:rFonts w:ascii="Times New Roman" w:hAnsi="Times New Roman" w:cs="Times New Roman"/>
          <w:sz w:val="24"/>
          <w:szCs w:val="24"/>
        </w:rPr>
        <w:t>2025</w:t>
      </w:r>
      <w:r>
        <w:rPr>
          <w:rFonts w:ascii="Times New Roman" w:hAnsi="Times New Roman" w:cs="Times New Roman"/>
          <w:sz w:val="24"/>
          <w:szCs w:val="24"/>
        </w:rPr>
        <w:t>).</w:t>
      </w:r>
      <w:r w:rsidRPr="00CE64BB">
        <w:rPr>
          <w:rFonts w:ascii="Times New Roman" w:hAnsi="Times New Roman" w:cs="Times New Roman"/>
          <w:sz w:val="24"/>
          <w:szCs w:val="24"/>
        </w:rPr>
        <w:t xml:space="preserve"> </w:t>
      </w:r>
      <w:r w:rsidRPr="000B1687">
        <w:rPr>
          <w:rFonts w:ascii="Times New Roman" w:hAnsi="Times New Roman" w:cs="Times New Roman"/>
          <w:sz w:val="24"/>
          <w:szCs w:val="24"/>
        </w:rPr>
        <w:t xml:space="preserve">Daily sea surface temperature (world). </w:t>
      </w:r>
      <w:hyperlink r:id="rId33" w:history="1">
        <w:r w:rsidRPr="00084357">
          <w:rPr>
            <w:rStyle w:val="Hyperlink"/>
            <w:rFonts w:ascii="Times New Roman" w:hAnsi="Times New Roman" w:cs="Times New Roman"/>
            <w:sz w:val="24"/>
            <w:szCs w:val="24"/>
          </w:rPr>
          <w:t>https://climatereanalyzer.org/clim/sst_daily/?dm_id=world2</w:t>
        </w:r>
      </w:hyperlink>
    </w:p>
    <w:p w14:paraId="1F23A34E" w14:textId="77777777" w:rsidR="00510BFE"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Climate Reanalyzer2 (2025</w:t>
      </w:r>
      <w:r w:rsidRPr="000B1687">
        <w:rPr>
          <w:rFonts w:ascii="Times New Roman" w:hAnsi="Times New Roman" w:cs="Times New Roman"/>
          <w:sz w:val="24"/>
          <w:szCs w:val="24"/>
        </w:rPr>
        <w:t xml:space="preserve">). Daily sea ice extent (Northern Hemisphere). </w:t>
      </w:r>
      <w:r w:rsidR="0005485D">
        <w:rPr>
          <w:rFonts w:ascii="Times New Roman" w:hAnsi="Times New Roman" w:cs="Times New Roman"/>
          <w:sz w:val="24"/>
          <w:szCs w:val="24"/>
        </w:rPr>
        <w:t>h</w:t>
      </w:r>
      <w:r w:rsidRPr="000B1687">
        <w:rPr>
          <w:rFonts w:ascii="Times New Roman" w:hAnsi="Times New Roman" w:cs="Times New Roman"/>
          <w:sz w:val="24"/>
          <w:szCs w:val="24"/>
        </w:rPr>
        <w:t>ttps://climatereanalyzer.org/clim/seaice_daily/?nhsh=nh</w:t>
      </w:r>
    </w:p>
    <w:p w14:paraId="353CA5E7" w14:textId="77777777" w:rsidR="00510BFE" w:rsidRPr="00021171" w:rsidRDefault="00510BFE" w:rsidP="00510BF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Climate Reanalyzer3 (2025</w:t>
      </w:r>
      <w:r w:rsidRPr="000B1687">
        <w:rPr>
          <w:rFonts w:ascii="Times New Roman" w:hAnsi="Times New Roman" w:cs="Times New Roman"/>
          <w:sz w:val="24"/>
          <w:szCs w:val="24"/>
        </w:rPr>
        <w:t>). Daily sea ice extent (Northern Hemisphere). https://climatereanalyzer.org/clim/seaice_daily/?nhsh=nh</w:t>
      </w:r>
    </w:p>
    <w:p w14:paraId="72B55C17" w14:textId="77777777" w:rsidR="001E7973" w:rsidRPr="001E7973" w:rsidRDefault="001E7973" w:rsidP="00510BFE">
      <w:pPr>
        <w:spacing w:before="100" w:beforeAutospacing="1" w:after="100" w:afterAutospacing="1" w:line="240" w:lineRule="auto"/>
        <w:rPr>
          <w:rFonts w:ascii="Times New Roman" w:hAnsi="Times New Roman" w:cs="Times New Roman"/>
          <w:sz w:val="24"/>
          <w:szCs w:val="24"/>
        </w:rPr>
      </w:pPr>
      <w:r w:rsidRPr="00930B9D">
        <w:rPr>
          <w:rFonts w:ascii="Times New Roman" w:hAnsi="Times New Roman" w:cs="Times New Roman"/>
          <w:sz w:val="24"/>
          <w:szCs w:val="24"/>
        </w:rPr>
        <w:t>Elle</w:t>
      </w:r>
      <w:r w:rsidR="0049544A">
        <w:rPr>
          <w:rFonts w:ascii="Times New Roman" w:hAnsi="Times New Roman" w:cs="Times New Roman"/>
          <w:sz w:val="24"/>
          <w:szCs w:val="24"/>
        </w:rPr>
        <w:t xml:space="preserve">rman, A. D., </w:t>
      </w:r>
      <w:proofErr w:type="spellStart"/>
      <w:r w:rsidR="0049544A">
        <w:rPr>
          <w:rFonts w:ascii="Times New Roman" w:hAnsi="Times New Roman" w:cs="Times New Roman"/>
          <w:sz w:val="24"/>
          <w:szCs w:val="24"/>
        </w:rPr>
        <w:t>Marcantonini</w:t>
      </w:r>
      <w:proofErr w:type="spellEnd"/>
      <w:r w:rsidR="0049544A">
        <w:rPr>
          <w:rFonts w:ascii="Times New Roman" w:hAnsi="Times New Roman" w:cs="Times New Roman"/>
          <w:sz w:val="24"/>
          <w:szCs w:val="24"/>
        </w:rPr>
        <w:t>, C.</w:t>
      </w:r>
      <w:r w:rsidR="0005485D" w:rsidRPr="00930B9D">
        <w:rPr>
          <w:rFonts w:ascii="Times New Roman" w:hAnsi="Times New Roman" w:cs="Times New Roman"/>
          <w:sz w:val="24"/>
          <w:szCs w:val="24"/>
        </w:rPr>
        <w:t xml:space="preserve"> and</w:t>
      </w:r>
      <w:r w:rsidRPr="00930B9D">
        <w:rPr>
          <w:rFonts w:ascii="Times New Roman" w:hAnsi="Times New Roman" w:cs="Times New Roman"/>
          <w:sz w:val="24"/>
          <w:szCs w:val="24"/>
        </w:rPr>
        <w:t xml:space="preserve"> </w:t>
      </w:r>
      <w:proofErr w:type="spellStart"/>
      <w:r w:rsidRPr="00930B9D">
        <w:rPr>
          <w:rFonts w:ascii="Times New Roman" w:hAnsi="Times New Roman" w:cs="Times New Roman"/>
          <w:sz w:val="24"/>
          <w:szCs w:val="24"/>
        </w:rPr>
        <w:t>Zaklan</w:t>
      </w:r>
      <w:proofErr w:type="spellEnd"/>
      <w:r w:rsidRPr="00930B9D">
        <w:rPr>
          <w:rFonts w:ascii="Times New Roman" w:hAnsi="Times New Roman" w:cs="Times New Roman"/>
          <w:sz w:val="24"/>
          <w:szCs w:val="24"/>
        </w:rPr>
        <w:t xml:space="preserve">, A. (2016). </w:t>
      </w:r>
      <w:r w:rsidRPr="001E7973">
        <w:rPr>
          <w:rFonts w:ascii="Times New Roman" w:hAnsi="Times New Roman" w:cs="Times New Roman"/>
          <w:sz w:val="24"/>
          <w:szCs w:val="24"/>
        </w:rPr>
        <w:t xml:space="preserve">The European Union Emissions Trading System: Ten years and counting. </w:t>
      </w:r>
      <w:r w:rsidRPr="001E7973">
        <w:rPr>
          <w:rStyle w:val="Emphasis"/>
          <w:rFonts w:ascii="Times New Roman" w:hAnsi="Times New Roman" w:cs="Times New Roman"/>
          <w:sz w:val="24"/>
          <w:szCs w:val="24"/>
        </w:rPr>
        <w:t>Review of Environmental Economics and Policy</w:t>
      </w:r>
      <w:r w:rsidRPr="001E7973">
        <w:rPr>
          <w:rFonts w:ascii="Times New Roman" w:hAnsi="Times New Roman" w:cs="Times New Roman"/>
          <w:sz w:val="24"/>
          <w:szCs w:val="24"/>
        </w:rPr>
        <w:t xml:space="preserve">, </w:t>
      </w:r>
      <w:r w:rsidRPr="0005485D">
        <w:rPr>
          <w:rFonts w:ascii="Times New Roman" w:hAnsi="Times New Roman" w:cs="Times New Roman"/>
          <w:i/>
          <w:sz w:val="24"/>
          <w:szCs w:val="24"/>
        </w:rPr>
        <w:t>10</w:t>
      </w:r>
      <w:r w:rsidRPr="001E7973">
        <w:rPr>
          <w:rFonts w:ascii="Times New Roman" w:hAnsi="Times New Roman" w:cs="Times New Roman"/>
          <w:sz w:val="24"/>
          <w:szCs w:val="24"/>
        </w:rPr>
        <w:t xml:space="preserve">(1), 89–107. </w:t>
      </w:r>
    </w:p>
    <w:p w14:paraId="329AE201" w14:textId="77777777" w:rsidR="00510BFE" w:rsidRDefault="00510BFE" w:rsidP="00510BFE">
      <w:pPr>
        <w:spacing w:before="100" w:beforeAutospacing="1" w:after="100" w:afterAutospacing="1" w:line="240" w:lineRule="auto"/>
        <w:rPr>
          <w:rFonts w:ascii="Times New Roman" w:eastAsia="Times New Roman" w:hAnsi="Times New Roman" w:cs="Times New Roman"/>
          <w:color w:val="FF0000"/>
          <w:sz w:val="24"/>
          <w:szCs w:val="24"/>
          <w:lang w:eastAsia="en-GB"/>
        </w:rPr>
      </w:pPr>
      <w:r w:rsidRPr="00D3000C">
        <w:rPr>
          <w:rFonts w:ascii="Times New Roman" w:eastAsia="Times New Roman" w:hAnsi="Times New Roman" w:cs="Times New Roman"/>
          <w:sz w:val="24"/>
          <w:szCs w:val="24"/>
          <w:lang w:eastAsia="en-GB"/>
        </w:rPr>
        <w:t>Energy poverty</w:t>
      </w:r>
      <w:r w:rsidR="00A42482" w:rsidRPr="00D3000C">
        <w:rPr>
          <w:rFonts w:ascii="Times New Roman" w:eastAsia="Times New Roman" w:hAnsi="Times New Roman" w:cs="Times New Roman"/>
          <w:sz w:val="24"/>
          <w:szCs w:val="24"/>
          <w:lang w:eastAsia="en-GB"/>
        </w:rPr>
        <w:t xml:space="preserve"> (2025). European Commission </w:t>
      </w:r>
      <w:hyperlink r:id="rId34" w:history="1">
        <w:r w:rsidRPr="00F866CA">
          <w:rPr>
            <w:rStyle w:val="Hyperlink"/>
            <w:rFonts w:ascii="Times New Roman" w:eastAsia="Times New Roman" w:hAnsi="Times New Roman" w:cs="Times New Roman"/>
            <w:sz w:val="24"/>
            <w:szCs w:val="24"/>
            <w:lang w:eastAsia="en-GB"/>
          </w:rPr>
          <w:t>https://energy.ec.europa.eu/topics/markets-and-consumers/energy-consumers-and-prosumers/energy-poverty_en</w:t>
        </w:r>
      </w:hyperlink>
    </w:p>
    <w:p w14:paraId="7ADD1FBE" w14:textId="77777777" w:rsidR="00D3000C" w:rsidRPr="00D3000C" w:rsidRDefault="00510BFE" w:rsidP="00510BFE">
      <w:pPr>
        <w:spacing w:before="100" w:beforeAutospacing="1" w:after="100" w:afterAutospacing="1" w:line="240" w:lineRule="auto"/>
        <w:rPr>
          <w:rFonts w:ascii="Times New Roman" w:eastAsia="Times New Roman" w:hAnsi="Times New Roman" w:cs="Times New Roman"/>
          <w:sz w:val="24"/>
          <w:szCs w:val="24"/>
          <w:lang w:val="es-ES" w:eastAsia="en-GB"/>
        </w:rPr>
      </w:pPr>
      <w:r w:rsidRPr="00D3000C">
        <w:rPr>
          <w:rFonts w:ascii="Times New Roman" w:eastAsia="Times New Roman" w:hAnsi="Times New Roman" w:cs="Times New Roman"/>
          <w:sz w:val="24"/>
          <w:szCs w:val="24"/>
          <w:lang w:eastAsia="en-GB"/>
        </w:rPr>
        <w:t>Energy statistics</w:t>
      </w:r>
      <w:r w:rsidR="00A42482" w:rsidRPr="00D3000C">
        <w:rPr>
          <w:rFonts w:ascii="Times New Roman" w:eastAsia="Times New Roman" w:hAnsi="Times New Roman" w:cs="Times New Roman"/>
          <w:sz w:val="24"/>
          <w:szCs w:val="24"/>
          <w:lang w:eastAsia="en-GB"/>
        </w:rPr>
        <w:t xml:space="preserve"> (2024). Energy statistics </w:t>
      </w:r>
      <w:r w:rsidRPr="00D3000C">
        <w:rPr>
          <w:rFonts w:ascii="Times New Roman" w:eastAsia="Times New Roman" w:hAnsi="Times New Roman" w:cs="Times New Roman"/>
          <w:sz w:val="24"/>
          <w:szCs w:val="24"/>
          <w:lang w:eastAsia="en-GB"/>
        </w:rPr>
        <w:t>- an overview</w:t>
      </w:r>
      <w:r w:rsidR="00A42482" w:rsidRPr="00D3000C">
        <w:rPr>
          <w:rFonts w:ascii="Times New Roman" w:eastAsia="Times New Roman" w:hAnsi="Times New Roman" w:cs="Times New Roman"/>
          <w:sz w:val="24"/>
          <w:szCs w:val="24"/>
          <w:lang w:eastAsia="en-GB"/>
        </w:rPr>
        <w:t xml:space="preserve"> (2024). </w:t>
      </w:r>
      <w:r w:rsidR="00A42482" w:rsidRPr="00D3000C">
        <w:rPr>
          <w:rFonts w:ascii="Times New Roman" w:eastAsia="Times New Roman" w:hAnsi="Times New Roman" w:cs="Times New Roman"/>
          <w:sz w:val="24"/>
          <w:szCs w:val="24"/>
          <w:lang w:val="es-ES" w:eastAsia="en-GB"/>
        </w:rPr>
        <w:t xml:space="preserve">Eurostat. </w:t>
      </w:r>
      <w:r w:rsidRPr="00D3000C">
        <w:rPr>
          <w:rFonts w:ascii="Times New Roman" w:eastAsia="Times New Roman" w:hAnsi="Times New Roman" w:cs="Times New Roman"/>
          <w:sz w:val="24"/>
          <w:szCs w:val="24"/>
          <w:lang w:val="es-ES" w:eastAsia="en-GB"/>
        </w:rPr>
        <w:t>https://ec.europa.eu/eurostat/statistics-explained/index.php?title=Energy_statistics_-_an_overview</w:t>
      </w:r>
    </w:p>
    <w:p w14:paraId="1017C4FF" w14:textId="77777777" w:rsidR="00510BFE" w:rsidRPr="006B2DC4"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iCs/>
          <w:sz w:val="24"/>
          <w:szCs w:val="24"/>
          <w:lang w:eastAsia="en-GB"/>
        </w:rPr>
        <w:t>En</w:t>
      </w:r>
      <w:r>
        <w:rPr>
          <w:rFonts w:ascii="Times New Roman" w:eastAsia="Times New Roman" w:hAnsi="Times New Roman" w:cs="Times New Roman"/>
          <w:iCs/>
          <w:sz w:val="24"/>
          <w:szCs w:val="24"/>
          <w:lang w:eastAsia="en-GB"/>
        </w:rPr>
        <w:noBreakHyphen/>
        <w:t>Roads</w:t>
      </w:r>
      <w:r>
        <w:rPr>
          <w:rFonts w:ascii="Times New Roman" w:eastAsia="Times New Roman" w:hAnsi="Times New Roman" w:cs="Times New Roman"/>
          <w:sz w:val="24"/>
          <w:szCs w:val="24"/>
          <w:lang w:eastAsia="en-GB"/>
        </w:rPr>
        <w:t xml:space="preserve"> (2025).</w:t>
      </w:r>
      <w:r w:rsidRPr="00A17974">
        <w:rPr>
          <w:rFonts w:ascii="Times New Roman" w:eastAsia="Times New Roman" w:hAnsi="Times New Roman" w:cs="Times New Roman"/>
          <w:sz w:val="24"/>
          <w:szCs w:val="24"/>
          <w:lang w:eastAsia="en-GB"/>
        </w:rPr>
        <w:t xml:space="preserve"> </w:t>
      </w:r>
      <w:r w:rsidRPr="005A4A15">
        <w:rPr>
          <w:rFonts w:ascii="Times New Roman" w:eastAsia="Times New Roman" w:hAnsi="Times New Roman" w:cs="Times New Roman"/>
          <w:sz w:val="24"/>
          <w:szCs w:val="24"/>
          <w:lang w:eastAsia="en-GB"/>
        </w:rPr>
        <w:t>Climate Interactive &amp; MIT Sloa</w:t>
      </w:r>
      <w:r>
        <w:rPr>
          <w:rFonts w:ascii="Times New Roman" w:eastAsia="Times New Roman" w:hAnsi="Times New Roman" w:cs="Times New Roman"/>
          <w:sz w:val="24"/>
          <w:szCs w:val="24"/>
          <w:lang w:eastAsia="en-GB"/>
        </w:rPr>
        <w:t xml:space="preserve">n School of Management. </w:t>
      </w:r>
      <w:r w:rsidRPr="005A4A15">
        <w:rPr>
          <w:rFonts w:ascii="Times New Roman" w:eastAsia="Times New Roman" w:hAnsi="Times New Roman" w:cs="Times New Roman"/>
          <w:i/>
          <w:iCs/>
          <w:sz w:val="24"/>
          <w:szCs w:val="24"/>
          <w:lang w:eastAsia="en-GB"/>
        </w:rPr>
        <w:t>En</w:t>
      </w:r>
      <w:r w:rsidRPr="005A4A15">
        <w:rPr>
          <w:rFonts w:ascii="Times New Roman" w:eastAsia="Times New Roman" w:hAnsi="Times New Roman" w:cs="Times New Roman"/>
          <w:i/>
          <w:iCs/>
          <w:sz w:val="24"/>
          <w:szCs w:val="24"/>
          <w:lang w:eastAsia="en-GB"/>
        </w:rPr>
        <w:noBreakHyphen/>
        <w:t>RO</w:t>
      </w:r>
      <w:r>
        <w:rPr>
          <w:rFonts w:ascii="Times New Roman" w:eastAsia="Times New Roman" w:hAnsi="Times New Roman" w:cs="Times New Roman"/>
          <w:i/>
          <w:iCs/>
          <w:sz w:val="24"/>
          <w:szCs w:val="24"/>
          <w:lang w:eastAsia="en-GB"/>
        </w:rPr>
        <w:t xml:space="preserve">ADS Simulator (Version 25.1.0) </w:t>
      </w:r>
      <w:r w:rsidRPr="005A4A15">
        <w:rPr>
          <w:rFonts w:ascii="Times New Roman" w:eastAsia="Times New Roman" w:hAnsi="Times New Roman" w:cs="Times New Roman"/>
          <w:i/>
          <w:iCs/>
          <w:sz w:val="24"/>
          <w:szCs w:val="24"/>
          <w:lang w:eastAsia="en-GB"/>
        </w:rPr>
        <w:t>Climate simulation software</w:t>
      </w:r>
      <w:r>
        <w:rPr>
          <w:rFonts w:ascii="Times New Roman" w:eastAsia="Times New Roman" w:hAnsi="Times New Roman" w:cs="Times New Roman"/>
          <w:i/>
          <w:iCs/>
          <w:sz w:val="24"/>
          <w:szCs w:val="24"/>
          <w:lang w:eastAsia="en-GB"/>
        </w:rPr>
        <w:t xml:space="preserve">.  </w:t>
      </w:r>
      <w:hyperlink r:id="rId35" w:history="1">
        <w:r w:rsidRPr="00F866CA">
          <w:rPr>
            <w:rStyle w:val="Hyperlink"/>
            <w:rFonts w:ascii="Times New Roman" w:hAnsi="Times New Roman" w:cs="Times New Roman"/>
            <w:sz w:val="24"/>
            <w:szCs w:val="24"/>
          </w:rPr>
          <w:t>https://en-roads.climateinteractive.org/scenario.html?v=25.1.0&amp;p1=75&amp;p16=-0.04&amp;p50=1.4</w:t>
        </w:r>
      </w:hyperlink>
    </w:p>
    <w:p w14:paraId="7AED1F9C" w14:textId="48FC3B9D" w:rsidR="00510BFE" w:rsidRPr="00021171" w:rsidRDefault="00510BFE" w:rsidP="00510BFE">
      <w:pPr>
        <w:pStyle w:val="NormalWeb"/>
      </w:pPr>
      <w:r>
        <w:t xml:space="preserve">Huang, L. (2023). </w:t>
      </w:r>
      <w:r>
        <w:rPr>
          <w:rStyle w:val="Emphasis"/>
        </w:rPr>
        <w:t>Climate migration 101: An explainer</w:t>
      </w:r>
      <w:r>
        <w:t xml:space="preserve">. Migration Policy Institute. </w:t>
      </w:r>
      <w:hyperlink r:id="rId36" w:history="1">
        <w:r w:rsidR="00EE1FE3" w:rsidRPr="00C826B5">
          <w:rPr>
            <w:rStyle w:val="Hyperlink"/>
          </w:rPr>
          <w:t>https://www.migrationpolicy.org/article/climate-migration-101-explainer</w:t>
        </w:r>
      </w:hyperlink>
      <w:r w:rsidR="00EE1FE3">
        <w:rPr>
          <w:rStyle w:val="Hyperlink"/>
        </w:rPr>
        <w:t xml:space="preserve"> </w:t>
      </w:r>
    </w:p>
    <w:p w14:paraId="75E28D9E" w14:textId="77777777" w:rsidR="00510BFE" w:rsidRPr="00510BFE" w:rsidRDefault="00510BFE" w:rsidP="00510BFE">
      <w:pPr>
        <w:pStyle w:val="Heading1"/>
        <w:rPr>
          <w:b w:val="0"/>
          <w:sz w:val="24"/>
          <w:szCs w:val="24"/>
        </w:rPr>
      </w:pPr>
      <w:r w:rsidRPr="004B2237">
        <w:rPr>
          <w:b w:val="0"/>
          <w:sz w:val="24"/>
          <w:szCs w:val="24"/>
        </w:rPr>
        <w:t>Huang, L. and Davidoff-Gore, S. (2025)</w:t>
      </w:r>
      <w:r w:rsidR="00E1730A">
        <w:rPr>
          <w:b w:val="0"/>
          <w:sz w:val="24"/>
          <w:szCs w:val="24"/>
        </w:rPr>
        <w:t>.</w:t>
      </w:r>
      <w:r w:rsidRPr="004B2237">
        <w:rPr>
          <w:b w:val="0"/>
          <w:sz w:val="24"/>
          <w:szCs w:val="24"/>
        </w:rPr>
        <w:t xml:space="preserve"> Funding Climate Mobility Projects Key Players and Strategies for Growth, </w:t>
      </w:r>
      <w:r w:rsidRPr="00541D98">
        <w:rPr>
          <w:b w:val="0"/>
          <w:i/>
          <w:sz w:val="24"/>
          <w:szCs w:val="24"/>
        </w:rPr>
        <w:t>MPI Brief</w:t>
      </w:r>
      <w:r w:rsidRPr="004B2237">
        <w:rPr>
          <w:b w:val="0"/>
          <w:sz w:val="24"/>
          <w:szCs w:val="24"/>
        </w:rPr>
        <w:t>,</w:t>
      </w:r>
      <w:r>
        <w:rPr>
          <w:b w:val="0"/>
          <w:sz w:val="24"/>
          <w:szCs w:val="24"/>
        </w:rPr>
        <w:t xml:space="preserve"> </w:t>
      </w:r>
      <w:r w:rsidRPr="004B2237">
        <w:rPr>
          <w:b w:val="0"/>
          <w:sz w:val="24"/>
          <w:szCs w:val="24"/>
        </w:rPr>
        <w:t>https://www.migrationpolicy.org/research/funding-climate-mobility-projects?eType=EmailBlastContent&amp;eId=8d66dd74-b65c-406a-846e-f98f2415c4a5</w:t>
      </w:r>
    </w:p>
    <w:p w14:paraId="0F5FE09C" w14:textId="77777777" w:rsidR="00510BFE" w:rsidRDefault="00510BFE" w:rsidP="00510BFE">
      <w:pPr>
        <w:pStyle w:val="NormalWeb"/>
        <w:rPr>
          <w:rStyle w:val="Hyperlink"/>
        </w:rPr>
      </w:pPr>
      <w:r>
        <w:rPr>
          <w:rStyle w:val="whitespace-normal"/>
        </w:rPr>
        <w:t>IDMC (2024)</w:t>
      </w:r>
      <w:r w:rsidR="00E1730A">
        <w:rPr>
          <w:rStyle w:val="whitespace-normal"/>
        </w:rPr>
        <w:t>.</w:t>
      </w:r>
      <w:r>
        <w:rPr>
          <w:rStyle w:val="whitespace-normal"/>
        </w:rPr>
        <w:t xml:space="preserve"> Internal Displacement Monitoring Centre</w:t>
      </w:r>
      <w:r>
        <w:t xml:space="preserve">. </w:t>
      </w:r>
      <w:r>
        <w:rPr>
          <w:rStyle w:val="Emphasis"/>
        </w:rPr>
        <w:t>Global internal displacement database</w:t>
      </w:r>
      <w:r>
        <w:t xml:space="preserve">. </w:t>
      </w:r>
      <w:hyperlink r:id="rId37" w:tgtFrame="_new" w:history="1">
        <w:r>
          <w:rPr>
            <w:rStyle w:val="Hyperlink"/>
          </w:rPr>
          <w:t>https://www.internal-displacement.org/database/displacement-data/</w:t>
        </w:r>
      </w:hyperlink>
    </w:p>
    <w:p w14:paraId="6C387E09" w14:textId="77777777" w:rsidR="00510BFE" w:rsidRDefault="00510BFE" w:rsidP="00510BFE">
      <w:pPr>
        <w:pStyle w:val="NormalWeb"/>
      </w:pPr>
      <w:r>
        <w:rPr>
          <w:rStyle w:val="whitespace-normal"/>
        </w:rPr>
        <w:t>IDMC (2024a)</w:t>
      </w:r>
      <w:r w:rsidR="00E1730A">
        <w:rPr>
          <w:rStyle w:val="whitespace-normal"/>
        </w:rPr>
        <w:t>.</w:t>
      </w:r>
      <w:r>
        <w:rPr>
          <w:rStyle w:val="whitespace-normal"/>
        </w:rPr>
        <w:t xml:space="preserve"> Internal Displacement Monitoring Centre</w:t>
      </w:r>
      <w:r>
        <w:t xml:space="preserve">. </w:t>
      </w:r>
      <w:r>
        <w:rPr>
          <w:rStyle w:val="Emphasis"/>
        </w:rPr>
        <w:t>Estimating displacement risk using data</w:t>
      </w:r>
      <w:r>
        <w:rPr>
          <w:rStyle w:val="Emphasis"/>
        </w:rPr>
        <w:noBreakHyphen/>
        <w:t>driven approaches: Flood and drought displacement risk in the Horn of Africa</w:t>
      </w:r>
      <w:r>
        <w:t xml:space="preserve">. </w:t>
      </w:r>
      <w:hyperlink r:id="rId38" w:tgtFrame="_new" w:history="1">
        <w:r>
          <w:rPr>
            <w:rStyle w:val="Hyperlink"/>
          </w:rPr>
          <w:t>https://story.internal-displacement.org/estimating-displacement-risk-using-data-driven-approaches-flood-and-drought-displacement-risk-in-the-horn-of-africa/</w:t>
        </w:r>
      </w:hyperlink>
    </w:p>
    <w:p w14:paraId="4E481668" w14:textId="77777777" w:rsidR="00510BFE" w:rsidRDefault="00510BFE" w:rsidP="00510BFE">
      <w:pPr>
        <w:spacing w:before="100" w:beforeAutospacing="1" w:after="100" w:afterAutospacing="1" w:line="240" w:lineRule="auto"/>
        <w:jc w:val="both"/>
        <w:rPr>
          <w:rFonts w:ascii="Times New Roman" w:hAnsi="Times New Roman" w:cs="Times New Roman"/>
          <w:sz w:val="24"/>
          <w:szCs w:val="24"/>
        </w:rPr>
      </w:pPr>
      <w:r w:rsidRPr="00A17974">
        <w:rPr>
          <w:rFonts w:ascii="Times New Roman" w:hAnsi="Times New Roman" w:cs="Times New Roman"/>
          <w:sz w:val="24"/>
          <w:szCs w:val="24"/>
        </w:rPr>
        <w:t>IDMC (2025)</w:t>
      </w:r>
      <w:r w:rsidR="00E1730A">
        <w:rPr>
          <w:rFonts w:ascii="Times New Roman" w:hAnsi="Times New Roman" w:cs="Times New Roman"/>
          <w:sz w:val="24"/>
          <w:szCs w:val="24"/>
        </w:rPr>
        <w:t>.</w:t>
      </w:r>
      <w:r w:rsidRPr="00A17974">
        <w:rPr>
          <w:rFonts w:ascii="Times New Roman" w:hAnsi="Times New Roman" w:cs="Times New Roman"/>
          <w:sz w:val="24"/>
          <w:szCs w:val="24"/>
        </w:rPr>
        <w:t xml:space="preserve"> Global Report</w:t>
      </w:r>
      <w:r>
        <w:rPr>
          <w:rFonts w:ascii="Times New Roman" w:hAnsi="Times New Roman" w:cs="Times New Roman"/>
          <w:sz w:val="24"/>
          <w:szCs w:val="24"/>
        </w:rPr>
        <w:t xml:space="preserve"> on Internal Displacement 2025. </w:t>
      </w:r>
      <w:r w:rsidRPr="00A17974">
        <w:rPr>
          <w:rFonts w:ascii="Times New Roman" w:hAnsi="Times New Roman" w:cs="Times New Roman"/>
          <w:sz w:val="24"/>
          <w:szCs w:val="24"/>
        </w:rPr>
        <w:t xml:space="preserve">Internal </w:t>
      </w:r>
      <w:r>
        <w:rPr>
          <w:rFonts w:ascii="Times New Roman" w:hAnsi="Times New Roman" w:cs="Times New Roman"/>
          <w:sz w:val="24"/>
          <w:szCs w:val="24"/>
        </w:rPr>
        <w:t xml:space="preserve">Displacement Monitoring Centre. </w:t>
      </w:r>
      <w:r w:rsidRPr="00A17974">
        <w:rPr>
          <w:rFonts w:ascii="Times New Roman" w:hAnsi="Times New Roman" w:cs="Times New Roman"/>
          <w:sz w:val="24"/>
          <w:szCs w:val="24"/>
        </w:rPr>
        <w:t>https://doi.org/10.55363/IDMC.XTGW2833</w:t>
      </w:r>
    </w:p>
    <w:p w14:paraId="3E90666D" w14:textId="77777777" w:rsidR="00A21F86" w:rsidRDefault="00C0091E" w:rsidP="00C009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IPCC, (2023).</w:t>
      </w:r>
      <w:r w:rsidRPr="00C0091E">
        <w:rPr>
          <w:rFonts w:ascii="Times New Roman" w:hAnsi="Times New Roman" w:cs="Times New Roman"/>
          <w:sz w:val="24"/>
          <w:szCs w:val="24"/>
        </w:rPr>
        <w:t xml:space="preserve"> Sections. In: Climate Change 2023: Synthesis Report. Contribution of Working Gr</w:t>
      </w:r>
      <w:r>
        <w:rPr>
          <w:rFonts w:ascii="Times New Roman" w:hAnsi="Times New Roman" w:cs="Times New Roman"/>
          <w:sz w:val="24"/>
          <w:szCs w:val="24"/>
        </w:rPr>
        <w:t xml:space="preserve">oups I, II and III to the Sixth </w:t>
      </w:r>
      <w:r w:rsidRPr="00C0091E">
        <w:rPr>
          <w:rFonts w:ascii="Times New Roman" w:hAnsi="Times New Roman" w:cs="Times New Roman"/>
          <w:sz w:val="24"/>
          <w:szCs w:val="24"/>
        </w:rPr>
        <w:t>Assessment Report of the Intergovernmental Panel on Climate Change [Core Writing Team, H. L</w:t>
      </w:r>
      <w:r>
        <w:rPr>
          <w:rFonts w:ascii="Times New Roman" w:hAnsi="Times New Roman" w:cs="Times New Roman"/>
          <w:sz w:val="24"/>
          <w:szCs w:val="24"/>
        </w:rPr>
        <w:t xml:space="preserve">ee and J. Romero (eds.)]. IPCC, </w:t>
      </w:r>
      <w:r w:rsidRPr="00C0091E">
        <w:rPr>
          <w:rFonts w:ascii="Times New Roman" w:hAnsi="Times New Roman" w:cs="Times New Roman"/>
          <w:sz w:val="24"/>
          <w:szCs w:val="24"/>
        </w:rPr>
        <w:t xml:space="preserve">Geneva, Switzerland, pp. 35-115, </w:t>
      </w:r>
      <w:proofErr w:type="spellStart"/>
      <w:r w:rsidRPr="00C0091E">
        <w:rPr>
          <w:rFonts w:ascii="Times New Roman" w:hAnsi="Times New Roman" w:cs="Times New Roman"/>
          <w:sz w:val="24"/>
          <w:szCs w:val="24"/>
        </w:rPr>
        <w:t>doi</w:t>
      </w:r>
      <w:proofErr w:type="spellEnd"/>
      <w:r w:rsidRPr="00C0091E">
        <w:rPr>
          <w:rFonts w:ascii="Times New Roman" w:hAnsi="Times New Roman" w:cs="Times New Roman"/>
          <w:sz w:val="24"/>
          <w:szCs w:val="24"/>
        </w:rPr>
        <w:t>: 10.59327/IPCC/AR6-9789291691647</w:t>
      </w:r>
    </w:p>
    <w:p w14:paraId="44B64AD9" w14:textId="77777777" w:rsidR="00510BFE" w:rsidRDefault="00510BFE" w:rsidP="00510BFE">
      <w:pPr>
        <w:spacing w:before="100" w:beforeAutospacing="1" w:after="100" w:afterAutospacing="1" w:line="240" w:lineRule="auto"/>
        <w:jc w:val="both"/>
        <w:rPr>
          <w:rFonts w:ascii="Times New Roman" w:hAnsi="Times New Roman" w:cs="Times New Roman"/>
          <w:sz w:val="24"/>
          <w:szCs w:val="24"/>
        </w:rPr>
      </w:pPr>
      <w:r w:rsidRPr="00C0091E">
        <w:rPr>
          <w:rFonts w:ascii="Times New Roman" w:hAnsi="Times New Roman" w:cs="Times New Roman"/>
          <w:sz w:val="24"/>
          <w:szCs w:val="24"/>
        </w:rPr>
        <w:t>Khanh Doan, M. et al</w:t>
      </w:r>
      <w:r w:rsidR="00E1730A">
        <w:rPr>
          <w:rFonts w:ascii="Times New Roman" w:hAnsi="Times New Roman" w:cs="Times New Roman"/>
          <w:sz w:val="24"/>
          <w:szCs w:val="24"/>
        </w:rPr>
        <w:t>.</w:t>
      </w:r>
      <w:r w:rsidRPr="00C0091E">
        <w:rPr>
          <w:rFonts w:ascii="Times New Roman" w:hAnsi="Times New Roman" w:cs="Times New Roman"/>
          <w:sz w:val="24"/>
          <w:szCs w:val="24"/>
        </w:rPr>
        <w:t xml:space="preserve"> (2023)</w:t>
      </w:r>
      <w:r w:rsidR="00E1730A">
        <w:rPr>
          <w:rFonts w:ascii="Times New Roman" w:hAnsi="Times New Roman" w:cs="Times New Roman"/>
          <w:sz w:val="24"/>
          <w:szCs w:val="24"/>
        </w:rPr>
        <w:t>.</w:t>
      </w:r>
      <w:r w:rsidRPr="00C0091E">
        <w:rPr>
          <w:rFonts w:ascii="Times New Roman" w:hAnsi="Times New Roman" w:cs="Times New Roman"/>
          <w:sz w:val="24"/>
          <w:szCs w:val="24"/>
        </w:rPr>
        <w:t xml:space="preserve"> Counting People Exposed to, Vulnerable to, or at High Risk </w:t>
      </w:r>
      <w:proofErr w:type="gramStart"/>
      <w:r w:rsidRPr="00C0091E">
        <w:rPr>
          <w:rFonts w:ascii="Times New Roman" w:hAnsi="Times New Roman" w:cs="Times New Roman"/>
          <w:sz w:val="24"/>
          <w:szCs w:val="24"/>
        </w:rPr>
        <w:t>From</w:t>
      </w:r>
      <w:proofErr w:type="gramEnd"/>
      <w:r w:rsidRPr="00C0091E">
        <w:rPr>
          <w:rFonts w:ascii="Times New Roman" w:hAnsi="Times New Roman" w:cs="Times New Roman"/>
          <w:sz w:val="24"/>
          <w:szCs w:val="24"/>
        </w:rPr>
        <w:t xml:space="preserve"> Climate Shocks. A Methodology, World Bank Group, Pover</w:t>
      </w:r>
      <w:r>
        <w:rPr>
          <w:rFonts w:ascii="Times New Roman" w:hAnsi="Times New Roman" w:cs="Times New Roman"/>
          <w:sz w:val="24"/>
          <w:szCs w:val="24"/>
        </w:rPr>
        <w:t xml:space="preserve">ty and Equity Global Practice &amp; </w:t>
      </w:r>
      <w:r w:rsidRPr="00C0091E">
        <w:rPr>
          <w:rFonts w:ascii="Times New Roman" w:hAnsi="Times New Roman" w:cs="Times New Roman"/>
          <w:sz w:val="24"/>
          <w:szCs w:val="24"/>
        </w:rPr>
        <w:t>Climate Change Group</w:t>
      </w:r>
    </w:p>
    <w:p w14:paraId="20624C36" w14:textId="77777777" w:rsidR="000428DA" w:rsidRPr="000428DA" w:rsidRDefault="0049544A" w:rsidP="004954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Koroutchev, R. (2025). </w:t>
      </w:r>
      <w:r w:rsidR="000428DA" w:rsidRPr="000428DA">
        <w:rPr>
          <w:rFonts w:ascii="Times New Roman" w:hAnsi="Times New Roman" w:cs="Times New Roman"/>
          <w:sz w:val="24"/>
          <w:szCs w:val="24"/>
        </w:rPr>
        <w:t>Sustainability and Climate Change: From</w:t>
      </w:r>
      <w:r>
        <w:rPr>
          <w:rFonts w:ascii="Times New Roman" w:hAnsi="Times New Roman" w:cs="Times New Roman"/>
          <w:sz w:val="24"/>
          <w:szCs w:val="24"/>
        </w:rPr>
        <w:t xml:space="preserve"> Climate Migration to Education, </w:t>
      </w:r>
      <w:proofErr w:type="gramStart"/>
      <w:r w:rsidRPr="0049544A">
        <w:rPr>
          <w:rFonts w:ascii="Times New Roman" w:hAnsi="Times New Roman" w:cs="Times New Roman"/>
          <w:i/>
          <w:sz w:val="24"/>
          <w:szCs w:val="24"/>
        </w:rPr>
        <w:t>Int.</w:t>
      </w:r>
      <w:r w:rsidR="000428DA" w:rsidRPr="0049544A">
        <w:rPr>
          <w:rFonts w:ascii="Times New Roman" w:hAnsi="Times New Roman" w:cs="Times New Roman"/>
          <w:i/>
          <w:sz w:val="24"/>
          <w:szCs w:val="24"/>
        </w:rPr>
        <w:t>.</w:t>
      </w:r>
      <w:proofErr w:type="gramEnd"/>
      <w:r w:rsidR="000428DA" w:rsidRPr="0049544A">
        <w:rPr>
          <w:rFonts w:ascii="Times New Roman" w:hAnsi="Times New Roman" w:cs="Times New Roman"/>
          <w:i/>
          <w:sz w:val="24"/>
          <w:szCs w:val="24"/>
        </w:rPr>
        <w:t xml:space="preserve"> J. of Soc. Science and Human Research</w:t>
      </w:r>
      <w:r>
        <w:rPr>
          <w:rFonts w:ascii="Times New Roman" w:hAnsi="Times New Roman" w:cs="Times New Roman"/>
          <w:sz w:val="24"/>
          <w:szCs w:val="24"/>
        </w:rPr>
        <w:t xml:space="preserve">, </w:t>
      </w:r>
      <w:r w:rsidR="000428DA" w:rsidRPr="0049544A">
        <w:rPr>
          <w:rFonts w:ascii="Times New Roman" w:hAnsi="Times New Roman" w:cs="Times New Roman"/>
          <w:i/>
          <w:sz w:val="24"/>
          <w:szCs w:val="24"/>
        </w:rPr>
        <w:t>8</w:t>
      </w:r>
      <w:r w:rsidR="000428DA" w:rsidRPr="000428DA">
        <w:rPr>
          <w:rFonts w:ascii="Times New Roman" w:hAnsi="Times New Roman" w:cs="Times New Roman"/>
          <w:sz w:val="24"/>
          <w:szCs w:val="24"/>
        </w:rPr>
        <w:t>(8), pp. 6385-6396, https://ijsshr.in/v8i8/74.php</w:t>
      </w:r>
    </w:p>
    <w:p w14:paraId="595A4530" w14:textId="789BE5D2" w:rsidR="007652A9" w:rsidRDefault="007652A9"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Koroutchev, R. et al. (2026). </w:t>
      </w:r>
      <w:r w:rsidRPr="007652A9">
        <w:rPr>
          <w:rFonts w:ascii="Times New Roman" w:hAnsi="Times New Roman" w:cs="Times New Roman"/>
          <w:sz w:val="24"/>
          <w:szCs w:val="24"/>
        </w:rPr>
        <w:t>Geographical analysis of the energy poverty in Europe: the case of Bulgaria</w:t>
      </w:r>
      <w:r>
        <w:rPr>
          <w:rFonts w:ascii="Times New Roman" w:hAnsi="Times New Roman" w:cs="Times New Roman"/>
          <w:sz w:val="24"/>
          <w:szCs w:val="24"/>
        </w:rPr>
        <w:t xml:space="preserve">, in the </w:t>
      </w:r>
      <w:r w:rsidRPr="00EE1FE3">
        <w:rPr>
          <w:rFonts w:ascii="Times New Roman" w:hAnsi="Times New Roman" w:cs="Times New Roman"/>
          <w:i/>
          <w:sz w:val="24"/>
          <w:szCs w:val="24"/>
        </w:rPr>
        <w:t>Proceedings of EUROGEO</w:t>
      </w:r>
      <w:r>
        <w:rPr>
          <w:rFonts w:ascii="Times New Roman" w:hAnsi="Times New Roman" w:cs="Times New Roman"/>
          <w:sz w:val="24"/>
          <w:szCs w:val="24"/>
        </w:rPr>
        <w:t xml:space="preserve"> 2026 Int. Conference, Tilburg, Netherlands</w:t>
      </w:r>
    </w:p>
    <w:p w14:paraId="7612843D" w14:textId="77777777" w:rsidR="00510BFE" w:rsidRPr="000B1687"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Lindsey, R. et al. (2023)</w:t>
      </w:r>
      <w:r w:rsidR="00E1730A">
        <w:rPr>
          <w:rFonts w:ascii="Times New Roman" w:hAnsi="Times New Roman" w:cs="Times New Roman"/>
          <w:sz w:val="24"/>
          <w:szCs w:val="24"/>
        </w:rPr>
        <w:t>.</w:t>
      </w:r>
      <w:r>
        <w:rPr>
          <w:rFonts w:ascii="Times New Roman" w:hAnsi="Times New Roman" w:cs="Times New Roman"/>
          <w:sz w:val="24"/>
          <w:szCs w:val="24"/>
        </w:rPr>
        <w:t xml:space="preserve"> Climate.gov. </w:t>
      </w:r>
      <w:r w:rsidRPr="000B1687">
        <w:rPr>
          <w:rFonts w:ascii="Times New Roman" w:hAnsi="Times New Roman" w:cs="Times New Roman"/>
          <w:sz w:val="24"/>
          <w:szCs w:val="24"/>
        </w:rPr>
        <w:t>Climate change: Global sea level. https://www.climate.gov/news-features/understanding-climate/climate-change-global-sea-level</w:t>
      </w:r>
    </w:p>
    <w:p w14:paraId="3F680315" w14:textId="77777777" w:rsidR="00F26277" w:rsidRPr="000B1687" w:rsidRDefault="00F26277" w:rsidP="00F26277">
      <w:pPr>
        <w:pStyle w:val="NormalWeb"/>
      </w:pPr>
      <w:r>
        <w:rPr>
          <w:rStyle w:val="whitespace-normal"/>
        </w:rPr>
        <w:t>MDP (2024)</w:t>
      </w:r>
      <w:r w:rsidR="00E1730A">
        <w:rPr>
          <w:rStyle w:val="whitespace-normal"/>
        </w:rPr>
        <w:t>.</w:t>
      </w:r>
      <w:r>
        <w:rPr>
          <w:rStyle w:val="whitespace-normal"/>
        </w:rPr>
        <w:t xml:space="preserve"> </w:t>
      </w:r>
      <w:r>
        <w:rPr>
          <w:rStyle w:val="Emphasis"/>
        </w:rPr>
        <w:t>Environmental migration and statistics</w:t>
      </w:r>
      <w:r>
        <w:t xml:space="preserve">. </w:t>
      </w:r>
      <w:r>
        <w:rPr>
          <w:rStyle w:val="whitespace-normal"/>
        </w:rPr>
        <w:t>Migration Data Portal</w:t>
      </w:r>
      <w:r>
        <w:t xml:space="preserve">. </w:t>
      </w:r>
      <w:hyperlink r:id="rId39" w:tgtFrame="_new" w:history="1">
        <w:r>
          <w:rPr>
            <w:rStyle w:val="Hyperlink"/>
          </w:rPr>
          <w:t>https://www.migrationdataportal.org/themes/environmental_migration_and_statistics_old</w:t>
        </w:r>
      </w:hyperlink>
    </w:p>
    <w:p w14:paraId="144B1E43" w14:textId="77777777" w:rsidR="00F26277" w:rsidRPr="00BB15C1" w:rsidRDefault="00E1730A" w:rsidP="00F2627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MDP (2024a). </w:t>
      </w:r>
      <w:r w:rsidR="00F26277" w:rsidRPr="00BB15C1">
        <w:rPr>
          <w:rFonts w:ascii="Times New Roman" w:eastAsia="Times New Roman" w:hAnsi="Times New Roman" w:cs="Times New Roman"/>
          <w:sz w:val="24"/>
          <w:szCs w:val="24"/>
          <w:lang w:eastAsia="en-GB"/>
        </w:rPr>
        <w:t>Climate Mobility Impacts, Migration Data Portal, https://www.migrationdataportal.org/climate-mobility-impacts</w:t>
      </w:r>
    </w:p>
    <w:p w14:paraId="20D4BDD1" w14:textId="77777777" w:rsidR="00F26277" w:rsidRPr="00BB15C1" w:rsidRDefault="00E1730A" w:rsidP="00F2627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MDP (2024b). </w:t>
      </w:r>
      <w:r w:rsidR="00F26277" w:rsidRPr="00BB15C1">
        <w:rPr>
          <w:rFonts w:ascii="Times New Roman" w:eastAsia="Times New Roman" w:hAnsi="Times New Roman" w:cs="Times New Roman"/>
          <w:sz w:val="24"/>
          <w:szCs w:val="24"/>
          <w:lang w:eastAsia="en-GB"/>
        </w:rPr>
        <w:t xml:space="preserve">Internal Displacement Monitoring </w:t>
      </w:r>
      <w:proofErr w:type="spellStart"/>
      <w:r w:rsidR="00F26277" w:rsidRPr="00BB15C1">
        <w:rPr>
          <w:rFonts w:ascii="Times New Roman" w:eastAsia="Times New Roman" w:hAnsi="Times New Roman" w:cs="Times New Roman"/>
          <w:sz w:val="24"/>
          <w:szCs w:val="24"/>
          <w:lang w:eastAsia="en-GB"/>
        </w:rPr>
        <w:t>Center</w:t>
      </w:r>
      <w:proofErr w:type="spellEnd"/>
      <w:r w:rsidR="00F26277" w:rsidRPr="00BB15C1">
        <w:rPr>
          <w:rFonts w:ascii="Times New Roman" w:eastAsia="Times New Roman" w:hAnsi="Times New Roman" w:cs="Times New Roman"/>
          <w:sz w:val="24"/>
          <w:szCs w:val="24"/>
          <w:lang w:eastAsia="en-GB"/>
        </w:rPr>
        <w:t>, https://www.internal-displacement.org/database/displacement-data/; https://www.migrationdataportal.org/themes/environ</w:t>
      </w:r>
      <w:r w:rsidR="00F26277">
        <w:rPr>
          <w:rFonts w:ascii="Times New Roman" w:eastAsia="Times New Roman" w:hAnsi="Times New Roman" w:cs="Times New Roman"/>
          <w:sz w:val="24"/>
          <w:szCs w:val="24"/>
          <w:lang w:eastAsia="en-GB"/>
        </w:rPr>
        <w:t>mental_migration_and_statistics</w:t>
      </w:r>
    </w:p>
    <w:p w14:paraId="1C82CDB9" w14:textId="77777777" w:rsidR="00F26277" w:rsidRPr="00021171" w:rsidRDefault="00F26277" w:rsidP="00F26277">
      <w:pPr>
        <w:pStyle w:val="NormalWeb"/>
      </w:pPr>
      <w:r>
        <w:rPr>
          <w:rStyle w:val="whitespace-normal"/>
        </w:rPr>
        <w:t>MPI (2025). Migration Policy Institute</w:t>
      </w:r>
      <w:r>
        <w:t xml:space="preserve">. </w:t>
      </w:r>
      <w:r>
        <w:rPr>
          <w:rStyle w:val="Emphasis"/>
        </w:rPr>
        <w:t>Special issue: Climate change and migration</w:t>
      </w:r>
      <w:r>
        <w:t xml:space="preserve">. </w:t>
      </w:r>
      <w:hyperlink r:id="rId40" w:tgtFrame="_new" w:history="1">
        <w:r>
          <w:rPr>
            <w:rStyle w:val="Hyperlink"/>
          </w:rPr>
          <w:t>https://www.migrationpolicy.org/programs/migration-information-source/special-issue-climate-change-and-migration</w:t>
        </w:r>
      </w:hyperlink>
    </w:p>
    <w:p w14:paraId="611B0108" w14:textId="77777777" w:rsidR="00F26277" w:rsidRPr="00021171" w:rsidRDefault="00F26277" w:rsidP="00F26277">
      <w:pPr>
        <w:pStyle w:val="NormalWeb"/>
      </w:pPr>
      <w:r>
        <w:rPr>
          <w:rStyle w:val="whitespace-normal"/>
        </w:rPr>
        <w:t>MPI (2026)</w:t>
      </w:r>
      <w:r w:rsidR="00E1730A">
        <w:rPr>
          <w:rStyle w:val="whitespace-normal"/>
        </w:rPr>
        <w:t>.</w:t>
      </w:r>
      <w:r>
        <w:rPr>
          <w:rStyle w:val="whitespace-normal"/>
        </w:rPr>
        <w:t xml:space="preserve"> Migration Policy Institute</w:t>
      </w:r>
      <w:r>
        <w:t xml:space="preserve">. </w:t>
      </w:r>
      <w:r>
        <w:rPr>
          <w:rStyle w:val="Emphasis"/>
        </w:rPr>
        <w:t>Changing Climate, Changing Migration</w:t>
      </w:r>
      <w:r>
        <w:t xml:space="preserve"> [Podcast]. </w:t>
      </w:r>
      <w:hyperlink r:id="rId41" w:tgtFrame="_new" w:history="1">
        <w:r>
          <w:rPr>
            <w:rStyle w:val="Hyperlink"/>
          </w:rPr>
          <w:t>https://mpichangingclimatechangingmigration.podbean.com/</w:t>
        </w:r>
      </w:hyperlink>
      <w:r>
        <w:t xml:space="preserve"> </w:t>
      </w:r>
    </w:p>
    <w:p w14:paraId="64036D0A" w14:textId="77777777" w:rsidR="0049544A" w:rsidRDefault="0049544A" w:rsidP="00F26277">
      <w:pPr>
        <w:spacing w:before="100" w:beforeAutospacing="1" w:after="100" w:afterAutospacing="1" w:line="240" w:lineRule="auto"/>
        <w:rPr>
          <w:rFonts w:ascii="Times New Roman" w:eastAsia="Times New Roman" w:hAnsi="Times New Roman" w:cs="Times New Roman"/>
          <w:sz w:val="24"/>
          <w:szCs w:val="24"/>
          <w:lang w:eastAsia="en-GB"/>
        </w:rPr>
      </w:pPr>
      <w:r w:rsidRPr="0049544A">
        <w:rPr>
          <w:rFonts w:ascii="Times New Roman" w:eastAsia="Times New Roman" w:hAnsi="Times New Roman" w:cs="Times New Roman"/>
          <w:sz w:val="24"/>
          <w:szCs w:val="24"/>
          <w:lang w:val="bg-BG" w:eastAsia="en-GB"/>
        </w:rPr>
        <w:t xml:space="preserve">Peneva, </w:t>
      </w:r>
      <w:r w:rsidRPr="0049544A">
        <w:rPr>
          <w:rFonts w:ascii="Times New Roman" w:eastAsia="Times New Roman" w:hAnsi="Times New Roman" w:cs="Times New Roman"/>
          <w:sz w:val="24"/>
          <w:szCs w:val="24"/>
          <w:lang w:eastAsia="en-GB"/>
        </w:rPr>
        <w:t xml:space="preserve">T. </w:t>
      </w:r>
      <w:r>
        <w:rPr>
          <w:rFonts w:ascii="Times New Roman" w:eastAsia="Times New Roman" w:hAnsi="Times New Roman" w:cs="Times New Roman"/>
          <w:sz w:val="24"/>
          <w:szCs w:val="24"/>
          <w:lang w:val="bg-BG" w:eastAsia="en-GB"/>
        </w:rPr>
        <w:t xml:space="preserve">(2025). </w:t>
      </w:r>
      <w:r w:rsidRPr="0049544A">
        <w:rPr>
          <w:rFonts w:ascii="Times New Roman" w:eastAsia="Times New Roman" w:hAnsi="Times New Roman" w:cs="Times New Roman"/>
          <w:sz w:val="24"/>
          <w:szCs w:val="24"/>
          <w:lang w:val="bg-BG" w:eastAsia="en-GB"/>
        </w:rPr>
        <w:t>Mapping Energy Vulnerabi</w:t>
      </w:r>
      <w:r>
        <w:rPr>
          <w:rFonts w:ascii="Times New Roman" w:eastAsia="Times New Roman" w:hAnsi="Times New Roman" w:cs="Times New Roman"/>
          <w:sz w:val="24"/>
          <w:szCs w:val="24"/>
          <w:lang w:val="bg-BG" w:eastAsia="en-GB"/>
        </w:rPr>
        <w:t>lity of Households in Bulgaria,</w:t>
      </w:r>
      <w:r w:rsidRPr="0049544A">
        <w:rPr>
          <w:rFonts w:ascii="Times New Roman" w:eastAsia="Times New Roman" w:hAnsi="Times New Roman" w:cs="Times New Roman"/>
          <w:sz w:val="24"/>
          <w:szCs w:val="24"/>
          <w:lang w:val="bg-BG" w:eastAsia="en-GB"/>
        </w:rPr>
        <w:t xml:space="preserve"> </w:t>
      </w:r>
      <w:r w:rsidRPr="0049544A">
        <w:rPr>
          <w:rFonts w:ascii="Times New Roman" w:eastAsia="Times New Roman" w:hAnsi="Times New Roman" w:cs="Times New Roman"/>
          <w:i/>
          <w:sz w:val="24"/>
          <w:szCs w:val="24"/>
          <w:lang w:val="bg-BG" w:eastAsia="en-GB"/>
        </w:rPr>
        <w:t>Economic Studies journal</w:t>
      </w:r>
      <w:r w:rsidRPr="0049544A">
        <w:rPr>
          <w:rFonts w:ascii="Times New Roman" w:eastAsia="Times New Roman" w:hAnsi="Times New Roman" w:cs="Times New Roman"/>
          <w:sz w:val="24"/>
          <w:szCs w:val="24"/>
          <w:lang w:val="bg-BG" w:eastAsia="en-GB"/>
        </w:rPr>
        <w:t>, Bulgarian Academy of Sciences - Economic Research</w:t>
      </w:r>
      <w:r>
        <w:rPr>
          <w:rFonts w:ascii="Times New Roman" w:eastAsia="Times New Roman" w:hAnsi="Times New Roman" w:cs="Times New Roman"/>
          <w:sz w:val="24"/>
          <w:szCs w:val="24"/>
          <w:lang w:val="bg-BG" w:eastAsia="en-GB"/>
        </w:rPr>
        <w:t xml:space="preserve"> Institute, issue 5, pp. 3-26, </w:t>
      </w:r>
      <w:r w:rsidRPr="0049544A">
        <w:rPr>
          <w:rFonts w:ascii="Times New Roman" w:eastAsia="Times New Roman" w:hAnsi="Times New Roman" w:cs="Times New Roman"/>
          <w:sz w:val="24"/>
          <w:szCs w:val="24"/>
          <w:lang w:val="bg-BG" w:eastAsia="en-GB"/>
        </w:rPr>
        <w:t>https://ideas.repec.org/a/bas/econst/y2025i5p3-26.html</w:t>
      </w:r>
    </w:p>
    <w:p w14:paraId="727B105E" w14:textId="77777777" w:rsidR="00F26277" w:rsidRPr="00BB15C1" w:rsidRDefault="00F26277" w:rsidP="00F26277">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Ripple, W. et al. (2024)</w:t>
      </w:r>
      <w:r w:rsidR="00E1730A">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The 2024 state of the climate report: Perilous times on planet Earth, </w:t>
      </w:r>
      <w:proofErr w:type="spellStart"/>
      <w:r w:rsidRPr="00E1730A">
        <w:rPr>
          <w:rFonts w:ascii="Times New Roman" w:eastAsia="Times New Roman" w:hAnsi="Times New Roman" w:cs="Times New Roman"/>
          <w:i/>
          <w:sz w:val="24"/>
          <w:szCs w:val="24"/>
          <w:lang w:eastAsia="en-GB"/>
        </w:rPr>
        <w:t>BioScience</w:t>
      </w:r>
      <w:proofErr w:type="spellEnd"/>
      <w:r w:rsidRPr="00BB15C1">
        <w:rPr>
          <w:rFonts w:ascii="Times New Roman" w:eastAsia="Times New Roman" w:hAnsi="Times New Roman" w:cs="Times New Roman"/>
          <w:sz w:val="24"/>
          <w:szCs w:val="24"/>
          <w:lang w:eastAsia="en-GB"/>
        </w:rPr>
        <w:t xml:space="preserve">, </w:t>
      </w:r>
      <w:r w:rsidRPr="00E1730A">
        <w:rPr>
          <w:rFonts w:ascii="Times New Roman" w:eastAsia="Times New Roman" w:hAnsi="Times New Roman" w:cs="Times New Roman"/>
          <w:i/>
          <w:sz w:val="24"/>
          <w:szCs w:val="24"/>
          <w:lang w:eastAsia="en-GB"/>
        </w:rPr>
        <w:t>74</w:t>
      </w:r>
      <w:r w:rsidRPr="00BB15C1">
        <w:rPr>
          <w:rFonts w:ascii="Times New Roman" w:eastAsia="Times New Roman" w:hAnsi="Times New Roman" w:cs="Times New Roman"/>
          <w:sz w:val="24"/>
          <w:szCs w:val="24"/>
          <w:lang w:eastAsia="en-GB"/>
        </w:rPr>
        <w:t>(12) 812–824, https:/</w:t>
      </w:r>
      <w:r>
        <w:rPr>
          <w:rFonts w:ascii="Times New Roman" w:eastAsia="Times New Roman" w:hAnsi="Times New Roman" w:cs="Times New Roman"/>
          <w:sz w:val="24"/>
          <w:szCs w:val="24"/>
          <w:lang w:eastAsia="en-GB"/>
        </w:rPr>
        <w:t>/doi.org/10.1093/biosci/biae087</w:t>
      </w:r>
    </w:p>
    <w:p w14:paraId="762FCA06" w14:textId="77777777" w:rsidR="000B1687" w:rsidRPr="000B1687" w:rsidRDefault="000B1687" w:rsidP="0049544A">
      <w:pPr>
        <w:spacing w:before="100" w:beforeAutospacing="1" w:after="100" w:afterAutospacing="1" w:line="240" w:lineRule="auto"/>
        <w:rPr>
          <w:rFonts w:ascii="Times New Roman" w:hAnsi="Times New Roman" w:cs="Times New Roman"/>
          <w:sz w:val="24"/>
          <w:szCs w:val="24"/>
        </w:rPr>
      </w:pPr>
      <w:r w:rsidRPr="000B1687">
        <w:rPr>
          <w:rFonts w:ascii="Times New Roman" w:hAnsi="Times New Roman" w:cs="Times New Roman"/>
          <w:sz w:val="24"/>
          <w:szCs w:val="24"/>
        </w:rPr>
        <w:t xml:space="preserve">UK Met Office. </w:t>
      </w:r>
      <w:r w:rsidR="00C0091E">
        <w:rPr>
          <w:rFonts w:ascii="Times New Roman" w:hAnsi="Times New Roman" w:cs="Times New Roman"/>
          <w:sz w:val="24"/>
          <w:szCs w:val="24"/>
        </w:rPr>
        <w:t>(2026)</w:t>
      </w:r>
      <w:r w:rsidRPr="000B1687">
        <w:rPr>
          <w:rFonts w:ascii="Times New Roman" w:hAnsi="Times New Roman" w:cs="Times New Roman"/>
          <w:sz w:val="24"/>
          <w:szCs w:val="24"/>
        </w:rPr>
        <w:t>. Current global warming. https://climate.metoffice.cloud/current_warming.html</w:t>
      </w:r>
    </w:p>
    <w:p w14:paraId="22664D54" w14:textId="77777777" w:rsidR="00BB15C1" w:rsidRDefault="00BB15C1" w:rsidP="00F2627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UNEP (2023)</w:t>
      </w:r>
      <w:r w:rsidR="00E1730A">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United Nations Environment Programme, Emissions Gap Report 2023: Broken Record: Temperatures Hit New Highs, ye</w:t>
      </w:r>
      <w:r>
        <w:rPr>
          <w:rFonts w:ascii="Times New Roman" w:eastAsia="Times New Roman" w:hAnsi="Times New Roman" w:cs="Times New Roman"/>
          <w:sz w:val="24"/>
          <w:szCs w:val="24"/>
          <w:lang w:eastAsia="en-GB"/>
        </w:rPr>
        <w:t>t World Fails to Cut Emissions.</w:t>
      </w:r>
    </w:p>
    <w:p w14:paraId="49B160D0" w14:textId="77777777" w:rsidR="00F26277" w:rsidRPr="00F26277" w:rsidRDefault="00F26277" w:rsidP="00F26277">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lastRenderedPageBreak/>
        <w:t>Varga, R. et al. (2021)</w:t>
      </w:r>
      <w:r w:rsidR="00E1730A">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Building consensus for ambitious climate action through the World Climate simulation. </w:t>
      </w:r>
      <w:r w:rsidRPr="00E1730A">
        <w:rPr>
          <w:rFonts w:ascii="Times New Roman" w:eastAsia="Times New Roman" w:hAnsi="Times New Roman" w:cs="Times New Roman"/>
          <w:i/>
          <w:sz w:val="24"/>
          <w:szCs w:val="24"/>
          <w:lang w:eastAsia="en-GB"/>
        </w:rPr>
        <w:t>Earth's Future, 9</w:t>
      </w:r>
      <w:r w:rsidRPr="00BB15C1">
        <w:rPr>
          <w:rFonts w:ascii="Times New Roman" w:eastAsia="Times New Roman" w:hAnsi="Times New Roman" w:cs="Times New Roman"/>
          <w:sz w:val="24"/>
          <w:szCs w:val="24"/>
          <w:lang w:eastAsia="en-GB"/>
        </w:rPr>
        <w:t xml:space="preserve">, e2021EF002283, </w:t>
      </w:r>
      <w:hyperlink r:id="rId42" w:history="1">
        <w:r w:rsidRPr="00F866CA">
          <w:rPr>
            <w:rStyle w:val="Hyperlink"/>
            <w:rFonts w:ascii="Times New Roman" w:eastAsia="Times New Roman" w:hAnsi="Times New Roman" w:cs="Times New Roman"/>
            <w:sz w:val="24"/>
            <w:szCs w:val="24"/>
            <w:lang w:eastAsia="en-GB"/>
          </w:rPr>
          <w:t>https://doi.org/10.1029/2021EF002283</w:t>
        </w:r>
      </w:hyperlink>
    </w:p>
    <w:p w14:paraId="34DBE879" w14:textId="77777777" w:rsidR="00BB15C1" w:rsidRPr="00BB15C1" w:rsidRDefault="00BB15C1" w:rsidP="00BB15C1">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WB (2023)</w:t>
      </w:r>
      <w:r w:rsidR="004A70AC">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Climate shocks: Estimates of people exposed, vulnerable, and at high risk, https://www.preventionweb.net/news/climate-shocks-estimates-people-e</w:t>
      </w:r>
      <w:r>
        <w:rPr>
          <w:rFonts w:ascii="Times New Roman" w:eastAsia="Times New Roman" w:hAnsi="Times New Roman" w:cs="Times New Roman"/>
          <w:sz w:val="24"/>
          <w:szCs w:val="24"/>
          <w:lang w:eastAsia="en-GB"/>
        </w:rPr>
        <w:t>xposed-vulnerable-and-high-risk</w:t>
      </w:r>
    </w:p>
    <w:p w14:paraId="73724CC9" w14:textId="77777777" w:rsidR="00EC6E59" w:rsidRPr="00021171" w:rsidRDefault="00EC6E59" w:rsidP="004B0C57">
      <w:pPr>
        <w:spacing w:before="100" w:beforeAutospacing="1" w:after="100" w:afterAutospacing="1" w:line="240" w:lineRule="auto"/>
        <w:rPr>
          <w:rFonts w:ascii="Times New Roman" w:eastAsia="Times New Roman" w:hAnsi="Times New Roman" w:cs="Times New Roman"/>
          <w:sz w:val="24"/>
          <w:szCs w:val="24"/>
          <w:lang w:eastAsia="en-GB"/>
        </w:rPr>
      </w:pPr>
    </w:p>
    <w:p w14:paraId="02F8AB44" w14:textId="77777777" w:rsidR="004B0C57" w:rsidRPr="00021171" w:rsidRDefault="004B0C57" w:rsidP="00157C47">
      <w:pPr>
        <w:pStyle w:val="NormalWeb"/>
      </w:pPr>
    </w:p>
    <w:p w14:paraId="18CF0714" w14:textId="77777777" w:rsidR="001178A0" w:rsidRPr="00021171" w:rsidRDefault="001178A0" w:rsidP="0077425B"/>
    <w:sectPr w:rsidR="001178A0" w:rsidRPr="0002117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55A1" w14:textId="77777777" w:rsidR="00BA5C7B" w:rsidRDefault="00BA5C7B" w:rsidP="00E9315B">
      <w:pPr>
        <w:spacing w:after="0" w:line="240" w:lineRule="auto"/>
      </w:pPr>
      <w:r>
        <w:separator/>
      </w:r>
    </w:p>
  </w:endnote>
  <w:endnote w:type="continuationSeparator" w:id="0">
    <w:p w14:paraId="04D85354" w14:textId="77777777" w:rsidR="00BA5C7B" w:rsidRDefault="00BA5C7B" w:rsidP="00E9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6B75" w14:textId="77777777" w:rsidR="00E9315B" w:rsidRDefault="00E93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FD38" w14:textId="77777777" w:rsidR="00E9315B" w:rsidRDefault="00E93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178F" w14:textId="77777777" w:rsidR="00E9315B" w:rsidRDefault="00E93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BD127" w14:textId="77777777" w:rsidR="00BA5C7B" w:rsidRDefault="00BA5C7B" w:rsidP="00E9315B">
      <w:pPr>
        <w:spacing w:after="0" w:line="240" w:lineRule="auto"/>
      </w:pPr>
      <w:r>
        <w:separator/>
      </w:r>
    </w:p>
  </w:footnote>
  <w:footnote w:type="continuationSeparator" w:id="0">
    <w:p w14:paraId="75E9820B" w14:textId="77777777" w:rsidR="00BA5C7B" w:rsidRDefault="00BA5C7B" w:rsidP="00E93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6DEE" w14:textId="31E353D0" w:rsidR="00E9315B" w:rsidRDefault="00E9315B">
    <w:pPr>
      <w:pStyle w:val="Header"/>
    </w:pPr>
    <w:r>
      <w:rPr>
        <w:noProof/>
      </w:rPr>
      <w:pict w14:anchorId="11F2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318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602C" w14:textId="734F6346" w:rsidR="00E9315B" w:rsidRDefault="00E9315B">
    <w:pPr>
      <w:pStyle w:val="Header"/>
    </w:pPr>
    <w:r>
      <w:rPr>
        <w:noProof/>
      </w:rPr>
      <w:pict w14:anchorId="0AD04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318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ED0D" w14:textId="68520383" w:rsidR="00E9315B" w:rsidRDefault="00E9315B">
    <w:pPr>
      <w:pStyle w:val="Header"/>
    </w:pPr>
    <w:r>
      <w:rPr>
        <w:noProof/>
      </w:rPr>
      <w:pict w14:anchorId="4889C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318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232E"/>
    <w:multiLevelType w:val="multilevel"/>
    <w:tmpl w:val="21D07A1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DE5E72"/>
    <w:multiLevelType w:val="multilevel"/>
    <w:tmpl w:val="06F2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B3BAB"/>
    <w:multiLevelType w:val="multilevel"/>
    <w:tmpl w:val="830C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363B"/>
    <w:multiLevelType w:val="multilevel"/>
    <w:tmpl w:val="70C2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1480B"/>
    <w:multiLevelType w:val="multilevel"/>
    <w:tmpl w:val="0DF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B3BC2"/>
    <w:multiLevelType w:val="multilevel"/>
    <w:tmpl w:val="9F22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34B87"/>
    <w:multiLevelType w:val="multilevel"/>
    <w:tmpl w:val="6CE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16437"/>
    <w:multiLevelType w:val="hybridMultilevel"/>
    <w:tmpl w:val="CE88ED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37904"/>
    <w:multiLevelType w:val="multilevel"/>
    <w:tmpl w:val="A09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D6551"/>
    <w:multiLevelType w:val="multilevel"/>
    <w:tmpl w:val="4960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478B7"/>
    <w:multiLevelType w:val="multilevel"/>
    <w:tmpl w:val="B1D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A6347"/>
    <w:multiLevelType w:val="multilevel"/>
    <w:tmpl w:val="D74E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D0BDE"/>
    <w:multiLevelType w:val="multilevel"/>
    <w:tmpl w:val="D606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41B97"/>
    <w:multiLevelType w:val="multilevel"/>
    <w:tmpl w:val="3510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31387"/>
    <w:multiLevelType w:val="hybridMultilevel"/>
    <w:tmpl w:val="88465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803F0"/>
    <w:multiLevelType w:val="multilevel"/>
    <w:tmpl w:val="57A8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74852"/>
    <w:multiLevelType w:val="hybridMultilevel"/>
    <w:tmpl w:val="39B42356"/>
    <w:lvl w:ilvl="0" w:tplc="66006D72">
      <w:start w:val="1"/>
      <w:numFmt w:val="decimal"/>
      <w:lvlText w:val="%1."/>
      <w:lvlJc w:val="left"/>
      <w:pPr>
        <w:ind w:left="720" w:hanging="360"/>
      </w:pPr>
      <w:rPr>
        <w:rFonts w:cs="Times New Roman" w:hint="default"/>
        <w:b w:val="0"/>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C00E2"/>
    <w:multiLevelType w:val="multilevel"/>
    <w:tmpl w:val="3C9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91B29"/>
    <w:multiLevelType w:val="multilevel"/>
    <w:tmpl w:val="30A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A4DC5"/>
    <w:multiLevelType w:val="multilevel"/>
    <w:tmpl w:val="8D9E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5277E"/>
    <w:multiLevelType w:val="multilevel"/>
    <w:tmpl w:val="8854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43AE2"/>
    <w:multiLevelType w:val="multilevel"/>
    <w:tmpl w:val="717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E5DDC"/>
    <w:multiLevelType w:val="hybridMultilevel"/>
    <w:tmpl w:val="7F1278F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C24930"/>
    <w:multiLevelType w:val="hybridMultilevel"/>
    <w:tmpl w:val="3D4AA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E2D27"/>
    <w:multiLevelType w:val="multilevel"/>
    <w:tmpl w:val="B99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A0DFF"/>
    <w:multiLevelType w:val="multilevel"/>
    <w:tmpl w:val="5A6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7061D"/>
    <w:multiLevelType w:val="multilevel"/>
    <w:tmpl w:val="7E28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96622"/>
    <w:multiLevelType w:val="multilevel"/>
    <w:tmpl w:val="ED12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B5014"/>
    <w:multiLevelType w:val="multilevel"/>
    <w:tmpl w:val="927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175636"/>
    <w:multiLevelType w:val="multilevel"/>
    <w:tmpl w:val="1E5A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F09FB"/>
    <w:multiLevelType w:val="multilevel"/>
    <w:tmpl w:val="460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8282A"/>
    <w:multiLevelType w:val="hybridMultilevel"/>
    <w:tmpl w:val="88465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C95362"/>
    <w:multiLevelType w:val="hybridMultilevel"/>
    <w:tmpl w:val="7E4E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F58DC"/>
    <w:multiLevelType w:val="hybridMultilevel"/>
    <w:tmpl w:val="D6308EC0"/>
    <w:lvl w:ilvl="0" w:tplc="08E82BB8">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EEC7F4E"/>
    <w:multiLevelType w:val="multilevel"/>
    <w:tmpl w:val="745E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2"/>
  </w:num>
  <w:num w:numId="3">
    <w:abstractNumId w:val="15"/>
  </w:num>
  <w:num w:numId="4">
    <w:abstractNumId w:val="18"/>
  </w:num>
  <w:num w:numId="5">
    <w:abstractNumId w:val="1"/>
  </w:num>
  <w:num w:numId="6">
    <w:abstractNumId w:val="22"/>
  </w:num>
  <w:num w:numId="7">
    <w:abstractNumId w:val="20"/>
  </w:num>
  <w:num w:numId="8">
    <w:abstractNumId w:val="29"/>
  </w:num>
  <w:num w:numId="9">
    <w:abstractNumId w:val="3"/>
  </w:num>
  <w:num w:numId="10">
    <w:abstractNumId w:val="25"/>
  </w:num>
  <w:num w:numId="11">
    <w:abstractNumId w:val="30"/>
  </w:num>
  <w:num w:numId="12">
    <w:abstractNumId w:val="26"/>
  </w:num>
  <w:num w:numId="13">
    <w:abstractNumId w:val="14"/>
  </w:num>
  <w:num w:numId="14">
    <w:abstractNumId w:val="9"/>
  </w:num>
  <w:num w:numId="15">
    <w:abstractNumId w:val="28"/>
  </w:num>
  <w:num w:numId="16">
    <w:abstractNumId w:val="10"/>
  </w:num>
  <w:num w:numId="17">
    <w:abstractNumId w:val="8"/>
  </w:num>
  <w:num w:numId="18">
    <w:abstractNumId w:val="24"/>
  </w:num>
  <w:num w:numId="19">
    <w:abstractNumId w:val="0"/>
  </w:num>
  <w:num w:numId="20">
    <w:abstractNumId w:val="33"/>
  </w:num>
  <w:num w:numId="21">
    <w:abstractNumId w:val="17"/>
  </w:num>
  <w:num w:numId="22">
    <w:abstractNumId w:val="23"/>
  </w:num>
  <w:num w:numId="23">
    <w:abstractNumId w:val="2"/>
  </w:num>
  <w:num w:numId="24">
    <w:abstractNumId w:val="5"/>
  </w:num>
  <w:num w:numId="25">
    <w:abstractNumId w:val="4"/>
  </w:num>
  <w:num w:numId="26">
    <w:abstractNumId w:val="12"/>
  </w:num>
  <w:num w:numId="27">
    <w:abstractNumId w:val="16"/>
  </w:num>
  <w:num w:numId="28">
    <w:abstractNumId w:val="35"/>
  </w:num>
  <w:num w:numId="29">
    <w:abstractNumId w:val="13"/>
  </w:num>
  <w:num w:numId="30">
    <w:abstractNumId w:val="21"/>
  </w:num>
  <w:num w:numId="31">
    <w:abstractNumId w:val="11"/>
  </w:num>
  <w:num w:numId="32">
    <w:abstractNumId w:val="7"/>
  </w:num>
  <w:num w:numId="33">
    <w:abstractNumId w:val="31"/>
  </w:num>
  <w:num w:numId="34">
    <w:abstractNumId w:val="27"/>
  </w:num>
  <w:num w:numId="35">
    <w:abstractNumId w:val="1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13"/>
    <w:rsid w:val="00001A69"/>
    <w:rsid w:val="00011B53"/>
    <w:rsid w:val="00021171"/>
    <w:rsid w:val="00022A55"/>
    <w:rsid w:val="000428DA"/>
    <w:rsid w:val="00042A3B"/>
    <w:rsid w:val="0005485D"/>
    <w:rsid w:val="0005692B"/>
    <w:rsid w:val="00064339"/>
    <w:rsid w:val="0007356A"/>
    <w:rsid w:val="0007477D"/>
    <w:rsid w:val="000B1687"/>
    <w:rsid w:val="000B16EE"/>
    <w:rsid w:val="000E19B2"/>
    <w:rsid w:val="000E2B60"/>
    <w:rsid w:val="001178A0"/>
    <w:rsid w:val="001315B7"/>
    <w:rsid w:val="001529B6"/>
    <w:rsid w:val="00153401"/>
    <w:rsid w:val="001573F6"/>
    <w:rsid w:val="00157C47"/>
    <w:rsid w:val="00160D6B"/>
    <w:rsid w:val="00160E98"/>
    <w:rsid w:val="00162A26"/>
    <w:rsid w:val="001843B2"/>
    <w:rsid w:val="001B6B9D"/>
    <w:rsid w:val="001D301D"/>
    <w:rsid w:val="001E40CB"/>
    <w:rsid w:val="001E7973"/>
    <w:rsid w:val="002021F3"/>
    <w:rsid w:val="00251EBC"/>
    <w:rsid w:val="00263B5D"/>
    <w:rsid w:val="0028569B"/>
    <w:rsid w:val="002B09E9"/>
    <w:rsid w:val="002B579F"/>
    <w:rsid w:val="002D2343"/>
    <w:rsid w:val="002F20F8"/>
    <w:rsid w:val="002F2886"/>
    <w:rsid w:val="0031189A"/>
    <w:rsid w:val="00320291"/>
    <w:rsid w:val="00382A6B"/>
    <w:rsid w:val="003D5529"/>
    <w:rsid w:val="003E73A1"/>
    <w:rsid w:val="003F7EBD"/>
    <w:rsid w:val="00402377"/>
    <w:rsid w:val="004069C5"/>
    <w:rsid w:val="00412F99"/>
    <w:rsid w:val="00426D2C"/>
    <w:rsid w:val="004427D6"/>
    <w:rsid w:val="00464096"/>
    <w:rsid w:val="00487B5F"/>
    <w:rsid w:val="0049544A"/>
    <w:rsid w:val="004A70AC"/>
    <w:rsid w:val="004B0C57"/>
    <w:rsid w:val="004C20EC"/>
    <w:rsid w:val="004D28A8"/>
    <w:rsid w:val="0051095C"/>
    <w:rsid w:val="00510BFE"/>
    <w:rsid w:val="00531D03"/>
    <w:rsid w:val="00537F10"/>
    <w:rsid w:val="00540B0A"/>
    <w:rsid w:val="00555A21"/>
    <w:rsid w:val="00555A32"/>
    <w:rsid w:val="005630FE"/>
    <w:rsid w:val="00564920"/>
    <w:rsid w:val="00582BB9"/>
    <w:rsid w:val="0058419E"/>
    <w:rsid w:val="00591525"/>
    <w:rsid w:val="005A4A15"/>
    <w:rsid w:val="005D19AA"/>
    <w:rsid w:val="005D24AB"/>
    <w:rsid w:val="005E0D47"/>
    <w:rsid w:val="00601518"/>
    <w:rsid w:val="006168B4"/>
    <w:rsid w:val="006334F6"/>
    <w:rsid w:val="00635143"/>
    <w:rsid w:val="006358AF"/>
    <w:rsid w:val="006B08F4"/>
    <w:rsid w:val="006B250C"/>
    <w:rsid w:val="006B2DC4"/>
    <w:rsid w:val="006C0F1F"/>
    <w:rsid w:val="006D4A11"/>
    <w:rsid w:val="006E745D"/>
    <w:rsid w:val="00715495"/>
    <w:rsid w:val="007306C3"/>
    <w:rsid w:val="00742E28"/>
    <w:rsid w:val="00744A30"/>
    <w:rsid w:val="007652A9"/>
    <w:rsid w:val="00765A37"/>
    <w:rsid w:val="0077425B"/>
    <w:rsid w:val="007837CD"/>
    <w:rsid w:val="007860FB"/>
    <w:rsid w:val="00794451"/>
    <w:rsid w:val="007B673E"/>
    <w:rsid w:val="007C2359"/>
    <w:rsid w:val="007C4297"/>
    <w:rsid w:val="007C5637"/>
    <w:rsid w:val="007D1E70"/>
    <w:rsid w:val="00801A31"/>
    <w:rsid w:val="008200A9"/>
    <w:rsid w:val="00837D03"/>
    <w:rsid w:val="00854D28"/>
    <w:rsid w:val="008A7ACF"/>
    <w:rsid w:val="008B0063"/>
    <w:rsid w:val="008B73DC"/>
    <w:rsid w:val="008C1D71"/>
    <w:rsid w:val="008D06F3"/>
    <w:rsid w:val="008E4977"/>
    <w:rsid w:val="008F6028"/>
    <w:rsid w:val="00930B9D"/>
    <w:rsid w:val="00957F37"/>
    <w:rsid w:val="00975480"/>
    <w:rsid w:val="009B558F"/>
    <w:rsid w:val="009D29E0"/>
    <w:rsid w:val="009E762B"/>
    <w:rsid w:val="009F620E"/>
    <w:rsid w:val="00A07AAC"/>
    <w:rsid w:val="00A17974"/>
    <w:rsid w:val="00A21F86"/>
    <w:rsid w:val="00A26EEC"/>
    <w:rsid w:val="00A42482"/>
    <w:rsid w:val="00A5578F"/>
    <w:rsid w:val="00A809AF"/>
    <w:rsid w:val="00AA192D"/>
    <w:rsid w:val="00AB3792"/>
    <w:rsid w:val="00AC56EC"/>
    <w:rsid w:val="00AD32EC"/>
    <w:rsid w:val="00AD3B8D"/>
    <w:rsid w:val="00B162A6"/>
    <w:rsid w:val="00B24021"/>
    <w:rsid w:val="00B427B2"/>
    <w:rsid w:val="00B43E55"/>
    <w:rsid w:val="00B61C54"/>
    <w:rsid w:val="00B63241"/>
    <w:rsid w:val="00B665DE"/>
    <w:rsid w:val="00B93D6B"/>
    <w:rsid w:val="00B94C21"/>
    <w:rsid w:val="00BA5C7B"/>
    <w:rsid w:val="00BB15C1"/>
    <w:rsid w:val="00BB6261"/>
    <w:rsid w:val="00BC1AF4"/>
    <w:rsid w:val="00BF7FE6"/>
    <w:rsid w:val="00C0091E"/>
    <w:rsid w:val="00C11EBD"/>
    <w:rsid w:val="00C20455"/>
    <w:rsid w:val="00C22CAD"/>
    <w:rsid w:val="00C363AE"/>
    <w:rsid w:val="00C40982"/>
    <w:rsid w:val="00C6634F"/>
    <w:rsid w:val="00C9256D"/>
    <w:rsid w:val="00CA1BE6"/>
    <w:rsid w:val="00CA5F7B"/>
    <w:rsid w:val="00CB11AE"/>
    <w:rsid w:val="00CC2094"/>
    <w:rsid w:val="00CC6D56"/>
    <w:rsid w:val="00CE64BB"/>
    <w:rsid w:val="00D029BF"/>
    <w:rsid w:val="00D2786E"/>
    <w:rsid w:val="00D3000C"/>
    <w:rsid w:val="00D349B7"/>
    <w:rsid w:val="00D46CF1"/>
    <w:rsid w:val="00D555C6"/>
    <w:rsid w:val="00D706FC"/>
    <w:rsid w:val="00D747A4"/>
    <w:rsid w:val="00D85644"/>
    <w:rsid w:val="00D97AAB"/>
    <w:rsid w:val="00DA627C"/>
    <w:rsid w:val="00DD45CF"/>
    <w:rsid w:val="00DD7E83"/>
    <w:rsid w:val="00DF2E65"/>
    <w:rsid w:val="00E010BB"/>
    <w:rsid w:val="00E135AD"/>
    <w:rsid w:val="00E15D13"/>
    <w:rsid w:val="00E1730A"/>
    <w:rsid w:val="00E2066E"/>
    <w:rsid w:val="00E20D83"/>
    <w:rsid w:val="00E21C8E"/>
    <w:rsid w:val="00E37540"/>
    <w:rsid w:val="00E406B3"/>
    <w:rsid w:val="00E64F2F"/>
    <w:rsid w:val="00E66109"/>
    <w:rsid w:val="00E725ED"/>
    <w:rsid w:val="00E76524"/>
    <w:rsid w:val="00E87AF5"/>
    <w:rsid w:val="00E928E2"/>
    <w:rsid w:val="00E9315B"/>
    <w:rsid w:val="00E95F6F"/>
    <w:rsid w:val="00EA68AA"/>
    <w:rsid w:val="00EC6E59"/>
    <w:rsid w:val="00EE1FE3"/>
    <w:rsid w:val="00EF3D29"/>
    <w:rsid w:val="00EF7A13"/>
    <w:rsid w:val="00F147AA"/>
    <w:rsid w:val="00F16A9D"/>
    <w:rsid w:val="00F22D66"/>
    <w:rsid w:val="00F2330A"/>
    <w:rsid w:val="00F26277"/>
    <w:rsid w:val="00F66C4C"/>
    <w:rsid w:val="00F6768E"/>
    <w:rsid w:val="00F84078"/>
    <w:rsid w:val="00F93C4A"/>
    <w:rsid w:val="00FB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9E28F"/>
  <w15:chartTrackingRefBased/>
  <w15:docId w15:val="{773E3E6D-0B84-4EBD-94CE-998F874A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30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57C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06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3heading3">
    <w:name w:val="MDPI_2.3_heading3"/>
    <w:qFormat/>
    <w:rsid w:val="007306C3"/>
    <w:pPr>
      <w:adjustRightInd w:val="0"/>
      <w:snapToGrid w:val="0"/>
      <w:spacing w:before="60" w:after="60" w:line="280" w:lineRule="atLeast"/>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7306C3"/>
    <w:pPr>
      <w:adjustRightInd w:val="0"/>
      <w:snapToGrid w:val="0"/>
      <w:spacing w:after="0" w:line="280" w:lineRule="atLeast"/>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8bullet">
    <w:name w:val="MDPI_3.8_bullet"/>
    <w:qFormat/>
    <w:rsid w:val="007306C3"/>
    <w:pPr>
      <w:numPr>
        <w:numId w:val="1"/>
      </w:numPr>
      <w:adjustRightInd w:val="0"/>
      <w:snapToGrid w:val="0"/>
      <w:spacing w:after="0" w:line="280" w:lineRule="atLeast"/>
      <w:jc w:val="both"/>
    </w:pPr>
    <w:rPr>
      <w:rFonts w:ascii="Palatino Linotype" w:eastAsia="Times New Roman" w:hAnsi="Palatino Linotype" w:cs="Times New Roman"/>
      <w:color w:val="000000"/>
      <w:sz w:val="20"/>
      <w:lang w:val="en-US" w:eastAsia="de-DE" w:bidi="en-US"/>
    </w:rPr>
  </w:style>
  <w:style w:type="character" w:customStyle="1" w:styleId="Heading1Char">
    <w:name w:val="Heading 1 Char"/>
    <w:basedOn w:val="DefaultParagraphFont"/>
    <w:link w:val="Heading1"/>
    <w:uiPriority w:val="9"/>
    <w:rsid w:val="007306C3"/>
    <w:rPr>
      <w:rFonts w:ascii="Times New Roman" w:eastAsia="Times New Roman" w:hAnsi="Times New Roman" w:cs="Times New Roman"/>
      <w:b/>
      <w:bCs/>
      <w:kern w:val="36"/>
      <w:sz w:val="48"/>
      <w:szCs w:val="48"/>
      <w:lang w:eastAsia="en-GB"/>
    </w:rPr>
  </w:style>
  <w:style w:type="paragraph" w:customStyle="1" w:styleId="MDPI22heading2">
    <w:name w:val="MDPI_2.2_heading2"/>
    <w:qFormat/>
    <w:rsid w:val="007306C3"/>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sz w:val="20"/>
      <w:lang w:val="en-US" w:eastAsia="de-DE" w:bidi="en-US"/>
    </w:rPr>
  </w:style>
  <w:style w:type="character" w:styleId="Hyperlink">
    <w:name w:val="Hyperlink"/>
    <w:basedOn w:val="DefaultParagraphFont"/>
    <w:uiPriority w:val="99"/>
    <w:unhideWhenUsed/>
    <w:rsid w:val="002D2343"/>
    <w:rPr>
      <w:color w:val="0563C1" w:themeColor="hyperlink"/>
      <w:u w:val="single"/>
    </w:rPr>
  </w:style>
  <w:style w:type="paragraph" w:styleId="NormalWeb">
    <w:name w:val="Normal (Web)"/>
    <w:basedOn w:val="Normal"/>
    <w:uiPriority w:val="99"/>
    <w:unhideWhenUsed/>
    <w:rsid w:val="00F147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6B9D"/>
    <w:pPr>
      <w:ind w:left="720"/>
      <w:contextualSpacing/>
    </w:pPr>
  </w:style>
  <w:style w:type="paragraph" w:customStyle="1" w:styleId="Default">
    <w:name w:val="Default"/>
    <w:rsid w:val="000E19B2"/>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Default"/>
    <w:next w:val="Default"/>
    <w:uiPriority w:val="99"/>
    <w:rsid w:val="000E19B2"/>
    <w:pPr>
      <w:spacing w:line="161" w:lineRule="atLeast"/>
    </w:pPr>
    <w:rPr>
      <w:rFonts w:ascii="Gill Sans Nova" w:hAnsi="Gill Sans Nova" w:cstheme="minorBidi"/>
      <w:color w:val="auto"/>
    </w:rPr>
  </w:style>
  <w:style w:type="character" w:customStyle="1" w:styleId="A9">
    <w:name w:val="A9"/>
    <w:uiPriority w:val="99"/>
    <w:rsid w:val="000E19B2"/>
    <w:rPr>
      <w:rFonts w:cs="Gill Sans Nova"/>
      <w:color w:val="0039A6"/>
    </w:rPr>
  </w:style>
  <w:style w:type="paragraph" w:customStyle="1" w:styleId="Pa6">
    <w:name w:val="Pa6"/>
    <w:basedOn w:val="Default"/>
    <w:next w:val="Default"/>
    <w:uiPriority w:val="99"/>
    <w:rsid w:val="000E19B2"/>
    <w:pPr>
      <w:spacing w:line="161" w:lineRule="atLeast"/>
    </w:pPr>
    <w:rPr>
      <w:rFonts w:ascii="Gill Sans Nova" w:hAnsi="Gill Sans Nova" w:cstheme="minorBidi"/>
      <w:color w:val="auto"/>
    </w:rPr>
  </w:style>
  <w:style w:type="character" w:customStyle="1" w:styleId="A3">
    <w:name w:val="A3"/>
    <w:uiPriority w:val="99"/>
    <w:rsid w:val="000E19B2"/>
    <w:rPr>
      <w:rFonts w:cs="Gill Sans Nova"/>
      <w:color w:val="403F41"/>
      <w:sz w:val="22"/>
      <w:szCs w:val="22"/>
    </w:rPr>
  </w:style>
  <w:style w:type="character" w:customStyle="1" w:styleId="Heading3Char">
    <w:name w:val="Heading 3 Char"/>
    <w:basedOn w:val="DefaultParagraphFont"/>
    <w:link w:val="Heading3"/>
    <w:uiPriority w:val="9"/>
    <w:semiHidden/>
    <w:rsid w:val="00D706F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706FC"/>
    <w:rPr>
      <w:b/>
      <w:bCs/>
    </w:rPr>
  </w:style>
  <w:style w:type="paragraph" w:customStyle="1" w:styleId="theme-textsize-default">
    <w:name w:val="theme-textsize-default"/>
    <w:basedOn w:val="Normal"/>
    <w:rsid w:val="00D70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heme-foregroundcolorcustom-tpxku0">
    <w:name w:val="theme-foregroundcolorcustom-tpxku0"/>
    <w:basedOn w:val="DefaultParagraphFont"/>
    <w:rsid w:val="00D706FC"/>
  </w:style>
  <w:style w:type="paragraph" w:customStyle="1" w:styleId="paragraph">
    <w:name w:val="paragraph"/>
    <w:basedOn w:val="Normal"/>
    <w:rsid w:val="00D706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urce-box-title">
    <w:name w:val="source-box-title"/>
    <w:basedOn w:val="Normal"/>
    <w:rsid w:val="001573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urce-box-sources">
    <w:name w:val="source-box-sources"/>
    <w:basedOn w:val="Normal"/>
    <w:rsid w:val="001573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573F6"/>
    <w:rPr>
      <w:i/>
      <w:iCs/>
    </w:rPr>
  </w:style>
  <w:style w:type="character" w:customStyle="1" w:styleId="whitespace-normal">
    <w:name w:val="whitespace-normal"/>
    <w:basedOn w:val="DefaultParagraphFont"/>
    <w:rsid w:val="00D97AAB"/>
  </w:style>
  <w:style w:type="character" w:customStyle="1" w:styleId="Heading2Char">
    <w:name w:val="Heading 2 Char"/>
    <w:basedOn w:val="DefaultParagraphFont"/>
    <w:link w:val="Heading2"/>
    <w:uiPriority w:val="9"/>
    <w:semiHidden/>
    <w:rsid w:val="00157C47"/>
    <w:rPr>
      <w:rFonts w:asciiTheme="majorHAnsi" w:eastAsiaTheme="majorEastAsia" w:hAnsiTheme="majorHAnsi" w:cstheme="majorBidi"/>
      <w:color w:val="2E74B5" w:themeColor="accent1" w:themeShade="BF"/>
      <w:sz w:val="26"/>
      <w:szCs w:val="26"/>
    </w:rPr>
  </w:style>
  <w:style w:type="character" w:customStyle="1" w:styleId="A7">
    <w:name w:val="A7"/>
    <w:uiPriority w:val="99"/>
    <w:rsid w:val="006168B4"/>
    <w:rPr>
      <w:rFonts w:cs="Gill Sans Nova"/>
      <w:color w:val="404041"/>
      <w:sz w:val="20"/>
      <w:szCs w:val="20"/>
    </w:rPr>
  </w:style>
  <w:style w:type="character" w:customStyle="1" w:styleId="rynqvb">
    <w:name w:val="rynqvb"/>
    <w:basedOn w:val="DefaultParagraphFont"/>
    <w:rsid w:val="006B250C"/>
  </w:style>
  <w:style w:type="character" w:customStyle="1" w:styleId="hwtze">
    <w:name w:val="hwtze"/>
    <w:basedOn w:val="DefaultParagraphFont"/>
    <w:rsid w:val="006B250C"/>
  </w:style>
  <w:style w:type="character" w:styleId="UnresolvedMention">
    <w:name w:val="Unresolved Mention"/>
    <w:basedOn w:val="DefaultParagraphFont"/>
    <w:uiPriority w:val="99"/>
    <w:semiHidden/>
    <w:unhideWhenUsed/>
    <w:rsid w:val="000E2B60"/>
    <w:rPr>
      <w:color w:val="605E5C"/>
      <w:shd w:val="clear" w:color="auto" w:fill="E1DFDD"/>
    </w:rPr>
  </w:style>
  <w:style w:type="paragraph" w:styleId="Header">
    <w:name w:val="header"/>
    <w:basedOn w:val="Normal"/>
    <w:link w:val="HeaderChar"/>
    <w:uiPriority w:val="99"/>
    <w:unhideWhenUsed/>
    <w:rsid w:val="00E93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15B"/>
  </w:style>
  <w:style w:type="paragraph" w:styleId="Footer">
    <w:name w:val="footer"/>
    <w:basedOn w:val="Normal"/>
    <w:link w:val="FooterChar"/>
    <w:uiPriority w:val="99"/>
    <w:unhideWhenUsed/>
    <w:rsid w:val="00E93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1518">
      <w:bodyDiv w:val="1"/>
      <w:marLeft w:val="0"/>
      <w:marRight w:val="0"/>
      <w:marTop w:val="0"/>
      <w:marBottom w:val="0"/>
      <w:divBdr>
        <w:top w:val="none" w:sz="0" w:space="0" w:color="auto"/>
        <w:left w:val="none" w:sz="0" w:space="0" w:color="auto"/>
        <w:bottom w:val="none" w:sz="0" w:space="0" w:color="auto"/>
        <w:right w:val="none" w:sz="0" w:space="0" w:color="auto"/>
      </w:divBdr>
    </w:div>
    <w:div w:id="44329860">
      <w:bodyDiv w:val="1"/>
      <w:marLeft w:val="0"/>
      <w:marRight w:val="0"/>
      <w:marTop w:val="0"/>
      <w:marBottom w:val="0"/>
      <w:divBdr>
        <w:top w:val="none" w:sz="0" w:space="0" w:color="auto"/>
        <w:left w:val="none" w:sz="0" w:space="0" w:color="auto"/>
        <w:bottom w:val="none" w:sz="0" w:space="0" w:color="auto"/>
        <w:right w:val="none" w:sz="0" w:space="0" w:color="auto"/>
      </w:divBdr>
    </w:div>
    <w:div w:id="47149895">
      <w:bodyDiv w:val="1"/>
      <w:marLeft w:val="0"/>
      <w:marRight w:val="0"/>
      <w:marTop w:val="0"/>
      <w:marBottom w:val="0"/>
      <w:divBdr>
        <w:top w:val="none" w:sz="0" w:space="0" w:color="auto"/>
        <w:left w:val="none" w:sz="0" w:space="0" w:color="auto"/>
        <w:bottom w:val="none" w:sz="0" w:space="0" w:color="auto"/>
        <w:right w:val="none" w:sz="0" w:space="0" w:color="auto"/>
      </w:divBdr>
      <w:divsChild>
        <w:div w:id="664551805">
          <w:marLeft w:val="0"/>
          <w:marRight w:val="0"/>
          <w:marTop w:val="0"/>
          <w:marBottom w:val="0"/>
          <w:divBdr>
            <w:top w:val="none" w:sz="0" w:space="0" w:color="auto"/>
            <w:left w:val="none" w:sz="0" w:space="0" w:color="auto"/>
            <w:bottom w:val="none" w:sz="0" w:space="0" w:color="auto"/>
            <w:right w:val="none" w:sz="0" w:space="0" w:color="auto"/>
          </w:divBdr>
          <w:divsChild>
            <w:div w:id="437337827">
              <w:marLeft w:val="0"/>
              <w:marRight w:val="0"/>
              <w:marTop w:val="0"/>
              <w:marBottom w:val="0"/>
              <w:divBdr>
                <w:top w:val="none" w:sz="0" w:space="0" w:color="auto"/>
                <w:left w:val="none" w:sz="0" w:space="0" w:color="auto"/>
                <w:bottom w:val="none" w:sz="0" w:space="0" w:color="auto"/>
                <w:right w:val="none" w:sz="0" w:space="0" w:color="auto"/>
              </w:divBdr>
              <w:divsChild>
                <w:div w:id="947810996">
                  <w:marLeft w:val="0"/>
                  <w:marRight w:val="0"/>
                  <w:marTop w:val="0"/>
                  <w:marBottom w:val="0"/>
                  <w:divBdr>
                    <w:top w:val="none" w:sz="0" w:space="0" w:color="auto"/>
                    <w:left w:val="none" w:sz="0" w:space="0" w:color="auto"/>
                    <w:bottom w:val="none" w:sz="0" w:space="0" w:color="auto"/>
                    <w:right w:val="none" w:sz="0" w:space="0" w:color="auto"/>
                  </w:divBdr>
                  <w:divsChild>
                    <w:div w:id="584462721">
                      <w:marLeft w:val="0"/>
                      <w:marRight w:val="0"/>
                      <w:marTop w:val="0"/>
                      <w:marBottom w:val="0"/>
                      <w:divBdr>
                        <w:top w:val="none" w:sz="0" w:space="0" w:color="auto"/>
                        <w:left w:val="none" w:sz="0" w:space="0" w:color="auto"/>
                        <w:bottom w:val="none" w:sz="0" w:space="0" w:color="auto"/>
                        <w:right w:val="none" w:sz="0" w:space="0" w:color="auto"/>
                      </w:divBdr>
                      <w:divsChild>
                        <w:div w:id="1631546013">
                          <w:marLeft w:val="0"/>
                          <w:marRight w:val="0"/>
                          <w:marTop w:val="0"/>
                          <w:marBottom w:val="0"/>
                          <w:divBdr>
                            <w:top w:val="none" w:sz="0" w:space="0" w:color="auto"/>
                            <w:left w:val="none" w:sz="0" w:space="0" w:color="auto"/>
                            <w:bottom w:val="none" w:sz="0" w:space="0" w:color="auto"/>
                            <w:right w:val="none" w:sz="0" w:space="0" w:color="auto"/>
                          </w:divBdr>
                          <w:divsChild>
                            <w:div w:id="9135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0767">
      <w:bodyDiv w:val="1"/>
      <w:marLeft w:val="0"/>
      <w:marRight w:val="0"/>
      <w:marTop w:val="0"/>
      <w:marBottom w:val="0"/>
      <w:divBdr>
        <w:top w:val="none" w:sz="0" w:space="0" w:color="auto"/>
        <w:left w:val="none" w:sz="0" w:space="0" w:color="auto"/>
        <w:bottom w:val="none" w:sz="0" w:space="0" w:color="auto"/>
        <w:right w:val="none" w:sz="0" w:space="0" w:color="auto"/>
      </w:divBdr>
    </w:div>
    <w:div w:id="53745817">
      <w:bodyDiv w:val="1"/>
      <w:marLeft w:val="0"/>
      <w:marRight w:val="0"/>
      <w:marTop w:val="0"/>
      <w:marBottom w:val="0"/>
      <w:divBdr>
        <w:top w:val="none" w:sz="0" w:space="0" w:color="auto"/>
        <w:left w:val="none" w:sz="0" w:space="0" w:color="auto"/>
        <w:bottom w:val="none" w:sz="0" w:space="0" w:color="auto"/>
        <w:right w:val="none" w:sz="0" w:space="0" w:color="auto"/>
      </w:divBdr>
    </w:div>
    <w:div w:id="60834656">
      <w:bodyDiv w:val="1"/>
      <w:marLeft w:val="0"/>
      <w:marRight w:val="0"/>
      <w:marTop w:val="0"/>
      <w:marBottom w:val="0"/>
      <w:divBdr>
        <w:top w:val="none" w:sz="0" w:space="0" w:color="auto"/>
        <w:left w:val="none" w:sz="0" w:space="0" w:color="auto"/>
        <w:bottom w:val="none" w:sz="0" w:space="0" w:color="auto"/>
        <w:right w:val="none" w:sz="0" w:space="0" w:color="auto"/>
      </w:divBdr>
    </w:div>
    <w:div w:id="70398328">
      <w:bodyDiv w:val="1"/>
      <w:marLeft w:val="0"/>
      <w:marRight w:val="0"/>
      <w:marTop w:val="0"/>
      <w:marBottom w:val="0"/>
      <w:divBdr>
        <w:top w:val="none" w:sz="0" w:space="0" w:color="auto"/>
        <w:left w:val="none" w:sz="0" w:space="0" w:color="auto"/>
        <w:bottom w:val="none" w:sz="0" w:space="0" w:color="auto"/>
        <w:right w:val="none" w:sz="0" w:space="0" w:color="auto"/>
      </w:divBdr>
    </w:div>
    <w:div w:id="94791706">
      <w:bodyDiv w:val="1"/>
      <w:marLeft w:val="0"/>
      <w:marRight w:val="0"/>
      <w:marTop w:val="0"/>
      <w:marBottom w:val="0"/>
      <w:divBdr>
        <w:top w:val="none" w:sz="0" w:space="0" w:color="auto"/>
        <w:left w:val="none" w:sz="0" w:space="0" w:color="auto"/>
        <w:bottom w:val="none" w:sz="0" w:space="0" w:color="auto"/>
        <w:right w:val="none" w:sz="0" w:space="0" w:color="auto"/>
      </w:divBdr>
    </w:div>
    <w:div w:id="127556991">
      <w:bodyDiv w:val="1"/>
      <w:marLeft w:val="0"/>
      <w:marRight w:val="0"/>
      <w:marTop w:val="0"/>
      <w:marBottom w:val="0"/>
      <w:divBdr>
        <w:top w:val="none" w:sz="0" w:space="0" w:color="auto"/>
        <w:left w:val="none" w:sz="0" w:space="0" w:color="auto"/>
        <w:bottom w:val="none" w:sz="0" w:space="0" w:color="auto"/>
        <w:right w:val="none" w:sz="0" w:space="0" w:color="auto"/>
      </w:divBdr>
    </w:div>
    <w:div w:id="133570999">
      <w:bodyDiv w:val="1"/>
      <w:marLeft w:val="0"/>
      <w:marRight w:val="0"/>
      <w:marTop w:val="0"/>
      <w:marBottom w:val="0"/>
      <w:divBdr>
        <w:top w:val="none" w:sz="0" w:space="0" w:color="auto"/>
        <w:left w:val="none" w:sz="0" w:space="0" w:color="auto"/>
        <w:bottom w:val="none" w:sz="0" w:space="0" w:color="auto"/>
        <w:right w:val="none" w:sz="0" w:space="0" w:color="auto"/>
      </w:divBdr>
    </w:div>
    <w:div w:id="161287795">
      <w:bodyDiv w:val="1"/>
      <w:marLeft w:val="0"/>
      <w:marRight w:val="0"/>
      <w:marTop w:val="0"/>
      <w:marBottom w:val="0"/>
      <w:divBdr>
        <w:top w:val="none" w:sz="0" w:space="0" w:color="auto"/>
        <w:left w:val="none" w:sz="0" w:space="0" w:color="auto"/>
        <w:bottom w:val="none" w:sz="0" w:space="0" w:color="auto"/>
        <w:right w:val="none" w:sz="0" w:space="0" w:color="auto"/>
      </w:divBdr>
    </w:div>
    <w:div w:id="167453450">
      <w:bodyDiv w:val="1"/>
      <w:marLeft w:val="0"/>
      <w:marRight w:val="0"/>
      <w:marTop w:val="0"/>
      <w:marBottom w:val="0"/>
      <w:divBdr>
        <w:top w:val="none" w:sz="0" w:space="0" w:color="auto"/>
        <w:left w:val="none" w:sz="0" w:space="0" w:color="auto"/>
        <w:bottom w:val="none" w:sz="0" w:space="0" w:color="auto"/>
        <w:right w:val="none" w:sz="0" w:space="0" w:color="auto"/>
      </w:divBdr>
      <w:divsChild>
        <w:div w:id="541985164">
          <w:marLeft w:val="0"/>
          <w:marRight w:val="0"/>
          <w:marTop w:val="0"/>
          <w:marBottom w:val="0"/>
          <w:divBdr>
            <w:top w:val="none" w:sz="0" w:space="0" w:color="auto"/>
            <w:left w:val="none" w:sz="0" w:space="0" w:color="auto"/>
            <w:bottom w:val="none" w:sz="0" w:space="0" w:color="auto"/>
            <w:right w:val="none" w:sz="0" w:space="0" w:color="auto"/>
          </w:divBdr>
          <w:divsChild>
            <w:div w:id="575280824">
              <w:marLeft w:val="0"/>
              <w:marRight w:val="0"/>
              <w:marTop w:val="0"/>
              <w:marBottom w:val="0"/>
              <w:divBdr>
                <w:top w:val="none" w:sz="0" w:space="0" w:color="auto"/>
                <w:left w:val="none" w:sz="0" w:space="0" w:color="auto"/>
                <w:bottom w:val="none" w:sz="0" w:space="0" w:color="auto"/>
                <w:right w:val="none" w:sz="0" w:space="0" w:color="auto"/>
              </w:divBdr>
              <w:divsChild>
                <w:div w:id="775562230">
                  <w:marLeft w:val="0"/>
                  <w:marRight w:val="0"/>
                  <w:marTop w:val="0"/>
                  <w:marBottom w:val="0"/>
                  <w:divBdr>
                    <w:top w:val="none" w:sz="0" w:space="0" w:color="auto"/>
                    <w:left w:val="none" w:sz="0" w:space="0" w:color="auto"/>
                    <w:bottom w:val="none" w:sz="0" w:space="0" w:color="auto"/>
                    <w:right w:val="none" w:sz="0" w:space="0" w:color="auto"/>
                  </w:divBdr>
                  <w:divsChild>
                    <w:div w:id="73475019">
                      <w:marLeft w:val="0"/>
                      <w:marRight w:val="0"/>
                      <w:marTop w:val="0"/>
                      <w:marBottom w:val="0"/>
                      <w:divBdr>
                        <w:top w:val="none" w:sz="0" w:space="0" w:color="auto"/>
                        <w:left w:val="none" w:sz="0" w:space="0" w:color="auto"/>
                        <w:bottom w:val="none" w:sz="0" w:space="0" w:color="auto"/>
                        <w:right w:val="none" w:sz="0" w:space="0" w:color="auto"/>
                      </w:divBdr>
                      <w:divsChild>
                        <w:div w:id="1253202687">
                          <w:marLeft w:val="0"/>
                          <w:marRight w:val="0"/>
                          <w:marTop w:val="0"/>
                          <w:marBottom w:val="0"/>
                          <w:divBdr>
                            <w:top w:val="none" w:sz="0" w:space="0" w:color="auto"/>
                            <w:left w:val="none" w:sz="0" w:space="0" w:color="auto"/>
                            <w:bottom w:val="none" w:sz="0" w:space="0" w:color="auto"/>
                            <w:right w:val="none" w:sz="0" w:space="0" w:color="auto"/>
                          </w:divBdr>
                          <w:divsChild>
                            <w:div w:id="584343073">
                              <w:marLeft w:val="0"/>
                              <w:marRight w:val="0"/>
                              <w:marTop w:val="0"/>
                              <w:marBottom w:val="0"/>
                              <w:divBdr>
                                <w:top w:val="none" w:sz="0" w:space="0" w:color="auto"/>
                                <w:left w:val="none" w:sz="0" w:space="0" w:color="auto"/>
                                <w:bottom w:val="none" w:sz="0" w:space="0" w:color="auto"/>
                                <w:right w:val="none" w:sz="0" w:space="0" w:color="auto"/>
                              </w:divBdr>
                              <w:divsChild>
                                <w:div w:id="5110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752096">
          <w:marLeft w:val="0"/>
          <w:marRight w:val="0"/>
          <w:marTop w:val="0"/>
          <w:marBottom w:val="0"/>
          <w:divBdr>
            <w:top w:val="none" w:sz="0" w:space="0" w:color="auto"/>
            <w:left w:val="none" w:sz="0" w:space="0" w:color="auto"/>
            <w:bottom w:val="none" w:sz="0" w:space="0" w:color="auto"/>
            <w:right w:val="none" w:sz="0" w:space="0" w:color="auto"/>
          </w:divBdr>
          <w:divsChild>
            <w:div w:id="925916107">
              <w:marLeft w:val="0"/>
              <w:marRight w:val="0"/>
              <w:marTop w:val="0"/>
              <w:marBottom w:val="0"/>
              <w:divBdr>
                <w:top w:val="none" w:sz="0" w:space="0" w:color="auto"/>
                <w:left w:val="none" w:sz="0" w:space="0" w:color="auto"/>
                <w:bottom w:val="none" w:sz="0" w:space="0" w:color="auto"/>
                <w:right w:val="none" w:sz="0" w:space="0" w:color="auto"/>
              </w:divBdr>
              <w:divsChild>
                <w:div w:id="1693074401">
                  <w:marLeft w:val="0"/>
                  <w:marRight w:val="0"/>
                  <w:marTop w:val="0"/>
                  <w:marBottom w:val="0"/>
                  <w:divBdr>
                    <w:top w:val="none" w:sz="0" w:space="0" w:color="auto"/>
                    <w:left w:val="none" w:sz="0" w:space="0" w:color="auto"/>
                    <w:bottom w:val="none" w:sz="0" w:space="0" w:color="auto"/>
                    <w:right w:val="none" w:sz="0" w:space="0" w:color="auto"/>
                  </w:divBdr>
                  <w:divsChild>
                    <w:div w:id="1286037033">
                      <w:marLeft w:val="0"/>
                      <w:marRight w:val="0"/>
                      <w:marTop w:val="0"/>
                      <w:marBottom w:val="0"/>
                      <w:divBdr>
                        <w:top w:val="none" w:sz="0" w:space="0" w:color="auto"/>
                        <w:left w:val="none" w:sz="0" w:space="0" w:color="auto"/>
                        <w:bottom w:val="none" w:sz="0" w:space="0" w:color="auto"/>
                        <w:right w:val="none" w:sz="0" w:space="0" w:color="auto"/>
                      </w:divBdr>
                      <w:divsChild>
                        <w:div w:id="1754468869">
                          <w:marLeft w:val="0"/>
                          <w:marRight w:val="0"/>
                          <w:marTop w:val="0"/>
                          <w:marBottom w:val="0"/>
                          <w:divBdr>
                            <w:top w:val="none" w:sz="0" w:space="0" w:color="auto"/>
                            <w:left w:val="none" w:sz="0" w:space="0" w:color="auto"/>
                            <w:bottom w:val="none" w:sz="0" w:space="0" w:color="auto"/>
                            <w:right w:val="none" w:sz="0" w:space="0" w:color="auto"/>
                          </w:divBdr>
                          <w:divsChild>
                            <w:div w:id="6087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23280">
      <w:bodyDiv w:val="1"/>
      <w:marLeft w:val="0"/>
      <w:marRight w:val="0"/>
      <w:marTop w:val="0"/>
      <w:marBottom w:val="0"/>
      <w:divBdr>
        <w:top w:val="none" w:sz="0" w:space="0" w:color="auto"/>
        <w:left w:val="none" w:sz="0" w:space="0" w:color="auto"/>
        <w:bottom w:val="none" w:sz="0" w:space="0" w:color="auto"/>
        <w:right w:val="none" w:sz="0" w:space="0" w:color="auto"/>
      </w:divBdr>
    </w:div>
    <w:div w:id="190530483">
      <w:bodyDiv w:val="1"/>
      <w:marLeft w:val="0"/>
      <w:marRight w:val="0"/>
      <w:marTop w:val="0"/>
      <w:marBottom w:val="0"/>
      <w:divBdr>
        <w:top w:val="none" w:sz="0" w:space="0" w:color="auto"/>
        <w:left w:val="none" w:sz="0" w:space="0" w:color="auto"/>
        <w:bottom w:val="none" w:sz="0" w:space="0" w:color="auto"/>
        <w:right w:val="none" w:sz="0" w:space="0" w:color="auto"/>
      </w:divBdr>
    </w:div>
    <w:div w:id="280458883">
      <w:bodyDiv w:val="1"/>
      <w:marLeft w:val="0"/>
      <w:marRight w:val="0"/>
      <w:marTop w:val="0"/>
      <w:marBottom w:val="0"/>
      <w:divBdr>
        <w:top w:val="none" w:sz="0" w:space="0" w:color="auto"/>
        <w:left w:val="none" w:sz="0" w:space="0" w:color="auto"/>
        <w:bottom w:val="none" w:sz="0" w:space="0" w:color="auto"/>
        <w:right w:val="none" w:sz="0" w:space="0" w:color="auto"/>
      </w:divBdr>
    </w:div>
    <w:div w:id="295643064">
      <w:bodyDiv w:val="1"/>
      <w:marLeft w:val="0"/>
      <w:marRight w:val="0"/>
      <w:marTop w:val="0"/>
      <w:marBottom w:val="0"/>
      <w:divBdr>
        <w:top w:val="none" w:sz="0" w:space="0" w:color="auto"/>
        <w:left w:val="none" w:sz="0" w:space="0" w:color="auto"/>
        <w:bottom w:val="none" w:sz="0" w:space="0" w:color="auto"/>
        <w:right w:val="none" w:sz="0" w:space="0" w:color="auto"/>
      </w:divBdr>
    </w:div>
    <w:div w:id="372965597">
      <w:bodyDiv w:val="1"/>
      <w:marLeft w:val="0"/>
      <w:marRight w:val="0"/>
      <w:marTop w:val="0"/>
      <w:marBottom w:val="0"/>
      <w:divBdr>
        <w:top w:val="none" w:sz="0" w:space="0" w:color="auto"/>
        <w:left w:val="none" w:sz="0" w:space="0" w:color="auto"/>
        <w:bottom w:val="none" w:sz="0" w:space="0" w:color="auto"/>
        <w:right w:val="none" w:sz="0" w:space="0" w:color="auto"/>
      </w:divBdr>
    </w:div>
    <w:div w:id="436340126">
      <w:bodyDiv w:val="1"/>
      <w:marLeft w:val="0"/>
      <w:marRight w:val="0"/>
      <w:marTop w:val="0"/>
      <w:marBottom w:val="0"/>
      <w:divBdr>
        <w:top w:val="none" w:sz="0" w:space="0" w:color="auto"/>
        <w:left w:val="none" w:sz="0" w:space="0" w:color="auto"/>
        <w:bottom w:val="none" w:sz="0" w:space="0" w:color="auto"/>
        <w:right w:val="none" w:sz="0" w:space="0" w:color="auto"/>
      </w:divBdr>
    </w:div>
    <w:div w:id="447555344">
      <w:bodyDiv w:val="1"/>
      <w:marLeft w:val="0"/>
      <w:marRight w:val="0"/>
      <w:marTop w:val="0"/>
      <w:marBottom w:val="0"/>
      <w:divBdr>
        <w:top w:val="none" w:sz="0" w:space="0" w:color="auto"/>
        <w:left w:val="none" w:sz="0" w:space="0" w:color="auto"/>
        <w:bottom w:val="none" w:sz="0" w:space="0" w:color="auto"/>
        <w:right w:val="none" w:sz="0" w:space="0" w:color="auto"/>
      </w:divBdr>
    </w:div>
    <w:div w:id="492985936">
      <w:bodyDiv w:val="1"/>
      <w:marLeft w:val="0"/>
      <w:marRight w:val="0"/>
      <w:marTop w:val="0"/>
      <w:marBottom w:val="0"/>
      <w:divBdr>
        <w:top w:val="none" w:sz="0" w:space="0" w:color="auto"/>
        <w:left w:val="none" w:sz="0" w:space="0" w:color="auto"/>
        <w:bottom w:val="none" w:sz="0" w:space="0" w:color="auto"/>
        <w:right w:val="none" w:sz="0" w:space="0" w:color="auto"/>
      </w:divBdr>
    </w:div>
    <w:div w:id="510603516">
      <w:bodyDiv w:val="1"/>
      <w:marLeft w:val="0"/>
      <w:marRight w:val="0"/>
      <w:marTop w:val="0"/>
      <w:marBottom w:val="0"/>
      <w:divBdr>
        <w:top w:val="none" w:sz="0" w:space="0" w:color="auto"/>
        <w:left w:val="none" w:sz="0" w:space="0" w:color="auto"/>
        <w:bottom w:val="none" w:sz="0" w:space="0" w:color="auto"/>
        <w:right w:val="none" w:sz="0" w:space="0" w:color="auto"/>
      </w:divBdr>
    </w:div>
    <w:div w:id="568151378">
      <w:bodyDiv w:val="1"/>
      <w:marLeft w:val="0"/>
      <w:marRight w:val="0"/>
      <w:marTop w:val="0"/>
      <w:marBottom w:val="0"/>
      <w:divBdr>
        <w:top w:val="none" w:sz="0" w:space="0" w:color="auto"/>
        <w:left w:val="none" w:sz="0" w:space="0" w:color="auto"/>
        <w:bottom w:val="none" w:sz="0" w:space="0" w:color="auto"/>
        <w:right w:val="none" w:sz="0" w:space="0" w:color="auto"/>
      </w:divBdr>
    </w:div>
    <w:div w:id="579294515">
      <w:bodyDiv w:val="1"/>
      <w:marLeft w:val="0"/>
      <w:marRight w:val="0"/>
      <w:marTop w:val="0"/>
      <w:marBottom w:val="0"/>
      <w:divBdr>
        <w:top w:val="none" w:sz="0" w:space="0" w:color="auto"/>
        <w:left w:val="none" w:sz="0" w:space="0" w:color="auto"/>
        <w:bottom w:val="none" w:sz="0" w:space="0" w:color="auto"/>
        <w:right w:val="none" w:sz="0" w:space="0" w:color="auto"/>
      </w:divBdr>
    </w:div>
    <w:div w:id="719324414">
      <w:bodyDiv w:val="1"/>
      <w:marLeft w:val="0"/>
      <w:marRight w:val="0"/>
      <w:marTop w:val="0"/>
      <w:marBottom w:val="0"/>
      <w:divBdr>
        <w:top w:val="none" w:sz="0" w:space="0" w:color="auto"/>
        <w:left w:val="none" w:sz="0" w:space="0" w:color="auto"/>
        <w:bottom w:val="none" w:sz="0" w:space="0" w:color="auto"/>
        <w:right w:val="none" w:sz="0" w:space="0" w:color="auto"/>
      </w:divBdr>
    </w:div>
    <w:div w:id="722489520">
      <w:bodyDiv w:val="1"/>
      <w:marLeft w:val="0"/>
      <w:marRight w:val="0"/>
      <w:marTop w:val="0"/>
      <w:marBottom w:val="0"/>
      <w:divBdr>
        <w:top w:val="none" w:sz="0" w:space="0" w:color="auto"/>
        <w:left w:val="none" w:sz="0" w:space="0" w:color="auto"/>
        <w:bottom w:val="none" w:sz="0" w:space="0" w:color="auto"/>
        <w:right w:val="none" w:sz="0" w:space="0" w:color="auto"/>
      </w:divBdr>
    </w:div>
    <w:div w:id="730689211">
      <w:bodyDiv w:val="1"/>
      <w:marLeft w:val="0"/>
      <w:marRight w:val="0"/>
      <w:marTop w:val="0"/>
      <w:marBottom w:val="0"/>
      <w:divBdr>
        <w:top w:val="none" w:sz="0" w:space="0" w:color="auto"/>
        <w:left w:val="none" w:sz="0" w:space="0" w:color="auto"/>
        <w:bottom w:val="none" w:sz="0" w:space="0" w:color="auto"/>
        <w:right w:val="none" w:sz="0" w:space="0" w:color="auto"/>
      </w:divBdr>
    </w:div>
    <w:div w:id="733510258">
      <w:bodyDiv w:val="1"/>
      <w:marLeft w:val="0"/>
      <w:marRight w:val="0"/>
      <w:marTop w:val="0"/>
      <w:marBottom w:val="0"/>
      <w:divBdr>
        <w:top w:val="none" w:sz="0" w:space="0" w:color="auto"/>
        <w:left w:val="none" w:sz="0" w:space="0" w:color="auto"/>
        <w:bottom w:val="none" w:sz="0" w:space="0" w:color="auto"/>
        <w:right w:val="none" w:sz="0" w:space="0" w:color="auto"/>
      </w:divBdr>
    </w:div>
    <w:div w:id="744106858">
      <w:bodyDiv w:val="1"/>
      <w:marLeft w:val="0"/>
      <w:marRight w:val="0"/>
      <w:marTop w:val="0"/>
      <w:marBottom w:val="0"/>
      <w:divBdr>
        <w:top w:val="none" w:sz="0" w:space="0" w:color="auto"/>
        <w:left w:val="none" w:sz="0" w:space="0" w:color="auto"/>
        <w:bottom w:val="none" w:sz="0" w:space="0" w:color="auto"/>
        <w:right w:val="none" w:sz="0" w:space="0" w:color="auto"/>
      </w:divBdr>
      <w:divsChild>
        <w:div w:id="708918504">
          <w:marLeft w:val="0"/>
          <w:marRight w:val="0"/>
          <w:marTop w:val="0"/>
          <w:marBottom w:val="0"/>
          <w:divBdr>
            <w:top w:val="none" w:sz="0" w:space="0" w:color="auto"/>
            <w:left w:val="none" w:sz="0" w:space="0" w:color="auto"/>
            <w:bottom w:val="none" w:sz="0" w:space="0" w:color="auto"/>
            <w:right w:val="none" w:sz="0" w:space="0" w:color="auto"/>
          </w:divBdr>
        </w:div>
      </w:divsChild>
    </w:div>
    <w:div w:id="773211013">
      <w:bodyDiv w:val="1"/>
      <w:marLeft w:val="0"/>
      <w:marRight w:val="0"/>
      <w:marTop w:val="0"/>
      <w:marBottom w:val="0"/>
      <w:divBdr>
        <w:top w:val="none" w:sz="0" w:space="0" w:color="auto"/>
        <w:left w:val="none" w:sz="0" w:space="0" w:color="auto"/>
        <w:bottom w:val="none" w:sz="0" w:space="0" w:color="auto"/>
        <w:right w:val="none" w:sz="0" w:space="0" w:color="auto"/>
      </w:divBdr>
    </w:div>
    <w:div w:id="773480948">
      <w:bodyDiv w:val="1"/>
      <w:marLeft w:val="0"/>
      <w:marRight w:val="0"/>
      <w:marTop w:val="0"/>
      <w:marBottom w:val="0"/>
      <w:divBdr>
        <w:top w:val="none" w:sz="0" w:space="0" w:color="auto"/>
        <w:left w:val="none" w:sz="0" w:space="0" w:color="auto"/>
        <w:bottom w:val="none" w:sz="0" w:space="0" w:color="auto"/>
        <w:right w:val="none" w:sz="0" w:space="0" w:color="auto"/>
      </w:divBdr>
    </w:div>
    <w:div w:id="787315077">
      <w:bodyDiv w:val="1"/>
      <w:marLeft w:val="0"/>
      <w:marRight w:val="0"/>
      <w:marTop w:val="0"/>
      <w:marBottom w:val="0"/>
      <w:divBdr>
        <w:top w:val="none" w:sz="0" w:space="0" w:color="auto"/>
        <w:left w:val="none" w:sz="0" w:space="0" w:color="auto"/>
        <w:bottom w:val="none" w:sz="0" w:space="0" w:color="auto"/>
        <w:right w:val="none" w:sz="0" w:space="0" w:color="auto"/>
      </w:divBdr>
      <w:divsChild>
        <w:div w:id="743450374">
          <w:marLeft w:val="0"/>
          <w:marRight w:val="0"/>
          <w:marTop w:val="0"/>
          <w:marBottom w:val="0"/>
          <w:divBdr>
            <w:top w:val="none" w:sz="0" w:space="0" w:color="auto"/>
            <w:left w:val="none" w:sz="0" w:space="0" w:color="auto"/>
            <w:bottom w:val="none" w:sz="0" w:space="0" w:color="auto"/>
            <w:right w:val="none" w:sz="0" w:space="0" w:color="auto"/>
          </w:divBdr>
          <w:divsChild>
            <w:div w:id="1768840767">
              <w:marLeft w:val="0"/>
              <w:marRight w:val="0"/>
              <w:marTop w:val="0"/>
              <w:marBottom w:val="0"/>
              <w:divBdr>
                <w:top w:val="none" w:sz="0" w:space="0" w:color="auto"/>
                <w:left w:val="none" w:sz="0" w:space="0" w:color="auto"/>
                <w:bottom w:val="none" w:sz="0" w:space="0" w:color="auto"/>
                <w:right w:val="none" w:sz="0" w:space="0" w:color="auto"/>
              </w:divBdr>
              <w:divsChild>
                <w:div w:id="1012221916">
                  <w:marLeft w:val="0"/>
                  <w:marRight w:val="0"/>
                  <w:marTop w:val="0"/>
                  <w:marBottom w:val="0"/>
                  <w:divBdr>
                    <w:top w:val="none" w:sz="0" w:space="0" w:color="auto"/>
                    <w:left w:val="none" w:sz="0" w:space="0" w:color="auto"/>
                    <w:bottom w:val="none" w:sz="0" w:space="0" w:color="auto"/>
                    <w:right w:val="none" w:sz="0" w:space="0" w:color="auto"/>
                  </w:divBdr>
                  <w:divsChild>
                    <w:div w:id="875505902">
                      <w:marLeft w:val="0"/>
                      <w:marRight w:val="0"/>
                      <w:marTop w:val="0"/>
                      <w:marBottom w:val="0"/>
                      <w:divBdr>
                        <w:top w:val="none" w:sz="0" w:space="0" w:color="auto"/>
                        <w:left w:val="none" w:sz="0" w:space="0" w:color="auto"/>
                        <w:bottom w:val="none" w:sz="0" w:space="0" w:color="auto"/>
                        <w:right w:val="none" w:sz="0" w:space="0" w:color="auto"/>
                      </w:divBdr>
                      <w:divsChild>
                        <w:div w:id="1024087561">
                          <w:marLeft w:val="0"/>
                          <w:marRight w:val="0"/>
                          <w:marTop w:val="0"/>
                          <w:marBottom w:val="0"/>
                          <w:divBdr>
                            <w:top w:val="none" w:sz="0" w:space="0" w:color="auto"/>
                            <w:left w:val="none" w:sz="0" w:space="0" w:color="auto"/>
                            <w:bottom w:val="none" w:sz="0" w:space="0" w:color="auto"/>
                            <w:right w:val="none" w:sz="0" w:space="0" w:color="auto"/>
                          </w:divBdr>
                          <w:divsChild>
                            <w:div w:id="10944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41131">
      <w:bodyDiv w:val="1"/>
      <w:marLeft w:val="0"/>
      <w:marRight w:val="0"/>
      <w:marTop w:val="0"/>
      <w:marBottom w:val="0"/>
      <w:divBdr>
        <w:top w:val="none" w:sz="0" w:space="0" w:color="auto"/>
        <w:left w:val="none" w:sz="0" w:space="0" w:color="auto"/>
        <w:bottom w:val="none" w:sz="0" w:space="0" w:color="auto"/>
        <w:right w:val="none" w:sz="0" w:space="0" w:color="auto"/>
      </w:divBdr>
      <w:divsChild>
        <w:div w:id="930816170">
          <w:marLeft w:val="0"/>
          <w:marRight w:val="0"/>
          <w:marTop w:val="0"/>
          <w:marBottom w:val="0"/>
          <w:divBdr>
            <w:top w:val="none" w:sz="0" w:space="0" w:color="auto"/>
            <w:left w:val="none" w:sz="0" w:space="0" w:color="auto"/>
            <w:bottom w:val="none" w:sz="0" w:space="0" w:color="auto"/>
            <w:right w:val="none" w:sz="0" w:space="0" w:color="auto"/>
          </w:divBdr>
          <w:divsChild>
            <w:div w:id="1137331484">
              <w:marLeft w:val="0"/>
              <w:marRight w:val="0"/>
              <w:marTop w:val="0"/>
              <w:marBottom w:val="0"/>
              <w:divBdr>
                <w:top w:val="none" w:sz="0" w:space="0" w:color="auto"/>
                <w:left w:val="none" w:sz="0" w:space="0" w:color="auto"/>
                <w:bottom w:val="none" w:sz="0" w:space="0" w:color="auto"/>
                <w:right w:val="none" w:sz="0" w:space="0" w:color="auto"/>
              </w:divBdr>
              <w:divsChild>
                <w:div w:id="1644962033">
                  <w:marLeft w:val="0"/>
                  <w:marRight w:val="0"/>
                  <w:marTop w:val="0"/>
                  <w:marBottom w:val="0"/>
                  <w:divBdr>
                    <w:top w:val="none" w:sz="0" w:space="0" w:color="auto"/>
                    <w:left w:val="none" w:sz="0" w:space="0" w:color="auto"/>
                    <w:bottom w:val="none" w:sz="0" w:space="0" w:color="auto"/>
                    <w:right w:val="none" w:sz="0" w:space="0" w:color="auto"/>
                  </w:divBdr>
                  <w:divsChild>
                    <w:div w:id="5259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53447">
      <w:bodyDiv w:val="1"/>
      <w:marLeft w:val="0"/>
      <w:marRight w:val="0"/>
      <w:marTop w:val="0"/>
      <w:marBottom w:val="0"/>
      <w:divBdr>
        <w:top w:val="none" w:sz="0" w:space="0" w:color="auto"/>
        <w:left w:val="none" w:sz="0" w:space="0" w:color="auto"/>
        <w:bottom w:val="none" w:sz="0" w:space="0" w:color="auto"/>
        <w:right w:val="none" w:sz="0" w:space="0" w:color="auto"/>
      </w:divBdr>
    </w:div>
    <w:div w:id="858666657">
      <w:bodyDiv w:val="1"/>
      <w:marLeft w:val="0"/>
      <w:marRight w:val="0"/>
      <w:marTop w:val="0"/>
      <w:marBottom w:val="0"/>
      <w:divBdr>
        <w:top w:val="none" w:sz="0" w:space="0" w:color="auto"/>
        <w:left w:val="none" w:sz="0" w:space="0" w:color="auto"/>
        <w:bottom w:val="none" w:sz="0" w:space="0" w:color="auto"/>
        <w:right w:val="none" w:sz="0" w:space="0" w:color="auto"/>
      </w:divBdr>
      <w:divsChild>
        <w:div w:id="1914318112">
          <w:marLeft w:val="0"/>
          <w:marRight w:val="0"/>
          <w:marTop w:val="0"/>
          <w:marBottom w:val="0"/>
          <w:divBdr>
            <w:top w:val="none" w:sz="0" w:space="0" w:color="auto"/>
            <w:left w:val="none" w:sz="0" w:space="0" w:color="auto"/>
            <w:bottom w:val="none" w:sz="0" w:space="0" w:color="auto"/>
            <w:right w:val="none" w:sz="0" w:space="0" w:color="auto"/>
          </w:divBdr>
          <w:divsChild>
            <w:div w:id="1022704744">
              <w:marLeft w:val="0"/>
              <w:marRight w:val="0"/>
              <w:marTop w:val="0"/>
              <w:marBottom w:val="0"/>
              <w:divBdr>
                <w:top w:val="none" w:sz="0" w:space="0" w:color="auto"/>
                <w:left w:val="none" w:sz="0" w:space="0" w:color="auto"/>
                <w:bottom w:val="none" w:sz="0" w:space="0" w:color="auto"/>
                <w:right w:val="none" w:sz="0" w:space="0" w:color="auto"/>
              </w:divBdr>
              <w:divsChild>
                <w:div w:id="403525532">
                  <w:marLeft w:val="0"/>
                  <w:marRight w:val="0"/>
                  <w:marTop w:val="0"/>
                  <w:marBottom w:val="0"/>
                  <w:divBdr>
                    <w:top w:val="none" w:sz="0" w:space="0" w:color="auto"/>
                    <w:left w:val="none" w:sz="0" w:space="0" w:color="auto"/>
                    <w:bottom w:val="none" w:sz="0" w:space="0" w:color="auto"/>
                    <w:right w:val="none" w:sz="0" w:space="0" w:color="auto"/>
                  </w:divBdr>
                  <w:divsChild>
                    <w:div w:id="5145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60082">
      <w:bodyDiv w:val="1"/>
      <w:marLeft w:val="0"/>
      <w:marRight w:val="0"/>
      <w:marTop w:val="0"/>
      <w:marBottom w:val="0"/>
      <w:divBdr>
        <w:top w:val="none" w:sz="0" w:space="0" w:color="auto"/>
        <w:left w:val="none" w:sz="0" w:space="0" w:color="auto"/>
        <w:bottom w:val="none" w:sz="0" w:space="0" w:color="auto"/>
        <w:right w:val="none" w:sz="0" w:space="0" w:color="auto"/>
      </w:divBdr>
    </w:div>
    <w:div w:id="880360003">
      <w:bodyDiv w:val="1"/>
      <w:marLeft w:val="0"/>
      <w:marRight w:val="0"/>
      <w:marTop w:val="0"/>
      <w:marBottom w:val="0"/>
      <w:divBdr>
        <w:top w:val="none" w:sz="0" w:space="0" w:color="auto"/>
        <w:left w:val="none" w:sz="0" w:space="0" w:color="auto"/>
        <w:bottom w:val="none" w:sz="0" w:space="0" w:color="auto"/>
        <w:right w:val="none" w:sz="0" w:space="0" w:color="auto"/>
      </w:divBdr>
    </w:div>
    <w:div w:id="882983652">
      <w:bodyDiv w:val="1"/>
      <w:marLeft w:val="0"/>
      <w:marRight w:val="0"/>
      <w:marTop w:val="0"/>
      <w:marBottom w:val="0"/>
      <w:divBdr>
        <w:top w:val="none" w:sz="0" w:space="0" w:color="auto"/>
        <w:left w:val="none" w:sz="0" w:space="0" w:color="auto"/>
        <w:bottom w:val="none" w:sz="0" w:space="0" w:color="auto"/>
        <w:right w:val="none" w:sz="0" w:space="0" w:color="auto"/>
      </w:divBdr>
    </w:div>
    <w:div w:id="889658331">
      <w:bodyDiv w:val="1"/>
      <w:marLeft w:val="0"/>
      <w:marRight w:val="0"/>
      <w:marTop w:val="0"/>
      <w:marBottom w:val="0"/>
      <w:divBdr>
        <w:top w:val="none" w:sz="0" w:space="0" w:color="auto"/>
        <w:left w:val="none" w:sz="0" w:space="0" w:color="auto"/>
        <w:bottom w:val="none" w:sz="0" w:space="0" w:color="auto"/>
        <w:right w:val="none" w:sz="0" w:space="0" w:color="auto"/>
      </w:divBdr>
    </w:div>
    <w:div w:id="912005315">
      <w:bodyDiv w:val="1"/>
      <w:marLeft w:val="0"/>
      <w:marRight w:val="0"/>
      <w:marTop w:val="0"/>
      <w:marBottom w:val="0"/>
      <w:divBdr>
        <w:top w:val="none" w:sz="0" w:space="0" w:color="auto"/>
        <w:left w:val="none" w:sz="0" w:space="0" w:color="auto"/>
        <w:bottom w:val="none" w:sz="0" w:space="0" w:color="auto"/>
        <w:right w:val="none" w:sz="0" w:space="0" w:color="auto"/>
      </w:divBdr>
    </w:div>
    <w:div w:id="1032851641">
      <w:bodyDiv w:val="1"/>
      <w:marLeft w:val="0"/>
      <w:marRight w:val="0"/>
      <w:marTop w:val="0"/>
      <w:marBottom w:val="0"/>
      <w:divBdr>
        <w:top w:val="none" w:sz="0" w:space="0" w:color="auto"/>
        <w:left w:val="none" w:sz="0" w:space="0" w:color="auto"/>
        <w:bottom w:val="none" w:sz="0" w:space="0" w:color="auto"/>
        <w:right w:val="none" w:sz="0" w:space="0" w:color="auto"/>
      </w:divBdr>
    </w:div>
    <w:div w:id="1039162773">
      <w:bodyDiv w:val="1"/>
      <w:marLeft w:val="0"/>
      <w:marRight w:val="0"/>
      <w:marTop w:val="0"/>
      <w:marBottom w:val="0"/>
      <w:divBdr>
        <w:top w:val="none" w:sz="0" w:space="0" w:color="auto"/>
        <w:left w:val="none" w:sz="0" w:space="0" w:color="auto"/>
        <w:bottom w:val="none" w:sz="0" w:space="0" w:color="auto"/>
        <w:right w:val="none" w:sz="0" w:space="0" w:color="auto"/>
      </w:divBdr>
      <w:divsChild>
        <w:div w:id="1119836568">
          <w:marLeft w:val="0"/>
          <w:marRight w:val="0"/>
          <w:marTop w:val="0"/>
          <w:marBottom w:val="0"/>
          <w:divBdr>
            <w:top w:val="none" w:sz="0" w:space="0" w:color="auto"/>
            <w:left w:val="none" w:sz="0" w:space="0" w:color="auto"/>
            <w:bottom w:val="none" w:sz="0" w:space="0" w:color="auto"/>
            <w:right w:val="none" w:sz="0" w:space="0" w:color="auto"/>
          </w:divBdr>
          <w:divsChild>
            <w:div w:id="651714602">
              <w:marLeft w:val="0"/>
              <w:marRight w:val="0"/>
              <w:marTop w:val="0"/>
              <w:marBottom w:val="0"/>
              <w:divBdr>
                <w:top w:val="none" w:sz="0" w:space="0" w:color="auto"/>
                <w:left w:val="none" w:sz="0" w:space="0" w:color="auto"/>
                <w:bottom w:val="none" w:sz="0" w:space="0" w:color="auto"/>
                <w:right w:val="none" w:sz="0" w:space="0" w:color="auto"/>
              </w:divBdr>
              <w:divsChild>
                <w:div w:id="603466976">
                  <w:marLeft w:val="0"/>
                  <w:marRight w:val="0"/>
                  <w:marTop w:val="0"/>
                  <w:marBottom w:val="0"/>
                  <w:divBdr>
                    <w:top w:val="none" w:sz="0" w:space="0" w:color="auto"/>
                    <w:left w:val="none" w:sz="0" w:space="0" w:color="auto"/>
                    <w:bottom w:val="none" w:sz="0" w:space="0" w:color="auto"/>
                    <w:right w:val="none" w:sz="0" w:space="0" w:color="auto"/>
                  </w:divBdr>
                  <w:divsChild>
                    <w:div w:id="4736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6651">
      <w:bodyDiv w:val="1"/>
      <w:marLeft w:val="0"/>
      <w:marRight w:val="0"/>
      <w:marTop w:val="0"/>
      <w:marBottom w:val="0"/>
      <w:divBdr>
        <w:top w:val="none" w:sz="0" w:space="0" w:color="auto"/>
        <w:left w:val="none" w:sz="0" w:space="0" w:color="auto"/>
        <w:bottom w:val="none" w:sz="0" w:space="0" w:color="auto"/>
        <w:right w:val="none" w:sz="0" w:space="0" w:color="auto"/>
      </w:divBdr>
    </w:div>
    <w:div w:id="1126509024">
      <w:bodyDiv w:val="1"/>
      <w:marLeft w:val="0"/>
      <w:marRight w:val="0"/>
      <w:marTop w:val="0"/>
      <w:marBottom w:val="0"/>
      <w:divBdr>
        <w:top w:val="none" w:sz="0" w:space="0" w:color="auto"/>
        <w:left w:val="none" w:sz="0" w:space="0" w:color="auto"/>
        <w:bottom w:val="none" w:sz="0" w:space="0" w:color="auto"/>
        <w:right w:val="none" w:sz="0" w:space="0" w:color="auto"/>
      </w:divBdr>
      <w:divsChild>
        <w:div w:id="699161111">
          <w:marLeft w:val="0"/>
          <w:marRight w:val="0"/>
          <w:marTop w:val="0"/>
          <w:marBottom w:val="0"/>
          <w:divBdr>
            <w:top w:val="none" w:sz="0" w:space="0" w:color="auto"/>
            <w:left w:val="none" w:sz="0" w:space="0" w:color="auto"/>
            <w:bottom w:val="none" w:sz="0" w:space="0" w:color="auto"/>
            <w:right w:val="none" w:sz="0" w:space="0" w:color="auto"/>
          </w:divBdr>
          <w:divsChild>
            <w:div w:id="928973148">
              <w:marLeft w:val="0"/>
              <w:marRight w:val="0"/>
              <w:marTop w:val="0"/>
              <w:marBottom w:val="0"/>
              <w:divBdr>
                <w:top w:val="none" w:sz="0" w:space="0" w:color="auto"/>
                <w:left w:val="none" w:sz="0" w:space="0" w:color="auto"/>
                <w:bottom w:val="none" w:sz="0" w:space="0" w:color="auto"/>
                <w:right w:val="none" w:sz="0" w:space="0" w:color="auto"/>
              </w:divBdr>
              <w:divsChild>
                <w:div w:id="242379011">
                  <w:marLeft w:val="0"/>
                  <w:marRight w:val="0"/>
                  <w:marTop w:val="0"/>
                  <w:marBottom w:val="0"/>
                  <w:divBdr>
                    <w:top w:val="none" w:sz="0" w:space="0" w:color="auto"/>
                    <w:left w:val="none" w:sz="0" w:space="0" w:color="auto"/>
                    <w:bottom w:val="none" w:sz="0" w:space="0" w:color="auto"/>
                    <w:right w:val="none" w:sz="0" w:space="0" w:color="auto"/>
                  </w:divBdr>
                  <w:divsChild>
                    <w:div w:id="317618238">
                      <w:marLeft w:val="0"/>
                      <w:marRight w:val="0"/>
                      <w:marTop w:val="0"/>
                      <w:marBottom w:val="0"/>
                      <w:divBdr>
                        <w:top w:val="none" w:sz="0" w:space="0" w:color="auto"/>
                        <w:left w:val="none" w:sz="0" w:space="0" w:color="auto"/>
                        <w:bottom w:val="none" w:sz="0" w:space="0" w:color="auto"/>
                        <w:right w:val="none" w:sz="0" w:space="0" w:color="auto"/>
                      </w:divBdr>
                      <w:divsChild>
                        <w:div w:id="175267520">
                          <w:marLeft w:val="0"/>
                          <w:marRight w:val="0"/>
                          <w:marTop w:val="0"/>
                          <w:marBottom w:val="0"/>
                          <w:divBdr>
                            <w:top w:val="none" w:sz="0" w:space="0" w:color="auto"/>
                            <w:left w:val="none" w:sz="0" w:space="0" w:color="auto"/>
                            <w:bottom w:val="none" w:sz="0" w:space="0" w:color="auto"/>
                            <w:right w:val="none" w:sz="0" w:space="0" w:color="auto"/>
                          </w:divBdr>
                          <w:divsChild>
                            <w:div w:id="4650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404974">
      <w:bodyDiv w:val="1"/>
      <w:marLeft w:val="0"/>
      <w:marRight w:val="0"/>
      <w:marTop w:val="0"/>
      <w:marBottom w:val="0"/>
      <w:divBdr>
        <w:top w:val="none" w:sz="0" w:space="0" w:color="auto"/>
        <w:left w:val="none" w:sz="0" w:space="0" w:color="auto"/>
        <w:bottom w:val="none" w:sz="0" w:space="0" w:color="auto"/>
        <w:right w:val="none" w:sz="0" w:space="0" w:color="auto"/>
      </w:divBdr>
    </w:div>
    <w:div w:id="1164319059">
      <w:bodyDiv w:val="1"/>
      <w:marLeft w:val="0"/>
      <w:marRight w:val="0"/>
      <w:marTop w:val="0"/>
      <w:marBottom w:val="0"/>
      <w:divBdr>
        <w:top w:val="none" w:sz="0" w:space="0" w:color="auto"/>
        <w:left w:val="none" w:sz="0" w:space="0" w:color="auto"/>
        <w:bottom w:val="none" w:sz="0" w:space="0" w:color="auto"/>
        <w:right w:val="none" w:sz="0" w:space="0" w:color="auto"/>
      </w:divBdr>
    </w:div>
    <w:div w:id="1198158411">
      <w:bodyDiv w:val="1"/>
      <w:marLeft w:val="0"/>
      <w:marRight w:val="0"/>
      <w:marTop w:val="0"/>
      <w:marBottom w:val="0"/>
      <w:divBdr>
        <w:top w:val="none" w:sz="0" w:space="0" w:color="auto"/>
        <w:left w:val="none" w:sz="0" w:space="0" w:color="auto"/>
        <w:bottom w:val="none" w:sz="0" w:space="0" w:color="auto"/>
        <w:right w:val="none" w:sz="0" w:space="0" w:color="auto"/>
      </w:divBdr>
    </w:div>
    <w:div w:id="1219318739">
      <w:bodyDiv w:val="1"/>
      <w:marLeft w:val="0"/>
      <w:marRight w:val="0"/>
      <w:marTop w:val="0"/>
      <w:marBottom w:val="0"/>
      <w:divBdr>
        <w:top w:val="none" w:sz="0" w:space="0" w:color="auto"/>
        <w:left w:val="none" w:sz="0" w:space="0" w:color="auto"/>
        <w:bottom w:val="none" w:sz="0" w:space="0" w:color="auto"/>
        <w:right w:val="none" w:sz="0" w:space="0" w:color="auto"/>
      </w:divBdr>
    </w:div>
    <w:div w:id="1219323625">
      <w:bodyDiv w:val="1"/>
      <w:marLeft w:val="0"/>
      <w:marRight w:val="0"/>
      <w:marTop w:val="0"/>
      <w:marBottom w:val="0"/>
      <w:divBdr>
        <w:top w:val="none" w:sz="0" w:space="0" w:color="auto"/>
        <w:left w:val="none" w:sz="0" w:space="0" w:color="auto"/>
        <w:bottom w:val="none" w:sz="0" w:space="0" w:color="auto"/>
        <w:right w:val="none" w:sz="0" w:space="0" w:color="auto"/>
      </w:divBdr>
    </w:div>
    <w:div w:id="1236623138">
      <w:bodyDiv w:val="1"/>
      <w:marLeft w:val="0"/>
      <w:marRight w:val="0"/>
      <w:marTop w:val="0"/>
      <w:marBottom w:val="0"/>
      <w:divBdr>
        <w:top w:val="none" w:sz="0" w:space="0" w:color="auto"/>
        <w:left w:val="none" w:sz="0" w:space="0" w:color="auto"/>
        <w:bottom w:val="none" w:sz="0" w:space="0" w:color="auto"/>
        <w:right w:val="none" w:sz="0" w:space="0" w:color="auto"/>
      </w:divBdr>
    </w:div>
    <w:div w:id="1244994272">
      <w:bodyDiv w:val="1"/>
      <w:marLeft w:val="0"/>
      <w:marRight w:val="0"/>
      <w:marTop w:val="0"/>
      <w:marBottom w:val="0"/>
      <w:divBdr>
        <w:top w:val="none" w:sz="0" w:space="0" w:color="auto"/>
        <w:left w:val="none" w:sz="0" w:space="0" w:color="auto"/>
        <w:bottom w:val="none" w:sz="0" w:space="0" w:color="auto"/>
        <w:right w:val="none" w:sz="0" w:space="0" w:color="auto"/>
      </w:divBdr>
    </w:div>
    <w:div w:id="1290862825">
      <w:bodyDiv w:val="1"/>
      <w:marLeft w:val="0"/>
      <w:marRight w:val="0"/>
      <w:marTop w:val="0"/>
      <w:marBottom w:val="0"/>
      <w:divBdr>
        <w:top w:val="none" w:sz="0" w:space="0" w:color="auto"/>
        <w:left w:val="none" w:sz="0" w:space="0" w:color="auto"/>
        <w:bottom w:val="none" w:sz="0" w:space="0" w:color="auto"/>
        <w:right w:val="none" w:sz="0" w:space="0" w:color="auto"/>
      </w:divBdr>
    </w:div>
    <w:div w:id="1317414516">
      <w:bodyDiv w:val="1"/>
      <w:marLeft w:val="0"/>
      <w:marRight w:val="0"/>
      <w:marTop w:val="0"/>
      <w:marBottom w:val="0"/>
      <w:divBdr>
        <w:top w:val="none" w:sz="0" w:space="0" w:color="auto"/>
        <w:left w:val="none" w:sz="0" w:space="0" w:color="auto"/>
        <w:bottom w:val="none" w:sz="0" w:space="0" w:color="auto"/>
        <w:right w:val="none" w:sz="0" w:space="0" w:color="auto"/>
      </w:divBdr>
    </w:div>
    <w:div w:id="1418744364">
      <w:bodyDiv w:val="1"/>
      <w:marLeft w:val="0"/>
      <w:marRight w:val="0"/>
      <w:marTop w:val="0"/>
      <w:marBottom w:val="0"/>
      <w:divBdr>
        <w:top w:val="none" w:sz="0" w:space="0" w:color="auto"/>
        <w:left w:val="none" w:sz="0" w:space="0" w:color="auto"/>
        <w:bottom w:val="none" w:sz="0" w:space="0" w:color="auto"/>
        <w:right w:val="none" w:sz="0" w:space="0" w:color="auto"/>
      </w:divBdr>
    </w:div>
    <w:div w:id="1505701832">
      <w:bodyDiv w:val="1"/>
      <w:marLeft w:val="0"/>
      <w:marRight w:val="0"/>
      <w:marTop w:val="0"/>
      <w:marBottom w:val="0"/>
      <w:divBdr>
        <w:top w:val="none" w:sz="0" w:space="0" w:color="auto"/>
        <w:left w:val="none" w:sz="0" w:space="0" w:color="auto"/>
        <w:bottom w:val="none" w:sz="0" w:space="0" w:color="auto"/>
        <w:right w:val="none" w:sz="0" w:space="0" w:color="auto"/>
      </w:divBdr>
      <w:divsChild>
        <w:div w:id="302274285">
          <w:marLeft w:val="0"/>
          <w:marRight w:val="0"/>
          <w:marTop w:val="0"/>
          <w:marBottom w:val="0"/>
          <w:divBdr>
            <w:top w:val="none" w:sz="0" w:space="0" w:color="auto"/>
            <w:left w:val="none" w:sz="0" w:space="0" w:color="auto"/>
            <w:bottom w:val="none" w:sz="0" w:space="0" w:color="auto"/>
            <w:right w:val="none" w:sz="0" w:space="0" w:color="auto"/>
          </w:divBdr>
          <w:divsChild>
            <w:div w:id="1418097502">
              <w:marLeft w:val="0"/>
              <w:marRight w:val="0"/>
              <w:marTop w:val="0"/>
              <w:marBottom w:val="0"/>
              <w:divBdr>
                <w:top w:val="none" w:sz="0" w:space="0" w:color="auto"/>
                <w:left w:val="none" w:sz="0" w:space="0" w:color="auto"/>
                <w:bottom w:val="none" w:sz="0" w:space="0" w:color="auto"/>
                <w:right w:val="none" w:sz="0" w:space="0" w:color="auto"/>
              </w:divBdr>
              <w:divsChild>
                <w:div w:id="937566166">
                  <w:marLeft w:val="0"/>
                  <w:marRight w:val="0"/>
                  <w:marTop w:val="0"/>
                  <w:marBottom w:val="0"/>
                  <w:divBdr>
                    <w:top w:val="none" w:sz="0" w:space="0" w:color="auto"/>
                    <w:left w:val="none" w:sz="0" w:space="0" w:color="auto"/>
                    <w:bottom w:val="none" w:sz="0" w:space="0" w:color="auto"/>
                    <w:right w:val="none" w:sz="0" w:space="0" w:color="auto"/>
                  </w:divBdr>
                  <w:divsChild>
                    <w:div w:id="598679722">
                      <w:marLeft w:val="0"/>
                      <w:marRight w:val="0"/>
                      <w:marTop w:val="0"/>
                      <w:marBottom w:val="0"/>
                      <w:divBdr>
                        <w:top w:val="none" w:sz="0" w:space="0" w:color="auto"/>
                        <w:left w:val="none" w:sz="0" w:space="0" w:color="auto"/>
                        <w:bottom w:val="none" w:sz="0" w:space="0" w:color="auto"/>
                        <w:right w:val="none" w:sz="0" w:space="0" w:color="auto"/>
                      </w:divBdr>
                      <w:divsChild>
                        <w:div w:id="441921470">
                          <w:marLeft w:val="0"/>
                          <w:marRight w:val="0"/>
                          <w:marTop w:val="0"/>
                          <w:marBottom w:val="0"/>
                          <w:divBdr>
                            <w:top w:val="none" w:sz="0" w:space="0" w:color="auto"/>
                            <w:left w:val="none" w:sz="0" w:space="0" w:color="auto"/>
                            <w:bottom w:val="none" w:sz="0" w:space="0" w:color="auto"/>
                            <w:right w:val="none" w:sz="0" w:space="0" w:color="auto"/>
                          </w:divBdr>
                          <w:divsChild>
                            <w:div w:id="14263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427521">
      <w:bodyDiv w:val="1"/>
      <w:marLeft w:val="0"/>
      <w:marRight w:val="0"/>
      <w:marTop w:val="0"/>
      <w:marBottom w:val="0"/>
      <w:divBdr>
        <w:top w:val="none" w:sz="0" w:space="0" w:color="auto"/>
        <w:left w:val="none" w:sz="0" w:space="0" w:color="auto"/>
        <w:bottom w:val="none" w:sz="0" w:space="0" w:color="auto"/>
        <w:right w:val="none" w:sz="0" w:space="0" w:color="auto"/>
      </w:divBdr>
      <w:divsChild>
        <w:div w:id="820846583">
          <w:marLeft w:val="0"/>
          <w:marRight w:val="0"/>
          <w:marTop w:val="0"/>
          <w:marBottom w:val="0"/>
          <w:divBdr>
            <w:top w:val="none" w:sz="0" w:space="0" w:color="auto"/>
            <w:left w:val="none" w:sz="0" w:space="0" w:color="auto"/>
            <w:bottom w:val="none" w:sz="0" w:space="0" w:color="auto"/>
            <w:right w:val="none" w:sz="0" w:space="0" w:color="auto"/>
          </w:divBdr>
          <w:divsChild>
            <w:div w:id="978799185">
              <w:marLeft w:val="0"/>
              <w:marRight w:val="0"/>
              <w:marTop w:val="0"/>
              <w:marBottom w:val="0"/>
              <w:divBdr>
                <w:top w:val="none" w:sz="0" w:space="0" w:color="auto"/>
                <w:left w:val="none" w:sz="0" w:space="0" w:color="auto"/>
                <w:bottom w:val="none" w:sz="0" w:space="0" w:color="auto"/>
                <w:right w:val="none" w:sz="0" w:space="0" w:color="auto"/>
              </w:divBdr>
              <w:divsChild>
                <w:div w:id="1563131784">
                  <w:marLeft w:val="0"/>
                  <w:marRight w:val="0"/>
                  <w:marTop w:val="0"/>
                  <w:marBottom w:val="0"/>
                  <w:divBdr>
                    <w:top w:val="none" w:sz="0" w:space="0" w:color="auto"/>
                    <w:left w:val="none" w:sz="0" w:space="0" w:color="auto"/>
                    <w:bottom w:val="none" w:sz="0" w:space="0" w:color="auto"/>
                    <w:right w:val="none" w:sz="0" w:space="0" w:color="auto"/>
                  </w:divBdr>
                  <w:divsChild>
                    <w:div w:id="9465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1258">
      <w:bodyDiv w:val="1"/>
      <w:marLeft w:val="0"/>
      <w:marRight w:val="0"/>
      <w:marTop w:val="0"/>
      <w:marBottom w:val="0"/>
      <w:divBdr>
        <w:top w:val="none" w:sz="0" w:space="0" w:color="auto"/>
        <w:left w:val="none" w:sz="0" w:space="0" w:color="auto"/>
        <w:bottom w:val="none" w:sz="0" w:space="0" w:color="auto"/>
        <w:right w:val="none" w:sz="0" w:space="0" w:color="auto"/>
      </w:divBdr>
    </w:div>
    <w:div w:id="1651784936">
      <w:bodyDiv w:val="1"/>
      <w:marLeft w:val="0"/>
      <w:marRight w:val="0"/>
      <w:marTop w:val="0"/>
      <w:marBottom w:val="0"/>
      <w:divBdr>
        <w:top w:val="none" w:sz="0" w:space="0" w:color="auto"/>
        <w:left w:val="none" w:sz="0" w:space="0" w:color="auto"/>
        <w:bottom w:val="none" w:sz="0" w:space="0" w:color="auto"/>
        <w:right w:val="none" w:sz="0" w:space="0" w:color="auto"/>
      </w:divBdr>
    </w:div>
    <w:div w:id="1668098107">
      <w:bodyDiv w:val="1"/>
      <w:marLeft w:val="0"/>
      <w:marRight w:val="0"/>
      <w:marTop w:val="0"/>
      <w:marBottom w:val="0"/>
      <w:divBdr>
        <w:top w:val="none" w:sz="0" w:space="0" w:color="auto"/>
        <w:left w:val="none" w:sz="0" w:space="0" w:color="auto"/>
        <w:bottom w:val="none" w:sz="0" w:space="0" w:color="auto"/>
        <w:right w:val="none" w:sz="0" w:space="0" w:color="auto"/>
      </w:divBdr>
    </w:div>
    <w:div w:id="1774202084">
      <w:bodyDiv w:val="1"/>
      <w:marLeft w:val="0"/>
      <w:marRight w:val="0"/>
      <w:marTop w:val="0"/>
      <w:marBottom w:val="0"/>
      <w:divBdr>
        <w:top w:val="none" w:sz="0" w:space="0" w:color="auto"/>
        <w:left w:val="none" w:sz="0" w:space="0" w:color="auto"/>
        <w:bottom w:val="none" w:sz="0" w:space="0" w:color="auto"/>
        <w:right w:val="none" w:sz="0" w:space="0" w:color="auto"/>
      </w:divBdr>
    </w:div>
    <w:div w:id="2003704510">
      <w:bodyDiv w:val="1"/>
      <w:marLeft w:val="0"/>
      <w:marRight w:val="0"/>
      <w:marTop w:val="0"/>
      <w:marBottom w:val="0"/>
      <w:divBdr>
        <w:top w:val="none" w:sz="0" w:space="0" w:color="auto"/>
        <w:left w:val="none" w:sz="0" w:space="0" w:color="auto"/>
        <w:bottom w:val="none" w:sz="0" w:space="0" w:color="auto"/>
        <w:right w:val="none" w:sz="0" w:space="0" w:color="auto"/>
      </w:divBdr>
    </w:div>
    <w:div w:id="2018849825">
      <w:bodyDiv w:val="1"/>
      <w:marLeft w:val="0"/>
      <w:marRight w:val="0"/>
      <w:marTop w:val="0"/>
      <w:marBottom w:val="0"/>
      <w:divBdr>
        <w:top w:val="none" w:sz="0" w:space="0" w:color="auto"/>
        <w:left w:val="none" w:sz="0" w:space="0" w:color="auto"/>
        <w:bottom w:val="none" w:sz="0" w:space="0" w:color="auto"/>
        <w:right w:val="none" w:sz="0" w:space="0" w:color="auto"/>
      </w:divBdr>
    </w:div>
    <w:div w:id="2034380967">
      <w:bodyDiv w:val="1"/>
      <w:marLeft w:val="0"/>
      <w:marRight w:val="0"/>
      <w:marTop w:val="0"/>
      <w:marBottom w:val="0"/>
      <w:divBdr>
        <w:top w:val="none" w:sz="0" w:space="0" w:color="auto"/>
        <w:left w:val="none" w:sz="0" w:space="0" w:color="auto"/>
        <w:bottom w:val="none" w:sz="0" w:space="0" w:color="auto"/>
        <w:right w:val="none" w:sz="0" w:space="0" w:color="auto"/>
      </w:divBdr>
    </w:div>
    <w:div w:id="2052998903">
      <w:bodyDiv w:val="1"/>
      <w:marLeft w:val="0"/>
      <w:marRight w:val="0"/>
      <w:marTop w:val="0"/>
      <w:marBottom w:val="0"/>
      <w:divBdr>
        <w:top w:val="none" w:sz="0" w:space="0" w:color="auto"/>
        <w:left w:val="none" w:sz="0" w:space="0" w:color="auto"/>
        <w:bottom w:val="none" w:sz="0" w:space="0" w:color="auto"/>
        <w:right w:val="none" w:sz="0" w:space="0" w:color="auto"/>
      </w:divBdr>
      <w:divsChild>
        <w:div w:id="2054190210">
          <w:marLeft w:val="0"/>
          <w:marRight w:val="0"/>
          <w:marTop w:val="0"/>
          <w:marBottom w:val="0"/>
          <w:divBdr>
            <w:top w:val="none" w:sz="0" w:space="0" w:color="auto"/>
            <w:left w:val="none" w:sz="0" w:space="0" w:color="auto"/>
            <w:bottom w:val="none" w:sz="0" w:space="0" w:color="auto"/>
            <w:right w:val="none" w:sz="0" w:space="0" w:color="auto"/>
          </w:divBdr>
          <w:divsChild>
            <w:div w:id="110436621">
              <w:marLeft w:val="0"/>
              <w:marRight w:val="0"/>
              <w:marTop w:val="0"/>
              <w:marBottom w:val="0"/>
              <w:divBdr>
                <w:top w:val="none" w:sz="0" w:space="0" w:color="auto"/>
                <w:left w:val="none" w:sz="0" w:space="0" w:color="auto"/>
                <w:bottom w:val="none" w:sz="0" w:space="0" w:color="auto"/>
                <w:right w:val="none" w:sz="0" w:space="0" w:color="auto"/>
              </w:divBdr>
              <w:divsChild>
                <w:div w:id="330177561">
                  <w:marLeft w:val="0"/>
                  <w:marRight w:val="0"/>
                  <w:marTop w:val="0"/>
                  <w:marBottom w:val="0"/>
                  <w:divBdr>
                    <w:top w:val="none" w:sz="0" w:space="0" w:color="auto"/>
                    <w:left w:val="none" w:sz="0" w:space="0" w:color="auto"/>
                    <w:bottom w:val="none" w:sz="0" w:space="0" w:color="auto"/>
                    <w:right w:val="none" w:sz="0" w:space="0" w:color="auto"/>
                  </w:divBdr>
                  <w:divsChild>
                    <w:div w:id="1510871936">
                      <w:marLeft w:val="0"/>
                      <w:marRight w:val="0"/>
                      <w:marTop w:val="0"/>
                      <w:marBottom w:val="0"/>
                      <w:divBdr>
                        <w:top w:val="none" w:sz="0" w:space="0" w:color="auto"/>
                        <w:left w:val="none" w:sz="0" w:space="0" w:color="auto"/>
                        <w:bottom w:val="none" w:sz="0" w:space="0" w:color="auto"/>
                        <w:right w:val="none" w:sz="0" w:space="0" w:color="auto"/>
                      </w:divBdr>
                      <w:divsChild>
                        <w:div w:id="491067149">
                          <w:marLeft w:val="0"/>
                          <w:marRight w:val="0"/>
                          <w:marTop w:val="0"/>
                          <w:marBottom w:val="0"/>
                          <w:divBdr>
                            <w:top w:val="none" w:sz="0" w:space="0" w:color="auto"/>
                            <w:left w:val="none" w:sz="0" w:space="0" w:color="auto"/>
                            <w:bottom w:val="none" w:sz="0" w:space="0" w:color="auto"/>
                            <w:right w:val="none" w:sz="0" w:space="0" w:color="auto"/>
                          </w:divBdr>
                          <w:divsChild>
                            <w:div w:id="1351688031">
                              <w:marLeft w:val="0"/>
                              <w:marRight w:val="0"/>
                              <w:marTop w:val="0"/>
                              <w:marBottom w:val="0"/>
                              <w:divBdr>
                                <w:top w:val="none" w:sz="0" w:space="0" w:color="auto"/>
                                <w:left w:val="none" w:sz="0" w:space="0" w:color="auto"/>
                                <w:bottom w:val="none" w:sz="0" w:space="0" w:color="auto"/>
                                <w:right w:val="none" w:sz="0" w:space="0" w:color="auto"/>
                              </w:divBdr>
                              <w:divsChild>
                                <w:div w:id="5643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6424">
          <w:marLeft w:val="0"/>
          <w:marRight w:val="0"/>
          <w:marTop w:val="0"/>
          <w:marBottom w:val="0"/>
          <w:divBdr>
            <w:top w:val="none" w:sz="0" w:space="0" w:color="auto"/>
            <w:left w:val="none" w:sz="0" w:space="0" w:color="auto"/>
            <w:bottom w:val="none" w:sz="0" w:space="0" w:color="auto"/>
            <w:right w:val="none" w:sz="0" w:space="0" w:color="auto"/>
          </w:divBdr>
          <w:divsChild>
            <w:div w:id="1079212617">
              <w:marLeft w:val="0"/>
              <w:marRight w:val="0"/>
              <w:marTop w:val="0"/>
              <w:marBottom w:val="0"/>
              <w:divBdr>
                <w:top w:val="none" w:sz="0" w:space="0" w:color="auto"/>
                <w:left w:val="none" w:sz="0" w:space="0" w:color="auto"/>
                <w:bottom w:val="none" w:sz="0" w:space="0" w:color="auto"/>
                <w:right w:val="none" w:sz="0" w:space="0" w:color="auto"/>
              </w:divBdr>
              <w:divsChild>
                <w:div w:id="1941595892">
                  <w:marLeft w:val="0"/>
                  <w:marRight w:val="0"/>
                  <w:marTop w:val="0"/>
                  <w:marBottom w:val="0"/>
                  <w:divBdr>
                    <w:top w:val="none" w:sz="0" w:space="0" w:color="auto"/>
                    <w:left w:val="none" w:sz="0" w:space="0" w:color="auto"/>
                    <w:bottom w:val="none" w:sz="0" w:space="0" w:color="auto"/>
                    <w:right w:val="none" w:sz="0" w:space="0" w:color="auto"/>
                  </w:divBdr>
                  <w:divsChild>
                    <w:div w:id="1023869865">
                      <w:marLeft w:val="0"/>
                      <w:marRight w:val="0"/>
                      <w:marTop w:val="0"/>
                      <w:marBottom w:val="0"/>
                      <w:divBdr>
                        <w:top w:val="none" w:sz="0" w:space="0" w:color="auto"/>
                        <w:left w:val="none" w:sz="0" w:space="0" w:color="auto"/>
                        <w:bottom w:val="none" w:sz="0" w:space="0" w:color="auto"/>
                        <w:right w:val="none" w:sz="0" w:space="0" w:color="auto"/>
                      </w:divBdr>
                      <w:divsChild>
                        <w:div w:id="657458405">
                          <w:marLeft w:val="0"/>
                          <w:marRight w:val="0"/>
                          <w:marTop w:val="0"/>
                          <w:marBottom w:val="0"/>
                          <w:divBdr>
                            <w:top w:val="none" w:sz="0" w:space="0" w:color="auto"/>
                            <w:left w:val="none" w:sz="0" w:space="0" w:color="auto"/>
                            <w:bottom w:val="none" w:sz="0" w:space="0" w:color="auto"/>
                            <w:right w:val="none" w:sz="0" w:space="0" w:color="auto"/>
                          </w:divBdr>
                          <w:divsChild>
                            <w:div w:id="4208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584806">
      <w:bodyDiv w:val="1"/>
      <w:marLeft w:val="0"/>
      <w:marRight w:val="0"/>
      <w:marTop w:val="0"/>
      <w:marBottom w:val="0"/>
      <w:divBdr>
        <w:top w:val="none" w:sz="0" w:space="0" w:color="auto"/>
        <w:left w:val="none" w:sz="0" w:space="0" w:color="auto"/>
        <w:bottom w:val="none" w:sz="0" w:space="0" w:color="auto"/>
        <w:right w:val="none" w:sz="0" w:space="0" w:color="auto"/>
      </w:divBdr>
    </w:div>
    <w:div w:id="21145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datawrapper.dwcdn.net/tBPxY/1/" TargetMode="External"/><Relationship Id="rId39" Type="http://schemas.openxmlformats.org/officeDocument/2006/relationships/hyperlink" Target="https://www.migrationdataportal.org/themes/environmental_migration_and_statistics_old" TargetMode="External"/><Relationship Id="rId21" Type="http://schemas.openxmlformats.org/officeDocument/2006/relationships/chart" Target="charts/chart12.xml"/><Relationship Id="rId34" Type="http://schemas.openxmlformats.org/officeDocument/2006/relationships/hyperlink" Target="https://energy.ec.europa.eu/topics/markets-and-consumers/energy-consumers-and-prosumers/energy-poverty_en" TargetMode="External"/><Relationship Id="rId42" Type="http://schemas.openxmlformats.org/officeDocument/2006/relationships/hyperlink" Target="https://doi.org/10.1029/2021EF002283"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7.xml"/><Relationship Id="rId29" Type="http://schemas.openxmlformats.org/officeDocument/2006/relationships/image" Target="media/image8.png"/><Relationship Id="rId11" Type="http://schemas.openxmlformats.org/officeDocument/2006/relationships/chart" Target="charts/chart2.xml"/><Relationship Id="rId24" Type="http://schemas.openxmlformats.org/officeDocument/2006/relationships/image" Target="media/image5.png"/><Relationship Id="rId32" Type="http://schemas.openxmlformats.org/officeDocument/2006/relationships/hyperlink" Target="https://publications.iom.int/books/people-move-changing-climate-linking-policy-evidence-and-action" TargetMode="External"/><Relationship Id="rId37" Type="http://schemas.openxmlformats.org/officeDocument/2006/relationships/hyperlink" Target="https://www.internal-displacement.org/database/displacement-data/" TargetMode="External"/><Relationship Id="rId40" Type="http://schemas.openxmlformats.org/officeDocument/2006/relationships/hyperlink" Target="https://www.migrationpolicy.org/programs/migration-information-source/special-issue-climate-change-and-migration"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image" Target="media/image4.png"/><Relationship Id="rId28" Type="http://schemas.openxmlformats.org/officeDocument/2006/relationships/hyperlink" Target="https://datawrapper.dwcdn.net/QBx36/1/" TargetMode="External"/><Relationship Id="rId36" Type="http://schemas.openxmlformats.org/officeDocument/2006/relationships/hyperlink" Target="https://www.migrationpolicy.org/article/climate-migration-101-explainer" TargetMode="Externa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www.nature.com/articles/s44168-024-00133-1?fromPaywallRec=false"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7.png"/><Relationship Id="rId30" Type="http://schemas.openxmlformats.org/officeDocument/2006/relationships/hyperlink" Target="https://datawrapper.dwcdn.net/NCEuP/3" TargetMode="External"/><Relationship Id="rId35" Type="http://schemas.openxmlformats.org/officeDocument/2006/relationships/hyperlink" Target="https://en-roads.climateinteractive.org/scenario.html?v=25.1.0&amp;p1=75&amp;p16=-0.04&amp;p50=1.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6.png"/><Relationship Id="rId33" Type="http://schemas.openxmlformats.org/officeDocument/2006/relationships/hyperlink" Target="https://climatereanalyzer.org/clim/sst_daily/?dm_id=world2" TargetMode="External"/><Relationship Id="rId38" Type="http://schemas.openxmlformats.org/officeDocument/2006/relationships/hyperlink" Target="https://story.internal-displacement.org/estimating-displacement-risk-using-data-driven-approaches-flood-and-drought-displacement-risk-in-the-horn-of-africa/?utm_source=chatgpt.com" TargetMode="External"/><Relationship Id="rId46" Type="http://schemas.openxmlformats.org/officeDocument/2006/relationships/footer" Target="footer2.xml"/><Relationship Id="rId20" Type="http://schemas.openxmlformats.org/officeDocument/2006/relationships/chart" Target="charts/chart11.xml"/><Relationship Id="rId41" Type="http://schemas.openxmlformats.org/officeDocument/2006/relationships/hyperlink" Target="https://mpichangingclimatechangingmigration.podbean.com/?utm_source=chatgpt.com"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Hoja1!$A$1:$A$10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Hoja1!$B$1:$B$10</c:f>
              <c:numCache>
                <c:formatCode>General</c:formatCode>
                <c:ptCount val="10"/>
                <c:pt idx="0">
                  <c:v>19.100000000000001</c:v>
                </c:pt>
                <c:pt idx="1">
                  <c:v>19.2</c:v>
                </c:pt>
                <c:pt idx="2">
                  <c:v>24.4</c:v>
                </c:pt>
                <c:pt idx="3">
                  <c:v>18.7</c:v>
                </c:pt>
                <c:pt idx="4">
                  <c:v>17.5</c:v>
                </c:pt>
                <c:pt idx="5">
                  <c:v>25.3</c:v>
                </c:pt>
                <c:pt idx="6">
                  <c:v>31</c:v>
                </c:pt>
                <c:pt idx="7">
                  <c:v>23.7</c:v>
                </c:pt>
                <c:pt idx="8">
                  <c:v>32.5</c:v>
                </c:pt>
                <c:pt idx="9">
                  <c:v>26.4</c:v>
                </c:pt>
              </c:numCache>
            </c:numRef>
          </c:val>
          <c:smooth val="0"/>
          <c:extLst>
            <c:ext xmlns:c16="http://schemas.microsoft.com/office/drawing/2014/chart" uri="{C3380CC4-5D6E-409C-BE32-E72D297353CC}">
              <c16:uniqueId val="{00000000-44C0-439B-BAAE-04F0FC1EF569}"/>
            </c:ext>
          </c:extLst>
        </c:ser>
        <c:dLbls>
          <c:showLegendKey val="0"/>
          <c:showVal val="0"/>
          <c:showCatName val="0"/>
          <c:showSerName val="0"/>
          <c:showPercent val="0"/>
          <c:showBubbleSize val="0"/>
        </c:dLbls>
        <c:smooth val="0"/>
        <c:axId val="-878867664"/>
        <c:axId val="-878864944"/>
      </c:lineChart>
      <c:catAx>
        <c:axId val="-878867664"/>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b="0">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8864944"/>
        <c:crosses val="autoZero"/>
        <c:auto val="1"/>
        <c:lblAlgn val="ctr"/>
        <c:lblOffset val="100"/>
        <c:noMultiLvlLbl val="0"/>
      </c:catAx>
      <c:valAx>
        <c:axId val="-878864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b="0">
                    <a:latin typeface="Times New Roman" panose="02020603050405020304" pitchFamily="18" charset="0"/>
                    <a:cs typeface="Times New Roman" panose="02020603050405020304" pitchFamily="18" charset="0"/>
                  </a:rPr>
                  <a:t>Millions</a:t>
                </a:r>
                <a:r>
                  <a:rPr lang="en-GB" sz="1050" b="0" baseline="0">
                    <a:latin typeface="Times New Roman" panose="02020603050405020304" pitchFamily="18" charset="0"/>
                    <a:cs typeface="Times New Roman" panose="02020603050405020304" pitchFamily="18" charset="0"/>
                  </a:rPr>
                  <a:t> of IDPs</a:t>
                </a:r>
                <a:endParaRPr lang="en-GB" sz="1050" b="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Philippines</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Hoja1!$A$117:$A$133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Hoja1!$B$117:$B$133</c:f>
              <c:numCache>
                <c:formatCode>General</c:formatCode>
                <c:ptCount val="17"/>
                <c:pt idx="0">
                  <c:v>2.8</c:v>
                </c:pt>
                <c:pt idx="1">
                  <c:v>2.1</c:v>
                </c:pt>
                <c:pt idx="2">
                  <c:v>1</c:v>
                </c:pt>
                <c:pt idx="3">
                  <c:v>2.5</c:v>
                </c:pt>
                <c:pt idx="4">
                  <c:v>3.9</c:v>
                </c:pt>
                <c:pt idx="5">
                  <c:v>7</c:v>
                </c:pt>
                <c:pt idx="6">
                  <c:v>5.8</c:v>
                </c:pt>
                <c:pt idx="7">
                  <c:v>2.2000000000000002</c:v>
                </c:pt>
                <c:pt idx="8">
                  <c:v>5.9</c:v>
                </c:pt>
                <c:pt idx="9">
                  <c:v>2.5</c:v>
                </c:pt>
                <c:pt idx="10">
                  <c:v>3.8</c:v>
                </c:pt>
                <c:pt idx="11">
                  <c:v>4.5</c:v>
                </c:pt>
                <c:pt idx="12">
                  <c:v>4.5</c:v>
                </c:pt>
                <c:pt idx="13">
                  <c:v>5.7</c:v>
                </c:pt>
                <c:pt idx="14">
                  <c:v>5.5</c:v>
                </c:pt>
                <c:pt idx="15">
                  <c:v>2.6</c:v>
                </c:pt>
                <c:pt idx="16">
                  <c:v>9</c:v>
                </c:pt>
              </c:numCache>
            </c:numRef>
          </c:val>
          <c:extLst>
            <c:ext xmlns:c16="http://schemas.microsoft.com/office/drawing/2014/chart" uri="{C3380CC4-5D6E-409C-BE32-E72D297353CC}">
              <c16:uniqueId val="{00000000-DEA2-4E59-8646-FB199D2A6498}"/>
            </c:ext>
          </c:extLst>
        </c:ser>
        <c:dLbls>
          <c:showLegendKey val="0"/>
          <c:showVal val="0"/>
          <c:showCatName val="0"/>
          <c:showSerName val="0"/>
          <c:showPercent val="0"/>
          <c:showBubbleSize val="0"/>
        </c:dLbls>
        <c:gapWidth val="219"/>
        <c:overlap val="-27"/>
        <c:axId val="-978048000"/>
        <c:axId val="-978043648"/>
      </c:barChart>
      <c:catAx>
        <c:axId val="-97804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043648"/>
        <c:crosses val="autoZero"/>
        <c:auto val="1"/>
        <c:lblAlgn val="ctr"/>
        <c:lblOffset val="100"/>
        <c:noMultiLvlLbl val="0"/>
      </c:catAx>
      <c:valAx>
        <c:axId val="-97804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048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Sudan</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Hoja1!$A$136:$A$152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Hoja1!$B$136:$B$152</c:f>
              <c:numCache>
                <c:formatCode>General</c:formatCode>
                <c:ptCount val="17"/>
                <c:pt idx="0">
                  <c:v>46</c:v>
                </c:pt>
                <c:pt idx="1">
                  <c:v>80</c:v>
                </c:pt>
                <c:pt idx="2">
                  <c:v>20</c:v>
                </c:pt>
                <c:pt idx="3">
                  <c:v>19</c:v>
                </c:pt>
                <c:pt idx="4">
                  <c:v>84</c:v>
                </c:pt>
                <c:pt idx="5">
                  <c:v>284</c:v>
                </c:pt>
                <c:pt idx="6">
                  <c:v>187</c:v>
                </c:pt>
                <c:pt idx="7">
                  <c:v>8.3000000000000007</c:v>
                </c:pt>
                <c:pt idx="8">
                  <c:v>123</c:v>
                </c:pt>
                <c:pt idx="9">
                  <c:v>54</c:v>
                </c:pt>
                <c:pt idx="10">
                  <c:v>121</c:v>
                </c:pt>
                <c:pt idx="11">
                  <c:v>272</c:v>
                </c:pt>
                <c:pt idx="12">
                  <c:v>454</c:v>
                </c:pt>
                <c:pt idx="13">
                  <c:v>99</c:v>
                </c:pt>
                <c:pt idx="14">
                  <c:v>105</c:v>
                </c:pt>
                <c:pt idx="15">
                  <c:v>58</c:v>
                </c:pt>
                <c:pt idx="16">
                  <c:v>200</c:v>
                </c:pt>
              </c:numCache>
            </c:numRef>
          </c:val>
          <c:extLst>
            <c:ext xmlns:c16="http://schemas.microsoft.com/office/drawing/2014/chart" uri="{C3380CC4-5D6E-409C-BE32-E72D297353CC}">
              <c16:uniqueId val="{00000000-EDC6-4C19-9D3D-2F159063AE05}"/>
            </c:ext>
          </c:extLst>
        </c:ser>
        <c:dLbls>
          <c:showLegendKey val="0"/>
          <c:showVal val="0"/>
          <c:showCatName val="0"/>
          <c:showSerName val="0"/>
          <c:showPercent val="0"/>
          <c:showBubbleSize val="0"/>
        </c:dLbls>
        <c:gapWidth val="219"/>
        <c:overlap val="-27"/>
        <c:axId val="-978055616"/>
        <c:axId val="-972426544"/>
      </c:barChart>
      <c:catAx>
        <c:axId val="-97805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426544"/>
        <c:crosses val="autoZero"/>
        <c:auto val="1"/>
        <c:lblAlgn val="ctr"/>
        <c:lblOffset val="100"/>
        <c:noMultiLvlLbl val="0"/>
      </c:catAx>
      <c:valAx>
        <c:axId val="-97242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05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Brazil</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Hoja1!$A$156:$A$172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Hoja1!$B$156:$B$172</c:f>
              <c:numCache>
                <c:formatCode>General</c:formatCode>
                <c:ptCount val="17"/>
                <c:pt idx="0">
                  <c:v>309</c:v>
                </c:pt>
                <c:pt idx="1">
                  <c:v>523</c:v>
                </c:pt>
                <c:pt idx="2">
                  <c:v>230</c:v>
                </c:pt>
                <c:pt idx="3">
                  <c:v>170</c:v>
                </c:pt>
                <c:pt idx="4">
                  <c:v>35</c:v>
                </c:pt>
                <c:pt idx="5">
                  <c:v>82</c:v>
                </c:pt>
                <c:pt idx="6">
                  <c:v>150</c:v>
                </c:pt>
                <c:pt idx="7">
                  <c:v>59</c:v>
                </c:pt>
                <c:pt idx="8">
                  <c:v>14</c:v>
                </c:pt>
                <c:pt idx="9">
                  <c:v>71</c:v>
                </c:pt>
                <c:pt idx="10">
                  <c:v>86</c:v>
                </c:pt>
                <c:pt idx="11">
                  <c:v>293</c:v>
                </c:pt>
                <c:pt idx="12">
                  <c:v>358</c:v>
                </c:pt>
                <c:pt idx="13">
                  <c:v>449</c:v>
                </c:pt>
                <c:pt idx="14">
                  <c:v>708</c:v>
                </c:pt>
                <c:pt idx="15">
                  <c:v>745</c:v>
                </c:pt>
                <c:pt idx="16">
                  <c:v>1100</c:v>
                </c:pt>
              </c:numCache>
            </c:numRef>
          </c:val>
          <c:extLst>
            <c:ext xmlns:c16="http://schemas.microsoft.com/office/drawing/2014/chart" uri="{C3380CC4-5D6E-409C-BE32-E72D297353CC}">
              <c16:uniqueId val="{00000000-5F5C-4CE0-86F8-5F40DDAFDB0A}"/>
            </c:ext>
          </c:extLst>
        </c:ser>
        <c:dLbls>
          <c:showLegendKey val="0"/>
          <c:showVal val="0"/>
          <c:showCatName val="0"/>
          <c:showSerName val="0"/>
          <c:showPercent val="0"/>
          <c:showBubbleSize val="0"/>
        </c:dLbls>
        <c:gapWidth val="219"/>
        <c:overlap val="-27"/>
        <c:axId val="-972430896"/>
        <c:axId val="-972423824"/>
      </c:barChart>
      <c:catAx>
        <c:axId val="-97243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423824"/>
        <c:crosses val="autoZero"/>
        <c:auto val="1"/>
        <c:lblAlgn val="ctr"/>
        <c:lblOffset val="100"/>
        <c:noMultiLvlLbl val="0"/>
      </c:catAx>
      <c:valAx>
        <c:axId val="-97242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43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solidFill>
                  <a:sysClr val="windowText" lastClr="000000"/>
                </a:solidFill>
              </a:rPr>
              <a:t>Number</a:t>
            </a:r>
            <a:r>
              <a:rPr lang="es-ES" baseline="0">
                <a:solidFill>
                  <a:sysClr val="windowText" lastClr="000000"/>
                </a:solidFill>
              </a:rPr>
              <a:t> of d</a:t>
            </a:r>
            <a:r>
              <a:rPr lang="en-GB">
                <a:solidFill>
                  <a:sysClr val="windowText" lastClr="000000"/>
                </a:solidFill>
              </a:rPr>
              <a:t>ead</a:t>
            </a:r>
            <a:r>
              <a:rPr lang="en-GB" baseline="0">
                <a:solidFill>
                  <a:sysClr val="windowText" lastClr="000000"/>
                </a:solidFill>
              </a:rPr>
              <a:t> by extreme heat per 100.000 people/year </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Hoja1!$B$175</c:f>
              <c:strCache>
                <c:ptCount val="1"/>
                <c:pt idx="0">
                  <c:v>current</c:v>
                </c:pt>
              </c:strCache>
            </c:strRef>
          </c:tx>
          <c:spPr>
            <a:ln w="28575" cap="rnd">
              <a:solidFill>
                <a:schemeClr val="accent1"/>
              </a:solidFill>
              <a:round/>
            </a:ln>
            <a:effectLst/>
          </c:spPr>
          <c:marker>
            <c:symbol val="none"/>
          </c:marker>
          <c:cat>
            <c:numRef>
              <c:f>Hoja1!$A$176:$A$181</c:f>
              <c:numCache>
                <c:formatCode>General</c:formatCode>
                <c:ptCount val="6"/>
                <c:pt idx="0">
                  <c:v>2000</c:v>
                </c:pt>
                <c:pt idx="1">
                  <c:v>2020</c:v>
                </c:pt>
                <c:pt idx="2">
                  <c:v>2040</c:v>
                </c:pt>
                <c:pt idx="3">
                  <c:v>2060</c:v>
                </c:pt>
                <c:pt idx="4">
                  <c:v>2080</c:v>
                </c:pt>
                <c:pt idx="5">
                  <c:v>2100</c:v>
                </c:pt>
              </c:numCache>
            </c:numRef>
          </c:cat>
          <c:val>
            <c:numRef>
              <c:f>Hoja1!$B$176:$B$181</c:f>
              <c:numCache>
                <c:formatCode>General</c:formatCode>
                <c:ptCount val="6"/>
                <c:pt idx="0">
                  <c:v>5.2</c:v>
                </c:pt>
                <c:pt idx="1">
                  <c:v>7.8</c:v>
                </c:pt>
                <c:pt idx="2">
                  <c:v>10</c:v>
                </c:pt>
                <c:pt idx="3">
                  <c:v>12.5</c:v>
                </c:pt>
                <c:pt idx="4">
                  <c:v>14</c:v>
                </c:pt>
                <c:pt idx="5">
                  <c:v>16.5</c:v>
                </c:pt>
              </c:numCache>
            </c:numRef>
          </c:val>
          <c:smooth val="0"/>
          <c:extLst>
            <c:ext xmlns:c16="http://schemas.microsoft.com/office/drawing/2014/chart" uri="{C3380CC4-5D6E-409C-BE32-E72D297353CC}">
              <c16:uniqueId val="{00000000-2E71-40B4-9DEC-B90AE99E2AEC}"/>
            </c:ext>
          </c:extLst>
        </c:ser>
        <c:ser>
          <c:idx val="1"/>
          <c:order val="1"/>
          <c:tx>
            <c:strRef>
              <c:f>Hoja1!$C$175</c:f>
              <c:strCache>
                <c:ptCount val="1"/>
                <c:pt idx="0">
                  <c:v>baseline</c:v>
                </c:pt>
              </c:strCache>
            </c:strRef>
          </c:tx>
          <c:spPr>
            <a:ln w="28575" cap="rnd">
              <a:solidFill>
                <a:schemeClr val="accent2"/>
              </a:solidFill>
              <a:round/>
            </a:ln>
            <a:effectLst/>
          </c:spPr>
          <c:marker>
            <c:symbol val="none"/>
          </c:marker>
          <c:cat>
            <c:numRef>
              <c:f>Hoja1!$A$176:$A$181</c:f>
              <c:numCache>
                <c:formatCode>General</c:formatCode>
                <c:ptCount val="6"/>
                <c:pt idx="0">
                  <c:v>2000</c:v>
                </c:pt>
                <c:pt idx="1">
                  <c:v>2020</c:v>
                </c:pt>
                <c:pt idx="2">
                  <c:v>2040</c:v>
                </c:pt>
                <c:pt idx="3">
                  <c:v>2060</c:v>
                </c:pt>
                <c:pt idx="4">
                  <c:v>2080</c:v>
                </c:pt>
                <c:pt idx="5">
                  <c:v>2100</c:v>
                </c:pt>
              </c:numCache>
            </c:numRef>
          </c:cat>
          <c:val>
            <c:numRef>
              <c:f>Hoja1!$C$176:$C$181</c:f>
              <c:numCache>
                <c:formatCode>General</c:formatCode>
                <c:ptCount val="6"/>
                <c:pt idx="0">
                  <c:v>5.2</c:v>
                </c:pt>
                <c:pt idx="1">
                  <c:v>7.8</c:v>
                </c:pt>
                <c:pt idx="2">
                  <c:v>10.5</c:v>
                </c:pt>
                <c:pt idx="3">
                  <c:v>14.5</c:v>
                </c:pt>
                <c:pt idx="4">
                  <c:v>19</c:v>
                </c:pt>
                <c:pt idx="5">
                  <c:v>26</c:v>
                </c:pt>
              </c:numCache>
            </c:numRef>
          </c:val>
          <c:smooth val="0"/>
          <c:extLst>
            <c:ext xmlns:c16="http://schemas.microsoft.com/office/drawing/2014/chart" uri="{C3380CC4-5D6E-409C-BE32-E72D297353CC}">
              <c16:uniqueId val="{00000001-2E71-40B4-9DEC-B90AE99E2AEC}"/>
            </c:ext>
          </c:extLst>
        </c:ser>
        <c:dLbls>
          <c:showLegendKey val="0"/>
          <c:showVal val="0"/>
          <c:showCatName val="0"/>
          <c:showSerName val="0"/>
          <c:showPercent val="0"/>
          <c:showBubbleSize val="0"/>
        </c:dLbls>
        <c:smooth val="0"/>
        <c:axId val="-1106698096"/>
        <c:axId val="-1111643904"/>
      </c:lineChart>
      <c:catAx>
        <c:axId val="-110669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643904"/>
        <c:crosses val="autoZero"/>
        <c:auto val="1"/>
        <c:lblAlgn val="ctr"/>
        <c:lblOffset val="100"/>
        <c:noMultiLvlLbl val="0"/>
      </c:catAx>
      <c:valAx>
        <c:axId val="-111164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669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Hoja1!$B$17</c:f>
              <c:strCache>
                <c:ptCount val="1"/>
                <c:pt idx="0">
                  <c:v>Storm</c:v>
                </c:pt>
              </c:strCache>
            </c:strRef>
          </c:tx>
          <c:spPr>
            <a:solidFill>
              <a:schemeClr val="accent1"/>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Hoja1!$B$18:$B$27</c:f>
              <c:numCache>
                <c:formatCode>General</c:formatCode>
                <c:ptCount val="10"/>
                <c:pt idx="0">
                  <c:v>9</c:v>
                </c:pt>
                <c:pt idx="1">
                  <c:v>6</c:v>
                </c:pt>
                <c:pt idx="2">
                  <c:v>13.5</c:v>
                </c:pt>
                <c:pt idx="3">
                  <c:v>7.5</c:v>
                </c:pt>
                <c:pt idx="4">
                  <c:v>9.5</c:v>
                </c:pt>
                <c:pt idx="5">
                  <c:v>13.7</c:v>
                </c:pt>
                <c:pt idx="6">
                  <c:v>15</c:v>
                </c:pt>
                <c:pt idx="7">
                  <c:v>12</c:v>
                </c:pt>
                <c:pt idx="8">
                  <c:v>10</c:v>
                </c:pt>
                <c:pt idx="9">
                  <c:v>9.5</c:v>
                </c:pt>
              </c:numCache>
            </c:numRef>
          </c:val>
          <c:extLst>
            <c:ext xmlns:c16="http://schemas.microsoft.com/office/drawing/2014/chart" uri="{C3380CC4-5D6E-409C-BE32-E72D297353CC}">
              <c16:uniqueId val="{00000000-9489-4D75-945B-A9E4AE970A2A}"/>
            </c:ext>
          </c:extLst>
        </c:ser>
        <c:ser>
          <c:idx val="1"/>
          <c:order val="1"/>
          <c:tx>
            <c:strRef>
              <c:f>Hoja1!$C$17</c:f>
              <c:strCache>
                <c:ptCount val="1"/>
                <c:pt idx="0">
                  <c:v>Flood</c:v>
                </c:pt>
              </c:strCache>
            </c:strRef>
          </c:tx>
          <c:spPr>
            <a:solidFill>
              <a:schemeClr val="accent2"/>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Hoja1!$C$18:$C$27</c:f>
              <c:numCache>
                <c:formatCode>General</c:formatCode>
                <c:ptCount val="10"/>
                <c:pt idx="0">
                  <c:v>7.5</c:v>
                </c:pt>
                <c:pt idx="1">
                  <c:v>8</c:v>
                </c:pt>
                <c:pt idx="2">
                  <c:v>10</c:v>
                </c:pt>
                <c:pt idx="3">
                  <c:v>7.4</c:v>
                </c:pt>
                <c:pt idx="4">
                  <c:v>5.0999999999999996</c:v>
                </c:pt>
                <c:pt idx="5">
                  <c:v>10</c:v>
                </c:pt>
                <c:pt idx="6">
                  <c:v>9</c:v>
                </c:pt>
                <c:pt idx="7">
                  <c:v>10</c:v>
                </c:pt>
                <c:pt idx="8">
                  <c:v>18.5</c:v>
                </c:pt>
                <c:pt idx="9">
                  <c:v>9.5</c:v>
                </c:pt>
              </c:numCache>
            </c:numRef>
          </c:val>
          <c:extLst>
            <c:ext xmlns:c16="http://schemas.microsoft.com/office/drawing/2014/chart" uri="{C3380CC4-5D6E-409C-BE32-E72D297353CC}">
              <c16:uniqueId val="{00000001-9489-4D75-945B-A9E4AE970A2A}"/>
            </c:ext>
          </c:extLst>
        </c:ser>
        <c:ser>
          <c:idx val="2"/>
          <c:order val="2"/>
          <c:tx>
            <c:strRef>
              <c:f>Hoja1!$D$17</c:f>
              <c:strCache>
                <c:ptCount val="1"/>
                <c:pt idx="0">
                  <c:v>Easthquake</c:v>
                </c:pt>
              </c:strCache>
            </c:strRef>
          </c:tx>
          <c:spPr>
            <a:solidFill>
              <a:schemeClr val="accent3"/>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Hoja1!$D$18:$D$27</c:f>
              <c:numCache>
                <c:formatCode>General</c:formatCode>
                <c:ptCount val="10"/>
                <c:pt idx="0">
                  <c:v>2.5</c:v>
                </c:pt>
                <c:pt idx="1">
                  <c:v>4.5</c:v>
                </c:pt>
                <c:pt idx="2">
                  <c:v>1</c:v>
                </c:pt>
                <c:pt idx="3">
                  <c:v>1</c:v>
                </c:pt>
                <c:pt idx="4">
                  <c:v>1.5</c:v>
                </c:pt>
                <c:pt idx="5">
                  <c:v>1.7</c:v>
                </c:pt>
                <c:pt idx="6">
                  <c:v>0.2</c:v>
                </c:pt>
                <c:pt idx="7">
                  <c:v>0.5</c:v>
                </c:pt>
                <c:pt idx="8">
                  <c:v>0.5</c:v>
                </c:pt>
                <c:pt idx="9">
                  <c:v>7</c:v>
                </c:pt>
              </c:numCache>
            </c:numRef>
          </c:val>
          <c:extLst>
            <c:ext xmlns:c16="http://schemas.microsoft.com/office/drawing/2014/chart" uri="{C3380CC4-5D6E-409C-BE32-E72D297353CC}">
              <c16:uniqueId val="{00000002-9489-4D75-945B-A9E4AE970A2A}"/>
            </c:ext>
          </c:extLst>
        </c:ser>
        <c:ser>
          <c:idx val="3"/>
          <c:order val="3"/>
          <c:tx>
            <c:strRef>
              <c:f>Hoja1!$E$17</c:f>
              <c:strCache>
                <c:ptCount val="1"/>
                <c:pt idx="0">
                  <c:v>Wildfire</c:v>
                </c:pt>
              </c:strCache>
            </c:strRef>
          </c:tx>
          <c:spPr>
            <a:solidFill>
              <a:schemeClr val="accent4"/>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Hoja1!$E$18:$E$27</c:f>
              <c:numCache>
                <c:formatCode>General</c:formatCode>
                <c:ptCount val="10"/>
                <c:pt idx="0">
                  <c:v>0.05</c:v>
                </c:pt>
                <c:pt idx="1">
                  <c:v>0.05</c:v>
                </c:pt>
                <c:pt idx="2">
                  <c:v>0.05</c:v>
                </c:pt>
                <c:pt idx="3">
                  <c:v>0.5</c:v>
                </c:pt>
                <c:pt idx="4">
                  <c:v>0.5</c:v>
                </c:pt>
                <c:pt idx="5">
                  <c:v>0.5</c:v>
                </c:pt>
                <c:pt idx="6">
                  <c:v>1.5</c:v>
                </c:pt>
                <c:pt idx="7">
                  <c:v>0.5</c:v>
                </c:pt>
                <c:pt idx="8">
                  <c:v>0.5</c:v>
                </c:pt>
                <c:pt idx="9">
                  <c:v>0.5</c:v>
                </c:pt>
              </c:numCache>
            </c:numRef>
          </c:val>
          <c:extLst>
            <c:ext xmlns:c16="http://schemas.microsoft.com/office/drawing/2014/chart" uri="{C3380CC4-5D6E-409C-BE32-E72D297353CC}">
              <c16:uniqueId val="{00000003-9489-4D75-945B-A9E4AE970A2A}"/>
            </c:ext>
          </c:extLst>
        </c:ser>
        <c:dLbls>
          <c:showLegendKey val="0"/>
          <c:showVal val="0"/>
          <c:showCatName val="0"/>
          <c:showSerName val="0"/>
          <c:showPercent val="0"/>
          <c:showBubbleSize val="0"/>
        </c:dLbls>
        <c:gapWidth val="219"/>
        <c:overlap val="-27"/>
        <c:axId val="-878869296"/>
        <c:axId val="-878873104"/>
      </c:barChart>
      <c:catAx>
        <c:axId val="-878869296"/>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8873104"/>
        <c:crosses val="autoZero"/>
        <c:auto val="1"/>
        <c:lblAlgn val="ctr"/>
        <c:lblOffset val="100"/>
        <c:noMultiLvlLbl val="0"/>
      </c:catAx>
      <c:valAx>
        <c:axId val="-87887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latin typeface="Times New Roman" panose="02020603050405020304" pitchFamily="18" charset="0"/>
                    <a:cs typeface="Times New Roman" panose="02020603050405020304" pitchFamily="18" charset="0"/>
                  </a:rPr>
                  <a:t>Millions</a:t>
                </a:r>
                <a:r>
                  <a:rPr lang="en-GB" sz="1050" baseline="0">
                    <a:latin typeface="Times New Roman" panose="02020603050405020304" pitchFamily="18" charset="0"/>
                    <a:cs typeface="Times New Roman" panose="02020603050405020304" pitchFamily="18" charset="0"/>
                  </a:rPr>
                  <a:t> of IDPs</a:t>
                </a:r>
                <a:endParaRPr lang="en-GB"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solidFill>
                  <a:sysClr val="windowText" lastClr="000000"/>
                </a:solidFill>
                <a:effectLst/>
              </a:rPr>
              <a:t>Estimated Internal Climate Migration by 2050</a:t>
            </a:r>
            <a:endParaRPr lang="en-GB" b="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2"/>
          <c:tx>
            <c:strRef>
              <c:f>Hoja1!$D$184</c:f>
              <c:strCache>
                <c:ptCount val="1"/>
                <c:pt idx="0">
                  <c:v>Pesimistic scenario</c:v>
                </c:pt>
              </c:strCache>
            </c:strRef>
          </c:tx>
          <c:spPr>
            <a:solidFill>
              <a:schemeClr val="accent6"/>
            </a:solidFill>
            <a:ln>
              <a:noFill/>
            </a:ln>
            <a:effectLst/>
          </c:spPr>
          <c:invertIfNegative val="0"/>
          <c:cat>
            <c:strRef>
              <c:f>Hoja1!$A$185:$A$190</c:f>
              <c:strCache>
                <c:ptCount val="6"/>
                <c:pt idx="0">
                  <c:v>Sub Saharian Africa</c:v>
                </c:pt>
                <c:pt idx="1">
                  <c:v>East Asia &amp; Pacific</c:v>
                </c:pt>
                <c:pt idx="2">
                  <c:v>South Asia</c:v>
                </c:pt>
                <c:pt idx="3">
                  <c:v>North Asia</c:v>
                </c:pt>
                <c:pt idx="4">
                  <c:v>Latin America</c:v>
                </c:pt>
                <c:pt idx="5">
                  <c:v>Eastern Europe &amp; Central Asia</c:v>
                </c:pt>
              </c:strCache>
            </c:strRef>
          </c:cat>
          <c:val>
            <c:numRef>
              <c:f>Hoja1!$D$185:$D$190</c:f>
              <c:numCache>
                <c:formatCode>General</c:formatCode>
                <c:ptCount val="6"/>
                <c:pt idx="0">
                  <c:v>70</c:v>
                </c:pt>
                <c:pt idx="1">
                  <c:v>35</c:v>
                </c:pt>
                <c:pt idx="2">
                  <c:v>35</c:v>
                </c:pt>
                <c:pt idx="3">
                  <c:v>15</c:v>
                </c:pt>
                <c:pt idx="4">
                  <c:v>12</c:v>
                </c:pt>
                <c:pt idx="5">
                  <c:v>5</c:v>
                </c:pt>
              </c:numCache>
            </c:numRef>
          </c:val>
          <c:extLst>
            <c:ext xmlns:c16="http://schemas.microsoft.com/office/drawing/2014/chart" uri="{C3380CC4-5D6E-409C-BE32-E72D297353CC}">
              <c16:uniqueId val="{00000000-F02F-4F47-95D3-578FF937652C}"/>
            </c:ext>
          </c:extLst>
        </c:ser>
        <c:ser>
          <c:idx val="4"/>
          <c:order val="4"/>
          <c:tx>
            <c:strRef>
              <c:f>Hoja1!$F$184</c:f>
              <c:strCache>
                <c:ptCount val="1"/>
                <c:pt idx="0">
                  <c:v>Climate friendly scenario</c:v>
                </c:pt>
              </c:strCache>
            </c:strRef>
          </c:tx>
          <c:spPr>
            <a:solidFill>
              <a:schemeClr val="accent4">
                <a:lumMod val="60000"/>
              </a:schemeClr>
            </a:solidFill>
            <a:ln>
              <a:noFill/>
            </a:ln>
            <a:effectLst/>
          </c:spPr>
          <c:invertIfNegative val="0"/>
          <c:cat>
            <c:strRef>
              <c:f>Hoja1!$A$185:$A$190</c:f>
              <c:strCache>
                <c:ptCount val="6"/>
                <c:pt idx="0">
                  <c:v>Sub Saharian Africa</c:v>
                </c:pt>
                <c:pt idx="1">
                  <c:v>East Asia &amp; Pacific</c:v>
                </c:pt>
                <c:pt idx="2">
                  <c:v>South Asia</c:v>
                </c:pt>
                <c:pt idx="3">
                  <c:v>North Asia</c:v>
                </c:pt>
                <c:pt idx="4">
                  <c:v>Latin America</c:v>
                </c:pt>
                <c:pt idx="5">
                  <c:v>Eastern Europe &amp; Central Asia</c:v>
                </c:pt>
              </c:strCache>
            </c:strRef>
          </c:cat>
          <c:val>
            <c:numRef>
              <c:f>Hoja1!$F$185:$F$190</c:f>
              <c:numCache>
                <c:formatCode>General</c:formatCode>
                <c:ptCount val="6"/>
                <c:pt idx="0">
                  <c:v>30</c:v>
                </c:pt>
                <c:pt idx="1">
                  <c:v>20</c:v>
                </c:pt>
                <c:pt idx="2">
                  <c:v>18</c:v>
                </c:pt>
                <c:pt idx="3">
                  <c:v>5</c:v>
                </c:pt>
                <c:pt idx="4">
                  <c:v>7</c:v>
                </c:pt>
                <c:pt idx="5">
                  <c:v>3</c:v>
                </c:pt>
              </c:numCache>
            </c:numRef>
          </c:val>
          <c:extLst>
            <c:ext xmlns:c16="http://schemas.microsoft.com/office/drawing/2014/chart" uri="{C3380CC4-5D6E-409C-BE32-E72D297353CC}">
              <c16:uniqueId val="{00000001-F02F-4F47-95D3-578FF937652C}"/>
            </c:ext>
          </c:extLst>
        </c:ser>
        <c:dLbls>
          <c:showLegendKey val="0"/>
          <c:showVal val="0"/>
          <c:showCatName val="0"/>
          <c:showSerName val="0"/>
          <c:showPercent val="0"/>
          <c:showBubbleSize val="0"/>
        </c:dLbls>
        <c:gapWidth val="219"/>
        <c:overlap val="-27"/>
        <c:axId val="-878875280"/>
        <c:axId val="-878870384"/>
        <c:extLst>
          <c:ext xmlns:c15="http://schemas.microsoft.com/office/drawing/2012/chart" uri="{02D57815-91ED-43cb-92C2-25804820EDAC}">
            <c15:filteredBarSeries>
              <c15:ser>
                <c:idx val="0"/>
                <c:order val="0"/>
                <c:tx>
                  <c:strRef>
                    <c:extLst>
                      <c:ext uri="{02D57815-91ED-43cb-92C2-25804820EDAC}">
                        <c15:formulaRef>
                          <c15:sqref>Hoja1!$B$184</c15:sqref>
                        </c15:formulaRef>
                      </c:ext>
                    </c:extLst>
                    <c:strCache>
                      <c:ptCount val="1"/>
                    </c:strCache>
                  </c:strRef>
                </c:tx>
                <c:spPr>
                  <a:solidFill>
                    <a:schemeClr val="accent2"/>
                  </a:solidFill>
                  <a:ln>
                    <a:noFill/>
                  </a:ln>
                  <a:effectLst/>
                </c:spPr>
                <c:invertIfNegative val="0"/>
                <c:cat>
                  <c:strRef>
                    <c:extLst>
                      <c:ex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c:ext uri="{02D57815-91ED-43cb-92C2-25804820EDAC}">
                        <c15:formulaRef>
                          <c15:sqref>Hoja1!$B$185:$B$190</c15:sqref>
                        </c15:formulaRef>
                      </c:ext>
                    </c:extLst>
                    <c:numCache>
                      <c:formatCode>General</c:formatCode>
                      <c:ptCount val="6"/>
                    </c:numCache>
                  </c:numRef>
                </c:val>
                <c:extLst>
                  <c:ext xmlns:c16="http://schemas.microsoft.com/office/drawing/2014/chart" uri="{C3380CC4-5D6E-409C-BE32-E72D297353CC}">
                    <c16:uniqueId val="{00000002-F02F-4F47-95D3-578FF937652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Hoja1!$C$184</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xmlns:c15="http://schemas.microsoft.com/office/drawing/2012/chart">
                      <c:ext xmlns:c15="http://schemas.microsoft.com/office/drawing/2012/chart" uri="{02D57815-91ED-43cb-92C2-25804820EDAC}">
                        <c15:formulaRef>
                          <c15:sqref>Hoja1!$C$185:$C$190</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3-F02F-4F47-95D3-578FF937652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Hoja1!$E$184</c15:sqref>
                        </c15:formulaRef>
                      </c:ext>
                    </c:extLst>
                    <c:strCache>
                      <c:ptCount val="1"/>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xmlns:c15="http://schemas.microsoft.com/office/drawing/2012/chart">
                      <c:ext xmlns:c15="http://schemas.microsoft.com/office/drawing/2012/chart" uri="{02D57815-91ED-43cb-92C2-25804820EDAC}">
                        <c15:formulaRef>
                          <c15:sqref>Hoja1!$E$185:$E$190</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4-F02F-4F47-95D3-578FF937652C}"/>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Hoja1!$G$184</c15:sqref>
                        </c15:formulaRef>
                      </c:ext>
                    </c:extLst>
                    <c:strCache>
                      <c:ptCount val="1"/>
                    </c:strCache>
                  </c:strRef>
                </c:tx>
                <c:spPr>
                  <a:solidFill>
                    <a:schemeClr val="accent6">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xmlns:c15="http://schemas.microsoft.com/office/drawing/2012/chart">
                      <c:ext xmlns:c15="http://schemas.microsoft.com/office/drawing/2012/chart" uri="{02D57815-91ED-43cb-92C2-25804820EDAC}">
                        <c15:formulaRef>
                          <c15:sqref>Hoja1!$G$185:$G$190</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5-F02F-4F47-95D3-578FF937652C}"/>
                  </c:ext>
                </c:extLst>
              </c15:ser>
            </c15:filteredBarSeries>
          </c:ext>
        </c:extLst>
      </c:barChart>
      <c:catAx>
        <c:axId val="-87887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70384"/>
        <c:crosses val="autoZero"/>
        <c:auto val="1"/>
        <c:lblAlgn val="ctr"/>
        <c:lblOffset val="100"/>
        <c:noMultiLvlLbl val="0"/>
      </c:catAx>
      <c:valAx>
        <c:axId val="-87887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7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All</a:t>
            </a:r>
            <a:r>
              <a:rPr lang="en-GB" baseline="0">
                <a:solidFill>
                  <a:sysClr val="windowText" lastClr="000000"/>
                </a:solidFill>
              </a:rPr>
              <a:t> natural disasters</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cat>
            <c:numRef>
              <c:f>Hoja1!$A$2:$A$18</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Hoja1!$B$2:$B$18</c:f>
              <c:numCache>
                <c:formatCode>General</c:formatCode>
                <c:ptCount val="17"/>
                <c:pt idx="0">
                  <c:v>38.200000000000003</c:v>
                </c:pt>
                <c:pt idx="1">
                  <c:v>16.7</c:v>
                </c:pt>
                <c:pt idx="2">
                  <c:v>42.4</c:v>
                </c:pt>
                <c:pt idx="3">
                  <c:v>15</c:v>
                </c:pt>
                <c:pt idx="4">
                  <c:v>30.1</c:v>
                </c:pt>
                <c:pt idx="5">
                  <c:v>22.1</c:v>
                </c:pt>
                <c:pt idx="6">
                  <c:v>19.100000000000001</c:v>
                </c:pt>
                <c:pt idx="7">
                  <c:v>19.2</c:v>
                </c:pt>
                <c:pt idx="8">
                  <c:v>24.4</c:v>
                </c:pt>
                <c:pt idx="9">
                  <c:v>18.7</c:v>
                </c:pt>
                <c:pt idx="10">
                  <c:v>17.5</c:v>
                </c:pt>
                <c:pt idx="11">
                  <c:v>25.3</c:v>
                </c:pt>
                <c:pt idx="12">
                  <c:v>31</c:v>
                </c:pt>
                <c:pt idx="13">
                  <c:v>23.7</c:v>
                </c:pt>
                <c:pt idx="14">
                  <c:v>32.6</c:v>
                </c:pt>
                <c:pt idx="15">
                  <c:v>26.8</c:v>
                </c:pt>
                <c:pt idx="16">
                  <c:v>45.8</c:v>
                </c:pt>
              </c:numCache>
            </c:numRef>
          </c:val>
          <c:extLst>
            <c:ext xmlns:c16="http://schemas.microsoft.com/office/drawing/2014/chart" uri="{C3380CC4-5D6E-409C-BE32-E72D297353CC}">
              <c16:uniqueId val="{00000000-CE13-432C-9B7C-0666EBF15A1E}"/>
            </c:ext>
          </c:extLst>
        </c:ser>
        <c:dLbls>
          <c:showLegendKey val="0"/>
          <c:showVal val="0"/>
          <c:showCatName val="0"/>
          <c:showSerName val="0"/>
          <c:showPercent val="0"/>
          <c:showBubbleSize val="0"/>
        </c:dLbls>
        <c:gapWidth val="219"/>
        <c:overlap val="-27"/>
        <c:axId val="-878868752"/>
        <c:axId val="-878869840"/>
      </c:barChart>
      <c:catAx>
        <c:axId val="-87886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9840"/>
        <c:crosses val="autoZero"/>
        <c:auto val="1"/>
        <c:lblAlgn val="ctr"/>
        <c:lblOffset val="100"/>
        <c:noMultiLvlLbl val="0"/>
      </c:catAx>
      <c:valAx>
        <c:axId val="-87886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8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Greece</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Hoja1!$A$21:$A$37</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Hoja1!$B$21:$B$37</c:f>
              <c:numCache>
                <c:formatCode>General</c:formatCode>
                <c:ptCount val="17"/>
                <c:pt idx="0">
                  <c:v>0.01</c:v>
                </c:pt>
                <c:pt idx="1">
                  <c:v>0.3</c:v>
                </c:pt>
                <c:pt idx="2">
                  <c:v>0.01</c:v>
                </c:pt>
                <c:pt idx="3">
                  <c:v>0.01</c:v>
                </c:pt>
                <c:pt idx="4">
                  <c:v>0.01</c:v>
                </c:pt>
                <c:pt idx="5">
                  <c:v>0.06</c:v>
                </c:pt>
                <c:pt idx="6">
                  <c:v>8.1999999999999993</c:v>
                </c:pt>
                <c:pt idx="7">
                  <c:v>0.3</c:v>
                </c:pt>
                <c:pt idx="8">
                  <c:v>2.9</c:v>
                </c:pt>
                <c:pt idx="9">
                  <c:v>0.8</c:v>
                </c:pt>
                <c:pt idx="10">
                  <c:v>9.1999999999999993</c:v>
                </c:pt>
                <c:pt idx="11">
                  <c:v>2.8</c:v>
                </c:pt>
                <c:pt idx="12">
                  <c:v>13</c:v>
                </c:pt>
                <c:pt idx="13">
                  <c:v>67</c:v>
                </c:pt>
                <c:pt idx="14">
                  <c:v>0.7</c:v>
                </c:pt>
                <c:pt idx="15">
                  <c:v>126</c:v>
                </c:pt>
                <c:pt idx="16">
                  <c:v>60</c:v>
                </c:pt>
              </c:numCache>
            </c:numRef>
          </c:val>
          <c:extLst>
            <c:ext xmlns:c16="http://schemas.microsoft.com/office/drawing/2014/chart" uri="{C3380CC4-5D6E-409C-BE32-E72D297353CC}">
              <c16:uniqueId val="{00000000-B97C-480C-99C0-7464B4DFDA8A}"/>
            </c:ext>
          </c:extLst>
        </c:ser>
        <c:dLbls>
          <c:showLegendKey val="0"/>
          <c:showVal val="0"/>
          <c:showCatName val="0"/>
          <c:showSerName val="0"/>
          <c:showPercent val="0"/>
          <c:showBubbleSize val="0"/>
        </c:dLbls>
        <c:gapWidth val="219"/>
        <c:overlap val="-27"/>
        <c:axId val="-878868208"/>
        <c:axId val="-878865488"/>
      </c:barChart>
      <c:catAx>
        <c:axId val="-87886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5488"/>
        <c:crosses val="autoZero"/>
        <c:auto val="1"/>
        <c:lblAlgn val="ctr"/>
        <c:lblOffset val="100"/>
        <c:noMultiLvlLbl val="0"/>
      </c:catAx>
      <c:valAx>
        <c:axId val="-87886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8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Italy</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Hoja1!$A$40:$A$56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Hoja1!$B$40:$B$56</c:f>
              <c:numCache>
                <c:formatCode>General</c:formatCode>
                <c:ptCount val="17"/>
                <c:pt idx="0">
                  <c:v>0</c:v>
                </c:pt>
                <c:pt idx="1">
                  <c:v>75</c:v>
                </c:pt>
                <c:pt idx="2">
                  <c:v>0</c:v>
                </c:pt>
                <c:pt idx="3">
                  <c:v>0</c:v>
                </c:pt>
                <c:pt idx="4">
                  <c:v>17</c:v>
                </c:pt>
                <c:pt idx="5">
                  <c:v>3.7</c:v>
                </c:pt>
                <c:pt idx="6">
                  <c:v>1.6</c:v>
                </c:pt>
                <c:pt idx="7">
                  <c:v>1.3</c:v>
                </c:pt>
                <c:pt idx="8">
                  <c:v>31</c:v>
                </c:pt>
                <c:pt idx="9">
                  <c:v>2.1</c:v>
                </c:pt>
                <c:pt idx="10">
                  <c:v>3.3</c:v>
                </c:pt>
                <c:pt idx="11">
                  <c:v>3.8</c:v>
                </c:pt>
                <c:pt idx="12">
                  <c:v>2</c:v>
                </c:pt>
                <c:pt idx="13">
                  <c:v>2.6</c:v>
                </c:pt>
                <c:pt idx="14">
                  <c:v>4.0999999999999996</c:v>
                </c:pt>
                <c:pt idx="15">
                  <c:v>42</c:v>
                </c:pt>
                <c:pt idx="16">
                  <c:v>9.4</c:v>
                </c:pt>
              </c:numCache>
            </c:numRef>
          </c:val>
          <c:extLst>
            <c:ext xmlns:c16="http://schemas.microsoft.com/office/drawing/2014/chart" uri="{C3380CC4-5D6E-409C-BE32-E72D297353CC}">
              <c16:uniqueId val="{00000000-F7C4-4227-A472-5C7201614950}"/>
            </c:ext>
          </c:extLst>
        </c:ser>
        <c:dLbls>
          <c:showLegendKey val="0"/>
          <c:showVal val="0"/>
          <c:showCatName val="0"/>
          <c:showSerName val="0"/>
          <c:showPercent val="0"/>
          <c:showBubbleSize val="0"/>
        </c:dLbls>
        <c:gapWidth val="219"/>
        <c:overlap val="-27"/>
        <c:axId val="-878864400"/>
        <c:axId val="-878867120"/>
      </c:barChart>
      <c:catAx>
        <c:axId val="-87886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7120"/>
        <c:crosses val="autoZero"/>
        <c:auto val="1"/>
        <c:lblAlgn val="ctr"/>
        <c:lblOffset val="100"/>
        <c:noMultiLvlLbl val="0"/>
      </c:catAx>
      <c:valAx>
        <c:axId val="-87886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Spain</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Hoja1!$A$59:$A$75</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Hoja1!$B$59:$B$75</c:f>
              <c:numCache>
                <c:formatCode>General</c:formatCode>
                <c:ptCount val="17"/>
                <c:pt idx="0">
                  <c:v>0</c:v>
                </c:pt>
                <c:pt idx="1">
                  <c:v>0</c:v>
                </c:pt>
                <c:pt idx="2">
                  <c:v>0</c:v>
                </c:pt>
                <c:pt idx="3">
                  <c:v>15</c:v>
                </c:pt>
                <c:pt idx="4">
                  <c:v>22</c:v>
                </c:pt>
                <c:pt idx="5">
                  <c:v>2.6</c:v>
                </c:pt>
                <c:pt idx="6">
                  <c:v>3.8</c:v>
                </c:pt>
                <c:pt idx="7">
                  <c:v>4.0999999999999996</c:v>
                </c:pt>
                <c:pt idx="8">
                  <c:v>11</c:v>
                </c:pt>
                <c:pt idx="9">
                  <c:v>7.3</c:v>
                </c:pt>
                <c:pt idx="10">
                  <c:v>5.0999999999999996</c:v>
                </c:pt>
                <c:pt idx="11">
                  <c:v>29</c:v>
                </c:pt>
                <c:pt idx="12">
                  <c:v>7.8</c:v>
                </c:pt>
                <c:pt idx="13">
                  <c:v>16</c:v>
                </c:pt>
                <c:pt idx="14">
                  <c:v>34</c:v>
                </c:pt>
                <c:pt idx="15">
                  <c:v>29</c:v>
                </c:pt>
                <c:pt idx="16">
                  <c:v>14</c:v>
                </c:pt>
              </c:numCache>
            </c:numRef>
          </c:val>
          <c:extLst>
            <c:ext xmlns:c16="http://schemas.microsoft.com/office/drawing/2014/chart" uri="{C3380CC4-5D6E-409C-BE32-E72D297353CC}">
              <c16:uniqueId val="{00000000-4CD1-4BC4-A283-0A19314BF143}"/>
            </c:ext>
          </c:extLst>
        </c:ser>
        <c:dLbls>
          <c:showLegendKey val="0"/>
          <c:showVal val="0"/>
          <c:showCatName val="0"/>
          <c:showSerName val="0"/>
          <c:showPercent val="0"/>
          <c:showBubbleSize val="0"/>
        </c:dLbls>
        <c:gapWidth val="219"/>
        <c:overlap val="-27"/>
        <c:axId val="-878863312"/>
        <c:axId val="-878866576"/>
      </c:barChart>
      <c:catAx>
        <c:axId val="-87886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6576"/>
        <c:crosses val="autoZero"/>
        <c:auto val="1"/>
        <c:lblAlgn val="ctr"/>
        <c:lblOffset val="100"/>
        <c:noMultiLvlLbl val="0"/>
      </c:catAx>
      <c:valAx>
        <c:axId val="-87886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Germany</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cat>
            <c:numRef>
              <c:f>Hoja1!$A$78:$A$94</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Hoja1!$B$78:$B$94</c:f>
              <c:numCache>
                <c:formatCode>General</c:formatCode>
                <c:ptCount val="17"/>
                <c:pt idx="0">
                  <c:v>0</c:v>
                </c:pt>
                <c:pt idx="1">
                  <c:v>0</c:v>
                </c:pt>
                <c:pt idx="2">
                  <c:v>0</c:v>
                </c:pt>
                <c:pt idx="3">
                  <c:v>0</c:v>
                </c:pt>
                <c:pt idx="4">
                  <c:v>53</c:v>
                </c:pt>
                <c:pt idx="5">
                  <c:v>0</c:v>
                </c:pt>
                <c:pt idx="6">
                  <c:v>0</c:v>
                </c:pt>
                <c:pt idx="7">
                  <c:v>0</c:v>
                </c:pt>
                <c:pt idx="8">
                  <c:v>2</c:v>
                </c:pt>
                <c:pt idx="9">
                  <c:v>0.2</c:v>
                </c:pt>
                <c:pt idx="10">
                  <c:v>0.5</c:v>
                </c:pt>
                <c:pt idx="11">
                  <c:v>0.7</c:v>
                </c:pt>
                <c:pt idx="12">
                  <c:v>0</c:v>
                </c:pt>
                <c:pt idx="13">
                  <c:v>17</c:v>
                </c:pt>
                <c:pt idx="14">
                  <c:v>0.6</c:v>
                </c:pt>
                <c:pt idx="15">
                  <c:v>3.3</c:v>
                </c:pt>
                <c:pt idx="16">
                  <c:v>7</c:v>
                </c:pt>
              </c:numCache>
            </c:numRef>
          </c:val>
          <c:extLst>
            <c:ext xmlns:c16="http://schemas.microsoft.com/office/drawing/2014/chart" uri="{C3380CC4-5D6E-409C-BE32-E72D297353CC}">
              <c16:uniqueId val="{00000000-0549-46B6-8557-EAB39ED01234}"/>
            </c:ext>
          </c:extLst>
        </c:ser>
        <c:dLbls>
          <c:showLegendKey val="0"/>
          <c:showVal val="0"/>
          <c:showCatName val="0"/>
          <c:showSerName val="0"/>
          <c:showPercent val="0"/>
          <c:showBubbleSize val="0"/>
        </c:dLbls>
        <c:gapWidth val="219"/>
        <c:overlap val="-27"/>
        <c:axId val="-878862224"/>
        <c:axId val="-878866032"/>
      </c:barChart>
      <c:catAx>
        <c:axId val="-87886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6032"/>
        <c:crosses val="autoZero"/>
        <c:auto val="1"/>
        <c:lblAlgn val="ctr"/>
        <c:lblOffset val="100"/>
        <c:noMultiLvlLbl val="0"/>
      </c:catAx>
      <c:valAx>
        <c:axId val="-87886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2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Afghanistan</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Hoja1!$A$97:$A$113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Hoja1!$B$97:$B$113</c:f>
              <c:numCache>
                <c:formatCode>General</c:formatCode>
                <c:ptCount val="17"/>
                <c:pt idx="0">
                  <c:v>0</c:v>
                </c:pt>
                <c:pt idx="1">
                  <c:v>28</c:v>
                </c:pt>
                <c:pt idx="2">
                  <c:v>71</c:v>
                </c:pt>
                <c:pt idx="3">
                  <c:v>0</c:v>
                </c:pt>
                <c:pt idx="4">
                  <c:v>30</c:v>
                </c:pt>
                <c:pt idx="5">
                  <c:v>15</c:v>
                </c:pt>
                <c:pt idx="6">
                  <c:v>13</c:v>
                </c:pt>
                <c:pt idx="7">
                  <c:v>71</c:v>
                </c:pt>
                <c:pt idx="8">
                  <c:v>7.4</c:v>
                </c:pt>
                <c:pt idx="9">
                  <c:v>27</c:v>
                </c:pt>
                <c:pt idx="10">
                  <c:v>435</c:v>
                </c:pt>
                <c:pt idx="11">
                  <c:v>117</c:v>
                </c:pt>
                <c:pt idx="12">
                  <c:v>49</c:v>
                </c:pt>
                <c:pt idx="13">
                  <c:v>25</c:v>
                </c:pt>
                <c:pt idx="14">
                  <c:v>220</c:v>
                </c:pt>
                <c:pt idx="15">
                  <c:v>418</c:v>
                </c:pt>
                <c:pt idx="16">
                  <c:v>1000</c:v>
                </c:pt>
              </c:numCache>
            </c:numRef>
          </c:val>
          <c:extLst>
            <c:ext xmlns:c16="http://schemas.microsoft.com/office/drawing/2014/chart" uri="{C3380CC4-5D6E-409C-BE32-E72D297353CC}">
              <c16:uniqueId val="{00000000-C559-4B53-BF8A-C9514ACED219}"/>
            </c:ext>
          </c:extLst>
        </c:ser>
        <c:dLbls>
          <c:showLegendKey val="0"/>
          <c:showVal val="0"/>
          <c:showCatName val="0"/>
          <c:showSerName val="0"/>
          <c:showPercent val="0"/>
          <c:showBubbleSize val="0"/>
        </c:dLbls>
        <c:gapWidth val="219"/>
        <c:overlap val="-27"/>
        <c:axId val="-878861680"/>
        <c:axId val="-878862768"/>
      </c:barChart>
      <c:catAx>
        <c:axId val="-87886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2768"/>
        <c:crosses val="autoZero"/>
        <c:auto val="1"/>
        <c:lblAlgn val="ctr"/>
        <c:lblOffset val="100"/>
        <c:noMultiLvlLbl val="0"/>
      </c:catAx>
      <c:valAx>
        <c:axId val="-87886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86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25</Pages>
  <Words>6018</Words>
  <Characters>34309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Rossen</dc:creator>
  <cp:keywords/>
  <dc:description/>
  <cp:lastModifiedBy>SDI 1084</cp:lastModifiedBy>
  <cp:revision>13</cp:revision>
  <dcterms:created xsi:type="dcterms:W3CDTF">2026-05-05T10:45:00Z</dcterms:created>
  <dcterms:modified xsi:type="dcterms:W3CDTF">2026-05-06T11:26:00Z</dcterms:modified>
</cp:coreProperties>
</file>