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6CE76" w14:textId="574CA5D7" w:rsidR="00754C9A" w:rsidRDefault="003E0C95" w:rsidP="00441B6F">
      <w:pPr>
        <w:pStyle w:val="Title"/>
        <w:spacing w:after="0"/>
        <w:jc w:val="both"/>
        <w:rPr>
          <w:rFonts w:ascii="Arial" w:hAnsi="Arial" w:cs="Arial"/>
          <w:u w:val="single"/>
        </w:rPr>
      </w:pPr>
      <w:r w:rsidRPr="003E0C95">
        <w:rPr>
          <w:rFonts w:ascii="Arial" w:hAnsi="Arial" w:cs="Arial"/>
          <w:u w:val="single"/>
        </w:rPr>
        <w:t>Original Research Article</w:t>
      </w:r>
    </w:p>
    <w:p w14:paraId="20CA510E" w14:textId="77777777" w:rsidR="003E0C95" w:rsidRPr="003E0C95" w:rsidRDefault="003E0C95" w:rsidP="00441B6F">
      <w:pPr>
        <w:pStyle w:val="Title"/>
        <w:spacing w:after="0"/>
        <w:jc w:val="both"/>
        <w:rPr>
          <w:rFonts w:ascii="Arial" w:hAnsi="Arial" w:cs="Arial"/>
          <w:u w:val="single"/>
        </w:rPr>
      </w:pPr>
    </w:p>
    <w:p w14:paraId="167193FE" w14:textId="04C81263" w:rsidR="00A258C3" w:rsidRDefault="003E0C95" w:rsidP="00441B6F">
      <w:pPr>
        <w:pStyle w:val="Author"/>
        <w:spacing w:line="240" w:lineRule="auto"/>
        <w:jc w:val="both"/>
        <w:rPr>
          <w:rFonts w:ascii="Calibri" w:hAnsi="Calibri" w:cs="Calibri"/>
          <w:sz w:val="22"/>
          <w:szCs w:val="22"/>
        </w:rPr>
      </w:pPr>
      <w:r>
        <w:rPr>
          <w:rFonts w:ascii="Calibri" w:hAnsi="Calibri" w:cs="Calibri"/>
          <w:sz w:val="22"/>
          <w:szCs w:val="22"/>
        </w:rPr>
        <w:t>NC II ASSESSMNT RESULTS AND AREAS FOR IMPROVEMENT IN SMAW AMONG GRADE 12 STUDENTS: BASIS FOR TRAINING ENHANCEME</w:t>
      </w:r>
      <w:bookmarkStart w:id="0" w:name="_GoBack"/>
      <w:bookmarkEnd w:id="0"/>
      <w:r>
        <w:rPr>
          <w:rFonts w:ascii="Calibri" w:hAnsi="Calibri" w:cs="Calibri"/>
          <w:sz w:val="22"/>
          <w:szCs w:val="22"/>
        </w:rPr>
        <w:t>NT</w:t>
      </w:r>
    </w:p>
    <w:p w14:paraId="2E6BADEE" w14:textId="77777777" w:rsidR="003E0C95" w:rsidRPr="00750DDB" w:rsidRDefault="003E0C95" w:rsidP="00441B6F">
      <w:pPr>
        <w:pStyle w:val="Author"/>
        <w:spacing w:line="240" w:lineRule="auto"/>
        <w:jc w:val="both"/>
        <w:rPr>
          <w:rFonts w:ascii="Arial" w:hAnsi="Arial" w:cs="Arial"/>
          <w:sz w:val="44"/>
          <w:szCs w:val="24"/>
        </w:rPr>
      </w:pPr>
    </w:p>
    <w:p w14:paraId="330930FB" w14:textId="6E33A3BE" w:rsidR="00790ADA" w:rsidRDefault="00790ADA" w:rsidP="00441B6F">
      <w:pPr>
        <w:pStyle w:val="Affiliation"/>
        <w:spacing w:after="0" w:line="240" w:lineRule="auto"/>
        <w:jc w:val="both"/>
        <w:rPr>
          <w:rFonts w:ascii="Arial" w:hAnsi="Arial" w:cs="Arial"/>
        </w:rPr>
      </w:pPr>
    </w:p>
    <w:p w14:paraId="4E1DA523" w14:textId="77777777" w:rsidR="00E62173" w:rsidRDefault="00E62173" w:rsidP="00441B6F">
      <w:pPr>
        <w:pStyle w:val="Affiliation"/>
        <w:spacing w:after="0" w:line="240" w:lineRule="auto"/>
        <w:jc w:val="both"/>
        <w:rPr>
          <w:rFonts w:ascii="Arial" w:hAnsi="Arial" w:cs="Arial"/>
        </w:rPr>
      </w:pPr>
    </w:p>
    <w:p w14:paraId="02A8D259" w14:textId="77777777" w:rsidR="002C57D2" w:rsidRPr="00FB3A86" w:rsidRDefault="002C57D2" w:rsidP="00441B6F">
      <w:pPr>
        <w:pStyle w:val="Affiliation"/>
        <w:spacing w:after="0" w:line="240" w:lineRule="auto"/>
        <w:jc w:val="both"/>
        <w:rPr>
          <w:rFonts w:ascii="Arial" w:hAnsi="Arial" w:cs="Arial"/>
        </w:rPr>
      </w:pPr>
    </w:p>
    <w:p w14:paraId="219A468C" w14:textId="77777777" w:rsidR="00B01FCD" w:rsidRPr="00FB3A86" w:rsidRDefault="00B60110" w:rsidP="00441B6F">
      <w:pPr>
        <w:pStyle w:val="Copyright"/>
        <w:spacing w:after="0" w:line="240" w:lineRule="auto"/>
        <w:jc w:val="both"/>
        <w:rPr>
          <w:rFonts w:ascii="Arial" w:hAnsi="Arial" w:cs="Arial"/>
        </w:rPr>
        <w:sectPr w:rsidR="00B01FCD" w:rsidRPr="00FB3A86" w:rsidSect="00E6217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5CC620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69134C4" w14:textId="395BA20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BA20DC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A8956F0" w14:textId="77777777" w:rsidTr="001E44FE">
        <w:tc>
          <w:tcPr>
            <w:tcW w:w="9576" w:type="dxa"/>
            <w:shd w:val="clear" w:color="auto" w:fill="F2F2F2"/>
          </w:tcPr>
          <w:p w14:paraId="6C4DD408" w14:textId="5D6167F4" w:rsidR="00CB6DE3" w:rsidRPr="00F97DA2" w:rsidRDefault="00CB6DE3" w:rsidP="00CB6DE3">
            <w:pPr>
              <w:keepNext/>
              <w:keepLines/>
              <w:ind w:left="710"/>
              <w:outlineLvl w:val="0"/>
              <w:rPr>
                <w:rFonts w:ascii="Book Antiqua" w:eastAsia="Book Antiqua" w:hAnsi="Book Antiqua" w:cs="Book Antiqua"/>
                <w:bCs/>
                <w:color w:val="000000"/>
                <w:sz w:val="22"/>
                <w:szCs w:val="22"/>
              </w:rPr>
            </w:pPr>
            <w:r w:rsidRPr="00F97DA2">
              <w:rPr>
                <w:rFonts w:ascii="Book Antiqua" w:eastAsia="Book Antiqua" w:hAnsi="Book Antiqua" w:cs="Book Antiqua"/>
                <w:bCs/>
                <w:color w:val="000000"/>
                <w:sz w:val="22"/>
                <w:szCs w:val="22"/>
              </w:rPr>
              <w:t xml:space="preserve">This study examines the technical proficiency of Grade 12 students in Shielded Metal Arc Welding (SMAW) through the lens of the Philippine National Certificate II (NC II) competency standards. Utilizing a descriptive research design, the performance of 20 Grade 12 students at Goma National High School in </w:t>
            </w:r>
            <w:proofErr w:type="spellStart"/>
            <w:r w:rsidRPr="00F97DA2">
              <w:rPr>
                <w:rFonts w:ascii="Book Antiqua" w:eastAsia="Book Antiqua" w:hAnsi="Book Antiqua" w:cs="Book Antiqua"/>
                <w:bCs/>
                <w:color w:val="000000"/>
                <w:sz w:val="22"/>
                <w:szCs w:val="22"/>
              </w:rPr>
              <w:t>Digos</w:t>
            </w:r>
            <w:proofErr w:type="spellEnd"/>
            <w:r w:rsidRPr="00F97DA2">
              <w:rPr>
                <w:rFonts w:ascii="Book Antiqua" w:eastAsia="Book Antiqua" w:hAnsi="Book Antiqua" w:cs="Book Antiqua"/>
                <w:bCs/>
                <w:color w:val="000000"/>
                <w:sz w:val="22"/>
                <w:szCs w:val="22"/>
              </w:rPr>
              <w:t xml:space="preserve"> City Division for the School Year 2025-2026 was analyzed to identify mastery patterns across specific welding elements. While results indicate a high overall success rate, with 95% of students classified as "Competent" in the core 6G position, a granular analysis reveals significant gaps in high-precision tasks. Specifically, Perform Root Pass and Perform Capping emerged as the least mastered competencies, with 25% of participants struggling to meet technical specifications in these critical stages. These findings suggest that binary assessment outcomes (Competent vs. Not Yet Competent) often mask underlying skill deficiencies in precision-driven tasks. To address these gaps, the study proposes a comprehensive Training Enhancement Plan focusing on intensive, simulation-based practice and a restructured curriculum that prioritizes early remediation. By aligning instructional design with industry-grade benchmarks, this research provides a data-driven framework for enhancing workforce readiness and ensuring long-term technical mastery in vocational education.</w:t>
            </w:r>
          </w:p>
          <w:p w14:paraId="7536989B" w14:textId="7B5E50C7" w:rsidR="00505F06" w:rsidRPr="00BA1B01" w:rsidRDefault="00505F06" w:rsidP="00441B6F">
            <w:pPr>
              <w:pStyle w:val="Body"/>
              <w:spacing w:after="0"/>
              <w:rPr>
                <w:rFonts w:ascii="Arial" w:eastAsia="Calibri" w:hAnsi="Arial" w:cs="Arial"/>
                <w:szCs w:val="22"/>
              </w:rPr>
            </w:pPr>
          </w:p>
        </w:tc>
      </w:tr>
    </w:tbl>
    <w:p w14:paraId="11D90CEF" w14:textId="77777777" w:rsidR="00636EB2" w:rsidRDefault="00636EB2" w:rsidP="00441B6F">
      <w:pPr>
        <w:pStyle w:val="Body"/>
        <w:spacing w:after="0"/>
        <w:rPr>
          <w:rFonts w:ascii="Arial" w:hAnsi="Arial" w:cs="Arial"/>
          <w:i/>
        </w:rPr>
      </w:pPr>
    </w:p>
    <w:p w14:paraId="5CEAB11A" w14:textId="1D25EA89" w:rsidR="00B52896" w:rsidRPr="00F97DA2" w:rsidRDefault="00A24E7E" w:rsidP="00F97DA2">
      <w:pPr>
        <w:pStyle w:val="Body"/>
        <w:spacing w:after="0"/>
        <w:rPr>
          <w:rFonts w:ascii="Arial" w:hAnsi="Arial" w:cs="Arial"/>
          <w:i/>
        </w:rPr>
      </w:pPr>
      <w:r>
        <w:rPr>
          <w:rFonts w:ascii="Arial" w:hAnsi="Arial" w:cs="Arial"/>
          <w:i/>
        </w:rPr>
        <w:t xml:space="preserve">Keywords: </w:t>
      </w:r>
      <w:r w:rsidR="00CB6DE3" w:rsidRPr="00CB6DE3">
        <w:rPr>
          <w:rFonts w:ascii="Arial" w:hAnsi="Arial" w:cs="Arial"/>
          <w:i/>
        </w:rPr>
        <w:t>Competency-Based Education, Vocational Pedagogy, Workforce Readiness, Technical Skill Mastery, Industrial Alignment</w:t>
      </w:r>
    </w:p>
    <w:p w14:paraId="32992B9B" w14:textId="77777777" w:rsidR="0024282C" w:rsidRDefault="0024282C" w:rsidP="00441B6F">
      <w:pPr>
        <w:pStyle w:val="Body"/>
        <w:spacing w:after="0"/>
        <w:rPr>
          <w:rFonts w:ascii="Arial" w:hAnsi="Arial" w:cs="Arial"/>
          <w:i/>
          <w:sz w:val="18"/>
        </w:rPr>
      </w:pPr>
    </w:p>
    <w:p w14:paraId="392AA822" w14:textId="77777777" w:rsidR="00505F06" w:rsidRPr="00A24E7E" w:rsidRDefault="00505F06" w:rsidP="00441B6F">
      <w:pPr>
        <w:pStyle w:val="Body"/>
        <w:spacing w:after="0"/>
        <w:rPr>
          <w:rFonts w:ascii="Arial" w:hAnsi="Arial" w:cs="Arial"/>
          <w:i/>
        </w:rPr>
      </w:pPr>
    </w:p>
    <w:p w14:paraId="3480FD7D" w14:textId="195E7ED6"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25325B91" w14:textId="761CF127" w:rsidR="00CB6DE3" w:rsidRPr="00F97DA2" w:rsidRDefault="00B77AB0" w:rsidP="00B77AB0">
      <w:pPr>
        <w:pStyle w:val="AbstHead"/>
        <w:rPr>
          <w:rFonts w:ascii="Arial" w:hAnsi="Arial" w:cs="Arial"/>
          <w:b w:val="0"/>
          <w:bCs/>
        </w:rPr>
      </w:pPr>
      <w:r w:rsidRPr="00F97DA2">
        <w:rPr>
          <w:rFonts w:ascii="Arial" w:hAnsi="Arial" w:cs="Arial"/>
          <w:b w:val="0"/>
          <w:bCs/>
          <w:caps w:val="0"/>
        </w:rPr>
        <w:t xml:space="preserve">Vocational education and training (vet) </w:t>
      </w:r>
      <w:proofErr w:type="gramStart"/>
      <w:r w:rsidRPr="00F97DA2">
        <w:rPr>
          <w:rFonts w:ascii="Arial" w:hAnsi="Arial" w:cs="Arial"/>
          <w:b w:val="0"/>
          <w:bCs/>
          <w:caps w:val="0"/>
        </w:rPr>
        <w:t>is</w:t>
      </w:r>
      <w:proofErr w:type="gramEnd"/>
      <w:r w:rsidRPr="00F97DA2">
        <w:rPr>
          <w:rFonts w:ascii="Arial" w:hAnsi="Arial" w:cs="Arial"/>
          <w:b w:val="0"/>
          <w:bCs/>
          <w:caps w:val="0"/>
        </w:rPr>
        <w:t xml:space="preserve"> recognized as a critical mechanism for addressing skills gaps and supporting economic development, particularly by equipping learners with industry-relevant competencies (</w:t>
      </w:r>
      <w:proofErr w:type="spellStart"/>
      <w:r w:rsidRPr="00F97DA2">
        <w:rPr>
          <w:rFonts w:ascii="Arial" w:hAnsi="Arial" w:cs="Arial"/>
          <w:b w:val="0"/>
          <w:bCs/>
          <w:caps w:val="0"/>
        </w:rPr>
        <w:t>kilag</w:t>
      </w:r>
      <w:proofErr w:type="spellEnd"/>
      <w:r w:rsidRPr="00F97DA2">
        <w:rPr>
          <w:rFonts w:ascii="Arial" w:hAnsi="Arial" w:cs="Arial"/>
          <w:b w:val="0"/>
          <w:bCs/>
          <w:caps w:val="0"/>
        </w:rPr>
        <w:t xml:space="preserve"> et al., 2024). Within vet programs, welding has emerged as a key area of focus, reflecting the increasing demand for skilled workers in construction, manufacturing, and related industries worldwide. </w:t>
      </w:r>
      <w:proofErr w:type="spellStart"/>
      <w:r w:rsidRPr="00F97DA2">
        <w:rPr>
          <w:rFonts w:ascii="Arial" w:hAnsi="Arial" w:cs="Arial"/>
          <w:b w:val="0"/>
          <w:bCs/>
          <w:caps w:val="0"/>
        </w:rPr>
        <w:t>Marope</w:t>
      </w:r>
      <w:proofErr w:type="spellEnd"/>
      <w:r w:rsidRPr="00F97DA2">
        <w:rPr>
          <w:rFonts w:ascii="Arial" w:hAnsi="Arial" w:cs="Arial"/>
          <w:b w:val="0"/>
          <w:bCs/>
          <w:caps w:val="0"/>
        </w:rPr>
        <w:t xml:space="preserve"> et al. (2015) highlight the global importance of vet in preparing individuals to meet the demands of a competitive and interconnected economy, demonstrating its relevance across diverse national contexts.</w:t>
      </w:r>
    </w:p>
    <w:p w14:paraId="17EF8120" w14:textId="77777777" w:rsidR="00CB6DE3" w:rsidRPr="00F97DA2" w:rsidRDefault="00CB6DE3" w:rsidP="00CB6DE3">
      <w:pPr>
        <w:pStyle w:val="AbstHead"/>
        <w:jc w:val="both"/>
        <w:rPr>
          <w:rFonts w:ascii="Arial" w:hAnsi="Arial" w:cs="Arial"/>
          <w:b w:val="0"/>
          <w:bCs/>
        </w:rPr>
      </w:pPr>
    </w:p>
    <w:p w14:paraId="5A396BFC" w14:textId="4845F422" w:rsidR="00CB6DE3" w:rsidRPr="00F97DA2" w:rsidRDefault="00B77AB0" w:rsidP="00B77AB0">
      <w:pPr>
        <w:pStyle w:val="AbstHead"/>
        <w:rPr>
          <w:rFonts w:ascii="Arial" w:hAnsi="Arial" w:cs="Arial"/>
          <w:b w:val="0"/>
          <w:bCs/>
        </w:rPr>
      </w:pPr>
      <w:r w:rsidRPr="00F97DA2">
        <w:rPr>
          <w:rFonts w:ascii="Arial" w:hAnsi="Arial" w:cs="Arial"/>
          <w:b w:val="0"/>
          <w:bCs/>
          <w:caps w:val="0"/>
        </w:rPr>
        <w:t xml:space="preserve">Welding education, in particular, combines technical skills with essential theoretical knowledge, forming the foundation for competent practice in the trade. According to </w:t>
      </w:r>
      <w:proofErr w:type="spellStart"/>
      <w:r w:rsidRPr="00F97DA2">
        <w:rPr>
          <w:rFonts w:ascii="Arial" w:hAnsi="Arial" w:cs="Arial"/>
          <w:b w:val="0"/>
          <w:bCs/>
          <w:caps w:val="0"/>
        </w:rPr>
        <w:t>wettaka</w:t>
      </w:r>
      <w:proofErr w:type="spellEnd"/>
      <w:r w:rsidRPr="00F97DA2">
        <w:rPr>
          <w:rFonts w:ascii="Arial" w:hAnsi="Arial" w:cs="Arial"/>
          <w:b w:val="0"/>
          <w:bCs/>
          <w:caps w:val="0"/>
        </w:rPr>
        <w:t xml:space="preserve"> (2020), effective welding training requires a carefully structured curriculum that balances hands-on practical experience with classroom-based theoretical instruction. Pedagogical approaches such as project-based learning and experiential learning have been shown to enhance learner engagement, improve skill acquisition, and strengthen readiness for real-world welding tasks (</w:t>
      </w:r>
      <w:proofErr w:type="spellStart"/>
      <w:r w:rsidRPr="00F97DA2">
        <w:rPr>
          <w:rFonts w:ascii="Arial" w:hAnsi="Arial" w:cs="Arial"/>
          <w:b w:val="0"/>
          <w:bCs/>
          <w:caps w:val="0"/>
        </w:rPr>
        <w:t>aminu</w:t>
      </w:r>
      <w:proofErr w:type="spellEnd"/>
      <w:r w:rsidRPr="00F97DA2">
        <w:rPr>
          <w:rFonts w:ascii="Arial" w:hAnsi="Arial" w:cs="Arial"/>
          <w:b w:val="0"/>
          <w:bCs/>
          <w:caps w:val="0"/>
        </w:rPr>
        <w:t xml:space="preserve"> &amp; nasiru,2025).</w:t>
      </w:r>
    </w:p>
    <w:p w14:paraId="67F087B3" w14:textId="77777777" w:rsidR="00CB6DE3" w:rsidRPr="00F97DA2" w:rsidRDefault="00CB6DE3" w:rsidP="00CB6DE3">
      <w:pPr>
        <w:pStyle w:val="AbstHead"/>
        <w:jc w:val="both"/>
        <w:rPr>
          <w:rFonts w:ascii="Arial" w:hAnsi="Arial" w:cs="Arial"/>
          <w:b w:val="0"/>
          <w:bCs/>
        </w:rPr>
      </w:pPr>
    </w:p>
    <w:p w14:paraId="1192C01D" w14:textId="3A2D5543" w:rsidR="00CB6DE3" w:rsidRPr="00F97DA2" w:rsidRDefault="00B77AB0" w:rsidP="00B77AB0">
      <w:pPr>
        <w:pStyle w:val="AbstHead"/>
        <w:rPr>
          <w:rFonts w:ascii="Arial" w:hAnsi="Arial" w:cs="Arial"/>
          <w:b w:val="0"/>
          <w:bCs/>
        </w:rPr>
      </w:pPr>
      <w:r w:rsidRPr="00F97DA2">
        <w:rPr>
          <w:rFonts w:ascii="Arial" w:hAnsi="Arial" w:cs="Arial"/>
          <w:b w:val="0"/>
          <w:bCs/>
          <w:caps w:val="0"/>
        </w:rPr>
        <w:t xml:space="preserve">In </w:t>
      </w:r>
      <w:proofErr w:type="spellStart"/>
      <w:r w:rsidRPr="00F97DA2">
        <w:rPr>
          <w:rFonts w:ascii="Arial" w:hAnsi="Arial" w:cs="Arial"/>
          <w:b w:val="0"/>
          <w:bCs/>
          <w:caps w:val="0"/>
        </w:rPr>
        <w:t>indonesia</w:t>
      </w:r>
      <w:proofErr w:type="spellEnd"/>
      <w:r w:rsidRPr="00F97DA2">
        <w:rPr>
          <w:rFonts w:ascii="Arial" w:hAnsi="Arial" w:cs="Arial"/>
          <w:b w:val="0"/>
          <w:bCs/>
          <w:caps w:val="0"/>
        </w:rPr>
        <w:t xml:space="preserve">, the education system is undergoing major reforms to address the challenges brought about by industry 4.0 and the rapid globalization of economies. These developments have accelerated technological innovation and increased labor mobility and competition within the </w:t>
      </w:r>
      <w:proofErr w:type="spellStart"/>
      <w:r w:rsidRPr="00F97DA2">
        <w:rPr>
          <w:rFonts w:ascii="Arial" w:hAnsi="Arial" w:cs="Arial"/>
          <w:b w:val="0"/>
          <w:bCs/>
          <w:caps w:val="0"/>
        </w:rPr>
        <w:t>asean</w:t>
      </w:r>
      <w:proofErr w:type="spellEnd"/>
      <w:r w:rsidRPr="00F97DA2">
        <w:rPr>
          <w:rFonts w:ascii="Arial" w:hAnsi="Arial" w:cs="Arial"/>
          <w:b w:val="0"/>
          <w:bCs/>
          <w:caps w:val="0"/>
        </w:rPr>
        <w:t xml:space="preserve"> economic community (</w:t>
      </w:r>
      <w:proofErr w:type="spellStart"/>
      <w:r w:rsidRPr="00F97DA2">
        <w:rPr>
          <w:rFonts w:ascii="Arial" w:hAnsi="Arial" w:cs="Arial"/>
          <w:b w:val="0"/>
          <w:bCs/>
          <w:caps w:val="0"/>
        </w:rPr>
        <w:t>hartanto</w:t>
      </w:r>
      <w:proofErr w:type="spellEnd"/>
      <w:r w:rsidRPr="00F97DA2">
        <w:rPr>
          <w:rFonts w:ascii="Arial" w:hAnsi="Arial" w:cs="Arial"/>
          <w:b w:val="0"/>
          <w:bCs/>
          <w:caps w:val="0"/>
        </w:rPr>
        <w:t xml:space="preserve"> et al, 2019). Within this context, vocational education is essential for developing a workforce equipped with the skills needed by modern industries. Vocational high schools (</w:t>
      </w:r>
      <w:proofErr w:type="spellStart"/>
      <w:r w:rsidRPr="00F97DA2">
        <w:rPr>
          <w:rFonts w:ascii="Arial" w:hAnsi="Arial" w:cs="Arial"/>
          <w:b w:val="0"/>
          <w:bCs/>
          <w:caps w:val="0"/>
        </w:rPr>
        <w:t>vhs</w:t>
      </w:r>
      <w:proofErr w:type="spellEnd"/>
      <w:r w:rsidRPr="00F97DA2">
        <w:rPr>
          <w:rFonts w:ascii="Arial" w:hAnsi="Arial" w:cs="Arial"/>
          <w:b w:val="0"/>
          <w:bCs/>
          <w:caps w:val="0"/>
        </w:rPr>
        <w:t>) are a central element of secondary vocational education, aiming to prepare students for direct entry into the labor market by ensuring they possess both academic knowledge and practical technical competencies alongside employability skills (</w:t>
      </w:r>
      <w:proofErr w:type="spellStart"/>
      <w:r w:rsidRPr="00F97DA2">
        <w:rPr>
          <w:rFonts w:ascii="Arial" w:hAnsi="Arial" w:cs="Arial"/>
          <w:b w:val="0"/>
          <w:bCs/>
          <w:caps w:val="0"/>
        </w:rPr>
        <w:t>fajaryati</w:t>
      </w:r>
      <w:proofErr w:type="spellEnd"/>
      <w:r w:rsidRPr="00F97DA2">
        <w:rPr>
          <w:rFonts w:ascii="Arial" w:hAnsi="Arial" w:cs="Arial"/>
          <w:b w:val="0"/>
          <w:bCs/>
          <w:caps w:val="0"/>
        </w:rPr>
        <w:t xml:space="preserve"> et al., 2020). Among the specialized programs offered, welding stands out as a field where students are encouraged to achieve competency certifications aligned with industry standards and labor market requirements (</w:t>
      </w:r>
      <w:proofErr w:type="spellStart"/>
      <w:r w:rsidRPr="00F97DA2">
        <w:rPr>
          <w:rFonts w:ascii="Arial" w:hAnsi="Arial" w:cs="Arial"/>
          <w:b w:val="0"/>
          <w:bCs/>
          <w:caps w:val="0"/>
        </w:rPr>
        <w:t>daryono</w:t>
      </w:r>
      <w:proofErr w:type="spellEnd"/>
      <w:r w:rsidRPr="00F97DA2">
        <w:rPr>
          <w:rFonts w:ascii="Arial" w:hAnsi="Arial" w:cs="Arial"/>
          <w:b w:val="0"/>
          <w:bCs/>
          <w:caps w:val="0"/>
        </w:rPr>
        <w:t xml:space="preserve"> et al., 2020; </w:t>
      </w:r>
      <w:proofErr w:type="spellStart"/>
      <w:r w:rsidRPr="00F97DA2">
        <w:rPr>
          <w:rFonts w:ascii="Arial" w:hAnsi="Arial" w:cs="Arial"/>
          <w:b w:val="0"/>
          <w:bCs/>
          <w:caps w:val="0"/>
        </w:rPr>
        <w:t>rahmah</w:t>
      </w:r>
      <w:proofErr w:type="spellEnd"/>
      <w:r w:rsidRPr="00F97DA2">
        <w:rPr>
          <w:rFonts w:ascii="Arial" w:hAnsi="Arial" w:cs="Arial"/>
          <w:b w:val="0"/>
          <w:bCs/>
          <w:caps w:val="0"/>
        </w:rPr>
        <w:t xml:space="preserve"> &amp; </w:t>
      </w:r>
      <w:proofErr w:type="spellStart"/>
      <w:r w:rsidRPr="00F97DA2">
        <w:rPr>
          <w:rFonts w:ascii="Arial" w:hAnsi="Arial" w:cs="Arial"/>
          <w:b w:val="0"/>
          <w:bCs/>
          <w:caps w:val="0"/>
        </w:rPr>
        <w:t>muslim</w:t>
      </w:r>
      <w:proofErr w:type="spellEnd"/>
      <w:r w:rsidRPr="00F97DA2">
        <w:rPr>
          <w:rFonts w:ascii="Arial" w:hAnsi="Arial" w:cs="Arial"/>
          <w:b w:val="0"/>
          <w:bCs/>
          <w:caps w:val="0"/>
        </w:rPr>
        <w:t>, 2019).</w:t>
      </w:r>
    </w:p>
    <w:p w14:paraId="45E0C318" w14:textId="77777777" w:rsidR="00CB6DE3" w:rsidRPr="00F97DA2" w:rsidRDefault="00CB6DE3" w:rsidP="00CB6DE3">
      <w:pPr>
        <w:pStyle w:val="AbstHead"/>
        <w:jc w:val="both"/>
        <w:rPr>
          <w:rFonts w:ascii="Arial" w:hAnsi="Arial" w:cs="Arial"/>
          <w:b w:val="0"/>
          <w:bCs/>
        </w:rPr>
      </w:pPr>
    </w:p>
    <w:p w14:paraId="5AA95026" w14:textId="6BCB75B0" w:rsidR="00CB6DE3" w:rsidRPr="00F97DA2" w:rsidRDefault="00B77AB0" w:rsidP="00B77AB0">
      <w:pPr>
        <w:pStyle w:val="AbstHead"/>
        <w:rPr>
          <w:rFonts w:ascii="Arial" w:hAnsi="Arial" w:cs="Arial"/>
          <w:b w:val="0"/>
          <w:bCs/>
        </w:rPr>
      </w:pPr>
      <w:r w:rsidRPr="00F97DA2">
        <w:rPr>
          <w:rFonts w:ascii="Arial" w:hAnsi="Arial" w:cs="Arial"/>
          <w:b w:val="0"/>
          <w:bCs/>
          <w:caps w:val="0"/>
        </w:rPr>
        <w:t xml:space="preserve">The k–12 curriculum introduced by the </w:t>
      </w:r>
      <w:proofErr w:type="spellStart"/>
      <w:r w:rsidRPr="00F97DA2">
        <w:rPr>
          <w:rFonts w:ascii="Arial" w:hAnsi="Arial" w:cs="Arial"/>
          <w:b w:val="0"/>
          <w:bCs/>
          <w:caps w:val="0"/>
        </w:rPr>
        <w:t>philippine</w:t>
      </w:r>
      <w:proofErr w:type="spellEnd"/>
      <w:r w:rsidRPr="00F97DA2">
        <w:rPr>
          <w:rFonts w:ascii="Arial" w:hAnsi="Arial" w:cs="Arial"/>
          <w:b w:val="0"/>
          <w:bCs/>
          <w:caps w:val="0"/>
        </w:rPr>
        <w:t xml:space="preserve"> department of education was designed to align the country’s education system with global standards and to produce graduates capable of competing internationally. This basic education program aims to foster the overall development of learners, equipping them with essential 21st-century skills (</w:t>
      </w:r>
      <w:proofErr w:type="spellStart"/>
      <w:r w:rsidRPr="00F97DA2">
        <w:rPr>
          <w:rFonts w:ascii="Arial" w:hAnsi="Arial" w:cs="Arial"/>
          <w:b w:val="0"/>
          <w:bCs/>
          <w:caps w:val="0"/>
        </w:rPr>
        <w:t>deped</w:t>
      </w:r>
      <w:proofErr w:type="spellEnd"/>
      <w:r w:rsidRPr="00F97DA2">
        <w:rPr>
          <w:rFonts w:ascii="Arial" w:hAnsi="Arial" w:cs="Arial"/>
          <w:b w:val="0"/>
          <w:bCs/>
          <w:caps w:val="0"/>
        </w:rPr>
        <w:t xml:space="preserve"> order no. 8, s. 2015). Shielded metal arc welding (</w:t>
      </w:r>
      <w:proofErr w:type="spellStart"/>
      <w:r w:rsidRPr="00F97DA2">
        <w:rPr>
          <w:rFonts w:ascii="Arial" w:hAnsi="Arial" w:cs="Arial"/>
          <w:b w:val="0"/>
          <w:bCs/>
          <w:caps w:val="0"/>
        </w:rPr>
        <w:t>smaw</w:t>
      </w:r>
      <w:proofErr w:type="spellEnd"/>
      <w:r w:rsidRPr="00F97DA2">
        <w:rPr>
          <w:rFonts w:ascii="Arial" w:hAnsi="Arial" w:cs="Arial"/>
          <w:b w:val="0"/>
          <w:bCs/>
          <w:caps w:val="0"/>
        </w:rPr>
        <w:t>) is a crucial technical-vocational-livelihood (</w:t>
      </w:r>
      <w:proofErr w:type="spellStart"/>
      <w:r w:rsidRPr="00F97DA2">
        <w:rPr>
          <w:rFonts w:ascii="Arial" w:hAnsi="Arial" w:cs="Arial"/>
          <w:b w:val="0"/>
          <w:bCs/>
          <w:caps w:val="0"/>
        </w:rPr>
        <w:t>tvl</w:t>
      </w:r>
      <w:proofErr w:type="spellEnd"/>
      <w:r w:rsidRPr="00F97DA2">
        <w:rPr>
          <w:rFonts w:ascii="Arial" w:hAnsi="Arial" w:cs="Arial"/>
          <w:b w:val="0"/>
          <w:bCs/>
          <w:caps w:val="0"/>
        </w:rPr>
        <w:t xml:space="preserve">) track component in the </w:t>
      </w:r>
      <w:proofErr w:type="spellStart"/>
      <w:r w:rsidRPr="00F97DA2">
        <w:rPr>
          <w:rFonts w:ascii="Arial" w:hAnsi="Arial" w:cs="Arial"/>
          <w:b w:val="0"/>
          <w:bCs/>
          <w:caps w:val="0"/>
        </w:rPr>
        <w:t>philippine</w:t>
      </w:r>
      <w:proofErr w:type="spellEnd"/>
      <w:r w:rsidRPr="00F97DA2">
        <w:rPr>
          <w:rFonts w:ascii="Arial" w:hAnsi="Arial" w:cs="Arial"/>
          <w:b w:val="0"/>
          <w:bCs/>
          <w:caps w:val="0"/>
        </w:rPr>
        <w:t xml:space="preserve"> k-12 curriculum, aimed at providing grade 11 and 12 students with industry-relevant skills. It fosters employability, technical expertise, and safety standards, aligning student capabilities with labor demands for high-demand welding careers (</w:t>
      </w:r>
      <w:proofErr w:type="spellStart"/>
      <w:r w:rsidRPr="00F97DA2">
        <w:rPr>
          <w:rFonts w:ascii="Arial" w:hAnsi="Arial" w:cs="Arial"/>
          <w:b w:val="0"/>
          <w:bCs/>
          <w:caps w:val="0"/>
        </w:rPr>
        <w:t>tesda</w:t>
      </w:r>
      <w:proofErr w:type="spellEnd"/>
      <w:r w:rsidRPr="00F97DA2">
        <w:rPr>
          <w:rFonts w:ascii="Arial" w:hAnsi="Arial" w:cs="Arial"/>
          <w:b w:val="0"/>
          <w:bCs/>
          <w:caps w:val="0"/>
        </w:rPr>
        <w:t xml:space="preserve">). </w:t>
      </w:r>
    </w:p>
    <w:p w14:paraId="2C74B93E" w14:textId="77777777" w:rsidR="00CB6DE3" w:rsidRPr="00F97DA2" w:rsidRDefault="00CB6DE3" w:rsidP="00CB6DE3">
      <w:pPr>
        <w:pStyle w:val="AbstHead"/>
        <w:jc w:val="both"/>
        <w:rPr>
          <w:rFonts w:ascii="Arial" w:hAnsi="Arial" w:cs="Arial"/>
          <w:b w:val="0"/>
          <w:bCs/>
        </w:rPr>
      </w:pPr>
    </w:p>
    <w:p w14:paraId="14F34788" w14:textId="69709B5A" w:rsidR="00CB6DE3" w:rsidRPr="00F97DA2" w:rsidRDefault="00B77AB0" w:rsidP="00B77AB0">
      <w:pPr>
        <w:pStyle w:val="AbstHead"/>
        <w:rPr>
          <w:rFonts w:ascii="Arial" w:hAnsi="Arial" w:cs="Arial"/>
          <w:b w:val="0"/>
          <w:bCs/>
        </w:rPr>
      </w:pPr>
      <w:r w:rsidRPr="00F97DA2">
        <w:rPr>
          <w:rFonts w:ascii="Arial" w:hAnsi="Arial" w:cs="Arial"/>
          <w:b w:val="0"/>
          <w:bCs/>
          <w:caps w:val="0"/>
        </w:rPr>
        <w:t>The inclusion of shielded metal arc welding (</w:t>
      </w:r>
      <w:proofErr w:type="spellStart"/>
      <w:r w:rsidRPr="00F97DA2">
        <w:rPr>
          <w:rFonts w:ascii="Arial" w:hAnsi="Arial" w:cs="Arial"/>
          <w:b w:val="0"/>
          <w:bCs/>
          <w:caps w:val="0"/>
        </w:rPr>
        <w:t>smaw</w:t>
      </w:r>
      <w:proofErr w:type="spellEnd"/>
      <w:r w:rsidRPr="00F97DA2">
        <w:rPr>
          <w:rFonts w:ascii="Arial" w:hAnsi="Arial" w:cs="Arial"/>
          <w:b w:val="0"/>
          <w:bCs/>
          <w:caps w:val="0"/>
        </w:rPr>
        <w:t xml:space="preserve">) in the </w:t>
      </w:r>
      <w:proofErr w:type="spellStart"/>
      <w:r w:rsidRPr="00F97DA2">
        <w:rPr>
          <w:rFonts w:ascii="Arial" w:hAnsi="Arial" w:cs="Arial"/>
          <w:b w:val="0"/>
          <w:bCs/>
          <w:caps w:val="0"/>
        </w:rPr>
        <w:t>philippine</w:t>
      </w:r>
      <w:proofErr w:type="spellEnd"/>
      <w:r w:rsidRPr="00F97DA2">
        <w:rPr>
          <w:rFonts w:ascii="Arial" w:hAnsi="Arial" w:cs="Arial"/>
          <w:b w:val="0"/>
          <w:bCs/>
          <w:caps w:val="0"/>
        </w:rPr>
        <w:t xml:space="preserve"> senior high school curriculum underscores its importance in equipping learners with industry</w:t>
      </w:r>
      <w:r w:rsidR="00CB6DE3" w:rsidRPr="00F97DA2">
        <w:rPr>
          <w:rFonts w:ascii="Cambria Math" w:hAnsi="Cambria Math" w:cs="Cambria Math"/>
          <w:b w:val="0"/>
          <w:bCs/>
        </w:rPr>
        <w:t>‑</w:t>
      </w:r>
      <w:r w:rsidRPr="00F97DA2">
        <w:rPr>
          <w:rFonts w:ascii="Arial" w:hAnsi="Arial" w:cs="Arial"/>
          <w:b w:val="0"/>
          <w:bCs/>
          <w:caps w:val="0"/>
        </w:rPr>
        <w:t xml:space="preserve">relevant technical skills that align with national and international standards. </w:t>
      </w:r>
      <w:proofErr w:type="spellStart"/>
      <w:r w:rsidRPr="00F97DA2">
        <w:rPr>
          <w:rFonts w:ascii="Arial" w:hAnsi="Arial" w:cs="Arial"/>
          <w:b w:val="0"/>
          <w:bCs/>
          <w:caps w:val="0"/>
        </w:rPr>
        <w:t>Smaw</w:t>
      </w:r>
      <w:proofErr w:type="spellEnd"/>
      <w:r w:rsidRPr="00F97DA2">
        <w:rPr>
          <w:rFonts w:ascii="Arial" w:hAnsi="Arial" w:cs="Arial"/>
          <w:b w:val="0"/>
          <w:bCs/>
          <w:caps w:val="0"/>
        </w:rPr>
        <w:t xml:space="preserve"> </w:t>
      </w:r>
      <w:proofErr w:type="spellStart"/>
      <w:r w:rsidRPr="00F97DA2">
        <w:rPr>
          <w:rFonts w:ascii="Arial" w:hAnsi="Arial" w:cs="Arial"/>
          <w:b w:val="0"/>
          <w:bCs/>
          <w:caps w:val="0"/>
        </w:rPr>
        <w:t>nc</w:t>
      </w:r>
      <w:proofErr w:type="spellEnd"/>
      <w:r w:rsidRPr="00F97DA2">
        <w:rPr>
          <w:rFonts w:ascii="Arial" w:hAnsi="Arial" w:cs="Arial"/>
          <w:b w:val="0"/>
          <w:bCs/>
          <w:caps w:val="0"/>
        </w:rPr>
        <w:t xml:space="preserve"> ii competency standards require learners to perform operational tasks such as preparing materials, setting up equipment, and welding carbon steel plates and pipes according to industry requirements like those of the </w:t>
      </w:r>
      <w:proofErr w:type="spellStart"/>
      <w:r w:rsidRPr="00F97DA2">
        <w:rPr>
          <w:rFonts w:ascii="Arial" w:hAnsi="Arial" w:cs="Arial"/>
          <w:b w:val="0"/>
          <w:bCs/>
          <w:caps w:val="0"/>
        </w:rPr>
        <w:t>american</w:t>
      </w:r>
      <w:proofErr w:type="spellEnd"/>
      <w:r w:rsidRPr="00F97DA2">
        <w:rPr>
          <w:rFonts w:ascii="Arial" w:hAnsi="Arial" w:cs="Arial"/>
          <w:b w:val="0"/>
          <w:bCs/>
          <w:caps w:val="0"/>
        </w:rPr>
        <w:t xml:space="preserve"> welding society (</w:t>
      </w:r>
      <w:proofErr w:type="spellStart"/>
      <w:r w:rsidRPr="00F97DA2">
        <w:rPr>
          <w:rFonts w:ascii="Arial" w:hAnsi="Arial" w:cs="Arial"/>
          <w:b w:val="0"/>
          <w:bCs/>
          <w:caps w:val="0"/>
        </w:rPr>
        <w:t>aws</w:t>
      </w:r>
      <w:proofErr w:type="spellEnd"/>
      <w:r w:rsidRPr="00F97DA2">
        <w:rPr>
          <w:rFonts w:ascii="Arial" w:hAnsi="Arial" w:cs="Arial"/>
          <w:b w:val="0"/>
          <w:bCs/>
          <w:caps w:val="0"/>
        </w:rPr>
        <w:t xml:space="preserve">) d1.1 and </w:t>
      </w:r>
      <w:proofErr w:type="spellStart"/>
      <w:r w:rsidRPr="00F97DA2">
        <w:rPr>
          <w:rFonts w:ascii="Arial" w:hAnsi="Arial" w:cs="Arial"/>
          <w:b w:val="0"/>
          <w:bCs/>
          <w:caps w:val="0"/>
        </w:rPr>
        <w:t>american</w:t>
      </w:r>
      <w:proofErr w:type="spellEnd"/>
      <w:r w:rsidRPr="00F97DA2">
        <w:rPr>
          <w:rFonts w:ascii="Arial" w:hAnsi="Arial" w:cs="Arial"/>
          <w:b w:val="0"/>
          <w:bCs/>
          <w:caps w:val="0"/>
        </w:rPr>
        <w:t xml:space="preserve"> society of mechanical engineers (</w:t>
      </w:r>
      <w:proofErr w:type="spellStart"/>
      <w:r w:rsidRPr="00F97DA2">
        <w:rPr>
          <w:rFonts w:ascii="Arial" w:hAnsi="Arial" w:cs="Arial"/>
          <w:b w:val="0"/>
          <w:bCs/>
          <w:caps w:val="0"/>
        </w:rPr>
        <w:t>asme</w:t>
      </w:r>
      <w:proofErr w:type="spellEnd"/>
      <w:r w:rsidRPr="00F97DA2">
        <w:rPr>
          <w:rFonts w:ascii="Arial" w:hAnsi="Arial" w:cs="Arial"/>
          <w:b w:val="0"/>
          <w:bCs/>
          <w:caps w:val="0"/>
        </w:rPr>
        <w:t>) ix (</w:t>
      </w:r>
      <w:proofErr w:type="spellStart"/>
      <w:r w:rsidRPr="00F97DA2">
        <w:rPr>
          <w:rFonts w:ascii="Arial" w:hAnsi="Arial" w:cs="Arial"/>
          <w:b w:val="0"/>
          <w:bCs/>
          <w:caps w:val="0"/>
        </w:rPr>
        <w:t>tesda</w:t>
      </w:r>
      <w:r w:rsidR="00CB6DE3" w:rsidRPr="00F97DA2">
        <w:rPr>
          <w:rFonts w:ascii="Cambria Math" w:hAnsi="Cambria Math" w:cs="Cambria Math"/>
          <w:b w:val="0"/>
          <w:bCs/>
        </w:rPr>
        <w:t>‑</w:t>
      </w:r>
      <w:r w:rsidRPr="00F97DA2">
        <w:rPr>
          <w:rFonts w:ascii="Arial" w:hAnsi="Arial" w:cs="Arial"/>
          <w:b w:val="0"/>
          <w:bCs/>
          <w:caps w:val="0"/>
        </w:rPr>
        <w:t>ptc</w:t>
      </w:r>
      <w:r w:rsidR="00CB6DE3" w:rsidRPr="00F97DA2">
        <w:rPr>
          <w:rFonts w:ascii="Cambria Math" w:hAnsi="Cambria Math" w:cs="Cambria Math"/>
          <w:b w:val="0"/>
          <w:bCs/>
        </w:rPr>
        <w:t>‑</w:t>
      </w:r>
      <w:r w:rsidRPr="00F97DA2">
        <w:rPr>
          <w:rFonts w:ascii="Arial" w:hAnsi="Arial" w:cs="Arial"/>
          <w:b w:val="0"/>
          <w:bCs/>
          <w:caps w:val="0"/>
        </w:rPr>
        <w:t>sdn</w:t>
      </w:r>
      <w:proofErr w:type="spellEnd"/>
      <w:r w:rsidRPr="00F97DA2">
        <w:rPr>
          <w:rFonts w:ascii="Arial" w:hAnsi="Arial" w:cs="Arial"/>
          <w:b w:val="0"/>
          <w:bCs/>
          <w:caps w:val="0"/>
        </w:rPr>
        <w:t xml:space="preserve">, n.d.; </w:t>
      </w:r>
      <w:proofErr w:type="spellStart"/>
      <w:r w:rsidRPr="00F97DA2">
        <w:rPr>
          <w:rFonts w:ascii="Arial" w:hAnsi="Arial" w:cs="Arial"/>
          <w:b w:val="0"/>
          <w:bCs/>
          <w:caps w:val="0"/>
        </w:rPr>
        <w:t>tesda</w:t>
      </w:r>
      <w:r w:rsidR="00CB6DE3" w:rsidRPr="00F97DA2">
        <w:rPr>
          <w:rFonts w:ascii="Cambria Math" w:hAnsi="Cambria Math" w:cs="Cambria Math"/>
          <w:b w:val="0"/>
          <w:bCs/>
        </w:rPr>
        <w:t>‑</w:t>
      </w:r>
      <w:r w:rsidRPr="00F97DA2">
        <w:rPr>
          <w:rFonts w:ascii="Arial" w:hAnsi="Arial" w:cs="Arial"/>
          <w:b w:val="0"/>
          <w:bCs/>
          <w:caps w:val="0"/>
        </w:rPr>
        <w:t>sncat</w:t>
      </w:r>
      <w:proofErr w:type="spellEnd"/>
      <w:r w:rsidRPr="00F97DA2">
        <w:rPr>
          <w:rFonts w:ascii="Arial" w:hAnsi="Arial" w:cs="Arial"/>
          <w:b w:val="0"/>
          <w:bCs/>
          <w:caps w:val="0"/>
        </w:rPr>
        <w:t>, 2020). Pursuing a career in welding offers opportunities for long-term employment stability. Completing a seven-month professional welding program can allow a welder to earn a higher annual income, particularly in shielded metal arc welding, which remains the most widely practiced welding method worldwide (</w:t>
      </w:r>
      <w:proofErr w:type="spellStart"/>
      <w:r w:rsidRPr="00F97DA2">
        <w:rPr>
          <w:rFonts w:ascii="Arial" w:hAnsi="Arial" w:cs="Arial"/>
          <w:b w:val="0"/>
          <w:bCs/>
          <w:caps w:val="0"/>
        </w:rPr>
        <w:t>bedrejo</w:t>
      </w:r>
      <w:proofErr w:type="spellEnd"/>
      <w:r w:rsidRPr="00F97DA2">
        <w:rPr>
          <w:rFonts w:ascii="Arial" w:hAnsi="Arial" w:cs="Arial"/>
          <w:b w:val="0"/>
          <w:bCs/>
          <w:caps w:val="0"/>
        </w:rPr>
        <w:t xml:space="preserve"> et al., 2023).</w:t>
      </w:r>
    </w:p>
    <w:p w14:paraId="540BF53C" w14:textId="77777777" w:rsidR="00CB6DE3" w:rsidRPr="00F97DA2" w:rsidRDefault="00CB6DE3" w:rsidP="00CB6DE3">
      <w:pPr>
        <w:pStyle w:val="AbstHead"/>
        <w:jc w:val="both"/>
        <w:rPr>
          <w:rFonts w:ascii="Arial" w:hAnsi="Arial" w:cs="Arial"/>
          <w:b w:val="0"/>
          <w:bCs/>
        </w:rPr>
      </w:pPr>
    </w:p>
    <w:p w14:paraId="69CBEDEA" w14:textId="7FDD4AA5" w:rsidR="00CB6DE3" w:rsidRPr="00F97DA2" w:rsidRDefault="00B77AB0" w:rsidP="00B77AB0">
      <w:pPr>
        <w:pStyle w:val="AbstHead"/>
        <w:rPr>
          <w:rFonts w:ascii="Arial" w:hAnsi="Arial" w:cs="Arial"/>
          <w:b w:val="0"/>
          <w:bCs/>
        </w:rPr>
      </w:pPr>
      <w:r w:rsidRPr="00F97DA2">
        <w:rPr>
          <w:rFonts w:ascii="Arial" w:hAnsi="Arial" w:cs="Arial"/>
          <w:b w:val="0"/>
          <w:bCs/>
          <w:caps w:val="0"/>
        </w:rPr>
        <w:t xml:space="preserve">The </w:t>
      </w:r>
      <w:proofErr w:type="spellStart"/>
      <w:r w:rsidRPr="00F97DA2">
        <w:rPr>
          <w:rFonts w:ascii="Arial" w:hAnsi="Arial" w:cs="Arial"/>
          <w:b w:val="0"/>
          <w:bCs/>
          <w:caps w:val="0"/>
        </w:rPr>
        <w:t>smaw</w:t>
      </w:r>
      <w:proofErr w:type="spellEnd"/>
      <w:r w:rsidRPr="00F97DA2">
        <w:rPr>
          <w:rFonts w:ascii="Arial" w:hAnsi="Arial" w:cs="Arial"/>
          <w:b w:val="0"/>
          <w:bCs/>
          <w:caps w:val="0"/>
        </w:rPr>
        <w:t xml:space="preserve"> competencies provide graduates with the practical expertise necessary for employment in sectors such as construction, shipbuilding, and manufacturing, where certified welders are in demand. Successful attainment of </w:t>
      </w:r>
      <w:proofErr w:type="spellStart"/>
      <w:r w:rsidRPr="00F97DA2">
        <w:rPr>
          <w:rFonts w:ascii="Arial" w:hAnsi="Arial" w:cs="Arial"/>
          <w:b w:val="0"/>
          <w:bCs/>
          <w:caps w:val="0"/>
        </w:rPr>
        <w:t>nc</w:t>
      </w:r>
      <w:proofErr w:type="spellEnd"/>
      <w:r w:rsidRPr="00F97DA2">
        <w:rPr>
          <w:rFonts w:ascii="Arial" w:hAnsi="Arial" w:cs="Arial"/>
          <w:b w:val="0"/>
          <w:bCs/>
          <w:caps w:val="0"/>
        </w:rPr>
        <w:t xml:space="preserve"> ii certification enhances employability, enabling learners to enter the workforce immediately upon graduation. Furthermore, mastering </w:t>
      </w:r>
      <w:proofErr w:type="spellStart"/>
      <w:r w:rsidRPr="00F97DA2">
        <w:rPr>
          <w:rFonts w:ascii="Arial" w:hAnsi="Arial" w:cs="Arial"/>
          <w:b w:val="0"/>
          <w:bCs/>
          <w:caps w:val="0"/>
        </w:rPr>
        <w:t>smaw</w:t>
      </w:r>
      <w:proofErr w:type="spellEnd"/>
      <w:r w:rsidRPr="00F97DA2">
        <w:rPr>
          <w:rFonts w:ascii="Arial" w:hAnsi="Arial" w:cs="Arial"/>
          <w:b w:val="0"/>
          <w:bCs/>
          <w:caps w:val="0"/>
        </w:rPr>
        <w:t xml:space="preserve"> can support career advancement, as it offers a foundation for pursuing higher</w:t>
      </w:r>
      <w:r w:rsidR="00CB6DE3" w:rsidRPr="00F97DA2">
        <w:rPr>
          <w:rFonts w:ascii="Cambria Math" w:hAnsi="Cambria Math" w:cs="Cambria Math"/>
          <w:b w:val="0"/>
          <w:bCs/>
        </w:rPr>
        <w:t>‑</w:t>
      </w:r>
      <w:r w:rsidRPr="00F97DA2">
        <w:rPr>
          <w:rFonts w:ascii="Arial" w:hAnsi="Arial" w:cs="Arial"/>
          <w:b w:val="0"/>
          <w:bCs/>
          <w:caps w:val="0"/>
        </w:rPr>
        <w:t>level welding certifications or specialized welding fields critical to industrial growth. The curriculum’s competency</w:t>
      </w:r>
      <w:r w:rsidR="00CB6DE3" w:rsidRPr="00F97DA2">
        <w:rPr>
          <w:rFonts w:ascii="Cambria Math" w:hAnsi="Cambria Math" w:cs="Cambria Math"/>
          <w:b w:val="0"/>
          <w:bCs/>
        </w:rPr>
        <w:t>‑</w:t>
      </w:r>
      <w:r w:rsidRPr="00F97DA2">
        <w:rPr>
          <w:rFonts w:ascii="Arial" w:hAnsi="Arial" w:cs="Arial"/>
          <w:b w:val="0"/>
          <w:bCs/>
          <w:caps w:val="0"/>
        </w:rPr>
        <w:t>based structure, as defined in the training regulations and adopted by both the department of education (</w:t>
      </w:r>
      <w:proofErr w:type="spellStart"/>
      <w:r w:rsidRPr="00F97DA2">
        <w:rPr>
          <w:rFonts w:ascii="Arial" w:hAnsi="Arial" w:cs="Arial"/>
          <w:b w:val="0"/>
          <w:bCs/>
          <w:caps w:val="0"/>
        </w:rPr>
        <w:t>deped</w:t>
      </w:r>
      <w:proofErr w:type="spellEnd"/>
      <w:r w:rsidRPr="00F97DA2">
        <w:rPr>
          <w:rFonts w:ascii="Arial" w:hAnsi="Arial" w:cs="Arial"/>
          <w:b w:val="0"/>
          <w:bCs/>
          <w:caps w:val="0"/>
        </w:rPr>
        <w:t>) and the technical education and skills development authority (</w:t>
      </w:r>
      <w:proofErr w:type="spellStart"/>
      <w:r w:rsidRPr="00F97DA2">
        <w:rPr>
          <w:rFonts w:ascii="Arial" w:hAnsi="Arial" w:cs="Arial"/>
          <w:b w:val="0"/>
          <w:bCs/>
          <w:caps w:val="0"/>
        </w:rPr>
        <w:t>tesda</w:t>
      </w:r>
      <w:proofErr w:type="spellEnd"/>
      <w:r w:rsidRPr="00F97DA2">
        <w:rPr>
          <w:rFonts w:ascii="Arial" w:hAnsi="Arial" w:cs="Arial"/>
          <w:b w:val="0"/>
          <w:bCs/>
          <w:caps w:val="0"/>
        </w:rPr>
        <w:t>), ensures that students not only develop manual welding skills but also understand the theoretical principles that underpin safe and effective practice (</w:t>
      </w:r>
      <w:proofErr w:type="spellStart"/>
      <w:r w:rsidRPr="00F97DA2">
        <w:rPr>
          <w:rFonts w:ascii="Arial" w:hAnsi="Arial" w:cs="Arial"/>
          <w:b w:val="0"/>
          <w:bCs/>
          <w:caps w:val="0"/>
        </w:rPr>
        <w:t>tesda</w:t>
      </w:r>
      <w:proofErr w:type="spellEnd"/>
      <w:r w:rsidRPr="00F97DA2">
        <w:rPr>
          <w:rFonts w:ascii="Arial" w:hAnsi="Arial" w:cs="Arial"/>
          <w:b w:val="0"/>
          <w:bCs/>
          <w:caps w:val="0"/>
        </w:rPr>
        <w:t xml:space="preserve">, n.d.; </w:t>
      </w:r>
      <w:proofErr w:type="spellStart"/>
      <w:r w:rsidRPr="00F97DA2">
        <w:rPr>
          <w:rFonts w:ascii="Arial" w:hAnsi="Arial" w:cs="Arial"/>
          <w:b w:val="0"/>
          <w:bCs/>
          <w:caps w:val="0"/>
        </w:rPr>
        <w:t>tesda</w:t>
      </w:r>
      <w:r w:rsidR="00CB6DE3" w:rsidRPr="00F97DA2">
        <w:rPr>
          <w:rFonts w:ascii="Cambria Math" w:hAnsi="Cambria Math" w:cs="Cambria Math"/>
          <w:b w:val="0"/>
          <w:bCs/>
        </w:rPr>
        <w:t>‑</w:t>
      </w:r>
      <w:r w:rsidRPr="00F97DA2">
        <w:rPr>
          <w:rFonts w:ascii="Arial" w:hAnsi="Arial" w:cs="Arial"/>
          <w:b w:val="0"/>
          <w:bCs/>
          <w:caps w:val="0"/>
        </w:rPr>
        <w:t>sncat</w:t>
      </w:r>
      <w:proofErr w:type="spellEnd"/>
      <w:r w:rsidRPr="00F97DA2">
        <w:rPr>
          <w:rFonts w:ascii="Arial" w:hAnsi="Arial" w:cs="Arial"/>
          <w:b w:val="0"/>
          <w:bCs/>
          <w:caps w:val="0"/>
        </w:rPr>
        <w:t>, 2020).</w:t>
      </w:r>
    </w:p>
    <w:p w14:paraId="4F731228" w14:textId="77777777" w:rsidR="00CB6DE3" w:rsidRPr="00F97DA2" w:rsidRDefault="00CB6DE3" w:rsidP="00CB6DE3">
      <w:pPr>
        <w:pStyle w:val="AbstHead"/>
        <w:jc w:val="both"/>
        <w:rPr>
          <w:rFonts w:ascii="Arial" w:hAnsi="Arial" w:cs="Arial"/>
          <w:b w:val="0"/>
          <w:bCs/>
        </w:rPr>
      </w:pPr>
    </w:p>
    <w:p w14:paraId="0C8C74CE" w14:textId="30632B9A" w:rsidR="00CB6DE3" w:rsidRPr="00F97DA2" w:rsidRDefault="00B77AB0" w:rsidP="00B77AB0">
      <w:pPr>
        <w:pStyle w:val="AbstHead"/>
        <w:rPr>
          <w:rFonts w:ascii="Arial" w:hAnsi="Arial" w:cs="Arial"/>
          <w:b w:val="0"/>
          <w:bCs/>
        </w:rPr>
      </w:pPr>
      <w:r w:rsidRPr="00F97DA2">
        <w:rPr>
          <w:rFonts w:ascii="Arial" w:hAnsi="Arial" w:cs="Arial"/>
          <w:b w:val="0"/>
          <w:bCs/>
          <w:caps w:val="0"/>
        </w:rPr>
        <w:t xml:space="preserve">In the </w:t>
      </w:r>
      <w:proofErr w:type="spellStart"/>
      <w:r w:rsidRPr="00F97DA2">
        <w:rPr>
          <w:rFonts w:ascii="Arial" w:hAnsi="Arial" w:cs="Arial"/>
          <w:b w:val="0"/>
          <w:bCs/>
          <w:caps w:val="0"/>
        </w:rPr>
        <w:t>philippine</w:t>
      </w:r>
      <w:proofErr w:type="spellEnd"/>
      <w:r w:rsidRPr="00F97DA2">
        <w:rPr>
          <w:rFonts w:ascii="Arial" w:hAnsi="Arial" w:cs="Arial"/>
          <w:b w:val="0"/>
          <w:bCs/>
          <w:caps w:val="0"/>
        </w:rPr>
        <w:t xml:space="preserve"> </w:t>
      </w:r>
      <w:proofErr w:type="spellStart"/>
      <w:r w:rsidRPr="00F97DA2">
        <w:rPr>
          <w:rFonts w:ascii="Arial" w:hAnsi="Arial" w:cs="Arial"/>
          <w:b w:val="0"/>
          <w:bCs/>
          <w:caps w:val="0"/>
        </w:rPr>
        <w:t>tvet</w:t>
      </w:r>
      <w:proofErr w:type="spellEnd"/>
      <w:r w:rsidRPr="00F97DA2">
        <w:rPr>
          <w:rFonts w:ascii="Arial" w:hAnsi="Arial" w:cs="Arial"/>
          <w:b w:val="0"/>
          <w:bCs/>
          <w:caps w:val="0"/>
        </w:rPr>
        <w:t xml:space="preserve"> system, the national certificate level ii (</w:t>
      </w:r>
      <w:proofErr w:type="spellStart"/>
      <w:r w:rsidRPr="00F97DA2">
        <w:rPr>
          <w:rFonts w:ascii="Arial" w:hAnsi="Arial" w:cs="Arial"/>
          <w:b w:val="0"/>
          <w:bCs/>
          <w:caps w:val="0"/>
        </w:rPr>
        <w:t>nc</w:t>
      </w:r>
      <w:proofErr w:type="spellEnd"/>
      <w:r w:rsidRPr="00F97DA2">
        <w:rPr>
          <w:rFonts w:ascii="Arial" w:hAnsi="Arial" w:cs="Arial"/>
          <w:b w:val="0"/>
          <w:bCs/>
          <w:caps w:val="0"/>
        </w:rPr>
        <w:t xml:space="preserve"> ii) serves as a formal validation of a learner’s competencies in specific vocational skills. Under the </w:t>
      </w:r>
      <w:proofErr w:type="spellStart"/>
      <w:r w:rsidRPr="00F97DA2">
        <w:rPr>
          <w:rFonts w:ascii="Arial" w:hAnsi="Arial" w:cs="Arial"/>
          <w:b w:val="0"/>
          <w:bCs/>
          <w:caps w:val="0"/>
        </w:rPr>
        <w:t>philippine</w:t>
      </w:r>
      <w:proofErr w:type="spellEnd"/>
      <w:r w:rsidRPr="00F97DA2">
        <w:rPr>
          <w:rFonts w:ascii="Arial" w:hAnsi="Arial" w:cs="Arial"/>
          <w:b w:val="0"/>
          <w:bCs/>
          <w:caps w:val="0"/>
        </w:rPr>
        <w:t xml:space="preserve"> </w:t>
      </w:r>
      <w:proofErr w:type="spellStart"/>
      <w:r w:rsidRPr="00F97DA2">
        <w:rPr>
          <w:rFonts w:ascii="Arial" w:hAnsi="Arial" w:cs="Arial"/>
          <w:b w:val="0"/>
          <w:bCs/>
          <w:caps w:val="0"/>
        </w:rPr>
        <w:t>tvet</w:t>
      </w:r>
      <w:proofErr w:type="spellEnd"/>
      <w:r w:rsidRPr="00F97DA2">
        <w:rPr>
          <w:rFonts w:ascii="Arial" w:hAnsi="Arial" w:cs="Arial"/>
          <w:b w:val="0"/>
          <w:bCs/>
          <w:caps w:val="0"/>
        </w:rPr>
        <w:t xml:space="preserve"> competency assessment and certification system, </w:t>
      </w:r>
      <w:proofErr w:type="spellStart"/>
      <w:r w:rsidRPr="00F97DA2">
        <w:rPr>
          <w:rFonts w:ascii="Arial" w:hAnsi="Arial" w:cs="Arial"/>
          <w:b w:val="0"/>
          <w:bCs/>
          <w:caps w:val="0"/>
        </w:rPr>
        <w:t>nc</w:t>
      </w:r>
      <w:proofErr w:type="spellEnd"/>
      <w:r w:rsidRPr="00F97DA2">
        <w:rPr>
          <w:rFonts w:ascii="Arial" w:hAnsi="Arial" w:cs="Arial"/>
          <w:b w:val="0"/>
          <w:bCs/>
          <w:caps w:val="0"/>
        </w:rPr>
        <w:t xml:space="preserve"> ii certification is issued only when a candidate demonstrates proficiency in all units of competency comprising the qualification. This assessment focuses on actual performance and evidence of skills relative to workplace standards rather than solely on theoretical knowledge. The </w:t>
      </w:r>
      <w:proofErr w:type="spellStart"/>
      <w:r w:rsidRPr="00F97DA2">
        <w:rPr>
          <w:rFonts w:ascii="Arial" w:hAnsi="Arial" w:cs="Arial"/>
          <w:b w:val="0"/>
          <w:bCs/>
          <w:caps w:val="0"/>
        </w:rPr>
        <w:t>nc</w:t>
      </w:r>
      <w:proofErr w:type="spellEnd"/>
      <w:r w:rsidRPr="00F97DA2">
        <w:rPr>
          <w:rFonts w:ascii="Arial" w:hAnsi="Arial" w:cs="Arial"/>
          <w:b w:val="0"/>
          <w:bCs/>
          <w:caps w:val="0"/>
        </w:rPr>
        <w:t xml:space="preserve"> ii certification thus functions not only as an educational credential but also as a quality assurance mechanism that aligns learner outputs with industry expectations.</w:t>
      </w:r>
    </w:p>
    <w:p w14:paraId="0369C860" w14:textId="77777777" w:rsidR="00CB6DE3" w:rsidRPr="00F97DA2" w:rsidRDefault="00CB6DE3" w:rsidP="00B77AB0">
      <w:pPr>
        <w:pStyle w:val="AbstHead"/>
        <w:rPr>
          <w:rFonts w:ascii="Arial" w:hAnsi="Arial" w:cs="Arial"/>
          <w:b w:val="0"/>
          <w:bCs/>
        </w:rPr>
      </w:pPr>
    </w:p>
    <w:p w14:paraId="0C38AD92" w14:textId="60BA27E2" w:rsidR="00CB6DE3" w:rsidRPr="00F97DA2" w:rsidRDefault="00B77AB0" w:rsidP="00B77AB0">
      <w:pPr>
        <w:pStyle w:val="AbstHead"/>
        <w:rPr>
          <w:rFonts w:ascii="Arial" w:hAnsi="Arial" w:cs="Arial"/>
          <w:b w:val="0"/>
          <w:bCs/>
        </w:rPr>
      </w:pPr>
      <w:r w:rsidRPr="00F97DA2">
        <w:rPr>
          <w:rFonts w:ascii="Arial" w:hAnsi="Arial" w:cs="Arial"/>
          <w:b w:val="0"/>
          <w:bCs/>
          <w:caps w:val="0"/>
        </w:rPr>
        <w:t>Competency</w:t>
      </w:r>
      <w:r w:rsidR="00CB6DE3" w:rsidRPr="00F97DA2">
        <w:rPr>
          <w:rFonts w:ascii="Cambria Math" w:hAnsi="Cambria Math" w:cs="Cambria Math"/>
          <w:b w:val="0"/>
          <w:bCs/>
        </w:rPr>
        <w:t>‑</w:t>
      </w:r>
      <w:r w:rsidRPr="00F97DA2">
        <w:rPr>
          <w:rFonts w:ascii="Arial" w:hAnsi="Arial" w:cs="Arial"/>
          <w:b w:val="0"/>
          <w:bCs/>
          <w:caps w:val="0"/>
        </w:rPr>
        <w:t xml:space="preserve">based assessment represents the core of </w:t>
      </w:r>
      <w:proofErr w:type="spellStart"/>
      <w:r w:rsidRPr="00F97DA2">
        <w:rPr>
          <w:rFonts w:ascii="Arial" w:hAnsi="Arial" w:cs="Arial"/>
          <w:b w:val="0"/>
          <w:bCs/>
          <w:caps w:val="0"/>
        </w:rPr>
        <w:t>tesda’s</w:t>
      </w:r>
      <w:proofErr w:type="spellEnd"/>
      <w:r w:rsidRPr="00F97DA2">
        <w:rPr>
          <w:rFonts w:ascii="Arial" w:hAnsi="Arial" w:cs="Arial"/>
          <w:b w:val="0"/>
          <w:bCs/>
          <w:caps w:val="0"/>
        </w:rPr>
        <w:t xml:space="preserve"> approach to </w:t>
      </w:r>
      <w:proofErr w:type="spellStart"/>
      <w:r w:rsidRPr="00F97DA2">
        <w:rPr>
          <w:rFonts w:ascii="Arial" w:hAnsi="Arial" w:cs="Arial"/>
          <w:b w:val="0"/>
          <w:bCs/>
          <w:caps w:val="0"/>
        </w:rPr>
        <w:t>tvet</w:t>
      </w:r>
      <w:proofErr w:type="spellEnd"/>
      <w:r w:rsidRPr="00F97DA2">
        <w:rPr>
          <w:rFonts w:ascii="Arial" w:hAnsi="Arial" w:cs="Arial"/>
          <w:b w:val="0"/>
          <w:bCs/>
          <w:caps w:val="0"/>
        </w:rPr>
        <w:t>. In this model, assessment is grounded in clearly defined competency standards, and learners are evaluated on their ability to perform tasks to industry</w:t>
      </w:r>
      <w:r w:rsidR="00CB6DE3" w:rsidRPr="00F97DA2">
        <w:rPr>
          <w:rFonts w:ascii="Cambria Math" w:hAnsi="Cambria Math" w:cs="Cambria Math"/>
          <w:b w:val="0"/>
          <w:bCs/>
        </w:rPr>
        <w:t>‑</w:t>
      </w:r>
      <w:r w:rsidRPr="00F97DA2">
        <w:rPr>
          <w:rFonts w:ascii="Arial" w:hAnsi="Arial" w:cs="Arial"/>
          <w:b w:val="0"/>
          <w:bCs/>
          <w:caps w:val="0"/>
        </w:rPr>
        <w:t>prescribed criteria. Training regulations (</w:t>
      </w:r>
      <w:proofErr w:type="spellStart"/>
      <w:r w:rsidRPr="00F97DA2">
        <w:rPr>
          <w:rFonts w:ascii="Arial" w:hAnsi="Arial" w:cs="Arial"/>
          <w:b w:val="0"/>
          <w:bCs/>
          <w:caps w:val="0"/>
        </w:rPr>
        <w:t>trs</w:t>
      </w:r>
      <w:proofErr w:type="spellEnd"/>
      <w:r w:rsidRPr="00F97DA2">
        <w:rPr>
          <w:rFonts w:ascii="Arial" w:hAnsi="Arial" w:cs="Arial"/>
          <w:b w:val="0"/>
          <w:bCs/>
          <w:caps w:val="0"/>
        </w:rPr>
        <w:t xml:space="preserve">) promulgated by </w:t>
      </w:r>
      <w:proofErr w:type="spellStart"/>
      <w:r w:rsidRPr="00F97DA2">
        <w:rPr>
          <w:rFonts w:ascii="Arial" w:hAnsi="Arial" w:cs="Arial"/>
          <w:b w:val="0"/>
          <w:bCs/>
          <w:caps w:val="0"/>
        </w:rPr>
        <w:t>tesda</w:t>
      </w:r>
      <w:proofErr w:type="spellEnd"/>
      <w:r w:rsidRPr="00F97DA2">
        <w:rPr>
          <w:rFonts w:ascii="Arial" w:hAnsi="Arial" w:cs="Arial"/>
          <w:b w:val="0"/>
          <w:bCs/>
          <w:caps w:val="0"/>
        </w:rPr>
        <w:t xml:space="preserve"> define the competencies required, the training curriculum, and the methods of assessment used to determine if those </w:t>
      </w:r>
      <w:r w:rsidRPr="00F97DA2">
        <w:rPr>
          <w:rFonts w:ascii="Arial" w:hAnsi="Arial" w:cs="Arial"/>
          <w:b w:val="0"/>
          <w:bCs/>
          <w:caps w:val="0"/>
        </w:rPr>
        <w:lastRenderedPageBreak/>
        <w:t>competencies have been achieved. By emphasizing demonstrable performance, the competency</w:t>
      </w:r>
      <w:r w:rsidR="00CB6DE3" w:rsidRPr="00F97DA2">
        <w:rPr>
          <w:rFonts w:ascii="Cambria Math" w:hAnsi="Cambria Math" w:cs="Cambria Math"/>
          <w:b w:val="0"/>
          <w:bCs/>
        </w:rPr>
        <w:t>‑</w:t>
      </w:r>
      <w:r w:rsidRPr="00F97DA2">
        <w:rPr>
          <w:rFonts w:ascii="Arial" w:hAnsi="Arial" w:cs="Arial"/>
          <w:b w:val="0"/>
          <w:bCs/>
          <w:caps w:val="0"/>
        </w:rPr>
        <w:t>based framework aims to produce graduates who are work</w:t>
      </w:r>
      <w:r w:rsidR="00CB6DE3" w:rsidRPr="00F97DA2">
        <w:rPr>
          <w:rFonts w:ascii="Cambria Math" w:hAnsi="Cambria Math" w:cs="Cambria Math"/>
          <w:b w:val="0"/>
          <w:bCs/>
        </w:rPr>
        <w:t>‑</w:t>
      </w:r>
      <w:r w:rsidRPr="00F97DA2">
        <w:rPr>
          <w:rFonts w:ascii="Arial" w:hAnsi="Arial" w:cs="Arial"/>
          <w:b w:val="0"/>
          <w:bCs/>
          <w:caps w:val="0"/>
        </w:rPr>
        <w:t>ready and capable of contributing productively to the labor market.</w:t>
      </w:r>
    </w:p>
    <w:p w14:paraId="75677155" w14:textId="77777777" w:rsidR="00CB6DE3" w:rsidRPr="00F97DA2" w:rsidRDefault="00CB6DE3" w:rsidP="00B77AB0">
      <w:pPr>
        <w:pStyle w:val="AbstHead"/>
        <w:rPr>
          <w:rFonts w:ascii="Arial" w:hAnsi="Arial" w:cs="Arial"/>
          <w:b w:val="0"/>
          <w:bCs/>
        </w:rPr>
      </w:pPr>
    </w:p>
    <w:p w14:paraId="1C73CC08" w14:textId="0629740E" w:rsidR="00CB6DE3" w:rsidRPr="00F97DA2" w:rsidRDefault="00B77AB0" w:rsidP="00B77AB0">
      <w:pPr>
        <w:pStyle w:val="AbstHead"/>
        <w:rPr>
          <w:rFonts w:ascii="Arial" w:hAnsi="Arial" w:cs="Arial"/>
          <w:b w:val="0"/>
          <w:bCs/>
        </w:rPr>
      </w:pPr>
      <w:r w:rsidRPr="00F97DA2">
        <w:rPr>
          <w:rFonts w:ascii="Arial" w:hAnsi="Arial" w:cs="Arial"/>
          <w:b w:val="0"/>
          <w:bCs/>
          <w:caps w:val="0"/>
        </w:rPr>
        <w:t xml:space="preserve">Although a high passing rate in </w:t>
      </w:r>
      <w:proofErr w:type="spellStart"/>
      <w:r w:rsidRPr="00F97DA2">
        <w:rPr>
          <w:rFonts w:ascii="Arial" w:hAnsi="Arial" w:cs="Arial"/>
          <w:b w:val="0"/>
          <w:bCs/>
          <w:caps w:val="0"/>
        </w:rPr>
        <w:t>nc</w:t>
      </w:r>
      <w:proofErr w:type="spellEnd"/>
      <w:r w:rsidRPr="00F97DA2">
        <w:rPr>
          <w:rFonts w:ascii="Arial" w:hAnsi="Arial" w:cs="Arial"/>
          <w:b w:val="0"/>
          <w:bCs/>
          <w:caps w:val="0"/>
        </w:rPr>
        <w:t xml:space="preserve"> ii assessments may suggest effective instruction and demonstration of basic competencies, it can also conceal specific areas where learners struggle to achieve mastery. For example, while the overall certification outcome might indicate that most students are “competent,” detailed analysis of task</w:t>
      </w:r>
      <w:r w:rsidR="00CB6DE3" w:rsidRPr="00F97DA2">
        <w:rPr>
          <w:rFonts w:ascii="Cambria Math" w:hAnsi="Cambria Math" w:cs="Cambria Math"/>
          <w:b w:val="0"/>
          <w:bCs/>
        </w:rPr>
        <w:t>‑</w:t>
      </w:r>
      <w:r w:rsidRPr="00F97DA2">
        <w:rPr>
          <w:rFonts w:ascii="Arial" w:hAnsi="Arial" w:cs="Arial"/>
          <w:b w:val="0"/>
          <w:bCs/>
          <w:caps w:val="0"/>
        </w:rPr>
        <w:t>level performance might reveal recurrent difficulties in specific welding techniques or preparatory tasks. Such nuanced gaps in skill mastery are not always evident when only overall certification rates are considered, yet they have important implications for program quality and learner readiness. Therefore, it is important to extend assessment analysis beyond pass/fail outcomes to identify specific competencies that need improvement.</w:t>
      </w:r>
    </w:p>
    <w:p w14:paraId="21671604" w14:textId="77777777" w:rsidR="00CB6DE3" w:rsidRPr="00F97DA2" w:rsidRDefault="00CB6DE3" w:rsidP="00B77AB0">
      <w:pPr>
        <w:pStyle w:val="AbstHead"/>
        <w:rPr>
          <w:rFonts w:ascii="Arial" w:hAnsi="Arial" w:cs="Arial"/>
          <w:b w:val="0"/>
          <w:bCs/>
        </w:rPr>
      </w:pPr>
    </w:p>
    <w:p w14:paraId="0AC45965" w14:textId="415C917C" w:rsidR="00CB6DE3" w:rsidRPr="00F97DA2" w:rsidRDefault="00B77AB0" w:rsidP="00B77AB0">
      <w:pPr>
        <w:pStyle w:val="AbstHead"/>
        <w:rPr>
          <w:rFonts w:ascii="Arial" w:hAnsi="Arial" w:cs="Arial"/>
          <w:b w:val="0"/>
          <w:bCs/>
        </w:rPr>
      </w:pPr>
      <w:r w:rsidRPr="00F97DA2">
        <w:rPr>
          <w:rFonts w:ascii="Arial" w:hAnsi="Arial" w:cs="Arial"/>
          <w:b w:val="0"/>
          <w:bCs/>
          <w:caps w:val="0"/>
        </w:rPr>
        <w:t>This study addresses the need for a data</w:t>
      </w:r>
      <w:r w:rsidR="00CB6DE3" w:rsidRPr="00F97DA2">
        <w:rPr>
          <w:rFonts w:ascii="Cambria Math" w:hAnsi="Cambria Math" w:cs="Cambria Math"/>
          <w:b w:val="0"/>
          <w:bCs/>
        </w:rPr>
        <w:t>‑</w:t>
      </w:r>
      <w:r w:rsidRPr="00F97DA2">
        <w:rPr>
          <w:rFonts w:ascii="Arial" w:hAnsi="Arial" w:cs="Arial"/>
          <w:b w:val="0"/>
          <w:bCs/>
          <w:caps w:val="0"/>
        </w:rPr>
        <w:t xml:space="preserve">driven approach to training enhancement by analyzing the </w:t>
      </w:r>
      <w:proofErr w:type="spellStart"/>
      <w:r w:rsidRPr="00F97DA2">
        <w:rPr>
          <w:rFonts w:ascii="Arial" w:hAnsi="Arial" w:cs="Arial"/>
          <w:b w:val="0"/>
          <w:bCs/>
          <w:caps w:val="0"/>
        </w:rPr>
        <w:t>nc</w:t>
      </w:r>
      <w:proofErr w:type="spellEnd"/>
      <w:r w:rsidRPr="00F97DA2">
        <w:rPr>
          <w:rFonts w:ascii="Arial" w:hAnsi="Arial" w:cs="Arial"/>
          <w:b w:val="0"/>
          <w:bCs/>
          <w:caps w:val="0"/>
        </w:rPr>
        <w:t xml:space="preserve"> ii assessment results of grade 12 </w:t>
      </w:r>
      <w:proofErr w:type="spellStart"/>
      <w:r w:rsidRPr="00F97DA2">
        <w:rPr>
          <w:rFonts w:ascii="Arial" w:hAnsi="Arial" w:cs="Arial"/>
          <w:b w:val="0"/>
          <w:bCs/>
          <w:caps w:val="0"/>
        </w:rPr>
        <w:t>smaw</w:t>
      </w:r>
      <w:proofErr w:type="spellEnd"/>
      <w:r w:rsidRPr="00F97DA2">
        <w:rPr>
          <w:rFonts w:ascii="Arial" w:hAnsi="Arial" w:cs="Arial"/>
          <w:b w:val="0"/>
          <w:bCs/>
          <w:caps w:val="0"/>
        </w:rPr>
        <w:t xml:space="preserve"> students to identify areas that require improvement. By focusing on task</w:t>
      </w:r>
      <w:r w:rsidR="00CB6DE3" w:rsidRPr="00F97DA2">
        <w:rPr>
          <w:rFonts w:ascii="Cambria Math" w:hAnsi="Cambria Math" w:cs="Cambria Math"/>
          <w:b w:val="0"/>
          <w:bCs/>
        </w:rPr>
        <w:t>‑</w:t>
      </w:r>
      <w:r w:rsidRPr="00F97DA2">
        <w:rPr>
          <w:rFonts w:ascii="Arial" w:hAnsi="Arial" w:cs="Arial"/>
          <w:b w:val="0"/>
          <w:bCs/>
          <w:caps w:val="0"/>
        </w:rPr>
        <w:t>level performance data, the study aims to provide evidence</w:t>
      </w:r>
      <w:r w:rsidR="00CB6DE3" w:rsidRPr="00F97DA2">
        <w:rPr>
          <w:rFonts w:ascii="Cambria Math" w:hAnsi="Cambria Math" w:cs="Cambria Math"/>
          <w:b w:val="0"/>
          <w:bCs/>
        </w:rPr>
        <w:t>‑</w:t>
      </w:r>
      <w:r w:rsidRPr="00F97DA2">
        <w:rPr>
          <w:rFonts w:ascii="Arial" w:hAnsi="Arial" w:cs="Arial"/>
          <w:b w:val="0"/>
          <w:bCs/>
          <w:caps w:val="0"/>
        </w:rPr>
        <w:t xml:space="preserve">based recommendations for strengthening training strategies and instructional design to ensure that </w:t>
      </w:r>
      <w:proofErr w:type="spellStart"/>
      <w:r w:rsidRPr="00F97DA2">
        <w:rPr>
          <w:rFonts w:ascii="Arial" w:hAnsi="Arial" w:cs="Arial"/>
          <w:b w:val="0"/>
          <w:bCs/>
          <w:caps w:val="0"/>
        </w:rPr>
        <w:t>smaw</w:t>
      </w:r>
      <w:proofErr w:type="spellEnd"/>
      <w:r w:rsidRPr="00F97DA2">
        <w:rPr>
          <w:rFonts w:ascii="Arial" w:hAnsi="Arial" w:cs="Arial"/>
          <w:b w:val="0"/>
          <w:bCs/>
          <w:caps w:val="0"/>
        </w:rPr>
        <w:t xml:space="preserve"> graduates are not only certified but also genuinely proficient in the competencies demanded by </w:t>
      </w:r>
      <w:proofErr w:type="gramStart"/>
      <w:r w:rsidRPr="00F97DA2">
        <w:rPr>
          <w:rFonts w:ascii="Arial" w:hAnsi="Arial" w:cs="Arial"/>
          <w:b w:val="0"/>
          <w:bCs/>
          <w:caps w:val="0"/>
        </w:rPr>
        <w:t>industry..</w:t>
      </w:r>
      <w:proofErr w:type="gramEnd"/>
    </w:p>
    <w:p w14:paraId="46B94DFA" w14:textId="0D7811E2"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DF14AC8" w14:textId="77777777" w:rsidR="00790ADA" w:rsidRPr="00FB3A86" w:rsidRDefault="00790ADA" w:rsidP="00441B6F">
      <w:pPr>
        <w:pStyle w:val="AbstHead"/>
        <w:spacing w:after="0"/>
        <w:jc w:val="both"/>
        <w:rPr>
          <w:rFonts w:ascii="Arial" w:hAnsi="Arial" w:cs="Arial"/>
        </w:rPr>
      </w:pPr>
    </w:p>
    <w:p w14:paraId="132F4AC3" w14:textId="07473EEB" w:rsidR="00CB6DE3" w:rsidRPr="00F97DA2" w:rsidRDefault="00CB6DE3" w:rsidP="00B77AB0">
      <w:pPr>
        <w:jc w:val="both"/>
        <w:rPr>
          <w:rFonts w:ascii="Arial" w:eastAsia="Book Antiqua" w:hAnsi="Arial" w:cs="Arial"/>
          <w:color w:val="000000"/>
          <w:sz w:val="22"/>
          <w:szCs w:val="22"/>
        </w:rPr>
      </w:pPr>
      <w:r w:rsidRPr="00F97DA2">
        <w:rPr>
          <w:rFonts w:ascii="Arial" w:eastAsia="Book Antiqua" w:hAnsi="Arial" w:cs="Arial"/>
          <w:color w:val="000000"/>
          <w:sz w:val="22"/>
          <w:szCs w:val="22"/>
        </w:rPr>
        <w:t xml:space="preserve">This </w:t>
      </w:r>
      <w:r w:rsidR="00694B34">
        <w:rPr>
          <w:rFonts w:ascii="Arial" w:eastAsia="Book Antiqua" w:hAnsi="Arial" w:cs="Arial"/>
          <w:color w:val="000000"/>
          <w:sz w:val="22"/>
          <w:szCs w:val="22"/>
        </w:rPr>
        <w:t>article</w:t>
      </w:r>
      <w:r w:rsidRPr="00F97DA2">
        <w:rPr>
          <w:rFonts w:ascii="Arial" w:eastAsia="Book Antiqua" w:hAnsi="Arial" w:cs="Arial"/>
          <w:color w:val="000000"/>
          <w:sz w:val="22"/>
          <w:szCs w:val="22"/>
        </w:rPr>
        <w:t xml:space="preserve"> presents the systematic procedures and methods employed in conducting the study and gathering the necessary data. Specifically, it details the research locale, research design, participants, data collection, and data analysis. Examining these components provides a comprehensive understanding of how the study was implemented, particularly in analyzing the performance of Grade 12 students in SMAW based on their NC II assessment results and identifying areas for improvement. By outlining these methodological steps, the study ensures that the process of assessing competencies and formulating training enhancements is transparent, rigorous, and replicable.</w:t>
      </w:r>
    </w:p>
    <w:p w14:paraId="1853D630" w14:textId="77777777" w:rsidR="00CB6DE3" w:rsidRPr="00CB6DE3" w:rsidRDefault="00CB6DE3" w:rsidP="00B77AB0">
      <w:pPr>
        <w:keepNext/>
        <w:keepLines/>
        <w:jc w:val="both"/>
        <w:outlineLvl w:val="0"/>
        <w:rPr>
          <w:rFonts w:ascii="Book Antiqua" w:eastAsia="Book Antiqua" w:hAnsi="Book Antiqua" w:cs="Book Antiqua"/>
          <w:color w:val="000000"/>
        </w:rPr>
      </w:pPr>
    </w:p>
    <w:p w14:paraId="36B82DA5" w14:textId="77777777" w:rsidR="00790ADA" w:rsidRPr="00FB3A86" w:rsidRDefault="00790ADA" w:rsidP="00441B6F">
      <w:pPr>
        <w:pStyle w:val="Body"/>
        <w:spacing w:after="0"/>
        <w:rPr>
          <w:rFonts w:ascii="Arial" w:hAnsi="Arial" w:cs="Arial"/>
        </w:rPr>
      </w:pPr>
    </w:p>
    <w:p w14:paraId="52BBF0AD" w14:textId="36F45891" w:rsidR="00AA74E0" w:rsidRDefault="00AA74E0" w:rsidP="00441B6F">
      <w:pPr>
        <w:pStyle w:val="Body"/>
        <w:spacing w:after="0"/>
        <w:rPr>
          <w:rFonts w:ascii="Arial" w:hAnsi="Arial" w:cs="Arial"/>
        </w:rPr>
      </w:pPr>
      <w:r w:rsidRPr="00C30A0F">
        <w:rPr>
          <w:rFonts w:ascii="Arial" w:hAnsi="Arial" w:cs="Arial"/>
          <w:b/>
          <w:caps/>
          <w:sz w:val="22"/>
        </w:rPr>
        <w:t xml:space="preserve">2.1 </w:t>
      </w:r>
      <w:r w:rsidR="00CB6DE3">
        <w:rPr>
          <w:rFonts w:ascii="Arial" w:hAnsi="Arial" w:cs="Arial"/>
          <w:b/>
          <w:sz w:val="22"/>
        </w:rPr>
        <w:t>Research Locale</w:t>
      </w:r>
    </w:p>
    <w:p w14:paraId="7AE4109A" w14:textId="77777777" w:rsidR="00CB6DE3" w:rsidRDefault="00CB6DE3" w:rsidP="00441B6F">
      <w:pPr>
        <w:pStyle w:val="Body"/>
        <w:spacing w:after="0"/>
        <w:rPr>
          <w:rFonts w:ascii="Arial" w:hAnsi="Arial" w:cs="Arial"/>
        </w:rPr>
      </w:pPr>
    </w:p>
    <w:p w14:paraId="622A9893" w14:textId="77777777" w:rsidR="00CB6DE3" w:rsidRPr="00F97DA2" w:rsidRDefault="00CB6DE3" w:rsidP="00CB6DE3">
      <w:pPr>
        <w:jc w:val="both"/>
        <w:rPr>
          <w:rFonts w:ascii="Arial" w:eastAsia="Book Antiqua" w:hAnsi="Arial" w:cs="Arial"/>
          <w:color w:val="000000"/>
          <w:sz w:val="22"/>
          <w:szCs w:val="22"/>
        </w:rPr>
      </w:pPr>
      <w:r w:rsidRPr="00F97DA2">
        <w:rPr>
          <w:rFonts w:ascii="Arial" w:eastAsia="Book Antiqua" w:hAnsi="Arial" w:cs="Arial"/>
          <w:color w:val="000000"/>
          <w:sz w:val="22"/>
          <w:szCs w:val="22"/>
        </w:rPr>
        <w:t xml:space="preserve">The study was conducted at Goma National High School, in the Division of </w:t>
      </w:r>
      <w:proofErr w:type="spellStart"/>
      <w:r w:rsidRPr="00F97DA2">
        <w:rPr>
          <w:rFonts w:ascii="Arial" w:eastAsia="Book Antiqua" w:hAnsi="Arial" w:cs="Arial"/>
          <w:color w:val="000000"/>
          <w:sz w:val="22"/>
          <w:szCs w:val="22"/>
        </w:rPr>
        <w:t>Digos</w:t>
      </w:r>
      <w:proofErr w:type="spellEnd"/>
      <w:r w:rsidRPr="00F97DA2">
        <w:rPr>
          <w:rFonts w:ascii="Arial" w:eastAsia="Book Antiqua" w:hAnsi="Arial" w:cs="Arial"/>
          <w:color w:val="000000"/>
          <w:sz w:val="22"/>
          <w:szCs w:val="22"/>
        </w:rPr>
        <w:t xml:space="preserve"> City, where the SMAW program is offered as part of the senior high school curriculum. The institution is accredited by TESDA and implements NC II standards in line with national competency-based education requirements. This setting provides a controlled environment where the students’ skills are assessed according to TESDA’s standardized procedures, ensuring the validity and reliability of the data collected.</w:t>
      </w:r>
    </w:p>
    <w:p w14:paraId="172C3AAA" w14:textId="77777777" w:rsidR="00CB6DE3" w:rsidRPr="00F97DA2" w:rsidRDefault="00CB6DE3" w:rsidP="00CB6DE3">
      <w:pPr>
        <w:rPr>
          <w:rFonts w:ascii="Book Antiqua" w:eastAsia="Book Antiqua" w:hAnsi="Book Antiqua" w:cs="Book Antiqua"/>
          <w:color w:val="000000"/>
        </w:rPr>
      </w:pPr>
    </w:p>
    <w:p w14:paraId="0F0CFF9B" w14:textId="77777777" w:rsidR="00505F06" w:rsidRDefault="00505F06" w:rsidP="00441B6F">
      <w:pPr>
        <w:pStyle w:val="Body"/>
        <w:spacing w:after="0"/>
        <w:rPr>
          <w:rFonts w:ascii="Arial" w:hAnsi="Arial" w:cs="Arial"/>
        </w:rPr>
      </w:pPr>
    </w:p>
    <w:p w14:paraId="7E4F9713" w14:textId="53370382" w:rsidR="00CB6DE3" w:rsidRDefault="00AA74E0" w:rsidP="00CB6DE3">
      <w:pPr>
        <w:pStyle w:val="Heading1"/>
        <w:spacing w:after="0"/>
        <w:jc w:val="both"/>
        <w:rPr>
          <w:rFonts w:eastAsia="Book Antiqua" w:cs="Arial"/>
          <w:color w:val="1F4E79"/>
          <w:kern w:val="0"/>
          <w:sz w:val="22"/>
          <w:szCs w:val="22"/>
        </w:rPr>
      </w:pPr>
      <w:r>
        <w:rPr>
          <w:rFonts w:cs="Arial"/>
          <w:u w:val="single"/>
        </w:rPr>
        <w:t>2</w:t>
      </w:r>
      <w:r w:rsidRPr="00902823">
        <w:rPr>
          <w:rFonts w:cs="Arial"/>
          <w:u w:val="single"/>
        </w:rPr>
        <w:t xml:space="preserve">.1.1 </w:t>
      </w:r>
      <w:r w:rsidR="00CB6DE3" w:rsidRPr="00CB6DE3">
        <w:rPr>
          <w:rFonts w:eastAsia="Book Antiqua" w:cs="Arial"/>
          <w:color w:val="1F4E79"/>
          <w:kern w:val="0"/>
          <w:sz w:val="22"/>
          <w:szCs w:val="22"/>
        </w:rPr>
        <w:t>Research Design</w:t>
      </w:r>
    </w:p>
    <w:p w14:paraId="008E688C" w14:textId="77777777" w:rsidR="00CB6DE3" w:rsidRPr="00CB6DE3" w:rsidRDefault="00CB6DE3" w:rsidP="00CB6DE3"/>
    <w:p w14:paraId="4E63A3C5" w14:textId="77777777" w:rsidR="00CB6DE3" w:rsidRPr="00F97DA2" w:rsidRDefault="00CB6DE3" w:rsidP="00CB6DE3">
      <w:pPr>
        <w:ind w:right="49"/>
        <w:jc w:val="both"/>
        <w:rPr>
          <w:rFonts w:ascii="Arial" w:eastAsia="Book Antiqua" w:hAnsi="Arial" w:cs="Arial"/>
          <w:bCs/>
          <w:color w:val="000000"/>
          <w:sz w:val="22"/>
          <w:szCs w:val="22"/>
        </w:rPr>
      </w:pPr>
      <w:r w:rsidRPr="00F97DA2">
        <w:rPr>
          <w:rFonts w:ascii="Arial" w:eastAsia="Book Antiqua" w:hAnsi="Arial" w:cs="Arial"/>
          <w:bCs/>
          <w:color w:val="000000"/>
          <w:sz w:val="22"/>
          <w:szCs w:val="22"/>
        </w:rPr>
        <w:t xml:space="preserve">This study used a descriptive research design, which is appropriate for examining and documenting existing conditions without manipulating variables. Descriptive research is commonly applied in education to provide a clear picture of performance patterns and trends rather than exploring cause-and-effect relationships (Creswell &amp; Poth, 2018; </w:t>
      </w:r>
      <w:proofErr w:type="spellStart"/>
      <w:r w:rsidRPr="00F97DA2">
        <w:rPr>
          <w:rFonts w:ascii="Arial" w:eastAsia="Book Antiqua" w:hAnsi="Arial" w:cs="Arial"/>
          <w:bCs/>
          <w:color w:val="000000"/>
          <w:sz w:val="22"/>
          <w:szCs w:val="22"/>
        </w:rPr>
        <w:t>Longe</w:t>
      </w:r>
      <w:proofErr w:type="spellEnd"/>
      <w:r w:rsidRPr="00F97DA2">
        <w:rPr>
          <w:rFonts w:ascii="Arial" w:eastAsia="Book Antiqua" w:hAnsi="Arial" w:cs="Arial"/>
          <w:bCs/>
          <w:color w:val="000000"/>
          <w:sz w:val="22"/>
          <w:szCs w:val="22"/>
        </w:rPr>
        <w:t>, 2025). In this study, it allowed for a detailed analysis of the SMAW NC II assessment results of Grade 12 students, identifying competencies that were least mastered. The approach enabled an objective presentation of student performance data, which served as a basis for recommending targeted training improvements. Unlike experimental designs, descriptive research provides an accurate account of observed phenomena, making it suitable for performance-based studies and curriculum evaluation (Creswell &amp; Poth, 2018; Distance Learning Institute, 2025).</w:t>
      </w:r>
    </w:p>
    <w:p w14:paraId="42CBB3DB" w14:textId="24B5545B" w:rsidR="00CB6DE3" w:rsidRPr="00906F8D" w:rsidRDefault="00AA74E0" w:rsidP="00CB6DE3">
      <w:pPr>
        <w:pStyle w:val="Heading1"/>
        <w:spacing w:after="0"/>
        <w:jc w:val="both"/>
        <w:rPr>
          <w:rFonts w:eastAsia="Book Antiqua" w:cs="Arial"/>
          <w:kern w:val="0"/>
          <w:sz w:val="22"/>
          <w:szCs w:val="22"/>
        </w:rPr>
      </w:pPr>
      <w:r w:rsidRPr="00C30A0F">
        <w:rPr>
          <w:rFonts w:cs="Arial"/>
          <w:i/>
        </w:rPr>
        <w:t>2.1.</w:t>
      </w:r>
      <w:proofErr w:type="gramStart"/>
      <w:r w:rsidRPr="00C30A0F">
        <w:rPr>
          <w:rFonts w:cs="Arial"/>
          <w:i/>
        </w:rPr>
        <w:t>1.</w:t>
      </w:r>
      <w:r w:rsidR="00CB6DE3" w:rsidRPr="00906F8D">
        <w:rPr>
          <w:rFonts w:eastAsia="Book Antiqua" w:cs="Arial"/>
          <w:kern w:val="0"/>
          <w:sz w:val="22"/>
          <w:szCs w:val="22"/>
        </w:rPr>
        <w:t>Research</w:t>
      </w:r>
      <w:proofErr w:type="gramEnd"/>
      <w:r w:rsidR="00CB6DE3" w:rsidRPr="00906F8D">
        <w:rPr>
          <w:rFonts w:eastAsia="Book Antiqua" w:cs="Arial"/>
          <w:kern w:val="0"/>
          <w:sz w:val="22"/>
          <w:szCs w:val="22"/>
        </w:rPr>
        <w:t xml:space="preserve"> Participants</w:t>
      </w:r>
    </w:p>
    <w:p w14:paraId="5B71EC37" w14:textId="77777777" w:rsidR="00CB6DE3" w:rsidRPr="00906F8D" w:rsidRDefault="00CB6DE3" w:rsidP="00CB6DE3"/>
    <w:p w14:paraId="1BBFB313" w14:textId="019858E3" w:rsidR="00CB6DE3" w:rsidRPr="00F97DA2" w:rsidRDefault="00CB6DE3" w:rsidP="00CB6DE3">
      <w:pPr>
        <w:jc w:val="both"/>
        <w:rPr>
          <w:rFonts w:ascii="Arial" w:eastAsia="Book Antiqua" w:hAnsi="Arial" w:cs="Arial"/>
          <w:bCs/>
          <w:color w:val="000000"/>
          <w:sz w:val="22"/>
          <w:szCs w:val="22"/>
        </w:rPr>
      </w:pPr>
      <w:r w:rsidRPr="00F97DA2">
        <w:rPr>
          <w:rFonts w:ascii="Arial" w:eastAsia="Book Antiqua" w:hAnsi="Arial" w:cs="Arial"/>
          <w:bCs/>
          <w:color w:val="000000"/>
          <w:sz w:val="22"/>
          <w:szCs w:val="22"/>
        </w:rPr>
        <w:t>The participants were 20 Grade 12 students enrolled in the SMAW program, all of whom had completed the required training modules and participated in the TESDA NC II assessment. Selection was based solely on enrollment in the SMAW program and the availability of their official NC II results. Using these participants ensures that the study focuses on actual performance outcomes, providing reliable data for identifying specific competency areas that need improvement (Creswell &amp; Poth, 2018).</w:t>
      </w:r>
    </w:p>
    <w:p w14:paraId="4C96A899" w14:textId="615CC0D3" w:rsidR="00906F8D" w:rsidRPr="00F97DA2" w:rsidRDefault="00906F8D" w:rsidP="00CB6DE3">
      <w:pPr>
        <w:jc w:val="both"/>
        <w:rPr>
          <w:rFonts w:ascii="Arial" w:eastAsia="Book Antiqua" w:hAnsi="Arial" w:cs="Arial"/>
          <w:bCs/>
          <w:color w:val="000000"/>
          <w:sz w:val="22"/>
          <w:szCs w:val="22"/>
        </w:rPr>
      </w:pPr>
    </w:p>
    <w:p w14:paraId="3450F9D9" w14:textId="13B9CFE3" w:rsidR="00906F8D" w:rsidRPr="00906F8D" w:rsidRDefault="00906F8D" w:rsidP="00906F8D">
      <w:pPr>
        <w:pStyle w:val="Heading1"/>
        <w:spacing w:after="0"/>
        <w:jc w:val="both"/>
        <w:rPr>
          <w:rFonts w:eastAsia="Book Antiqua" w:cs="Arial"/>
          <w:b w:val="0"/>
          <w:bCs/>
          <w:kern w:val="0"/>
          <w:sz w:val="22"/>
          <w:szCs w:val="22"/>
        </w:rPr>
      </w:pPr>
      <w:r w:rsidRPr="00906F8D">
        <w:rPr>
          <w:rFonts w:eastAsia="Book Antiqua" w:cs="Arial"/>
          <w:b w:val="0"/>
          <w:i/>
          <w:iCs/>
          <w:color w:val="000000"/>
          <w:sz w:val="22"/>
          <w:szCs w:val="22"/>
        </w:rPr>
        <w:t>2.1.2</w:t>
      </w:r>
      <w:r>
        <w:rPr>
          <w:rFonts w:eastAsia="Book Antiqua" w:cs="Arial"/>
          <w:b w:val="0"/>
          <w:i/>
          <w:iCs/>
          <w:color w:val="000000"/>
          <w:sz w:val="22"/>
          <w:szCs w:val="22"/>
        </w:rPr>
        <w:t xml:space="preserve"> </w:t>
      </w:r>
      <w:r w:rsidRPr="00906F8D">
        <w:rPr>
          <w:rFonts w:eastAsia="Book Antiqua" w:cs="Arial"/>
          <w:b w:val="0"/>
          <w:bCs/>
          <w:kern w:val="0"/>
          <w:sz w:val="22"/>
          <w:szCs w:val="22"/>
        </w:rPr>
        <w:t>Data Gathering Procedure</w:t>
      </w:r>
    </w:p>
    <w:p w14:paraId="5A68E9F7" w14:textId="77777777" w:rsidR="00906F8D" w:rsidRPr="00906F8D" w:rsidRDefault="00906F8D" w:rsidP="00906F8D">
      <w:pPr>
        <w:rPr>
          <w:rFonts w:ascii="Arial" w:hAnsi="Arial" w:cs="Arial"/>
          <w:bCs/>
          <w:sz w:val="22"/>
          <w:szCs w:val="22"/>
        </w:rPr>
      </w:pPr>
    </w:p>
    <w:p w14:paraId="218DD818" w14:textId="055FA04B" w:rsidR="00906F8D" w:rsidRDefault="00906F8D" w:rsidP="00906F8D">
      <w:pPr>
        <w:jc w:val="both"/>
        <w:rPr>
          <w:rFonts w:ascii="Arial" w:eastAsia="Book Antiqua" w:hAnsi="Arial" w:cs="Arial"/>
          <w:bCs/>
          <w:sz w:val="22"/>
          <w:szCs w:val="22"/>
        </w:rPr>
      </w:pPr>
      <w:r w:rsidRPr="00906F8D">
        <w:rPr>
          <w:rFonts w:ascii="Arial" w:eastAsia="Book Antiqua" w:hAnsi="Arial" w:cs="Arial"/>
          <w:bCs/>
          <w:sz w:val="22"/>
          <w:szCs w:val="22"/>
        </w:rPr>
        <w:t xml:space="preserve">The primary data source consisted of official NC II assessment results provided by the school and TESDA. These results include task- and competency-level scores for each student, indicating whether a student was “Competent” or “Not Yet Competent” in each assessed skill. The researchers requested access to these records and ensured confidentiality by coding student identities. No interviews or surveys were conducted, as the analysis focuses exclusively on documented performance outcomes. </w:t>
      </w:r>
    </w:p>
    <w:p w14:paraId="4095097E" w14:textId="0E32F81D" w:rsidR="00906F8D" w:rsidRDefault="00906F8D" w:rsidP="00906F8D">
      <w:pPr>
        <w:jc w:val="both"/>
        <w:rPr>
          <w:rFonts w:ascii="Arial" w:eastAsia="Book Antiqua" w:hAnsi="Arial" w:cs="Arial"/>
          <w:bCs/>
          <w:sz w:val="22"/>
          <w:szCs w:val="22"/>
        </w:rPr>
      </w:pPr>
    </w:p>
    <w:p w14:paraId="5768DC83" w14:textId="44BBC2DF" w:rsidR="00906F8D" w:rsidRDefault="00906F8D" w:rsidP="00906F8D">
      <w:pPr>
        <w:pStyle w:val="Heading1"/>
        <w:spacing w:after="0"/>
        <w:jc w:val="both"/>
        <w:rPr>
          <w:rFonts w:ascii="Book Antiqua" w:eastAsia="Book Antiqua" w:hAnsi="Book Antiqua" w:cs="Book Antiqua"/>
          <w:kern w:val="0"/>
          <w:sz w:val="20"/>
        </w:rPr>
      </w:pPr>
      <w:proofErr w:type="gramStart"/>
      <w:r w:rsidRPr="00906F8D">
        <w:rPr>
          <w:rFonts w:eastAsia="Book Antiqua" w:cs="Arial"/>
          <w:bCs/>
          <w:i/>
          <w:iCs/>
          <w:sz w:val="22"/>
          <w:szCs w:val="22"/>
        </w:rPr>
        <w:t>2.1.3</w:t>
      </w:r>
      <w:r>
        <w:rPr>
          <w:rFonts w:ascii="Book Antiqua" w:eastAsia="Book Antiqua" w:hAnsi="Book Antiqua" w:cs="Book Antiqua"/>
          <w:color w:val="1F4E79"/>
          <w:kern w:val="0"/>
          <w:sz w:val="20"/>
        </w:rPr>
        <w:t xml:space="preserve"> </w:t>
      </w:r>
      <w:r w:rsidRPr="00906F8D">
        <w:rPr>
          <w:rFonts w:ascii="Book Antiqua" w:eastAsia="Book Antiqua" w:hAnsi="Book Antiqua" w:cs="Book Antiqua"/>
          <w:color w:val="1F4E79"/>
          <w:kern w:val="0"/>
          <w:sz w:val="20"/>
        </w:rPr>
        <w:t xml:space="preserve"> </w:t>
      </w:r>
      <w:r w:rsidRPr="00906F8D">
        <w:rPr>
          <w:rFonts w:ascii="Book Antiqua" w:eastAsia="Book Antiqua" w:hAnsi="Book Antiqua" w:cs="Book Antiqua"/>
          <w:kern w:val="0"/>
          <w:sz w:val="20"/>
        </w:rPr>
        <w:t>Data</w:t>
      </w:r>
      <w:proofErr w:type="gramEnd"/>
      <w:r w:rsidRPr="00906F8D">
        <w:rPr>
          <w:rFonts w:ascii="Book Antiqua" w:eastAsia="Book Antiqua" w:hAnsi="Book Antiqua" w:cs="Book Antiqua"/>
          <w:kern w:val="0"/>
          <w:sz w:val="20"/>
        </w:rPr>
        <w:t xml:space="preserve"> Analysis</w:t>
      </w:r>
    </w:p>
    <w:p w14:paraId="722FC73D" w14:textId="77777777" w:rsidR="00906F8D" w:rsidRPr="00906F8D" w:rsidRDefault="00906F8D" w:rsidP="00906F8D"/>
    <w:p w14:paraId="6CE06C86" w14:textId="77777777" w:rsidR="00906F8D" w:rsidRPr="00F97DA2" w:rsidRDefault="00906F8D" w:rsidP="00906F8D">
      <w:pPr>
        <w:ind w:right="49"/>
        <w:jc w:val="both"/>
        <w:rPr>
          <w:rFonts w:ascii="Arial" w:eastAsia="Book Antiqua" w:hAnsi="Arial" w:cs="Arial"/>
          <w:color w:val="000000"/>
          <w:sz w:val="22"/>
          <w:szCs w:val="22"/>
        </w:rPr>
      </w:pPr>
      <w:r w:rsidRPr="00F97DA2">
        <w:rPr>
          <w:rFonts w:ascii="Arial" w:eastAsia="Book Antiqua" w:hAnsi="Arial" w:cs="Arial"/>
          <w:color w:val="000000"/>
          <w:sz w:val="22"/>
          <w:szCs w:val="22"/>
        </w:rPr>
        <w:t xml:space="preserve">Data analysis involved quantitative examination of the NC II results to identify specific areas where students demonstrated weaknesses. The steps included: a) Organizing data by competency units (e.g., arc striking, bead formation, equipment handling, safety procedures), b) Calculating frequencies and percentages of students who were “Competent” and “Not Yet Competent” in each unit, c) Ranking competencies based on the number of students with low scores or “Not Yet Competent” results to highlight the least mastered skills, and d) Identifying </w:t>
      </w:r>
      <w:r w:rsidRPr="00F97DA2">
        <w:rPr>
          <w:rFonts w:ascii="Arial" w:eastAsia="Book Antiqua" w:hAnsi="Arial" w:cs="Arial"/>
          <w:color w:val="000000"/>
          <w:sz w:val="22"/>
          <w:szCs w:val="22"/>
        </w:rPr>
        <w:lastRenderedPageBreak/>
        <w:t>performance trends to determine recurring difficulties across the cohort. The results of this analysis served as a basis for recommending targeted training enhancements to strengthen student proficiency in the identified weak areas. Descriptive statistics such as frequency tables, percentages, and simple charts were used to clearly present the findings (Creswell &amp; Poth, 2018; Distance Learning Institute, 2025).</w:t>
      </w:r>
    </w:p>
    <w:p w14:paraId="54651759" w14:textId="78B02FD6" w:rsidR="00906F8D" w:rsidRPr="00F97DA2" w:rsidRDefault="00906F8D" w:rsidP="00906F8D">
      <w:pPr>
        <w:jc w:val="both"/>
        <w:rPr>
          <w:rFonts w:ascii="Arial" w:eastAsia="Book Antiqua" w:hAnsi="Arial" w:cs="Arial"/>
          <w:i/>
          <w:iCs/>
          <w:sz w:val="22"/>
          <w:szCs w:val="22"/>
        </w:rPr>
      </w:pPr>
    </w:p>
    <w:p w14:paraId="3E5E4082" w14:textId="59A7D786" w:rsidR="00906F8D" w:rsidRPr="00CB6DE3" w:rsidRDefault="00906F8D" w:rsidP="00CB6DE3">
      <w:pPr>
        <w:jc w:val="both"/>
        <w:rPr>
          <w:rFonts w:ascii="Arial" w:eastAsia="Book Antiqua" w:hAnsi="Arial" w:cs="Arial"/>
          <w:b/>
          <w:i/>
          <w:iCs/>
          <w:color w:val="000000"/>
          <w:sz w:val="22"/>
          <w:szCs w:val="22"/>
        </w:rPr>
      </w:pPr>
    </w:p>
    <w:p w14:paraId="2445A391" w14:textId="77777777" w:rsidR="00CB6DE3" w:rsidRPr="00CB6DE3" w:rsidRDefault="00CB6DE3" w:rsidP="00CB6DE3">
      <w:pPr>
        <w:keepNext/>
        <w:keepLines/>
        <w:jc w:val="both"/>
        <w:outlineLvl w:val="0"/>
        <w:rPr>
          <w:rFonts w:ascii="Book Antiqua" w:eastAsia="Book Antiqua" w:hAnsi="Book Antiqua" w:cs="Book Antiqua"/>
          <w:b/>
          <w:color w:val="000000"/>
        </w:rPr>
      </w:pPr>
    </w:p>
    <w:p w14:paraId="566C3BC3" w14:textId="379A58B1" w:rsidR="00902823" w:rsidRPr="008220A4" w:rsidRDefault="00000F8F" w:rsidP="00CB6DE3">
      <w:pPr>
        <w:pStyle w:val="Body"/>
        <w:spacing w:after="0"/>
        <w:rPr>
          <w:rFonts w:ascii="Arial" w:hAnsi="Arial" w:cs="Arial"/>
          <w:b/>
          <w:bCs/>
        </w:rPr>
      </w:pPr>
      <w:r w:rsidRPr="008220A4">
        <w:rPr>
          <w:rFonts w:ascii="Arial" w:hAnsi="Arial" w:cs="Arial"/>
          <w:b/>
          <w:bCs/>
        </w:rPr>
        <w:t>3</w:t>
      </w:r>
      <w:r w:rsidR="00902823" w:rsidRPr="008220A4">
        <w:rPr>
          <w:rFonts w:ascii="Arial" w:hAnsi="Arial" w:cs="Arial"/>
          <w:b/>
          <w:bCs/>
        </w:rPr>
        <w:t xml:space="preserve">. </w:t>
      </w:r>
      <w:r w:rsidR="006B4C13" w:rsidRPr="006B4C13">
        <w:rPr>
          <w:rFonts w:ascii="Arial" w:hAnsi="Arial" w:cs="Arial"/>
          <w:b/>
          <w:bCs/>
          <w:sz w:val="24"/>
          <w:szCs w:val="24"/>
        </w:rPr>
        <w:t xml:space="preserve">Results </w:t>
      </w:r>
      <w:proofErr w:type="gramStart"/>
      <w:r w:rsidR="006B4C13" w:rsidRPr="006B4C13">
        <w:rPr>
          <w:rFonts w:ascii="Arial" w:hAnsi="Arial" w:cs="Arial"/>
          <w:b/>
          <w:bCs/>
          <w:sz w:val="24"/>
          <w:szCs w:val="24"/>
        </w:rPr>
        <w:t>And</w:t>
      </w:r>
      <w:proofErr w:type="gramEnd"/>
      <w:r w:rsidR="006B4C13" w:rsidRPr="006B4C13">
        <w:rPr>
          <w:rFonts w:ascii="Arial" w:hAnsi="Arial" w:cs="Arial"/>
          <w:b/>
          <w:bCs/>
          <w:sz w:val="24"/>
          <w:szCs w:val="24"/>
        </w:rPr>
        <w:t xml:space="preserve"> Discussion</w:t>
      </w:r>
    </w:p>
    <w:p w14:paraId="113D8EDF" w14:textId="77777777" w:rsidR="00790ADA" w:rsidRPr="00FB3A86" w:rsidRDefault="00790ADA" w:rsidP="00441B6F">
      <w:pPr>
        <w:pStyle w:val="Head1"/>
        <w:spacing w:after="0"/>
        <w:jc w:val="both"/>
        <w:rPr>
          <w:rFonts w:ascii="Arial" w:hAnsi="Arial" w:cs="Arial"/>
        </w:rPr>
      </w:pPr>
    </w:p>
    <w:p w14:paraId="6BA0ED97" w14:textId="0AB24EA5" w:rsidR="00906F8D" w:rsidRPr="00F97DA2" w:rsidRDefault="00906F8D" w:rsidP="00906F8D">
      <w:pPr>
        <w:ind w:right="49"/>
        <w:jc w:val="both"/>
        <w:rPr>
          <w:rFonts w:ascii="Arial" w:eastAsia="Book Antiqua" w:hAnsi="Arial" w:cs="Arial"/>
          <w:color w:val="000000"/>
          <w:sz w:val="22"/>
          <w:szCs w:val="22"/>
          <w:lang w:val="en-PH"/>
        </w:rPr>
      </w:pPr>
      <w:r w:rsidRPr="00F97DA2">
        <w:rPr>
          <w:rFonts w:ascii="Arial" w:eastAsia="Book Antiqua" w:hAnsi="Arial" w:cs="Arial"/>
          <w:color w:val="000000"/>
          <w:sz w:val="22"/>
          <w:szCs w:val="22"/>
          <w:lang w:val="en-PH"/>
        </w:rPr>
        <w:t xml:space="preserve">This </w:t>
      </w:r>
      <w:proofErr w:type="spellStart"/>
      <w:r w:rsidR="008220A4">
        <w:rPr>
          <w:rFonts w:ascii="Arial" w:eastAsia="Book Antiqua" w:hAnsi="Arial" w:cs="Arial"/>
          <w:color w:val="000000"/>
          <w:sz w:val="22"/>
          <w:szCs w:val="22"/>
          <w:lang w:val="en-PH"/>
        </w:rPr>
        <w:t>artricle</w:t>
      </w:r>
      <w:proofErr w:type="spellEnd"/>
      <w:r w:rsidRPr="00F97DA2">
        <w:rPr>
          <w:rFonts w:ascii="Arial" w:eastAsia="Book Antiqua" w:hAnsi="Arial" w:cs="Arial"/>
          <w:color w:val="000000"/>
          <w:sz w:val="22"/>
          <w:szCs w:val="22"/>
          <w:lang w:val="en-PH"/>
        </w:rPr>
        <w:t xml:space="preserve"> presents and interprets the findings of the study, focusing on the performance of Grade 12 SMAW students based on their NC II assessment results. The analysis highlights the specific competency areas where students demonstrated strengths and where challenges were observed, providing a comprehensive view of overall skill mastery. By examining task-level performance, the study identifies patterns and trends that reveal which aspects of the Shielded Metal Arc Welding process are most difficult for learners.</w:t>
      </w:r>
    </w:p>
    <w:p w14:paraId="17C79C9D" w14:textId="77777777" w:rsidR="00906F8D" w:rsidRPr="00F97DA2" w:rsidRDefault="00906F8D" w:rsidP="00906F8D">
      <w:pPr>
        <w:jc w:val="both"/>
        <w:rPr>
          <w:rFonts w:ascii="Arial" w:eastAsia="Book Antiqua" w:hAnsi="Arial" w:cs="Arial"/>
          <w:color w:val="000000"/>
          <w:sz w:val="22"/>
          <w:szCs w:val="22"/>
        </w:rPr>
      </w:pPr>
    </w:p>
    <w:p w14:paraId="5FCFF618" w14:textId="77777777" w:rsidR="00906F8D" w:rsidRDefault="00906F8D" w:rsidP="00906F8D">
      <w:pPr>
        <w:keepNext/>
        <w:keepLines/>
        <w:jc w:val="both"/>
        <w:outlineLvl w:val="0"/>
        <w:rPr>
          <w:rFonts w:ascii="Arial" w:eastAsia="Book Antiqua" w:hAnsi="Arial" w:cs="Arial"/>
          <w:b/>
          <w:bCs/>
          <w:color w:val="000000"/>
          <w:sz w:val="22"/>
          <w:szCs w:val="22"/>
        </w:rPr>
      </w:pPr>
      <w:r w:rsidRPr="00906F8D">
        <w:rPr>
          <w:rFonts w:ascii="Arial" w:eastAsia="Book Antiqua" w:hAnsi="Arial" w:cs="Arial"/>
          <w:b/>
          <w:bCs/>
          <w:color w:val="000000"/>
          <w:sz w:val="22"/>
          <w:szCs w:val="22"/>
        </w:rPr>
        <w:t xml:space="preserve">3.1 National Certification II (NCII) Assessment Result </w:t>
      </w:r>
    </w:p>
    <w:p w14:paraId="2B4EF0A1" w14:textId="77777777" w:rsidR="008220A4" w:rsidRPr="00906F8D" w:rsidRDefault="008220A4" w:rsidP="00906F8D">
      <w:pPr>
        <w:keepNext/>
        <w:keepLines/>
        <w:jc w:val="both"/>
        <w:outlineLvl w:val="0"/>
        <w:rPr>
          <w:rFonts w:ascii="Arial" w:eastAsia="Book Antiqua" w:hAnsi="Arial" w:cs="Arial"/>
          <w:b/>
          <w:bCs/>
          <w:color w:val="000000"/>
          <w:sz w:val="22"/>
          <w:szCs w:val="22"/>
        </w:rPr>
      </w:pPr>
    </w:p>
    <w:p w14:paraId="4820E65D" w14:textId="77777777" w:rsidR="00906F8D" w:rsidRDefault="00906F8D" w:rsidP="00906F8D">
      <w:pPr>
        <w:jc w:val="both"/>
        <w:rPr>
          <w:rFonts w:ascii="Arial" w:eastAsia="Book Antiqua" w:hAnsi="Arial" w:cs="Arial"/>
          <w:i/>
          <w:iCs/>
          <w:color w:val="000000"/>
          <w:sz w:val="22"/>
          <w:szCs w:val="22"/>
        </w:rPr>
      </w:pPr>
      <w:r w:rsidRPr="00F97DA2">
        <w:rPr>
          <w:rFonts w:ascii="Arial" w:eastAsia="Book Antiqua" w:hAnsi="Arial" w:cs="Arial"/>
          <w:i/>
          <w:iCs/>
          <w:color w:val="000000"/>
          <w:sz w:val="22"/>
          <w:szCs w:val="22"/>
        </w:rPr>
        <w:t>Performance of Grade 12 Students in SMAW NC II</w:t>
      </w:r>
    </w:p>
    <w:p w14:paraId="1D761D45" w14:textId="77777777" w:rsidR="008220A4" w:rsidRPr="00F97DA2" w:rsidRDefault="008220A4" w:rsidP="00906F8D">
      <w:pPr>
        <w:jc w:val="both"/>
        <w:rPr>
          <w:rFonts w:ascii="Arial" w:eastAsia="Book Antiqua" w:hAnsi="Arial" w:cs="Arial"/>
          <w:i/>
          <w:iCs/>
          <w:color w:val="000000"/>
          <w:sz w:val="22"/>
          <w:szCs w:val="22"/>
        </w:rPr>
      </w:pPr>
    </w:p>
    <w:p w14:paraId="313249FD" w14:textId="77777777" w:rsidR="00906F8D" w:rsidRPr="00F97DA2" w:rsidRDefault="00906F8D" w:rsidP="00906F8D">
      <w:pPr>
        <w:jc w:val="both"/>
        <w:rPr>
          <w:rFonts w:ascii="Arial" w:eastAsia="Book Antiqua" w:hAnsi="Arial" w:cs="Arial"/>
          <w:color w:val="000000"/>
          <w:sz w:val="22"/>
          <w:szCs w:val="22"/>
        </w:rPr>
      </w:pPr>
      <w:r w:rsidRPr="00F97DA2">
        <w:rPr>
          <w:rFonts w:ascii="Arial" w:eastAsia="Book Antiqua" w:hAnsi="Arial" w:cs="Arial"/>
          <w:color w:val="000000"/>
          <w:sz w:val="22"/>
          <w:szCs w:val="22"/>
        </w:rPr>
        <w:t>Table 1 presents the overall performance of Grade 12 students in the SMAW NC II assessment, focusing on the core competency of welding carbon steel plates and pipes in the 6G position. Out of the 20 students evaluated, 19 (95%) were classified as “Competent,” while only 1 student (5%) was rated as “Not Yet Competent.” This indicates a high passing rate, suggesting that most students were able to meet the required minimum competency standards. The results imply that the majority of the students demonstrated the ability to perform the root pass effectively in accordance with the Welding Procedure Specification (WPS). This includes the application of proper welding techniques, adherence to safety protocols, inspection for defects, and compliance with established welding standards. Moreover, the students exhibited competence in cleaning the root pass by removing slag, spatter, and other visible imperfections. This reflects their ability to maintain cleanliness, ensure the absence of discontinuities, and follow the prescribed WPS procedures. In addition, the findings show that the students were capable of executing subsequent or filling passes, applying appropriate welding techniques to build up the joint while maintaining weld quality and checking for defects to meet acceptable standards. Furthermore, the students demonstrated proficiency in performing the capping pass, which involves completing the final weld layer with proper appearance, uniformity, and structural integrity. This includes producing visually acceptable welds and conducting necessary inspection and corrections when defects are identified.</w:t>
      </w:r>
    </w:p>
    <w:p w14:paraId="714D3E55" w14:textId="77777777" w:rsidR="00906F8D" w:rsidRPr="00F97DA2" w:rsidRDefault="00906F8D" w:rsidP="00906F8D">
      <w:pPr>
        <w:jc w:val="both"/>
        <w:rPr>
          <w:rFonts w:ascii="Arial" w:eastAsia="Book Antiqua" w:hAnsi="Arial" w:cs="Arial"/>
          <w:color w:val="000000"/>
          <w:sz w:val="22"/>
          <w:szCs w:val="22"/>
        </w:rPr>
      </w:pPr>
    </w:p>
    <w:p w14:paraId="5C0DEDBA" w14:textId="77777777" w:rsidR="00906F8D" w:rsidRPr="00F97DA2" w:rsidRDefault="00906F8D" w:rsidP="00906F8D">
      <w:pPr>
        <w:jc w:val="both"/>
        <w:rPr>
          <w:rFonts w:ascii="Arial" w:eastAsia="Book Antiqua" w:hAnsi="Arial" w:cs="Arial"/>
          <w:color w:val="000000"/>
          <w:sz w:val="22"/>
          <w:szCs w:val="22"/>
        </w:rPr>
      </w:pPr>
      <w:r w:rsidRPr="00F97DA2">
        <w:rPr>
          <w:rFonts w:ascii="Arial" w:eastAsia="Book Antiqua" w:hAnsi="Arial" w:cs="Arial"/>
          <w:color w:val="000000"/>
          <w:sz w:val="22"/>
          <w:szCs w:val="22"/>
        </w:rPr>
        <w:t xml:space="preserve">The high level of competency observed among the students reflects the effectiveness of competency-based training implemented in technical-vocational education. Competency-based education focuses on the development of practical skills and the demonstration of task performance aligned with industry standards, </w:t>
      </w:r>
      <w:r w:rsidRPr="00F97DA2">
        <w:rPr>
          <w:rFonts w:ascii="Arial" w:eastAsia="Book Antiqua" w:hAnsi="Arial" w:cs="Arial"/>
          <w:color w:val="000000"/>
          <w:sz w:val="22"/>
          <w:szCs w:val="22"/>
        </w:rPr>
        <w:lastRenderedPageBreak/>
        <w:t>ensuring that learners are work-ready (Yoshida, 2025). In the context of welding, achieving competency in the 6G position, a highly advanced and industry-relevant welding skill, indicates that students possess a substantial level of technical proficiency required in real-world applications. Furthermore, the result supports the role of certification systems such as those implemented by Technical Education and Skills Development Authority in maintaining quality standards in vocational education. According to TESDA, National Certificates are awarded to individuals who demonstrate competence in all required units of a</w:t>
      </w:r>
    </w:p>
    <w:p w14:paraId="3B5D3166" w14:textId="27FAD018" w:rsidR="00906F8D" w:rsidRPr="00906F8D" w:rsidRDefault="00906F8D" w:rsidP="00906F8D">
      <w:pPr>
        <w:jc w:val="both"/>
        <w:rPr>
          <w:rFonts w:ascii="Arial" w:eastAsia="Book Antiqua" w:hAnsi="Arial" w:cs="Arial"/>
          <w:b/>
          <w:bCs/>
          <w:color w:val="000000"/>
          <w:sz w:val="22"/>
          <w:szCs w:val="22"/>
        </w:rPr>
      </w:pPr>
      <w:r w:rsidRPr="00906F8D">
        <w:rPr>
          <w:rFonts w:ascii="Arial" w:eastAsia="Book Antiqua" w:hAnsi="Arial" w:cs="Arial"/>
          <w:b/>
          <w:bCs/>
          <w:color w:val="000000"/>
          <w:sz w:val="22"/>
          <w:szCs w:val="22"/>
        </w:rPr>
        <w:t xml:space="preserve"> </w:t>
      </w:r>
    </w:p>
    <w:p w14:paraId="2F71E007" w14:textId="4521A819" w:rsidR="00863BD3" w:rsidRDefault="009500A6" w:rsidP="00441B6F">
      <w:pPr>
        <w:tabs>
          <w:tab w:val="left" w:pos="1080"/>
        </w:tabs>
        <w:jc w:val="both"/>
        <w:rPr>
          <w:rFonts w:ascii="Book Antiqua" w:eastAsia="Book Antiqua" w:hAnsi="Book Antiqua" w:cs="Book Antiqua"/>
          <w:b/>
          <w:bCs/>
          <w:color w:val="000000"/>
        </w:rPr>
      </w:pPr>
      <w:r>
        <w:rPr>
          <w:rFonts w:ascii="Arial" w:hAnsi="Arial"/>
          <w:b/>
        </w:rPr>
        <w:t>Table 1.</w:t>
      </w:r>
      <w:r w:rsidR="00863BD3" w:rsidRPr="00DC3180">
        <w:rPr>
          <w:rFonts w:ascii="Arial" w:hAnsi="Arial"/>
          <w:b/>
        </w:rPr>
        <w:tab/>
      </w:r>
      <w:r w:rsidR="00906F8D" w:rsidRPr="00906F8D">
        <w:rPr>
          <w:rFonts w:ascii="Book Antiqua" w:eastAsia="Book Antiqua" w:hAnsi="Book Antiqua" w:cs="Book Antiqua"/>
          <w:b/>
          <w:bCs/>
          <w:color w:val="000000"/>
        </w:rPr>
        <w:t>Performance of Grade 12 Students in SMAW NC II (n = 20)</w:t>
      </w:r>
    </w:p>
    <w:p w14:paraId="373A910A" w14:textId="77777777" w:rsidR="00906F8D" w:rsidRPr="00DC3180" w:rsidRDefault="00906F8D" w:rsidP="00441B6F">
      <w:pPr>
        <w:tabs>
          <w:tab w:val="left" w:pos="1080"/>
        </w:tabs>
        <w:jc w:val="both"/>
        <w:rPr>
          <w:rFonts w:ascii="Arial" w:hAnsi="Arial"/>
          <w:b/>
        </w:rPr>
      </w:pPr>
    </w:p>
    <w:tbl>
      <w:tblPr>
        <w:tblW w:w="726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070"/>
        <w:gridCol w:w="1228"/>
        <w:gridCol w:w="2970"/>
      </w:tblGrid>
      <w:tr w:rsidR="00906F8D" w:rsidRPr="00567385" w14:paraId="64F76F39" w14:textId="77777777" w:rsidTr="00906F8D">
        <w:trPr>
          <w:jc w:val="center"/>
        </w:trPr>
        <w:tc>
          <w:tcPr>
            <w:tcW w:w="3150" w:type="dxa"/>
            <w:tcBorders>
              <w:top w:val="single" w:sz="4" w:space="0" w:color="auto"/>
              <w:bottom w:val="single" w:sz="4" w:space="0" w:color="auto"/>
              <w:right w:val="single" w:sz="4" w:space="0" w:color="auto"/>
            </w:tcBorders>
          </w:tcPr>
          <w:p w14:paraId="777E9362" w14:textId="77777777" w:rsidR="00906F8D" w:rsidRPr="00906F8D" w:rsidRDefault="00906F8D" w:rsidP="00906F8D">
            <w:pPr>
              <w:jc w:val="both"/>
              <w:rPr>
                <w:rFonts w:ascii="Arial" w:hAnsi="Arial"/>
                <w:b/>
              </w:rPr>
            </w:pPr>
            <w:r w:rsidRPr="00906F8D">
              <w:rPr>
                <w:rFonts w:ascii="Arial" w:hAnsi="Arial"/>
                <w:b/>
              </w:rPr>
              <w:t>Assessment Result</w:t>
            </w:r>
          </w:p>
        </w:tc>
        <w:tc>
          <w:tcPr>
            <w:tcW w:w="1067" w:type="dxa"/>
            <w:tcBorders>
              <w:top w:val="single" w:sz="4" w:space="0" w:color="auto"/>
              <w:bottom w:val="single" w:sz="4" w:space="0" w:color="auto"/>
              <w:right w:val="single" w:sz="4" w:space="0" w:color="auto"/>
            </w:tcBorders>
          </w:tcPr>
          <w:p w14:paraId="4DE8FDA1" w14:textId="77777777" w:rsidR="00906F8D" w:rsidRPr="00906F8D" w:rsidRDefault="00906F8D" w:rsidP="00906F8D">
            <w:pPr>
              <w:jc w:val="both"/>
              <w:rPr>
                <w:rFonts w:ascii="Arial" w:hAnsi="Arial"/>
                <w:b/>
                <w:bCs/>
              </w:rPr>
            </w:pPr>
            <w:r w:rsidRPr="00906F8D">
              <w:rPr>
                <w:rFonts w:ascii="Arial" w:hAnsi="Arial"/>
                <w:b/>
                <w:bCs/>
              </w:rPr>
              <w:t>Frequency (f)</w:t>
            </w:r>
          </w:p>
        </w:tc>
        <w:tc>
          <w:tcPr>
            <w:tcW w:w="3051" w:type="dxa"/>
            <w:tcBorders>
              <w:top w:val="single" w:sz="4" w:space="0" w:color="auto"/>
              <w:bottom w:val="single" w:sz="4" w:space="0" w:color="auto"/>
            </w:tcBorders>
          </w:tcPr>
          <w:p w14:paraId="7E56DA08" w14:textId="77777777" w:rsidR="00906F8D" w:rsidRPr="00906F8D" w:rsidRDefault="00906F8D" w:rsidP="00906F8D">
            <w:pPr>
              <w:jc w:val="both"/>
              <w:rPr>
                <w:rFonts w:ascii="Arial" w:hAnsi="Arial"/>
                <w:b/>
                <w:bCs/>
              </w:rPr>
            </w:pPr>
            <w:r w:rsidRPr="00906F8D">
              <w:rPr>
                <w:rFonts w:ascii="Arial" w:hAnsi="Arial"/>
                <w:b/>
                <w:bCs/>
              </w:rPr>
              <w:t>Percentage (%)</w:t>
            </w:r>
          </w:p>
        </w:tc>
      </w:tr>
    </w:tbl>
    <w:tbl>
      <w:tblPr>
        <w:tblStyle w:val="TableGrid"/>
        <w:tblW w:w="0" w:type="auto"/>
        <w:tblBorders>
          <w:top w:val="double" w:sz="12" w:space="0" w:color="auto"/>
          <w:left w:val="none" w:sz="0" w:space="0" w:color="auto"/>
          <w:bottom w:val="double" w:sz="12"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2756"/>
        <w:gridCol w:w="2799"/>
      </w:tblGrid>
      <w:tr w:rsidR="00906F8D" w:rsidRPr="00567385" w14:paraId="64C432D6" w14:textId="77777777" w:rsidTr="00906F8D">
        <w:tc>
          <w:tcPr>
            <w:tcW w:w="8424" w:type="dxa"/>
            <w:gridSpan w:val="3"/>
            <w:tcBorders>
              <w:top w:val="single" w:sz="4" w:space="0" w:color="auto"/>
            </w:tcBorders>
          </w:tcPr>
          <w:p w14:paraId="0372C38A" w14:textId="77777777" w:rsidR="00906F8D" w:rsidRPr="00567385" w:rsidRDefault="00906F8D" w:rsidP="001357D6">
            <w:pPr>
              <w:rPr>
                <w:rFonts w:cs="Tahoma"/>
                <w:szCs w:val="20"/>
              </w:rPr>
            </w:pPr>
            <w:r w:rsidRPr="00567385">
              <w:rPr>
                <w:rFonts w:cs="Tahoma"/>
                <w:b/>
                <w:bCs/>
                <w:szCs w:val="20"/>
              </w:rPr>
              <w:t>Core Competency</w:t>
            </w:r>
            <w:r>
              <w:rPr>
                <w:rFonts w:cs="Tahoma"/>
                <w:szCs w:val="20"/>
              </w:rPr>
              <w:t xml:space="preserve">: </w:t>
            </w:r>
            <w:r w:rsidRPr="00567385">
              <w:rPr>
                <w:rFonts w:cs="Tahoma"/>
                <w:szCs w:val="20"/>
              </w:rPr>
              <w:t>Weld carbon steel plate and pipes using SMAW 6G</w:t>
            </w:r>
          </w:p>
        </w:tc>
      </w:tr>
      <w:tr w:rsidR="00906F8D" w:rsidRPr="00567385" w14:paraId="5A6C82B8" w14:textId="77777777" w:rsidTr="00906F8D">
        <w:tc>
          <w:tcPr>
            <w:tcW w:w="2869" w:type="dxa"/>
            <w:tcBorders>
              <w:top w:val="single" w:sz="4" w:space="0" w:color="auto"/>
            </w:tcBorders>
          </w:tcPr>
          <w:p w14:paraId="55DF344D" w14:textId="77777777" w:rsidR="00906F8D" w:rsidRPr="00567385" w:rsidRDefault="00906F8D" w:rsidP="001357D6">
            <w:pPr>
              <w:rPr>
                <w:rFonts w:cs="Tahoma"/>
                <w:szCs w:val="20"/>
              </w:rPr>
            </w:pPr>
            <w:r w:rsidRPr="00567385">
              <w:rPr>
                <w:rFonts w:cs="Tahoma"/>
                <w:szCs w:val="20"/>
              </w:rPr>
              <w:t xml:space="preserve">Competent </w:t>
            </w:r>
          </w:p>
        </w:tc>
        <w:tc>
          <w:tcPr>
            <w:tcW w:w="2756" w:type="dxa"/>
            <w:tcBorders>
              <w:top w:val="single" w:sz="4" w:space="0" w:color="auto"/>
            </w:tcBorders>
          </w:tcPr>
          <w:p w14:paraId="6EE651C6" w14:textId="77777777" w:rsidR="00906F8D" w:rsidRPr="00567385" w:rsidRDefault="00906F8D" w:rsidP="001357D6">
            <w:pPr>
              <w:jc w:val="center"/>
              <w:rPr>
                <w:rFonts w:cs="Tahoma"/>
                <w:szCs w:val="20"/>
              </w:rPr>
            </w:pPr>
            <w:r w:rsidRPr="00567385">
              <w:rPr>
                <w:rFonts w:cs="Tahoma"/>
                <w:szCs w:val="20"/>
              </w:rPr>
              <w:t>19</w:t>
            </w:r>
          </w:p>
        </w:tc>
        <w:tc>
          <w:tcPr>
            <w:tcW w:w="2799" w:type="dxa"/>
            <w:tcBorders>
              <w:top w:val="single" w:sz="4" w:space="0" w:color="auto"/>
            </w:tcBorders>
          </w:tcPr>
          <w:p w14:paraId="14DC1709" w14:textId="77777777" w:rsidR="00906F8D" w:rsidRPr="00567385" w:rsidRDefault="00906F8D" w:rsidP="001357D6">
            <w:pPr>
              <w:jc w:val="center"/>
              <w:rPr>
                <w:rFonts w:cs="Tahoma"/>
                <w:szCs w:val="20"/>
              </w:rPr>
            </w:pPr>
            <w:r w:rsidRPr="00567385">
              <w:rPr>
                <w:rFonts w:cs="Tahoma"/>
                <w:szCs w:val="20"/>
              </w:rPr>
              <w:t>95%</w:t>
            </w:r>
          </w:p>
        </w:tc>
      </w:tr>
      <w:tr w:rsidR="00906F8D" w:rsidRPr="00567385" w14:paraId="2221B779" w14:textId="77777777" w:rsidTr="00906F8D">
        <w:tc>
          <w:tcPr>
            <w:tcW w:w="2869" w:type="dxa"/>
          </w:tcPr>
          <w:p w14:paraId="0FDFAD81" w14:textId="77777777" w:rsidR="00906F8D" w:rsidRPr="00567385" w:rsidRDefault="00906F8D" w:rsidP="001357D6">
            <w:pPr>
              <w:rPr>
                <w:rFonts w:cs="Tahoma"/>
                <w:szCs w:val="20"/>
              </w:rPr>
            </w:pPr>
            <w:r w:rsidRPr="00567385">
              <w:rPr>
                <w:rFonts w:cs="Tahoma"/>
                <w:szCs w:val="20"/>
              </w:rPr>
              <w:t xml:space="preserve">Not Yet Competent </w:t>
            </w:r>
          </w:p>
        </w:tc>
        <w:tc>
          <w:tcPr>
            <w:tcW w:w="2756" w:type="dxa"/>
          </w:tcPr>
          <w:p w14:paraId="130FED7B" w14:textId="77777777" w:rsidR="00906F8D" w:rsidRPr="00567385" w:rsidRDefault="00906F8D" w:rsidP="001357D6">
            <w:pPr>
              <w:jc w:val="center"/>
              <w:rPr>
                <w:rFonts w:cs="Tahoma"/>
                <w:szCs w:val="20"/>
              </w:rPr>
            </w:pPr>
            <w:r w:rsidRPr="00567385">
              <w:rPr>
                <w:rFonts w:cs="Tahoma"/>
                <w:szCs w:val="20"/>
              </w:rPr>
              <w:t>1</w:t>
            </w:r>
          </w:p>
        </w:tc>
        <w:tc>
          <w:tcPr>
            <w:tcW w:w="2799" w:type="dxa"/>
          </w:tcPr>
          <w:p w14:paraId="65164353" w14:textId="77777777" w:rsidR="00906F8D" w:rsidRPr="00567385" w:rsidRDefault="00906F8D" w:rsidP="001357D6">
            <w:pPr>
              <w:jc w:val="center"/>
              <w:rPr>
                <w:rFonts w:cs="Tahoma"/>
                <w:szCs w:val="20"/>
              </w:rPr>
            </w:pPr>
            <w:r w:rsidRPr="00567385">
              <w:rPr>
                <w:rFonts w:cs="Tahoma"/>
                <w:szCs w:val="20"/>
              </w:rPr>
              <w:t>5%</w:t>
            </w:r>
          </w:p>
        </w:tc>
      </w:tr>
      <w:tr w:rsidR="00906F8D" w:rsidRPr="00567385" w14:paraId="38CB69C4" w14:textId="77777777" w:rsidTr="00906F8D">
        <w:tc>
          <w:tcPr>
            <w:tcW w:w="2869" w:type="dxa"/>
          </w:tcPr>
          <w:p w14:paraId="02885B27" w14:textId="77777777" w:rsidR="00906F8D" w:rsidRPr="00567385" w:rsidRDefault="00906F8D" w:rsidP="001357D6">
            <w:pPr>
              <w:rPr>
                <w:rFonts w:cs="Tahoma"/>
                <w:szCs w:val="20"/>
              </w:rPr>
            </w:pPr>
            <w:r w:rsidRPr="00567385">
              <w:rPr>
                <w:rFonts w:cs="Tahoma"/>
                <w:szCs w:val="20"/>
              </w:rPr>
              <w:t>Total</w:t>
            </w:r>
          </w:p>
        </w:tc>
        <w:tc>
          <w:tcPr>
            <w:tcW w:w="2756" w:type="dxa"/>
          </w:tcPr>
          <w:p w14:paraId="441D9181" w14:textId="77777777" w:rsidR="00906F8D" w:rsidRPr="00567385" w:rsidRDefault="00906F8D" w:rsidP="001357D6">
            <w:pPr>
              <w:jc w:val="center"/>
              <w:rPr>
                <w:rFonts w:cs="Tahoma"/>
                <w:szCs w:val="20"/>
              </w:rPr>
            </w:pPr>
            <w:r w:rsidRPr="00567385">
              <w:rPr>
                <w:rFonts w:cs="Tahoma"/>
                <w:szCs w:val="20"/>
              </w:rPr>
              <w:t>20</w:t>
            </w:r>
          </w:p>
        </w:tc>
        <w:tc>
          <w:tcPr>
            <w:tcW w:w="2799" w:type="dxa"/>
          </w:tcPr>
          <w:p w14:paraId="3D63CD65" w14:textId="77777777" w:rsidR="00906F8D" w:rsidRPr="00567385" w:rsidRDefault="00906F8D" w:rsidP="001357D6">
            <w:pPr>
              <w:jc w:val="center"/>
              <w:rPr>
                <w:rFonts w:cs="Tahoma"/>
                <w:szCs w:val="20"/>
              </w:rPr>
            </w:pPr>
            <w:r w:rsidRPr="00567385">
              <w:rPr>
                <w:rFonts w:cs="Tahoma"/>
                <w:szCs w:val="20"/>
              </w:rPr>
              <w:t>100%</w:t>
            </w:r>
          </w:p>
        </w:tc>
      </w:tr>
    </w:tbl>
    <w:p w14:paraId="0343D8E3" w14:textId="77777777" w:rsidR="00906F8D" w:rsidRPr="00F97DA2" w:rsidRDefault="00906F8D" w:rsidP="00906F8D">
      <w:pPr>
        <w:jc w:val="both"/>
        <w:rPr>
          <w:rFonts w:ascii="Arial" w:eastAsia="Book Antiqua" w:hAnsi="Arial" w:cs="Arial"/>
          <w:color w:val="000000"/>
          <w:sz w:val="22"/>
          <w:szCs w:val="22"/>
        </w:rPr>
      </w:pPr>
      <w:r w:rsidRPr="00906F8D">
        <w:rPr>
          <w:rFonts w:ascii="Book Antiqua" w:eastAsia="Book Antiqua" w:hAnsi="Book Antiqua" w:cs="Book Antiqua"/>
          <w:color w:val="000000"/>
        </w:rPr>
        <w:t xml:space="preserve">qualification, ensuring alignment with industry expectations and employability </w:t>
      </w:r>
      <w:r w:rsidRPr="00F97DA2">
        <w:rPr>
          <w:rFonts w:ascii="Arial" w:eastAsia="Book Antiqua" w:hAnsi="Arial" w:cs="Arial"/>
          <w:color w:val="000000"/>
          <w:sz w:val="22"/>
          <w:szCs w:val="22"/>
        </w:rPr>
        <w:t>requirements. This implies that the 95% competency rate among students may translate to increased opportunities for employment in sectors such as construction, manufacturing, and shipbuilding.</w:t>
      </w:r>
    </w:p>
    <w:p w14:paraId="5CE41EDB" w14:textId="77777777" w:rsidR="00906F8D" w:rsidRPr="00F97DA2" w:rsidRDefault="00906F8D" w:rsidP="00906F8D">
      <w:pPr>
        <w:jc w:val="both"/>
        <w:rPr>
          <w:rFonts w:ascii="Arial" w:eastAsia="Book Antiqua" w:hAnsi="Arial" w:cs="Arial"/>
          <w:color w:val="000000"/>
          <w:sz w:val="22"/>
          <w:szCs w:val="22"/>
        </w:rPr>
      </w:pPr>
    </w:p>
    <w:p w14:paraId="36809FB6" w14:textId="77777777" w:rsidR="00906F8D" w:rsidRPr="00F97DA2" w:rsidRDefault="00906F8D" w:rsidP="00906F8D">
      <w:pPr>
        <w:jc w:val="both"/>
        <w:rPr>
          <w:rFonts w:ascii="Arial" w:eastAsia="Book Antiqua" w:hAnsi="Arial" w:cs="Arial"/>
          <w:color w:val="000000"/>
          <w:sz w:val="22"/>
          <w:szCs w:val="22"/>
        </w:rPr>
      </w:pPr>
      <w:r w:rsidRPr="00F97DA2">
        <w:rPr>
          <w:rFonts w:ascii="Arial" w:eastAsia="Book Antiqua" w:hAnsi="Arial" w:cs="Arial"/>
          <w:color w:val="000000"/>
          <w:sz w:val="22"/>
          <w:szCs w:val="22"/>
        </w:rPr>
        <w:t>However, while the overall result indicates a high level of achievement, it is important to note that competency-based assessments provide a binary outcome (Competent or Not Yet Competent), which may not fully capture variations in skill mastery among students. Previous studies have emphasized that even when learners meet minimum competency standards, there may still be underlying gaps in specific skills that require further development (</w:t>
      </w:r>
      <w:proofErr w:type="spellStart"/>
      <w:r w:rsidRPr="00F97DA2">
        <w:rPr>
          <w:rFonts w:ascii="Arial" w:eastAsia="Book Antiqua" w:hAnsi="Arial" w:cs="Arial"/>
          <w:color w:val="000000"/>
          <w:sz w:val="22"/>
          <w:szCs w:val="22"/>
        </w:rPr>
        <w:t>Marope</w:t>
      </w:r>
      <w:proofErr w:type="spellEnd"/>
      <w:r w:rsidRPr="00F97DA2">
        <w:rPr>
          <w:rFonts w:ascii="Arial" w:eastAsia="Book Antiqua" w:hAnsi="Arial" w:cs="Arial"/>
          <w:color w:val="000000"/>
          <w:sz w:val="22"/>
          <w:szCs w:val="22"/>
        </w:rPr>
        <w:t xml:space="preserve"> et al., 2015; </w:t>
      </w:r>
      <w:proofErr w:type="spellStart"/>
      <w:r w:rsidRPr="00F97DA2">
        <w:rPr>
          <w:rFonts w:ascii="Arial" w:eastAsia="Book Antiqua" w:hAnsi="Arial" w:cs="Arial"/>
          <w:color w:val="000000"/>
          <w:sz w:val="22"/>
          <w:szCs w:val="22"/>
        </w:rPr>
        <w:t>Kilag</w:t>
      </w:r>
      <w:proofErr w:type="spellEnd"/>
      <w:r w:rsidRPr="00F97DA2">
        <w:rPr>
          <w:rFonts w:ascii="Arial" w:eastAsia="Book Antiqua" w:hAnsi="Arial" w:cs="Arial"/>
          <w:color w:val="000000"/>
          <w:sz w:val="22"/>
          <w:szCs w:val="22"/>
        </w:rPr>
        <w:t xml:space="preserve"> et al., 2024). This suggests that relying solely on overall pass rates may overlook areas where students experience difficulty. The result implies that despite the high percentage of students who passed the assessment, further analysis at the competency level is necessary to identify specific areas needing improvement. Such detailed examination provides a more comprehensive understanding of student performance and serves as a basis for developing targeted training enhancements to strengthen welding competencies.</w:t>
      </w:r>
    </w:p>
    <w:p w14:paraId="7F7BE606" w14:textId="77777777" w:rsidR="00906F8D" w:rsidRPr="00F97DA2" w:rsidRDefault="00906F8D" w:rsidP="00906F8D">
      <w:pPr>
        <w:jc w:val="both"/>
        <w:rPr>
          <w:rFonts w:ascii="Arial" w:eastAsia="Book Antiqua" w:hAnsi="Arial" w:cs="Arial"/>
          <w:color w:val="000000"/>
          <w:sz w:val="22"/>
          <w:szCs w:val="22"/>
        </w:rPr>
      </w:pPr>
    </w:p>
    <w:p w14:paraId="4F347D5F" w14:textId="77777777" w:rsidR="00906F8D" w:rsidRPr="00F97DA2" w:rsidRDefault="00906F8D" w:rsidP="00906F8D">
      <w:pPr>
        <w:jc w:val="both"/>
        <w:rPr>
          <w:rFonts w:ascii="Arial" w:eastAsia="Book Antiqua" w:hAnsi="Arial" w:cs="Arial"/>
          <w:i/>
          <w:iCs/>
          <w:color w:val="000000"/>
          <w:sz w:val="22"/>
          <w:szCs w:val="22"/>
        </w:rPr>
      </w:pPr>
      <w:r w:rsidRPr="00F97DA2">
        <w:rPr>
          <w:rFonts w:ascii="Arial" w:eastAsia="Book Antiqua" w:hAnsi="Arial" w:cs="Arial"/>
          <w:i/>
          <w:iCs/>
          <w:color w:val="000000"/>
          <w:sz w:val="22"/>
          <w:szCs w:val="22"/>
        </w:rPr>
        <w:t>3.2. Performance of Grade 12 Students in SMAW NC II by Element and Performance Criteria</w:t>
      </w:r>
    </w:p>
    <w:p w14:paraId="2BBA95D5" w14:textId="77777777" w:rsidR="00906F8D" w:rsidRPr="00F97DA2" w:rsidRDefault="00906F8D" w:rsidP="00906F8D">
      <w:pPr>
        <w:jc w:val="both"/>
        <w:rPr>
          <w:rFonts w:ascii="Arial" w:eastAsia="Book Antiqua" w:hAnsi="Arial" w:cs="Arial"/>
          <w:color w:val="000000"/>
          <w:sz w:val="22"/>
          <w:szCs w:val="22"/>
        </w:rPr>
      </w:pPr>
      <w:r w:rsidRPr="00F97DA2">
        <w:rPr>
          <w:rFonts w:ascii="Arial" w:eastAsia="Book Antiqua" w:hAnsi="Arial" w:cs="Arial"/>
          <w:color w:val="000000"/>
          <w:sz w:val="22"/>
          <w:szCs w:val="22"/>
        </w:rPr>
        <w:t>Table 3 presents the performance of Grade 12 students in SMAW NC II across specific elements and performance criteria, providing a detailed view of competency-level outcomes. The results reveal variations in student performance across the four major elements: performing root pass, cleaning root pass, welding subsequent or filling passes, and performing capping.</w:t>
      </w:r>
    </w:p>
    <w:p w14:paraId="3012CA92" w14:textId="77777777" w:rsidR="00906F8D" w:rsidRPr="00F97DA2" w:rsidRDefault="00906F8D" w:rsidP="00906F8D">
      <w:pPr>
        <w:jc w:val="both"/>
        <w:rPr>
          <w:rFonts w:ascii="Arial" w:eastAsia="Book Antiqua" w:hAnsi="Arial" w:cs="Arial"/>
          <w:color w:val="000000"/>
          <w:sz w:val="22"/>
          <w:szCs w:val="22"/>
        </w:rPr>
      </w:pPr>
    </w:p>
    <w:p w14:paraId="5BF213BC" w14:textId="77777777" w:rsidR="00906F8D" w:rsidRPr="00F97DA2" w:rsidRDefault="00906F8D" w:rsidP="00906F8D">
      <w:pPr>
        <w:jc w:val="both"/>
        <w:rPr>
          <w:rFonts w:ascii="Arial" w:eastAsia="Book Antiqua" w:hAnsi="Arial" w:cs="Arial"/>
          <w:color w:val="000000"/>
          <w:sz w:val="22"/>
          <w:szCs w:val="22"/>
        </w:rPr>
      </w:pPr>
      <w:r w:rsidRPr="00F97DA2">
        <w:rPr>
          <w:rFonts w:ascii="Arial" w:eastAsia="Book Antiqua" w:hAnsi="Arial" w:cs="Arial"/>
          <w:color w:val="000000"/>
          <w:sz w:val="22"/>
          <w:szCs w:val="22"/>
        </w:rPr>
        <w:t xml:space="preserve">Among the four elements, Perform Root Pass and Perform Capping emerged as the least mastered competencies. In the root pass, the percentage of students rated as “Competent” ranged from 75% to 85%, with 5 students (25%) experiencing difficulty in executing the root pass according to the Welding Procedure Specification (WPS). </w:t>
      </w:r>
      <w:r w:rsidRPr="00F97DA2">
        <w:rPr>
          <w:rFonts w:ascii="Arial" w:eastAsia="Book Antiqua" w:hAnsi="Arial" w:cs="Arial"/>
          <w:color w:val="000000"/>
          <w:sz w:val="22"/>
          <w:szCs w:val="22"/>
        </w:rPr>
        <w:lastRenderedPageBreak/>
        <w:t>Similarly, in the capping process, only 75% of the students demonstrated competence in performing the task according to specifications, while 25% encountered challenges in achieving acceptable weld quality. These findings suggest that students face greater difficulty in both the initial and final stages of the welding process, which require precision, control, and consistency. In contrast, higher levels of competency were observed in Clean Root Pass and Weld Subsequent/Filling Passes, where most students achieved competency levels ranging from 85% to 90%. This indicates that students are relatively more proficient in intermediate welding tasks, particularly in cleaning and applying additional weld layers, which may involve more repetitive practice and structured guidance during training.</w:t>
      </w:r>
    </w:p>
    <w:p w14:paraId="70EC052F" w14:textId="77777777" w:rsidR="00906F8D" w:rsidRPr="00F97DA2" w:rsidRDefault="00906F8D" w:rsidP="00906F8D">
      <w:pPr>
        <w:jc w:val="both"/>
        <w:rPr>
          <w:rFonts w:ascii="Arial" w:eastAsia="Book Antiqua" w:hAnsi="Arial" w:cs="Arial"/>
          <w:color w:val="000000"/>
          <w:sz w:val="22"/>
          <w:szCs w:val="22"/>
        </w:rPr>
      </w:pPr>
    </w:p>
    <w:p w14:paraId="298FDFE0" w14:textId="77777777" w:rsidR="00906F8D" w:rsidRPr="00F97DA2" w:rsidRDefault="00906F8D" w:rsidP="00906F8D">
      <w:pPr>
        <w:jc w:val="both"/>
        <w:rPr>
          <w:rFonts w:ascii="Arial" w:eastAsia="Book Antiqua" w:hAnsi="Arial" w:cs="Arial"/>
          <w:color w:val="000000"/>
          <w:sz w:val="22"/>
          <w:szCs w:val="22"/>
        </w:rPr>
      </w:pPr>
      <w:r w:rsidRPr="00F97DA2">
        <w:rPr>
          <w:rFonts w:ascii="Arial" w:eastAsia="Book Antiqua" w:hAnsi="Arial" w:cs="Arial"/>
          <w:color w:val="000000"/>
          <w:sz w:val="22"/>
          <w:szCs w:val="22"/>
        </w:rPr>
        <w:t>The observed pattern of results highlights an important aspect of competency-based assessment. While overall performance may indicate high levels of achievement, detailed analysis at the task level reveals specific areas where learners continue to experience difficulty. According to competency-based training principles, mastery of each stage of a task is essential for ensuring overall skill proficiency and workplace readiness (</w:t>
      </w:r>
      <w:proofErr w:type="spellStart"/>
      <w:r w:rsidRPr="00F97DA2">
        <w:rPr>
          <w:rFonts w:ascii="Arial" w:eastAsia="Book Antiqua" w:hAnsi="Arial" w:cs="Arial"/>
          <w:color w:val="000000"/>
          <w:sz w:val="22"/>
          <w:szCs w:val="22"/>
        </w:rPr>
        <w:t>Marope</w:t>
      </w:r>
      <w:proofErr w:type="spellEnd"/>
      <w:r w:rsidRPr="00F97DA2">
        <w:rPr>
          <w:rFonts w:ascii="Arial" w:eastAsia="Book Antiqua" w:hAnsi="Arial" w:cs="Arial"/>
          <w:color w:val="000000"/>
          <w:sz w:val="22"/>
          <w:szCs w:val="22"/>
        </w:rPr>
        <w:t xml:space="preserve"> et al., 2015). In welding, both the root pass and capping pass are critical, as errors in these stages can affect the structural integrity and visual acceptability of the weld (</w:t>
      </w:r>
      <w:proofErr w:type="spellStart"/>
      <w:r w:rsidRPr="00F97DA2">
        <w:rPr>
          <w:rFonts w:ascii="Arial" w:eastAsia="Book Antiqua" w:hAnsi="Arial" w:cs="Arial"/>
          <w:color w:val="000000"/>
          <w:sz w:val="22"/>
          <w:szCs w:val="22"/>
        </w:rPr>
        <w:t>Wettaka</w:t>
      </w:r>
      <w:proofErr w:type="spellEnd"/>
      <w:r w:rsidRPr="00F97DA2">
        <w:rPr>
          <w:rFonts w:ascii="Arial" w:eastAsia="Book Antiqua" w:hAnsi="Arial" w:cs="Arial"/>
          <w:color w:val="000000"/>
          <w:sz w:val="22"/>
          <w:szCs w:val="22"/>
        </w:rPr>
        <w:t>, 2020). Furthermore, the findings support previous studies emphasizing that technical skills requiring high precision and control are often the most challenging for learners to master (</w:t>
      </w:r>
      <w:proofErr w:type="spellStart"/>
      <w:r w:rsidRPr="00F97DA2">
        <w:rPr>
          <w:rFonts w:ascii="Arial" w:eastAsia="Book Antiqua" w:hAnsi="Arial" w:cs="Arial"/>
          <w:color w:val="000000"/>
          <w:sz w:val="22"/>
          <w:szCs w:val="22"/>
        </w:rPr>
        <w:t>Elaru</w:t>
      </w:r>
      <w:proofErr w:type="spellEnd"/>
      <w:r w:rsidRPr="00F97DA2">
        <w:rPr>
          <w:rFonts w:ascii="Arial" w:eastAsia="Book Antiqua" w:hAnsi="Arial" w:cs="Arial"/>
          <w:color w:val="000000"/>
          <w:sz w:val="22"/>
          <w:szCs w:val="22"/>
        </w:rPr>
        <w:t>, 2019). The root pass demands accurate penetration and alignment, while capping requires proper finishing and uniformity, making these stages more complex compared to intermediate welding tasks.</w:t>
      </w:r>
    </w:p>
    <w:p w14:paraId="0F8C5B56" w14:textId="77777777" w:rsidR="00906F8D" w:rsidRPr="00906F8D" w:rsidRDefault="00906F8D" w:rsidP="00906F8D">
      <w:pPr>
        <w:jc w:val="both"/>
        <w:rPr>
          <w:rFonts w:ascii="Arial" w:eastAsia="Book Antiqua" w:hAnsi="Arial" w:cs="Arial"/>
          <w:b/>
          <w:bCs/>
          <w:color w:val="000000"/>
          <w:sz w:val="22"/>
          <w:szCs w:val="22"/>
        </w:rPr>
      </w:pPr>
    </w:p>
    <w:p w14:paraId="1F65FCC9" w14:textId="77777777" w:rsidR="00906F8D" w:rsidRPr="00906F8D" w:rsidRDefault="00906F8D" w:rsidP="00906F8D">
      <w:pPr>
        <w:ind w:left="720" w:hanging="720"/>
        <w:rPr>
          <w:rFonts w:ascii="Book Antiqua" w:eastAsia="Calibri" w:hAnsi="Book Antiqua"/>
          <w:b/>
          <w:bCs/>
          <w:kern w:val="2"/>
          <w:lang w:val="en-PH" w:eastAsia="en-PH"/>
        </w:rPr>
      </w:pPr>
      <w:r w:rsidRPr="00906F8D">
        <w:rPr>
          <w:rFonts w:ascii="Book Antiqua" w:eastAsia="Calibri" w:hAnsi="Book Antiqua"/>
          <w:b/>
          <w:bCs/>
          <w:kern w:val="2"/>
          <w:lang w:val="en-PH" w:eastAsia="en-PH"/>
        </w:rPr>
        <w:t>Table 2. Performance of Grade 12 Students in SMAW NC II by Element and Performance Criteria (n = 20)</w:t>
      </w:r>
    </w:p>
    <w:tbl>
      <w:tblPr>
        <w:tblW w:w="0" w:type="auto"/>
        <w:tblCellSpacing w:w="15" w:type="dxa"/>
        <w:tblBorders>
          <w:top w:val="double" w:sz="12" w:space="0" w:color="auto"/>
          <w:bottom w:val="double" w:sz="12" w:space="0" w:color="auto"/>
        </w:tblBorders>
        <w:tblCellMar>
          <w:top w:w="15" w:type="dxa"/>
          <w:left w:w="15" w:type="dxa"/>
          <w:bottom w:w="15" w:type="dxa"/>
          <w:right w:w="15" w:type="dxa"/>
        </w:tblCellMar>
        <w:tblLook w:val="04A0" w:firstRow="1" w:lastRow="0" w:firstColumn="1" w:lastColumn="0" w:noHBand="0" w:noVBand="1"/>
      </w:tblPr>
      <w:tblGrid>
        <w:gridCol w:w="1904"/>
        <w:gridCol w:w="2271"/>
        <w:gridCol w:w="1072"/>
        <w:gridCol w:w="1072"/>
        <w:gridCol w:w="1072"/>
        <w:gridCol w:w="907"/>
      </w:tblGrid>
      <w:tr w:rsidR="00906F8D" w:rsidRPr="00906F8D" w14:paraId="3A383E2A" w14:textId="77777777" w:rsidTr="001357D6">
        <w:trPr>
          <w:tblHeader/>
          <w:tblCellSpacing w:w="15" w:type="dxa"/>
        </w:trPr>
        <w:tc>
          <w:tcPr>
            <w:tcW w:w="1935" w:type="dxa"/>
            <w:tcBorders>
              <w:top w:val="double" w:sz="12" w:space="0" w:color="auto"/>
              <w:bottom w:val="single" w:sz="4" w:space="0" w:color="auto"/>
            </w:tcBorders>
            <w:vAlign w:val="center"/>
            <w:hideMark/>
          </w:tcPr>
          <w:p w14:paraId="0D2C4CCB" w14:textId="77777777" w:rsidR="00906F8D" w:rsidRPr="00906F8D" w:rsidRDefault="00906F8D" w:rsidP="00906F8D">
            <w:pPr>
              <w:jc w:val="center"/>
              <w:rPr>
                <w:rFonts w:ascii="Book Antiqua" w:eastAsia="Calibri" w:hAnsi="Book Antiqua"/>
                <w:b/>
                <w:bCs/>
                <w:kern w:val="2"/>
                <w:lang w:val="en-PH" w:eastAsia="en-PH"/>
              </w:rPr>
            </w:pPr>
            <w:r w:rsidRPr="00906F8D">
              <w:rPr>
                <w:rFonts w:ascii="Book Antiqua" w:eastAsia="Calibri" w:hAnsi="Book Antiqua"/>
                <w:b/>
                <w:bCs/>
                <w:kern w:val="2"/>
                <w:lang w:val="en-PH" w:eastAsia="en-PH"/>
              </w:rPr>
              <w:t>Elements</w:t>
            </w:r>
          </w:p>
        </w:tc>
        <w:tc>
          <w:tcPr>
            <w:tcW w:w="2565" w:type="dxa"/>
            <w:tcBorders>
              <w:top w:val="double" w:sz="12" w:space="0" w:color="auto"/>
              <w:bottom w:val="single" w:sz="4" w:space="0" w:color="auto"/>
            </w:tcBorders>
            <w:vAlign w:val="center"/>
            <w:hideMark/>
          </w:tcPr>
          <w:p w14:paraId="778AAE42" w14:textId="77777777" w:rsidR="00906F8D" w:rsidRPr="00906F8D" w:rsidRDefault="00906F8D" w:rsidP="00906F8D">
            <w:pPr>
              <w:jc w:val="center"/>
              <w:rPr>
                <w:rFonts w:ascii="Book Antiqua" w:eastAsia="Calibri" w:hAnsi="Book Antiqua"/>
                <w:b/>
                <w:bCs/>
                <w:kern w:val="2"/>
                <w:lang w:val="en-PH" w:eastAsia="en-PH"/>
              </w:rPr>
            </w:pPr>
            <w:r w:rsidRPr="00906F8D">
              <w:rPr>
                <w:rFonts w:ascii="Book Antiqua" w:eastAsia="Calibri" w:hAnsi="Book Antiqua"/>
                <w:b/>
                <w:bCs/>
                <w:kern w:val="2"/>
                <w:lang w:val="en-PH" w:eastAsia="en-PH"/>
              </w:rPr>
              <w:t>Performance Criteria</w:t>
            </w:r>
          </w:p>
        </w:tc>
        <w:tc>
          <w:tcPr>
            <w:tcW w:w="0" w:type="auto"/>
            <w:tcBorders>
              <w:top w:val="double" w:sz="12" w:space="0" w:color="auto"/>
              <w:bottom w:val="single" w:sz="4" w:space="0" w:color="auto"/>
            </w:tcBorders>
            <w:vAlign w:val="center"/>
            <w:hideMark/>
          </w:tcPr>
          <w:p w14:paraId="1E4C01C1" w14:textId="77777777" w:rsidR="00906F8D" w:rsidRPr="00906F8D" w:rsidRDefault="00906F8D" w:rsidP="00906F8D">
            <w:pPr>
              <w:jc w:val="center"/>
              <w:rPr>
                <w:rFonts w:ascii="Book Antiqua" w:eastAsia="Calibri" w:hAnsi="Book Antiqua"/>
                <w:b/>
                <w:bCs/>
                <w:kern w:val="2"/>
                <w:lang w:val="en-PH" w:eastAsia="en-PH"/>
              </w:rPr>
            </w:pPr>
            <w:r w:rsidRPr="00906F8D">
              <w:rPr>
                <w:rFonts w:ascii="Book Antiqua" w:eastAsia="Calibri" w:hAnsi="Book Antiqua"/>
                <w:b/>
                <w:bCs/>
                <w:kern w:val="2"/>
                <w:lang w:val="en-PH" w:eastAsia="en-PH"/>
              </w:rPr>
              <w:t>Competent (f)</w:t>
            </w:r>
          </w:p>
        </w:tc>
        <w:tc>
          <w:tcPr>
            <w:tcW w:w="0" w:type="auto"/>
            <w:tcBorders>
              <w:top w:val="double" w:sz="12" w:space="0" w:color="auto"/>
              <w:bottom w:val="single" w:sz="4" w:space="0" w:color="auto"/>
            </w:tcBorders>
            <w:vAlign w:val="center"/>
            <w:hideMark/>
          </w:tcPr>
          <w:p w14:paraId="64EC129E" w14:textId="77777777" w:rsidR="00906F8D" w:rsidRPr="00906F8D" w:rsidRDefault="00906F8D" w:rsidP="00906F8D">
            <w:pPr>
              <w:jc w:val="center"/>
              <w:rPr>
                <w:rFonts w:ascii="Book Antiqua" w:eastAsia="Calibri" w:hAnsi="Book Antiqua"/>
                <w:b/>
                <w:bCs/>
                <w:kern w:val="2"/>
                <w:lang w:val="en-PH" w:eastAsia="en-PH"/>
              </w:rPr>
            </w:pPr>
            <w:r w:rsidRPr="00906F8D">
              <w:rPr>
                <w:rFonts w:ascii="Book Antiqua" w:eastAsia="Calibri" w:hAnsi="Book Antiqua"/>
                <w:b/>
                <w:bCs/>
                <w:kern w:val="2"/>
                <w:lang w:val="en-PH" w:eastAsia="en-PH"/>
              </w:rPr>
              <w:t>Not Yet Competent (f)</w:t>
            </w:r>
          </w:p>
        </w:tc>
        <w:tc>
          <w:tcPr>
            <w:tcW w:w="0" w:type="auto"/>
            <w:tcBorders>
              <w:top w:val="double" w:sz="12" w:space="0" w:color="auto"/>
              <w:bottom w:val="single" w:sz="4" w:space="0" w:color="auto"/>
            </w:tcBorders>
            <w:vAlign w:val="center"/>
            <w:hideMark/>
          </w:tcPr>
          <w:p w14:paraId="4F931881" w14:textId="77777777" w:rsidR="00906F8D" w:rsidRPr="00906F8D" w:rsidRDefault="00906F8D" w:rsidP="00906F8D">
            <w:pPr>
              <w:jc w:val="center"/>
              <w:rPr>
                <w:rFonts w:ascii="Book Antiqua" w:eastAsia="Calibri" w:hAnsi="Book Antiqua"/>
                <w:b/>
                <w:bCs/>
                <w:kern w:val="2"/>
                <w:lang w:val="en-PH" w:eastAsia="en-PH"/>
              </w:rPr>
            </w:pPr>
            <w:r w:rsidRPr="00906F8D">
              <w:rPr>
                <w:rFonts w:ascii="Book Antiqua" w:eastAsia="Calibri" w:hAnsi="Book Antiqua"/>
                <w:b/>
                <w:bCs/>
                <w:kern w:val="2"/>
                <w:lang w:val="en-PH" w:eastAsia="en-PH"/>
              </w:rPr>
              <w:t>Percentage Competent (%)</w:t>
            </w:r>
          </w:p>
        </w:tc>
        <w:tc>
          <w:tcPr>
            <w:tcW w:w="0" w:type="auto"/>
            <w:tcBorders>
              <w:top w:val="double" w:sz="12" w:space="0" w:color="auto"/>
              <w:bottom w:val="single" w:sz="4" w:space="0" w:color="auto"/>
            </w:tcBorders>
            <w:vAlign w:val="center"/>
            <w:hideMark/>
          </w:tcPr>
          <w:p w14:paraId="591FF649" w14:textId="77777777" w:rsidR="00906F8D" w:rsidRPr="00906F8D" w:rsidRDefault="00906F8D" w:rsidP="00906F8D">
            <w:pPr>
              <w:jc w:val="center"/>
              <w:rPr>
                <w:rFonts w:ascii="Book Antiqua" w:eastAsia="Calibri" w:hAnsi="Book Antiqua"/>
                <w:b/>
                <w:bCs/>
                <w:kern w:val="2"/>
                <w:lang w:val="en-PH" w:eastAsia="en-PH"/>
              </w:rPr>
            </w:pPr>
            <w:r w:rsidRPr="00906F8D">
              <w:rPr>
                <w:rFonts w:ascii="Book Antiqua" w:eastAsia="Calibri" w:hAnsi="Book Antiqua"/>
                <w:b/>
                <w:bCs/>
                <w:kern w:val="2"/>
                <w:lang w:val="en-PH" w:eastAsia="en-PH"/>
              </w:rPr>
              <w:t>Remarks</w:t>
            </w:r>
          </w:p>
        </w:tc>
      </w:tr>
      <w:tr w:rsidR="00906F8D" w:rsidRPr="00906F8D" w14:paraId="31D17194" w14:textId="77777777" w:rsidTr="001357D6">
        <w:trPr>
          <w:tblCellSpacing w:w="15" w:type="dxa"/>
        </w:trPr>
        <w:tc>
          <w:tcPr>
            <w:tcW w:w="1935" w:type="dxa"/>
            <w:vAlign w:val="center"/>
            <w:hideMark/>
          </w:tcPr>
          <w:p w14:paraId="1AB59D76" w14:textId="77777777" w:rsidR="00906F8D" w:rsidRPr="00906F8D" w:rsidRDefault="00906F8D" w:rsidP="00906F8D">
            <w:pPr>
              <w:rPr>
                <w:rFonts w:ascii="Book Antiqua" w:eastAsia="Calibri" w:hAnsi="Book Antiqua"/>
                <w:kern w:val="2"/>
                <w:lang w:val="en-PH" w:eastAsia="en-PH"/>
              </w:rPr>
            </w:pPr>
            <w:r w:rsidRPr="00906F8D">
              <w:rPr>
                <w:rFonts w:ascii="Book Antiqua" w:eastAsia="Calibri" w:hAnsi="Book Antiqua"/>
                <w:kern w:val="2"/>
                <w:lang w:val="en-PH" w:eastAsia="en-PH"/>
              </w:rPr>
              <w:t>1. Perform Root Pass</w:t>
            </w:r>
          </w:p>
        </w:tc>
        <w:tc>
          <w:tcPr>
            <w:tcW w:w="2565" w:type="dxa"/>
            <w:vAlign w:val="center"/>
            <w:hideMark/>
          </w:tcPr>
          <w:p w14:paraId="4466874B" w14:textId="77777777" w:rsidR="00906F8D" w:rsidRPr="00906F8D" w:rsidRDefault="00906F8D" w:rsidP="00906F8D">
            <w:pPr>
              <w:jc w:val="both"/>
              <w:rPr>
                <w:rFonts w:ascii="Book Antiqua" w:eastAsia="Calibri" w:hAnsi="Book Antiqua"/>
                <w:kern w:val="2"/>
                <w:lang w:val="en-PH" w:eastAsia="en-PH"/>
              </w:rPr>
            </w:pPr>
            <w:r w:rsidRPr="00906F8D">
              <w:rPr>
                <w:rFonts w:ascii="Book Antiqua" w:eastAsia="Calibri" w:hAnsi="Book Antiqua"/>
                <w:kern w:val="2"/>
                <w:lang w:val="en-PH" w:eastAsia="en-PH"/>
              </w:rPr>
              <w:t>1.1 Root pass performed according to WPS/specifications</w:t>
            </w:r>
          </w:p>
        </w:tc>
        <w:tc>
          <w:tcPr>
            <w:tcW w:w="0" w:type="auto"/>
            <w:vAlign w:val="center"/>
            <w:hideMark/>
          </w:tcPr>
          <w:p w14:paraId="2C611067"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15</w:t>
            </w:r>
          </w:p>
        </w:tc>
        <w:tc>
          <w:tcPr>
            <w:tcW w:w="0" w:type="auto"/>
            <w:vAlign w:val="center"/>
            <w:hideMark/>
          </w:tcPr>
          <w:p w14:paraId="22BF1630"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5</w:t>
            </w:r>
          </w:p>
        </w:tc>
        <w:tc>
          <w:tcPr>
            <w:tcW w:w="0" w:type="auto"/>
            <w:vAlign w:val="center"/>
            <w:hideMark/>
          </w:tcPr>
          <w:p w14:paraId="17C2EFF4"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75%</w:t>
            </w:r>
          </w:p>
        </w:tc>
        <w:tc>
          <w:tcPr>
            <w:tcW w:w="0" w:type="auto"/>
            <w:vAlign w:val="center"/>
            <w:hideMark/>
          </w:tcPr>
          <w:p w14:paraId="2C7C262E" w14:textId="77777777" w:rsidR="00906F8D" w:rsidRPr="00906F8D" w:rsidRDefault="00906F8D" w:rsidP="00906F8D">
            <w:pPr>
              <w:jc w:val="center"/>
              <w:rPr>
                <w:rFonts w:ascii="Book Antiqua" w:eastAsia="Calibri" w:hAnsi="Book Antiqua"/>
                <w:kern w:val="2"/>
                <w:lang w:val="en-PH" w:eastAsia="en-PH"/>
              </w:rPr>
            </w:pPr>
          </w:p>
        </w:tc>
      </w:tr>
      <w:tr w:rsidR="00906F8D" w:rsidRPr="00906F8D" w14:paraId="67F50BA7" w14:textId="77777777" w:rsidTr="001357D6">
        <w:trPr>
          <w:tblCellSpacing w:w="15" w:type="dxa"/>
        </w:trPr>
        <w:tc>
          <w:tcPr>
            <w:tcW w:w="1935" w:type="dxa"/>
            <w:vAlign w:val="center"/>
            <w:hideMark/>
          </w:tcPr>
          <w:p w14:paraId="4AFEFD74" w14:textId="77777777" w:rsidR="00906F8D" w:rsidRPr="00906F8D" w:rsidRDefault="00906F8D" w:rsidP="00906F8D">
            <w:pPr>
              <w:rPr>
                <w:rFonts w:ascii="Book Antiqua" w:eastAsia="Calibri" w:hAnsi="Book Antiqua"/>
                <w:kern w:val="2"/>
                <w:lang w:val="en-PH" w:eastAsia="en-PH"/>
              </w:rPr>
            </w:pPr>
          </w:p>
        </w:tc>
        <w:tc>
          <w:tcPr>
            <w:tcW w:w="2565" w:type="dxa"/>
            <w:vAlign w:val="center"/>
            <w:hideMark/>
          </w:tcPr>
          <w:p w14:paraId="334E17F1" w14:textId="77777777" w:rsidR="00906F8D" w:rsidRPr="00906F8D" w:rsidRDefault="00906F8D" w:rsidP="00906F8D">
            <w:pPr>
              <w:jc w:val="both"/>
              <w:rPr>
                <w:rFonts w:ascii="Book Antiqua" w:eastAsia="Calibri" w:hAnsi="Book Antiqua"/>
                <w:kern w:val="2"/>
                <w:lang w:val="en-PH" w:eastAsia="en-PH"/>
              </w:rPr>
            </w:pPr>
            <w:r w:rsidRPr="00906F8D">
              <w:rPr>
                <w:rFonts w:ascii="Book Antiqua" w:eastAsia="Calibri" w:hAnsi="Book Antiqua"/>
                <w:kern w:val="2"/>
                <w:lang w:val="en-PH" w:eastAsia="en-PH"/>
              </w:rPr>
              <w:t>1.2 Observance of safety procedures</w:t>
            </w:r>
          </w:p>
        </w:tc>
        <w:tc>
          <w:tcPr>
            <w:tcW w:w="0" w:type="auto"/>
            <w:vAlign w:val="center"/>
            <w:hideMark/>
          </w:tcPr>
          <w:p w14:paraId="55F9595B"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16</w:t>
            </w:r>
          </w:p>
        </w:tc>
        <w:tc>
          <w:tcPr>
            <w:tcW w:w="0" w:type="auto"/>
            <w:vAlign w:val="center"/>
            <w:hideMark/>
          </w:tcPr>
          <w:p w14:paraId="59E5EBF9"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4</w:t>
            </w:r>
          </w:p>
        </w:tc>
        <w:tc>
          <w:tcPr>
            <w:tcW w:w="0" w:type="auto"/>
            <w:vAlign w:val="center"/>
            <w:hideMark/>
          </w:tcPr>
          <w:p w14:paraId="649A8938"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80%</w:t>
            </w:r>
          </w:p>
        </w:tc>
        <w:tc>
          <w:tcPr>
            <w:tcW w:w="0" w:type="auto"/>
            <w:vAlign w:val="center"/>
            <w:hideMark/>
          </w:tcPr>
          <w:p w14:paraId="178F1A6A" w14:textId="77777777" w:rsidR="00906F8D" w:rsidRPr="00906F8D" w:rsidRDefault="00906F8D" w:rsidP="00906F8D">
            <w:pPr>
              <w:jc w:val="center"/>
              <w:rPr>
                <w:rFonts w:ascii="Book Antiqua" w:eastAsia="Calibri" w:hAnsi="Book Antiqua"/>
                <w:kern w:val="2"/>
                <w:lang w:val="en-PH" w:eastAsia="en-PH"/>
              </w:rPr>
            </w:pPr>
          </w:p>
        </w:tc>
      </w:tr>
      <w:tr w:rsidR="00906F8D" w:rsidRPr="00906F8D" w14:paraId="3683922E" w14:textId="77777777" w:rsidTr="001357D6">
        <w:trPr>
          <w:tblCellSpacing w:w="15" w:type="dxa"/>
        </w:trPr>
        <w:tc>
          <w:tcPr>
            <w:tcW w:w="1935" w:type="dxa"/>
            <w:vAlign w:val="center"/>
            <w:hideMark/>
          </w:tcPr>
          <w:p w14:paraId="3ECCF9E2" w14:textId="77777777" w:rsidR="00906F8D" w:rsidRPr="00906F8D" w:rsidRDefault="00906F8D" w:rsidP="00906F8D">
            <w:pPr>
              <w:rPr>
                <w:rFonts w:ascii="Book Antiqua" w:eastAsia="Calibri" w:hAnsi="Book Antiqua"/>
                <w:kern w:val="2"/>
                <w:lang w:val="en-PH" w:eastAsia="en-PH"/>
              </w:rPr>
            </w:pPr>
          </w:p>
        </w:tc>
        <w:tc>
          <w:tcPr>
            <w:tcW w:w="2565" w:type="dxa"/>
            <w:vAlign w:val="center"/>
            <w:hideMark/>
          </w:tcPr>
          <w:p w14:paraId="589B2260" w14:textId="77777777" w:rsidR="00906F8D" w:rsidRPr="00906F8D" w:rsidRDefault="00906F8D" w:rsidP="00906F8D">
            <w:pPr>
              <w:jc w:val="both"/>
              <w:rPr>
                <w:rFonts w:ascii="Book Antiqua" w:eastAsia="Calibri" w:hAnsi="Book Antiqua"/>
                <w:kern w:val="2"/>
                <w:lang w:val="en-PH" w:eastAsia="en-PH"/>
              </w:rPr>
            </w:pPr>
            <w:r w:rsidRPr="00906F8D">
              <w:rPr>
                <w:rFonts w:ascii="Book Antiqua" w:eastAsia="Calibri" w:hAnsi="Book Antiqua"/>
                <w:kern w:val="2"/>
                <w:lang w:val="en-PH" w:eastAsia="en-PH"/>
              </w:rPr>
              <w:t>1.3 Weld checked and repaired if needed</w:t>
            </w:r>
          </w:p>
        </w:tc>
        <w:tc>
          <w:tcPr>
            <w:tcW w:w="0" w:type="auto"/>
            <w:vAlign w:val="center"/>
            <w:hideMark/>
          </w:tcPr>
          <w:p w14:paraId="52829D75"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16</w:t>
            </w:r>
          </w:p>
        </w:tc>
        <w:tc>
          <w:tcPr>
            <w:tcW w:w="0" w:type="auto"/>
            <w:vAlign w:val="center"/>
            <w:hideMark/>
          </w:tcPr>
          <w:p w14:paraId="77DF7083"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4</w:t>
            </w:r>
          </w:p>
        </w:tc>
        <w:tc>
          <w:tcPr>
            <w:tcW w:w="0" w:type="auto"/>
            <w:vAlign w:val="center"/>
            <w:hideMark/>
          </w:tcPr>
          <w:p w14:paraId="51EC37B7"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80%</w:t>
            </w:r>
          </w:p>
        </w:tc>
        <w:tc>
          <w:tcPr>
            <w:tcW w:w="0" w:type="auto"/>
            <w:vAlign w:val="center"/>
            <w:hideMark/>
          </w:tcPr>
          <w:p w14:paraId="6E22577F" w14:textId="77777777" w:rsidR="00906F8D" w:rsidRPr="00906F8D" w:rsidRDefault="00906F8D" w:rsidP="00906F8D">
            <w:pPr>
              <w:jc w:val="center"/>
              <w:rPr>
                <w:rFonts w:ascii="Book Antiqua" w:eastAsia="Calibri" w:hAnsi="Book Antiqua"/>
                <w:kern w:val="2"/>
                <w:lang w:val="en-PH" w:eastAsia="en-PH"/>
              </w:rPr>
            </w:pPr>
          </w:p>
        </w:tc>
      </w:tr>
      <w:tr w:rsidR="00906F8D" w:rsidRPr="00906F8D" w14:paraId="6B0CCC11" w14:textId="77777777" w:rsidTr="001357D6">
        <w:trPr>
          <w:tblCellSpacing w:w="15" w:type="dxa"/>
        </w:trPr>
        <w:tc>
          <w:tcPr>
            <w:tcW w:w="1935" w:type="dxa"/>
            <w:vAlign w:val="center"/>
            <w:hideMark/>
          </w:tcPr>
          <w:p w14:paraId="708BD00A" w14:textId="77777777" w:rsidR="00906F8D" w:rsidRPr="00906F8D" w:rsidRDefault="00906F8D" w:rsidP="00906F8D">
            <w:pPr>
              <w:rPr>
                <w:rFonts w:ascii="Book Antiqua" w:eastAsia="Calibri" w:hAnsi="Book Antiqua"/>
                <w:kern w:val="2"/>
                <w:lang w:val="en-PH" w:eastAsia="en-PH"/>
              </w:rPr>
            </w:pPr>
          </w:p>
        </w:tc>
        <w:tc>
          <w:tcPr>
            <w:tcW w:w="2565" w:type="dxa"/>
            <w:vAlign w:val="center"/>
            <w:hideMark/>
          </w:tcPr>
          <w:p w14:paraId="3EB90DF6" w14:textId="77777777" w:rsidR="00906F8D" w:rsidRPr="00906F8D" w:rsidRDefault="00906F8D" w:rsidP="00906F8D">
            <w:pPr>
              <w:jc w:val="both"/>
              <w:rPr>
                <w:rFonts w:ascii="Book Antiqua" w:eastAsia="Calibri" w:hAnsi="Book Antiqua"/>
                <w:kern w:val="2"/>
                <w:lang w:val="en-PH" w:eastAsia="en-PH"/>
              </w:rPr>
            </w:pPr>
            <w:r w:rsidRPr="00906F8D">
              <w:rPr>
                <w:rFonts w:ascii="Book Antiqua" w:eastAsia="Calibri" w:hAnsi="Book Antiqua"/>
                <w:kern w:val="2"/>
                <w:lang w:val="en-PH" w:eastAsia="en-PH"/>
              </w:rPr>
              <w:t>1.4 Weld acceptable based on standards</w:t>
            </w:r>
          </w:p>
        </w:tc>
        <w:tc>
          <w:tcPr>
            <w:tcW w:w="0" w:type="auto"/>
            <w:vAlign w:val="center"/>
            <w:hideMark/>
          </w:tcPr>
          <w:p w14:paraId="5C5979CC"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17</w:t>
            </w:r>
          </w:p>
        </w:tc>
        <w:tc>
          <w:tcPr>
            <w:tcW w:w="0" w:type="auto"/>
            <w:vAlign w:val="center"/>
            <w:hideMark/>
          </w:tcPr>
          <w:p w14:paraId="6FA2625F"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3</w:t>
            </w:r>
          </w:p>
        </w:tc>
        <w:tc>
          <w:tcPr>
            <w:tcW w:w="0" w:type="auto"/>
            <w:vAlign w:val="center"/>
            <w:hideMark/>
          </w:tcPr>
          <w:p w14:paraId="43A4B97E"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85%</w:t>
            </w:r>
          </w:p>
        </w:tc>
        <w:tc>
          <w:tcPr>
            <w:tcW w:w="0" w:type="auto"/>
            <w:vAlign w:val="center"/>
            <w:hideMark/>
          </w:tcPr>
          <w:p w14:paraId="216CEEAB" w14:textId="77777777" w:rsidR="00906F8D" w:rsidRPr="00906F8D" w:rsidRDefault="00906F8D" w:rsidP="00906F8D">
            <w:pPr>
              <w:jc w:val="center"/>
              <w:rPr>
                <w:rFonts w:ascii="Book Antiqua" w:eastAsia="Calibri" w:hAnsi="Book Antiqua"/>
                <w:kern w:val="2"/>
                <w:lang w:val="en-PH" w:eastAsia="en-PH"/>
              </w:rPr>
            </w:pPr>
          </w:p>
        </w:tc>
      </w:tr>
      <w:tr w:rsidR="00906F8D" w:rsidRPr="00906F8D" w14:paraId="5DB71BBB" w14:textId="77777777" w:rsidTr="001357D6">
        <w:trPr>
          <w:tblCellSpacing w:w="15" w:type="dxa"/>
        </w:trPr>
        <w:tc>
          <w:tcPr>
            <w:tcW w:w="1935" w:type="dxa"/>
            <w:vAlign w:val="center"/>
            <w:hideMark/>
          </w:tcPr>
          <w:p w14:paraId="64FD9FFC" w14:textId="77777777" w:rsidR="00906F8D" w:rsidRPr="00906F8D" w:rsidRDefault="00906F8D" w:rsidP="00906F8D">
            <w:pPr>
              <w:rPr>
                <w:rFonts w:ascii="Book Antiqua" w:eastAsia="Calibri" w:hAnsi="Book Antiqua"/>
                <w:kern w:val="2"/>
                <w:lang w:val="en-PH" w:eastAsia="en-PH"/>
              </w:rPr>
            </w:pPr>
          </w:p>
        </w:tc>
        <w:tc>
          <w:tcPr>
            <w:tcW w:w="2565" w:type="dxa"/>
            <w:vAlign w:val="center"/>
            <w:hideMark/>
          </w:tcPr>
          <w:p w14:paraId="70EF7178" w14:textId="77777777" w:rsidR="00906F8D" w:rsidRPr="00906F8D" w:rsidRDefault="00906F8D" w:rsidP="00906F8D">
            <w:pPr>
              <w:jc w:val="both"/>
              <w:rPr>
                <w:rFonts w:ascii="Book Antiqua" w:eastAsia="Calibri" w:hAnsi="Book Antiqua"/>
                <w:kern w:val="2"/>
                <w:lang w:val="en-PH" w:eastAsia="en-PH"/>
              </w:rPr>
            </w:pPr>
          </w:p>
        </w:tc>
        <w:tc>
          <w:tcPr>
            <w:tcW w:w="0" w:type="auto"/>
            <w:vAlign w:val="center"/>
          </w:tcPr>
          <w:p w14:paraId="2CE0EA27" w14:textId="77777777" w:rsidR="00906F8D" w:rsidRPr="00906F8D" w:rsidRDefault="00906F8D" w:rsidP="00906F8D">
            <w:pPr>
              <w:jc w:val="center"/>
              <w:rPr>
                <w:rFonts w:ascii="Book Antiqua" w:eastAsia="Calibri" w:hAnsi="Book Antiqua"/>
                <w:kern w:val="2"/>
                <w:lang w:val="en-PH" w:eastAsia="en-PH"/>
              </w:rPr>
            </w:pPr>
          </w:p>
        </w:tc>
        <w:tc>
          <w:tcPr>
            <w:tcW w:w="0" w:type="auto"/>
            <w:vAlign w:val="center"/>
          </w:tcPr>
          <w:p w14:paraId="4B83A0D3" w14:textId="77777777" w:rsidR="00906F8D" w:rsidRPr="00906F8D" w:rsidRDefault="00906F8D" w:rsidP="00906F8D">
            <w:pPr>
              <w:jc w:val="center"/>
              <w:rPr>
                <w:rFonts w:ascii="Book Antiqua" w:eastAsia="Calibri" w:hAnsi="Book Antiqua"/>
                <w:kern w:val="2"/>
                <w:lang w:val="en-PH" w:eastAsia="en-PH"/>
              </w:rPr>
            </w:pPr>
          </w:p>
        </w:tc>
        <w:tc>
          <w:tcPr>
            <w:tcW w:w="0" w:type="auto"/>
            <w:vAlign w:val="center"/>
          </w:tcPr>
          <w:p w14:paraId="13BDA382" w14:textId="77777777" w:rsidR="00906F8D" w:rsidRPr="00906F8D" w:rsidRDefault="00906F8D" w:rsidP="00906F8D">
            <w:pPr>
              <w:jc w:val="center"/>
              <w:rPr>
                <w:rFonts w:ascii="Book Antiqua" w:eastAsia="Calibri" w:hAnsi="Book Antiqua"/>
                <w:kern w:val="2"/>
                <w:lang w:val="en-PH" w:eastAsia="en-PH"/>
              </w:rPr>
            </w:pPr>
          </w:p>
        </w:tc>
        <w:tc>
          <w:tcPr>
            <w:tcW w:w="0" w:type="auto"/>
            <w:vAlign w:val="center"/>
            <w:hideMark/>
          </w:tcPr>
          <w:p w14:paraId="6D36786F"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Least Mastered</w:t>
            </w:r>
          </w:p>
        </w:tc>
      </w:tr>
      <w:tr w:rsidR="00906F8D" w:rsidRPr="00906F8D" w14:paraId="78A95449" w14:textId="77777777" w:rsidTr="001357D6">
        <w:trPr>
          <w:tblCellSpacing w:w="15" w:type="dxa"/>
        </w:trPr>
        <w:tc>
          <w:tcPr>
            <w:tcW w:w="1935" w:type="dxa"/>
            <w:vAlign w:val="center"/>
            <w:hideMark/>
          </w:tcPr>
          <w:p w14:paraId="54AFB3DE" w14:textId="77777777" w:rsidR="00906F8D" w:rsidRPr="00906F8D" w:rsidRDefault="00906F8D" w:rsidP="00906F8D">
            <w:pPr>
              <w:rPr>
                <w:rFonts w:ascii="Book Antiqua" w:eastAsia="Calibri" w:hAnsi="Book Antiqua"/>
                <w:kern w:val="2"/>
                <w:lang w:val="en-PH" w:eastAsia="en-PH"/>
              </w:rPr>
            </w:pPr>
            <w:r w:rsidRPr="00906F8D">
              <w:rPr>
                <w:rFonts w:ascii="Book Antiqua" w:eastAsia="Calibri" w:hAnsi="Book Antiqua"/>
                <w:kern w:val="2"/>
                <w:lang w:val="en-PH" w:eastAsia="en-PH"/>
              </w:rPr>
              <w:t>2. Clean Root Pass</w:t>
            </w:r>
          </w:p>
        </w:tc>
        <w:tc>
          <w:tcPr>
            <w:tcW w:w="2565" w:type="dxa"/>
            <w:vAlign w:val="center"/>
            <w:hideMark/>
          </w:tcPr>
          <w:p w14:paraId="73942ACE" w14:textId="77777777" w:rsidR="00906F8D" w:rsidRPr="00906F8D" w:rsidRDefault="00906F8D" w:rsidP="00906F8D">
            <w:pPr>
              <w:jc w:val="both"/>
              <w:rPr>
                <w:rFonts w:ascii="Book Antiqua" w:eastAsia="Calibri" w:hAnsi="Book Antiqua"/>
                <w:kern w:val="2"/>
                <w:lang w:val="en-PH" w:eastAsia="en-PH"/>
              </w:rPr>
            </w:pPr>
            <w:r w:rsidRPr="00906F8D">
              <w:rPr>
                <w:rFonts w:ascii="Book Antiqua" w:eastAsia="Calibri" w:hAnsi="Book Antiqua"/>
                <w:kern w:val="2"/>
                <w:lang w:val="en-PH" w:eastAsia="en-PH"/>
              </w:rPr>
              <w:t>2.1 Root pass cleaned and defect-free</w:t>
            </w:r>
          </w:p>
        </w:tc>
        <w:tc>
          <w:tcPr>
            <w:tcW w:w="0" w:type="auto"/>
            <w:vAlign w:val="center"/>
            <w:hideMark/>
          </w:tcPr>
          <w:p w14:paraId="163B14E7"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18</w:t>
            </w:r>
          </w:p>
        </w:tc>
        <w:tc>
          <w:tcPr>
            <w:tcW w:w="0" w:type="auto"/>
            <w:vAlign w:val="center"/>
            <w:hideMark/>
          </w:tcPr>
          <w:p w14:paraId="739DA354"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2</w:t>
            </w:r>
          </w:p>
        </w:tc>
        <w:tc>
          <w:tcPr>
            <w:tcW w:w="0" w:type="auto"/>
            <w:vAlign w:val="center"/>
            <w:hideMark/>
          </w:tcPr>
          <w:p w14:paraId="018FBD50"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90%</w:t>
            </w:r>
          </w:p>
        </w:tc>
        <w:tc>
          <w:tcPr>
            <w:tcW w:w="0" w:type="auto"/>
            <w:vAlign w:val="center"/>
            <w:hideMark/>
          </w:tcPr>
          <w:p w14:paraId="025E59D8" w14:textId="77777777" w:rsidR="00906F8D" w:rsidRPr="00906F8D" w:rsidRDefault="00906F8D" w:rsidP="00906F8D">
            <w:pPr>
              <w:jc w:val="center"/>
              <w:rPr>
                <w:rFonts w:ascii="Book Antiqua" w:eastAsia="Calibri" w:hAnsi="Book Antiqua"/>
                <w:kern w:val="2"/>
                <w:lang w:val="en-PH" w:eastAsia="en-PH"/>
              </w:rPr>
            </w:pPr>
          </w:p>
        </w:tc>
      </w:tr>
      <w:tr w:rsidR="00906F8D" w:rsidRPr="00906F8D" w14:paraId="5DDD384A" w14:textId="77777777" w:rsidTr="001357D6">
        <w:trPr>
          <w:tblCellSpacing w:w="15" w:type="dxa"/>
        </w:trPr>
        <w:tc>
          <w:tcPr>
            <w:tcW w:w="1935" w:type="dxa"/>
            <w:vAlign w:val="center"/>
            <w:hideMark/>
          </w:tcPr>
          <w:p w14:paraId="13136F4A" w14:textId="77777777" w:rsidR="00906F8D" w:rsidRPr="00906F8D" w:rsidRDefault="00906F8D" w:rsidP="00906F8D">
            <w:pPr>
              <w:rPr>
                <w:rFonts w:ascii="Book Antiqua" w:eastAsia="Calibri" w:hAnsi="Book Antiqua"/>
                <w:kern w:val="2"/>
                <w:lang w:val="en-PH" w:eastAsia="en-PH"/>
              </w:rPr>
            </w:pPr>
          </w:p>
        </w:tc>
        <w:tc>
          <w:tcPr>
            <w:tcW w:w="2565" w:type="dxa"/>
            <w:vAlign w:val="center"/>
            <w:hideMark/>
          </w:tcPr>
          <w:p w14:paraId="6BA1314A" w14:textId="77777777" w:rsidR="00906F8D" w:rsidRPr="00906F8D" w:rsidRDefault="00906F8D" w:rsidP="00906F8D">
            <w:pPr>
              <w:jc w:val="both"/>
              <w:rPr>
                <w:rFonts w:ascii="Book Antiqua" w:eastAsia="Calibri" w:hAnsi="Book Antiqua"/>
                <w:kern w:val="2"/>
                <w:lang w:val="en-PH" w:eastAsia="en-PH"/>
              </w:rPr>
            </w:pPr>
            <w:r w:rsidRPr="00906F8D">
              <w:rPr>
                <w:rFonts w:ascii="Book Antiqua" w:eastAsia="Calibri" w:hAnsi="Book Antiqua"/>
                <w:kern w:val="2"/>
                <w:lang w:val="en-PH" w:eastAsia="en-PH"/>
              </w:rPr>
              <w:t>2.2 Performed according to approved WPS</w:t>
            </w:r>
          </w:p>
        </w:tc>
        <w:tc>
          <w:tcPr>
            <w:tcW w:w="0" w:type="auto"/>
            <w:vAlign w:val="center"/>
            <w:hideMark/>
          </w:tcPr>
          <w:p w14:paraId="21ECC1B2"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17</w:t>
            </w:r>
          </w:p>
        </w:tc>
        <w:tc>
          <w:tcPr>
            <w:tcW w:w="0" w:type="auto"/>
            <w:vAlign w:val="center"/>
            <w:hideMark/>
          </w:tcPr>
          <w:p w14:paraId="12CF8D07"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3</w:t>
            </w:r>
          </w:p>
        </w:tc>
        <w:tc>
          <w:tcPr>
            <w:tcW w:w="0" w:type="auto"/>
            <w:vAlign w:val="center"/>
            <w:hideMark/>
          </w:tcPr>
          <w:p w14:paraId="3F620455"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85%</w:t>
            </w:r>
          </w:p>
        </w:tc>
        <w:tc>
          <w:tcPr>
            <w:tcW w:w="0" w:type="auto"/>
            <w:vAlign w:val="center"/>
            <w:hideMark/>
          </w:tcPr>
          <w:p w14:paraId="2E4D12F6" w14:textId="77777777" w:rsidR="00906F8D" w:rsidRPr="00906F8D" w:rsidRDefault="00906F8D" w:rsidP="00906F8D">
            <w:pPr>
              <w:jc w:val="center"/>
              <w:rPr>
                <w:rFonts w:ascii="Book Antiqua" w:eastAsia="Calibri" w:hAnsi="Book Antiqua"/>
                <w:kern w:val="2"/>
                <w:lang w:val="en-PH" w:eastAsia="en-PH"/>
              </w:rPr>
            </w:pPr>
          </w:p>
        </w:tc>
      </w:tr>
      <w:tr w:rsidR="00906F8D" w:rsidRPr="00906F8D" w14:paraId="076F5FC7" w14:textId="77777777" w:rsidTr="001357D6">
        <w:trPr>
          <w:tblCellSpacing w:w="15" w:type="dxa"/>
        </w:trPr>
        <w:tc>
          <w:tcPr>
            <w:tcW w:w="1935" w:type="dxa"/>
            <w:vAlign w:val="center"/>
          </w:tcPr>
          <w:p w14:paraId="0AC54F52" w14:textId="77777777" w:rsidR="00906F8D" w:rsidRPr="00906F8D" w:rsidRDefault="00906F8D" w:rsidP="00906F8D">
            <w:pPr>
              <w:rPr>
                <w:rFonts w:ascii="Book Antiqua" w:eastAsia="Calibri" w:hAnsi="Book Antiqua"/>
                <w:kern w:val="2"/>
                <w:lang w:val="en-PH" w:eastAsia="en-PH"/>
              </w:rPr>
            </w:pPr>
          </w:p>
        </w:tc>
        <w:tc>
          <w:tcPr>
            <w:tcW w:w="2565" w:type="dxa"/>
            <w:vAlign w:val="center"/>
          </w:tcPr>
          <w:p w14:paraId="4E80A77F" w14:textId="77777777" w:rsidR="00906F8D" w:rsidRPr="00906F8D" w:rsidRDefault="00906F8D" w:rsidP="00906F8D">
            <w:pPr>
              <w:jc w:val="both"/>
              <w:rPr>
                <w:rFonts w:ascii="Book Antiqua" w:eastAsia="Calibri" w:hAnsi="Book Antiqua"/>
                <w:kern w:val="2"/>
                <w:lang w:val="en-PH" w:eastAsia="en-PH"/>
              </w:rPr>
            </w:pPr>
          </w:p>
        </w:tc>
        <w:tc>
          <w:tcPr>
            <w:tcW w:w="0" w:type="auto"/>
            <w:vAlign w:val="center"/>
          </w:tcPr>
          <w:p w14:paraId="38A6A182" w14:textId="77777777" w:rsidR="00906F8D" w:rsidRPr="00906F8D" w:rsidRDefault="00906F8D" w:rsidP="00906F8D">
            <w:pPr>
              <w:jc w:val="center"/>
              <w:rPr>
                <w:rFonts w:ascii="Book Antiqua" w:eastAsia="Calibri" w:hAnsi="Book Antiqua"/>
                <w:kern w:val="2"/>
                <w:lang w:val="en-PH" w:eastAsia="en-PH"/>
              </w:rPr>
            </w:pPr>
          </w:p>
        </w:tc>
        <w:tc>
          <w:tcPr>
            <w:tcW w:w="0" w:type="auto"/>
            <w:vAlign w:val="center"/>
          </w:tcPr>
          <w:p w14:paraId="6B8EC10E" w14:textId="77777777" w:rsidR="00906F8D" w:rsidRPr="00906F8D" w:rsidRDefault="00906F8D" w:rsidP="00906F8D">
            <w:pPr>
              <w:jc w:val="center"/>
              <w:rPr>
                <w:rFonts w:ascii="Book Antiqua" w:eastAsia="Calibri" w:hAnsi="Book Antiqua"/>
                <w:kern w:val="2"/>
                <w:lang w:val="en-PH" w:eastAsia="en-PH"/>
              </w:rPr>
            </w:pPr>
          </w:p>
        </w:tc>
        <w:tc>
          <w:tcPr>
            <w:tcW w:w="0" w:type="auto"/>
            <w:vAlign w:val="center"/>
          </w:tcPr>
          <w:p w14:paraId="5E912534" w14:textId="77777777" w:rsidR="00906F8D" w:rsidRPr="00906F8D" w:rsidRDefault="00906F8D" w:rsidP="00906F8D">
            <w:pPr>
              <w:jc w:val="center"/>
              <w:rPr>
                <w:rFonts w:ascii="Book Antiqua" w:eastAsia="Calibri" w:hAnsi="Book Antiqua"/>
                <w:kern w:val="2"/>
                <w:lang w:val="en-PH" w:eastAsia="en-PH"/>
              </w:rPr>
            </w:pPr>
          </w:p>
        </w:tc>
        <w:tc>
          <w:tcPr>
            <w:tcW w:w="0" w:type="auto"/>
            <w:vAlign w:val="center"/>
            <w:hideMark/>
          </w:tcPr>
          <w:p w14:paraId="014D241F" w14:textId="77777777" w:rsidR="00906F8D" w:rsidRPr="00906F8D" w:rsidRDefault="00906F8D" w:rsidP="00906F8D">
            <w:pPr>
              <w:jc w:val="center"/>
              <w:rPr>
                <w:rFonts w:ascii="Book Antiqua" w:eastAsia="Calibri" w:hAnsi="Book Antiqua"/>
                <w:kern w:val="2"/>
                <w:lang w:val="en-PH" w:eastAsia="en-PH"/>
              </w:rPr>
            </w:pPr>
          </w:p>
        </w:tc>
      </w:tr>
      <w:tr w:rsidR="00906F8D" w:rsidRPr="00906F8D" w14:paraId="288B42AB" w14:textId="77777777" w:rsidTr="001357D6">
        <w:trPr>
          <w:tblCellSpacing w:w="15" w:type="dxa"/>
        </w:trPr>
        <w:tc>
          <w:tcPr>
            <w:tcW w:w="1935" w:type="dxa"/>
            <w:vAlign w:val="center"/>
            <w:hideMark/>
          </w:tcPr>
          <w:p w14:paraId="56BA16B5" w14:textId="77777777" w:rsidR="00906F8D" w:rsidRPr="00906F8D" w:rsidRDefault="00906F8D" w:rsidP="00906F8D">
            <w:pPr>
              <w:rPr>
                <w:rFonts w:ascii="Book Antiqua" w:eastAsia="Calibri" w:hAnsi="Book Antiqua"/>
                <w:kern w:val="2"/>
                <w:lang w:val="en-PH" w:eastAsia="en-PH"/>
              </w:rPr>
            </w:pPr>
            <w:r w:rsidRPr="00906F8D">
              <w:rPr>
                <w:rFonts w:ascii="Book Antiqua" w:eastAsia="Calibri" w:hAnsi="Book Antiqua"/>
                <w:kern w:val="2"/>
                <w:lang w:val="en-PH" w:eastAsia="en-PH"/>
              </w:rPr>
              <w:t>3. Weld Subsequent/Filling Passes</w:t>
            </w:r>
          </w:p>
        </w:tc>
        <w:tc>
          <w:tcPr>
            <w:tcW w:w="2565" w:type="dxa"/>
            <w:vAlign w:val="center"/>
            <w:hideMark/>
          </w:tcPr>
          <w:p w14:paraId="3C05F2B0" w14:textId="77777777" w:rsidR="00906F8D" w:rsidRPr="00906F8D" w:rsidRDefault="00906F8D" w:rsidP="00906F8D">
            <w:pPr>
              <w:jc w:val="both"/>
              <w:rPr>
                <w:rFonts w:ascii="Book Antiqua" w:eastAsia="Calibri" w:hAnsi="Book Antiqua"/>
                <w:kern w:val="2"/>
                <w:lang w:val="en-PH" w:eastAsia="en-PH"/>
              </w:rPr>
            </w:pPr>
            <w:r w:rsidRPr="00906F8D">
              <w:rPr>
                <w:rFonts w:ascii="Book Antiqua" w:eastAsia="Calibri" w:hAnsi="Book Antiqua"/>
                <w:kern w:val="2"/>
                <w:lang w:val="en-PH" w:eastAsia="en-PH"/>
              </w:rPr>
              <w:t>3.1 Filling passes done according to WPS</w:t>
            </w:r>
          </w:p>
        </w:tc>
        <w:tc>
          <w:tcPr>
            <w:tcW w:w="0" w:type="auto"/>
            <w:vAlign w:val="center"/>
            <w:hideMark/>
          </w:tcPr>
          <w:p w14:paraId="4B3C0C53"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18</w:t>
            </w:r>
          </w:p>
        </w:tc>
        <w:tc>
          <w:tcPr>
            <w:tcW w:w="0" w:type="auto"/>
            <w:vAlign w:val="center"/>
            <w:hideMark/>
          </w:tcPr>
          <w:p w14:paraId="59B1A371"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2</w:t>
            </w:r>
          </w:p>
        </w:tc>
        <w:tc>
          <w:tcPr>
            <w:tcW w:w="0" w:type="auto"/>
            <w:vAlign w:val="center"/>
            <w:hideMark/>
          </w:tcPr>
          <w:p w14:paraId="0ED81758"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90%</w:t>
            </w:r>
          </w:p>
        </w:tc>
        <w:tc>
          <w:tcPr>
            <w:tcW w:w="0" w:type="auto"/>
            <w:vAlign w:val="center"/>
            <w:hideMark/>
          </w:tcPr>
          <w:p w14:paraId="13045706" w14:textId="77777777" w:rsidR="00906F8D" w:rsidRPr="00906F8D" w:rsidRDefault="00906F8D" w:rsidP="00906F8D">
            <w:pPr>
              <w:jc w:val="center"/>
              <w:rPr>
                <w:rFonts w:ascii="Book Antiqua" w:eastAsia="Calibri" w:hAnsi="Book Antiqua"/>
                <w:kern w:val="2"/>
                <w:lang w:val="en-PH" w:eastAsia="en-PH"/>
              </w:rPr>
            </w:pPr>
          </w:p>
        </w:tc>
      </w:tr>
      <w:tr w:rsidR="00906F8D" w:rsidRPr="00906F8D" w14:paraId="6D522F04" w14:textId="77777777" w:rsidTr="001357D6">
        <w:trPr>
          <w:tblCellSpacing w:w="15" w:type="dxa"/>
        </w:trPr>
        <w:tc>
          <w:tcPr>
            <w:tcW w:w="1935" w:type="dxa"/>
            <w:vAlign w:val="center"/>
            <w:hideMark/>
          </w:tcPr>
          <w:p w14:paraId="01896A86" w14:textId="77777777" w:rsidR="00906F8D" w:rsidRPr="00906F8D" w:rsidRDefault="00906F8D" w:rsidP="00906F8D">
            <w:pPr>
              <w:rPr>
                <w:rFonts w:ascii="Book Antiqua" w:eastAsia="Calibri" w:hAnsi="Book Antiqua"/>
                <w:kern w:val="2"/>
                <w:lang w:val="en-PH" w:eastAsia="en-PH"/>
              </w:rPr>
            </w:pPr>
          </w:p>
        </w:tc>
        <w:tc>
          <w:tcPr>
            <w:tcW w:w="2565" w:type="dxa"/>
            <w:vAlign w:val="center"/>
            <w:hideMark/>
          </w:tcPr>
          <w:p w14:paraId="0FC84656" w14:textId="77777777" w:rsidR="00906F8D" w:rsidRPr="00906F8D" w:rsidRDefault="00906F8D" w:rsidP="00906F8D">
            <w:pPr>
              <w:jc w:val="both"/>
              <w:rPr>
                <w:rFonts w:ascii="Book Antiqua" w:eastAsia="Calibri" w:hAnsi="Book Antiqua"/>
                <w:kern w:val="2"/>
                <w:lang w:val="en-PH" w:eastAsia="en-PH"/>
              </w:rPr>
            </w:pPr>
            <w:r w:rsidRPr="00906F8D">
              <w:rPr>
                <w:rFonts w:ascii="Book Antiqua" w:eastAsia="Calibri" w:hAnsi="Book Antiqua"/>
                <w:kern w:val="2"/>
                <w:lang w:val="en-PH" w:eastAsia="en-PH"/>
              </w:rPr>
              <w:t>3.2 Weld checked and repaired if needed</w:t>
            </w:r>
          </w:p>
        </w:tc>
        <w:tc>
          <w:tcPr>
            <w:tcW w:w="0" w:type="auto"/>
            <w:vAlign w:val="center"/>
            <w:hideMark/>
          </w:tcPr>
          <w:p w14:paraId="113F18CE"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17</w:t>
            </w:r>
          </w:p>
        </w:tc>
        <w:tc>
          <w:tcPr>
            <w:tcW w:w="0" w:type="auto"/>
            <w:vAlign w:val="center"/>
            <w:hideMark/>
          </w:tcPr>
          <w:p w14:paraId="3CA7415C"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3</w:t>
            </w:r>
          </w:p>
        </w:tc>
        <w:tc>
          <w:tcPr>
            <w:tcW w:w="0" w:type="auto"/>
            <w:vAlign w:val="center"/>
            <w:hideMark/>
          </w:tcPr>
          <w:p w14:paraId="77833030"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85%</w:t>
            </w:r>
          </w:p>
        </w:tc>
        <w:tc>
          <w:tcPr>
            <w:tcW w:w="0" w:type="auto"/>
            <w:vAlign w:val="center"/>
            <w:hideMark/>
          </w:tcPr>
          <w:p w14:paraId="7EDC87C9" w14:textId="77777777" w:rsidR="00906F8D" w:rsidRPr="00906F8D" w:rsidRDefault="00906F8D" w:rsidP="00906F8D">
            <w:pPr>
              <w:jc w:val="center"/>
              <w:rPr>
                <w:rFonts w:ascii="Book Antiqua" w:eastAsia="Calibri" w:hAnsi="Book Antiqua"/>
                <w:kern w:val="2"/>
                <w:lang w:val="en-PH" w:eastAsia="en-PH"/>
              </w:rPr>
            </w:pPr>
          </w:p>
        </w:tc>
      </w:tr>
      <w:tr w:rsidR="00906F8D" w:rsidRPr="00906F8D" w14:paraId="719B7938" w14:textId="77777777" w:rsidTr="001357D6">
        <w:trPr>
          <w:tblCellSpacing w:w="15" w:type="dxa"/>
        </w:trPr>
        <w:tc>
          <w:tcPr>
            <w:tcW w:w="1935" w:type="dxa"/>
            <w:vAlign w:val="center"/>
            <w:hideMark/>
          </w:tcPr>
          <w:p w14:paraId="04E2962E" w14:textId="77777777" w:rsidR="00906F8D" w:rsidRPr="00906F8D" w:rsidRDefault="00906F8D" w:rsidP="00906F8D">
            <w:pPr>
              <w:rPr>
                <w:rFonts w:ascii="Book Antiqua" w:eastAsia="Calibri" w:hAnsi="Book Antiqua"/>
                <w:kern w:val="2"/>
                <w:lang w:val="en-PH" w:eastAsia="en-PH"/>
              </w:rPr>
            </w:pPr>
          </w:p>
        </w:tc>
        <w:tc>
          <w:tcPr>
            <w:tcW w:w="2565" w:type="dxa"/>
            <w:vAlign w:val="center"/>
            <w:hideMark/>
          </w:tcPr>
          <w:p w14:paraId="03A82194" w14:textId="77777777" w:rsidR="00906F8D" w:rsidRPr="00906F8D" w:rsidRDefault="00906F8D" w:rsidP="00906F8D">
            <w:pPr>
              <w:jc w:val="both"/>
              <w:rPr>
                <w:rFonts w:ascii="Book Antiqua" w:eastAsia="Calibri" w:hAnsi="Book Antiqua"/>
                <w:kern w:val="2"/>
                <w:lang w:val="en-PH" w:eastAsia="en-PH"/>
              </w:rPr>
            </w:pPr>
            <w:r w:rsidRPr="00906F8D">
              <w:rPr>
                <w:rFonts w:ascii="Book Antiqua" w:eastAsia="Calibri" w:hAnsi="Book Antiqua"/>
                <w:kern w:val="2"/>
                <w:lang w:val="en-PH" w:eastAsia="en-PH"/>
              </w:rPr>
              <w:t>3.3 Weld acceptable based on standards</w:t>
            </w:r>
          </w:p>
        </w:tc>
        <w:tc>
          <w:tcPr>
            <w:tcW w:w="0" w:type="auto"/>
            <w:vAlign w:val="center"/>
            <w:hideMark/>
          </w:tcPr>
          <w:p w14:paraId="641CED73"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17</w:t>
            </w:r>
          </w:p>
        </w:tc>
        <w:tc>
          <w:tcPr>
            <w:tcW w:w="0" w:type="auto"/>
            <w:vAlign w:val="center"/>
            <w:hideMark/>
          </w:tcPr>
          <w:p w14:paraId="44CE47F1"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3</w:t>
            </w:r>
          </w:p>
        </w:tc>
        <w:tc>
          <w:tcPr>
            <w:tcW w:w="0" w:type="auto"/>
            <w:vAlign w:val="center"/>
            <w:hideMark/>
          </w:tcPr>
          <w:p w14:paraId="38AAC95C"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85%</w:t>
            </w:r>
          </w:p>
        </w:tc>
        <w:tc>
          <w:tcPr>
            <w:tcW w:w="0" w:type="auto"/>
            <w:vAlign w:val="center"/>
            <w:hideMark/>
          </w:tcPr>
          <w:p w14:paraId="0AFB9BFA" w14:textId="77777777" w:rsidR="00906F8D" w:rsidRPr="00906F8D" w:rsidRDefault="00906F8D" w:rsidP="00906F8D">
            <w:pPr>
              <w:jc w:val="center"/>
              <w:rPr>
                <w:rFonts w:ascii="Book Antiqua" w:eastAsia="Calibri" w:hAnsi="Book Antiqua"/>
                <w:kern w:val="2"/>
                <w:lang w:val="en-PH" w:eastAsia="en-PH"/>
              </w:rPr>
            </w:pPr>
          </w:p>
        </w:tc>
      </w:tr>
      <w:tr w:rsidR="00906F8D" w:rsidRPr="00906F8D" w14:paraId="7C1701FD" w14:textId="77777777" w:rsidTr="001357D6">
        <w:trPr>
          <w:tblCellSpacing w:w="15" w:type="dxa"/>
        </w:trPr>
        <w:tc>
          <w:tcPr>
            <w:tcW w:w="1935" w:type="dxa"/>
            <w:vAlign w:val="center"/>
          </w:tcPr>
          <w:p w14:paraId="74864A68" w14:textId="77777777" w:rsidR="00906F8D" w:rsidRPr="00906F8D" w:rsidRDefault="00906F8D" w:rsidP="00906F8D">
            <w:pPr>
              <w:rPr>
                <w:rFonts w:ascii="Book Antiqua" w:eastAsia="Calibri" w:hAnsi="Book Antiqua"/>
                <w:kern w:val="2"/>
                <w:lang w:val="en-PH" w:eastAsia="en-PH"/>
              </w:rPr>
            </w:pPr>
          </w:p>
        </w:tc>
        <w:tc>
          <w:tcPr>
            <w:tcW w:w="2565" w:type="dxa"/>
            <w:vAlign w:val="center"/>
          </w:tcPr>
          <w:p w14:paraId="5EE17BBA" w14:textId="77777777" w:rsidR="00906F8D" w:rsidRPr="00906F8D" w:rsidRDefault="00906F8D" w:rsidP="00906F8D">
            <w:pPr>
              <w:jc w:val="both"/>
              <w:rPr>
                <w:rFonts w:ascii="Book Antiqua" w:eastAsia="Calibri" w:hAnsi="Book Antiqua"/>
                <w:kern w:val="2"/>
                <w:lang w:val="en-PH" w:eastAsia="en-PH"/>
              </w:rPr>
            </w:pPr>
          </w:p>
        </w:tc>
        <w:tc>
          <w:tcPr>
            <w:tcW w:w="0" w:type="auto"/>
            <w:vAlign w:val="center"/>
          </w:tcPr>
          <w:p w14:paraId="0B5489D5" w14:textId="77777777" w:rsidR="00906F8D" w:rsidRPr="00906F8D" w:rsidRDefault="00906F8D" w:rsidP="00906F8D">
            <w:pPr>
              <w:jc w:val="center"/>
              <w:rPr>
                <w:rFonts w:ascii="Book Antiqua" w:eastAsia="Calibri" w:hAnsi="Book Antiqua"/>
                <w:kern w:val="2"/>
                <w:lang w:val="en-PH" w:eastAsia="en-PH"/>
              </w:rPr>
            </w:pPr>
          </w:p>
        </w:tc>
        <w:tc>
          <w:tcPr>
            <w:tcW w:w="0" w:type="auto"/>
            <w:vAlign w:val="center"/>
          </w:tcPr>
          <w:p w14:paraId="45385C23" w14:textId="77777777" w:rsidR="00906F8D" w:rsidRPr="00906F8D" w:rsidRDefault="00906F8D" w:rsidP="00906F8D">
            <w:pPr>
              <w:jc w:val="center"/>
              <w:rPr>
                <w:rFonts w:ascii="Book Antiqua" w:eastAsia="Calibri" w:hAnsi="Book Antiqua"/>
                <w:kern w:val="2"/>
                <w:lang w:val="en-PH" w:eastAsia="en-PH"/>
              </w:rPr>
            </w:pPr>
          </w:p>
        </w:tc>
        <w:tc>
          <w:tcPr>
            <w:tcW w:w="0" w:type="auto"/>
            <w:vAlign w:val="center"/>
          </w:tcPr>
          <w:p w14:paraId="1E33878E" w14:textId="77777777" w:rsidR="00906F8D" w:rsidRPr="00906F8D" w:rsidRDefault="00906F8D" w:rsidP="00906F8D">
            <w:pPr>
              <w:jc w:val="center"/>
              <w:rPr>
                <w:rFonts w:ascii="Book Antiqua" w:eastAsia="Calibri" w:hAnsi="Book Antiqua"/>
                <w:kern w:val="2"/>
                <w:lang w:val="en-PH" w:eastAsia="en-PH"/>
              </w:rPr>
            </w:pPr>
          </w:p>
        </w:tc>
        <w:tc>
          <w:tcPr>
            <w:tcW w:w="0" w:type="auto"/>
            <w:vAlign w:val="center"/>
            <w:hideMark/>
          </w:tcPr>
          <w:p w14:paraId="39E40816" w14:textId="77777777" w:rsidR="00906F8D" w:rsidRPr="00906F8D" w:rsidRDefault="00906F8D" w:rsidP="00906F8D">
            <w:pPr>
              <w:jc w:val="center"/>
              <w:rPr>
                <w:rFonts w:ascii="Book Antiqua" w:eastAsia="Calibri" w:hAnsi="Book Antiqua"/>
                <w:kern w:val="2"/>
                <w:lang w:val="en-PH" w:eastAsia="en-PH"/>
              </w:rPr>
            </w:pPr>
          </w:p>
        </w:tc>
      </w:tr>
      <w:tr w:rsidR="00906F8D" w:rsidRPr="00906F8D" w14:paraId="58EC511A" w14:textId="77777777" w:rsidTr="001357D6">
        <w:trPr>
          <w:tblCellSpacing w:w="15" w:type="dxa"/>
        </w:trPr>
        <w:tc>
          <w:tcPr>
            <w:tcW w:w="1935" w:type="dxa"/>
            <w:vAlign w:val="center"/>
            <w:hideMark/>
          </w:tcPr>
          <w:p w14:paraId="19B44A7D" w14:textId="77777777" w:rsidR="00906F8D" w:rsidRPr="00906F8D" w:rsidRDefault="00906F8D" w:rsidP="00906F8D">
            <w:pPr>
              <w:rPr>
                <w:rFonts w:ascii="Book Antiqua" w:eastAsia="Calibri" w:hAnsi="Book Antiqua"/>
                <w:kern w:val="2"/>
                <w:lang w:val="en-PH" w:eastAsia="en-PH"/>
              </w:rPr>
            </w:pPr>
            <w:r w:rsidRPr="00906F8D">
              <w:rPr>
                <w:rFonts w:ascii="Book Antiqua" w:eastAsia="Calibri" w:hAnsi="Book Antiqua"/>
                <w:kern w:val="2"/>
                <w:lang w:val="en-PH" w:eastAsia="en-PH"/>
              </w:rPr>
              <w:t>4. Perform Capping</w:t>
            </w:r>
          </w:p>
        </w:tc>
        <w:tc>
          <w:tcPr>
            <w:tcW w:w="2565" w:type="dxa"/>
            <w:vAlign w:val="center"/>
            <w:hideMark/>
          </w:tcPr>
          <w:p w14:paraId="349A4F63" w14:textId="77777777" w:rsidR="00906F8D" w:rsidRPr="00906F8D" w:rsidRDefault="00906F8D" w:rsidP="00906F8D">
            <w:pPr>
              <w:jc w:val="both"/>
              <w:rPr>
                <w:rFonts w:ascii="Book Antiqua" w:eastAsia="Calibri" w:hAnsi="Book Antiqua"/>
                <w:kern w:val="2"/>
                <w:lang w:val="en-PH" w:eastAsia="en-PH"/>
              </w:rPr>
            </w:pPr>
            <w:r w:rsidRPr="00906F8D">
              <w:rPr>
                <w:rFonts w:ascii="Book Antiqua" w:eastAsia="Calibri" w:hAnsi="Book Antiqua"/>
                <w:kern w:val="2"/>
                <w:lang w:val="en-PH" w:eastAsia="en-PH"/>
              </w:rPr>
              <w:t>4.1 Capping done according to WPS/specifications</w:t>
            </w:r>
          </w:p>
        </w:tc>
        <w:tc>
          <w:tcPr>
            <w:tcW w:w="0" w:type="auto"/>
            <w:vAlign w:val="center"/>
            <w:hideMark/>
          </w:tcPr>
          <w:p w14:paraId="1EE468BA"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15</w:t>
            </w:r>
          </w:p>
        </w:tc>
        <w:tc>
          <w:tcPr>
            <w:tcW w:w="0" w:type="auto"/>
            <w:vAlign w:val="center"/>
            <w:hideMark/>
          </w:tcPr>
          <w:p w14:paraId="3B92604B"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5</w:t>
            </w:r>
          </w:p>
        </w:tc>
        <w:tc>
          <w:tcPr>
            <w:tcW w:w="0" w:type="auto"/>
            <w:vAlign w:val="center"/>
            <w:hideMark/>
          </w:tcPr>
          <w:p w14:paraId="7984E3FA"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75%</w:t>
            </w:r>
          </w:p>
        </w:tc>
        <w:tc>
          <w:tcPr>
            <w:tcW w:w="0" w:type="auto"/>
            <w:vAlign w:val="center"/>
            <w:hideMark/>
          </w:tcPr>
          <w:p w14:paraId="7A2AD9A4" w14:textId="77777777" w:rsidR="00906F8D" w:rsidRPr="00906F8D" w:rsidRDefault="00906F8D" w:rsidP="00906F8D">
            <w:pPr>
              <w:jc w:val="center"/>
              <w:rPr>
                <w:rFonts w:ascii="Book Antiqua" w:eastAsia="Calibri" w:hAnsi="Book Antiqua"/>
                <w:kern w:val="2"/>
                <w:lang w:val="en-PH" w:eastAsia="en-PH"/>
              </w:rPr>
            </w:pPr>
          </w:p>
        </w:tc>
      </w:tr>
      <w:tr w:rsidR="00906F8D" w:rsidRPr="00906F8D" w14:paraId="66A77900" w14:textId="77777777" w:rsidTr="001357D6">
        <w:trPr>
          <w:tblCellSpacing w:w="15" w:type="dxa"/>
        </w:trPr>
        <w:tc>
          <w:tcPr>
            <w:tcW w:w="1935" w:type="dxa"/>
            <w:vAlign w:val="center"/>
            <w:hideMark/>
          </w:tcPr>
          <w:p w14:paraId="7CF03B44" w14:textId="77777777" w:rsidR="00906F8D" w:rsidRPr="00906F8D" w:rsidRDefault="00906F8D" w:rsidP="00906F8D">
            <w:pPr>
              <w:rPr>
                <w:rFonts w:ascii="Book Antiqua" w:eastAsia="Calibri" w:hAnsi="Book Antiqua"/>
                <w:kern w:val="2"/>
                <w:lang w:val="en-PH" w:eastAsia="en-PH"/>
              </w:rPr>
            </w:pPr>
          </w:p>
        </w:tc>
        <w:tc>
          <w:tcPr>
            <w:tcW w:w="2565" w:type="dxa"/>
            <w:vAlign w:val="center"/>
            <w:hideMark/>
          </w:tcPr>
          <w:p w14:paraId="271EA454" w14:textId="77777777" w:rsidR="00906F8D" w:rsidRPr="00906F8D" w:rsidRDefault="00906F8D" w:rsidP="00906F8D">
            <w:pPr>
              <w:jc w:val="both"/>
              <w:rPr>
                <w:rFonts w:ascii="Book Antiqua" w:eastAsia="Calibri" w:hAnsi="Book Antiqua"/>
                <w:kern w:val="2"/>
                <w:lang w:val="en-PH" w:eastAsia="en-PH"/>
              </w:rPr>
            </w:pPr>
            <w:r w:rsidRPr="00906F8D">
              <w:rPr>
                <w:rFonts w:ascii="Book Antiqua" w:eastAsia="Calibri" w:hAnsi="Book Antiqua"/>
                <w:kern w:val="2"/>
                <w:lang w:val="en-PH" w:eastAsia="en-PH"/>
              </w:rPr>
              <w:t>4.2 Weld checked and repaired if needed</w:t>
            </w:r>
          </w:p>
        </w:tc>
        <w:tc>
          <w:tcPr>
            <w:tcW w:w="0" w:type="auto"/>
            <w:vAlign w:val="center"/>
            <w:hideMark/>
          </w:tcPr>
          <w:p w14:paraId="5D92F179"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17</w:t>
            </w:r>
          </w:p>
        </w:tc>
        <w:tc>
          <w:tcPr>
            <w:tcW w:w="0" w:type="auto"/>
            <w:vAlign w:val="center"/>
            <w:hideMark/>
          </w:tcPr>
          <w:p w14:paraId="69468951"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4</w:t>
            </w:r>
          </w:p>
        </w:tc>
        <w:tc>
          <w:tcPr>
            <w:tcW w:w="0" w:type="auto"/>
            <w:vAlign w:val="center"/>
            <w:hideMark/>
          </w:tcPr>
          <w:p w14:paraId="520EEAE0"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85%</w:t>
            </w:r>
          </w:p>
        </w:tc>
        <w:tc>
          <w:tcPr>
            <w:tcW w:w="0" w:type="auto"/>
            <w:vAlign w:val="center"/>
            <w:hideMark/>
          </w:tcPr>
          <w:p w14:paraId="21557648" w14:textId="77777777" w:rsidR="00906F8D" w:rsidRPr="00906F8D" w:rsidRDefault="00906F8D" w:rsidP="00906F8D">
            <w:pPr>
              <w:jc w:val="center"/>
              <w:rPr>
                <w:rFonts w:ascii="Book Antiqua" w:eastAsia="Calibri" w:hAnsi="Book Antiqua"/>
                <w:kern w:val="2"/>
                <w:lang w:val="en-PH" w:eastAsia="en-PH"/>
              </w:rPr>
            </w:pPr>
          </w:p>
        </w:tc>
      </w:tr>
      <w:tr w:rsidR="00906F8D" w:rsidRPr="00906F8D" w14:paraId="1DF2798E" w14:textId="77777777" w:rsidTr="001357D6">
        <w:trPr>
          <w:tblCellSpacing w:w="15" w:type="dxa"/>
        </w:trPr>
        <w:tc>
          <w:tcPr>
            <w:tcW w:w="1935" w:type="dxa"/>
            <w:vAlign w:val="center"/>
            <w:hideMark/>
          </w:tcPr>
          <w:p w14:paraId="41D9F4D4" w14:textId="77777777" w:rsidR="00906F8D" w:rsidRPr="00906F8D" w:rsidRDefault="00906F8D" w:rsidP="00906F8D">
            <w:pPr>
              <w:rPr>
                <w:rFonts w:ascii="Book Antiqua" w:eastAsia="Calibri" w:hAnsi="Book Antiqua"/>
                <w:kern w:val="2"/>
                <w:lang w:val="en-PH" w:eastAsia="en-PH"/>
              </w:rPr>
            </w:pPr>
          </w:p>
        </w:tc>
        <w:tc>
          <w:tcPr>
            <w:tcW w:w="2565" w:type="dxa"/>
            <w:vAlign w:val="center"/>
            <w:hideMark/>
          </w:tcPr>
          <w:p w14:paraId="61923E35" w14:textId="77777777" w:rsidR="00906F8D" w:rsidRPr="00906F8D" w:rsidRDefault="00906F8D" w:rsidP="00906F8D">
            <w:pPr>
              <w:jc w:val="both"/>
              <w:rPr>
                <w:rFonts w:ascii="Book Antiqua" w:eastAsia="Calibri" w:hAnsi="Book Antiqua"/>
                <w:kern w:val="2"/>
                <w:lang w:val="en-PH" w:eastAsia="en-PH"/>
              </w:rPr>
            </w:pPr>
            <w:r w:rsidRPr="00906F8D">
              <w:rPr>
                <w:rFonts w:ascii="Book Antiqua" w:eastAsia="Calibri" w:hAnsi="Book Antiqua"/>
                <w:kern w:val="2"/>
                <w:lang w:val="en-PH" w:eastAsia="en-PH"/>
              </w:rPr>
              <w:t>4.3 Weld acceptable based on standards</w:t>
            </w:r>
          </w:p>
        </w:tc>
        <w:tc>
          <w:tcPr>
            <w:tcW w:w="0" w:type="auto"/>
            <w:vAlign w:val="center"/>
            <w:hideMark/>
          </w:tcPr>
          <w:p w14:paraId="42696540"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16</w:t>
            </w:r>
          </w:p>
        </w:tc>
        <w:tc>
          <w:tcPr>
            <w:tcW w:w="0" w:type="auto"/>
            <w:vAlign w:val="center"/>
            <w:hideMark/>
          </w:tcPr>
          <w:p w14:paraId="605E149A"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4</w:t>
            </w:r>
          </w:p>
        </w:tc>
        <w:tc>
          <w:tcPr>
            <w:tcW w:w="0" w:type="auto"/>
            <w:vAlign w:val="center"/>
            <w:hideMark/>
          </w:tcPr>
          <w:p w14:paraId="1449354F"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80%</w:t>
            </w:r>
          </w:p>
        </w:tc>
        <w:tc>
          <w:tcPr>
            <w:tcW w:w="0" w:type="auto"/>
            <w:vAlign w:val="center"/>
            <w:hideMark/>
          </w:tcPr>
          <w:p w14:paraId="578ED79D" w14:textId="77777777" w:rsidR="00906F8D" w:rsidRPr="00906F8D" w:rsidRDefault="00906F8D" w:rsidP="00906F8D">
            <w:pPr>
              <w:jc w:val="center"/>
              <w:rPr>
                <w:rFonts w:ascii="Book Antiqua" w:eastAsia="Calibri" w:hAnsi="Book Antiqua"/>
                <w:kern w:val="2"/>
                <w:lang w:val="en-PH" w:eastAsia="en-PH"/>
              </w:rPr>
            </w:pPr>
          </w:p>
        </w:tc>
      </w:tr>
      <w:tr w:rsidR="00906F8D" w:rsidRPr="00906F8D" w14:paraId="696A34E7" w14:textId="77777777" w:rsidTr="001357D6">
        <w:trPr>
          <w:tblCellSpacing w:w="15" w:type="dxa"/>
        </w:trPr>
        <w:tc>
          <w:tcPr>
            <w:tcW w:w="1935" w:type="dxa"/>
            <w:vAlign w:val="center"/>
          </w:tcPr>
          <w:p w14:paraId="7A2DF60D" w14:textId="77777777" w:rsidR="00906F8D" w:rsidRPr="00906F8D" w:rsidRDefault="00906F8D" w:rsidP="00906F8D">
            <w:pPr>
              <w:rPr>
                <w:rFonts w:ascii="Book Antiqua" w:eastAsia="Calibri" w:hAnsi="Book Antiqua"/>
                <w:kern w:val="2"/>
                <w:lang w:val="en-PH" w:eastAsia="en-PH"/>
              </w:rPr>
            </w:pPr>
          </w:p>
        </w:tc>
        <w:tc>
          <w:tcPr>
            <w:tcW w:w="2565" w:type="dxa"/>
            <w:vAlign w:val="center"/>
          </w:tcPr>
          <w:p w14:paraId="50455D23" w14:textId="77777777" w:rsidR="00906F8D" w:rsidRPr="00906F8D" w:rsidRDefault="00906F8D" w:rsidP="00906F8D">
            <w:pPr>
              <w:rPr>
                <w:rFonts w:ascii="Book Antiqua" w:eastAsia="Calibri" w:hAnsi="Book Antiqua"/>
                <w:kern w:val="2"/>
                <w:lang w:val="en-PH" w:eastAsia="en-PH"/>
              </w:rPr>
            </w:pPr>
          </w:p>
        </w:tc>
        <w:tc>
          <w:tcPr>
            <w:tcW w:w="0" w:type="auto"/>
            <w:vAlign w:val="center"/>
          </w:tcPr>
          <w:p w14:paraId="1012F0D8" w14:textId="77777777" w:rsidR="00906F8D" w:rsidRPr="00906F8D" w:rsidRDefault="00906F8D" w:rsidP="00906F8D">
            <w:pPr>
              <w:jc w:val="center"/>
              <w:rPr>
                <w:rFonts w:ascii="Book Antiqua" w:eastAsia="Calibri" w:hAnsi="Book Antiqua"/>
                <w:kern w:val="2"/>
                <w:lang w:val="en-PH" w:eastAsia="en-PH"/>
              </w:rPr>
            </w:pPr>
          </w:p>
        </w:tc>
        <w:tc>
          <w:tcPr>
            <w:tcW w:w="0" w:type="auto"/>
            <w:vAlign w:val="center"/>
          </w:tcPr>
          <w:p w14:paraId="41AE3BE0" w14:textId="77777777" w:rsidR="00906F8D" w:rsidRPr="00906F8D" w:rsidRDefault="00906F8D" w:rsidP="00906F8D">
            <w:pPr>
              <w:jc w:val="center"/>
              <w:rPr>
                <w:rFonts w:ascii="Book Antiqua" w:eastAsia="Calibri" w:hAnsi="Book Antiqua"/>
                <w:kern w:val="2"/>
                <w:lang w:val="en-PH" w:eastAsia="en-PH"/>
              </w:rPr>
            </w:pPr>
          </w:p>
        </w:tc>
        <w:tc>
          <w:tcPr>
            <w:tcW w:w="0" w:type="auto"/>
            <w:vAlign w:val="center"/>
          </w:tcPr>
          <w:p w14:paraId="543BDD0F" w14:textId="77777777" w:rsidR="00906F8D" w:rsidRPr="00906F8D" w:rsidRDefault="00906F8D" w:rsidP="00906F8D">
            <w:pPr>
              <w:jc w:val="center"/>
              <w:rPr>
                <w:rFonts w:ascii="Book Antiqua" w:eastAsia="Calibri" w:hAnsi="Book Antiqua"/>
                <w:kern w:val="2"/>
                <w:lang w:val="en-PH" w:eastAsia="en-PH"/>
              </w:rPr>
            </w:pPr>
          </w:p>
        </w:tc>
        <w:tc>
          <w:tcPr>
            <w:tcW w:w="0" w:type="auto"/>
            <w:vAlign w:val="center"/>
            <w:hideMark/>
          </w:tcPr>
          <w:p w14:paraId="179C7CBE" w14:textId="77777777" w:rsidR="00906F8D" w:rsidRPr="00906F8D" w:rsidRDefault="00906F8D" w:rsidP="00906F8D">
            <w:pPr>
              <w:jc w:val="center"/>
              <w:rPr>
                <w:rFonts w:ascii="Book Antiqua" w:eastAsia="Calibri" w:hAnsi="Book Antiqua"/>
                <w:kern w:val="2"/>
                <w:lang w:val="en-PH" w:eastAsia="en-PH"/>
              </w:rPr>
            </w:pPr>
            <w:r w:rsidRPr="00906F8D">
              <w:rPr>
                <w:rFonts w:ascii="Book Antiqua" w:eastAsia="Calibri" w:hAnsi="Book Antiqua"/>
                <w:kern w:val="2"/>
                <w:lang w:val="en-PH" w:eastAsia="en-PH"/>
              </w:rPr>
              <w:t>Least Mastered</w:t>
            </w:r>
          </w:p>
        </w:tc>
      </w:tr>
    </w:tbl>
    <w:p w14:paraId="2AE5DD1C" w14:textId="77777777" w:rsidR="00376BBE" w:rsidRDefault="00376BBE" w:rsidP="00441B6F">
      <w:pPr>
        <w:pStyle w:val="Body"/>
        <w:spacing w:after="0"/>
        <w:rPr>
          <w:rFonts w:ascii="Arial" w:hAnsi="Arial" w:cs="Arial"/>
        </w:rPr>
      </w:pPr>
    </w:p>
    <w:p w14:paraId="5E572164" w14:textId="77777777" w:rsidR="00906F8D" w:rsidRPr="00906F8D" w:rsidRDefault="00906F8D" w:rsidP="00906F8D">
      <w:pPr>
        <w:jc w:val="both"/>
        <w:rPr>
          <w:rFonts w:ascii="Book Antiqua" w:eastAsia="Book Antiqua" w:hAnsi="Book Antiqua" w:cs="Book Antiqua"/>
          <w:color w:val="000000"/>
        </w:rPr>
      </w:pPr>
      <w:r w:rsidRPr="00906F8D">
        <w:rPr>
          <w:rFonts w:ascii="Book Antiqua" w:eastAsia="Book Antiqua" w:hAnsi="Book Antiqua" w:cs="Book Antiqua"/>
          <w:color w:val="000000"/>
        </w:rPr>
        <w:t>These results suggest the need for targeted training interventions focusing on the least mastered competencies. Enhancing instructional strategies such as increased hands-on practice, guided demonstrations, and focused remediation sessions can help improve student performance in these critical areas. By addressing these specific gaps, training programs can better ensure that students not only achieve certification but also develop a higher level of skill mastery aligned with industry standards.</w:t>
      </w:r>
    </w:p>
    <w:p w14:paraId="4FA8D1E5" w14:textId="77777777" w:rsidR="00906F8D" w:rsidRPr="00906F8D" w:rsidRDefault="00906F8D" w:rsidP="00906F8D">
      <w:pPr>
        <w:jc w:val="both"/>
        <w:rPr>
          <w:rFonts w:ascii="Book Antiqua" w:eastAsia="Book Antiqua" w:hAnsi="Book Antiqua" w:cs="Book Antiqua"/>
          <w:color w:val="000000"/>
        </w:rPr>
      </w:pPr>
    </w:p>
    <w:p w14:paraId="1A890C7E" w14:textId="77777777" w:rsidR="00906F8D" w:rsidRPr="00906F8D" w:rsidRDefault="00906F8D" w:rsidP="00906F8D">
      <w:pPr>
        <w:jc w:val="both"/>
        <w:rPr>
          <w:rFonts w:ascii="Book Antiqua" w:eastAsia="Book Antiqua" w:hAnsi="Book Antiqua" w:cs="Book Antiqua"/>
          <w:color w:val="000000"/>
        </w:rPr>
      </w:pPr>
    </w:p>
    <w:p w14:paraId="16B1107F" w14:textId="77777777" w:rsidR="00906F8D" w:rsidRPr="00906F8D" w:rsidRDefault="00906F8D" w:rsidP="00906F8D">
      <w:pPr>
        <w:jc w:val="both"/>
        <w:rPr>
          <w:rFonts w:ascii="Book Antiqua" w:eastAsia="Book Antiqua" w:hAnsi="Book Antiqua" w:cs="Book Antiqua"/>
          <w:color w:val="000000"/>
        </w:rPr>
      </w:pPr>
    </w:p>
    <w:p w14:paraId="01756AA1" w14:textId="008887AD" w:rsidR="00906F8D" w:rsidRDefault="00C30A0F" w:rsidP="00906F8D">
      <w:pPr>
        <w:pStyle w:val="NoSpacing"/>
        <w:ind w:firstLine="0"/>
        <w:rPr>
          <w:rFonts w:ascii="Arial" w:hAnsi="Arial" w:cs="Arial"/>
          <w:b/>
          <w:i/>
          <w:iCs/>
          <w:sz w:val="22"/>
        </w:rPr>
      </w:pPr>
      <w:r>
        <w:rPr>
          <w:rFonts w:ascii="Arial" w:hAnsi="Arial" w:cs="Arial"/>
          <w:b/>
          <w:caps/>
          <w:sz w:val="22"/>
        </w:rPr>
        <w:t>3</w:t>
      </w:r>
      <w:r w:rsidRPr="00C30A0F">
        <w:rPr>
          <w:rFonts w:ascii="Arial" w:hAnsi="Arial" w:cs="Arial"/>
          <w:b/>
          <w:caps/>
          <w:sz w:val="22"/>
        </w:rPr>
        <w:t xml:space="preserve">.1 </w:t>
      </w:r>
      <w:r w:rsidR="00906F8D" w:rsidRPr="00906F8D">
        <w:rPr>
          <w:rFonts w:ascii="Arial" w:hAnsi="Arial" w:cs="Arial"/>
          <w:b/>
          <w:i/>
          <w:iCs/>
          <w:sz w:val="22"/>
        </w:rPr>
        <w:t>Training Enhancement Plan</w:t>
      </w:r>
    </w:p>
    <w:p w14:paraId="10C9AA47" w14:textId="1BB282FE" w:rsidR="00906F8D" w:rsidRDefault="00906F8D" w:rsidP="00906F8D">
      <w:pPr>
        <w:pStyle w:val="NoSpacing"/>
        <w:ind w:firstLine="0"/>
        <w:rPr>
          <w:rFonts w:ascii="Arial" w:hAnsi="Arial" w:cs="Arial"/>
          <w:b/>
          <w:i/>
          <w:iCs/>
          <w:sz w:val="22"/>
        </w:rPr>
      </w:pPr>
    </w:p>
    <w:p w14:paraId="4D9D1194" w14:textId="77777777" w:rsidR="00906F8D" w:rsidRPr="00906F8D" w:rsidRDefault="00906F8D" w:rsidP="00906F8D">
      <w:pPr>
        <w:ind w:right="49"/>
        <w:jc w:val="both"/>
        <w:rPr>
          <w:rFonts w:ascii="Book Antiqua" w:eastAsia="Book Antiqua" w:hAnsi="Book Antiqua" w:cs="Book Antiqua"/>
          <w:color w:val="000000"/>
          <w:szCs w:val="22"/>
        </w:rPr>
      </w:pPr>
      <w:r w:rsidRPr="00906F8D">
        <w:rPr>
          <w:rFonts w:ascii="Book Antiqua" w:eastAsia="Book Antiqua" w:hAnsi="Book Antiqua" w:cs="Book Antiqua"/>
          <w:color w:val="000000"/>
          <w:szCs w:val="22"/>
        </w:rPr>
        <w:t xml:space="preserve">Table 3 presents the proposed intervention is a strategic Training Enhancement Plan designed to address specific technical gaps in Shielded Metal Arc Welding (SMAW) instruction. The primary focus of this plan is to improve precision and consistency in the root pass and capping stages, which are currently identified as areas where learners lack mastery. By focusing on these high-stakes competencies, the program aims to shift from a general assessment-based approach to a more rigorous, industry-aligned training model. This initiative seeks to ensure that every graduate does not just meet the basic requirements of TESDA NC II standards but demonstrates the structural integrity and visual quality required for immediate workplace readiness. The intervention operates through three core strategies; the targeted skill development, curriculum enhancement, and industry alignment. Under Targeted Skills Development, the plan introduces intensive, competency-focused practice sessions such as arc striking and bead control, complemented by </w:t>
      </w:r>
      <w:r w:rsidRPr="00906F8D">
        <w:rPr>
          <w:rFonts w:ascii="Book Antiqua" w:eastAsia="Book Antiqua" w:hAnsi="Book Antiqua" w:cs="Book Antiqua"/>
          <w:color w:val="000000"/>
          <w:szCs w:val="22"/>
        </w:rPr>
        <w:lastRenderedPageBreak/>
        <w:t>simulation-based training and real-time feedback. To support this, the Curriculum Enhancement strategy proposes a restructured training sequence that prioritizes the most challenging competencies and includes repetitive skill drills to ensure mastery. The discussion emphasizes that true competency goes beyond merely passing a test; it requires a depth of skill mastery achieved through continuous feedback and mentorship. Ultimately, these efforts are expected to lead to increased employability, reduced errors in actual welding tasks, and long-term retention of core welding skills.</w:t>
      </w:r>
    </w:p>
    <w:p w14:paraId="1DB8331C" w14:textId="77777777" w:rsidR="00906F8D" w:rsidRDefault="00906F8D" w:rsidP="00906F8D">
      <w:pPr>
        <w:ind w:right="49"/>
        <w:jc w:val="both"/>
        <w:rPr>
          <w:rFonts w:ascii="Book Antiqua" w:eastAsia="Book Antiqua" w:hAnsi="Book Antiqua" w:cs="Book Antiqua"/>
          <w:color w:val="000000"/>
          <w:szCs w:val="22"/>
          <w:lang w:val="en-PH" w:eastAsia="en-PH"/>
        </w:rPr>
      </w:pPr>
    </w:p>
    <w:p w14:paraId="3379A8C7" w14:textId="159F192B" w:rsidR="008220A4" w:rsidRPr="00906F8D" w:rsidRDefault="008220A4" w:rsidP="00906F8D">
      <w:pPr>
        <w:ind w:right="49"/>
        <w:jc w:val="both"/>
        <w:rPr>
          <w:rFonts w:ascii="Book Antiqua" w:eastAsia="Book Antiqua" w:hAnsi="Book Antiqua" w:cs="Book Antiqua"/>
          <w:color w:val="000000"/>
          <w:szCs w:val="22"/>
          <w:lang w:val="en-PH" w:eastAsia="en-PH"/>
        </w:rPr>
      </w:pPr>
      <w:r>
        <w:rPr>
          <w:rFonts w:ascii="Book Antiqua" w:eastAsia="Book Antiqua" w:hAnsi="Book Antiqua" w:cs="Book Antiqua"/>
          <w:color w:val="000000"/>
          <w:szCs w:val="22"/>
          <w:lang w:val="en-PH" w:eastAsia="en-PH"/>
        </w:rPr>
        <w:t>Table 3.</w:t>
      </w:r>
      <w:r w:rsidR="00B40552">
        <w:rPr>
          <w:rFonts w:ascii="Book Antiqua" w:eastAsia="Book Antiqua" w:hAnsi="Book Antiqua" w:cs="Book Antiqua"/>
          <w:color w:val="000000"/>
          <w:szCs w:val="22"/>
          <w:lang w:val="en-PH" w:eastAsia="en-PH"/>
        </w:rPr>
        <w:t xml:space="preserve"> Outcomes of Multiple </w:t>
      </w:r>
      <w:r w:rsidR="00B40552" w:rsidRPr="00906F8D">
        <w:rPr>
          <w:rFonts w:ascii="Book Antiqua" w:eastAsia="Calibri" w:hAnsi="Book Antiqua"/>
          <w:kern w:val="2"/>
          <w:lang w:val="en-PH" w:eastAsia="en-PH"/>
        </w:rPr>
        <w:t>Interventions</w:t>
      </w:r>
    </w:p>
    <w:tbl>
      <w:tblPr>
        <w:tblW w:w="0" w:type="auto"/>
        <w:tblCellSpacing w:w="1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15" w:type="dxa"/>
          <w:left w:w="15" w:type="dxa"/>
          <w:bottom w:w="15" w:type="dxa"/>
          <w:right w:w="15" w:type="dxa"/>
        </w:tblCellMar>
        <w:tblLook w:val="04A0" w:firstRow="1" w:lastRow="0" w:firstColumn="1" w:lastColumn="0" w:noHBand="0" w:noVBand="1"/>
      </w:tblPr>
      <w:tblGrid>
        <w:gridCol w:w="1315"/>
        <w:gridCol w:w="1560"/>
        <w:gridCol w:w="2057"/>
        <w:gridCol w:w="1716"/>
        <w:gridCol w:w="1680"/>
      </w:tblGrid>
      <w:tr w:rsidR="00906F8D" w:rsidRPr="00906F8D" w14:paraId="63A79F7B" w14:textId="77777777" w:rsidTr="001357D6">
        <w:trPr>
          <w:tblHeader/>
          <w:tblCellSpacing w:w="15" w:type="dxa"/>
        </w:trPr>
        <w:tc>
          <w:tcPr>
            <w:tcW w:w="0" w:type="auto"/>
            <w:vAlign w:val="center"/>
            <w:hideMark/>
          </w:tcPr>
          <w:p w14:paraId="0BD84FB0" w14:textId="77777777" w:rsidR="00906F8D" w:rsidRPr="00906F8D" w:rsidRDefault="00906F8D" w:rsidP="00906F8D">
            <w:pPr>
              <w:ind w:right="49" w:firstLine="710"/>
              <w:jc w:val="both"/>
              <w:rPr>
                <w:rFonts w:ascii="Book Antiqua" w:eastAsia="Calibri" w:hAnsi="Book Antiqua"/>
                <w:kern w:val="2"/>
                <w:lang w:val="en-PH" w:eastAsia="en-PH"/>
              </w:rPr>
            </w:pPr>
            <w:r w:rsidRPr="00906F8D">
              <w:rPr>
                <w:rFonts w:ascii="Book Antiqua" w:eastAsia="Calibri" w:hAnsi="Book Antiqua"/>
                <w:kern w:val="2"/>
                <w:lang w:val="en-PH" w:eastAsia="en-PH"/>
              </w:rPr>
              <w:t>Focus Area</w:t>
            </w:r>
          </w:p>
        </w:tc>
        <w:tc>
          <w:tcPr>
            <w:tcW w:w="1687" w:type="dxa"/>
            <w:vAlign w:val="center"/>
            <w:hideMark/>
          </w:tcPr>
          <w:p w14:paraId="0475BD20" w14:textId="77777777" w:rsidR="00906F8D" w:rsidRPr="00906F8D" w:rsidRDefault="00906F8D" w:rsidP="00906F8D">
            <w:pPr>
              <w:ind w:right="49" w:firstLine="710"/>
              <w:jc w:val="both"/>
              <w:rPr>
                <w:rFonts w:ascii="Book Antiqua" w:eastAsia="Calibri" w:hAnsi="Book Antiqua"/>
                <w:kern w:val="2"/>
                <w:lang w:val="en-PH" w:eastAsia="en-PH"/>
              </w:rPr>
            </w:pPr>
            <w:r w:rsidRPr="00906F8D">
              <w:rPr>
                <w:rFonts w:ascii="Book Antiqua" w:eastAsia="Calibri" w:hAnsi="Book Antiqua"/>
                <w:kern w:val="2"/>
                <w:lang w:val="en-PH" w:eastAsia="en-PH"/>
              </w:rPr>
              <w:t>Identified Gaps / Challenges</w:t>
            </w:r>
          </w:p>
        </w:tc>
        <w:tc>
          <w:tcPr>
            <w:tcW w:w="2358" w:type="dxa"/>
            <w:vAlign w:val="center"/>
            <w:hideMark/>
          </w:tcPr>
          <w:p w14:paraId="33E53238" w14:textId="77777777" w:rsidR="00906F8D" w:rsidRPr="00906F8D" w:rsidRDefault="00906F8D" w:rsidP="00906F8D">
            <w:pPr>
              <w:ind w:right="49" w:firstLine="710"/>
              <w:jc w:val="both"/>
              <w:rPr>
                <w:rFonts w:ascii="Book Antiqua" w:eastAsia="Calibri" w:hAnsi="Book Antiqua"/>
                <w:kern w:val="2"/>
                <w:lang w:val="en-PH" w:eastAsia="en-PH"/>
              </w:rPr>
            </w:pPr>
            <w:r w:rsidRPr="00906F8D">
              <w:rPr>
                <w:rFonts w:ascii="Book Antiqua" w:eastAsia="Calibri" w:hAnsi="Book Antiqua"/>
                <w:kern w:val="2"/>
                <w:lang w:val="en-PH" w:eastAsia="en-PH"/>
              </w:rPr>
              <w:t>Proposed Strategies / Interventions</w:t>
            </w:r>
          </w:p>
        </w:tc>
        <w:tc>
          <w:tcPr>
            <w:tcW w:w="1903" w:type="dxa"/>
            <w:vAlign w:val="center"/>
            <w:hideMark/>
          </w:tcPr>
          <w:p w14:paraId="7AC44DA8" w14:textId="77777777" w:rsidR="00906F8D" w:rsidRPr="00906F8D" w:rsidRDefault="00906F8D" w:rsidP="00906F8D">
            <w:pPr>
              <w:ind w:right="49" w:firstLine="710"/>
              <w:jc w:val="both"/>
              <w:rPr>
                <w:rFonts w:ascii="Book Antiqua" w:eastAsia="Calibri" w:hAnsi="Book Antiqua"/>
                <w:kern w:val="2"/>
                <w:lang w:val="en-PH" w:eastAsia="en-PH"/>
              </w:rPr>
            </w:pPr>
            <w:r w:rsidRPr="00906F8D">
              <w:rPr>
                <w:rFonts w:ascii="Book Antiqua" w:eastAsia="Calibri" w:hAnsi="Book Antiqua"/>
                <w:kern w:val="2"/>
                <w:lang w:val="en-PH" w:eastAsia="en-PH"/>
              </w:rPr>
              <w:t>Expected Outcomes / Impact</w:t>
            </w:r>
          </w:p>
        </w:tc>
        <w:tc>
          <w:tcPr>
            <w:tcW w:w="1837" w:type="dxa"/>
            <w:vAlign w:val="center"/>
            <w:hideMark/>
          </w:tcPr>
          <w:p w14:paraId="57E41287" w14:textId="77777777" w:rsidR="00906F8D" w:rsidRPr="00906F8D" w:rsidRDefault="00906F8D" w:rsidP="00906F8D">
            <w:pPr>
              <w:ind w:right="49" w:firstLine="710"/>
              <w:jc w:val="both"/>
              <w:rPr>
                <w:rFonts w:ascii="Book Antiqua" w:eastAsia="Calibri" w:hAnsi="Book Antiqua"/>
                <w:kern w:val="2"/>
                <w:lang w:val="en-PH" w:eastAsia="en-PH"/>
              </w:rPr>
            </w:pPr>
            <w:r w:rsidRPr="00906F8D">
              <w:rPr>
                <w:rFonts w:ascii="Book Antiqua" w:eastAsia="Calibri" w:hAnsi="Book Antiqua"/>
                <w:kern w:val="2"/>
                <w:lang w:val="en-PH" w:eastAsia="en-PH"/>
              </w:rPr>
              <w:t>Alignment / Notes</w:t>
            </w:r>
          </w:p>
        </w:tc>
      </w:tr>
      <w:tr w:rsidR="00906F8D" w:rsidRPr="00906F8D" w14:paraId="14592D8E" w14:textId="77777777" w:rsidTr="001357D6">
        <w:trPr>
          <w:tblCellSpacing w:w="15" w:type="dxa"/>
        </w:trPr>
        <w:tc>
          <w:tcPr>
            <w:tcW w:w="0" w:type="auto"/>
            <w:vAlign w:val="center"/>
            <w:hideMark/>
          </w:tcPr>
          <w:p w14:paraId="309E14BD" w14:textId="77777777" w:rsidR="00906F8D" w:rsidRPr="00906F8D" w:rsidRDefault="00906F8D" w:rsidP="00906F8D">
            <w:pPr>
              <w:rPr>
                <w:rFonts w:ascii="Book Antiqua" w:eastAsia="Calibri" w:hAnsi="Book Antiqua"/>
                <w:kern w:val="2"/>
                <w:lang w:val="en-PH" w:eastAsia="en-PH"/>
              </w:rPr>
            </w:pPr>
            <w:r w:rsidRPr="00906F8D">
              <w:rPr>
                <w:rFonts w:ascii="Book Antiqua" w:eastAsia="Calibri" w:hAnsi="Book Antiqua"/>
                <w:kern w:val="2"/>
                <w:lang w:val="en-PH" w:eastAsia="en-PH"/>
              </w:rPr>
              <w:t>Targeted Skills Development</w:t>
            </w:r>
          </w:p>
        </w:tc>
        <w:tc>
          <w:tcPr>
            <w:tcW w:w="1687" w:type="dxa"/>
            <w:vAlign w:val="center"/>
            <w:hideMark/>
          </w:tcPr>
          <w:p w14:paraId="3B8E7572" w14:textId="77777777" w:rsidR="00906F8D" w:rsidRPr="00906F8D" w:rsidRDefault="00906F8D" w:rsidP="00906F8D">
            <w:pPr>
              <w:jc w:val="both"/>
              <w:rPr>
                <w:rFonts w:ascii="Book Antiqua" w:eastAsia="Calibri" w:hAnsi="Book Antiqua"/>
                <w:kern w:val="2"/>
                <w:lang w:val="en-PH" w:eastAsia="en-PH"/>
              </w:rPr>
            </w:pPr>
            <w:r w:rsidRPr="00906F8D">
              <w:rPr>
                <w:rFonts w:ascii="Book Antiqua" w:eastAsia="Calibri" w:hAnsi="Book Antiqua"/>
                <w:kern w:val="2"/>
                <w:lang w:val="en-PH" w:eastAsia="en-PH"/>
              </w:rPr>
              <w:t>Root pass and capping stages are less mastered; require precision, control, and consistency</w:t>
            </w:r>
          </w:p>
        </w:tc>
        <w:tc>
          <w:tcPr>
            <w:tcW w:w="2358" w:type="dxa"/>
            <w:vAlign w:val="center"/>
            <w:hideMark/>
          </w:tcPr>
          <w:p w14:paraId="633C67A2" w14:textId="77777777" w:rsidR="00906F8D" w:rsidRPr="00906F8D" w:rsidRDefault="00906F8D" w:rsidP="00906F8D">
            <w:pPr>
              <w:jc w:val="both"/>
              <w:rPr>
                <w:rFonts w:ascii="Book Antiqua" w:eastAsia="Calibri" w:hAnsi="Book Antiqua"/>
                <w:kern w:val="2"/>
                <w:lang w:val="en-PH" w:eastAsia="en-PH"/>
              </w:rPr>
            </w:pPr>
            <w:r w:rsidRPr="00906F8D">
              <w:rPr>
                <w:rFonts w:ascii="Book Antiqua" w:eastAsia="Calibri" w:hAnsi="Book Antiqua"/>
                <w:kern w:val="2"/>
                <w:lang w:val="en-PH" w:eastAsia="en-PH"/>
              </w:rPr>
              <w:t xml:space="preserve">-Intensive, competency-focused practice sessions (arc striking, electrode manipulation, bead control, finishing) </w:t>
            </w:r>
            <w:r w:rsidRPr="00906F8D">
              <w:rPr>
                <w:rFonts w:ascii="Book Antiqua" w:eastAsia="Calibri" w:hAnsi="Book Antiqua"/>
                <w:kern w:val="2"/>
                <w:lang w:val="en-PH" w:eastAsia="en-PH"/>
              </w:rPr>
              <w:br/>
              <w:t xml:space="preserve">- Supervised lab exercises with real-time feedback </w:t>
            </w:r>
            <w:r w:rsidRPr="00906F8D">
              <w:rPr>
                <w:rFonts w:ascii="Book Antiqua" w:eastAsia="Calibri" w:hAnsi="Book Antiqua"/>
                <w:kern w:val="2"/>
                <w:lang w:val="en-PH" w:eastAsia="en-PH"/>
              </w:rPr>
              <w:br/>
              <w:t xml:space="preserve">- Simulation-based training for controlled practice </w:t>
            </w:r>
            <w:r w:rsidRPr="00906F8D">
              <w:rPr>
                <w:rFonts w:ascii="Book Antiqua" w:eastAsia="Calibri" w:hAnsi="Book Antiqua"/>
                <w:kern w:val="2"/>
                <w:lang w:val="en-PH" w:eastAsia="en-PH"/>
              </w:rPr>
              <w:br/>
              <w:t>- Mentorship or peer-assisted learning programs</w:t>
            </w:r>
          </w:p>
        </w:tc>
        <w:tc>
          <w:tcPr>
            <w:tcW w:w="1903" w:type="dxa"/>
            <w:vAlign w:val="center"/>
            <w:hideMark/>
          </w:tcPr>
          <w:p w14:paraId="1F60AE29" w14:textId="77777777" w:rsidR="00906F8D" w:rsidRPr="00906F8D" w:rsidRDefault="00906F8D" w:rsidP="00906F8D">
            <w:pPr>
              <w:jc w:val="both"/>
              <w:rPr>
                <w:rFonts w:ascii="Book Antiqua" w:eastAsia="Calibri" w:hAnsi="Book Antiqua"/>
                <w:kern w:val="2"/>
                <w:lang w:val="en-PH" w:eastAsia="en-PH"/>
              </w:rPr>
            </w:pPr>
            <w:r w:rsidRPr="00906F8D">
              <w:rPr>
                <w:rFonts w:ascii="Book Antiqua" w:eastAsia="Calibri" w:hAnsi="Book Antiqua"/>
                <w:kern w:val="2"/>
                <w:lang w:val="en-PH" w:eastAsia="en-PH"/>
              </w:rPr>
              <w:t xml:space="preserve">- Improved precision and consistency in root pass and capping </w:t>
            </w:r>
            <w:r w:rsidRPr="00906F8D">
              <w:rPr>
                <w:rFonts w:ascii="Book Antiqua" w:eastAsia="Calibri" w:hAnsi="Book Antiqua"/>
                <w:kern w:val="2"/>
                <w:lang w:val="en-PH" w:eastAsia="en-PH"/>
              </w:rPr>
              <w:br/>
              <w:t xml:space="preserve">- Reduced errors during actual welding </w:t>
            </w:r>
            <w:r w:rsidRPr="00906F8D">
              <w:rPr>
                <w:rFonts w:ascii="Book Antiqua" w:eastAsia="Calibri" w:hAnsi="Book Antiqua"/>
                <w:kern w:val="2"/>
                <w:lang w:val="en-PH" w:eastAsia="en-PH"/>
              </w:rPr>
              <w:br/>
              <w:t>- Increased learner confidence and skill acquisition</w:t>
            </w:r>
          </w:p>
        </w:tc>
        <w:tc>
          <w:tcPr>
            <w:tcW w:w="1837" w:type="dxa"/>
            <w:vAlign w:val="center"/>
            <w:hideMark/>
          </w:tcPr>
          <w:p w14:paraId="5B061B7B" w14:textId="77777777" w:rsidR="00906F8D" w:rsidRPr="00906F8D" w:rsidRDefault="00906F8D" w:rsidP="00906F8D">
            <w:pPr>
              <w:jc w:val="both"/>
              <w:rPr>
                <w:rFonts w:ascii="Book Antiqua" w:eastAsia="Calibri" w:hAnsi="Book Antiqua"/>
                <w:kern w:val="2"/>
                <w:lang w:val="en-PH" w:eastAsia="en-PH"/>
              </w:rPr>
            </w:pPr>
            <w:r w:rsidRPr="00906F8D">
              <w:rPr>
                <w:rFonts w:ascii="Book Antiqua" w:eastAsia="Calibri" w:hAnsi="Book Antiqua"/>
                <w:kern w:val="2"/>
                <w:lang w:val="en-PH" w:eastAsia="en-PH"/>
              </w:rPr>
              <w:t>Supports learner-centered, hands-on development; addresses critical weak areas directly</w:t>
            </w:r>
          </w:p>
        </w:tc>
      </w:tr>
      <w:tr w:rsidR="00906F8D" w:rsidRPr="00906F8D" w14:paraId="6615E1BD" w14:textId="77777777" w:rsidTr="001357D6">
        <w:trPr>
          <w:tblCellSpacing w:w="15" w:type="dxa"/>
        </w:trPr>
        <w:tc>
          <w:tcPr>
            <w:tcW w:w="0" w:type="auto"/>
            <w:vAlign w:val="center"/>
            <w:hideMark/>
          </w:tcPr>
          <w:p w14:paraId="3C355B55" w14:textId="77777777" w:rsidR="00906F8D" w:rsidRPr="00906F8D" w:rsidRDefault="00906F8D" w:rsidP="00906F8D">
            <w:pPr>
              <w:rPr>
                <w:rFonts w:ascii="Book Antiqua" w:eastAsia="Calibri" w:hAnsi="Book Antiqua"/>
                <w:kern w:val="2"/>
                <w:lang w:val="en-PH" w:eastAsia="en-PH"/>
              </w:rPr>
            </w:pPr>
            <w:r w:rsidRPr="00906F8D">
              <w:rPr>
                <w:rFonts w:ascii="Book Antiqua" w:eastAsia="Calibri" w:hAnsi="Book Antiqua"/>
                <w:kern w:val="2"/>
                <w:lang w:val="en-PH" w:eastAsia="en-PH"/>
              </w:rPr>
              <w:t>Curriculum Enhancement</w:t>
            </w:r>
          </w:p>
        </w:tc>
        <w:tc>
          <w:tcPr>
            <w:tcW w:w="1687" w:type="dxa"/>
            <w:vAlign w:val="center"/>
            <w:hideMark/>
          </w:tcPr>
          <w:p w14:paraId="65FD8EF0" w14:textId="77777777" w:rsidR="00906F8D" w:rsidRPr="00906F8D" w:rsidRDefault="00906F8D" w:rsidP="00906F8D">
            <w:pPr>
              <w:jc w:val="both"/>
              <w:rPr>
                <w:rFonts w:ascii="Book Antiqua" w:eastAsia="Calibri" w:hAnsi="Book Antiqua"/>
                <w:kern w:val="2"/>
                <w:lang w:val="en-PH" w:eastAsia="en-PH"/>
              </w:rPr>
            </w:pPr>
            <w:r w:rsidRPr="00906F8D">
              <w:rPr>
                <w:rFonts w:ascii="Book Antiqua" w:eastAsia="Calibri" w:hAnsi="Book Antiqua"/>
                <w:kern w:val="2"/>
                <w:lang w:val="en-PH" w:eastAsia="en-PH"/>
              </w:rPr>
              <w:t>Existing SMAW syllabus insufficient emphasis on challenging competencies</w:t>
            </w:r>
          </w:p>
        </w:tc>
        <w:tc>
          <w:tcPr>
            <w:tcW w:w="2358" w:type="dxa"/>
            <w:vAlign w:val="center"/>
            <w:hideMark/>
          </w:tcPr>
          <w:p w14:paraId="4B617CD5" w14:textId="77777777" w:rsidR="00906F8D" w:rsidRPr="00906F8D" w:rsidRDefault="00906F8D" w:rsidP="00906F8D">
            <w:pPr>
              <w:jc w:val="both"/>
              <w:rPr>
                <w:rFonts w:ascii="Book Antiqua" w:eastAsia="Calibri" w:hAnsi="Book Antiqua"/>
                <w:kern w:val="2"/>
                <w:lang w:val="en-PH" w:eastAsia="en-PH"/>
              </w:rPr>
            </w:pPr>
            <w:r w:rsidRPr="00906F8D">
              <w:rPr>
                <w:rFonts w:ascii="Book Antiqua" w:eastAsia="Calibri" w:hAnsi="Book Antiqua"/>
                <w:kern w:val="2"/>
                <w:lang w:val="en-PH" w:eastAsia="en-PH"/>
              </w:rPr>
              <w:t xml:space="preserve">- Restructure training sequence to prioritize root pass and capping </w:t>
            </w:r>
            <w:r w:rsidRPr="00906F8D">
              <w:rPr>
                <w:rFonts w:ascii="Book Antiqua" w:eastAsia="Calibri" w:hAnsi="Book Antiqua"/>
                <w:kern w:val="2"/>
                <w:lang w:val="en-PH" w:eastAsia="en-PH"/>
              </w:rPr>
              <w:br/>
              <w:t xml:space="preserve">- Additional hands-on exercises and repetitive skill drills </w:t>
            </w:r>
            <w:r w:rsidRPr="00906F8D">
              <w:rPr>
                <w:rFonts w:ascii="Book Antiqua" w:eastAsia="Calibri" w:hAnsi="Book Antiqua"/>
                <w:kern w:val="2"/>
                <w:lang w:val="en-PH" w:eastAsia="en-PH"/>
              </w:rPr>
              <w:br/>
              <w:t xml:space="preserve">- Step-by-step demonstrations and guided instruction </w:t>
            </w:r>
            <w:r w:rsidRPr="00906F8D">
              <w:rPr>
                <w:rFonts w:ascii="Book Antiqua" w:eastAsia="Calibri" w:hAnsi="Book Antiqua"/>
                <w:kern w:val="2"/>
                <w:lang w:val="en-PH" w:eastAsia="en-PH"/>
              </w:rPr>
              <w:br/>
              <w:t>- Formative assessment checkpoints throughout program</w:t>
            </w:r>
          </w:p>
        </w:tc>
        <w:tc>
          <w:tcPr>
            <w:tcW w:w="1903" w:type="dxa"/>
            <w:vAlign w:val="center"/>
            <w:hideMark/>
          </w:tcPr>
          <w:p w14:paraId="75FEC394" w14:textId="77777777" w:rsidR="00906F8D" w:rsidRPr="00906F8D" w:rsidRDefault="00906F8D" w:rsidP="00906F8D">
            <w:pPr>
              <w:jc w:val="both"/>
              <w:rPr>
                <w:rFonts w:ascii="Book Antiqua" w:eastAsia="Calibri" w:hAnsi="Book Antiqua"/>
                <w:kern w:val="2"/>
                <w:lang w:val="en-PH" w:eastAsia="en-PH"/>
              </w:rPr>
            </w:pPr>
            <w:r w:rsidRPr="00906F8D">
              <w:rPr>
                <w:rFonts w:ascii="Book Antiqua" w:eastAsia="Calibri" w:hAnsi="Book Antiqua"/>
                <w:kern w:val="2"/>
                <w:lang w:val="en-PH" w:eastAsia="en-PH"/>
              </w:rPr>
              <w:t xml:space="preserve">- Mastery of critical welding stages </w:t>
            </w:r>
            <w:r w:rsidRPr="00906F8D">
              <w:rPr>
                <w:rFonts w:ascii="Book Antiqua" w:eastAsia="Calibri" w:hAnsi="Book Antiqua"/>
                <w:kern w:val="2"/>
                <w:lang w:val="en-PH" w:eastAsia="en-PH"/>
              </w:rPr>
              <w:br/>
              <w:t xml:space="preserve">- Early identification of learning gaps </w:t>
            </w:r>
            <w:r w:rsidRPr="00906F8D">
              <w:rPr>
                <w:rFonts w:ascii="Book Antiqua" w:eastAsia="Calibri" w:hAnsi="Book Antiqua"/>
                <w:kern w:val="2"/>
                <w:lang w:val="en-PH" w:eastAsia="en-PH"/>
              </w:rPr>
              <w:br/>
              <w:t>- Timely remediation and progressive skill reinforcement</w:t>
            </w:r>
          </w:p>
        </w:tc>
        <w:tc>
          <w:tcPr>
            <w:tcW w:w="1837" w:type="dxa"/>
            <w:vAlign w:val="center"/>
            <w:hideMark/>
          </w:tcPr>
          <w:p w14:paraId="49A1FA8D" w14:textId="77777777" w:rsidR="00906F8D" w:rsidRPr="00906F8D" w:rsidRDefault="00906F8D" w:rsidP="00906F8D">
            <w:pPr>
              <w:jc w:val="both"/>
              <w:rPr>
                <w:rFonts w:ascii="Book Antiqua" w:eastAsia="Calibri" w:hAnsi="Book Antiqua"/>
                <w:kern w:val="2"/>
                <w:lang w:val="en-PH" w:eastAsia="en-PH"/>
              </w:rPr>
            </w:pPr>
            <w:r w:rsidRPr="00906F8D">
              <w:rPr>
                <w:rFonts w:ascii="Book Antiqua" w:eastAsia="Calibri" w:hAnsi="Book Antiqua"/>
                <w:kern w:val="2"/>
                <w:lang w:val="en-PH" w:eastAsia="en-PH"/>
              </w:rPr>
              <w:t>Aligns with evidence-based instructional design; ensures continuous competency monitoring</w:t>
            </w:r>
          </w:p>
        </w:tc>
      </w:tr>
      <w:tr w:rsidR="00906F8D" w:rsidRPr="00906F8D" w14:paraId="598C89A4" w14:textId="77777777" w:rsidTr="001357D6">
        <w:trPr>
          <w:tblCellSpacing w:w="15" w:type="dxa"/>
        </w:trPr>
        <w:tc>
          <w:tcPr>
            <w:tcW w:w="0" w:type="auto"/>
            <w:vAlign w:val="center"/>
            <w:hideMark/>
          </w:tcPr>
          <w:p w14:paraId="70820CCA" w14:textId="77777777" w:rsidR="00906F8D" w:rsidRPr="00906F8D" w:rsidRDefault="00906F8D" w:rsidP="00906F8D">
            <w:pPr>
              <w:rPr>
                <w:rFonts w:ascii="Book Antiqua" w:eastAsia="Calibri" w:hAnsi="Book Antiqua"/>
                <w:kern w:val="2"/>
                <w:lang w:val="en-PH" w:eastAsia="en-PH"/>
              </w:rPr>
            </w:pPr>
            <w:r w:rsidRPr="00906F8D">
              <w:rPr>
                <w:rFonts w:ascii="Book Antiqua" w:eastAsia="Calibri" w:hAnsi="Book Antiqua"/>
                <w:kern w:val="2"/>
                <w:lang w:val="en-PH" w:eastAsia="en-PH"/>
              </w:rPr>
              <w:t>Alignment with TESDA &amp; Industry Needs</w:t>
            </w:r>
          </w:p>
        </w:tc>
        <w:tc>
          <w:tcPr>
            <w:tcW w:w="1687" w:type="dxa"/>
            <w:vAlign w:val="center"/>
            <w:hideMark/>
          </w:tcPr>
          <w:p w14:paraId="48318842" w14:textId="77777777" w:rsidR="00906F8D" w:rsidRPr="00906F8D" w:rsidRDefault="00906F8D" w:rsidP="00906F8D">
            <w:pPr>
              <w:jc w:val="both"/>
              <w:rPr>
                <w:rFonts w:ascii="Book Antiqua" w:eastAsia="Calibri" w:hAnsi="Book Antiqua"/>
                <w:kern w:val="2"/>
                <w:lang w:val="en-PH" w:eastAsia="en-PH"/>
              </w:rPr>
            </w:pPr>
            <w:r w:rsidRPr="00906F8D">
              <w:rPr>
                <w:rFonts w:ascii="Book Antiqua" w:eastAsia="Calibri" w:hAnsi="Book Antiqua"/>
                <w:kern w:val="2"/>
                <w:lang w:val="en-PH" w:eastAsia="en-PH"/>
              </w:rPr>
              <w:t>Ensuring NC II competency translates to workplace readiness</w:t>
            </w:r>
          </w:p>
        </w:tc>
        <w:tc>
          <w:tcPr>
            <w:tcW w:w="2358" w:type="dxa"/>
            <w:vAlign w:val="center"/>
            <w:hideMark/>
          </w:tcPr>
          <w:p w14:paraId="2F4534F4" w14:textId="77777777" w:rsidR="00906F8D" w:rsidRPr="00906F8D" w:rsidRDefault="00906F8D" w:rsidP="00906F8D">
            <w:pPr>
              <w:jc w:val="both"/>
              <w:rPr>
                <w:rFonts w:ascii="Book Antiqua" w:eastAsia="Calibri" w:hAnsi="Book Antiqua"/>
                <w:kern w:val="2"/>
                <w:lang w:val="en-PH" w:eastAsia="en-PH"/>
              </w:rPr>
            </w:pPr>
            <w:r w:rsidRPr="00906F8D">
              <w:rPr>
                <w:rFonts w:ascii="Book Antiqua" w:eastAsia="Calibri" w:hAnsi="Book Antiqua"/>
                <w:kern w:val="2"/>
                <w:lang w:val="en-PH" w:eastAsia="en-PH"/>
              </w:rPr>
              <w:t xml:space="preserve">- Strengthen instruction to meet NC II competency standards </w:t>
            </w:r>
            <w:r w:rsidRPr="00906F8D">
              <w:rPr>
                <w:rFonts w:ascii="Book Antiqua" w:eastAsia="Calibri" w:hAnsi="Book Antiqua"/>
                <w:kern w:val="2"/>
                <w:lang w:val="en-PH" w:eastAsia="en-PH"/>
              </w:rPr>
              <w:br/>
              <w:t xml:space="preserve">- Focus on skill retention and employability relevance </w:t>
            </w:r>
            <w:r w:rsidRPr="00906F8D">
              <w:rPr>
                <w:rFonts w:ascii="Book Antiqua" w:eastAsia="Calibri" w:hAnsi="Book Antiqua"/>
                <w:kern w:val="2"/>
                <w:lang w:val="en-PH" w:eastAsia="en-PH"/>
              </w:rPr>
              <w:br/>
            </w:r>
            <w:r w:rsidRPr="00906F8D">
              <w:rPr>
                <w:rFonts w:ascii="Book Antiqua" w:eastAsia="Calibri" w:hAnsi="Book Antiqua"/>
                <w:kern w:val="2"/>
                <w:lang w:val="en-PH" w:eastAsia="en-PH"/>
              </w:rPr>
              <w:lastRenderedPageBreak/>
              <w:t>- Encourage advanced certification and adaptation to industry demands</w:t>
            </w:r>
          </w:p>
        </w:tc>
        <w:tc>
          <w:tcPr>
            <w:tcW w:w="1903" w:type="dxa"/>
            <w:vAlign w:val="center"/>
            <w:hideMark/>
          </w:tcPr>
          <w:p w14:paraId="0D0D3A7A" w14:textId="77777777" w:rsidR="00906F8D" w:rsidRPr="00906F8D" w:rsidRDefault="00906F8D" w:rsidP="00906F8D">
            <w:pPr>
              <w:jc w:val="both"/>
              <w:rPr>
                <w:rFonts w:ascii="Book Antiqua" w:eastAsia="Calibri" w:hAnsi="Book Antiqua"/>
                <w:kern w:val="2"/>
                <w:lang w:val="en-PH" w:eastAsia="en-PH"/>
              </w:rPr>
            </w:pPr>
            <w:r w:rsidRPr="00906F8D">
              <w:rPr>
                <w:rFonts w:ascii="Book Antiqua" w:eastAsia="Calibri" w:hAnsi="Book Antiqua"/>
                <w:kern w:val="2"/>
                <w:lang w:val="en-PH" w:eastAsia="en-PH"/>
              </w:rPr>
              <w:lastRenderedPageBreak/>
              <w:t xml:space="preserve">- Graduates demonstrate structural integrity and visual quality in welding tasks </w:t>
            </w:r>
            <w:r w:rsidRPr="00906F8D">
              <w:rPr>
                <w:rFonts w:ascii="Book Antiqua" w:eastAsia="Calibri" w:hAnsi="Book Antiqua"/>
                <w:kern w:val="2"/>
                <w:lang w:val="en-PH" w:eastAsia="en-PH"/>
              </w:rPr>
              <w:br/>
              <w:t xml:space="preserve">- Increased employability and </w:t>
            </w:r>
            <w:r w:rsidRPr="00906F8D">
              <w:rPr>
                <w:rFonts w:ascii="Book Antiqua" w:eastAsia="Calibri" w:hAnsi="Book Antiqua"/>
                <w:kern w:val="2"/>
                <w:lang w:val="en-PH" w:eastAsia="en-PH"/>
              </w:rPr>
              <w:lastRenderedPageBreak/>
              <w:t xml:space="preserve">productivity </w:t>
            </w:r>
            <w:r w:rsidRPr="00906F8D">
              <w:rPr>
                <w:rFonts w:ascii="Book Antiqua" w:eastAsia="Calibri" w:hAnsi="Book Antiqua"/>
                <w:kern w:val="2"/>
                <w:lang w:val="en-PH" w:eastAsia="en-PH"/>
              </w:rPr>
              <w:br/>
              <w:t>- Long-term retention of core welding competencies</w:t>
            </w:r>
          </w:p>
        </w:tc>
        <w:tc>
          <w:tcPr>
            <w:tcW w:w="1837" w:type="dxa"/>
            <w:vAlign w:val="center"/>
            <w:hideMark/>
          </w:tcPr>
          <w:p w14:paraId="4F8918E3" w14:textId="77777777" w:rsidR="00906F8D" w:rsidRPr="00906F8D" w:rsidRDefault="00906F8D" w:rsidP="00906F8D">
            <w:pPr>
              <w:jc w:val="both"/>
              <w:rPr>
                <w:rFonts w:ascii="Book Antiqua" w:eastAsia="Calibri" w:hAnsi="Book Antiqua"/>
                <w:kern w:val="2"/>
                <w:lang w:val="en-PH" w:eastAsia="en-PH"/>
              </w:rPr>
            </w:pPr>
            <w:r w:rsidRPr="00906F8D">
              <w:rPr>
                <w:rFonts w:ascii="Book Antiqua" w:eastAsia="Calibri" w:hAnsi="Book Antiqua"/>
                <w:kern w:val="2"/>
                <w:lang w:val="en-PH" w:eastAsia="en-PH"/>
              </w:rPr>
              <w:lastRenderedPageBreak/>
              <w:t xml:space="preserve">Aligns with TESDA competency-based standards and industry expectations; enhances workforce </w:t>
            </w:r>
            <w:r w:rsidRPr="00906F8D">
              <w:rPr>
                <w:rFonts w:ascii="Book Antiqua" w:eastAsia="Calibri" w:hAnsi="Book Antiqua"/>
                <w:kern w:val="2"/>
                <w:lang w:val="en-PH" w:eastAsia="en-PH"/>
              </w:rPr>
              <w:lastRenderedPageBreak/>
              <w:t>readiness</w:t>
            </w:r>
          </w:p>
        </w:tc>
      </w:tr>
      <w:tr w:rsidR="00906F8D" w:rsidRPr="00906F8D" w14:paraId="22803BC3" w14:textId="77777777" w:rsidTr="001357D6">
        <w:trPr>
          <w:tblCellSpacing w:w="15" w:type="dxa"/>
        </w:trPr>
        <w:tc>
          <w:tcPr>
            <w:tcW w:w="0" w:type="auto"/>
            <w:vAlign w:val="center"/>
            <w:hideMark/>
          </w:tcPr>
          <w:p w14:paraId="7F8935DC" w14:textId="77777777" w:rsidR="00906F8D" w:rsidRPr="00906F8D" w:rsidRDefault="00906F8D" w:rsidP="00906F8D">
            <w:pPr>
              <w:rPr>
                <w:rFonts w:ascii="Book Antiqua" w:eastAsia="Calibri" w:hAnsi="Book Antiqua"/>
                <w:kern w:val="2"/>
                <w:lang w:val="en-PH" w:eastAsia="en-PH"/>
              </w:rPr>
            </w:pPr>
            <w:r w:rsidRPr="00906F8D">
              <w:rPr>
                <w:rFonts w:ascii="Book Antiqua" w:eastAsia="Calibri" w:hAnsi="Book Antiqua"/>
                <w:kern w:val="2"/>
                <w:lang w:val="en-PH" w:eastAsia="en-PH"/>
              </w:rPr>
              <w:lastRenderedPageBreak/>
              <w:t>Overall Insight</w:t>
            </w:r>
          </w:p>
        </w:tc>
        <w:tc>
          <w:tcPr>
            <w:tcW w:w="1687" w:type="dxa"/>
            <w:vAlign w:val="center"/>
            <w:hideMark/>
          </w:tcPr>
          <w:p w14:paraId="4DE43E98" w14:textId="77777777" w:rsidR="00906F8D" w:rsidRPr="00906F8D" w:rsidRDefault="00906F8D" w:rsidP="00906F8D">
            <w:pPr>
              <w:jc w:val="both"/>
              <w:rPr>
                <w:rFonts w:ascii="Book Antiqua" w:eastAsia="Calibri" w:hAnsi="Book Antiqua"/>
                <w:kern w:val="2"/>
                <w:lang w:val="en-PH" w:eastAsia="en-PH"/>
              </w:rPr>
            </w:pPr>
            <w:r w:rsidRPr="00906F8D">
              <w:rPr>
                <w:rFonts w:ascii="Book Antiqua" w:eastAsia="Calibri" w:hAnsi="Book Antiqua"/>
                <w:kern w:val="2"/>
                <w:lang w:val="en-PH" w:eastAsia="en-PH"/>
              </w:rPr>
              <w:t>Competency goes beyond passing assessments</w:t>
            </w:r>
          </w:p>
        </w:tc>
        <w:tc>
          <w:tcPr>
            <w:tcW w:w="2358" w:type="dxa"/>
            <w:vAlign w:val="center"/>
            <w:hideMark/>
          </w:tcPr>
          <w:p w14:paraId="484228DB" w14:textId="77777777" w:rsidR="00906F8D" w:rsidRPr="00906F8D" w:rsidRDefault="00906F8D" w:rsidP="00906F8D">
            <w:pPr>
              <w:jc w:val="both"/>
              <w:rPr>
                <w:rFonts w:ascii="Book Antiqua" w:eastAsia="Calibri" w:hAnsi="Book Antiqua"/>
                <w:kern w:val="2"/>
                <w:lang w:val="en-PH" w:eastAsia="en-PH"/>
              </w:rPr>
            </w:pPr>
            <w:r w:rsidRPr="00906F8D">
              <w:rPr>
                <w:rFonts w:ascii="Book Antiqua" w:eastAsia="Calibri" w:hAnsi="Book Antiqua"/>
                <w:kern w:val="2"/>
                <w:lang w:val="en-PH" w:eastAsia="en-PH"/>
              </w:rPr>
              <w:t xml:space="preserve">- Implement integrated, targeted, and standards-aligned training </w:t>
            </w:r>
            <w:r w:rsidRPr="00906F8D">
              <w:rPr>
                <w:rFonts w:ascii="Book Antiqua" w:eastAsia="Calibri" w:hAnsi="Book Antiqua"/>
                <w:kern w:val="2"/>
                <w:lang w:val="en-PH" w:eastAsia="en-PH"/>
              </w:rPr>
              <w:br/>
              <w:t>- Emphasize depth of skill mastery through practice and feedback</w:t>
            </w:r>
          </w:p>
        </w:tc>
        <w:tc>
          <w:tcPr>
            <w:tcW w:w="1903" w:type="dxa"/>
            <w:vAlign w:val="center"/>
            <w:hideMark/>
          </w:tcPr>
          <w:p w14:paraId="2D263905" w14:textId="77777777" w:rsidR="00906F8D" w:rsidRPr="00906F8D" w:rsidRDefault="00906F8D" w:rsidP="00906F8D">
            <w:pPr>
              <w:jc w:val="both"/>
              <w:rPr>
                <w:rFonts w:ascii="Book Antiqua" w:eastAsia="Calibri" w:hAnsi="Book Antiqua"/>
                <w:kern w:val="2"/>
                <w:lang w:val="en-PH" w:eastAsia="en-PH"/>
              </w:rPr>
            </w:pPr>
            <w:r w:rsidRPr="00906F8D">
              <w:rPr>
                <w:rFonts w:ascii="Book Antiqua" w:eastAsia="Calibri" w:hAnsi="Book Antiqua"/>
                <w:kern w:val="2"/>
                <w:lang w:val="en-PH" w:eastAsia="en-PH"/>
              </w:rPr>
              <w:t xml:space="preserve">- Students better prepared for real-world welding </w:t>
            </w:r>
            <w:r w:rsidRPr="00906F8D">
              <w:rPr>
                <w:rFonts w:ascii="Book Antiqua" w:eastAsia="Calibri" w:hAnsi="Book Antiqua"/>
                <w:kern w:val="2"/>
                <w:lang w:val="en-PH" w:eastAsia="en-PH"/>
              </w:rPr>
              <w:br/>
              <w:t>- Enhanced quality of technical-vocation</w:t>
            </w:r>
          </w:p>
        </w:tc>
        <w:tc>
          <w:tcPr>
            <w:tcW w:w="1837" w:type="dxa"/>
            <w:vAlign w:val="center"/>
            <w:hideMark/>
          </w:tcPr>
          <w:p w14:paraId="2E663807" w14:textId="77777777" w:rsidR="00906F8D" w:rsidRPr="00906F8D" w:rsidRDefault="00906F8D" w:rsidP="00906F8D">
            <w:pPr>
              <w:jc w:val="both"/>
              <w:rPr>
                <w:rFonts w:ascii="Book Antiqua" w:eastAsia="Calibri" w:hAnsi="Book Antiqua"/>
                <w:kern w:val="2"/>
                <w:lang w:val="en-PH" w:eastAsia="en-PH"/>
              </w:rPr>
            </w:pPr>
          </w:p>
        </w:tc>
      </w:tr>
    </w:tbl>
    <w:p w14:paraId="2A58023F" w14:textId="77777777" w:rsidR="00906F8D" w:rsidRPr="00906F8D" w:rsidRDefault="00906F8D" w:rsidP="00906F8D">
      <w:pPr>
        <w:pStyle w:val="NoSpacing"/>
        <w:ind w:firstLine="0"/>
        <w:rPr>
          <w:bCs/>
          <w:i/>
          <w:iCs/>
        </w:rPr>
      </w:pPr>
    </w:p>
    <w:p w14:paraId="24AD007E" w14:textId="77777777" w:rsidR="00FD5450" w:rsidRPr="008220A4" w:rsidRDefault="00FD5450" w:rsidP="00FD5450">
      <w:pPr>
        <w:spacing w:before="120"/>
        <w:ind w:right="49"/>
        <w:jc w:val="both"/>
        <w:rPr>
          <w:rFonts w:ascii="Arial" w:eastAsia="Book Antiqua" w:hAnsi="Arial" w:cs="Arial"/>
          <w:color w:val="000000"/>
          <w:sz w:val="22"/>
          <w:szCs w:val="22"/>
          <w:lang w:val="en-PH"/>
        </w:rPr>
      </w:pPr>
      <w:r w:rsidRPr="008220A4">
        <w:rPr>
          <w:rFonts w:ascii="Arial" w:eastAsia="Book Antiqua" w:hAnsi="Arial" w:cs="Arial"/>
          <w:color w:val="000000"/>
          <w:sz w:val="22"/>
          <w:szCs w:val="22"/>
          <w:lang w:val="en-PH"/>
        </w:rPr>
        <w:t xml:space="preserve">This intervention shifts the training focus from mere assessment completion to true technical mastery. By prioritizing critical welding stages and standard-aligned instruction, the plan guarantees that students are better prepared for real-world applications. This commitment to excellence ensures a more productive workforce and long-term retention of core competencies in the technical-vocational competencies of the SMAW curriculum in the Department of Education. </w:t>
      </w:r>
    </w:p>
    <w:p w14:paraId="1BF89B8C" w14:textId="77777777" w:rsidR="00FD5450" w:rsidRPr="00FD5450" w:rsidRDefault="00FD5450" w:rsidP="00FD5450">
      <w:pPr>
        <w:keepNext/>
        <w:keepLines/>
        <w:jc w:val="both"/>
        <w:outlineLvl w:val="0"/>
        <w:rPr>
          <w:rFonts w:ascii="Arial" w:eastAsia="Book Antiqua" w:hAnsi="Arial" w:cs="Arial"/>
          <w:b/>
          <w:bCs/>
          <w:color w:val="000000"/>
          <w:sz w:val="22"/>
          <w:szCs w:val="22"/>
        </w:rPr>
      </w:pPr>
    </w:p>
    <w:p w14:paraId="0C5A61CF" w14:textId="77777777" w:rsidR="00790ADA" w:rsidRPr="00FB3A86" w:rsidRDefault="00790ADA" w:rsidP="00441B6F">
      <w:pPr>
        <w:pStyle w:val="Body"/>
        <w:spacing w:after="0"/>
        <w:rPr>
          <w:rFonts w:ascii="Arial" w:hAnsi="Arial" w:cs="Arial"/>
        </w:rPr>
      </w:pPr>
    </w:p>
    <w:p w14:paraId="0267053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53EC4C0" w14:textId="77777777" w:rsidR="00790ADA" w:rsidRPr="00FB3A86" w:rsidRDefault="00790ADA" w:rsidP="00441B6F">
      <w:pPr>
        <w:pStyle w:val="ConcHead"/>
        <w:spacing w:after="0"/>
        <w:jc w:val="both"/>
        <w:rPr>
          <w:rFonts w:ascii="Arial" w:hAnsi="Arial" w:cs="Arial"/>
        </w:rPr>
      </w:pPr>
    </w:p>
    <w:p w14:paraId="7B289BDF" w14:textId="2555D6E9" w:rsidR="00FD5450" w:rsidRDefault="00FD5450" w:rsidP="00FD5450">
      <w:pPr>
        <w:jc w:val="both"/>
        <w:rPr>
          <w:rFonts w:ascii="Book Antiqua" w:eastAsia="Book Antiqua" w:hAnsi="Book Antiqua" w:cs="Book Antiqua"/>
          <w:color w:val="000000"/>
        </w:rPr>
      </w:pPr>
      <w:r w:rsidRPr="00FD5450">
        <w:rPr>
          <w:rFonts w:ascii="Book Antiqua" w:eastAsia="Book Antiqua" w:hAnsi="Book Antiqua" w:cs="Book Antiqua"/>
          <w:color w:val="000000"/>
        </w:rPr>
        <w:t xml:space="preserve">The analysis of Grade 12 students’ performance in the SMAW NC II assessment demonstrates that the majority of learners achieved competency in welding carbon steel plates and pipes, with an overall passing rate of 95% in the core competency. This indicates that students generally possess the necessary technical skills, including proper welding technique, adherence to safety procedures, and the ability to execute intermediate tasks such as cleaning the root pass and applying subsequent weld layers. These strengths reflect the effectiveness of the competency-based training provided and suggest that the SMAW program adequately prepares students to meet minimum industry </w:t>
      </w:r>
      <w:proofErr w:type="spellStart"/>
      <w:proofErr w:type="gramStart"/>
      <w:r w:rsidRPr="00FD5450">
        <w:rPr>
          <w:rFonts w:ascii="Book Antiqua" w:eastAsia="Book Antiqua" w:hAnsi="Book Antiqua" w:cs="Book Antiqua"/>
          <w:color w:val="000000"/>
        </w:rPr>
        <w:t>standards.Despite</w:t>
      </w:r>
      <w:proofErr w:type="spellEnd"/>
      <w:proofErr w:type="gramEnd"/>
      <w:r w:rsidRPr="00FD5450">
        <w:rPr>
          <w:rFonts w:ascii="Book Antiqua" w:eastAsia="Book Antiqua" w:hAnsi="Book Antiqua" w:cs="Book Antiqua"/>
          <w:color w:val="000000"/>
        </w:rPr>
        <w:t xml:space="preserve"> these positive outcomes, certain competencies, particularly performing the root pass and performing the capping pass, emerged as the least mastered among students. Difficulties in these areas may affect weld quality, structural integrity, and overall workplace readiness. The identification of these weak points highlights the need for targeted interventions, such as additional practice, guided demonstrations, and focused remediation sessions, to ensure that students achieve proficiency in all critical stages of the welding process. Overall, the findings underscore the importance of data-driven and targeted training enhancements in SMAW instruction. By addressing the specific competency gaps identified through NC II assessment results, trainers can refine instructional strategies, optimize curriculum design, and strengthen hands-on training. Such measures will not only improve student performance but also enhance employability, workplace efficiency, and long-term skill retention, ensuring that graduates are fully prepared for the demands of the welding industry. To enhance the welding program based on the identified gaps, it is recommended </w:t>
      </w:r>
      <w:r w:rsidRPr="00FD5450">
        <w:rPr>
          <w:rFonts w:ascii="Book Antiqua" w:eastAsia="Book Antiqua" w:hAnsi="Book Antiqua" w:cs="Book Antiqua"/>
          <w:color w:val="000000"/>
        </w:rPr>
        <w:lastRenderedPageBreak/>
        <w:t>to implement intensive, competency-focused practice sessions that prioritize the root pass and capping stages through repetitive skill drills and real-time feedback. The training sequence should be restructured to incorporate simulation-based learning and formative assessment checkpoints to identify learning gaps early and ensure consistent bead control and precision. Furthermore, the curriculum must be strengthened to align strictly with industry standards and TESDA NC II competencies, emphasizing structural integrity and visual quality to ensure graduates are fully prepared for high-stakes workplace demands</w:t>
      </w:r>
      <w:r>
        <w:rPr>
          <w:rFonts w:ascii="Book Antiqua" w:eastAsia="Book Antiqua" w:hAnsi="Book Antiqua" w:cs="Book Antiqua"/>
          <w:color w:val="000000"/>
        </w:rPr>
        <w:t>.</w:t>
      </w:r>
    </w:p>
    <w:p w14:paraId="5A439394" w14:textId="77777777" w:rsidR="008220A4" w:rsidRDefault="008220A4" w:rsidP="00FD5450">
      <w:pPr>
        <w:jc w:val="both"/>
        <w:rPr>
          <w:rFonts w:ascii="Book Antiqua" w:eastAsia="Book Antiqua" w:hAnsi="Book Antiqua" w:cs="Book Antiqua"/>
          <w:color w:val="000000"/>
        </w:rPr>
      </w:pPr>
    </w:p>
    <w:p w14:paraId="291ED61B" w14:textId="77777777" w:rsidR="008220A4" w:rsidRPr="008220A4" w:rsidRDefault="008220A4" w:rsidP="008220A4">
      <w:pPr>
        <w:jc w:val="both"/>
        <w:rPr>
          <w:rFonts w:ascii="Book Antiqua" w:eastAsia="Book Antiqua" w:hAnsi="Book Antiqua" w:cs="Book Antiqua"/>
          <w:color w:val="000000"/>
        </w:rPr>
      </w:pPr>
      <w:r w:rsidRPr="008220A4">
        <w:rPr>
          <w:rFonts w:ascii="Book Antiqua" w:eastAsia="Book Antiqua" w:hAnsi="Book Antiqua" w:cs="Book Antiqua"/>
          <w:color w:val="000000"/>
        </w:rPr>
        <w:t>COMPETING INTERESTS DISCLAIMER:</w:t>
      </w:r>
    </w:p>
    <w:p w14:paraId="243AED9E" w14:textId="1F089BB5" w:rsidR="008220A4" w:rsidRDefault="008220A4" w:rsidP="008220A4">
      <w:pPr>
        <w:jc w:val="both"/>
        <w:rPr>
          <w:rFonts w:ascii="Book Antiqua" w:eastAsia="Book Antiqua" w:hAnsi="Book Antiqua" w:cs="Book Antiqua"/>
          <w:color w:val="000000"/>
        </w:rPr>
      </w:pPr>
      <w:r w:rsidRPr="008220A4">
        <w:rPr>
          <w:rFonts w:ascii="Book Antiqua" w:eastAsia="Book Antiqua" w:hAnsi="Book Antiqua" w:cs="Book Antiqua"/>
          <w:color w:val="000000"/>
        </w:rPr>
        <w:t>Authors have declared that they have no known competing financial interests OR non-financial interests OR personal relationships that could have appeared to influence the work reported in this paper.</w:t>
      </w:r>
    </w:p>
    <w:p w14:paraId="69226A34" w14:textId="77777777" w:rsidR="00FD5450" w:rsidRPr="00FD5450" w:rsidRDefault="00FD5450" w:rsidP="00FD5450">
      <w:pPr>
        <w:jc w:val="both"/>
        <w:rPr>
          <w:rFonts w:ascii="Book Antiqua" w:eastAsia="Book Antiqua" w:hAnsi="Book Antiqua" w:cs="Book Antiqua"/>
          <w:color w:val="000000"/>
        </w:rPr>
      </w:pPr>
    </w:p>
    <w:p w14:paraId="78232D4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88C79B8" w14:textId="77777777" w:rsidR="00790ADA" w:rsidRPr="00FB3A86" w:rsidRDefault="00790ADA" w:rsidP="00441B6F">
      <w:pPr>
        <w:pStyle w:val="ReferHead"/>
        <w:spacing w:after="0"/>
        <w:jc w:val="both"/>
        <w:rPr>
          <w:rFonts w:ascii="Arial" w:hAnsi="Arial" w:cs="Arial"/>
        </w:rPr>
      </w:pPr>
    </w:p>
    <w:p w14:paraId="01AA75A8" w14:textId="77777777" w:rsidR="00FD5450" w:rsidRPr="00FD5450" w:rsidRDefault="00FD5450" w:rsidP="00FD5450">
      <w:pPr>
        <w:spacing w:after="160" w:line="259" w:lineRule="auto"/>
        <w:ind w:left="720" w:hanging="720"/>
        <w:jc w:val="both"/>
        <w:rPr>
          <w:rFonts w:ascii="Book Antiqua" w:eastAsia="Calibri" w:hAnsi="Book Antiqua"/>
          <w:kern w:val="2"/>
          <w:sz w:val="22"/>
          <w:szCs w:val="22"/>
          <w:lang w:val="en-PH"/>
        </w:rPr>
      </w:pPr>
      <w:proofErr w:type="spellStart"/>
      <w:r w:rsidRPr="00FD5450">
        <w:rPr>
          <w:rFonts w:ascii="Book Antiqua" w:eastAsia="Calibri" w:hAnsi="Book Antiqua"/>
          <w:kern w:val="2"/>
          <w:sz w:val="22"/>
          <w:szCs w:val="22"/>
          <w:lang w:val="en-PH"/>
        </w:rPr>
        <w:t>Bedrejo</w:t>
      </w:r>
      <w:proofErr w:type="spellEnd"/>
      <w:r w:rsidRPr="00FD5450">
        <w:rPr>
          <w:rFonts w:ascii="Book Antiqua" w:eastAsia="Calibri" w:hAnsi="Book Antiqua"/>
          <w:kern w:val="2"/>
          <w:sz w:val="22"/>
          <w:szCs w:val="22"/>
          <w:lang w:val="en-PH"/>
        </w:rPr>
        <w:t xml:space="preserve"> et al., (2023). </w:t>
      </w:r>
      <w:r w:rsidRPr="00FD5450">
        <w:rPr>
          <w:rFonts w:ascii="Book Antiqua" w:eastAsia="Calibri" w:hAnsi="Book Antiqua"/>
          <w:i/>
          <w:iCs/>
          <w:kern w:val="2"/>
          <w:sz w:val="22"/>
          <w:szCs w:val="22"/>
          <w:lang w:val="en-PH"/>
        </w:rPr>
        <w:t>Knowledge on Welding Tools of SMAW Learners</w:t>
      </w:r>
      <w:r w:rsidRPr="00FD5450">
        <w:rPr>
          <w:rFonts w:ascii="Book Antiqua" w:eastAsia="Calibri" w:hAnsi="Book Antiqua"/>
          <w:kern w:val="2"/>
          <w:sz w:val="22"/>
          <w:szCs w:val="22"/>
          <w:lang w:val="en-PH"/>
        </w:rPr>
        <w:t xml:space="preserve">. </w:t>
      </w:r>
      <w:proofErr w:type="spellStart"/>
      <w:r w:rsidRPr="00FD5450">
        <w:rPr>
          <w:rFonts w:ascii="Book Antiqua" w:eastAsia="Calibri" w:hAnsi="Book Antiqua"/>
          <w:kern w:val="2"/>
          <w:sz w:val="22"/>
          <w:szCs w:val="22"/>
          <w:lang w:val="en-PH"/>
        </w:rPr>
        <w:t>Banate</w:t>
      </w:r>
      <w:proofErr w:type="spellEnd"/>
      <w:r w:rsidRPr="00FD5450">
        <w:rPr>
          <w:rFonts w:ascii="Book Antiqua" w:eastAsia="Calibri" w:hAnsi="Book Antiqua"/>
          <w:kern w:val="2"/>
          <w:sz w:val="22"/>
          <w:szCs w:val="22"/>
          <w:lang w:val="en-PH"/>
        </w:rPr>
        <w:t xml:space="preserve"> National High School, Iloilo, Philippines. https://www.scribd.com</w:t>
      </w:r>
    </w:p>
    <w:p w14:paraId="037065A1" w14:textId="77777777" w:rsidR="00FD5450" w:rsidRPr="00FD5450" w:rsidRDefault="00FD5450" w:rsidP="00FD5450">
      <w:pPr>
        <w:spacing w:after="160" w:line="259" w:lineRule="auto"/>
        <w:ind w:left="720" w:hanging="720"/>
        <w:jc w:val="both"/>
        <w:rPr>
          <w:rFonts w:ascii="Book Antiqua" w:eastAsia="Calibri" w:hAnsi="Book Antiqua"/>
          <w:kern w:val="2"/>
          <w:sz w:val="22"/>
          <w:szCs w:val="22"/>
          <w:lang w:val="en-PH"/>
        </w:rPr>
      </w:pPr>
      <w:r w:rsidRPr="00FD5450">
        <w:rPr>
          <w:rFonts w:ascii="Book Antiqua" w:eastAsia="Calibri" w:hAnsi="Book Antiqua"/>
          <w:kern w:val="2"/>
          <w:sz w:val="22"/>
          <w:szCs w:val="22"/>
          <w:lang w:val="en-PH"/>
        </w:rPr>
        <w:t xml:space="preserve">Creswell, J. W., &amp; Poth, C. N. (2016). Qualitative inquiry and research design: Choosing among five approaches. </w:t>
      </w:r>
      <w:r w:rsidRPr="00FD5450">
        <w:rPr>
          <w:rFonts w:ascii="Book Antiqua" w:eastAsia="Calibri" w:hAnsi="Book Antiqua"/>
          <w:i/>
          <w:iCs/>
          <w:kern w:val="2"/>
          <w:sz w:val="22"/>
          <w:szCs w:val="22"/>
          <w:lang w:val="en-PH"/>
        </w:rPr>
        <w:t>Sage publications</w:t>
      </w:r>
      <w:r w:rsidRPr="00FD5450">
        <w:rPr>
          <w:rFonts w:ascii="Book Antiqua" w:eastAsia="Calibri" w:hAnsi="Book Antiqua"/>
          <w:kern w:val="2"/>
          <w:sz w:val="22"/>
          <w:szCs w:val="22"/>
          <w:lang w:val="en-PH"/>
        </w:rPr>
        <w:t>.</w:t>
      </w:r>
    </w:p>
    <w:p w14:paraId="09F774CD" w14:textId="77777777" w:rsidR="00FD5450" w:rsidRPr="00FD5450" w:rsidRDefault="00FD5450" w:rsidP="00FD5450">
      <w:pPr>
        <w:spacing w:after="160" w:line="259" w:lineRule="auto"/>
        <w:ind w:left="720" w:hanging="720"/>
        <w:jc w:val="both"/>
        <w:rPr>
          <w:rFonts w:ascii="Book Antiqua" w:eastAsia="Calibri" w:hAnsi="Book Antiqua"/>
          <w:kern w:val="2"/>
          <w:sz w:val="22"/>
          <w:szCs w:val="22"/>
          <w:lang w:val="en-PH"/>
        </w:rPr>
      </w:pPr>
      <w:proofErr w:type="spellStart"/>
      <w:r w:rsidRPr="00B40552">
        <w:rPr>
          <w:rFonts w:ascii="Book Antiqua" w:eastAsia="Calibri" w:hAnsi="Book Antiqua"/>
          <w:kern w:val="2"/>
          <w:sz w:val="22"/>
          <w:szCs w:val="22"/>
          <w:lang w:val="es-US"/>
        </w:rPr>
        <w:t>Daryono</w:t>
      </w:r>
      <w:proofErr w:type="spellEnd"/>
      <w:r w:rsidRPr="00B40552">
        <w:rPr>
          <w:rFonts w:ascii="Book Antiqua" w:eastAsia="Calibri" w:hAnsi="Book Antiqua"/>
          <w:kern w:val="2"/>
          <w:sz w:val="22"/>
          <w:szCs w:val="22"/>
          <w:lang w:val="es-US"/>
        </w:rPr>
        <w:t xml:space="preserve">, R. W., </w:t>
      </w:r>
      <w:proofErr w:type="spellStart"/>
      <w:r w:rsidRPr="00B40552">
        <w:rPr>
          <w:rFonts w:ascii="Book Antiqua" w:eastAsia="Calibri" w:hAnsi="Book Antiqua"/>
          <w:kern w:val="2"/>
          <w:sz w:val="22"/>
          <w:szCs w:val="22"/>
          <w:lang w:val="es-US"/>
        </w:rPr>
        <w:t>Yolando</w:t>
      </w:r>
      <w:proofErr w:type="spellEnd"/>
      <w:r w:rsidRPr="00B40552">
        <w:rPr>
          <w:rFonts w:ascii="Book Antiqua" w:eastAsia="Calibri" w:hAnsi="Book Antiqua"/>
          <w:kern w:val="2"/>
          <w:sz w:val="22"/>
          <w:szCs w:val="22"/>
          <w:lang w:val="es-US"/>
        </w:rPr>
        <w:t xml:space="preserve">, A. P., </w:t>
      </w:r>
      <w:proofErr w:type="spellStart"/>
      <w:r w:rsidRPr="00B40552">
        <w:rPr>
          <w:rFonts w:ascii="Book Antiqua" w:eastAsia="Calibri" w:hAnsi="Book Antiqua"/>
          <w:kern w:val="2"/>
          <w:sz w:val="22"/>
          <w:szCs w:val="22"/>
          <w:lang w:val="es-US"/>
        </w:rPr>
        <w:t>Jaedun</w:t>
      </w:r>
      <w:proofErr w:type="spellEnd"/>
      <w:r w:rsidRPr="00B40552">
        <w:rPr>
          <w:rFonts w:ascii="Book Antiqua" w:eastAsia="Calibri" w:hAnsi="Book Antiqua"/>
          <w:kern w:val="2"/>
          <w:sz w:val="22"/>
          <w:szCs w:val="22"/>
          <w:lang w:val="es-US"/>
        </w:rPr>
        <w:t xml:space="preserve">, A., &amp; Hidayat, N. (2020). </w:t>
      </w:r>
      <w:r w:rsidRPr="00FD5450">
        <w:rPr>
          <w:rFonts w:ascii="Book Antiqua" w:eastAsia="Calibri" w:hAnsi="Book Antiqua"/>
          <w:kern w:val="2"/>
          <w:sz w:val="22"/>
          <w:szCs w:val="22"/>
          <w:lang w:val="en-PH"/>
        </w:rPr>
        <w:t xml:space="preserve">Competency of vocational </w:t>
      </w:r>
      <w:proofErr w:type="gramStart"/>
      <w:r w:rsidRPr="00FD5450">
        <w:rPr>
          <w:rFonts w:ascii="Book Antiqua" w:eastAsia="Calibri" w:hAnsi="Book Antiqua"/>
          <w:kern w:val="2"/>
          <w:sz w:val="22"/>
          <w:szCs w:val="22"/>
          <w:lang w:val="en-PH"/>
        </w:rPr>
        <w:t>schools  required</w:t>
      </w:r>
      <w:proofErr w:type="gramEnd"/>
      <w:r w:rsidRPr="00FD5450">
        <w:rPr>
          <w:rFonts w:ascii="Book Antiqua" w:eastAsia="Calibri" w:hAnsi="Book Antiqua"/>
          <w:kern w:val="2"/>
          <w:sz w:val="22"/>
          <w:szCs w:val="22"/>
          <w:lang w:val="en-PH"/>
        </w:rPr>
        <w:t xml:space="preserve"> by construction industry in consultants’ supervisor. </w:t>
      </w:r>
      <w:r w:rsidRPr="00FD5450">
        <w:rPr>
          <w:rFonts w:ascii="Book Antiqua" w:eastAsia="Calibri" w:hAnsi="Book Antiqua"/>
          <w:i/>
          <w:iCs/>
          <w:kern w:val="2"/>
          <w:sz w:val="22"/>
          <w:szCs w:val="22"/>
          <w:lang w:val="en-PH"/>
        </w:rPr>
        <w:t>Journal of Physics: Conference Series, 1456(1).</w:t>
      </w:r>
      <w:r w:rsidRPr="00FD5450">
        <w:rPr>
          <w:rFonts w:ascii="Book Antiqua" w:eastAsia="Calibri" w:hAnsi="Book Antiqua"/>
          <w:kern w:val="2"/>
          <w:sz w:val="22"/>
          <w:szCs w:val="22"/>
          <w:lang w:val="en-PH"/>
        </w:rPr>
        <w:t xml:space="preserve"> https://doi.org/10.1088/1742-6596/1456/1/012057</w:t>
      </w:r>
    </w:p>
    <w:p w14:paraId="7548864F" w14:textId="77777777" w:rsidR="00FD5450" w:rsidRPr="00FD5450" w:rsidRDefault="00FD5450" w:rsidP="00FD5450">
      <w:pPr>
        <w:spacing w:after="160" w:line="259" w:lineRule="auto"/>
        <w:ind w:left="720" w:hanging="720"/>
        <w:jc w:val="both"/>
        <w:rPr>
          <w:rFonts w:ascii="Book Antiqua" w:eastAsia="Calibri" w:hAnsi="Book Antiqua"/>
          <w:kern w:val="2"/>
          <w:sz w:val="22"/>
          <w:szCs w:val="22"/>
          <w:lang w:val="en-PH"/>
        </w:rPr>
      </w:pPr>
      <w:r w:rsidRPr="00FD5450">
        <w:rPr>
          <w:rFonts w:ascii="Book Antiqua" w:eastAsia="Calibri" w:hAnsi="Book Antiqua"/>
          <w:kern w:val="2"/>
          <w:sz w:val="22"/>
          <w:szCs w:val="22"/>
          <w:lang w:val="en-PH"/>
        </w:rPr>
        <w:t>Department of Education (2019). https://www.deped.gov.ph/wp-content/uploads/2019/01/Shielded-Metal-Arc-Welding-NC-I-CG.pdf</w:t>
      </w:r>
    </w:p>
    <w:p w14:paraId="7A557395" w14:textId="77777777" w:rsidR="00FD5450" w:rsidRPr="00FD5450" w:rsidRDefault="00FD5450" w:rsidP="00FD5450">
      <w:pPr>
        <w:spacing w:after="160" w:line="259" w:lineRule="auto"/>
        <w:ind w:left="720" w:hanging="720"/>
        <w:jc w:val="both"/>
        <w:rPr>
          <w:rFonts w:ascii="Book Antiqua" w:eastAsia="Calibri" w:hAnsi="Book Antiqua"/>
          <w:kern w:val="2"/>
          <w:sz w:val="22"/>
          <w:szCs w:val="22"/>
          <w:lang w:val="en-PH"/>
        </w:rPr>
      </w:pPr>
      <w:r w:rsidRPr="00FD5450">
        <w:rPr>
          <w:rFonts w:ascii="Book Antiqua" w:eastAsia="Calibri" w:hAnsi="Book Antiqua"/>
          <w:kern w:val="2"/>
          <w:sz w:val="22"/>
          <w:szCs w:val="22"/>
          <w:lang w:val="en-PH"/>
        </w:rPr>
        <w:t xml:space="preserve">Distance Learning Institute. (2025). Descriptive research in education: Methods and applications. Retrieved from </w:t>
      </w:r>
      <w:hyperlink r:id="rId14" w:history="1">
        <w:r w:rsidRPr="00FD5450">
          <w:rPr>
            <w:rFonts w:ascii="Book Antiqua" w:eastAsia="Calibri" w:hAnsi="Book Antiqua"/>
            <w:kern w:val="2"/>
            <w:sz w:val="22"/>
            <w:szCs w:val="22"/>
            <w:lang w:val="en-PH"/>
          </w:rPr>
          <w:t>https://distancelearning.institute/research/descriptive-research-education-methods-applications/</w:t>
        </w:r>
      </w:hyperlink>
    </w:p>
    <w:p w14:paraId="3B40059A" w14:textId="77777777" w:rsidR="00FD5450" w:rsidRPr="00FD5450" w:rsidRDefault="00FD5450" w:rsidP="00FD5450">
      <w:pPr>
        <w:spacing w:after="160" w:line="259" w:lineRule="auto"/>
        <w:ind w:left="720" w:hanging="720"/>
        <w:jc w:val="both"/>
        <w:rPr>
          <w:rFonts w:ascii="Book Antiqua" w:eastAsia="Calibri" w:hAnsi="Book Antiqua"/>
          <w:kern w:val="2"/>
          <w:sz w:val="22"/>
          <w:szCs w:val="22"/>
          <w:lang w:val="en-PH"/>
        </w:rPr>
      </w:pPr>
      <w:r w:rsidRPr="00FD5450">
        <w:rPr>
          <w:rFonts w:ascii="Book Antiqua" w:eastAsia="Calibri" w:hAnsi="Book Antiqua"/>
          <w:kern w:val="2"/>
          <w:sz w:val="22"/>
          <w:szCs w:val="22"/>
          <w:lang w:val="en-PH"/>
        </w:rPr>
        <w:t xml:space="preserve">Aminu, A., &amp; </w:t>
      </w:r>
      <w:proofErr w:type="spellStart"/>
      <w:r w:rsidRPr="00FD5450">
        <w:rPr>
          <w:rFonts w:ascii="Book Antiqua" w:eastAsia="Calibri" w:hAnsi="Book Antiqua"/>
          <w:kern w:val="2"/>
          <w:sz w:val="22"/>
          <w:szCs w:val="22"/>
          <w:lang w:val="en-PH"/>
        </w:rPr>
        <w:t>Nasiru</w:t>
      </w:r>
      <w:proofErr w:type="spellEnd"/>
      <w:r w:rsidRPr="00FD5450">
        <w:rPr>
          <w:rFonts w:ascii="Book Antiqua" w:eastAsia="Calibri" w:hAnsi="Book Antiqua"/>
          <w:kern w:val="2"/>
          <w:sz w:val="22"/>
          <w:szCs w:val="22"/>
          <w:lang w:val="en-PH"/>
        </w:rPr>
        <w:t xml:space="preserve">, M. (2025). Effects of Project-Based learning Strategy on Performance and Retention in Metalworks among Students in Technical Colleges of </w:t>
      </w:r>
      <w:proofErr w:type="spellStart"/>
      <w:r w:rsidRPr="00FD5450">
        <w:rPr>
          <w:rFonts w:ascii="Book Antiqua" w:eastAsia="Calibri" w:hAnsi="Book Antiqua"/>
          <w:kern w:val="2"/>
          <w:sz w:val="22"/>
          <w:szCs w:val="22"/>
          <w:lang w:val="en-PH"/>
        </w:rPr>
        <w:t>Katsina</w:t>
      </w:r>
      <w:proofErr w:type="spellEnd"/>
      <w:r w:rsidRPr="00FD5450">
        <w:rPr>
          <w:rFonts w:ascii="Book Antiqua" w:eastAsia="Calibri" w:hAnsi="Book Antiqua"/>
          <w:kern w:val="2"/>
          <w:sz w:val="22"/>
          <w:szCs w:val="22"/>
          <w:lang w:val="en-PH"/>
        </w:rPr>
        <w:t xml:space="preserve"> state, Nigeria. Federal University Gusau Faculty of Education Journal, 2(3), 75-87. DOI: https://doi.org/10.64348/zije.2025192</w:t>
      </w:r>
    </w:p>
    <w:p w14:paraId="2223C322" w14:textId="77777777" w:rsidR="00FD5450" w:rsidRPr="00B40552" w:rsidRDefault="00FD5450" w:rsidP="00FD5450">
      <w:pPr>
        <w:spacing w:after="160" w:line="259" w:lineRule="auto"/>
        <w:ind w:left="720" w:hanging="720"/>
        <w:jc w:val="both"/>
        <w:rPr>
          <w:rFonts w:ascii="Book Antiqua" w:eastAsia="Calibri" w:hAnsi="Book Antiqua"/>
          <w:kern w:val="2"/>
          <w:sz w:val="22"/>
          <w:szCs w:val="22"/>
          <w:lang w:val="es-US"/>
        </w:rPr>
      </w:pPr>
      <w:r w:rsidRPr="00FD5450">
        <w:rPr>
          <w:rFonts w:ascii="Book Antiqua" w:eastAsia="Calibri" w:hAnsi="Book Antiqua"/>
          <w:kern w:val="2"/>
          <w:sz w:val="22"/>
          <w:szCs w:val="22"/>
          <w:lang w:val="en-PH"/>
        </w:rPr>
        <w:t xml:space="preserve">Hartanto, C. F. B., </w:t>
      </w:r>
      <w:proofErr w:type="spellStart"/>
      <w:r w:rsidRPr="00FD5450">
        <w:rPr>
          <w:rFonts w:ascii="Book Antiqua" w:eastAsia="Calibri" w:hAnsi="Book Antiqua"/>
          <w:kern w:val="2"/>
          <w:sz w:val="22"/>
          <w:szCs w:val="22"/>
          <w:lang w:val="en-PH"/>
        </w:rPr>
        <w:t>Rusdarti</w:t>
      </w:r>
      <w:proofErr w:type="spellEnd"/>
      <w:r w:rsidRPr="00FD5450">
        <w:rPr>
          <w:rFonts w:ascii="Book Antiqua" w:eastAsia="Calibri" w:hAnsi="Book Antiqua"/>
          <w:kern w:val="2"/>
          <w:sz w:val="22"/>
          <w:szCs w:val="22"/>
          <w:lang w:val="en-PH"/>
        </w:rPr>
        <w:t xml:space="preserve">, R., &amp; Abdurrahman, A. (2019). </w:t>
      </w:r>
      <w:proofErr w:type="spellStart"/>
      <w:r w:rsidRPr="00FD5450">
        <w:rPr>
          <w:rFonts w:ascii="Book Antiqua" w:eastAsia="Calibri" w:hAnsi="Book Antiqua"/>
          <w:kern w:val="2"/>
          <w:sz w:val="22"/>
          <w:szCs w:val="22"/>
          <w:lang w:val="en-PH"/>
        </w:rPr>
        <w:t>Tantangan</w:t>
      </w:r>
      <w:proofErr w:type="spellEnd"/>
      <w:r w:rsidRPr="00FD5450">
        <w:rPr>
          <w:rFonts w:ascii="Book Antiqua" w:eastAsia="Calibri" w:hAnsi="Book Antiqua"/>
          <w:kern w:val="2"/>
          <w:sz w:val="22"/>
          <w:szCs w:val="22"/>
          <w:lang w:val="en-PH"/>
        </w:rPr>
        <w:t xml:space="preserve"> </w:t>
      </w:r>
      <w:proofErr w:type="spellStart"/>
      <w:r w:rsidRPr="00FD5450">
        <w:rPr>
          <w:rFonts w:ascii="Book Antiqua" w:eastAsia="Calibri" w:hAnsi="Book Antiqua"/>
          <w:kern w:val="2"/>
          <w:sz w:val="22"/>
          <w:szCs w:val="22"/>
          <w:lang w:val="en-PH"/>
        </w:rPr>
        <w:t>pendidikan</w:t>
      </w:r>
      <w:proofErr w:type="spellEnd"/>
      <w:r w:rsidRPr="00FD5450">
        <w:rPr>
          <w:rFonts w:ascii="Book Antiqua" w:eastAsia="Calibri" w:hAnsi="Book Antiqua"/>
          <w:kern w:val="2"/>
          <w:sz w:val="22"/>
          <w:szCs w:val="22"/>
          <w:lang w:val="en-PH"/>
        </w:rPr>
        <w:t xml:space="preserve"> </w:t>
      </w:r>
      <w:proofErr w:type="spellStart"/>
      <w:r w:rsidRPr="00FD5450">
        <w:rPr>
          <w:rFonts w:ascii="Book Antiqua" w:eastAsia="Calibri" w:hAnsi="Book Antiqua"/>
          <w:kern w:val="2"/>
          <w:sz w:val="22"/>
          <w:szCs w:val="22"/>
          <w:lang w:val="en-PH"/>
        </w:rPr>
        <w:t>vokasi</w:t>
      </w:r>
      <w:proofErr w:type="spellEnd"/>
      <w:r w:rsidRPr="00FD5450">
        <w:rPr>
          <w:rFonts w:ascii="Book Antiqua" w:eastAsia="Calibri" w:hAnsi="Book Antiqua"/>
          <w:kern w:val="2"/>
          <w:sz w:val="22"/>
          <w:szCs w:val="22"/>
          <w:lang w:val="en-PH"/>
        </w:rPr>
        <w:t xml:space="preserve"> di era </w:t>
      </w:r>
      <w:proofErr w:type="spellStart"/>
      <w:r w:rsidRPr="00FD5450">
        <w:rPr>
          <w:rFonts w:ascii="Book Antiqua" w:eastAsia="Calibri" w:hAnsi="Book Antiqua"/>
          <w:kern w:val="2"/>
          <w:sz w:val="22"/>
          <w:szCs w:val="22"/>
          <w:lang w:val="en-PH"/>
        </w:rPr>
        <w:t>revolusi</w:t>
      </w:r>
      <w:proofErr w:type="spellEnd"/>
      <w:r w:rsidRPr="00FD5450">
        <w:rPr>
          <w:rFonts w:ascii="Book Antiqua" w:eastAsia="Calibri" w:hAnsi="Book Antiqua"/>
          <w:kern w:val="2"/>
          <w:sz w:val="22"/>
          <w:szCs w:val="22"/>
          <w:lang w:val="en-PH"/>
        </w:rPr>
        <w:t xml:space="preserve"> </w:t>
      </w:r>
      <w:proofErr w:type="spellStart"/>
      <w:r w:rsidRPr="00FD5450">
        <w:rPr>
          <w:rFonts w:ascii="Book Antiqua" w:eastAsia="Calibri" w:hAnsi="Book Antiqua"/>
          <w:kern w:val="2"/>
          <w:sz w:val="22"/>
          <w:szCs w:val="22"/>
          <w:lang w:val="en-PH"/>
        </w:rPr>
        <w:t>industri</w:t>
      </w:r>
      <w:proofErr w:type="spellEnd"/>
      <w:r w:rsidRPr="00FD5450">
        <w:rPr>
          <w:rFonts w:ascii="Book Antiqua" w:eastAsia="Calibri" w:hAnsi="Book Antiqua"/>
          <w:kern w:val="2"/>
          <w:sz w:val="22"/>
          <w:szCs w:val="22"/>
          <w:lang w:val="en-PH"/>
        </w:rPr>
        <w:t xml:space="preserve"> 4.0 </w:t>
      </w:r>
      <w:proofErr w:type="spellStart"/>
      <w:r w:rsidRPr="00FD5450">
        <w:rPr>
          <w:rFonts w:ascii="Book Antiqua" w:eastAsia="Calibri" w:hAnsi="Book Antiqua"/>
          <w:kern w:val="2"/>
          <w:sz w:val="22"/>
          <w:szCs w:val="22"/>
          <w:lang w:val="en-PH"/>
        </w:rPr>
        <w:t>dalam</w:t>
      </w:r>
      <w:proofErr w:type="spellEnd"/>
      <w:r w:rsidRPr="00FD5450">
        <w:rPr>
          <w:rFonts w:ascii="Book Antiqua" w:eastAsia="Calibri" w:hAnsi="Book Antiqua"/>
          <w:kern w:val="2"/>
          <w:sz w:val="22"/>
          <w:szCs w:val="22"/>
          <w:lang w:val="en-PH"/>
        </w:rPr>
        <w:t xml:space="preserve"> </w:t>
      </w:r>
      <w:proofErr w:type="spellStart"/>
      <w:r w:rsidRPr="00FD5450">
        <w:rPr>
          <w:rFonts w:ascii="Book Antiqua" w:eastAsia="Calibri" w:hAnsi="Book Antiqua"/>
          <w:kern w:val="2"/>
          <w:sz w:val="22"/>
          <w:szCs w:val="22"/>
          <w:lang w:val="en-PH"/>
        </w:rPr>
        <w:t>menyiapkan</w:t>
      </w:r>
      <w:proofErr w:type="spellEnd"/>
      <w:r w:rsidRPr="00FD5450">
        <w:rPr>
          <w:rFonts w:ascii="Book Antiqua" w:eastAsia="Calibri" w:hAnsi="Book Antiqua"/>
          <w:kern w:val="2"/>
          <w:sz w:val="22"/>
          <w:szCs w:val="22"/>
          <w:lang w:val="en-PH"/>
        </w:rPr>
        <w:t xml:space="preserve"> </w:t>
      </w:r>
      <w:proofErr w:type="spellStart"/>
      <w:r w:rsidRPr="00FD5450">
        <w:rPr>
          <w:rFonts w:ascii="Book Antiqua" w:eastAsia="Calibri" w:hAnsi="Book Antiqua"/>
          <w:kern w:val="2"/>
          <w:sz w:val="22"/>
          <w:szCs w:val="22"/>
          <w:lang w:val="en-PH"/>
        </w:rPr>
        <w:t>sumber</w:t>
      </w:r>
      <w:proofErr w:type="spellEnd"/>
      <w:r w:rsidRPr="00FD5450">
        <w:rPr>
          <w:rFonts w:ascii="Book Antiqua" w:eastAsia="Calibri" w:hAnsi="Book Antiqua"/>
          <w:kern w:val="2"/>
          <w:sz w:val="22"/>
          <w:szCs w:val="22"/>
          <w:lang w:val="en-PH"/>
        </w:rPr>
        <w:t xml:space="preserve"> </w:t>
      </w:r>
      <w:proofErr w:type="spellStart"/>
      <w:r w:rsidRPr="00FD5450">
        <w:rPr>
          <w:rFonts w:ascii="Book Antiqua" w:eastAsia="Calibri" w:hAnsi="Book Antiqua"/>
          <w:kern w:val="2"/>
          <w:sz w:val="22"/>
          <w:szCs w:val="22"/>
          <w:lang w:val="en-PH"/>
        </w:rPr>
        <w:t>daya</w:t>
      </w:r>
      <w:proofErr w:type="spellEnd"/>
      <w:r w:rsidRPr="00FD5450">
        <w:rPr>
          <w:rFonts w:ascii="Book Antiqua" w:eastAsia="Calibri" w:hAnsi="Book Antiqua"/>
          <w:kern w:val="2"/>
          <w:sz w:val="22"/>
          <w:szCs w:val="22"/>
          <w:lang w:val="en-PH"/>
        </w:rPr>
        <w:t xml:space="preserve"> </w:t>
      </w:r>
      <w:proofErr w:type="spellStart"/>
      <w:r w:rsidRPr="00FD5450">
        <w:rPr>
          <w:rFonts w:ascii="Book Antiqua" w:eastAsia="Calibri" w:hAnsi="Book Antiqua"/>
          <w:kern w:val="2"/>
          <w:sz w:val="22"/>
          <w:szCs w:val="22"/>
          <w:lang w:val="en-PH"/>
        </w:rPr>
        <w:t>manusia</w:t>
      </w:r>
      <w:proofErr w:type="spellEnd"/>
      <w:r w:rsidRPr="00FD5450">
        <w:rPr>
          <w:rFonts w:ascii="Book Antiqua" w:eastAsia="Calibri" w:hAnsi="Book Antiqua"/>
          <w:kern w:val="2"/>
          <w:sz w:val="22"/>
          <w:szCs w:val="22"/>
          <w:lang w:val="en-PH"/>
        </w:rPr>
        <w:t xml:space="preserve"> yang </w:t>
      </w:r>
      <w:proofErr w:type="spellStart"/>
      <w:r w:rsidRPr="00FD5450">
        <w:rPr>
          <w:rFonts w:ascii="Book Antiqua" w:eastAsia="Calibri" w:hAnsi="Book Antiqua"/>
          <w:kern w:val="2"/>
          <w:sz w:val="22"/>
          <w:szCs w:val="22"/>
          <w:lang w:val="en-PH"/>
        </w:rPr>
        <w:t>unggul</w:t>
      </w:r>
      <w:proofErr w:type="spellEnd"/>
      <w:r w:rsidRPr="00FD5450">
        <w:rPr>
          <w:rFonts w:ascii="Book Antiqua" w:eastAsia="Calibri" w:hAnsi="Book Antiqua"/>
          <w:kern w:val="2"/>
          <w:sz w:val="22"/>
          <w:szCs w:val="22"/>
          <w:lang w:val="en-PH"/>
        </w:rPr>
        <w:t xml:space="preserve">. </w:t>
      </w:r>
      <w:r w:rsidRPr="00B40552">
        <w:rPr>
          <w:rFonts w:ascii="Book Antiqua" w:eastAsia="Calibri" w:hAnsi="Book Antiqua"/>
          <w:kern w:val="2"/>
          <w:sz w:val="22"/>
          <w:szCs w:val="22"/>
          <w:lang w:val="es-US"/>
        </w:rPr>
        <w:t xml:space="preserve">In </w:t>
      </w:r>
      <w:proofErr w:type="spellStart"/>
      <w:r w:rsidRPr="00B40552">
        <w:rPr>
          <w:rFonts w:ascii="Book Antiqua" w:eastAsia="Calibri" w:hAnsi="Book Antiqua"/>
          <w:kern w:val="2"/>
          <w:sz w:val="22"/>
          <w:szCs w:val="22"/>
          <w:lang w:val="es-US"/>
        </w:rPr>
        <w:t>Prosiding</w:t>
      </w:r>
      <w:proofErr w:type="spellEnd"/>
      <w:r w:rsidRPr="00B40552">
        <w:rPr>
          <w:rFonts w:ascii="Book Antiqua" w:eastAsia="Calibri" w:hAnsi="Book Antiqua"/>
          <w:kern w:val="2"/>
          <w:sz w:val="22"/>
          <w:szCs w:val="22"/>
          <w:lang w:val="es-US"/>
        </w:rPr>
        <w:t xml:space="preserve"> </w:t>
      </w:r>
      <w:proofErr w:type="spellStart"/>
      <w:r w:rsidRPr="00B40552">
        <w:rPr>
          <w:rFonts w:ascii="Book Antiqua" w:eastAsia="Calibri" w:hAnsi="Book Antiqua"/>
          <w:kern w:val="2"/>
          <w:sz w:val="22"/>
          <w:szCs w:val="22"/>
          <w:lang w:val="es-US"/>
        </w:rPr>
        <w:t>Seminar</w:t>
      </w:r>
      <w:proofErr w:type="spellEnd"/>
      <w:r w:rsidRPr="00B40552">
        <w:rPr>
          <w:rFonts w:ascii="Book Antiqua" w:eastAsia="Calibri" w:hAnsi="Book Antiqua"/>
          <w:kern w:val="2"/>
          <w:sz w:val="22"/>
          <w:szCs w:val="22"/>
          <w:lang w:val="es-US"/>
        </w:rPr>
        <w:t xml:space="preserve"> </w:t>
      </w:r>
      <w:proofErr w:type="spellStart"/>
      <w:r w:rsidRPr="00B40552">
        <w:rPr>
          <w:rFonts w:ascii="Book Antiqua" w:eastAsia="Calibri" w:hAnsi="Book Antiqua"/>
          <w:kern w:val="2"/>
          <w:sz w:val="22"/>
          <w:szCs w:val="22"/>
          <w:lang w:val="es-US"/>
        </w:rPr>
        <w:t>Nasional</w:t>
      </w:r>
      <w:proofErr w:type="spellEnd"/>
      <w:r w:rsidRPr="00B40552">
        <w:rPr>
          <w:rFonts w:ascii="Book Antiqua" w:eastAsia="Calibri" w:hAnsi="Book Antiqua"/>
          <w:kern w:val="2"/>
          <w:sz w:val="22"/>
          <w:szCs w:val="22"/>
          <w:lang w:val="es-US"/>
        </w:rPr>
        <w:t xml:space="preserve"> </w:t>
      </w:r>
      <w:proofErr w:type="spellStart"/>
      <w:r w:rsidRPr="00B40552">
        <w:rPr>
          <w:rFonts w:ascii="Book Antiqua" w:eastAsia="Calibri" w:hAnsi="Book Antiqua"/>
          <w:kern w:val="2"/>
          <w:sz w:val="22"/>
          <w:szCs w:val="22"/>
          <w:lang w:val="es-US"/>
        </w:rPr>
        <w:t>Pascasarjana</w:t>
      </w:r>
      <w:proofErr w:type="spellEnd"/>
      <w:r w:rsidRPr="00B40552">
        <w:rPr>
          <w:rFonts w:ascii="Book Antiqua" w:eastAsia="Calibri" w:hAnsi="Book Antiqua"/>
          <w:kern w:val="2"/>
          <w:sz w:val="22"/>
          <w:szCs w:val="22"/>
          <w:lang w:val="es-US"/>
        </w:rPr>
        <w:t xml:space="preserve"> (Vol. 2, No. 1, pp. 163-171). https://proceedings.unnes.ac.id/snpasca/article/download/267/394</w:t>
      </w:r>
    </w:p>
    <w:p w14:paraId="5101AF31" w14:textId="77777777" w:rsidR="00FD5450" w:rsidRPr="00FD5450" w:rsidRDefault="00FD5450" w:rsidP="00FD5450">
      <w:pPr>
        <w:spacing w:after="160" w:line="259" w:lineRule="auto"/>
        <w:ind w:left="720" w:hanging="720"/>
        <w:jc w:val="both"/>
        <w:rPr>
          <w:rFonts w:ascii="Book Antiqua" w:eastAsia="Calibri" w:hAnsi="Book Antiqua"/>
          <w:kern w:val="2"/>
          <w:sz w:val="22"/>
          <w:szCs w:val="22"/>
          <w:lang w:val="en-PH"/>
        </w:rPr>
      </w:pPr>
      <w:proofErr w:type="spellStart"/>
      <w:r w:rsidRPr="00FD5450">
        <w:rPr>
          <w:rFonts w:ascii="Book Antiqua" w:eastAsia="Calibri" w:hAnsi="Book Antiqua"/>
          <w:kern w:val="2"/>
          <w:sz w:val="22"/>
          <w:szCs w:val="22"/>
          <w:lang w:val="en-PH"/>
        </w:rPr>
        <w:t>Fajaryati</w:t>
      </w:r>
      <w:proofErr w:type="spellEnd"/>
      <w:r w:rsidRPr="00FD5450">
        <w:rPr>
          <w:rFonts w:ascii="Book Antiqua" w:eastAsia="Calibri" w:hAnsi="Book Antiqua"/>
          <w:kern w:val="2"/>
          <w:sz w:val="22"/>
          <w:szCs w:val="22"/>
          <w:lang w:val="en-PH"/>
        </w:rPr>
        <w:t xml:space="preserve">, N., </w:t>
      </w:r>
      <w:proofErr w:type="spellStart"/>
      <w:r w:rsidRPr="00FD5450">
        <w:rPr>
          <w:rFonts w:ascii="Book Antiqua" w:eastAsia="Calibri" w:hAnsi="Book Antiqua"/>
          <w:kern w:val="2"/>
          <w:sz w:val="22"/>
          <w:szCs w:val="22"/>
          <w:lang w:val="en-PH"/>
        </w:rPr>
        <w:t>Budiyono</w:t>
      </w:r>
      <w:proofErr w:type="spellEnd"/>
      <w:r w:rsidRPr="00FD5450">
        <w:rPr>
          <w:rFonts w:ascii="Book Antiqua" w:eastAsia="Calibri" w:hAnsi="Book Antiqua"/>
          <w:kern w:val="2"/>
          <w:sz w:val="22"/>
          <w:szCs w:val="22"/>
          <w:lang w:val="en-PH"/>
        </w:rPr>
        <w:t xml:space="preserve">, B., </w:t>
      </w:r>
      <w:proofErr w:type="spellStart"/>
      <w:r w:rsidRPr="00FD5450">
        <w:rPr>
          <w:rFonts w:ascii="Book Antiqua" w:eastAsia="Calibri" w:hAnsi="Book Antiqua"/>
          <w:kern w:val="2"/>
          <w:sz w:val="22"/>
          <w:szCs w:val="22"/>
          <w:lang w:val="en-PH"/>
        </w:rPr>
        <w:t>Akhyar</w:t>
      </w:r>
      <w:proofErr w:type="spellEnd"/>
      <w:r w:rsidRPr="00FD5450">
        <w:rPr>
          <w:rFonts w:ascii="Book Antiqua" w:eastAsia="Calibri" w:hAnsi="Book Antiqua"/>
          <w:kern w:val="2"/>
          <w:sz w:val="22"/>
          <w:szCs w:val="22"/>
          <w:lang w:val="en-PH"/>
        </w:rPr>
        <w:t xml:space="preserve">, M., &amp; </w:t>
      </w:r>
      <w:proofErr w:type="spellStart"/>
      <w:r w:rsidRPr="00FD5450">
        <w:rPr>
          <w:rFonts w:ascii="Book Antiqua" w:eastAsia="Calibri" w:hAnsi="Book Antiqua"/>
          <w:kern w:val="2"/>
          <w:sz w:val="22"/>
          <w:szCs w:val="22"/>
          <w:lang w:val="en-PH"/>
        </w:rPr>
        <w:t>Wiranto</w:t>
      </w:r>
      <w:proofErr w:type="spellEnd"/>
      <w:r w:rsidRPr="00FD5450">
        <w:rPr>
          <w:rFonts w:ascii="Book Antiqua" w:eastAsia="Calibri" w:hAnsi="Book Antiqua"/>
          <w:kern w:val="2"/>
          <w:sz w:val="22"/>
          <w:szCs w:val="22"/>
          <w:lang w:val="en-PH"/>
        </w:rPr>
        <w:t xml:space="preserve">, W. (2020). The employability skills needed to </w:t>
      </w:r>
      <w:proofErr w:type="gramStart"/>
      <w:r w:rsidRPr="00FD5450">
        <w:rPr>
          <w:rFonts w:ascii="Book Antiqua" w:eastAsia="Calibri" w:hAnsi="Book Antiqua"/>
          <w:kern w:val="2"/>
          <w:sz w:val="22"/>
          <w:szCs w:val="22"/>
          <w:lang w:val="en-PH"/>
        </w:rPr>
        <w:t>face  the</w:t>
      </w:r>
      <w:proofErr w:type="gramEnd"/>
      <w:r w:rsidRPr="00FD5450">
        <w:rPr>
          <w:rFonts w:ascii="Book Antiqua" w:eastAsia="Calibri" w:hAnsi="Book Antiqua"/>
          <w:kern w:val="2"/>
          <w:sz w:val="22"/>
          <w:szCs w:val="22"/>
          <w:lang w:val="en-PH"/>
        </w:rPr>
        <w:t xml:space="preserve"> demands of work in the future: Systematic </w:t>
      </w:r>
      <w:r w:rsidRPr="00FD5450">
        <w:rPr>
          <w:rFonts w:ascii="Book Antiqua" w:eastAsia="Calibri" w:hAnsi="Book Antiqua"/>
          <w:kern w:val="2"/>
          <w:sz w:val="22"/>
          <w:szCs w:val="22"/>
          <w:lang w:val="en-PH"/>
        </w:rPr>
        <w:lastRenderedPageBreak/>
        <w:t>literature reviews. Open Engineering, 10(1), 595–603. https://doi.org/10.1515/eng-2020-0072</w:t>
      </w:r>
    </w:p>
    <w:p w14:paraId="48AABB59" w14:textId="77777777" w:rsidR="00FD5450" w:rsidRPr="00FD5450" w:rsidRDefault="00FD5450" w:rsidP="00FD5450">
      <w:pPr>
        <w:spacing w:after="160" w:line="259" w:lineRule="auto"/>
        <w:ind w:left="720" w:hanging="720"/>
        <w:jc w:val="both"/>
        <w:rPr>
          <w:rFonts w:ascii="Book Antiqua" w:eastAsia="Calibri" w:hAnsi="Book Antiqua"/>
          <w:kern w:val="2"/>
          <w:sz w:val="22"/>
          <w:szCs w:val="22"/>
          <w:lang w:val="en-PH"/>
        </w:rPr>
      </w:pPr>
      <w:proofErr w:type="spellStart"/>
      <w:r w:rsidRPr="00FD5450">
        <w:rPr>
          <w:rFonts w:ascii="Book Antiqua" w:eastAsia="Calibri" w:hAnsi="Book Antiqua"/>
          <w:kern w:val="2"/>
          <w:sz w:val="22"/>
          <w:szCs w:val="22"/>
          <w:lang w:val="en-PH"/>
        </w:rPr>
        <w:t>Longe</w:t>
      </w:r>
      <w:proofErr w:type="spellEnd"/>
      <w:r w:rsidRPr="00FD5450">
        <w:rPr>
          <w:rFonts w:ascii="Book Antiqua" w:eastAsia="Calibri" w:hAnsi="Book Antiqua"/>
          <w:kern w:val="2"/>
          <w:sz w:val="22"/>
          <w:szCs w:val="22"/>
          <w:lang w:val="en-PH"/>
        </w:rPr>
        <w:t xml:space="preserve">, B. (2020). Correlational research designs: Types, examples &amp; methods. </w:t>
      </w:r>
      <w:proofErr w:type="spellStart"/>
      <w:r w:rsidRPr="00FD5450">
        <w:rPr>
          <w:rFonts w:ascii="Book Antiqua" w:eastAsia="Calibri" w:hAnsi="Book Antiqua"/>
          <w:kern w:val="2"/>
          <w:sz w:val="22"/>
          <w:szCs w:val="22"/>
          <w:lang w:val="en-PH"/>
        </w:rPr>
        <w:t>Formplus</w:t>
      </w:r>
      <w:proofErr w:type="spellEnd"/>
      <w:r w:rsidRPr="00FD5450">
        <w:rPr>
          <w:rFonts w:ascii="Book Antiqua" w:eastAsia="Calibri" w:hAnsi="Book Antiqua"/>
          <w:kern w:val="2"/>
          <w:sz w:val="22"/>
          <w:szCs w:val="22"/>
          <w:lang w:val="en-PH"/>
        </w:rPr>
        <w:t>.</w:t>
      </w:r>
    </w:p>
    <w:p w14:paraId="58E22949" w14:textId="77777777" w:rsidR="00FD5450" w:rsidRPr="00FD5450" w:rsidRDefault="00FD5450" w:rsidP="00FD5450">
      <w:pPr>
        <w:spacing w:after="160" w:line="259" w:lineRule="auto"/>
        <w:ind w:left="720" w:hanging="720"/>
        <w:jc w:val="both"/>
        <w:rPr>
          <w:rFonts w:ascii="Book Antiqua" w:eastAsia="Calibri" w:hAnsi="Book Antiqua"/>
          <w:kern w:val="2"/>
          <w:sz w:val="22"/>
          <w:szCs w:val="22"/>
          <w:lang w:val="en-PH"/>
        </w:rPr>
      </w:pPr>
      <w:proofErr w:type="spellStart"/>
      <w:r w:rsidRPr="00FD5450">
        <w:rPr>
          <w:rFonts w:ascii="Book Antiqua" w:eastAsia="Calibri" w:hAnsi="Book Antiqua"/>
          <w:kern w:val="2"/>
          <w:sz w:val="22"/>
          <w:szCs w:val="22"/>
          <w:lang w:val="en-PH"/>
        </w:rPr>
        <w:t>Marope</w:t>
      </w:r>
      <w:proofErr w:type="spellEnd"/>
      <w:r w:rsidRPr="00FD5450">
        <w:rPr>
          <w:rFonts w:ascii="Book Antiqua" w:eastAsia="Calibri" w:hAnsi="Book Antiqua"/>
          <w:kern w:val="2"/>
          <w:sz w:val="22"/>
          <w:szCs w:val="22"/>
          <w:lang w:val="en-PH"/>
        </w:rPr>
        <w:t xml:space="preserve">, P. T. M., </w:t>
      </w:r>
      <w:proofErr w:type="spellStart"/>
      <w:r w:rsidRPr="00FD5450">
        <w:rPr>
          <w:rFonts w:ascii="Book Antiqua" w:eastAsia="Calibri" w:hAnsi="Book Antiqua"/>
          <w:kern w:val="2"/>
          <w:sz w:val="22"/>
          <w:szCs w:val="22"/>
          <w:lang w:val="en-PH"/>
        </w:rPr>
        <w:t>Chakroun</w:t>
      </w:r>
      <w:proofErr w:type="spellEnd"/>
      <w:r w:rsidRPr="00FD5450">
        <w:rPr>
          <w:rFonts w:ascii="Book Antiqua" w:eastAsia="Calibri" w:hAnsi="Book Antiqua"/>
          <w:kern w:val="2"/>
          <w:sz w:val="22"/>
          <w:szCs w:val="22"/>
          <w:lang w:val="en-PH"/>
        </w:rPr>
        <w:t>, B., &amp; Holmes, K. P. (2015). Unleashing the potential: Transforming technical and vocational education and training. UNESCO Publishing.</w:t>
      </w:r>
    </w:p>
    <w:p w14:paraId="7756BB32" w14:textId="77777777" w:rsidR="00FD5450" w:rsidRPr="00FD5450" w:rsidRDefault="00FD5450" w:rsidP="00FD5450">
      <w:pPr>
        <w:spacing w:after="160" w:line="259" w:lineRule="auto"/>
        <w:ind w:left="720" w:hanging="720"/>
        <w:jc w:val="both"/>
        <w:rPr>
          <w:rFonts w:ascii="Book Antiqua" w:eastAsia="Calibri" w:hAnsi="Book Antiqua"/>
          <w:kern w:val="2"/>
          <w:sz w:val="22"/>
          <w:szCs w:val="22"/>
          <w:lang w:val="en-PH"/>
        </w:rPr>
      </w:pPr>
      <w:proofErr w:type="spellStart"/>
      <w:r w:rsidRPr="00FD5450">
        <w:rPr>
          <w:rFonts w:ascii="Book Antiqua" w:eastAsia="Calibri" w:hAnsi="Book Antiqua"/>
          <w:kern w:val="2"/>
          <w:sz w:val="22"/>
          <w:szCs w:val="22"/>
          <w:lang w:val="en-PH"/>
        </w:rPr>
        <w:t>Rahmah</w:t>
      </w:r>
      <w:proofErr w:type="spellEnd"/>
      <w:r w:rsidRPr="00FD5450">
        <w:rPr>
          <w:rFonts w:ascii="Book Antiqua" w:eastAsia="Calibri" w:hAnsi="Book Antiqua"/>
          <w:kern w:val="2"/>
          <w:sz w:val="22"/>
          <w:szCs w:val="22"/>
          <w:lang w:val="en-PH"/>
        </w:rPr>
        <w:t>, L., &amp; Muslim, S. (2019). Implementation of Competence Certification Test for the Improvement of Vocational School of Work Graduation Readiness. 379(</w:t>
      </w:r>
      <w:proofErr w:type="spellStart"/>
      <w:r w:rsidRPr="00FD5450">
        <w:rPr>
          <w:rFonts w:ascii="Book Antiqua" w:eastAsia="Calibri" w:hAnsi="Book Antiqua"/>
          <w:kern w:val="2"/>
          <w:sz w:val="22"/>
          <w:szCs w:val="22"/>
          <w:lang w:val="en-PH"/>
        </w:rPr>
        <w:t>Veic</w:t>
      </w:r>
      <w:proofErr w:type="spellEnd"/>
      <w:r w:rsidRPr="00FD5450">
        <w:rPr>
          <w:rFonts w:ascii="Book Antiqua" w:eastAsia="Calibri" w:hAnsi="Book Antiqua"/>
          <w:kern w:val="2"/>
          <w:sz w:val="22"/>
          <w:szCs w:val="22"/>
          <w:lang w:val="en-PH"/>
        </w:rPr>
        <w:t>), 230–237.  https://doi.org/10.2991/assehr.k.191217.038</w:t>
      </w:r>
    </w:p>
    <w:p w14:paraId="555859A9" w14:textId="77777777" w:rsidR="00FD5450" w:rsidRPr="00FD5450" w:rsidRDefault="00FD5450" w:rsidP="00FD5450">
      <w:pPr>
        <w:spacing w:after="160" w:line="259" w:lineRule="auto"/>
        <w:ind w:left="720" w:hanging="720"/>
        <w:jc w:val="both"/>
        <w:rPr>
          <w:rFonts w:ascii="Book Antiqua" w:eastAsia="Calibri" w:hAnsi="Book Antiqua"/>
          <w:kern w:val="2"/>
          <w:sz w:val="22"/>
          <w:szCs w:val="22"/>
          <w:lang w:val="en-PH"/>
        </w:rPr>
      </w:pPr>
      <w:proofErr w:type="spellStart"/>
      <w:r w:rsidRPr="00B40552">
        <w:rPr>
          <w:rFonts w:ascii="Book Antiqua" w:eastAsia="Calibri" w:hAnsi="Book Antiqua"/>
          <w:kern w:val="2"/>
          <w:sz w:val="22"/>
          <w:szCs w:val="22"/>
          <w:lang w:val="es-US"/>
        </w:rPr>
        <w:t>Syauqi</w:t>
      </w:r>
      <w:proofErr w:type="spellEnd"/>
      <w:r w:rsidRPr="00B40552">
        <w:rPr>
          <w:rFonts w:ascii="Book Antiqua" w:eastAsia="Calibri" w:hAnsi="Book Antiqua"/>
          <w:kern w:val="2"/>
          <w:sz w:val="22"/>
          <w:szCs w:val="22"/>
          <w:lang w:val="es-US"/>
        </w:rPr>
        <w:t xml:space="preserve">, K., </w:t>
      </w:r>
      <w:proofErr w:type="spellStart"/>
      <w:r w:rsidRPr="00B40552">
        <w:rPr>
          <w:rFonts w:ascii="Book Antiqua" w:eastAsia="Calibri" w:hAnsi="Book Antiqua"/>
          <w:kern w:val="2"/>
          <w:sz w:val="22"/>
          <w:szCs w:val="22"/>
          <w:lang w:val="es-US"/>
        </w:rPr>
        <w:t>Ardian</w:t>
      </w:r>
      <w:proofErr w:type="spellEnd"/>
      <w:r w:rsidRPr="00B40552">
        <w:rPr>
          <w:rFonts w:ascii="Book Antiqua" w:eastAsia="Calibri" w:hAnsi="Book Antiqua"/>
          <w:kern w:val="2"/>
          <w:sz w:val="22"/>
          <w:szCs w:val="22"/>
          <w:lang w:val="es-US"/>
        </w:rPr>
        <w:t xml:space="preserve">, A., &amp; </w:t>
      </w:r>
      <w:proofErr w:type="spellStart"/>
      <w:r w:rsidRPr="00B40552">
        <w:rPr>
          <w:rFonts w:ascii="Book Antiqua" w:eastAsia="Calibri" w:hAnsi="Book Antiqua"/>
          <w:kern w:val="2"/>
          <w:sz w:val="22"/>
          <w:szCs w:val="22"/>
          <w:lang w:val="es-US"/>
        </w:rPr>
        <w:t>Sugiyono</w:t>
      </w:r>
      <w:proofErr w:type="spellEnd"/>
      <w:r w:rsidRPr="00B40552">
        <w:rPr>
          <w:rFonts w:ascii="Book Antiqua" w:eastAsia="Calibri" w:hAnsi="Book Antiqua"/>
          <w:kern w:val="2"/>
          <w:sz w:val="22"/>
          <w:szCs w:val="22"/>
          <w:lang w:val="es-US"/>
        </w:rPr>
        <w:t xml:space="preserve">, S. (2025). </w:t>
      </w:r>
      <w:r w:rsidRPr="00FD5450">
        <w:rPr>
          <w:rFonts w:ascii="Book Antiqua" w:eastAsia="Calibri" w:hAnsi="Book Antiqua"/>
          <w:kern w:val="2"/>
          <w:sz w:val="22"/>
          <w:szCs w:val="22"/>
          <w:lang w:val="en-PH"/>
        </w:rPr>
        <w:t>Strategy for Improving SMAW Welding Practice Learning: Case Study at Vocational High School. Journal of Vocational Education Studies, 8(2), 304-318. doi.org/10.12928/</w:t>
      </w:r>
      <w:proofErr w:type="gramStart"/>
      <w:r w:rsidRPr="00FD5450">
        <w:rPr>
          <w:rFonts w:ascii="Book Antiqua" w:eastAsia="Calibri" w:hAnsi="Book Antiqua"/>
          <w:kern w:val="2"/>
          <w:sz w:val="22"/>
          <w:szCs w:val="22"/>
          <w:lang w:val="en-PH"/>
        </w:rPr>
        <w:t>joves.v</w:t>
      </w:r>
      <w:proofErr w:type="gramEnd"/>
      <w:r w:rsidRPr="00FD5450">
        <w:rPr>
          <w:rFonts w:ascii="Book Antiqua" w:eastAsia="Calibri" w:hAnsi="Book Antiqua"/>
          <w:kern w:val="2"/>
          <w:sz w:val="22"/>
          <w:szCs w:val="22"/>
          <w:lang w:val="en-PH"/>
        </w:rPr>
        <w:t>8i2.12594</w:t>
      </w:r>
    </w:p>
    <w:p w14:paraId="397482D5" w14:textId="77777777" w:rsidR="00FD5450" w:rsidRPr="00FD5450" w:rsidRDefault="00FD5450" w:rsidP="00FD5450">
      <w:pPr>
        <w:spacing w:after="160" w:line="259" w:lineRule="auto"/>
        <w:ind w:left="720" w:hanging="720"/>
        <w:jc w:val="both"/>
        <w:rPr>
          <w:rFonts w:ascii="Book Antiqua" w:eastAsia="Calibri" w:hAnsi="Book Antiqua"/>
          <w:kern w:val="2"/>
          <w:sz w:val="22"/>
          <w:szCs w:val="22"/>
          <w:lang w:val="en-PH"/>
        </w:rPr>
      </w:pPr>
      <w:r w:rsidRPr="00FD5450">
        <w:rPr>
          <w:rFonts w:ascii="Book Antiqua" w:eastAsia="Calibri" w:hAnsi="Book Antiqua"/>
          <w:kern w:val="2"/>
          <w:sz w:val="22"/>
          <w:szCs w:val="22"/>
          <w:lang w:val="en-PH"/>
        </w:rPr>
        <w:t>Technical Education and Skills Development Authority – PTC</w:t>
      </w:r>
      <w:r w:rsidRPr="00FD5450">
        <w:rPr>
          <w:rFonts w:ascii="Cambria Math" w:eastAsia="Calibri" w:hAnsi="Cambria Math" w:cs="Cambria Math"/>
          <w:kern w:val="2"/>
          <w:sz w:val="22"/>
          <w:szCs w:val="22"/>
          <w:lang w:val="en-PH"/>
        </w:rPr>
        <w:t>‑</w:t>
      </w:r>
      <w:r w:rsidRPr="00FD5450">
        <w:rPr>
          <w:rFonts w:ascii="Book Antiqua" w:eastAsia="Calibri" w:hAnsi="Book Antiqua"/>
          <w:kern w:val="2"/>
          <w:sz w:val="22"/>
          <w:szCs w:val="22"/>
          <w:lang w:val="en-PH"/>
        </w:rPr>
        <w:t>SDN. (n.d.). Shielded Metal Arc Welding (SMAW) NC II qualification details. Retrieved from https://sites.google.com/tesda.gov.ph/tesda-ptc-sdn/programs-and-services/program-offerings/qualifications/smaw-nc-ii</w:t>
      </w:r>
    </w:p>
    <w:p w14:paraId="45CC086F" w14:textId="77777777" w:rsidR="00FD5450" w:rsidRPr="00FD5450" w:rsidRDefault="00FD5450" w:rsidP="00FD5450">
      <w:pPr>
        <w:spacing w:after="160" w:line="259" w:lineRule="auto"/>
        <w:ind w:left="720" w:hanging="720"/>
        <w:jc w:val="both"/>
        <w:rPr>
          <w:rFonts w:ascii="Book Antiqua" w:eastAsia="Calibri" w:hAnsi="Book Antiqua"/>
          <w:kern w:val="2"/>
          <w:sz w:val="22"/>
          <w:szCs w:val="22"/>
          <w:lang w:val="en-PH"/>
        </w:rPr>
      </w:pPr>
      <w:r w:rsidRPr="00FD5450">
        <w:rPr>
          <w:rFonts w:ascii="Book Antiqua" w:eastAsia="Calibri" w:hAnsi="Book Antiqua"/>
          <w:kern w:val="2"/>
          <w:sz w:val="22"/>
          <w:szCs w:val="22"/>
          <w:lang w:val="en-PH"/>
        </w:rPr>
        <w:t>Technical Education and Skills Development Authority – SNCAT. (2020). Shielded Metal Arc Welding (SMAW) NC II competencies. Retrieved from https://sites.google.com/tesda.gov.ph/sncat-tesda/mobile-training-program-mtp/shielded-metal-arc-welding-nc-smaw-ii</w:t>
      </w:r>
    </w:p>
    <w:p w14:paraId="3F6C691C" w14:textId="77777777" w:rsidR="00FD5450" w:rsidRPr="00FD5450" w:rsidRDefault="00FD5450" w:rsidP="00FD5450">
      <w:pPr>
        <w:spacing w:after="160" w:line="259" w:lineRule="auto"/>
        <w:ind w:left="720" w:hanging="720"/>
        <w:jc w:val="both"/>
        <w:rPr>
          <w:rFonts w:ascii="Book Antiqua" w:eastAsia="Calibri" w:hAnsi="Book Antiqua"/>
          <w:kern w:val="2"/>
          <w:sz w:val="22"/>
          <w:szCs w:val="22"/>
          <w:lang w:val="en-PH"/>
        </w:rPr>
      </w:pPr>
      <w:r w:rsidRPr="00FD5450">
        <w:rPr>
          <w:rFonts w:ascii="Book Antiqua" w:eastAsia="Calibri" w:hAnsi="Book Antiqua"/>
          <w:kern w:val="2"/>
          <w:sz w:val="22"/>
          <w:szCs w:val="22"/>
          <w:lang w:val="en-PH"/>
        </w:rPr>
        <w:t>Technical Education and Skills Development Authority. (n.d.). Training regulations (SMAW). Retrieved fromhttps://www.tesda.gov.ph/Download/Training_Regulations?SearchTitle=SMAW&amp;Searchcat=System.Web.Mvc.SelectList</w:t>
      </w:r>
    </w:p>
    <w:p w14:paraId="3D092865" w14:textId="77777777" w:rsidR="00FD5450" w:rsidRPr="00FD5450" w:rsidRDefault="00FD5450" w:rsidP="00FD5450">
      <w:pPr>
        <w:spacing w:after="160" w:line="259" w:lineRule="auto"/>
        <w:ind w:left="720" w:hanging="720"/>
        <w:jc w:val="both"/>
        <w:rPr>
          <w:rFonts w:ascii="Book Antiqua" w:eastAsia="Calibri" w:hAnsi="Book Antiqua"/>
          <w:kern w:val="2"/>
          <w:sz w:val="22"/>
          <w:szCs w:val="22"/>
          <w:lang w:val="en-PH"/>
        </w:rPr>
      </w:pPr>
      <w:proofErr w:type="spellStart"/>
      <w:r w:rsidRPr="00FD5450">
        <w:rPr>
          <w:rFonts w:ascii="Book Antiqua" w:eastAsia="Calibri" w:hAnsi="Book Antiqua"/>
          <w:kern w:val="2"/>
          <w:sz w:val="22"/>
          <w:szCs w:val="22"/>
          <w:lang w:val="en-PH"/>
        </w:rPr>
        <w:t>Wettaka</w:t>
      </w:r>
      <w:proofErr w:type="spellEnd"/>
      <w:r w:rsidRPr="00FD5450">
        <w:rPr>
          <w:rFonts w:ascii="Book Antiqua" w:eastAsia="Calibri" w:hAnsi="Book Antiqua"/>
          <w:kern w:val="2"/>
          <w:sz w:val="22"/>
          <w:szCs w:val="22"/>
          <w:lang w:val="en-PH"/>
        </w:rPr>
        <w:t>, J. (2020). Improving hands-on training for skill acquisition of engineering Students at the department of mechanical and production engineering, Kyambogo university (Doctoral dissertation, Kyambogo University (un published work)</w:t>
      </w:r>
    </w:p>
    <w:p w14:paraId="235F80A3" w14:textId="77777777" w:rsidR="00FD5450" w:rsidRPr="00FD5450" w:rsidRDefault="00FD5450" w:rsidP="00FD5450">
      <w:pPr>
        <w:spacing w:after="160" w:line="259" w:lineRule="auto"/>
        <w:ind w:left="720" w:hanging="720"/>
        <w:jc w:val="both"/>
        <w:rPr>
          <w:rFonts w:ascii="Book Antiqua" w:eastAsia="Calibri" w:hAnsi="Book Antiqua"/>
          <w:kern w:val="2"/>
          <w:sz w:val="22"/>
          <w:szCs w:val="22"/>
          <w:lang w:val="en-PH"/>
        </w:rPr>
      </w:pPr>
      <w:r w:rsidRPr="00FD5450">
        <w:rPr>
          <w:rFonts w:ascii="Book Antiqua" w:eastAsia="Calibri" w:hAnsi="Book Antiqua"/>
          <w:kern w:val="2"/>
          <w:sz w:val="22"/>
          <w:szCs w:val="22"/>
          <w:lang w:val="en-PH"/>
        </w:rPr>
        <w:t>Yoshida, Y. M. (2025). Work readiness of senior high school students in the Technical-Vocational-Livelihood track. International Journal of Pedagogy and Learning Community (IJPLC), 2(1), 1-12. DOI:10.24036/2ytjvj68</w:t>
      </w:r>
    </w:p>
    <w:p w14:paraId="21D6ADCE" w14:textId="77777777" w:rsidR="00FD5450" w:rsidRPr="00FD5450" w:rsidRDefault="00FD5450" w:rsidP="00FD5450">
      <w:pPr>
        <w:spacing w:after="160" w:line="259" w:lineRule="auto"/>
        <w:rPr>
          <w:rFonts w:ascii="Calibri" w:eastAsia="Calibri" w:hAnsi="Calibri"/>
          <w:kern w:val="2"/>
          <w:sz w:val="22"/>
          <w:szCs w:val="22"/>
          <w:lang w:val="en-PH"/>
        </w:rPr>
      </w:pPr>
      <w:r w:rsidRPr="00FD5450">
        <w:rPr>
          <w:rFonts w:ascii="Calibri" w:eastAsia="Calibri" w:hAnsi="Calibri"/>
          <w:kern w:val="2"/>
          <w:sz w:val="22"/>
          <w:szCs w:val="22"/>
          <w:lang w:val="en-PH"/>
        </w:rPr>
        <w:t xml:space="preserve">. </w:t>
      </w:r>
    </w:p>
    <w:p w14:paraId="43D68157" w14:textId="77777777" w:rsidR="00FD5450" w:rsidRPr="00FD5450" w:rsidRDefault="00FD5450" w:rsidP="00FD5450">
      <w:pPr>
        <w:spacing w:after="160" w:line="259" w:lineRule="auto"/>
        <w:rPr>
          <w:rFonts w:ascii="Calibri" w:eastAsia="Calibri" w:hAnsi="Calibri"/>
          <w:kern w:val="2"/>
          <w:sz w:val="22"/>
          <w:szCs w:val="22"/>
          <w:lang w:val="en-PH"/>
        </w:rPr>
      </w:pPr>
    </w:p>
    <w:p w14:paraId="172CC7B7" w14:textId="77777777" w:rsidR="00FD5450" w:rsidRPr="00FD5450" w:rsidRDefault="00FD5450" w:rsidP="00FD5450">
      <w:pPr>
        <w:spacing w:after="4" w:line="475" w:lineRule="auto"/>
        <w:ind w:right="49" w:firstLine="710"/>
        <w:jc w:val="both"/>
        <w:rPr>
          <w:rFonts w:ascii="Book Antiqua" w:eastAsia="Book Antiqua" w:hAnsi="Book Antiqua" w:cs="Book Antiqua"/>
          <w:color w:val="000000"/>
          <w:szCs w:val="22"/>
        </w:rPr>
      </w:pPr>
    </w:p>
    <w:p w14:paraId="7A8B8881" w14:textId="77777777" w:rsidR="00B01FCD" w:rsidRPr="00FB3A86" w:rsidRDefault="00B01FCD" w:rsidP="00FD5450">
      <w:pPr>
        <w:pStyle w:val="Body"/>
        <w:spacing w:after="0"/>
        <w:rPr>
          <w:rFonts w:ascii="Arial" w:hAnsi="Arial" w:cs="Arial"/>
          <w:b/>
        </w:rPr>
      </w:pPr>
    </w:p>
    <w:sectPr w:rsidR="00B01FCD" w:rsidRPr="00FB3A86" w:rsidSect="00E62173">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0E002" w14:textId="77777777" w:rsidR="00B60110" w:rsidRDefault="00B60110" w:rsidP="00C37E61">
      <w:r>
        <w:separator/>
      </w:r>
    </w:p>
  </w:endnote>
  <w:endnote w:type="continuationSeparator" w:id="0">
    <w:p w14:paraId="7F6C5664" w14:textId="77777777" w:rsidR="00B60110" w:rsidRDefault="00B6011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24AAB" w14:textId="77777777" w:rsidR="000A3986" w:rsidRDefault="000A3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B9AB2" w14:textId="77777777" w:rsidR="000A3986" w:rsidRDefault="000A39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C7C91" w14:textId="77777777" w:rsidR="009E048A" w:rsidRDefault="009E048A">
    <w:pPr>
      <w:pStyle w:val="Footer"/>
      <w:rPr>
        <w:rFonts w:ascii="Arial" w:hAnsi="Arial" w:cs="Arial"/>
        <w:sz w:val="16"/>
      </w:rPr>
    </w:pPr>
  </w:p>
  <w:p w14:paraId="4453B61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A7D9461" w14:textId="77777777" w:rsidR="009E048A" w:rsidRDefault="009E048A">
    <w:pPr>
      <w:pStyle w:val="Footer"/>
      <w:rPr>
        <w:rFonts w:ascii="Arial" w:hAnsi="Arial" w:cs="Arial"/>
        <w:sz w:val="16"/>
      </w:rPr>
    </w:pPr>
  </w:p>
  <w:p w14:paraId="1EB2290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1C0B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7CE8E" w14:textId="77777777" w:rsidR="00B60110" w:rsidRDefault="00B60110" w:rsidP="00C37E61">
      <w:r>
        <w:separator/>
      </w:r>
    </w:p>
  </w:footnote>
  <w:footnote w:type="continuationSeparator" w:id="0">
    <w:p w14:paraId="07B95A99" w14:textId="77777777" w:rsidR="00B60110" w:rsidRDefault="00B6011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EDB6F" w14:textId="453C28DD" w:rsidR="000A3986" w:rsidRDefault="000A3986">
    <w:pPr>
      <w:pStyle w:val="Header"/>
    </w:pPr>
    <w:r>
      <w:rPr>
        <w:noProof/>
      </w:rPr>
      <w:pict w14:anchorId="158909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9832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55ED" w14:textId="576F0808" w:rsidR="000A3986" w:rsidRDefault="000A3986">
    <w:pPr>
      <w:pStyle w:val="Header"/>
    </w:pPr>
    <w:r>
      <w:rPr>
        <w:noProof/>
      </w:rPr>
      <w:pict w14:anchorId="1431D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9833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9BD05" w14:textId="68510107" w:rsidR="00296529" w:rsidRPr="00296529" w:rsidRDefault="000A3986" w:rsidP="00296529">
    <w:pPr>
      <w:ind w:left="2160"/>
      <w:jc w:val="center"/>
      <w:rPr>
        <w:rFonts w:ascii="Times New Roman" w:eastAsia="Calibri" w:hAnsi="Times New Roman"/>
        <w:i/>
        <w:sz w:val="18"/>
        <w:szCs w:val="22"/>
      </w:rPr>
    </w:pPr>
    <w:r>
      <w:rPr>
        <w:noProof/>
      </w:rPr>
      <w:pict w14:anchorId="776E9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9832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A65675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3B796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7AD792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50D95F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54046C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DE7424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654FF" w14:textId="55B768CF" w:rsidR="000A3986" w:rsidRDefault="000A3986">
    <w:pPr>
      <w:pStyle w:val="Header"/>
    </w:pPr>
    <w:r>
      <w:rPr>
        <w:noProof/>
      </w:rPr>
      <w:pict w14:anchorId="4DD3E9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9833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2EDD2" w14:textId="4A670DB1" w:rsidR="000A3986" w:rsidRDefault="000A3986">
    <w:pPr>
      <w:pStyle w:val="Header"/>
    </w:pPr>
    <w:r>
      <w:rPr>
        <w:noProof/>
      </w:rPr>
      <w:pict w14:anchorId="206B2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9833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99391" w14:textId="26831D12" w:rsidR="000A3986" w:rsidRDefault="000A3986">
    <w:pPr>
      <w:pStyle w:val="Header"/>
    </w:pPr>
    <w:r>
      <w:rPr>
        <w:noProof/>
      </w:rPr>
      <w:pict w14:anchorId="77FC5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9833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Y1MzE2NzIztTQ0NTRW0lEKTi0uzszPAykwrAUAkY2ElSwAAAA="/>
  </w:docVars>
  <w:rsids>
    <w:rsidRoot w:val="00AA6219"/>
    <w:rsid w:val="00000F8F"/>
    <w:rsid w:val="00012B4C"/>
    <w:rsid w:val="00030174"/>
    <w:rsid w:val="0004579C"/>
    <w:rsid w:val="000A3986"/>
    <w:rsid w:val="000A47FA"/>
    <w:rsid w:val="000A65D3"/>
    <w:rsid w:val="000B1E33"/>
    <w:rsid w:val="000D689F"/>
    <w:rsid w:val="000E544C"/>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0E3A"/>
    <w:rsid w:val="00200595"/>
    <w:rsid w:val="00204835"/>
    <w:rsid w:val="00214458"/>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0979"/>
    <w:rsid w:val="0033343E"/>
    <w:rsid w:val="003512C2"/>
    <w:rsid w:val="00371FB6"/>
    <w:rsid w:val="003763C1"/>
    <w:rsid w:val="00376BBE"/>
    <w:rsid w:val="0039224F"/>
    <w:rsid w:val="003A43A4"/>
    <w:rsid w:val="003A7E18"/>
    <w:rsid w:val="003C4C86"/>
    <w:rsid w:val="003C6258"/>
    <w:rsid w:val="003E0C95"/>
    <w:rsid w:val="003E2904"/>
    <w:rsid w:val="00401927"/>
    <w:rsid w:val="004044FD"/>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82BEB"/>
    <w:rsid w:val="005C784C"/>
    <w:rsid w:val="005D17F6"/>
    <w:rsid w:val="005E5539"/>
    <w:rsid w:val="00602BF5"/>
    <w:rsid w:val="00617FDD"/>
    <w:rsid w:val="00624126"/>
    <w:rsid w:val="00633614"/>
    <w:rsid w:val="00633F68"/>
    <w:rsid w:val="00636EB2"/>
    <w:rsid w:val="006375B8"/>
    <w:rsid w:val="0066510A"/>
    <w:rsid w:val="00673F9F"/>
    <w:rsid w:val="00686953"/>
    <w:rsid w:val="00687DEA"/>
    <w:rsid w:val="00687E67"/>
    <w:rsid w:val="00694B34"/>
    <w:rsid w:val="006967F7"/>
    <w:rsid w:val="006A250C"/>
    <w:rsid w:val="006B21D3"/>
    <w:rsid w:val="006B4C13"/>
    <w:rsid w:val="006B57D0"/>
    <w:rsid w:val="006D30FF"/>
    <w:rsid w:val="006D6940"/>
    <w:rsid w:val="006F11EC"/>
    <w:rsid w:val="0070082C"/>
    <w:rsid w:val="007369E6"/>
    <w:rsid w:val="00746E59"/>
    <w:rsid w:val="00750DDB"/>
    <w:rsid w:val="00753A8A"/>
    <w:rsid w:val="00754C9A"/>
    <w:rsid w:val="0075599A"/>
    <w:rsid w:val="00761D52"/>
    <w:rsid w:val="007716C4"/>
    <w:rsid w:val="0077749E"/>
    <w:rsid w:val="00790ADA"/>
    <w:rsid w:val="007C44B8"/>
    <w:rsid w:val="007C75D7"/>
    <w:rsid w:val="007D2288"/>
    <w:rsid w:val="007E088F"/>
    <w:rsid w:val="007F7B32"/>
    <w:rsid w:val="00804BC2"/>
    <w:rsid w:val="0081431A"/>
    <w:rsid w:val="008220A4"/>
    <w:rsid w:val="0083216F"/>
    <w:rsid w:val="00860000"/>
    <w:rsid w:val="00863BD3"/>
    <w:rsid w:val="008641ED"/>
    <w:rsid w:val="00866D66"/>
    <w:rsid w:val="008671C6"/>
    <w:rsid w:val="00875803"/>
    <w:rsid w:val="008B459E"/>
    <w:rsid w:val="008D32CC"/>
    <w:rsid w:val="008E13AE"/>
    <w:rsid w:val="008E1506"/>
    <w:rsid w:val="008E710C"/>
    <w:rsid w:val="008F69D6"/>
    <w:rsid w:val="00902823"/>
    <w:rsid w:val="00906F8D"/>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6769"/>
    <w:rsid w:val="00A03B96"/>
    <w:rsid w:val="00A05B19"/>
    <w:rsid w:val="00A1134E"/>
    <w:rsid w:val="00A24E7E"/>
    <w:rsid w:val="00A258C3"/>
    <w:rsid w:val="00A347C0"/>
    <w:rsid w:val="00A51431"/>
    <w:rsid w:val="00A539AD"/>
    <w:rsid w:val="00A80D7E"/>
    <w:rsid w:val="00A847C0"/>
    <w:rsid w:val="00A94063"/>
    <w:rsid w:val="00AA6219"/>
    <w:rsid w:val="00AA74E0"/>
    <w:rsid w:val="00AB703F"/>
    <w:rsid w:val="00AC6BB8"/>
    <w:rsid w:val="00AE008F"/>
    <w:rsid w:val="00B01FCD"/>
    <w:rsid w:val="00B1776C"/>
    <w:rsid w:val="00B40552"/>
    <w:rsid w:val="00B52583"/>
    <w:rsid w:val="00B52896"/>
    <w:rsid w:val="00B60110"/>
    <w:rsid w:val="00B77AB0"/>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6DE3"/>
    <w:rsid w:val="00CD6755"/>
    <w:rsid w:val="00CD6856"/>
    <w:rsid w:val="00CE0089"/>
    <w:rsid w:val="00CE793C"/>
    <w:rsid w:val="00CF193C"/>
    <w:rsid w:val="00CF2702"/>
    <w:rsid w:val="00D173F1"/>
    <w:rsid w:val="00D74CB0"/>
    <w:rsid w:val="00D8295D"/>
    <w:rsid w:val="00DC2A65"/>
    <w:rsid w:val="00DE15F0"/>
    <w:rsid w:val="00DE5663"/>
    <w:rsid w:val="00DE78AA"/>
    <w:rsid w:val="00E053D0"/>
    <w:rsid w:val="00E15994"/>
    <w:rsid w:val="00E3114E"/>
    <w:rsid w:val="00E31A70"/>
    <w:rsid w:val="00E35B02"/>
    <w:rsid w:val="00E62173"/>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7DA2"/>
    <w:rsid w:val="00FB3A86"/>
    <w:rsid w:val="00FD36C8"/>
    <w:rsid w:val="00FD5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8789D3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906F8D"/>
    <w:pPr>
      <w:ind w:right="49" w:firstLine="710"/>
      <w:jc w:val="both"/>
    </w:pPr>
    <w:rPr>
      <w:rFonts w:ascii="Book Antiqua" w:eastAsia="Book Antiqua" w:hAnsi="Book Antiqua" w:cs="Book Antiqua"/>
      <w:color w:val="000000"/>
      <w:szCs w:val="22"/>
    </w:rPr>
  </w:style>
  <w:style w:type="paragraph" w:styleId="ListParagraph">
    <w:name w:val="List Paragraph"/>
    <w:basedOn w:val="Normal"/>
    <w:uiPriority w:val="34"/>
    <w:qFormat/>
    <w:rsid w:val="008220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istancelearning.institute/research/descriptive-research-education-methods-appl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56577-F29E-4875-A082-6962744DE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53</TotalTime>
  <Pages>14</Pages>
  <Words>4904</Words>
  <Characters>27957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32796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35</cp:revision>
  <cp:lastPrinted>1999-07-06T11:00:00Z</cp:lastPrinted>
  <dcterms:created xsi:type="dcterms:W3CDTF">2014-10-25T14:34:00Z</dcterms:created>
  <dcterms:modified xsi:type="dcterms:W3CDTF">2026-05-18T14:26:00Z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de08f834-5002-4876-8466-e522de1ba224</vt:lpwstr>
  </property>
</Properties>
</file>