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F1528" w14:textId="581CD717" w:rsidR="00B04762" w:rsidRPr="00B04762" w:rsidRDefault="00B04762" w:rsidP="00B04762">
      <w:pPr>
        <w:spacing w:line="480" w:lineRule="auto"/>
        <w:rPr>
          <w:rFonts w:ascii="Arial" w:hAnsi="Arial" w:cs="Arial"/>
          <w:b/>
          <w:bCs/>
          <w:sz w:val="36"/>
          <w:szCs w:val="36"/>
          <w:u w:val="single"/>
        </w:rPr>
      </w:pPr>
      <w:r w:rsidRPr="00B04762">
        <w:rPr>
          <w:rFonts w:ascii="Arial" w:hAnsi="Arial" w:cs="Arial"/>
          <w:b/>
          <w:bCs/>
          <w:sz w:val="36"/>
          <w:szCs w:val="36"/>
          <w:u w:val="single"/>
        </w:rPr>
        <w:t>Original Research Article</w:t>
      </w:r>
    </w:p>
    <w:p w14:paraId="0470142E" w14:textId="77777777" w:rsidR="00B04762" w:rsidRPr="00B04762" w:rsidRDefault="00B04762" w:rsidP="00B04762">
      <w:pPr>
        <w:spacing w:line="480" w:lineRule="auto"/>
        <w:jc w:val="center"/>
        <w:rPr>
          <w:rFonts w:ascii="Arial" w:hAnsi="Arial" w:cs="Arial"/>
          <w:b/>
          <w:bCs/>
          <w:sz w:val="32"/>
          <w:szCs w:val="36"/>
        </w:rPr>
      </w:pPr>
      <w:r w:rsidRPr="00B04762">
        <w:rPr>
          <w:rFonts w:ascii="Arial" w:hAnsi="Arial" w:cs="Arial"/>
          <w:b/>
          <w:bCs/>
          <w:sz w:val="32"/>
          <w:szCs w:val="36"/>
        </w:rPr>
        <w:t>Modelling the Transport of Crude Oil in the Unsaturated Zone</w:t>
      </w:r>
    </w:p>
    <w:p w14:paraId="45CF9D88" w14:textId="77777777" w:rsidR="001C7430" w:rsidRDefault="001C7430" w:rsidP="00C370F8">
      <w:pPr>
        <w:pStyle w:val="NormalWeb"/>
        <w:spacing w:before="300" w:beforeAutospacing="0" w:after="300" w:afterAutospacing="0" w:line="480" w:lineRule="auto"/>
        <w:jc w:val="both"/>
        <w:rPr>
          <w:rFonts w:ascii="Arial" w:hAnsi="Arial" w:cs="Arial"/>
          <w:b/>
          <w:bCs/>
          <w:sz w:val="22"/>
          <w:szCs w:val="22"/>
        </w:rPr>
      </w:pPr>
    </w:p>
    <w:p w14:paraId="1E463D07" w14:textId="77777777" w:rsidR="001C7430" w:rsidRDefault="001C7430" w:rsidP="00C370F8">
      <w:pPr>
        <w:pStyle w:val="NormalWeb"/>
        <w:spacing w:before="300" w:beforeAutospacing="0" w:after="300" w:afterAutospacing="0" w:line="480" w:lineRule="auto"/>
        <w:jc w:val="both"/>
        <w:rPr>
          <w:rFonts w:ascii="Arial" w:hAnsi="Arial" w:cs="Arial"/>
          <w:b/>
          <w:bCs/>
          <w:sz w:val="22"/>
          <w:szCs w:val="22"/>
        </w:rPr>
      </w:pPr>
    </w:p>
    <w:p w14:paraId="3F827139" w14:textId="48DB4080" w:rsidR="0075188A" w:rsidRDefault="00962D2C" w:rsidP="00C370F8">
      <w:pPr>
        <w:pStyle w:val="NormalWeb"/>
        <w:spacing w:before="300" w:beforeAutospacing="0" w:after="300" w:afterAutospacing="0" w:line="480" w:lineRule="auto"/>
        <w:jc w:val="both"/>
        <w:rPr>
          <w:rFonts w:ascii="Arial" w:hAnsi="Arial" w:cs="Arial"/>
          <w:b/>
          <w:bCs/>
          <w:sz w:val="22"/>
          <w:szCs w:val="22"/>
        </w:rPr>
      </w:pPr>
      <w:r w:rsidRPr="00962D2C">
        <w:rPr>
          <w:rFonts w:ascii="Arial" w:hAnsi="Arial" w:cs="Arial"/>
          <w:b/>
          <w:bCs/>
          <w:sz w:val="22"/>
          <w:szCs w:val="22"/>
        </w:rPr>
        <w:t>ABSTRACT</w:t>
      </w:r>
    </w:p>
    <w:p w14:paraId="3EAF776C" w14:textId="2A7C039D" w:rsidR="002B3C3B" w:rsidRPr="002B3C3B" w:rsidRDefault="002B3C3B" w:rsidP="000409CE">
      <w:pPr>
        <w:pStyle w:val="NormalWeb"/>
        <w:spacing w:before="300" w:beforeAutospacing="0" w:after="300" w:afterAutospacing="0"/>
        <w:jc w:val="both"/>
        <w:rPr>
          <w:rFonts w:ascii="Arial" w:hAnsi="Arial" w:cs="Arial"/>
          <w:sz w:val="20"/>
          <w:szCs w:val="20"/>
        </w:rPr>
      </w:pPr>
      <w:r w:rsidRPr="002B3C3B">
        <w:rPr>
          <w:rFonts w:ascii="Arial" w:hAnsi="Arial" w:cs="Arial"/>
          <w:sz w:val="20"/>
          <w:szCs w:val="20"/>
        </w:rPr>
        <w:t>This study modelled crude oil transport in the unsaturated zone using laboratory experiments, with sandy and loamy soils at varying column heights (15cm to 60cm). Polyvinyl chloride (PVC) soil columns were used, and after a 14-day drying period simulating drought, 0.0005m</w:t>
      </w:r>
      <w:r w:rsidRPr="002B3C3B">
        <w:rPr>
          <w:rFonts w:ascii="Arial" w:hAnsi="Arial" w:cs="Arial"/>
          <w:sz w:val="20"/>
          <w:szCs w:val="20"/>
          <w:vertAlign w:val="superscript"/>
        </w:rPr>
        <w:t>3</w:t>
      </w:r>
      <w:r w:rsidRPr="002B3C3B">
        <w:rPr>
          <w:rFonts w:ascii="Arial" w:hAnsi="Arial" w:cs="Arial"/>
          <w:sz w:val="20"/>
          <w:szCs w:val="20"/>
        </w:rPr>
        <w:t xml:space="preserve"> of crude oil was introduced in each column. Leaching times and Total Petroleum Hydrocarbon (TPH) concentrations were measured at different depths. For sand, permeability values ranged from 0.11cm/s to 0.63cm/s, with the lowest and highest values observed for the 50cm and 15cm column, respectively. In loam, the highest permeability was 0.14cm/s in 15cm column, while the lowest value was 0.10cm/s in the 30cm, 40cm and 50cm soil columns. In sandy soil, shorter columns had higher TPH concentrations and faster leaching, with times ranging from 37 to 3600 seconds. TPH concentrations decreased from 42,125mg/l to 1,997mg/l at the surface and 28,913mg/l to 103mg/l at depth (C</w:t>
      </w:r>
      <w:r w:rsidRPr="002B3C3B">
        <w:rPr>
          <w:rFonts w:ascii="Arial" w:hAnsi="Arial" w:cs="Arial"/>
          <w:sz w:val="20"/>
          <w:szCs w:val="20"/>
          <w:vertAlign w:val="subscript"/>
        </w:rPr>
        <w:t>2</w:t>
      </w:r>
      <w:r w:rsidRPr="002B3C3B">
        <w:rPr>
          <w:rFonts w:ascii="Arial" w:hAnsi="Arial" w:cs="Arial"/>
          <w:sz w:val="20"/>
          <w:szCs w:val="20"/>
        </w:rPr>
        <w:t>). In loamy soil, leaching times ranged from 33 to 1500 seconds, with TPH concentrations decreasing from 35,662mg/l to 3,018mg/l at the surface and 11,085mg/l to 309mg/l at depth (C</w:t>
      </w:r>
      <w:r w:rsidRPr="002B3C3B">
        <w:rPr>
          <w:rFonts w:ascii="Arial" w:hAnsi="Arial" w:cs="Arial"/>
          <w:sz w:val="20"/>
          <w:szCs w:val="20"/>
          <w:vertAlign w:val="subscript"/>
        </w:rPr>
        <w:t>2</w:t>
      </w:r>
      <w:r w:rsidRPr="002B3C3B">
        <w:rPr>
          <w:rFonts w:ascii="Arial" w:hAnsi="Arial" w:cs="Arial"/>
          <w:sz w:val="20"/>
          <w:szCs w:val="20"/>
        </w:rPr>
        <w:t>). Correlation coefficients revealed significant relationships between depth, permeability, leaching time and TPH concentrations, with sandy soil showing stronger correlations than loamy soils. Statistical analysis revealed significant difference in concentration at depth (C</w:t>
      </w:r>
      <w:r w:rsidRPr="002B3C3B">
        <w:rPr>
          <w:rFonts w:ascii="Arial" w:hAnsi="Arial" w:cs="Arial"/>
          <w:sz w:val="20"/>
          <w:szCs w:val="20"/>
          <w:vertAlign w:val="subscript"/>
        </w:rPr>
        <w:t>2</w:t>
      </w:r>
      <w:r w:rsidRPr="002B3C3B">
        <w:rPr>
          <w:rFonts w:ascii="Arial" w:hAnsi="Arial" w:cs="Arial"/>
          <w:sz w:val="20"/>
          <w:szCs w:val="20"/>
        </w:rPr>
        <w:t>) between sandy and loamy soils, with P-value of .002. From the measured data, empirical models based on dimensional analysis that could predict concentration at depth (C</w:t>
      </w:r>
      <w:r w:rsidRPr="002B3C3B">
        <w:rPr>
          <w:rFonts w:ascii="Arial" w:hAnsi="Arial" w:cs="Arial"/>
          <w:sz w:val="20"/>
          <w:szCs w:val="20"/>
          <w:vertAlign w:val="subscript"/>
        </w:rPr>
        <w:t>2</w:t>
      </w:r>
      <w:r w:rsidRPr="002B3C3B">
        <w:rPr>
          <w:rFonts w:ascii="Arial" w:hAnsi="Arial" w:cs="Arial"/>
          <w:sz w:val="20"/>
          <w:szCs w:val="20"/>
        </w:rPr>
        <w:t>) were developed for each soil type. With the R</w:t>
      </w:r>
      <w:r w:rsidRPr="002B3C3B">
        <w:rPr>
          <w:rFonts w:ascii="Arial" w:hAnsi="Arial" w:cs="Arial"/>
          <w:sz w:val="20"/>
          <w:szCs w:val="20"/>
          <w:vertAlign w:val="superscript"/>
        </w:rPr>
        <w:t>2</w:t>
      </w:r>
      <w:r w:rsidRPr="002B3C3B">
        <w:rPr>
          <w:rFonts w:ascii="Arial" w:hAnsi="Arial" w:cs="Arial"/>
          <w:sz w:val="20"/>
          <w:szCs w:val="20"/>
        </w:rPr>
        <w:t xml:space="preserve"> values obtained (0.97 for sandy soil model and 0.66 for loamy soil model), it is concluded that the sandy soil model showed better reliability for use in real-world scenario than the loamy soil. It is recommended that prediction be done cautiously with supplementary data when relying on the loamy soil model due to its moderate strength.</w:t>
      </w:r>
    </w:p>
    <w:p w14:paraId="3BC64A35" w14:textId="22A08D52" w:rsidR="00AA2897" w:rsidRPr="003E1329" w:rsidRDefault="002344E3" w:rsidP="006055EC">
      <w:pPr>
        <w:pStyle w:val="NormalWeb"/>
        <w:spacing w:before="0" w:beforeAutospacing="0" w:after="300" w:afterAutospacing="0"/>
        <w:jc w:val="both"/>
        <w:rPr>
          <w:rFonts w:ascii="Arial" w:hAnsi="Arial" w:cs="Arial"/>
          <w:i/>
          <w:iCs/>
          <w:sz w:val="20"/>
          <w:szCs w:val="20"/>
        </w:rPr>
      </w:pPr>
      <w:r w:rsidRPr="003E1329">
        <w:rPr>
          <w:rFonts w:ascii="Arial" w:hAnsi="Arial" w:cs="Arial"/>
          <w:i/>
          <w:iCs/>
          <w:sz w:val="20"/>
          <w:szCs w:val="20"/>
        </w:rPr>
        <w:t>Keywords:</w:t>
      </w:r>
      <w:r w:rsidRPr="003E1329">
        <w:rPr>
          <w:rFonts w:ascii="Arial" w:hAnsi="Arial" w:cs="Arial"/>
          <w:i/>
          <w:iCs/>
          <w:sz w:val="20"/>
          <w:szCs w:val="20"/>
          <w:lang w:val="en-US"/>
        </w:rPr>
        <w:t xml:space="preserve"> </w:t>
      </w:r>
      <w:r w:rsidR="00E024F9">
        <w:rPr>
          <w:rFonts w:ascii="Arial" w:hAnsi="Arial" w:cs="Arial"/>
          <w:i/>
          <w:iCs/>
          <w:sz w:val="20"/>
          <w:szCs w:val="20"/>
          <w:lang w:val="en-US"/>
        </w:rPr>
        <w:t>Modelling</w:t>
      </w:r>
      <w:r w:rsidRPr="003E1329">
        <w:rPr>
          <w:rFonts w:ascii="Arial" w:hAnsi="Arial" w:cs="Arial"/>
          <w:i/>
          <w:iCs/>
          <w:sz w:val="20"/>
          <w:szCs w:val="20"/>
          <w:lang w:val="en-US"/>
        </w:rPr>
        <w:t>, Crude oil, Transport, Unsaturated zone, Total Petroleum Hydrocarbon (TPH), Sandy soil, Loamy soil, Soil column, Dimensional analysis, Concentration prediction, Contamination risk</w:t>
      </w:r>
    </w:p>
    <w:p w14:paraId="45A51380" w14:textId="77777777" w:rsidR="005C219B" w:rsidRPr="006D43A8" w:rsidRDefault="005C219B" w:rsidP="00C370F8">
      <w:pPr>
        <w:spacing w:line="480" w:lineRule="auto"/>
        <w:rPr>
          <w:rFonts w:ascii="Times New Roman" w:hAnsi="Times New Roman" w:cs="Times New Roman"/>
          <w:b/>
          <w:bCs/>
          <w:sz w:val="24"/>
          <w:szCs w:val="24"/>
        </w:rPr>
        <w:sectPr w:rsidR="005C219B" w:rsidRPr="006D43A8" w:rsidSect="005D12E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24C8482F" w14:textId="157F52E5" w:rsidR="0009475A" w:rsidRPr="00B55DD4" w:rsidRDefault="00B55DD4" w:rsidP="00C370F8">
      <w:pPr>
        <w:spacing w:before="240" w:line="480" w:lineRule="auto"/>
        <w:rPr>
          <w:rFonts w:ascii="Arial" w:hAnsi="Arial" w:cs="Arial"/>
          <w:b/>
          <w:bCs/>
        </w:rPr>
      </w:pPr>
      <w:r w:rsidRPr="00B55DD4">
        <w:rPr>
          <w:rFonts w:ascii="Arial" w:hAnsi="Arial" w:cs="Arial"/>
          <w:b/>
          <w:bCs/>
        </w:rPr>
        <w:t>1. INTRODUCTION</w:t>
      </w:r>
    </w:p>
    <w:p w14:paraId="03FBDD09" w14:textId="3BF063D2" w:rsidR="00AA2897" w:rsidRPr="00AC5BCF" w:rsidRDefault="00AA2897" w:rsidP="00C370F8">
      <w:pPr>
        <w:spacing w:line="480" w:lineRule="auto"/>
        <w:jc w:val="both"/>
        <w:rPr>
          <w:rFonts w:ascii="Arial" w:hAnsi="Arial" w:cs="Arial"/>
          <w:sz w:val="20"/>
          <w:szCs w:val="20"/>
        </w:rPr>
      </w:pPr>
      <w:r w:rsidRPr="00AC5BCF">
        <w:rPr>
          <w:rFonts w:ascii="Arial" w:hAnsi="Arial" w:cs="Arial"/>
          <w:sz w:val="20"/>
          <w:szCs w:val="20"/>
        </w:rPr>
        <w:t xml:space="preserve">The extraction, purification and conveyance of unprocessed crude are essential elements of our worldwide energy framework; however, they impose significant risks on the environment and general human well-being. The consequences of these activities have a wide reach, affecting not only the immediate areas of operation but also contaminating the air, soil and water with pollutants that substantially threaten the ecosystem and human health. The need to address these concerns is emphasized by the numerous health </w:t>
      </w:r>
      <w:r w:rsidRPr="00AC5BCF">
        <w:rPr>
          <w:rFonts w:ascii="Arial" w:hAnsi="Arial" w:cs="Arial"/>
          <w:sz w:val="20"/>
          <w:szCs w:val="20"/>
        </w:rPr>
        <w:lastRenderedPageBreak/>
        <w:t xml:space="preserve">problems associated with oil-related contamination, including cancer, respiratory illnesses and reproductive abnormalities </w:t>
      </w:r>
      <w:sdt>
        <w:sdtPr>
          <w:rPr>
            <w:rFonts w:ascii="Arial" w:hAnsi="Arial" w:cs="Arial"/>
            <w:color w:val="000000"/>
            <w:sz w:val="20"/>
            <w:szCs w:val="20"/>
          </w:rPr>
          <w:tag w:val="MENDELEY_CITATION_v3_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"/>
          <w:id w:val="-1735378736"/>
          <w:placeholder>
            <w:docPart w:val="4C2B1AB56A6E4D3D9A0AE377C3B78316"/>
          </w:placeholder>
        </w:sdtPr>
        <w:sdtEndPr/>
        <w:sdtContent>
          <w:r w:rsidR="002F7DEA" w:rsidRPr="00AC5BCF">
            <w:rPr>
              <w:rFonts w:ascii="Arial" w:hAnsi="Arial" w:cs="Arial"/>
              <w:color w:val="000000"/>
              <w:sz w:val="20"/>
              <w:szCs w:val="20"/>
            </w:rPr>
            <w:t xml:space="preserve">(Johnston et al., 2019; </w:t>
          </w:r>
          <w:proofErr w:type="spellStart"/>
          <w:r w:rsidR="002F7DEA" w:rsidRPr="00AC5BCF">
            <w:rPr>
              <w:rFonts w:ascii="Arial" w:hAnsi="Arial" w:cs="Arial"/>
              <w:color w:val="000000"/>
              <w:sz w:val="20"/>
              <w:szCs w:val="20"/>
            </w:rPr>
            <w:t>Kponee</w:t>
          </w:r>
          <w:proofErr w:type="spellEnd"/>
          <w:r w:rsidR="002F7DEA" w:rsidRPr="00AC5BCF">
            <w:rPr>
              <w:rFonts w:ascii="Arial" w:hAnsi="Arial" w:cs="Arial"/>
              <w:color w:val="000000"/>
              <w:sz w:val="20"/>
              <w:szCs w:val="20"/>
            </w:rPr>
            <w:t xml:space="preserve"> et al., 2015).</w:t>
          </w:r>
        </w:sdtContent>
      </w:sdt>
      <w:r w:rsidRPr="00AC5BCF">
        <w:rPr>
          <w:rFonts w:ascii="Arial" w:hAnsi="Arial" w:cs="Arial"/>
          <w:sz w:val="20"/>
          <w:szCs w:val="20"/>
        </w:rPr>
        <w:t xml:space="preserve"> Gaining a comprehensive understanding of these contaminants in the environment is of utmost importance to formulate focused mitigation plans and enforce precautionary measures aimed at reducing the likelihood of negative health consequences. On the other hand, the unsaturated zone, also known as the vadose zone, is crucial in the complex process of pollutant movement in the environment. Contaminants that are discharged at or close to the earth's surface move through the unsaturated zone, impacting the underlying groundwater supplies and presenting a significant environmental problem </w:t>
      </w:r>
      <w:sdt>
        <w:sdtPr>
          <w:rPr>
            <w:rFonts w:ascii="Arial" w:hAnsi="Arial" w:cs="Arial"/>
            <w:color w:val="000000"/>
            <w:sz w:val="20"/>
            <w:szCs w:val="20"/>
          </w:rPr>
          <w:tag w:val="MENDELEY_CITATION_v3_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"/>
          <w:id w:val="1946882681"/>
          <w:placeholder>
            <w:docPart w:val="4C2B1AB56A6E4D3D9A0AE377C3B78316"/>
          </w:placeholder>
        </w:sdtPr>
        <w:sdtEndPr/>
        <w:sdtContent>
          <w:r w:rsidR="002F7DEA" w:rsidRPr="00AC5BCF">
            <w:rPr>
              <w:rFonts w:ascii="Arial" w:hAnsi="Arial" w:cs="Arial"/>
              <w:color w:val="000000"/>
              <w:sz w:val="20"/>
              <w:szCs w:val="20"/>
            </w:rPr>
            <w:t>(Zhuang et al., 2021)</w:t>
          </w:r>
        </w:sdtContent>
      </w:sdt>
      <w:r w:rsidRPr="00AC5BCF">
        <w:rPr>
          <w:rFonts w:ascii="Arial" w:hAnsi="Arial" w:cs="Arial"/>
          <w:sz w:val="20"/>
          <w:szCs w:val="20"/>
        </w:rPr>
        <w:t xml:space="preserve">. The ramifications of this process go beyond the immediate surface environment, with possible repercussions for water quality and consequently, human well-being. Studying transport in the unsaturated zone is necessary as it helps in the assessment and prediction of groundwater contamination. Since the unsaturated zone lies above the water table, understanding the processes occurring in this zone is crucial for predicting the fate and transport of contaminants before they reach the aquifer. This is particularly important for contaminants that originate from surface sources, such as agricultural runoff, industrial spills and leaking underground storage tanks </w:t>
      </w:r>
      <w:sdt>
        <w:sdtPr>
          <w:rPr>
            <w:rFonts w:ascii="Arial" w:hAnsi="Arial" w:cs="Arial"/>
            <w:color w:val="000000"/>
            <w:sz w:val="20"/>
            <w:szCs w:val="20"/>
          </w:rPr>
          <w:tag w:val="MENDELEY_CITATION_v3_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"/>
          <w:id w:val="1028529511"/>
          <w:placeholder>
            <w:docPart w:val="2D8A24BCD89148758BF7DBACA560180D"/>
          </w:placeholder>
        </w:sdtPr>
        <w:sdtEndPr/>
        <w:sdtContent>
          <w:r w:rsidR="002F7DEA" w:rsidRPr="00AC5BCF">
            <w:rPr>
              <w:rFonts w:ascii="Arial" w:hAnsi="Arial" w:cs="Arial"/>
              <w:color w:val="000000"/>
              <w:sz w:val="20"/>
              <w:szCs w:val="20"/>
            </w:rPr>
            <w:t>(</w:t>
          </w:r>
          <w:proofErr w:type="spellStart"/>
          <w:r w:rsidR="002F7DEA" w:rsidRPr="00AC5BCF">
            <w:rPr>
              <w:rFonts w:ascii="Arial" w:hAnsi="Arial" w:cs="Arial"/>
              <w:color w:val="000000"/>
              <w:sz w:val="20"/>
              <w:szCs w:val="20"/>
            </w:rPr>
            <w:t>Koroša</w:t>
          </w:r>
          <w:proofErr w:type="spellEnd"/>
          <w:r w:rsidR="002F7DEA" w:rsidRPr="00AC5BCF">
            <w:rPr>
              <w:rFonts w:ascii="Arial" w:hAnsi="Arial" w:cs="Arial"/>
              <w:color w:val="000000"/>
              <w:sz w:val="20"/>
              <w:szCs w:val="20"/>
            </w:rPr>
            <w:t xml:space="preserve"> et al., 2020)</w:t>
          </w:r>
        </w:sdtContent>
      </w:sdt>
      <w:r w:rsidRPr="00AC5BCF">
        <w:rPr>
          <w:rFonts w:ascii="Arial" w:hAnsi="Arial" w:cs="Arial"/>
          <w:sz w:val="20"/>
          <w:szCs w:val="20"/>
        </w:rPr>
        <w:t>.</w:t>
      </w:r>
    </w:p>
    <w:p w14:paraId="705B4E53" w14:textId="0B5F7473" w:rsidR="00AA2897" w:rsidRPr="00AC5BCF" w:rsidRDefault="00AA2897" w:rsidP="00C370F8">
      <w:pPr>
        <w:spacing w:line="480" w:lineRule="auto"/>
        <w:jc w:val="both"/>
        <w:rPr>
          <w:rFonts w:ascii="Arial" w:hAnsi="Arial" w:cs="Arial"/>
          <w:sz w:val="20"/>
          <w:szCs w:val="20"/>
        </w:rPr>
      </w:pPr>
      <w:r w:rsidRPr="00AC5BCF">
        <w:rPr>
          <w:rFonts w:ascii="Arial" w:hAnsi="Arial" w:cs="Arial"/>
          <w:sz w:val="20"/>
          <w:szCs w:val="20"/>
        </w:rPr>
        <w:t xml:space="preserve">Many models over the years have been developed and used. The HYDRUS model, among other advanced modelling methodologies, has been crucial in accurately estimating the movement of contaminants in the unsaturated zone. These models provide vital information on the complex routes that pollutants follow, the speed at which they enter and the overall level of pollution in the vadose zone </w:t>
      </w:r>
      <w:sdt>
        <w:sdtPr>
          <w:rPr>
            <w:rFonts w:ascii="Arial" w:hAnsi="Arial" w:cs="Arial"/>
            <w:color w:val="000000"/>
            <w:sz w:val="20"/>
            <w:szCs w:val="20"/>
          </w:rPr>
          <w:tag w:val="MENDELEY_CITATION_v3_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"/>
          <w:id w:val="653339756"/>
          <w:placeholder>
            <w:docPart w:val="4C2B1AB56A6E4D3D9A0AE377C3B78316"/>
          </w:placeholder>
        </w:sdtPr>
        <w:sdtEndPr/>
        <w:sdtContent>
          <w:r w:rsidR="002F7DEA" w:rsidRPr="00AC5BCF">
            <w:rPr>
              <w:rFonts w:ascii="Arial" w:hAnsi="Arial" w:cs="Arial"/>
              <w:color w:val="000000"/>
              <w:sz w:val="20"/>
              <w:szCs w:val="20"/>
            </w:rPr>
            <w:t>(El-</w:t>
          </w:r>
          <w:proofErr w:type="spellStart"/>
          <w:r w:rsidR="002F7DEA" w:rsidRPr="00AC5BCF">
            <w:rPr>
              <w:rFonts w:ascii="Arial" w:hAnsi="Arial" w:cs="Arial"/>
              <w:color w:val="000000"/>
              <w:sz w:val="20"/>
              <w:szCs w:val="20"/>
            </w:rPr>
            <w:t>Aassar</w:t>
          </w:r>
          <w:proofErr w:type="spellEnd"/>
          <w:r w:rsidR="002F7DEA" w:rsidRPr="00AC5BCF">
            <w:rPr>
              <w:rFonts w:ascii="Arial" w:hAnsi="Arial" w:cs="Arial"/>
              <w:color w:val="000000"/>
              <w:sz w:val="20"/>
              <w:szCs w:val="20"/>
            </w:rPr>
            <w:t xml:space="preserve"> et al., 2023)</w:t>
          </w:r>
        </w:sdtContent>
      </w:sdt>
      <w:r w:rsidRPr="00AC5BCF">
        <w:rPr>
          <w:rFonts w:ascii="Arial" w:hAnsi="Arial" w:cs="Arial"/>
          <w:sz w:val="20"/>
          <w:szCs w:val="20"/>
        </w:rPr>
        <w:t>. Through the utilization of these techniques, researchers acquire a more profound understanding of the intricate interplay of elements that influence the movement of contaminants. This, in turn, enables the development of more precise and efficient strategies for mitigating their effects.</w:t>
      </w:r>
    </w:p>
    <w:p w14:paraId="79D8BEDC" w14:textId="3064B1DE" w:rsidR="00AA2897" w:rsidRPr="00AC5BCF" w:rsidRDefault="00AA2897" w:rsidP="00C370F8">
      <w:pPr>
        <w:spacing w:line="480" w:lineRule="auto"/>
        <w:jc w:val="both"/>
        <w:rPr>
          <w:rFonts w:ascii="Arial" w:eastAsia="Times New Roman" w:hAnsi="Arial" w:cs="Arial"/>
          <w:kern w:val="0"/>
          <w:sz w:val="20"/>
          <w:szCs w:val="20"/>
          <w14:ligatures w14:val="none"/>
        </w:rPr>
      </w:pPr>
      <w:r w:rsidRPr="00AC5BCF">
        <w:rPr>
          <w:rFonts w:ascii="Arial" w:eastAsia="Times New Roman" w:hAnsi="Arial" w:cs="Arial"/>
          <w:kern w:val="0"/>
          <w:sz w:val="20"/>
          <w:szCs w:val="20"/>
          <w14:ligatures w14:val="none"/>
        </w:rPr>
        <w:t xml:space="preserve">Modelling plays a crucial role in understanding the fate and transport of crude oil in the unsaturated zone. Researchers have developed coupled flow and multicomponent transport models to simulate the movement of petroleum hydrocarbons in different soil textures, such as clay, sand and loam. These models help in assessing the impact of crude oil on water movement, solute transport and recharge processes in the unsaturated zone </w:t>
      </w:r>
      <w:sdt>
        <w:sdtPr>
          <w:rPr>
            <w:rFonts w:ascii="Arial" w:eastAsia="Times New Roman" w:hAnsi="Arial" w:cs="Arial"/>
            <w:color w:val="000000"/>
            <w:kern w:val="0"/>
            <w:sz w:val="20"/>
            <w:szCs w:val="20"/>
            <w14:ligatures w14:val="none"/>
          </w:rPr>
          <w:tag w:val="MENDELEY_CITATION_v3_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"/>
          <w:id w:val="558448036"/>
          <w:placeholder>
            <w:docPart w:val="4C2B1AB56A6E4D3D9A0AE377C3B78316"/>
          </w:placeholder>
        </w:sdtPr>
        <w:sdtEndPr/>
        <w:sdtContent>
          <w:r w:rsidR="002F7DEA" w:rsidRPr="00AC5BCF">
            <w:rPr>
              <w:rFonts w:ascii="Arial" w:eastAsia="Times New Roman" w:hAnsi="Arial" w:cs="Arial"/>
              <w:color w:val="000000"/>
              <w:sz w:val="20"/>
              <w:szCs w:val="20"/>
            </w:rPr>
            <w:t>(</w:t>
          </w:r>
          <w:proofErr w:type="spellStart"/>
          <w:r w:rsidR="002F7DEA" w:rsidRPr="00AC5BCF">
            <w:rPr>
              <w:rFonts w:ascii="Arial" w:eastAsia="Times New Roman" w:hAnsi="Arial" w:cs="Arial"/>
              <w:color w:val="000000"/>
              <w:sz w:val="20"/>
              <w:szCs w:val="20"/>
            </w:rPr>
            <w:t>Delin</w:t>
          </w:r>
          <w:proofErr w:type="spellEnd"/>
          <w:r w:rsidR="002F7DEA" w:rsidRPr="00AC5BCF">
            <w:rPr>
              <w:rFonts w:ascii="Arial" w:eastAsia="Times New Roman" w:hAnsi="Arial" w:cs="Arial"/>
              <w:color w:val="000000"/>
              <w:sz w:val="20"/>
              <w:szCs w:val="20"/>
            </w:rPr>
            <w:t xml:space="preserve"> &amp; </w:t>
          </w:r>
          <w:proofErr w:type="spellStart"/>
          <w:r w:rsidR="002F7DEA" w:rsidRPr="00AC5BCF">
            <w:rPr>
              <w:rFonts w:ascii="Arial" w:eastAsia="Times New Roman" w:hAnsi="Arial" w:cs="Arial"/>
              <w:color w:val="000000"/>
              <w:sz w:val="20"/>
              <w:szCs w:val="20"/>
            </w:rPr>
            <w:t>Herkelrath</w:t>
          </w:r>
          <w:proofErr w:type="spellEnd"/>
          <w:r w:rsidR="002F7DEA" w:rsidRPr="00AC5BCF">
            <w:rPr>
              <w:rFonts w:ascii="Arial" w:eastAsia="Times New Roman" w:hAnsi="Arial" w:cs="Arial"/>
              <w:color w:val="000000"/>
              <w:sz w:val="20"/>
              <w:szCs w:val="20"/>
            </w:rPr>
            <w:t>, 2017; Srivastava &amp; Valsala, 2023).</w:t>
          </w:r>
        </w:sdtContent>
      </w:sdt>
    </w:p>
    <w:p w14:paraId="0B1EEFBE" w14:textId="6CBC246C" w:rsidR="00AA2897" w:rsidRPr="00AC5BCF" w:rsidRDefault="00AA2897" w:rsidP="00C370F8">
      <w:pPr>
        <w:spacing w:line="480" w:lineRule="auto"/>
        <w:jc w:val="both"/>
        <w:rPr>
          <w:rFonts w:ascii="Arial" w:eastAsia="Times New Roman" w:hAnsi="Arial" w:cs="Arial"/>
          <w:kern w:val="0"/>
          <w:sz w:val="20"/>
          <w:szCs w:val="20"/>
          <w14:ligatures w14:val="none"/>
        </w:rPr>
      </w:pPr>
      <w:r w:rsidRPr="00AC5BCF">
        <w:rPr>
          <w:rFonts w:ascii="Arial" w:eastAsia="Times New Roman" w:hAnsi="Arial" w:cs="Arial"/>
          <w:kern w:val="0"/>
          <w:sz w:val="20"/>
          <w:szCs w:val="20"/>
          <w14:ligatures w14:val="none"/>
        </w:rPr>
        <w:lastRenderedPageBreak/>
        <w:t xml:space="preserve">In this study, a model based on dimensional analysis was developed. Dimensional analysis is a mathematical tool that is applied to simplify complex physical problems. This is accomplished through the process of converting variables into representations that are not dimensional. By identifying the key dimensionless groups that affect the behaviour of the system, this methodology contributes to the simplification of the modelling process </w:t>
      </w:r>
      <w:sdt>
        <w:sdtPr>
          <w:rPr>
            <w:rFonts w:ascii="Arial" w:hAnsi="Arial" w:cs="Arial"/>
            <w:color w:val="000000"/>
            <w:sz w:val="20"/>
            <w:szCs w:val="20"/>
          </w:rPr>
          <w:tag w:val="MENDELEY_CITATION_v3_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"/>
          <w:id w:val="-1029024451"/>
          <w:placeholder>
            <w:docPart w:val="2D8A24BCD89148758BF7DBACA560180D"/>
          </w:placeholder>
        </w:sdtPr>
        <w:sdtEndPr/>
        <w:sdtContent>
          <w:r w:rsidR="002F7DEA" w:rsidRPr="00AC5BCF">
            <w:rPr>
              <w:rFonts w:ascii="Arial" w:eastAsia="Times New Roman" w:hAnsi="Arial" w:cs="Arial"/>
              <w:color w:val="000000"/>
              <w:sz w:val="20"/>
              <w:szCs w:val="20"/>
            </w:rPr>
            <w:t>(Bear &amp; Cheng, 2010)</w:t>
          </w:r>
        </w:sdtContent>
      </w:sdt>
      <w:r w:rsidRPr="00AC5BCF">
        <w:rPr>
          <w:rFonts w:ascii="Arial" w:hAnsi="Arial" w:cs="Arial"/>
          <w:sz w:val="20"/>
          <w:szCs w:val="20"/>
        </w:rPr>
        <w:t>.</w:t>
      </w:r>
    </w:p>
    <w:p w14:paraId="36283F4D" w14:textId="7D81A1B2" w:rsidR="00590112" w:rsidRPr="00AC5BCF" w:rsidRDefault="00AA2897" w:rsidP="00C370F8">
      <w:pPr>
        <w:spacing w:after="240" w:line="480" w:lineRule="auto"/>
        <w:jc w:val="both"/>
        <w:rPr>
          <w:rFonts w:ascii="Arial" w:hAnsi="Arial" w:cs="Arial"/>
          <w:sz w:val="20"/>
          <w:szCs w:val="20"/>
        </w:rPr>
      </w:pPr>
      <w:r w:rsidRPr="00AC5BCF">
        <w:rPr>
          <w:rFonts w:ascii="Arial" w:eastAsia="Times New Roman" w:hAnsi="Arial" w:cs="Arial"/>
          <w:kern w:val="0"/>
          <w:sz w:val="20"/>
          <w:szCs w:val="20"/>
          <w14:ligatures w14:val="none"/>
        </w:rPr>
        <w:t xml:space="preserve">The models that are currently being utilized frequently struggle to effectively depict the actual complexities. Hence, the need for this study which is aimed at developing </w:t>
      </w:r>
      <w:r w:rsidRPr="00AC5BCF">
        <w:rPr>
          <w:rFonts w:ascii="Arial" w:hAnsi="Arial" w:cs="Arial"/>
          <w:sz w:val="20"/>
          <w:szCs w:val="20"/>
        </w:rPr>
        <w:t>models based on dimensional analysis to effectively show interactions and relationships between variables that influence transport, and to predict the concentration of total petroleum hydrocarbon (TPH) over depth and time in the unsaturated zone.</w:t>
      </w:r>
    </w:p>
    <w:p w14:paraId="106FB90F" w14:textId="3158F37E" w:rsidR="00101100" w:rsidRPr="00B55DD4" w:rsidRDefault="00B55DD4" w:rsidP="00C370F8">
      <w:pPr>
        <w:spacing w:after="240" w:line="480" w:lineRule="auto"/>
        <w:jc w:val="both"/>
        <w:rPr>
          <w:rFonts w:ascii="Arial" w:hAnsi="Arial" w:cs="Arial"/>
          <w:b/>
          <w:bCs/>
        </w:rPr>
      </w:pPr>
      <w:r w:rsidRPr="00B55DD4">
        <w:rPr>
          <w:rFonts w:ascii="Arial" w:hAnsi="Arial" w:cs="Arial"/>
          <w:b/>
          <w:bCs/>
        </w:rPr>
        <w:t>2. MATERIALS AND METHODS</w:t>
      </w:r>
    </w:p>
    <w:p w14:paraId="15FBD632" w14:textId="4C3A3D2A" w:rsidR="00101100" w:rsidRPr="00B55DD4" w:rsidRDefault="00101100" w:rsidP="00C370F8">
      <w:pPr>
        <w:spacing w:after="240" w:line="480" w:lineRule="auto"/>
        <w:jc w:val="both"/>
        <w:rPr>
          <w:rFonts w:ascii="Arial" w:hAnsi="Arial" w:cs="Arial"/>
          <w:b/>
          <w:bCs/>
        </w:rPr>
      </w:pPr>
      <w:r w:rsidRPr="00B55DD4">
        <w:rPr>
          <w:rFonts w:ascii="Arial" w:hAnsi="Arial" w:cs="Arial"/>
          <w:b/>
          <w:bCs/>
        </w:rPr>
        <w:t xml:space="preserve">2.1. </w:t>
      </w:r>
      <w:r w:rsidR="00590112" w:rsidRPr="00B55DD4">
        <w:rPr>
          <w:rFonts w:ascii="Arial" w:hAnsi="Arial" w:cs="Arial"/>
          <w:b/>
          <w:bCs/>
        </w:rPr>
        <w:t>Crude oil and soil properties</w:t>
      </w:r>
    </w:p>
    <w:p w14:paraId="754D5847" w14:textId="77777777" w:rsidR="00590112" w:rsidRPr="00AC5BCF" w:rsidRDefault="00590112" w:rsidP="00C370F8">
      <w:pPr>
        <w:spacing w:line="480" w:lineRule="auto"/>
        <w:jc w:val="both"/>
        <w:rPr>
          <w:rFonts w:ascii="Arial" w:hAnsi="Arial" w:cs="Arial"/>
          <w:sz w:val="20"/>
          <w:szCs w:val="20"/>
        </w:rPr>
      </w:pPr>
      <w:r w:rsidRPr="00AC5BCF">
        <w:rPr>
          <w:rFonts w:ascii="Arial" w:hAnsi="Arial" w:cs="Arial"/>
          <w:sz w:val="20"/>
          <w:szCs w:val="20"/>
        </w:rPr>
        <w:t>The crude oil used in this study was obtained locally and analysed. The crude oil has the following properties: density (800kg/m3), specific gravity (0.8), API gravity (45.375</w:t>
      </w:r>
      <w:r w:rsidRPr="00AC5BCF">
        <w:rPr>
          <w:rFonts w:ascii="Arial" w:hAnsi="Arial" w:cs="Arial"/>
          <w:sz w:val="20"/>
          <w:szCs w:val="20"/>
          <w:vertAlign w:val="superscript"/>
        </w:rPr>
        <w:t>0</w:t>
      </w:r>
      <w:r w:rsidRPr="00AC5BCF">
        <w:rPr>
          <w:rFonts w:ascii="Arial" w:hAnsi="Arial" w:cs="Arial"/>
          <w:sz w:val="20"/>
          <w:szCs w:val="20"/>
        </w:rPr>
        <w:t>), flash point (40 – 83</w:t>
      </w:r>
      <w:r w:rsidRPr="00AC5BCF">
        <w:rPr>
          <w:rFonts w:ascii="Arial" w:hAnsi="Arial" w:cs="Arial"/>
          <w:sz w:val="20"/>
          <w:szCs w:val="20"/>
          <w:vertAlign w:val="superscript"/>
        </w:rPr>
        <w:t>0</w:t>
      </w:r>
      <w:r w:rsidRPr="00AC5BCF">
        <w:rPr>
          <w:rFonts w:ascii="Arial" w:hAnsi="Arial" w:cs="Arial"/>
          <w:sz w:val="20"/>
          <w:szCs w:val="20"/>
        </w:rPr>
        <w:t xml:space="preserve">C) and sulphur content (&lt; 0.2%). </w:t>
      </w:r>
    </w:p>
    <w:p w14:paraId="18CCEC0F" w14:textId="138C0A3C" w:rsidR="00590112" w:rsidRPr="00AC5BCF" w:rsidRDefault="00590112" w:rsidP="00C370F8">
      <w:pPr>
        <w:spacing w:line="480" w:lineRule="auto"/>
        <w:jc w:val="both"/>
        <w:rPr>
          <w:rFonts w:ascii="Arial" w:hAnsi="Arial" w:cs="Arial"/>
          <w:sz w:val="20"/>
          <w:szCs w:val="20"/>
        </w:rPr>
      </w:pPr>
      <w:r w:rsidRPr="00AC5BCF">
        <w:rPr>
          <w:rFonts w:ascii="Arial" w:hAnsi="Arial" w:cs="Arial"/>
          <w:sz w:val="20"/>
          <w:szCs w:val="20"/>
        </w:rPr>
        <w:t>The soil used was sandy and loamy and was obtained locally. The soil sample was air-dried and analysed for the following properties: bulk density (1498kg/m</w:t>
      </w:r>
      <w:r w:rsidRPr="00AC5BCF">
        <w:rPr>
          <w:rFonts w:ascii="Arial" w:hAnsi="Arial" w:cs="Arial"/>
          <w:sz w:val="20"/>
          <w:szCs w:val="20"/>
          <w:vertAlign w:val="superscript"/>
        </w:rPr>
        <w:t xml:space="preserve">3 </w:t>
      </w:r>
      <w:r w:rsidRPr="00AC5BCF">
        <w:rPr>
          <w:rFonts w:ascii="Arial" w:hAnsi="Arial" w:cs="Arial"/>
          <w:sz w:val="20"/>
          <w:szCs w:val="20"/>
        </w:rPr>
        <w:t>and 1211.5kg/m</w:t>
      </w:r>
      <w:r w:rsidRPr="00AC5BCF">
        <w:rPr>
          <w:rFonts w:ascii="Arial" w:hAnsi="Arial" w:cs="Arial"/>
          <w:sz w:val="20"/>
          <w:szCs w:val="20"/>
          <w:vertAlign w:val="superscript"/>
        </w:rPr>
        <w:t>3</w:t>
      </w:r>
      <w:r w:rsidRPr="00AC5BCF">
        <w:rPr>
          <w:rFonts w:ascii="Arial" w:hAnsi="Arial" w:cs="Arial"/>
          <w:sz w:val="20"/>
          <w:szCs w:val="20"/>
        </w:rPr>
        <w:t xml:space="preserve"> for sand and loam respectively), permeability (see Figure 1) and particle size distribution (0.1 – 0.2mm for both soils). </w:t>
      </w:r>
    </w:p>
    <w:p w14:paraId="5C6F17C8" w14:textId="03C71197" w:rsidR="00590112" w:rsidRPr="00AC5BCF" w:rsidRDefault="00590112" w:rsidP="00C370F8">
      <w:pPr>
        <w:spacing w:line="480" w:lineRule="auto"/>
        <w:jc w:val="both"/>
        <w:rPr>
          <w:rFonts w:ascii="Arial" w:hAnsi="Arial" w:cs="Arial"/>
          <w:b/>
          <w:bCs/>
        </w:rPr>
      </w:pPr>
      <w:r w:rsidRPr="00AC5BCF">
        <w:rPr>
          <w:rFonts w:ascii="Arial" w:hAnsi="Arial" w:cs="Arial"/>
          <w:b/>
          <w:bCs/>
        </w:rPr>
        <w:t>2.2. Experimental setup and procedure</w:t>
      </w:r>
    </w:p>
    <w:p w14:paraId="0888A929" w14:textId="118ECAB8" w:rsidR="00590112" w:rsidRPr="00AC5BCF" w:rsidRDefault="00590112" w:rsidP="00C370F8">
      <w:pPr>
        <w:spacing w:line="480" w:lineRule="auto"/>
        <w:jc w:val="both"/>
        <w:rPr>
          <w:rFonts w:ascii="Arial" w:hAnsi="Arial" w:cs="Arial"/>
          <w:sz w:val="20"/>
          <w:szCs w:val="20"/>
        </w:rPr>
      </w:pPr>
      <w:r w:rsidRPr="00AC5BCF">
        <w:rPr>
          <w:rFonts w:ascii="Arial" w:hAnsi="Arial" w:cs="Arial"/>
          <w:sz w:val="20"/>
          <w:szCs w:val="20"/>
        </w:rPr>
        <w:t xml:space="preserve">A simple laboratory soil column experiment was carried out to study the transport of crude oil in sandy and loamy soil. The experimental method employed was devised and documented by </w:t>
      </w:r>
      <w:sdt>
        <w:sdtPr>
          <w:rPr>
            <w:rFonts w:ascii="Arial" w:hAnsi="Arial" w:cs="Arial"/>
            <w:color w:val="000000"/>
            <w:sz w:val="20"/>
            <w:szCs w:val="20"/>
          </w:rPr>
          <w:tag w:val="MENDELEY_CITATION_v3_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"/>
          <w:id w:val="-713434756"/>
          <w:placeholder>
            <w:docPart w:val="923E56A840A04575A131392050B6E203"/>
          </w:placeholder>
        </w:sdtPr>
        <w:sdtEndPr/>
        <w:sdtContent>
          <w:proofErr w:type="spellStart"/>
          <w:r w:rsidR="002F7DEA" w:rsidRPr="00AC5BCF">
            <w:rPr>
              <w:rFonts w:ascii="Arial" w:hAnsi="Arial" w:cs="Arial"/>
              <w:color w:val="000000"/>
              <w:sz w:val="20"/>
              <w:szCs w:val="20"/>
            </w:rPr>
            <w:t>Ugwoha</w:t>
          </w:r>
          <w:proofErr w:type="spellEnd"/>
          <w:r w:rsidR="002F7DEA" w:rsidRPr="00AC5BCF">
            <w:rPr>
              <w:rFonts w:ascii="Arial" w:hAnsi="Arial" w:cs="Arial"/>
              <w:color w:val="000000"/>
              <w:sz w:val="20"/>
              <w:szCs w:val="20"/>
            </w:rPr>
            <w:t xml:space="preserve"> et al., (2019)</w:t>
          </w:r>
        </w:sdtContent>
      </w:sdt>
      <w:r w:rsidRPr="00AC5BCF">
        <w:rPr>
          <w:rFonts w:ascii="Arial" w:hAnsi="Arial" w:cs="Arial"/>
          <w:sz w:val="20"/>
          <w:szCs w:val="20"/>
        </w:rPr>
        <w:t xml:space="preserve">, but with minor alterations to the materials utilized and the height of the soil.  </w:t>
      </w:r>
    </w:p>
    <w:p w14:paraId="7DCE35B9" w14:textId="02A7E133" w:rsidR="00590112" w:rsidRPr="00AC5BCF" w:rsidRDefault="00590112" w:rsidP="00C370F8">
      <w:pPr>
        <w:spacing w:line="480" w:lineRule="auto"/>
        <w:jc w:val="both"/>
        <w:rPr>
          <w:rFonts w:ascii="Arial" w:hAnsi="Arial" w:cs="Arial"/>
          <w:sz w:val="20"/>
          <w:szCs w:val="20"/>
        </w:rPr>
      </w:pPr>
      <w:r w:rsidRPr="00AC5BCF">
        <w:rPr>
          <w:rFonts w:ascii="Arial" w:hAnsi="Arial" w:cs="Arial"/>
          <w:sz w:val="20"/>
          <w:szCs w:val="20"/>
        </w:rPr>
        <w:t xml:space="preserve">A 4-inch (100 mm) PVC pipe of heights 15cm, 20cm, 25cm, 30cm, 35cm, 40cm, 45cm, 50cm, 55cm and 60cm were used as the soil columns for both soil types (sandy and loam) studied. The soil was then deposited into the soil columns reaching heights of 10cm, 15cm, 20cm, 25cm, 30cm, 35cm, 40cm, 45cm, 50cm and 55cm. A void space of height, 5cm was left at the surface of each column to accommodate and </w:t>
      </w:r>
      <w:r w:rsidRPr="00AC5BCF">
        <w:rPr>
          <w:rFonts w:ascii="Arial" w:hAnsi="Arial" w:cs="Arial"/>
          <w:sz w:val="20"/>
          <w:szCs w:val="20"/>
        </w:rPr>
        <w:lastRenderedPageBreak/>
        <w:t xml:space="preserve">prevent the spill of the contaminant introduced into the system. The soil in each column was compacted randomly to achieve varying values for permeability (k) </w:t>
      </w:r>
      <w:sdt>
        <w:sdtPr>
          <w:rPr>
            <w:rFonts w:ascii="Arial" w:hAnsi="Arial" w:cs="Arial"/>
            <w:color w:val="000000"/>
            <w:sz w:val="20"/>
            <w:szCs w:val="20"/>
          </w:rPr>
          <w:tag w:val="MENDELEY_CITATION_v3_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"/>
          <w:id w:val="-239256102"/>
          <w:placeholder>
            <w:docPart w:val="BF505998DC554187A14B2F488EC1550C"/>
          </w:placeholder>
        </w:sdtPr>
        <w:sdtEndPr/>
        <w:sdtContent>
          <w:r w:rsidR="002F7DEA" w:rsidRPr="00AC5BCF">
            <w:rPr>
              <w:rFonts w:ascii="Arial" w:hAnsi="Arial" w:cs="Arial"/>
              <w:color w:val="000000"/>
              <w:sz w:val="20"/>
              <w:szCs w:val="20"/>
            </w:rPr>
            <w:t>(Ahmad et al., 2018)</w:t>
          </w:r>
          <w:r w:rsidR="00592F41">
            <w:rPr>
              <w:rFonts w:ascii="Arial" w:hAnsi="Arial" w:cs="Arial"/>
              <w:color w:val="000000"/>
              <w:sz w:val="20"/>
              <w:szCs w:val="20"/>
            </w:rPr>
            <w:t>,</w:t>
          </w:r>
        </w:sdtContent>
      </w:sdt>
      <w:r w:rsidRPr="00AC5BCF">
        <w:rPr>
          <w:rFonts w:ascii="Arial" w:hAnsi="Arial" w:cs="Arial"/>
          <w:color w:val="000000"/>
          <w:sz w:val="20"/>
          <w:szCs w:val="20"/>
        </w:rPr>
        <w:t xml:space="preserve"> </w:t>
      </w:r>
      <w:r w:rsidRPr="00AC5BCF">
        <w:rPr>
          <w:rFonts w:ascii="Arial" w:hAnsi="Arial" w:cs="Arial"/>
          <w:sz w:val="20"/>
          <w:szCs w:val="20"/>
        </w:rPr>
        <w:t xml:space="preserve">which is necessary to develop a predictive model. The selection of a 60 cm maximum height for the soil columns was driven by practical limitations such as the size and handling of the PVC pipes and the feasibility of experiments. As the height of the soil column increases, managing the soil compaction, permeability testing, and crude oil leaching becomes more complex and less precise. </w:t>
      </w:r>
    </w:p>
    <w:p w14:paraId="6AF0045F" w14:textId="1C5E2F3C" w:rsidR="00590112" w:rsidRPr="00AC5BCF" w:rsidRDefault="00590112" w:rsidP="00C370F8">
      <w:pPr>
        <w:spacing w:line="480" w:lineRule="auto"/>
        <w:jc w:val="both"/>
        <w:rPr>
          <w:rFonts w:ascii="Arial" w:hAnsi="Arial" w:cs="Arial"/>
          <w:sz w:val="20"/>
          <w:szCs w:val="20"/>
        </w:rPr>
      </w:pPr>
      <w:r w:rsidRPr="00AC5BCF">
        <w:rPr>
          <w:rFonts w:ascii="Arial" w:hAnsi="Arial" w:cs="Arial"/>
          <w:sz w:val="20"/>
          <w:szCs w:val="20"/>
        </w:rPr>
        <w:t xml:space="preserve">First, a permeability test was conducted to determine the permeability of the soil in each column. This was done using the standard method as reported by </w:t>
      </w:r>
      <w:sdt>
        <w:sdtPr>
          <w:rPr>
            <w:rFonts w:ascii="Arial" w:hAnsi="Arial" w:cs="Arial"/>
            <w:color w:val="000000"/>
            <w:sz w:val="20"/>
            <w:szCs w:val="20"/>
          </w:rPr>
          <w:tag w:val="MENDELEY_CITATION_v3_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"/>
          <w:id w:val="-852720199"/>
          <w:placeholder>
            <w:docPart w:val="BF505998DC554187A14B2F488EC1550C"/>
          </w:placeholder>
        </w:sdtPr>
        <w:sdtEndPr/>
        <w:sdtContent>
          <w:r w:rsidR="002F7DEA" w:rsidRPr="00AC5BCF">
            <w:rPr>
              <w:rFonts w:ascii="Arial" w:eastAsia="Times New Roman" w:hAnsi="Arial" w:cs="Arial"/>
              <w:color w:val="000000"/>
              <w:sz w:val="20"/>
              <w:szCs w:val="20"/>
            </w:rPr>
            <w:t>Frevert &amp; Kirkham (1948)</w:t>
          </w:r>
        </w:sdtContent>
      </w:sdt>
      <w:r w:rsidRPr="00AC5BCF">
        <w:rPr>
          <w:rFonts w:ascii="Arial" w:hAnsi="Arial" w:cs="Arial"/>
          <w:sz w:val="20"/>
          <w:szCs w:val="20"/>
        </w:rPr>
        <w:t xml:space="preserve"> and</w:t>
      </w:r>
      <w:r w:rsidRPr="00AC5BCF">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"/>
          <w:id w:val="1422149164"/>
          <w:placeholder>
            <w:docPart w:val="BF505998DC554187A14B2F488EC1550C"/>
          </w:placeholder>
        </w:sdtPr>
        <w:sdtEndPr/>
        <w:sdtContent>
          <w:proofErr w:type="spellStart"/>
          <w:r w:rsidR="002F7DEA" w:rsidRPr="00AC5BCF">
            <w:rPr>
              <w:rFonts w:ascii="Arial" w:eastAsia="Times New Roman" w:hAnsi="Arial" w:cs="Arial"/>
              <w:color w:val="000000"/>
              <w:sz w:val="20"/>
              <w:szCs w:val="20"/>
            </w:rPr>
            <w:t>Bierkens</w:t>
          </w:r>
          <w:proofErr w:type="spellEnd"/>
          <w:r w:rsidR="002F7DEA" w:rsidRPr="00AC5BCF">
            <w:rPr>
              <w:rFonts w:ascii="Arial" w:eastAsia="Times New Roman" w:hAnsi="Arial" w:cs="Arial"/>
              <w:color w:val="000000"/>
              <w:sz w:val="20"/>
              <w:szCs w:val="20"/>
            </w:rPr>
            <w:t xml:space="preserve"> &amp; </w:t>
          </w:r>
          <w:proofErr w:type="spellStart"/>
          <w:r w:rsidR="002F7DEA" w:rsidRPr="00AC5BCF">
            <w:rPr>
              <w:rFonts w:ascii="Arial" w:eastAsia="Times New Roman" w:hAnsi="Arial" w:cs="Arial"/>
              <w:color w:val="000000"/>
              <w:sz w:val="20"/>
              <w:szCs w:val="20"/>
            </w:rPr>
            <w:t>Geerts</w:t>
          </w:r>
          <w:proofErr w:type="spellEnd"/>
          <w:r w:rsidR="002F7DEA" w:rsidRPr="00AC5BCF">
            <w:rPr>
              <w:rFonts w:ascii="Arial" w:eastAsia="Times New Roman" w:hAnsi="Arial" w:cs="Arial"/>
              <w:color w:val="000000"/>
              <w:sz w:val="20"/>
              <w:szCs w:val="20"/>
            </w:rPr>
            <w:t xml:space="preserve"> (2014)</w:t>
          </w:r>
        </w:sdtContent>
      </w:sdt>
      <w:r w:rsidRPr="00AC5BCF">
        <w:rPr>
          <w:rFonts w:ascii="Arial" w:hAnsi="Arial" w:cs="Arial"/>
          <w:color w:val="000000"/>
          <w:sz w:val="20"/>
          <w:szCs w:val="20"/>
        </w:rPr>
        <w:t xml:space="preserve">. </w:t>
      </w:r>
      <w:r w:rsidRPr="00AC5BCF">
        <w:rPr>
          <w:rFonts w:ascii="Arial" w:hAnsi="Arial" w:cs="Arial"/>
          <w:sz w:val="20"/>
          <w:szCs w:val="20"/>
        </w:rPr>
        <w:t>The experiment was conducted using a PVC soil column to determine the soil's permeability through a falling head test. A PVC pipe, sealed at the bottom with a porous plate, served as the soil column. A graduated standpipe was attached to the top of the column for measuring water levels, and all connections were secured with leak-proof couplings. The setup also included a steady water supply for soil saturation.</w:t>
      </w:r>
    </w:p>
    <w:p w14:paraId="14E4AE9E" w14:textId="77777777" w:rsidR="00590112" w:rsidRPr="00AC5BCF" w:rsidRDefault="00590112" w:rsidP="00C370F8">
      <w:pPr>
        <w:spacing w:line="480" w:lineRule="auto"/>
        <w:jc w:val="both"/>
        <w:rPr>
          <w:rFonts w:ascii="Arial" w:hAnsi="Arial" w:cs="Arial"/>
          <w:sz w:val="20"/>
          <w:szCs w:val="20"/>
        </w:rPr>
      </w:pPr>
      <w:r w:rsidRPr="00AC5BCF">
        <w:rPr>
          <w:rFonts w:ascii="Arial" w:hAnsi="Arial" w:cs="Arial"/>
          <w:sz w:val="20"/>
          <w:szCs w:val="20"/>
        </w:rPr>
        <w:t>The soil sample was carefully prepared by filling the PVC column with soil, each compacted randomly. The total length (L) of the soil sample within the column was measured. The soil was then saturated by allowing water to flow through the column, ensuring all air was removed.</w:t>
      </w:r>
    </w:p>
    <w:p w14:paraId="240BB1DA" w14:textId="77777777" w:rsidR="00590112" w:rsidRPr="00AC5BCF" w:rsidRDefault="00590112" w:rsidP="00C370F8">
      <w:pPr>
        <w:spacing w:line="480" w:lineRule="auto"/>
        <w:jc w:val="both"/>
        <w:rPr>
          <w:rFonts w:ascii="Arial" w:hAnsi="Arial" w:cs="Arial"/>
          <w:sz w:val="20"/>
          <w:szCs w:val="20"/>
        </w:rPr>
      </w:pPr>
      <w:r w:rsidRPr="00AC5BCF">
        <w:rPr>
          <w:rFonts w:ascii="Arial" w:hAnsi="Arial" w:cs="Arial"/>
          <w:sz w:val="20"/>
          <w:szCs w:val="20"/>
        </w:rPr>
        <w:t>The PVC column was placed vertically, and the standpipe was securely attached to its top. The standpipe was filled with water to a known initial height (h</w:t>
      </w:r>
      <w:r w:rsidRPr="00AC5BCF">
        <w:rPr>
          <w:rFonts w:ascii="Arial" w:hAnsi="Arial" w:cs="Arial"/>
          <w:sz w:val="20"/>
          <w:szCs w:val="20"/>
          <w:vertAlign w:val="subscript"/>
        </w:rPr>
        <w:t>1</w:t>
      </w:r>
      <w:r w:rsidRPr="00AC5BCF">
        <w:rPr>
          <w:rFonts w:ascii="Arial" w:hAnsi="Arial" w:cs="Arial"/>
          <w:sz w:val="20"/>
          <w:szCs w:val="20"/>
        </w:rPr>
        <w:t>), and the valve at the base of the column was opened to initiate the test. The time (t) taken for the water level in the standpipe to drop from its initial height (h</w:t>
      </w:r>
      <w:r w:rsidRPr="00AC5BCF">
        <w:rPr>
          <w:rFonts w:ascii="Arial" w:hAnsi="Arial" w:cs="Arial"/>
          <w:sz w:val="20"/>
          <w:szCs w:val="20"/>
          <w:vertAlign w:val="subscript"/>
        </w:rPr>
        <w:t>1</w:t>
      </w:r>
      <w:r w:rsidRPr="00AC5BCF">
        <w:rPr>
          <w:rFonts w:ascii="Arial" w:hAnsi="Arial" w:cs="Arial"/>
          <w:sz w:val="20"/>
          <w:szCs w:val="20"/>
        </w:rPr>
        <w:t>) to a lower height (h</w:t>
      </w:r>
      <w:r w:rsidRPr="00AC5BCF">
        <w:rPr>
          <w:rFonts w:ascii="Arial" w:hAnsi="Arial" w:cs="Arial"/>
          <w:sz w:val="20"/>
          <w:szCs w:val="20"/>
          <w:vertAlign w:val="subscript"/>
        </w:rPr>
        <w:t>2</w:t>
      </w:r>
      <w:r w:rsidRPr="00AC5BCF">
        <w:rPr>
          <w:rFonts w:ascii="Arial" w:hAnsi="Arial" w:cs="Arial"/>
          <w:sz w:val="20"/>
          <w:szCs w:val="20"/>
        </w:rPr>
        <w:t>) was recorded. This process was repeated multiple times to ensure consistent results.</w:t>
      </w:r>
    </w:p>
    <w:p w14:paraId="6FB2B27D" w14:textId="559F224C" w:rsidR="00590112" w:rsidRPr="00AC5BCF" w:rsidRDefault="00590112" w:rsidP="00C370F8">
      <w:pPr>
        <w:spacing w:line="480" w:lineRule="auto"/>
        <w:jc w:val="both"/>
        <w:rPr>
          <w:rFonts w:ascii="Arial" w:hAnsi="Arial" w:cs="Arial"/>
          <w:sz w:val="20"/>
          <w:szCs w:val="20"/>
        </w:rPr>
      </w:pPr>
      <w:r w:rsidRPr="00AC5BCF">
        <w:rPr>
          <w:rFonts w:ascii="Arial" w:hAnsi="Arial" w:cs="Arial"/>
          <w:sz w:val="20"/>
          <w:szCs w:val="20"/>
        </w:rPr>
        <w:t>Measurements were taken for the cross-sectional area of the PVC column and the standpipe, as well as the length of the soil specimen. Using these measurements, the permeability of the soil was calculated using Equation (1).</w:t>
      </w:r>
    </w:p>
    <w:p w14:paraId="35764B63" w14:textId="34AEBE78" w:rsidR="00590112" w:rsidRPr="00AC5BCF" w:rsidRDefault="00590112" w:rsidP="00C370F8">
      <w:pPr>
        <w:spacing w:line="480" w:lineRule="auto"/>
        <w:jc w:val="both"/>
        <w:rPr>
          <w:rFonts w:ascii="Arial" w:eastAsiaTheme="minorEastAsia" w:hAnsi="Arial" w:cs="Arial"/>
          <w:sz w:val="20"/>
          <w:szCs w:val="20"/>
        </w:rPr>
      </w:pPr>
      <m:oMath>
        <m:r>
          <w:rPr>
            <w:rFonts w:ascii="Cambria Math" w:hAnsi="Cambria Math" w:cs="Arial"/>
            <w:sz w:val="20"/>
            <w:szCs w:val="20"/>
          </w:rPr>
          <m:t>k=</m:t>
        </m:r>
        <m:f>
          <m:fPr>
            <m:ctrlPr>
              <w:rPr>
                <w:rFonts w:ascii="Cambria Math" w:hAnsi="Cambria Math" w:cs="Arial"/>
                <w:i/>
                <w:sz w:val="20"/>
                <w:szCs w:val="20"/>
                <w:lang w:val="en-US"/>
              </w:rPr>
            </m:ctrlPr>
          </m:fPr>
          <m:num>
            <m:r>
              <w:rPr>
                <w:rFonts w:ascii="Cambria Math" w:hAnsi="Cambria Math" w:cs="Arial"/>
                <w:sz w:val="20"/>
                <w:szCs w:val="20"/>
              </w:rPr>
              <m:t>2.303aL</m:t>
            </m:r>
          </m:num>
          <m:den>
            <m:r>
              <w:rPr>
                <w:rFonts w:ascii="Cambria Math" w:hAnsi="Cambria Math" w:cs="Arial"/>
                <w:sz w:val="20"/>
                <w:szCs w:val="20"/>
              </w:rPr>
              <m:t>At</m:t>
            </m:r>
          </m:den>
        </m:f>
        <m:func>
          <m:funcPr>
            <m:ctrlPr>
              <w:rPr>
                <w:rFonts w:ascii="Cambria Math" w:hAnsi="Cambria Math" w:cs="Arial"/>
                <w:i/>
                <w:sz w:val="20"/>
                <w:szCs w:val="20"/>
                <w:lang w:val="en-US"/>
              </w:rPr>
            </m:ctrlPr>
          </m:funcPr>
          <m:fName>
            <m:r>
              <m:rPr>
                <m:sty m:val="p"/>
              </m:rPr>
              <w:rPr>
                <w:rFonts w:ascii="Cambria Math" w:hAnsi="Cambria Math" w:cs="Arial"/>
                <w:sz w:val="20"/>
                <w:szCs w:val="20"/>
              </w:rPr>
              <m:t>log</m:t>
            </m:r>
          </m:fName>
          <m:e>
            <m:d>
              <m:dPr>
                <m:ctrlPr>
                  <w:rPr>
                    <w:rFonts w:ascii="Cambria Math" w:hAnsi="Cambria Math" w:cs="Arial"/>
                    <w:i/>
                    <w:sz w:val="20"/>
                    <w:szCs w:val="20"/>
                    <w:lang w:val="en-US"/>
                  </w:rPr>
                </m:ctrlPr>
              </m:dPr>
              <m:e>
                <m:f>
                  <m:fPr>
                    <m:ctrlPr>
                      <w:rPr>
                        <w:rFonts w:ascii="Cambria Math" w:hAnsi="Cambria Math" w:cs="Arial"/>
                        <w:i/>
                        <w:sz w:val="20"/>
                        <w:szCs w:val="20"/>
                        <w:lang w:val="en-US"/>
                      </w:rPr>
                    </m:ctrlPr>
                  </m:fPr>
                  <m:num>
                    <m:sSub>
                      <m:sSubPr>
                        <m:ctrlPr>
                          <w:rPr>
                            <w:rFonts w:ascii="Cambria Math" w:hAnsi="Cambria Math" w:cs="Arial"/>
                            <w:i/>
                            <w:sz w:val="20"/>
                            <w:szCs w:val="20"/>
                            <w:lang w:val="en-US"/>
                          </w:rPr>
                        </m:ctrlPr>
                      </m:sSubPr>
                      <m:e>
                        <m:r>
                          <w:rPr>
                            <w:rFonts w:ascii="Cambria Math" w:hAnsi="Cambria Math" w:cs="Arial"/>
                            <w:sz w:val="20"/>
                            <w:szCs w:val="20"/>
                          </w:rPr>
                          <m:t>h</m:t>
                        </m:r>
                      </m:e>
                      <m:sub>
                        <m:r>
                          <w:rPr>
                            <w:rFonts w:ascii="Cambria Math" w:hAnsi="Cambria Math" w:cs="Arial"/>
                            <w:sz w:val="20"/>
                            <w:szCs w:val="20"/>
                          </w:rPr>
                          <m:t>1</m:t>
                        </m:r>
                      </m:sub>
                    </m:sSub>
                  </m:num>
                  <m:den>
                    <m:sSub>
                      <m:sSubPr>
                        <m:ctrlPr>
                          <w:rPr>
                            <w:rFonts w:ascii="Cambria Math" w:hAnsi="Cambria Math" w:cs="Arial"/>
                            <w:i/>
                            <w:sz w:val="20"/>
                            <w:szCs w:val="20"/>
                            <w:lang w:val="en-US"/>
                          </w:rPr>
                        </m:ctrlPr>
                      </m:sSubPr>
                      <m:e>
                        <m:r>
                          <w:rPr>
                            <w:rFonts w:ascii="Cambria Math" w:hAnsi="Cambria Math" w:cs="Arial"/>
                            <w:sz w:val="20"/>
                            <w:szCs w:val="20"/>
                          </w:rPr>
                          <m:t>h</m:t>
                        </m:r>
                      </m:e>
                      <m:sub>
                        <m:r>
                          <w:rPr>
                            <w:rFonts w:ascii="Cambria Math" w:hAnsi="Cambria Math" w:cs="Arial"/>
                            <w:sz w:val="20"/>
                            <w:szCs w:val="20"/>
                          </w:rPr>
                          <m:t>2</m:t>
                        </m:r>
                      </m:sub>
                    </m:sSub>
                  </m:den>
                </m:f>
              </m:e>
            </m:d>
          </m:e>
        </m:func>
      </m:oMath>
      <w:r w:rsidRPr="00AC5BCF">
        <w:rPr>
          <w:rFonts w:ascii="Arial" w:eastAsiaTheme="minorEastAsia" w:hAnsi="Arial" w:cs="Arial"/>
          <w:sz w:val="20"/>
          <w:szCs w:val="20"/>
          <w:lang w:val="en-US"/>
        </w:rPr>
        <w:tab/>
      </w:r>
      <w:r w:rsidRPr="00AC5BCF">
        <w:rPr>
          <w:rFonts w:ascii="Arial" w:eastAsiaTheme="minorEastAsia" w:hAnsi="Arial" w:cs="Arial"/>
          <w:sz w:val="20"/>
          <w:szCs w:val="20"/>
          <w:lang w:val="en-US"/>
        </w:rPr>
        <w:tab/>
      </w:r>
      <w:r w:rsidRPr="00AC5BCF">
        <w:rPr>
          <w:rFonts w:ascii="Arial" w:eastAsiaTheme="minorEastAsia" w:hAnsi="Arial" w:cs="Arial"/>
          <w:sz w:val="20"/>
          <w:szCs w:val="20"/>
          <w:lang w:val="en-US"/>
        </w:rPr>
        <w:tab/>
      </w:r>
      <w:r w:rsidR="00D263E2" w:rsidRPr="00AC5BCF">
        <w:rPr>
          <w:rFonts w:ascii="Arial" w:eastAsiaTheme="minorEastAsia" w:hAnsi="Arial" w:cs="Arial"/>
          <w:sz w:val="20"/>
          <w:szCs w:val="20"/>
          <w:lang w:val="en-US"/>
        </w:rPr>
        <w:tab/>
      </w:r>
      <w:r w:rsidR="00D263E2" w:rsidRPr="00AC5BCF">
        <w:rPr>
          <w:rFonts w:ascii="Arial" w:eastAsiaTheme="minorEastAsia" w:hAnsi="Arial" w:cs="Arial"/>
          <w:sz w:val="20"/>
          <w:szCs w:val="20"/>
          <w:lang w:val="en-US"/>
        </w:rPr>
        <w:tab/>
      </w:r>
      <w:r w:rsidR="00D263E2" w:rsidRPr="00AC5BCF">
        <w:rPr>
          <w:rFonts w:ascii="Arial" w:eastAsiaTheme="minorEastAsia" w:hAnsi="Arial" w:cs="Arial"/>
          <w:sz w:val="20"/>
          <w:szCs w:val="20"/>
          <w:lang w:val="en-US"/>
        </w:rPr>
        <w:tab/>
      </w:r>
      <w:r w:rsidR="00D263E2" w:rsidRPr="00AC5BCF">
        <w:rPr>
          <w:rFonts w:ascii="Arial" w:eastAsiaTheme="minorEastAsia" w:hAnsi="Arial" w:cs="Arial"/>
          <w:sz w:val="20"/>
          <w:szCs w:val="20"/>
          <w:lang w:val="en-US"/>
        </w:rPr>
        <w:tab/>
      </w:r>
      <w:r w:rsidR="00D263E2" w:rsidRPr="00AC5BCF">
        <w:rPr>
          <w:rFonts w:ascii="Arial" w:eastAsiaTheme="minorEastAsia" w:hAnsi="Arial" w:cs="Arial"/>
          <w:sz w:val="20"/>
          <w:szCs w:val="20"/>
          <w:lang w:val="en-US"/>
        </w:rPr>
        <w:tab/>
      </w:r>
      <w:r w:rsidRPr="00AC5BCF">
        <w:rPr>
          <w:rFonts w:ascii="Arial" w:eastAsiaTheme="minorEastAsia" w:hAnsi="Arial" w:cs="Arial"/>
          <w:sz w:val="20"/>
          <w:szCs w:val="20"/>
          <w:lang w:val="en-US"/>
        </w:rPr>
        <w:t>(1)</w:t>
      </w:r>
    </w:p>
    <w:p w14:paraId="1636F70D" w14:textId="77777777" w:rsidR="00590112" w:rsidRPr="00AC5BCF" w:rsidRDefault="00590112" w:rsidP="00C370F8">
      <w:pPr>
        <w:spacing w:line="480" w:lineRule="auto"/>
        <w:jc w:val="both"/>
        <w:rPr>
          <w:rFonts w:ascii="Arial" w:hAnsi="Arial" w:cs="Arial"/>
          <w:sz w:val="20"/>
          <w:szCs w:val="20"/>
        </w:rPr>
      </w:pPr>
      <w:r w:rsidRPr="00AC5BCF">
        <w:rPr>
          <w:rFonts w:ascii="Arial" w:hAnsi="Arial" w:cs="Arial"/>
          <w:sz w:val="20"/>
          <w:szCs w:val="20"/>
        </w:rPr>
        <w:t>Where a is the cross-sectional area of the standpipe, A is the cross-sectional area of the soil column, L is the length of the soil in the soil column, t is the time recorded, h</w:t>
      </w:r>
      <w:r w:rsidRPr="00AC5BCF">
        <w:rPr>
          <w:rFonts w:ascii="Arial" w:hAnsi="Arial" w:cs="Arial"/>
          <w:sz w:val="20"/>
          <w:szCs w:val="20"/>
          <w:vertAlign w:val="subscript"/>
        </w:rPr>
        <w:t>1</w:t>
      </w:r>
      <w:r w:rsidRPr="00AC5BCF">
        <w:rPr>
          <w:rFonts w:ascii="Arial" w:hAnsi="Arial" w:cs="Arial"/>
          <w:sz w:val="20"/>
          <w:szCs w:val="20"/>
        </w:rPr>
        <w:t xml:space="preserve"> and h</w:t>
      </w:r>
      <w:r w:rsidRPr="00AC5BCF">
        <w:rPr>
          <w:rFonts w:ascii="Arial" w:hAnsi="Arial" w:cs="Arial"/>
          <w:sz w:val="20"/>
          <w:szCs w:val="20"/>
          <w:vertAlign w:val="subscript"/>
        </w:rPr>
        <w:t>2</w:t>
      </w:r>
      <w:r w:rsidRPr="00AC5BCF">
        <w:rPr>
          <w:rFonts w:ascii="Arial" w:hAnsi="Arial" w:cs="Arial"/>
          <w:sz w:val="20"/>
          <w:szCs w:val="20"/>
        </w:rPr>
        <w:t>​ are the initial and final water levels in the standpipe respectively.</w:t>
      </w:r>
    </w:p>
    <w:p w14:paraId="55B05848" w14:textId="15BA5AC7" w:rsidR="00590112" w:rsidRPr="00AC5BCF" w:rsidRDefault="00590112" w:rsidP="00C370F8">
      <w:pPr>
        <w:spacing w:line="480" w:lineRule="auto"/>
        <w:jc w:val="both"/>
        <w:rPr>
          <w:rFonts w:ascii="Arial" w:hAnsi="Arial" w:cs="Arial"/>
          <w:sz w:val="20"/>
          <w:szCs w:val="20"/>
        </w:rPr>
      </w:pPr>
      <w:r w:rsidRPr="00AC5BCF">
        <w:rPr>
          <w:rFonts w:ascii="Arial" w:eastAsiaTheme="minorEastAsia" w:hAnsi="Arial" w:cs="Arial"/>
          <w:sz w:val="20"/>
          <w:szCs w:val="20"/>
        </w:rPr>
        <w:lastRenderedPageBreak/>
        <w:t>After the permeability test, the system was allowed to dry out naturally for 14 days</w:t>
      </w:r>
      <w:r w:rsidRPr="00AC5BCF">
        <w:rPr>
          <w:rFonts w:ascii="Arial" w:hAnsi="Arial" w:cs="Arial"/>
          <w:sz w:val="20"/>
          <w:szCs w:val="20"/>
        </w:rPr>
        <w:t xml:space="preserve"> to simulate a dry period where there is no rainfall for at least 2 weeks, after which, the soil in each soil column was polluted with equal volume (0.0005m</w:t>
      </w:r>
      <w:r w:rsidRPr="00AC5BCF">
        <w:rPr>
          <w:rFonts w:ascii="Arial" w:hAnsi="Arial" w:cs="Arial"/>
          <w:sz w:val="20"/>
          <w:szCs w:val="20"/>
          <w:vertAlign w:val="superscript"/>
        </w:rPr>
        <w:t>3</w:t>
      </w:r>
      <w:r w:rsidRPr="00AC5BCF">
        <w:rPr>
          <w:rFonts w:ascii="Arial" w:hAnsi="Arial" w:cs="Arial"/>
          <w:sz w:val="20"/>
          <w:szCs w:val="20"/>
        </w:rPr>
        <w:t>) of crude oil and then allowed to leach through the soil profile to the bottom of the column. The leaching time for crude oil was recorded and samples were collected at the surface and the bottom of the soil column</w:t>
      </w:r>
      <w:r w:rsidR="00BD5F5F" w:rsidRPr="00AC5BCF">
        <w:rPr>
          <w:rFonts w:ascii="Arial" w:hAnsi="Arial" w:cs="Arial"/>
          <w:sz w:val="20"/>
          <w:szCs w:val="20"/>
        </w:rPr>
        <w:t>s</w:t>
      </w:r>
      <w:r w:rsidRPr="00AC5BCF">
        <w:rPr>
          <w:rFonts w:ascii="Arial" w:hAnsi="Arial" w:cs="Arial"/>
          <w:sz w:val="20"/>
          <w:szCs w:val="20"/>
        </w:rPr>
        <w:t xml:space="preserve"> for analysis. </w:t>
      </w:r>
    </w:p>
    <w:p w14:paraId="6937A296" w14:textId="77777777" w:rsidR="00590112" w:rsidRPr="00AC5BCF" w:rsidRDefault="00590112" w:rsidP="00C370F8">
      <w:pPr>
        <w:spacing w:line="480" w:lineRule="auto"/>
        <w:jc w:val="both"/>
        <w:rPr>
          <w:rFonts w:ascii="Arial" w:hAnsi="Arial" w:cs="Arial"/>
          <w:sz w:val="20"/>
          <w:szCs w:val="20"/>
        </w:rPr>
      </w:pPr>
      <w:r w:rsidRPr="00AC5BCF">
        <w:rPr>
          <w:rFonts w:ascii="Arial" w:hAnsi="Arial" w:cs="Arial"/>
          <w:sz w:val="20"/>
          <w:szCs w:val="20"/>
        </w:rPr>
        <w:t>The soil samples collected were analysed at the laboratory for Total Petroleum Hydrocarbon (TPH) using the standard method (USEPA 8015c).</w:t>
      </w:r>
      <w:r w:rsidRPr="00AC5BCF">
        <w:rPr>
          <w:rFonts w:ascii="Arial" w:hAnsi="Arial" w:cs="Arial"/>
          <w:color w:val="FF0000"/>
          <w:sz w:val="20"/>
          <w:szCs w:val="20"/>
        </w:rPr>
        <w:t xml:space="preserve"> </w:t>
      </w:r>
      <w:r w:rsidRPr="00AC5BCF">
        <w:rPr>
          <w:rFonts w:ascii="Arial" w:hAnsi="Arial" w:cs="Arial"/>
          <w:sz w:val="20"/>
          <w:szCs w:val="20"/>
        </w:rPr>
        <w:t>The TPH measured for each soil column of varying heights represents the TPH concentration at different depths in the unsaturated zone.</w:t>
      </w:r>
    </w:p>
    <w:p w14:paraId="68E9F76E" w14:textId="77777777" w:rsidR="005C219B" w:rsidRPr="006D43A8" w:rsidRDefault="005C219B" w:rsidP="00C370F8">
      <w:pPr>
        <w:spacing w:line="480" w:lineRule="auto"/>
        <w:jc w:val="both"/>
        <w:rPr>
          <w:rFonts w:ascii="Times New Roman" w:hAnsi="Times New Roman" w:cs="Times New Roman"/>
          <w:sz w:val="24"/>
          <w:szCs w:val="24"/>
        </w:rPr>
        <w:sectPr w:rsidR="005C219B" w:rsidRPr="006D43A8" w:rsidSect="005D12E9">
          <w:headerReference w:type="even" r:id="rId14"/>
          <w:headerReference w:type="default" r:id="rId15"/>
          <w:footerReference w:type="default" r:id="rId16"/>
          <w:headerReference w:type="first" r:id="rId17"/>
          <w:type w:val="continuous"/>
          <w:pgSz w:w="12240" w:h="15840"/>
          <w:pgMar w:top="1440" w:right="1440" w:bottom="1440" w:left="1440" w:header="720" w:footer="720" w:gutter="0"/>
          <w:cols w:space="720"/>
          <w:docGrid w:linePitch="360"/>
        </w:sectPr>
      </w:pPr>
    </w:p>
    <w:p w14:paraId="5BE8DFB8" w14:textId="77777777" w:rsidR="005C219B" w:rsidRPr="006D43A8" w:rsidRDefault="005C219B" w:rsidP="00C370F8">
      <w:pPr>
        <w:spacing w:line="480" w:lineRule="auto"/>
        <w:jc w:val="both"/>
        <w:rPr>
          <w:rFonts w:ascii="Times New Roman" w:hAnsi="Times New Roman" w:cs="Times New Roman"/>
          <w:sz w:val="24"/>
          <w:szCs w:val="24"/>
        </w:rPr>
        <w:sectPr w:rsidR="005C219B" w:rsidRPr="006D43A8" w:rsidSect="005D12E9">
          <w:type w:val="continuous"/>
          <w:pgSz w:w="12240" w:h="15840"/>
          <w:pgMar w:top="1440" w:right="1440" w:bottom="1440" w:left="1440" w:header="720" w:footer="720" w:gutter="0"/>
          <w:cols w:space="720"/>
          <w:docGrid w:linePitch="360"/>
        </w:sectPr>
      </w:pPr>
    </w:p>
    <w:p w14:paraId="2930A275" w14:textId="2D90963D" w:rsidR="005C219B" w:rsidRPr="006D43A8" w:rsidRDefault="005C219B" w:rsidP="00C370F8">
      <w:pPr>
        <w:spacing w:line="480" w:lineRule="auto"/>
        <w:jc w:val="both"/>
        <w:rPr>
          <w:rFonts w:ascii="Times New Roman" w:hAnsi="Times New Roman" w:cs="Times New Roman"/>
          <w:sz w:val="24"/>
          <w:szCs w:val="24"/>
        </w:rPr>
      </w:pPr>
      <w:r w:rsidRPr="006D43A8">
        <w:rPr>
          <w:rFonts w:ascii="Times New Roman" w:hAnsi="Times New Roman" w:cs="Times New Roman"/>
          <w:noProof/>
          <w:sz w:val="24"/>
          <w:szCs w:val="24"/>
        </w:rPr>
        <w:drawing>
          <wp:inline distT="0" distB="0" distL="0" distR="0" wp14:anchorId="34A1D757" wp14:editId="7BCE1F38">
            <wp:extent cx="5765929" cy="3584181"/>
            <wp:effectExtent l="0" t="0" r="6350" b="0"/>
            <wp:docPr id="455054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19651" cy="3617575"/>
                    </a:xfrm>
                    <a:prstGeom prst="rect">
                      <a:avLst/>
                    </a:prstGeom>
                    <a:noFill/>
                    <a:ln>
                      <a:noFill/>
                    </a:ln>
                  </pic:spPr>
                </pic:pic>
              </a:graphicData>
            </a:graphic>
          </wp:inline>
        </w:drawing>
      </w:r>
    </w:p>
    <w:p w14:paraId="4D5AF52F" w14:textId="466F63B9" w:rsidR="005C219B" w:rsidRPr="00AC5BCF" w:rsidRDefault="005C219B" w:rsidP="00C370F8">
      <w:pPr>
        <w:spacing w:line="480" w:lineRule="auto"/>
        <w:rPr>
          <w:rFonts w:ascii="Arial" w:hAnsi="Arial" w:cs="Arial"/>
          <w:b/>
          <w:bCs/>
          <w:sz w:val="20"/>
          <w:szCs w:val="20"/>
        </w:rPr>
      </w:pPr>
      <w:r w:rsidRPr="00AC5BCF">
        <w:rPr>
          <w:rFonts w:ascii="Arial" w:hAnsi="Arial" w:cs="Arial"/>
          <w:b/>
          <w:bCs/>
          <w:sz w:val="20"/>
          <w:szCs w:val="20"/>
        </w:rPr>
        <w:t>Figure 1: Experimental setup of soil columns</w:t>
      </w:r>
    </w:p>
    <w:p w14:paraId="73261CF6" w14:textId="77777777" w:rsidR="004D1BFF" w:rsidRPr="006D43A8" w:rsidRDefault="004D1BFF" w:rsidP="00C370F8">
      <w:pPr>
        <w:spacing w:line="480" w:lineRule="auto"/>
        <w:jc w:val="both"/>
        <w:rPr>
          <w:rFonts w:ascii="Times New Roman" w:hAnsi="Times New Roman" w:cs="Times New Roman"/>
          <w:b/>
          <w:bCs/>
          <w:sz w:val="24"/>
          <w:szCs w:val="24"/>
        </w:rPr>
        <w:sectPr w:rsidR="004D1BFF" w:rsidRPr="006D43A8" w:rsidSect="005D12E9">
          <w:type w:val="continuous"/>
          <w:pgSz w:w="12240" w:h="15840"/>
          <w:pgMar w:top="1440" w:right="1440" w:bottom="1440" w:left="1440" w:header="720" w:footer="720" w:gutter="0"/>
          <w:cols w:space="720"/>
          <w:docGrid w:linePitch="360"/>
        </w:sectPr>
      </w:pPr>
    </w:p>
    <w:p w14:paraId="6790E45A" w14:textId="75B969F7" w:rsidR="005C219B" w:rsidRPr="00AC5BCF" w:rsidRDefault="005C219B" w:rsidP="00C370F8">
      <w:pPr>
        <w:spacing w:line="480" w:lineRule="auto"/>
        <w:jc w:val="both"/>
        <w:rPr>
          <w:rFonts w:ascii="Arial" w:hAnsi="Arial" w:cs="Arial"/>
          <w:b/>
          <w:bCs/>
        </w:rPr>
      </w:pPr>
      <w:r w:rsidRPr="00AC5BCF">
        <w:rPr>
          <w:rFonts w:ascii="Arial" w:hAnsi="Arial" w:cs="Arial"/>
          <w:b/>
          <w:bCs/>
        </w:rPr>
        <w:t>2.3 Model design</w:t>
      </w:r>
    </w:p>
    <w:p w14:paraId="357CDB46" w14:textId="77777777" w:rsidR="005C219B" w:rsidRPr="00AC5BCF" w:rsidRDefault="005C219B" w:rsidP="00C370F8">
      <w:pPr>
        <w:spacing w:line="480" w:lineRule="auto"/>
        <w:jc w:val="both"/>
        <w:rPr>
          <w:rFonts w:ascii="Arial" w:hAnsi="Arial" w:cs="Arial"/>
          <w:sz w:val="20"/>
          <w:szCs w:val="20"/>
        </w:rPr>
      </w:pPr>
      <w:r w:rsidRPr="00AC5BCF">
        <w:rPr>
          <w:rFonts w:ascii="Arial" w:hAnsi="Arial" w:cs="Arial"/>
          <w:sz w:val="20"/>
          <w:szCs w:val="20"/>
        </w:rPr>
        <w:t>This study considered the dimensional analysis modelling approach. Dimensional analysis was considered due to its ability to account for the interaction between variables affecting transport.</w:t>
      </w:r>
    </w:p>
    <w:p w14:paraId="11F4E60C" w14:textId="77777777" w:rsidR="005C219B" w:rsidRPr="00AC5BCF" w:rsidRDefault="005C219B" w:rsidP="00C370F8">
      <w:pPr>
        <w:spacing w:line="480" w:lineRule="auto"/>
        <w:jc w:val="both"/>
        <w:rPr>
          <w:rFonts w:ascii="Arial" w:hAnsi="Arial" w:cs="Arial"/>
          <w:sz w:val="20"/>
          <w:szCs w:val="20"/>
        </w:rPr>
      </w:pPr>
      <w:r w:rsidRPr="00AC5BCF">
        <w:rPr>
          <w:rFonts w:ascii="Arial" w:hAnsi="Arial" w:cs="Arial"/>
          <w:sz w:val="20"/>
          <w:szCs w:val="20"/>
        </w:rPr>
        <w:lastRenderedPageBreak/>
        <w:t>Model concept based on dimensional analysis was developed considering these variables; depth (D), permeability (k), viscosity (μ), leaching time of crude oil (t), concentration at the surface (C</w:t>
      </w:r>
      <w:r w:rsidRPr="00AC5BCF">
        <w:rPr>
          <w:rFonts w:ascii="Arial" w:hAnsi="Arial" w:cs="Arial"/>
          <w:sz w:val="20"/>
          <w:szCs w:val="20"/>
          <w:vertAlign w:val="subscript"/>
        </w:rPr>
        <w:t>1</w:t>
      </w:r>
      <w:r w:rsidRPr="00AC5BCF">
        <w:rPr>
          <w:rFonts w:ascii="Arial" w:hAnsi="Arial" w:cs="Arial"/>
          <w:sz w:val="20"/>
          <w:szCs w:val="20"/>
        </w:rPr>
        <w:t>) and concentration at depth (C</w:t>
      </w:r>
      <w:r w:rsidRPr="00AC5BCF">
        <w:rPr>
          <w:rFonts w:ascii="Arial" w:hAnsi="Arial" w:cs="Arial"/>
          <w:sz w:val="20"/>
          <w:szCs w:val="20"/>
          <w:vertAlign w:val="subscript"/>
        </w:rPr>
        <w:t>2</w:t>
      </w:r>
      <w:r w:rsidRPr="00AC5BCF">
        <w:rPr>
          <w:rFonts w:ascii="Arial" w:hAnsi="Arial" w:cs="Arial"/>
          <w:sz w:val="20"/>
          <w:szCs w:val="20"/>
        </w:rPr>
        <w:t>). The derivation of the model concept is presented:</w:t>
      </w:r>
    </w:p>
    <w:p w14:paraId="7B2A171F" w14:textId="2E11B17E" w:rsidR="005C219B" w:rsidRPr="00AC5BCF" w:rsidRDefault="005C219B" w:rsidP="00C370F8">
      <w:pPr>
        <w:spacing w:line="480" w:lineRule="auto"/>
        <w:jc w:val="both"/>
        <w:rPr>
          <w:rFonts w:ascii="Arial" w:hAnsi="Arial" w:cs="Arial"/>
          <w:sz w:val="20"/>
          <w:szCs w:val="20"/>
        </w:rPr>
      </w:pPr>
      <w:r w:rsidRPr="00AC5BCF">
        <w:rPr>
          <w:rFonts w:ascii="Arial" w:hAnsi="Arial" w:cs="Arial"/>
          <w:sz w:val="20"/>
          <w:szCs w:val="20"/>
        </w:rPr>
        <w:t>C</w:t>
      </w:r>
      <w:r w:rsidRPr="00AC5BCF">
        <w:rPr>
          <w:rFonts w:ascii="Arial" w:hAnsi="Arial" w:cs="Arial"/>
          <w:sz w:val="20"/>
          <w:szCs w:val="20"/>
          <w:vertAlign w:val="subscript"/>
        </w:rPr>
        <w:t xml:space="preserve">2 </w:t>
      </w:r>
      <w:r w:rsidRPr="00AC5BCF">
        <w:rPr>
          <w:rFonts w:ascii="Arial" w:hAnsi="Arial" w:cs="Arial"/>
          <w:sz w:val="20"/>
          <w:szCs w:val="20"/>
        </w:rPr>
        <w:t xml:space="preserve">= </w:t>
      </w:r>
      <w:r w:rsidRPr="00AC5BCF">
        <w:rPr>
          <w:rFonts w:ascii="Arial" w:hAnsi="Arial" w:cs="Arial"/>
          <w:i/>
          <w:iCs/>
          <w:sz w:val="20"/>
          <w:szCs w:val="20"/>
        </w:rPr>
        <w:t>f</w:t>
      </w:r>
      <w:r w:rsidRPr="00AC5BCF">
        <w:rPr>
          <w:rFonts w:ascii="Arial" w:hAnsi="Arial" w:cs="Arial"/>
          <w:sz w:val="20"/>
          <w:szCs w:val="20"/>
        </w:rPr>
        <w:t xml:space="preserve"> (C</w:t>
      </w:r>
      <w:r w:rsidRPr="00AC5BCF">
        <w:rPr>
          <w:rFonts w:ascii="Arial" w:hAnsi="Arial" w:cs="Arial"/>
          <w:sz w:val="20"/>
          <w:szCs w:val="20"/>
          <w:vertAlign w:val="subscript"/>
        </w:rPr>
        <w:t>1</w:t>
      </w:r>
      <w:r w:rsidRPr="00AC5BCF">
        <w:rPr>
          <w:rFonts w:ascii="Arial" w:hAnsi="Arial" w:cs="Arial"/>
          <w:sz w:val="20"/>
          <w:szCs w:val="20"/>
        </w:rPr>
        <w:t>, D, μ, k, t)</w:t>
      </w:r>
      <w:r w:rsidRPr="00AC5BCF">
        <w:rPr>
          <w:rFonts w:ascii="Arial" w:hAnsi="Arial" w:cs="Arial"/>
          <w:sz w:val="20"/>
          <w:szCs w:val="20"/>
        </w:rPr>
        <w:tab/>
      </w:r>
      <w:r w:rsidRPr="00AC5BCF">
        <w:rPr>
          <w:rFonts w:ascii="Arial" w:hAnsi="Arial" w:cs="Arial"/>
          <w:sz w:val="20"/>
          <w:szCs w:val="20"/>
        </w:rPr>
        <w:tab/>
      </w:r>
      <w:r w:rsidRPr="00AC5BCF">
        <w:rPr>
          <w:rFonts w:ascii="Arial" w:hAnsi="Arial" w:cs="Arial"/>
          <w:sz w:val="20"/>
          <w:szCs w:val="20"/>
        </w:rPr>
        <w:tab/>
      </w:r>
      <w:r w:rsidR="00D263E2" w:rsidRPr="00AC5BCF">
        <w:rPr>
          <w:rFonts w:ascii="Arial" w:hAnsi="Arial" w:cs="Arial"/>
          <w:sz w:val="20"/>
          <w:szCs w:val="20"/>
        </w:rPr>
        <w:tab/>
      </w:r>
      <w:r w:rsidR="00D263E2" w:rsidRPr="00AC5BCF">
        <w:rPr>
          <w:rFonts w:ascii="Arial" w:hAnsi="Arial" w:cs="Arial"/>
          <w:sz w:val="20"/>
          <w:szCs w:val="20"/>
        </w:rPr>
        <w:tab/>
      </w:r>
      <w:r w:rsidR="00D263E2" w:rsidRPr="00AC5BCF">
        <w:rPr>
          <w:rFonts w:ascii="Arial" w:hAnsi="Arial" w:cs="Arial"/>
          <w:sz w:val="20"/>
          <w:szCs w:val="20"/>
        </w:rPr>
        <w:tab/>
      </w:r>
      <w:r w:rsidR="00D263E2" w:rsidRPr="00AC5BCF">
        <w:rPr>
          <w:rFonts w:ascii="Arial" w:hAnsi="Arial" w:cs="Arial"/>
          <w:sz w:val="20"/>
          <w:szCs w:val="20"/>
        </w:rPr>
        <w:tab/>
      </w:r>
      <w:r w:rsidR="00D263E2" w:rsidRPr="00AC5BCF">
        <w:rPr>
          <w:rFonts w:ascii="Arial" w:hAnsi="Arial" w:cs="Arial"/>
          <w:sz w:val="20"/>
          <w:szCs w:val="20"/>
        </w:rPr>
        <w:tab/>
      </w:r>
      <w:r w:rsidRPr="00AC5BCF">
        <w:rPr>
          <w:rFonts w:ascii="Arial" w:hAnsi="Arial" w:cs="Arial"/>
          <w:sz w:val="20"/>
          <w:szCs w:val="20"/>
        </w:rPr>
        <w:t>(</w:t>
      </w:r>
      <w:r w:rsidR="00871470" w:rsidRPr="00AC5BCF">
        <w:rPr>
          <w:rFonts w:ascii="Arial" w:hAnsi="Arial" w:cs="Arial"/>
          <w:sz w:val="20"/>
          <w:szCs w:val="20"/>
        </w:rPr>
        <w:t>2</w:t>
      </w:r>
      <w:r w:rsidRPr="00AC5BCF">
        <w:rPr>
          <w:rFonts w:ascii="Arial" w:hAnsi="Arial" w:cs="Arial"/>
          <w:sz w:val="20"/>
          <w:szCs w:val="20"/>
        </w:rPr>
        <w:t>)</w:t>
      </w:r>
    </w:p>
    <w:p w14:paraId="18C60C61" w14:textId="77777777" w:rsidR="005C219B" w:rsidRPr="00AC5BCF" w:rsidRDefault="005C219B" w:rsidP="00C370F8">
      <w:pPr>
        <w:spacing w:line="480" w:lineRule="auto"/>
        <w:jc w:val="both"/>
        <w:rPr>
          <w:rFonts w:ascii="Arial" w:hAnsi="Arial" w:cs="Arial"/>
          <w:sz w:val="20"/>
          <w:szCs w:val="20"/>
        </w:rPr>
      </w:pPr>
      <w:r w:rsidRPr="00AC5BCF">
        <w:rPr>
          <w:rFonts w:ascii="Arial" w:hAnsi="Arial" w:cs="Arial"/>
          <w:sz w:val="20"/>
          <w:szCs w:val="20"/>
        </w:rPr>
        <w:t>With the consideration of D, μ, and k as repeating variables, 3 dimensionless π-terms were developed.</w:t>
      </w:r>
    </w:p>
    <w:p w14:paraId="00D5B27E" w14:textId="49D77924" w:rsidR="005C219B" w:rsidRPr="00AC5BCF" w:rsidRDefault="00122B66" w:rsidP="00C370F8">
      <w:pPr>
        <w:spacing w:line="480" w:lineRule="auto"/>
        <w:jc w:val="both"/>
        <w:rPr>
          <w:rFonts w:ascii="Arial" w:eastAsiaTheme="minorEastAsia" w:hAnsi="Arial" w:cs="Arial"/>
          <w:sz w:val="20"/>
          <w:szCs w:val="20"/>
        </w:rPr>
      </w:pPr>
      <m:oMath>
        <m:sSub>
          <m:sSubPr>
            <m:ctrlPr>
              <w:rPr>
                <w:rFonts w:ascii="Cambria Math" w:hAnsi="Cambria Math" w:cs="Arial"/>
                <w:i/>
                <w:sz w:val="20"/>
                <w:szCs w:val="20"/>
                <w:vertAlign w:val="subscript"/>
              </w:rPr>
            </m:ctrlPr>
          </m:sSubPr>
          <m:e>
            <m:r>
              <w:rPr>
                <w:rFonts w:ascii="Cambria Math" w:hAnsi="Cambria Math" w:cs="Arial"/>
                <w:sz w:val="20"/>
                <w:szCs w:val="20"/>
                <w:vertAlign w:val="subscript"/>
              </w:rPr>
              <m:t>π</m:t>
            </m:r>
          </m:e>
          <m:sub>
            <m:r>
              <w:rPr>
                <w:rFonts w:ascii="Cambria Math" w:hAnsi="Cambria Math" w:cs="Arial"/>
                <w:sz w:val="20"/>
                <w:szCs w:val="20"/>
                <w:vertAlign w:val="subscript"/>
              </w:rPr>
              <m:t>1</m:t>
            </m:r>
          </m:sub>
        </m:sSub>
        <m:r>
          <w:rPr>
            <w:rFonts w:ascii="Cambria Math" w:hAnsi="Cambria Math" w:cs="Arial"/>
            <w:sz w:val="20"/>
            <w:szCs w:val="20"/>
            <w:vertAlign w:val="subscript"/>
          </w:rPr>
          <m:t xml:space="preserve">= </m:t>
        </m:r>
        <m:sSup>
          <m:sSupPr>
            <m:ctrlPr>
              <w:rPr>
                <w:rFonts w:ascii="Cambria Math" w:hAnsi="Cambria Math" w:cs="Arial"/>
                <w:i/>
                <w:sz w:val="20"/>
                <w:szCs w:val="20"/>
                <w:vertAlign w:val="subscript"/>
              </w:rPr>
            </m:ctrlPr>
          </m:sSupPr>
          <m:e>
            <m:r>
              <w:rPr>
                <w:rFonts w:ascii="Cambria Math" w:hAnsi="Cambria Math" w:cs="Arial"/>
                <w:sz w:val="20"/>
                <w:szCs w:val="20"/>
                <w:vertAlign w:val="subscript"/>
              </w:rPr>
              <m:t>D</m:t>
            </m:r>
          </m:e>
          <m:sup>
            <m:r>
              <w:rPr>
                <w:rFonts w:ascii="Cambria Math" w:hAnsi="Cambria Math" w:cs="Arial"/>
                <w:sz w:val="20"/>
                <w:szCs w:val="20"/>
                <w:vertAlign w:val="subscript"/>
              </w:rPr>
              <m:t>a</m:t>
            </m:r>
          </m:sup>
        </m:sSup>
        <m:r>
          <w:rPr>
            <w:rFonts w:ascii="Cambria Math" w:hAnsi="Cambria Math" w:cs="Arial"/>
            <w:sz w:val="20"/>
            <w:szCs w:val="20"/>
            <w:vertAlign w:val="subscript"/>
          </w:rPr>
          <m:t>.</m:t>
        </m:r>
        <m:sSup>
          <m:sSupPr>
            <m:ctrlPr>
              <w:rPr>
                <w:rFonts w:ascii="Cambria Math" w:hAnsi="Cambria Math" w:cs="Arial"/>
                <w:i/>
                <w:sz w:val="20"/>
                <w:szCs w:val="20"/>
                <w:vertAlign w:val="subscript"/>
              </w:rPr>
            </m:ctrlPr>
          </m:sSupPr>
          <m:e>
            <m:r>
              <w:rPr>
                <w:rFonts w:ascii="Cambria Math" w:hAnsi="Cambria Math" w:cs="Arial"/>
                <w:sz w:val="20"/>
                <w:szCs w:val="20"/>
                <w:vertAlign w:val="subscript"/>
              </w:rPr>
              <m:t>μ</m:t>
            </m:r>
          </m:e>
          <m:sup>
            <m:r>
              <w:rPr>
                <w:rFonts w:ascii="Cambria Math" w:hAnsi="Cambria Math" w:cs="Arial"/>
                <w:sz w:val="20"/>
                <w:szCs w:val="20"/>
                <w:vertAlign w:val="subscript"/>
              </w:rPr>
              <m:t>b</m:t>
            </m:r>
          </m:sup>
        </m:sSup>
        <m:r>
          <w:rPr>
            <w:rFonts w:ascii="Cambria Math" w:hAnsi="Cambria Math" w:cs="Arial"/>
            <w:sz w:val="20"/>
            <w:szCs w:val="20"/>
            <w:vertAlign w:val="subscript"/>
          </w:rPr>
          <m:t>.</m:t>
        </m:r>
        <m:sSup>
          <m:sSupPr>
            <m:ctrlPr>
              <w:rPr>
                <w:rFonts w:ascii="Cambria Math" w:hAnsi="Cambria Math" w:cs="Arial"/>
                <w:i/>
                <w:sz w:val="20"/>
                <w:szCs w:val="20"/>
                <w:vertAlign w:val="subscript"/>
              </w:rPr>
            </m:ctrlPr>
          </m:sSupPr>
          <m:e>
            <m:r>
              <w:rPr>
                <w:rFonts w:ascii="Cambria Math" w:hAnsi="Cambria Math" w:cs="Arial"/>
                <w:sz w:val="20"/>
                <w:szCs w:val="20"/>
                <w:vertAlign w:val="subscript"/>
              </w:rPr>
              <m:t>k</m:t>
            </m:r>
          </m:e>
          <m:sup>
            <m:r>
              <w:rPr>
                <w:rFonts w:ascii="Cambria Math" w:hAnsi="Cambria Math" w:cs="Arial"/>
                <w:sz w:val="20"/>
                <w:szCs w:val="20"/>
                <w:vertAlign w:val="subscript"/>
              </w:rPr>
              <m:t>c</m:t>
            </m:r>
          </m:sup>
        </m:sSup>
        <m:r>
          <w:rPr>
            <w:rFonts w:ascii="Cambria Math" w:hAnsi="Cambria Math" w:cs="Arial"/>
            <w:sz w:val="20"/>
            <w:szCs w:val="20"/>
            <w:vertAlign w:val="subscript"/>
          </w:rPr>
          <m:t>.</m:t>
        </m:r>
        <m:sSub>
          <m:sSubPr>
            <m:ctrlPr>
              <w:rPr>
                <w:rFonts w:ascii="Cambria Math" w:hAnsi="Cambria Math" w:cs="Arial"/>
                <w:i/>
                <w:sz w:val="20"/>
                <w:szCs w:val="20"/>
                <w:vertAlign w:val="subscript"/>
              </w:rPr>
            </m:ctrlPr>
          </m:sSubPr>
          <m:e>
            <m:r>
              <w:rPr>
                <w:rFonts w:ascii="Cambria Math" w:hAnsi="Cambria Math" w:cs="Arial"/>
                <w:sz w:val="20"/>
                <w:szCs w:val="20"/>
                <w:vertAlign w:val="subscript"/>
              </w:rPr>
              <m:t>C</m:t>
            </m:r>
          </m:e>
          <m:sub>
            <m:r>
              <w:rPr>
                <w:rFonts w:ascii="Cambria Math" w:hAnsi="Cambria Math" w:cs="Arial"/>
                <w:sz w:val="20"/>
                <w:szCs w:val="20"/>
                <w:vertAlign w:val="subscript"/>
              </w:rPr>
              <m:t>2</m:t>
            </m:r>
          </m:sub>
        </m:sSub>
      </m:oMath>
      <w:r w:rsidR="005C219B" w:rsidRPr="00AC5BCF">
        <w:rPr>
          <w:rFonts w:ascii="Arial" w:eastAsiaTheme="minorEastAsia" w:hAnsi="Arial" w:cs="Arial"/>
          <w:sz w:val="20"/>
          <w:szCs w:val="20"/>
          <w:vertAlign w:val="subscript"/>
        </w:rPr>
        <w:tab/>
      </w:r>
      <w:r w:rsidR="005C219B" w:rsidRPr="00AC5BCF">
        <w:rPr>
          <w:rFonts w:ascii="Arial" w:eastAsiaTheme="minorEastAsia" w:hAnsi="Arial" w:cs="Arial"/>
          <w:sz w:val="20"/>
          <w:szCs w:val="20"/>
          <w:vertAlign w:val="subscript"/>
        </w:rPr>
        <w:tab/>
      </w:r>
      <w:r w:rsidR="005C219B" w:rsidRPr="00AC5BCF">
        <w:rPr>
          <w:rFonts w:ascii="Arial" w:eastAsiaTheme="minorEastAsia" w:hAnsi="Arial" w:cs="Arial"/>
          <w:sz w:val="20"/>
          <w:szCs w:val="20"/>
          <w:vertAlign w:val="subscript"/>
        </w:rPr>
        <w:tab/>
      </w:r>
      <w:r w:rsidR="00D263E2" w:rsidRPr="00AC5BCF">
        <w:rPr>
          <w:rFonts w:ascii="Arial" w:eastAsiaTheme="minorEastAsia" w:hAnsi="Arial" w:cs="Arial"/>
          <w:sz w:val="20"/>
          <w:szCs w:val="20"/>
          <w:vertAlign w:val="subscript"/>
        </w:rPr>
        <w:tab/>
      </w:r>
      <w:r w:rsidR="00D263E2" w:rsidRPr="00AC5BCF">
        <w:rPr>
          <w:rFonts w:ascii="Arial" w:eastAsiaTheme="minorEastAsia" w:hAnsi="Arial" w:cs="Arial"/>
          <w:sz w:val="20"/>
          <w:szCs w:val="20"/>
          <w:vertAlign w:val="subscript"/>
        </w:rPr>
        <w:tab/>
      </w:r>
      <w:r w:rsidR="00D263E2" w:rsidRPr="00AC5BCF">
        <w:rPr>
          <w:rFonts w:ascii="Arial" w:eastAsiaTheme="minorEastAsia" w:hAnsi="Arial" w:cs="Arial"/>
          <w:sz w:val="20"/>
          <w:szCs w:val="20"/>
          <w:vertAlign w:val="subscript"/>
        </w:rPr>
        <w:tab/>
      </w:r>
      <w:r w:rsidR="00D263E2" w:rsidRPr="00AC5BCF">
        <w:rPr>
          <w:rFonts w:ascii="Arial" w:eastAsiaTheme="minorEastAsia" w:hAnsi="Arial" w:cs="Arial"/>
          <w:sz w:val="20"/>
          <w:szCs w:val="20"/>
          <w:vertAlign w:val="subscript"/>
        </w:rPr>
        <w:tab/>
      </w:r>
      <w:r w:rsidR="00D263E2" w:rsidRPr="00AC5BCF">
        <w:rPr>
          <w:rFonts w:ascii="Arial" w:eastAsiaTheme="minorEastAsia" w:hAnsi="Arial" w:cs="Arial"/>
          <w:sz w:val="20"/>
          <w:szCs w:val="20"/>
          <w:vertAlign w:val="subscript"/>
        </w:rPr>
        <w:tab/>
      </w:r>
      <w:r w:rsidR="005C219B" w:rsidRPr="00AC5BCF">
        <w:rPr>
          <w:rFonts w:ascii="Arial" w:eastAsiaTheme="minorEastAsia" w:hAnsi="Arial" w:cs="Arial"/>
          <w:sz w:val="20"/>
          <w:szCs w:val="20"/>
        </w:rPr>
        <w:t>(</w:t>
      </w:r>
      <w:r w:rsidR="00871470" w:rsidRPr="00AC5BCF">
        <w:rPr>
          <w:rFonts w:ascii="Arial" w:eastAsiaTheme="minorEastAsia" w:hAnsi="Arial" w:cs="Arial"/>
          <w:sz w:val="20"/>
          <w:szCs w:val="20"/>
        </w:rPr>
        <w:t>3</w:t>
      </w:r>
      <w:r w:rsidR="005C219B" w:rsidRPr="00AC5BCF">
        <w:rPr>
          <w:rFonts w:ascii="Arial" w:eastAsiaTheme="minorEastAsia" w:hAnsi="Arial" w:cs="Arial"/>
          <w:sz w:val="20"/>
          <w:szCs w:val="20"/>
        </w:rPr>
        <w:t>)</w:t>
      </w:r>
    </w:p>
    <w:p w14:paraId="212D49AB" w14:textId="35300D7B" w:rsidR="005C219B" w:rsidRPr="00AC5BCF" w:rsidRDefault="00122B66" w:rsidP="00C370F8">
      <w:pPr>
        <w:spacing w:line="480" w:lineRule="auto"/>
        <w:jc w:val="both"/>
        <w:rPr>
          <w:rFonts w:ascii="Arial" w:eastAsiaTheme="minorEastAsia" w:hAnsi="Arial" w:cs="Arial"/>
          <w:sz w:val="20"/>
          <w:szCs w:val="20"/>
        </w:rPr>
      </w:pPr>
      <m:oMath>
        <m:sSub>
          <m:sSubPr>
            <m:ctrlPr>
              <w:rPr>
                <w:rFonts w:ascii="Cambria Math" w:hAnsi="Cambria Math" w:cs="Arial"/>
                <w:i/>
                <w:sz w:val="20"/>
                <w:szCs w:val="20"/>
                <w:vertAlign w:val="subscript"/>
              </w:rPr>
            </m:ctrlPr>
          </m:sSubPr>
          <m:e>
            <m:r>
              <w:rPr>
                <w:rFonts w:ascii="Cambria Math" w:hAnsi="Cambria Math" w:cs="Arial"/>
                <w:sz w:val="20"/>
                <w:szCs w:val="20"/>
                <w:vertAlign w:val="subscript"/>
              </w:rPr>
              <m:t>π</m:t>
            </m:r>
          </m:e>
          <m:sub>
            <m:r>
              <w:rPr>
                <w:rFonts w:ascii="Cambria Math" w:hAnsi="Cambria Math" w:cs="Arial"/>
                <w:sz w:val="20"/>
                <w:szCs w:val="20"/>
                <w:vertAlign w:val="subscript"/>
              </w:rPr>
              <m:t>2</m:t>
            </m:r>
          </m:sub>
        </m:sSub>
        <m:r>
          <w:rPr>
            <w:rFonts w:ascii="Cambria Math" w:hAnsi="Cambria Math" w:cs="Arial"/>
            <w:sz w:val="20"/>
            <w:szCs w:val="20"/>
            <w:vertAlign w:val="subscript"/>
          </w:rPr>
          <m:t xml:space="preserve">= </m:t>
        </m:r>
        <m:sSup>
          <m:sSupPr>
            <m:ctrlPr>
              <w:rPr>
                <w:rFonts w:ascii="Cambria Math" w:hAnsi="Cambria Math" w:cs="Arial"/>
                <w:i/>
                <w:sz w:val="20"/>
                <w:szCs w:val="20"/>
                <w:vertAlign w:val="subscript"/>
              </w:rPr>
            </m:ctrlPr>
          </m:sSupPr>
          <m:e>
            <m:r>
              <w:rPr>
                <w:rFonts w:ascii="Cambria Math" w:hAnsi="Cambria Math" w:cs="Arial"/>
                <w:sz w:val="20"/>
                <w:szCs w:val="20"/>
                <w:vertAlign w:val="subscript"/>
              </w:rPr>
              <m:t>D</m:t>
            </m:r>
          </m:e>
          <m:sup>
            <m:r>
              <w:rPr>
                <w:rFonts w:ascii="Cambria Math" w:hAnsi="Cambria Math" w:cs="Arial"/>
                <w:sz w:val="20"/>
                <w:szCs w:val="20"/>
                <w:vertAlign w:val="subscript"/>
              </w:rPr>
              <m:t>a</m:t>
            </m:r>
          </m:sup>
        </m:sSup>
        <m:r>
          <w:rPr>
            <w:rFonts w:ascii="Cambria Math" w:hAnsi="Cambria Math" w:cs="Arial"/>
            <w:sz w:val="20"/>
            <w:szCs w:val="20"/>
            <w:vertAlign w:val="subscript"/>
          </w:rPr>
          <m:t>.</m:t>
        </m:r>
        <m:sSup>
          <m:sSupPr>
            <m:ctrlPr>
              <w:rPr>
                <w:rFonts w:ascii="Cambria Math" w:hAnsi="Cambria Math" w:cs="Arial"/>
                <w:i/>
                <w:sz w:val="20"/>
                <w:szCs w:val="20"/>
                <w:vertAlign w:val="subscript"/>
              </w:rPr>
            </m:ctrlPr>
          </m:sSupPr>
          <m:e>
            <m:r>
              <w:rPr>
                <w:rFonts w:ascii="Cambria Math" w:hAnsi="Cambria Math" w:cs="Arial"/>
                <w:sz w:val="20"/>
                <w:szCs w:val="20"/>
                <w:vertAlign w:val="subscript"/>
              </w:rPr>
              <m:t>μ</m:t>
            </m:r>
          </m:e>
          <m:sup>
            <m:r>
              <w:rPr>
                <w:rFonts w:ascii="Cambria Math" w:hAnsi="Cambria Math" w:cs="Arial"/>
                <w:sz w:val="20"/>
                <w:szCs w:val="20"/>
                <w:vertAlign w:val="subscript"/>
              </w:rPr>
              <m:t>b</m:t>
            </m:r>
          </m:sup>
        </m:sSup>
        <m:r>
          <w:rPr>
            <w:rFonts w:ascii="Cambria Math" w:hAnsi="Cambria Math" w:cs="Arial"/>
            <w:sz w:val="20"/>
            <w:szCs w:val="20"/>
            <w:vertAlign w:val="subscript"/>
          </w:rPr>
          <m:t>.</m:t>
        </m:r>
        <m:sSup>
          <m:sSupPr>
            <m:ctrlPr>
              <w:rPr>
                <w:rFonts w:ascii="Cambria Math" w:hAnsi="Cambria Math" w:cs="Arial"/>
                <w:i/>
                <w:sz w:val="20"/>
                <w:szCs w:val="20"/>
                <w:vertAlign w:val="subscript"/>
              </w:rPr>
            </m:ctrlPr>
          </m:sSupPr>
          <m:e>
            <m:r>
              <w:rPr>
                <w:rFonts w:ascii="Cambria Math" w:hAnsi="Cambria Math" w:cs="Arial"/>
                <w:sz w:val="20"/>
                <w:szCs w:val="20"/>
                <w:vertAlign w:val="subscript"/>
              </w:rPr>
              <m:t>k</m:t>
            </m:r>
          </m:e>
          <m:sup>
            <m:r>
              <w:rPr>
                <w:rFonts w:ascii="Cambria Math" w:hAnsi="Cambria Math" w:cs="Arial"/>
                <w:sz w:val="20"/>
                <w:szCs w:val="20"/>
                <w:vertAlign w:val="subscript"/>
              </w:rPr>
              <m:t>c</m:t>
            </m:r>
          </m:sup>
        </m:sSup>
        <m:r>
          <w:rPr>
            <w:rFonts w:ascii="Cambria Math" w:hAnsi="Cambria Math" w:cs="Arial"/>
            <w:sz w:val="20"/>
            <w:szCs w:val="20"/>
            <w:vertAlign w:val="subscript"/>
          </w:rPr>
          <m:t>.</m:t>
        </m:r>
        <m:sSub>
          <m:sSubPr>
            <m:ctrlPr>
              <w:rPr>
                <w:rFonts w:ascii="Cambria Math" w:hAnsi="Cambria Math" w:cs="Arial"/>
                <w:i/>
                <w:sz w:val="20"/>
                <w:szCs w:val="20"/>
                <w:vertAlign w:val="subscript"/>
              </w:rPr>
            </m:ctrlPr>
          </m:sSubPr>
          <m:e>
            <m:r>
              <w:rPr>
                <w:rFonts w:ascii="Cambria Math" w:hAnsi="Cambria Math" w:cs="Arial"/>
                <w:sz w:val="20"/>
                <w:szCs w:val="20"/>
                <w:vertAlign w:val="subscript"/>
              </w:rPr>
              <m:t>C</m:t>
            </m:r>
          </m:e>
          <m:sub>
            <m:r>
              <w:rPr>
                <w:rFonts w:ascii="Cambria Math" w:hAnsi="Cambria Math" w:cs="Arial"/>
                <w:sz w:val="20"/>
                <w:szCs w:val="20"/>
                <w:vertAlign w:val="subscript"/>
              </w:rPr>
              <m:t>1</m:t>
            </m:r>
          </m:sub>
        </m:sSub>
      </m:oMath>
      <w:r w:rsidR="005C219B" w:rsidRPr="00AC5BCF">
        <w:rPr>
          <w:rFonts w:ascii="Arial" w:eastAsiaTheme="minorEastAsia" w:hAnsi="Arial" w:cs="Arial"/>
          <w:sz w:val="20"/>
          <w:szCs w:val="20"/>
          <w:vertAlign w:val="subscript"/>
        </w:rPr>
        <w:tab/>
      </w:r>
      <w:r w:rsidR="005C219B" w:rsidRPr="00AC5BCF">
        <w:rPr>
          <w:rFonts w:ascii="Arial" w:eastAsiaTheme="minorEastAsia" w:hAnsi="Arial" w:cs="Arial"/>
          <w:sz w:val="20"/>
          <w:szCs w:val="20"/>
        </w:rPr>
        <w:tab/>
      </w:r>
      <w:r w:rsidR="005C219B"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5C219B" w:rsidRPr="00AC5BCF">
        <w:rPr>
          <w:rFonts w:ascii="Arial" w:eastAsiaTheme="minorEastAsia" w:hAnsi="Arial" w:cs="Arial"/>
          <w:sz w:val="20"/>
          <w:szCs w:val="20"/>
        </w:rPr>
        <w:t>(</w:t>
      </w:r>
      <w:r w:rsidR="00871470" w:rsidRPr="00AC5BCF">
        <w:rPr>
          <w:rFonts w:ascii="Arial" w:eastAsiaTheme="minorEastAsia" w:hAnsi="Arial" w:cs="Arial"/>
          <w:sz w:val="20"/>
          <w:szCs w:val="20"/>
        </w:rPr>
        <w:t>4</w:t>
      </w:r>
      <w:r w:rsidR="005C219B" w:rsidRPr="00AC5BCF">
        <w:rPr>
          <w:rFonts w:ascii="Arial" w:eastAsiaTheme="minorEastAsia" w:hAnsi="Arial" w:cs="Arial"/>
          <w:sz w:val="20"/>
          <w:szCs w:val="20"/>
        </w:rPr>
        <w:t>)</w:t>
      </w:r>
    </w:p>
    <w:p w14:paraId="616FD9F2" w14:textId="45F8136D" w:rsidR="005C219B" w:rsidRPr="00AC5BCF" w:rsidRDefault="00122B66" w:rsidP="00C370F8">
      <w:pPr>
        <w:spacing w:line="480" w:lineRule="auto"/>
        <w:jc w:val="both"/>
        <w:rPr>
          <w:rFonts w:ascii="Arial" w:hAnsi="Arial" w:cs="Arial"/>
          <w:sz w:val="20"/>
          <w:szCs w:val="20"/>
        </w:rPr>
      </w:pPr>
      <m:oMath>
        <m:sSub>
          <m:sSubPr>
            <m:ctrlPr>
              <w:rPr>
                <w:rFonts w:ascii="Cambria Math" w:hAnsi="Cambria Math" w:cs="Arial"/>
                <w:i/>
                <w:sz w:val="20"/>
                <w:szCs w:val="20"/>
                <w:vertAlign w:val="subscript"/>
              </w:rPr>
            </m:ctrlPr>
          </m:sSubPr>
          <m:e>
            <m:r>
              <w:rPr>
                <w:rFonts w:ascii="Cambria Math" w:hAnsi="Cambria Math" w:cs="Arial"/>
                <w:sz w:val="20"/>
                <w:szCs w:val="20"/>
                <w:vertAlign w:val="subscript"/>
              </w:rPr>
              <m:t>π</m:t>
            </m:r>
          </m:e>
          <m:sub>
            <m:r>
              <w:rPr>
                <w:rFonts w:ascii="Cambria Math" w:hAnsi="Cambria Math" w:cs="Arial"/>
                <w:sz w:val="20"/>
                <w:szCs w:val="20"/>
                <w:vertAlign w:val="subscript"/>
              </w:rPr>
              <m:t>3</m:t>
            </m:r>
          </m:sub>
        </m:sSub>
        <m:r>
          <w:rPr>
            <w:rFonts w:ascii="Cambria Math" w:hAnsi="Cambria Math" w:cs="Arial"/>
            <w:sz w:val="20"/>
            <w:szCs w:val="20"/>
            <w:vertAlign w:val="subscript"/>
          </w:rPr>
          <m:t xml:space="preserve">= </m:t>
        </m:r>
        <m:sSup>
          <m:sSupPr>
            <m:ctrlPr>
              <w:rPr>
                <w:rFonts w:ascii="Cambria Math" w:hAnsi="Cambria Math" w:cs="Arial"/>
                <w:i/>
                <w:sz w:val="20"/>
                <w:szCs w:val="20"/>
                <w:vertAlign w:val="subscript"/>
              </w:rPr>
            </m:ctrlPr>
          </m:sSupPr>
          <m:e>
            <m:r>
              <w:rPr>
                <w:rFonts w:ascii="Cambria Math" w:hAnsi="Cambria Math" w:cs="Arial"/>
                <w:sz w:val="20"/>
                <w:szCs w:val="20"/>
                <w:vertAlign w:val="subscript"/>
              </w:rPr>
              <m:t>D</m:t>
            </m:r>
          </m:e>
          <m:sup>
            <m:r>
              <w:rPr>
                <w:rFonts w:ascii="Cambria Math" w:hAnsi="Cambria Math" w:cs="Arial"/>
                <w:sz w:val="20"/>
                <w:szCs w:val="20"/>
                <w:vertAlign w:val="subscript"/>
              </w:rPr>
              <m:t>a</m:t>
            </m:r>
          </m:sup>
        </m:sSup>
        <m:r>
          <w:rPr>
            <w:rFonts w:ascii="Cambria Math" w:hAnsi="Cambria Math" w:cs="Arial"/>
            <w:sz w:val="20"/>
            <w:szCs w:val="20"/>
            <w:vertAlign w:val="subscript"/>
          </w:rPr>
          <m:t>.</m:t>
        </m:r>
        <m:sSup>
          <m:sSupPr>
            <m:ctrlPr>
              <w:rPr>
                <w:rFonts w:ascii="Cambria Math" w:hAnsi="Cambria Math" w:cs="Arial"/>
                <w:i/>
                <w:sz w:val="20"/>
                <w:szCs w:val="20"/>
                <w:vertAlign w:val="subscript"/>
              </w:rPr>
            </m:ctrlPr>
          </m:sSupPr>
          <m:e>
            <m:r>
              <w:rPr>
                <w:rFonts w:ascii="Cambria Math" w:hAnsi="Cambria Math" w:cs="Arial"/>
                <w:sz w:val="20"/>
                <w:szCs w:val="20"/>
                <w:vertAlign w:val="subscript"/>
              </w:rPr>
              <m:t>μ</m:t>
            </m:r>
          </m:e>
          <m:sup>
            <m:r>
              <w:rPr>
                <w:rFonts w:ascii="Cambria Math" w:hAnsi="Cambria Math" w:cs="Arial"/>
                <w:sz w:val="20"/>
                <w:szCs w:val="20"/>
                <w:vertAlign w:val="subscript"/>
              </w:rPr>
              <m:t>b</m:t>
            </m:r>
          </m:sup>
        </m:sSup>
        <m:r>
          <w:rPr>
            <w:rFonts w:ascii="Cambria Math" w:hAnsi="Cambria Math" w:cs="Arial"/>
            <w:sz w:val="20"/>
            <w:szCs w:val="20"/>
            <w:vertAlign w:val="subscript"/>
          </w:rPr>
          <m:t>.</m:t>
        </m:r>
        <m:sSup>
          <m:sSupPr>
            <m:ctrlPr>
              <w:rPr>
                <w:rFonts w:ascii="Cambria Math" w:hAnsi="Cambria Math" w:cs="Arial"/>
                <w:i/>
                <w:sz w:val="20"/>
                <w:szCs w:val="20"/>
                <w:vertAlign w:val="subscript"/>
              </w:rPr>
            </m:ctrlPr>
          </m:sSupPr>
          <m:e>
            <m:r>
              <w:rPr>
                <w:rFonts w:ascii="Cambria Math" w:hAnsi="Cambria Math" w:cs="Arial"/>
                <w:sz w:val="20"/>
                <w:szCs w:val="20"/>
                <w:vertAlign w:val="subscript"/>
              </w:rPr>
              <m:t>k</m:t>
            </m:r>
          </m:e>
          <m:sup>
            <m:r>
              <w:rPr>
                <w:rFonts w:ascii="Cambria Math" w:hAnsi="Cambria Math" w:cs="Arial"/>
                <w:sz w:val="20"/>
                <w:szCs w:val="20"/>
                <w:vertAlign w:val="subscript"/>
              </w:rPr>
              <m:t>c</m:t>
            </m:r>
          </m:sup>
        </m:sSup>
        <m:r>
          <w:rPr>
            <w:rFonts w:ascii="Cambria Math" w:hAnsi="Cambria Math" w:cs="Arial"/>
            <w:sz w:val="20"/>
            <w:szCs w:val="20"/>
            <w:vertAlign w:val="subscript"/>
          </w:rPr>
          <m:t>.t</m:t>
        </m:r>
      </m:oMath>
      <w:r w:rsidR="005C219B" w:rsidRPr="00AC5BCF">
        <w:rPr>
          <w:rFonts w:ascii="Arial" w:eastAsiaTheme="minorEastAsia" w:hAnsi="Arial" w:cs="Arial"/>
          <w:sz w:val="20"/>
          <w:szCs w:val="20"/>
          <w:vertAlign w:val="subscript"/>
        </w:rPr>
        <w:tab/>
      </w:r>
      <w:r w:rsidR="005C219B" w:rsidRPr="00AC5BCF">
        <w:rPr>
          <w:rFonts w:ascii="Arial" w:eastAsiaTheme="minorEastAsia" w:hAnsi="Arial" w:cs="Arial"/>
          <w:sz w:val="20"/>
          <w:szCs w:val="20"/>
          <w:vertAlign w:val="subscript"/>
        </w:rPr>
        <w:tab/>
      </w:r>
      <w:r w:rsidR="005C219B" w:rsidRPr="00AC5BCF">
        <w:rPr>
          <w:rFonts w:ascii="Arial" w:eastAsiaTheme="minorEastAsia" w:hAnsi="Arial" w:cs="Arial"/>
          <w:sz w:val="20"/>
          <w:szCs w:val="20"/>
          <w:vertAlign w:val="subscript"/>
        </w:rPr>
        <w:softHyphen/>
      </w:r>
      <w:r w:rsidR="005C219B"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5C219B" w:rsidRPr="00AC5BCF">
        <w:rPr>
          <w:rFonts w:ascii="Arial" w:eastAsiaTheme="minorEastAsia" w:hAnsi="Arial" w:cs="Arial"/>
          <w:sz w:val="20"/>
          <w:szCs w:val="20"/>
        </w:rPr>
        <w:t>(</w:t>
      </w:r>
      <w:r w:rsidR="00871470" w:rsidRPr="00AC5BCF">
        <w:rPr>
          <w:rFonts w:ascii="Arial" w:eastAsiaTheme="minorEastAsia" w:hAnsi="Arial" w:cs="Arial"/>
          <w:sz w:val="20"/>
          <w:szCs w:val="20"/>
        </w:rPr>
        <w:t>5</w:t>
      </w:r>
      <w:r w:rsidR="005C219B" w:rsidRPr="00AC5BCF">
        <w:rPr>
          <w:rFonts w:ascii="Arial" w:eastAsiaTheme="minorEastAsia" w:hAnsi="Arial" w:cs="Arial"/>
          <w:sz w:val="20"/>
          <w:szCs w:val="20"/>
        </w:rPr>
        <w:t>)</w:t>
      </w:r>
    </w:p>
    <w:p w14:paraId="1B09006E" w14:textId="06C64C3D" w:rsidR="005C219B" w:rsidRPr="00AC5BCF" w:rsidRDefault="005C219B" w:rsidP="00C370F8">
      <w:pPr>
        <w:spacing w:line="480" w:lineRule="auto"/>
        <w:jc w:val="both"/>
        <w:rPr>
          <w:rFonts w:ascii="Arial" w:hAnsi="Arial" w:cs="Arial"/>
          <w:sz w:val="20"/>
          <w:szCs w:val="20"/>
        </w:rPr>
      </w:pPr>
      <w:r w:rsidRPr="00AC5BCF">
        <w:rPr>
          <w:rFonts w:ascii="Arial" w:hAnsi="Arial" w:cs="Arial"/>
          <w:sz w:val="20"/>
          <w:szCs w:val="20"/>
        </w:rPr>
        <w:t>Solving for π</w:t>
      </w:r>
      <w:r w:rsidRPr="00AC5BCF">
        <w:rPr>
          <w:rFonts w:ascii="Arial" w:hAnsi="Arial" w:cs="Arial"/>
          <w:sz w:val="20"/>
          <w:szCs w:val="20"/>
          <w:vertAlign w:val="subscript"/>
        </w:rPr>
        <w:t>1</w:t>
      </w:r>
      <w:r w:rsidRPr="00AC5BCF">
        <w:rPr>
          <w:rFonts w:ascii="Arial" w:hAnsi="Arial" w:cs="Arial"/>
          <w:sz w:val="20"/>
          <w:szCs w:val="20"/>
        </w:rPr>
        <w:t xml:space="preserve"> using the basic dimensions of the variables from Equation </w:t>
      </w:r>
      <w:r w:rsidR="00271ED2" w:rsidRPr="00AC5BCF">
        <w:rPr>
          <w:rFonts w:ascii="Arial" w:hAnsi="Arial" w:cs="Arial"/>
          <w:sz w:val="20"/>
          <w:szCs w:val="20"/>
        </w:rPr>
        <w:t>(</w:t>
      </w:r>
      <w:r w:rsidR="00871470" w:rsidRPr="00AC5BCF">
        <w:rPr>
          <w:rFonts w:ascii="Arial" w:hAnsi="Arial" w:cs="Arial"/>
          <w:sz w:val="20"/>
          <w:szCs w:val="20"/>
        </w:rPr>
        <w:t>3</w:t>
      </w:r>
      <w:r w:rsidR="00271ED2" w:rsidRPr="00AC5BCF">
        <w:rPr>
          <w:rFonts w:ascii="Arial" w:hAnsi="Arial" w:cs="Arial"/>
          <w:sz w:val="20"/>
          <w:szCs w:val="20"/>
        </w:rPr>
        <w:t>)</w:t>
      </w:r>
    </w:p>
    <w:p w14:paraId="43624025" w14:textId="7D03DD41" w:rsidR="005C219B" w:rsidRPr="00AC5BCF" w:rsidRDefault="00122B66" w:rsidP="00C370F8">
      <w:pPr>
        <w:spacing w:line="480" w:lineRule="auto"/>
        <w:jc w:val="both"/>
        <w:rPr>
          <w:rFonts w:ascii="Arial" w:eastAsiaTheme="min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1</m:t>
            </m:r>
          </m:sub>
        </m:sSub>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M</m:t>
            </m:r>
          </m:e>
          <m:sup>
            <m:r>
              <w:rPr>
                <w:rFonts w:ascii="Cambria Math" w:hAnsi="Cambria Math" w:cs="Arial"/>
                <w:sz w:val="20"/>
                <w:szCs w:val="20"/>
              </w:rPr>
              <m:t>0</m:t>
            </m:r>
          </m:sup>
        </m:sSup>
        <m:sSup>
          <m:sSupPr>
            <m:ctrlPr>
              <w:rPr>
                <w:rFonts w:ascii="Cambria Math" w:hAnsi="Cambria Math" w:cs="Arial"/>
                <w:i/>
                <w:sz w:val="20"/>
                <w:szCs w:val="20"/>
              </w:rPr>
            </m:ctrlPr>
          </m:sSupPr>
          <m:e>
            <m:r>
              <w:rPr>
                <w:rFonts w:ascii="Cambria Math" w:hAnsi="Cambria Math" w:cs="Arial"/>
                <w:sz w:val="20"/>
                <w:szCs w:val="20"/>
              </w:rPr>
              <m:t>L</m:t>
            </m:r>
          </m:e>
          <m:sup>
            <m:r>
              <w:rPr>
                <w:rFonts w:ascii="Cambria Math" w:hAnsi="Cambria Math" w:cs="Arial"/>
                <w:sz w:val="20"/>
                <w:szCs w:val="20"/>
              </w:rPr>
              <m:t>0</m:t>
            </m:r>
          </m:sup>
        </m:sSup>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0</m:t>
            </m:r>
          </m:sup>
        </m:sSup>
        <m:r>
          <w:rPr>
            <w:rFonts w:ascii="Cambria Math" w:hAnsi="Cambria Math" w:cs="Arial"/>
            <w:sz w:val="20"/>
            <w:szCs w:val="20"/>
          </w:rPr>
          <m:t>=</m:t>
        </m:r>
        <m:r>
          <w:rPr>
            <w:rFonts w:ascii="Cambria Math" w:eastAsiaTheme="minorEastAsia" w:hAnsi="Cambria Math" w:cs="Arial"/>
            <w:sz w:val="20"/>
            <w:szCs w:val="20"/>
          </w:rPr>
          <m:t xml:space="preserve"> </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L</m:t>
            </m:r>
          </m:e>
          <m:sup>
            <m:r>
              <w:rPr>
                <w:rFonts w:ascii="Cambria Math" w:eastAsiaTheme="minorEastAsia" w:hAnsi="Cambria Math" w:cs="Arial"/>
                <w:sz w:val="20"/>
                <w:szCs w:val="20"/>
              </w:rPr>
              <m:t>a</m:t>
            </m:r>
          </m:sup>
        </m:sSup>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M</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L</m:t>
                    </m:r>
                  </m:e>
                  <m:sup>
                    <m:r>
                      <w:rPr>
                        <w:rFonts w:ascii="Cambria Math" w:eastAsiaTheme="minorEastAsia" w:hAnsi="Cambria Math" w:cs="Arial"/>
                        <w:sz w:val="20"/>
                        <w:szCs w:val="20"/>
                      </w:rPr>
                      <m:t>-1</m:t>
                    </m:r>
                  </m:sup>
                </m:sSup>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T</m:t>
                    </m:r>
                  </m:e>
                  <m:sup>
                    <m:r>
                      <w:rPr>
                        <w:rFonts w:ascii="Cambria Math" w:eastAsiaTheme="minorEastAsia" w:hAnsi="Cambria Math" w:cs="Arial"/>
                        <w:sz w:val="20"/>
                        <w:szCs w:val="20"/>
                      </w:rPr>
                      <m:t>-1</m:t>
                    </m:r>
                  </m:sup>
                </m:sSup>
              </m:e>
            </m:d>
          </m:e>
          <m:sup>
            <m:r>
              <w:rPr>
                <w:rFonts w:ascii="Cambria Math" w:eastAsiaTheme="minorEastAsia" w:hAnsi="Cambria Math" w:cs="Arial"/>
                <w:sz w:val="20"/>
                <w:szCs w:val="20"/>
              </w:rPr>
              <m:t>b</m:t>
            </m:r>
          </m:sup>
        </m:sSup>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L</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T</m:t>
                    </m:r>
                  </m:e>
                  <m:sup>
                    <m:r>
                      <w:rPr>
                        <w:rFonts w:ascii="Cambria Math" w:eastAsiaTheme="minorEastAsia" w:hAnsi="Cambria Math" w:cs="Arial"/>
                        <w:sz w:val="20"/>
                        <w:szCs w:val="20"/>
                      </w:rPr>
                      <m:t>-1</m:t>
                    </m:r>
                  </m:sup>
                </m:sSup>
              </m:e>
            </m:d>
          </m:e>
          <m:sup>
            <m:r>
              <w:rPr>
                <w:rFonts w:ascii="Cambria Math" w:eastAsiaTheme="minorEastAsia" w:hAnsi="Cambria Math" w:cs="Arial"/>
                <w:sz w:val="20"/>
                <w:szCs w:val="20"/>
              </w:rPr>
              <m:t>c</m:t>
            </m:r>
          </m:sup>
        </m:sSup>
        <m:r>
          <w:rPr>
            <w:rFonts w:ascii="Cambria Math" w:eastAsiaTheme="minorEastAsia" w:hAnsi="Cambria Math" w:cs="Arial"/>
            <w:sz w:val="20"/>
            <w:szCs w:val="20"/>
          </w:rPr>
          <m:t>.M</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L</m:t>
            </m:r>
          </m:e>
          <m:sup>
            <m:r>
              <w:rPr>
                <w:rFonts w:ascii="Cambria Math" w:eastAsiaTheme="minorEastAsia" w:hAnsi="Cambria Math" w:cs="Arial"/>
                <w:sz w:val="20"/>
                <w:szCs w:val="20"/>
              </w:rPr>
              <m:t>-3</m:t>
            </m:r>
          </m:sup>
        </m:sSup>
      </m:oMath>
      <w:r w:rsidR="005C219B"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AC5BCF">
        <w:rPr>
          <w:rFonts w:ascii="Arial" w:eastAsiaTheme="minorEastAsia" w:hAnsi="Arial" w:cs="Arial"/>
          <w:sz w:val="20"/>
          <w:szCs w:val="20"/>
        </w:rPr>
        <w:tab/>
      </w:r>
      <w:r w:rsidR="005C219B" w:rsidRPr="00AC5BCF">
        <w:rPr>
          <w:rFonts w:ascii="Arial" w:eastAsiaTheme="minorEastAsia" w:hAnsi="Arial" w:cs="Arial"/>
          <w:sz w:val="20"/>
          <w:szCs w:val="20"/>
        </w:rPr>
        <w:t>(</w:t>
      </w:r>
      <w:r w:rsidR="00871470" w:rsidRPr="00AC5BCF">
        <w:rPr>
          <w:rFonts w:ascii="Arial" w:eastAsiaTheme="minorEastAsia" w:hAnsi="Arial" w:cs="Arial"/>
          <w:sz w:val="20"/>
          <w:szCs w:val="20"/>
        </w:rPr>
        <w:t>6</w:t>
      </w:r>
      <w:r w:rsidR="005C219B" w:rsidRPr="00AC5BCF">
        <w:rPr>
          <w:rFonts w:ascii="Arial" w:eastAsiaTheme="minorEastAsia" w:hAnsi="Arial" w:cs="Arial"/>
          <w:sz w:val="20"/>
          <w:szCs w:val="20"/>
        </w:rPr>
        <w:t>)</w:t>
      </w:r>
    </w:p>
    <w:p w14:paraId="2B43B085" w14:textId="4B8A5FAC" w:rsidR="005C219B" w:rsidRPr="00AC5BCF" w:rsidRDefault="005C219B" w:rsidP="00C370F8">
      <w:pPr>
        <w:spacing w:line="480" w:lineRule="auto"/>
        <w:jc w:val="both"/>
        <w:rPr>
          <w:rFonts w:ascii="Arial" w:eastAsiaTheme="minorEastAsia" w:hAnsi="Arial" w:cs="Arial"/>
          <w:sz w:val="20"/>
          <w:szCs w:val="20"/>
        </w:rPr>
      </w:pPr>
      <w:r w:rsidRPr="00AC5BCF">
        <w:rPr>
          <w:rFonts w:ascii="Arial" w:eastAsiaTheme="minorEastAsia" w:hAnsi="Arial" w:cs="Arial"/>
          <w:sz w:val="20"/>
          <w:szCs w:val="20"/>
        </w:rPr>
        <w:t>Equation (</w:t>
      </w:r>
      <w:r w:rsidR="00871470" w:rsidRPr="00AC5BCF">
        <w:rPr>
          <w:rFonts w:ascii="Arial" w:eastAsiaTheme="minorEastAsia" w:hAnsi="Arial" w:cs="Arial"/>
          <w:sz w:val="20"/>
          <w:szCs w:val="20"/>
        </w:rPr>
        <w:t>6</w:t>
      </w:r>
      <w:r w:rsidRPr="00AC5BCF">
        <w:rPr>
          <w:rFonts w:ascii="Arial" w:eastAsiaTheme="minorEastAsia" w:hAnsi="Arial" w:cs="Arial"/>
          <w:sz w:val="20"/>
          <w:szCs w:val="20"/>
        </w:rPr>
        <w:t>) was solved, with solutions: a = 1, b = -1 and c = 1. Rewriting Equation (</w:t>
      </w:r>
      <w:r w:rsidR="00871470" w:rsidRPr="00AC5BCF">
        <w:rPr>
          <w:rFonts w:ascii="Arial" w:eastAsiaTheme="minorEastAsia" w:hAnsi="Arial" w:cs="Arial"/>
          <w:sz w:val="20"/>
          <w:szCs w:val="20"/>
        </w:rPr>
        <w:t>3</w:t>
      </w:r>
      <w:r w:rsidRPr="00AC5BCF">
        <w:rPr>
          <w:rFonts w:ascii="Arial" w:eastAsiaTheme="minorEastAsia" w:hAnsi="Arial" w:cs="Arial"/>
          <w:sz w:val="20"/>
          <w:szCs w:val="20"/>
        </w:rPr>
        <w:t>) gives the expression for the first π -term (π</w:t>
      </w:r>
      <w:r w:rsidRPr="00AC5BCF">
        <w:rPr>
          <w:rFonts w:ascii="Arial" w:eastAsiaTheme="minorEastAsia" w:hAnsi="Arial" w:cs="Arial"/>
          <w:sz w:val="20"/>
          <w:szCs w:val="20"/>
          <w:vertAlign w:val="subscript"/>
        </w:rPr>
        <w:t>1</w:t>
      </w:r>
      <w:r w:rsidRPr="00AC5BCF">
        <w:rPr>
          <w:rFonts w:ascii="Arial" w:eastAsiaTheme="minorEastAsia" w:hAnsi="Arial" w:cs="Arial"/>
          <w:sz w:val="20"/>
          <w:szCs w:val="20"/>
        </w:rPr>
        <w:t>).</w:t>
      </w:r>
    </w:p>
    <w:p w14:paraId="5ED7B96D" w14:textId="18ED8727" w:rsidR="005C219B" w:rsidRPr="00AC5BCF" w:rsidRDefault="00122B66" w:rsidP="00C370F8">
      <w:pPr>
        <w:spacing w:line="48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π</m:t>
            </m:r>
          </m:e>
          <m:sub>
            <m:r>
              <w:rPr>
                <w:rFonts w:ascii="Cambria Math" w:eastAsiaTheme="minorEastAsia" w:hAnsi="Cambria Math" w:cs="Arial"/>
                <w:sz w:val="20"/>
                <w:szCs w:val="20"/>
              </w:rPr>
              <m:t>1</m:t>
            </m:r>
          </m:sub>
        </m:sSub>
        <m:r>
          <w:rPr>
            <w:rFonts w:ascii="Cambria Math" w:eastAsiaTheme="minorEastAsia" w:hAnsi="Cambria Math" w:cs="Arial"/>
            <w:sz w:val="20"/>
            <w:szCs w:val="20"/>
          </w:rPr>
          <m:t xml:space="preserve">= </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Dk</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C</m:t>
                </m:r>
              </m:e>
              <m:sub>
                <m:r>
                  <w:rPr>
                    <w:rFonts w:ascii="Cambria Math" w:eastAsiaTheme="minorEastAsia" w:hAnsi="Cambria Math" w:cs="Arial"/>
                    <w:sz w:val="20"/>
                    <w:szCs w:val="20"/>
                  </w:rPr>
                  <m:t>2</m:t>
                </m:r>
              </m:sub>
            </m:sSub>
          </m:num>
          <m:den>
            <m:r>
              <w:rPr>
                <w:rFonts w:ascii="Cambria Math" w:eastAsiaTheme="minorEastAsia" w:hAnsi="Cambria Math" w:cs="Arial"/>
                <w:sz w:val="20"/>
                <w:szCs w:val="20"/>
              </w:rPr>
              <m:t>μ</m:t>
            </m:r>
          </m:den>
        </m:f>
      </m:oMath>
      <w:r w:rsidR="005C219B" w:rsidRPr="00AC5BCF">
        <w:rPr>
          <w:rFonts w:ascii="Arial" w:eastAsiaTheme="minorEastAsia" w:hAnsi="Arial" w:cs="Arial"/>
          <w:sz w:val="20"/>
          <w:szCs w:val="20"/>
        </w:rPr>
        <w:tab/>
      </w:r>
      <w:r w:rsidR="005C219B" w:rsidRPr="00AC5BCF">
        <w:rPr>
          <w:rFonts w:ascii="Arial" w:eastAsiaTheme="minorEastAsia" w:hAnsi="Arial" w:cs="Arial"/>
          <w:sz w:val="20"/>
          <w:szCs w:val="20"/>
        </w:rPr>
        <w:tab/>
      </w:r>
      <w:r w:rsidR="005C219B" w:rsidRPr="00AC5BCF">
        <w:rPr>
          <w:rFonts w:ascii="Arial" w:eastAsiaTheme="minorEastAsia" w:hAnsi="Arial" w:cs="Arial"/>
          <w:sz w:val="20"/>
          <w:szCs w:val="20"/>
        </w:rPr>
        <w:tab/>
      </w:r>
      <w:r w:rsidR="005C219B"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5C219B" w:rsidRPr="00AC5BCF">
        <w:rPr>
          <w:rFonts w:ascii="Arial" w:eastAsiaTheme="minorEastAsia" w:hAnsi="Arial" w:cs="Arial"/>
          <w:sz w:val="20"/>
          <w:szCs w:val="20"/>
        </w:rPr>
        <w:t>(</w:t>
      </w:r>
      <w:r w:rsidR="00871470" w:rsidRPr="00AC5BCF">
        <w:rPr>
          <w:rFonts w:ascii="Arial" w:eastAsiaTheme="minorEastAsia" w:hAnsi="Arial" w:cs="Arial"/>
          <w:sz w:val="20"/>
          <w:szCs w:val="20"/>
        </w:rPr>
        <w:t>7</w:t>
      </w:r>
      <w:r w:rsidR="005C219B" w:rsidRPr="00AC5BCF">
        <w:rPr>
          <w:rFonts w:ascii="Arial" w:eastAsiaTheme="minorEastAsia" w:hAnsi="Arial" w:cs="Arial"/>
          <w:sz w:val="20"/>
          <w:szCs w:val="20"/>
        </w:rPr>
        <w:t>)</w:t>
      </w:r>
    </w:p>
    <w:p w14:paraId="14F18602" w14:textId="6F6FFE8B" w:rsidR="005C219B" w:rsidRPr="00AC5BCF" w:rsidRDefault="005C219B" w:rsidP="00C370F8">
      <w:pPr>
        <w:spacing w:line="480" w:lineRule="auto"/>
        <w:jc w:val="both"/>
        <w:rPr>
          <w:rFonts w:ascii="Arial" w:eastAsiaTheme="minorEastAsia" w:hAnsi="Arial" w:cs="Arial"/>
          <w:sz w:val="20"/>
          <w:szCs w:val="20"/>
        </w:rPr>
      </w:pPr>
      <w:r w:rsidRPr="00AC5BCF">
        <w:rPr>
          <w:rFonts w:ascii="Arial" w:eastAsiaTheme="minorEastAsia" w:hAnsi="Arial" w:cs="Arial"/>
          <w:sz w:val="20"/>
          <w:szCs w:val="20"/>
        </w:rPr>
        <w:t>Solving for π</w:t>
      </w:r>
      <w:r w:rsidRPr="00AC5BCF">
        <w:rPr>
          <w:rFonts w:ascii="Arial" w:eastAsiaTheme="minorEastAsia" w:hAnsi="Arial" w:cs="Arial"/>
          <w:sz w:val="20"/>
          <w:szCs w:val="20"/>
          <w:vertAlign w:val="subscript"/>
        </w:rPr>
        <w:t>2</w:t>
      </w:r>
      <w:r w:rsidRPr="00AC5BCF">
        <w:rPr>
          <w:rFonts w:ascii="Arial" w:eastAsiaTheme="minorEastAsia" w:hAnsi="Arial" w:cs="Arial"/>
          <w:sz w:val="20"/>
          <w:szCs w:val="20"/>
        </w:rPr>
        <w:tab/>
        <w:t xml:space="preserve">using basic dimensions of the variables from Equation </w:t>
      </w:r>
      <w:r w:rsidR="0084073D" w:rsidRPr="00AC5BCF">
        <w:rPr>
          <w:rFonts w:ascii="Arial" w:eastAsiaTheme="minorEastAsia" w:hAnsi="Arial" w:cs="Arial"/>
          <w:sz w:val="20"/>
          <w:szCs w:val="20"/>
        </w:rPr>
        <w:t>(</w:t>
      </w:r>
      <w:r w:rsidR="00871470" w:rsidRPr="00AC5BCF">
        <w:rPr>
          <w:rFonts w:ascii="Arial" w:eastAsiaTheme="minorEastAsia" w:hAnsi="Arial" w:cs="Arial"/>
          <w:sz w:val="20"/>
          <w:szCs w:val="20"/>
        </w:rPr>
        <w:t>4</w:t>
      </w:r>
      <w:r w:rsidR="0084073D" w:rsidRPr="00AC5BCF">
        <w:rPr>
          <w:rFonts w:ascii="Arial" w:eastAsiaTheme="minorEastAsia" w:hAnsi="Arial" w:cs="Arial"/>
          <w:sz w:val="20"/>
          <w:szCs w:val="20"/>
        </w:rPr>
        <w:t>)</w:t>
      </w:r>
    </w:p>
    <w:p w14:paraId="10AEB46D" w14:textId="184BFB5B" w:rsidR="005C219B" w:rsidRPr="00AC5BCF" w:rsidRDefault="00122B66" w:rsidP="00C370F8">
      <w:pPr>
        <w:spacing w:line="480" w:lineRule="auto"/>
        <w:jc w:val="both"/>
        <w:rPr>
          <w:rFonts w:ascii="Arial" w:eastAsiaTheme="min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2</m:t>
            </m:r>
          </m:sub>
        </m:sSub>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M</m:t>
            </m:r>
          </m:e>
          <m:sup>
            <m:r>
              <w:rPr>
                <w:rFonts w:ascii="Cambria Math" w:hAnsi="Cambria Math" w:cs="Arial"/>
                <w:sz w:val="20"/>
                <w:szCs w:val="20"/>
              </w:rPr>
              <m:t>0</m:t>
            </m:r>
          </m:sup>
        </m:sSup>
        <m:sSup>
          <m:sSupPr>
            <m:ctrlPr>
              <w:rPr>
                <w:rFonts w:ascii="Cambria Math" w:hAnsi="Cambria Math" w:cs="Arial"/>
                <w:i/>
                <w:sz w:val="20"/>
                <w:szCs w:val="20"/>
              </w:rPr>
            </m:ctrlPr>
          </m:sSupPr>
          <m:e>
            <m:r>
              <w:rPr>
                <w:rFonts w:ascii="Cambria Math" w:hAnsi="Cambria Math" w:cs="Arial"/>
                <w:sz w:val="20"/>
                <w:szCs w:val="20"/>
              </w:rPr>
              <m:t>L</m:t>
            </m:r>
          </m:e>
          <m:sup>
            <m:r>
              <w:rPr>
                <w:rFonts w:ascii="Cambria Math" w:hAnsi="Cambria Math" w:cs="Arial"/>
                <w:sz w:val="20"/>
                <w:szCs w:val="20"/>
              </w:rPr>
              <m:t>0</m:t>
            </m:r>
          </m:sup>
        </m:sSup>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0</m:t>
            </m:r>
          </m:sup>
        </m:sSup>
        <m:r>
          <w:rPr>
            <w:rFonts w:ascii="Cambria Math" w:hAnsi="Cambria Math" w:cs="Arial"/>
            <w:sz w:val="20"/>
            <w:szCs w:val="20"/>
          </w:rPr>
          <m:t>=</m:t>
        </m:r>
        <m:r>
          <w:rPr>
            <w:rFonts w:ascii="Cambria Math" w:eastAsiaTheme="minorEastAsia" w:hAnsi="Cambria Math" w:cs="Arial"/>
            <w:sz w:val="20"/>
            <w:szCs w:val="20"/>
          </w:rPr>
          <m:t xml:space="preserve"> </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L</m:t>
            </m:r>
          </m:e>
          <m:sup>
            <m:r>
              <w:rPr>
                <w:rFonts w:ascii="Cambria Math" w:eastAsiaTheme="minorEastAsia" w:hAnsi="Cambria Math" w:cs="Arial"/>
                <w:sz w:val="20"/>
                <w:szCs w:val="20"/>
              </w:rPr>
              <m:t>a</m:t>
            </m:r>
          </m:sup>
        </m:sSup>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M</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L</m:t>
                    </m:r>
                  </m:e>
                  <m:sup>
                    <m:r>
                      <w:rPr>
                        <w:rFonts w:ascii="Cambria Math" w:eastAsiaTheme="minorEastAsia" w:hAnsi="Cambria Math" w:cs="Arial"/>
                        <w:sz w:val="20"/>
                        <w:szCs w:val="20"/>
                      </w:rPr>
                      <m:t>-1</m:t>
                    </m:r>
                  </m:sup>
                </m:sSup>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T</m:t>
                    </m:r>
                  </m:e>
                  <m:sup>
                    <m:r>
                      <w:rPr>
                        <w:rFonts w:ascii="Cambria Math" w:eastAsiaTheme="minorEastAsia" w:hAnsi="Cambria Math" w:cs="Arial"/>
                        <w:sz w:val="20"/>
                        <w:szCs w:val="20"/>
                      </w:rPr>
                      <m:t>-1</m:t>
                    </m:r>
                  </m:sup>
                </m:sSup>
              </m:e>
            </m:d>
          </m:e>
          <m:sup>
            <m:r>
              <w:rPr>
                <w:rFonts w:ascii="Cambria Math" w:eastAsiaTheme="minorEastAsia" w:hAnsi="Cambria Math" w:cs="Arial"/>
                <w:sz w:val="20"/>
                <w:szCs w:val="20"/>
              </w:rPr>
              <m:t>b</m:t>
            </m:r>
          </m:sup>
        </m:sSup>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L</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T</m:t>
                    </m:r>
                  </m:e>
                  <m:sup>
                    <m:r>
                      <w:rPr>
                        <w:rFonts w:ascii="Cambria Math" w:eastAsiaTheme="minorEastAsia" w:hAnsi="Cambria Math" w:cs="Arial"/>
                        <w:sz w:val="20"/>
                        <w:szCs w:val="20"/>
                      </w:rPr>
                      <m:t>-1</m:t>
                    </m:r>
                  </m:sup>
                </m:sSup>
              </m:e>
            </m:d>
          </m:e>
          <m:sup>
            <m:r>
              <w:rPr>
                <w:rFonts w:ascii="Cambria Math" w:eastAsiaTheme="minorEastAsia" w:hAnsi="Cambria Math" w:cs="Arial"/>
                <w:sz w:val="20"/>
                <w:szCs w:val="20"/>
              </w:rPr>
              <m:t>c</m:t>
            </m:r>
          </m:sup>
        </m:sSup>
        <m:r>
          <w:rPr>
            <w:rFonts w:ascii="Cambria Math" w:eastAsiaTheme="minorEastAsia" w:hAnsi="Cambria Math" w:cs="Arial"/>
            <w:sz w:val="20"/>
            <w:szCs w:val="20"/>
          </w:rPr>
          <m:t>.M</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L</m:t>
            </m:r>
          </m:e>
          <m:sup>
            <m:r>
              <w:rPr>
                <w:rFonts w:ascii="Cambria Math" w:eastAsiaTheme="minorEastAsia" w:hAnsi="Cambria Math" w:cs="Arial"/>
                <w:sz w:val="20"/>
                <w:szCs w:val="20"/>
              </w:rPr>
              <m:t>-3</m:t>
            </m:r>
          </m:sup>
        </m:sSup>
      </m:oMath>
      <w:r w:rsidR="005C219B"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AC5BCF">
        <w:rPr>
          <w:rFonts w:ascii="Arial" w:eastAsiaTheme="minorEastAsia" w:hAnsi="Arial" w:cs="Arial"/>
          <w:sz w:val="20"/>
          <w:szCs w:val="20"/>
        </w:rPr>
        <w:tab/>
      </w:r>
      <w:r w:rsidR="005C219B" w:rsidRPr="00AC5BCF">
        <w:rPr>
          <w:rFonts w:ascii="Arial" w:eastAsiaTheme="minorEastAsia" w:hAnsi="Arial" w:cs="Arial"/>
          <w:sz w:val="20"/>
          <w:szCs w:val="20"/>
        </w:rPr>
        <w:t>(</w:t>
      </w:r>
      <w:r w:rsidR="00871470" w:rsidRPr="00AC5BCF">
        <w:rPr>
          <w:rFonts w:ascii="Arial" w:eastAsiaTheme="minorEastAsia" w:hAnsi="Arial" w:cs="Arial"/>
          <w:sz w:val="20"/>
          <w:szCs w:val="20"/>
        </w:rPr>
        <w:t>8</w:t>
      </w:r>
      <w:r w:rsidR="005C219B" w:rsidRPr="00AC5BCF">
        <w:rPr>
          <w:rFonts w:ascii="Arial" w:eastAsiaTheme="minorEastAsia" w:hAnsi="Arial" w:cs="Arial"/>
          <w:sz w:val="20"/>
          <w:szCs w:val="20"/>
        </w:rPr>
        <w:t>)</w:t>
      </w:r>
    </w:p>
    <w:p w14:paraId="194C67D5" w14:textId="44B1C29E" w:rsidR="005C219B" w:rsidRPr="00AC5BCF" w:rsidRDefault="005C219B" w:rsidP="00C370F8">
      <w:pPr>
        <w:spacing w:line="480" w:lineRule="auto"/>
        <w:jc w:val="both"/>
        <w:rPr>
          <w:rFonts w:ascii="Arial" w:eastAsiaTheme="minorEastAsia" w:hAnsi="Arial" w:cs="Arial"/>
          <w:sz w:val="20"/>
          <w:szCs w:val="20"/>
        </w:rPr>
      </w:pPr>
      <w:r w:rsidRPr="00AC5BCF">
        <w:rPr>
          <w:rFonts w:ascii="Arial" w:eastAsiaTheme="minorEastAsia" w:hAnsi="Arial" w:cs="Arial"/>
          <w:sz w:val="20"/>
          <w:szCs w:val="20"/>
        </w:rPr>
        <w:t>Equation (</w:t>
      </w:r>
      <w:r w:rsidR="00871470" w:rsidRPr="00AC5BCF">
        <w:rPr>
          <w:rFonts w:ascii="Arial" w:eastAsiaTheme="minorEastAsia" w:hAnsi="Arial" w:cs="Arial"/>
          <w:sz w:val="20"/>
          <w:szCs w:val="20"/>
        </w:rPr>
        <w:t>8</w:t>
      </w:r>
      <w:r w:rsidRPr="00AC5BCF">
        <w:rPr>
          <w:rFonts w:ascii="Arial" w:eastAsiaTheme="minorEastAsia" w:hAnsi="Arial" w:cs="Arial"/>
          <w:sz w:val="20"/>
          <w:szCs w:val="20"/>
        </w:rPr>
        <w:t>) was solved, with solutions: a = 1, b = -1, and c = 1. Rewriting Equation (</w:t>
      </w:r>
      <w:r w:rsidR="00871470" w:rsidRPr="00AC5BCF">
        <w:rPr>
          <w:rFonts w:ascii="Arial" w:eastAsiaTheme="minorEastAsia" w:hAnsi="Arial" w:cs="Arial"/>
          <w:sz w:val="20"/>
          <w:szCs w:val="20"/>
        </w:rPr>
        <w:t>4</w:t>
      </w:r>
      <w:r w:rsidRPr="00AC5BCF">
        <w:rPr>
          <w:rFonts w:ascii="Arial" w:eastAsiaTheme="minorEastAsia" w:hAnsi="Arial" w:cs="Arial"/>
          <w:sz w:val="20"/>
          <w:szCs w:val="20"/>
        </w:rPr>
        <w:t>) gives the expression for the second π -term (π</w:t>
      </w:r>
      <w:r w:rsidRPr="00AC5BCF">
        <w:rPr>
          <w:rFonts w:ascii="Arial" w:eastAsiaTheme="minorEastAsia" w:hAnsi="Arial" w:cs="Arial"/>
          <w:sz w:val="20"/>
          <w:szCs w:val="20"/>
          <w:vertAlign w:val="subscript"/>
        </w:rPr>
        <w:t>2</w:t>
      </w:r>
      <w:r w:rsidRPr="00AC5BCF">
        <w:rPr>
          <w:rFonts w:ascii="Arial" w:eastAsiaTheme="minorEastAsia" w:hAnsi="Arial" w:cs="Arial"/>
          <w:sz w:val="20"/>
          <w:szCs w:val="20"/>
        </w:rPr>
        <w:t>).</w:t>
      </w:r>
    </w:p>
    <w:p w14:paraId="23380CA1" w14:textId="3985BC04" w:rsidR="005C219B" w:rsidRPr="00AC5BCF" w:rsidRDefault="00122B66" w:rsidP="00C370F8">
      <w:pPr>
        <w:spacing w:line="48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π</m:t>
            </m:r>
          </m:e>
          <m:sub>
            <m:r>
              <w:rPr>
                <w:rFonts w:ascii="Cambria Math" w:eastAsiaTheme="minorEastAsia" w:hAnsi="Cambria Math" w:cs="Arial"/>
                <w:sz w:val="20"/>
                <w:szCs w:val="20"/>
              </w:rPr>
              <m:t>2</m:t>
            </m:r>
          </m:sub>
        </m:sSub>
        <m:r>
          <w:rPr>
            <w:rFonts w:ascii="Cambria Math" w:eastAsiaTheme="minorEastAsia" w:hAnsi="Cambria Math" w:cs="Arial"/>
            <w:sz w:val="20"/>
            <w:szCs w:val="20"/>
          </w:rPr>
          <m:t xml:space="preserve">= </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Dk</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C</m:t>
                </m:r>
              </m:e>
              <m:sub>
                <m:r>
                  <w:rPr>
                    <w:rFonts w:ascii="Cambria Math" w:eastAsiaTheme="minorEastAsia" w:hAnsi="Cambria Math" w:cs="Arial"/>
                    <w:sz w:val="20"/>
                    <w:szCs w:val="20"/>
                  </w:rPr>
                  <m:t>1</m:t>
                </m:r>
              </m:sub>
            </m:sSub>
          </m:num>
          <m:den>
            <m:r>
              <w:rPr>
                <w:rFonts w:ascii="Cambria Math" w:eastAsiaTheme="minorEastAsia" w:hAnsi="Cambria Math" w:cs="Arial"/>
                <w:sz w:val="20"/>
                <w:szCs w:val="20"/>
              </w:rPr>
              <m:t>μ</m:t>
            </m:r>
          </m:den>
        </m:f>
      </m:oMath>
      <w:r w:rsidR="005C219B" w:rsidRPr="00AC5BCF">
        <w:rPr>
          <w:rFonts w:ascii="Arial" w:eastAsiaTheme="minorEastAsia" w:hAnsi="Arial" w:cs="Arial"/>
          <w:sz w:val="20"/>
          <w:szCs w:val="20"/>
        </w:rPr>
        <w:tab/>
      </w:r>
      <w:r w:rsidR="005C219B" w:rsidRPr="00AC5BCF">
        <w:rPr>
          <w:rFonts w:ascii="Arial" w:eastAsiaTheme="minorEastAsia" w:hAnsi="Arial" w:cs="Arial"/>
          <w:sz w:val="20"/>
          <w:szCs w:val="20"/>
        </w:rPr>
        <w:tab/>
      </w:r>
      <w:r w:rsidR="005C219B" w:rsidRPr="00AC5BCF">
        <w:rPr>
          <w:rFonts w:ascii="Arial" w:eastAsiaTheme="minorEastAsia" w:hAnsi="Arial" w:cs="Arial"/>
          <w:sz w:val="20"/>
          <w:szCs w:val="20"/>
        </w:rPr>
        <w:tab/>
      </w:r>
      <w:r w:rsidR="005C219B"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5C219B" w:rsidRPr="00AC5BCF">
        <w:rPr>
          <w:rFonts w:ascii="Arial" w:eastAsiaTheme="minorEastAsia" w:hAnsi="Arial" w:cs="Arial"/>
          <w:sz w:val="20"/>
          <w:szCs w:val="20"/>
        </w:rPr>
        <w:t>(</w:t>
      </w:r>
      <w:r w:rsidR="00871470" w:rsidRPr="00AC5BCF">
        <w:rPr>
          <w:rFonts w:ascii="Arial" w:eastAsiaTheme="minorEastAsia" w:hAnsi="Arial" w:cs="Arial"/>
          <w:sz w:val="20"/>
          <w:szCs w:val="20"/>
        </w:rPr>
        <w:t>9</w:t>
      </w:r>
      <w:r w:rsidR="005C219B" w:rsidRPr="00AC5BCF">
        <w:rPr>
          <w:rFonts w:ascii="Arial" w:eastAsiaTheme="minorEastAsia" w:hAnsi="Arial" w:cs="Arial"/>
          <w:sz w:val="20"/>
          <w:szCs w:val="20"/>
        </w:rPr>
        <w:t>)</w:t>
      </w:r>
    </w:p>
    <w:p w14:paraId="38494372" w14:textId="789467A6" w:rsidR="005C219B" w:rsidRPr="00AC5BCF" w:rsidRDefault="005C219B" w:rsidP="00C370F8">
      <w:pPr>
        <w:spacing w:line="480" w:lineRule="auto"/>
        <w:jc w:val="both"/>
        <w:rPr>
          <w:rFonts w:ascii="Arial" w:eastAsiaTheme="minorEastAsia" w:hAnsi="Arial" w:cs="Arial"/>
          <w:sz w:val="20"/>
          <w:szCs w:val="20"/>
        </w:rPr>
      </w:pPr>
      <w:r w:rsidRPr="00AC5BCF">
        <w:rPr>
          <w:rFonts w:ascii="Arial" w:eastAsiaTheme="minorEastAsia" w:hAnsi="Arial" w:cs="Arial"/>
          <w:sz w:val="20"/>
          <w:szCs w:val="20"/>
        </w:rPr>
        <w:t>Solving for π</w:t>
      </w:r>
      <w:r w:rsidRPr="00AC5BCF">
        <w:rPr>
          <w:rFonts w:ascii="Arial" w:eastAsiaTheme="minorEastAsia" w:hAnsi="Arial" w:cs="Arial"/>
          <w:sz w:val="20"/>
          <w:szCs w:val="20"/>
          <w:vertAlign w:val="subscript"/>
        </w:rPr>
        <w:t>3</w:t>
      </w:r>
      <w:r w:rsidRPr="00AC5BCF">
        <w:rPr>
          <w:rFonts w:ascii="Arial" w:eastAsiaTheme="minorEastAsia" w:hAnsi="Arial" w:cs="Arial"/>
          <w:sz w:val="20"/>
          <w:szCs w:val="20"/>
        </w:rPr>
        <w:t xml:space="preserve"> using basic dimensions of the variables from Equation </w:t>
      </w:r>
      <w:r w:rsidR="00271ED2" w:rsidRPr="00AC5BCF">
        <w:rPr>
          <w:rFonts w:ascii="Arial" w:eastAsiaTheme="minorEastAsia" w:hAnsi="Arial" w:cs="Arial"/>
          <w:sz w:val="20"/>
          <w:szCs w:val="20"/>
        </w:rPr>
        <w:t>(</w:t>
      </w:r>
      <w:r w:rsidR="00871470" w:rsidRPr="00AC5BCF">
        <w:rPr>
          <w:rFonts w:ascii="Arial" w:eastAsiaTheme="minorEastAsia" w:hAnsi="Arial" w:cs="Arial"/>
          <w:sz w:val="20"/>
          <w:szCs w:val="20"/>
        </w:rPr>
        <w:t>5</w:t>
      </w:r>
      <w:r w:rsidR="00271ED2" w:rsidRPr="00AC5BCF">
        <w:rPr>
          <w:rFonts w:ascii="Arial" w:eastAsiaTheme="minorEastAsia" w:hAnsi="Arial" w:cs="Arial"/>
          <w:sz w:val="20"/>
          <w:szCs w:val="20"/>
        </w:rPr>
        <w:t>)</w:t>
      </w:r>
    </w:p>
    <w:p w14:paraId="6DAD46C6" w14:textId="35F68589" w:rsidR="005C219B" w:rsidRPr="00AC5BCF" w:rsidRDefault="00122B66" w:rsidP="00C370F8">
      <w:pPr>
        <w:spacing w:line="480" w:lineRule="auto"/>
        <w:jc w:val="both"/>
        <w:rPr>
          <w:rFonts w:ascii="Arial" w:eastAsiaTheme="min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3</m:t>
            </m:r>
          </m:sub>
        </m:sSub>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M</m:t>
            </m:r>
          </m:e>
          <m:sup>
            <m:r>
              <w:rPr>
                <w:rFonts w:ascii="Cambria Math" w:hAnsi="Cambria Math" w:cs="Arial"/>
                <w:sz w:val="20"/>
                <w:szCs w:val="20"/>
              </w:rPr>
              <m:t>0</m:t>
            </m:r>
          </m:sup>
        </m:sSup>
        <m:sSup>
          <m:sSupPr>
            <m:ctrlPr>
              <w:rPr>
                <w:rFonts w:ascii="Cambria Math" w:hAnsi="Cambria Math" w:cs="Arial"/>
                <w:i/>
                <w:sz w:val="20"/>
                <w:szCs w:val="20"/>
              </w:rPr>
            </m:ctrlPr>
          </m:sSupPr>
          <m:e>
            <m:r>
              <w:rPr>
                <w:rFonts w:ascii="Cambria Math" w:hAnsi="Cambria Math" w:cs="Arial"/>
                <w:sz w:val="20"/>
                <w:szCs w:val="20"/>
              </w:rPr>
              <m:t>L</m:t>
            </m:r>
          </m:e>
          <m:sup>
            <m:r>
              <w:rPr>
                <w:rFonts w:ascii="Cambria Math" w:hAnsi="Cambria Math" w:cs="Arial"/>
                <w:sz w:val="20"/>
                <w:szCs w:val="20"/>
              </w:rPr>
              <m:t>0</m:t>
            </m:r>
          </m:sup>
        </m:sSup>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0</m:t>
            </m:r>
          </m:sup>
        </m:sSup>
        <m:r>
          <w:rPr>
            <w:rFonts w:ascii="Cambria Math" w:hAnsi="Cambria Math" w:cs="Arial"/>
            <w:sz w:val="20"/>
            <w:szCs w:val="20"/>
          </w:rPr>
          <m:t>=</m:t>
        </m:r>
        <m:r>
          <w:rPr>
            <w:rFonts w:ascii="Cambria Math" w:eastAsiaTheme="minorEastAsia" w:hAnsi="Cambria Math" w:cs="Arial"/>
            <w:sz w:val="20"/>
            <w:szCs w:val="20"/>
          </w:rPr>
          <m:t xml:space="preserve"> </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L</m:t>
            </m:r>
          </m:e>
          <m:sup>
            <m:r>
              <w:rPr>
                <w:rFonts w:ascii="Cambria Math" w:eastAsiaTheme="minorEastAsia" w:hAnsi="Cambria Math" w:cs="Arial"/>
                <w:sz w:val="20"/>
                <w:szCs w:val="20"/>
              </w:rPr>
              <m:t>a</m:t>
            </m:r>
          </m:sup>
        </m:sSup>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M</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L</m:t>
                    </m:r>
                  </m:e>
                  <m:sup>
                    <m:r>
                      <w:rPr>
                        <w:rFonts w:ascii="Cambria Math" w:eastAsiaTheme="minorEastAsia" w:hAnsi="Cambria Math" w:cs="Arial"/>
                        <w:sz w:val="20"/>
                        <w:szCs w:val="20"/>
                      </w:rPr>
                      <m:t>-1</m:t>
                    </m:r>
                  </m:sup>
                </m:sSup>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T</m:t>
                    </m:r>
                  </m:e>
                  <m:sup>
                    <m:r>
                      <w:rPr>
                        <w:rFonts w:ascii="Cambria Math" w:eastAsiaTheme="minorEastAsia" w:hAnsi="Cambria Math" w:cs="Arial"/>
                        <w:sz w:val="20"/>
                        <w:szCs w:val="20"/>
                      </w:rPr>
                      <m:t>-1</m:t>
                    </m:r>
                  </m:sup>
                </m:sSup>
              </m:e>
            </m:d>
          </m:e>
          <m:sup>
            <m:r>
              <w:rPr>
                <w:rFonts w:ascii="Cambria Math" w:eastAsiaTheme="minorEastAsia" w:hAnsi="Cambria Math" w:cs="Arial"/>
                <w:sz w:val="20"/>
                <w:szCs w:val="20"/>
              </w:rPr>
              <m:t>b</m:t>
            </m:r>
          </m:sup>
        </m:sSup>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L</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T</m:t>
                    </m:r>
                  </m:e>
                  <m:sup>
                    <m:r>
                      <w:rPr>
                        <w:rFonts w:ascii="Cambria Math" w:eastAsiaTheme="minorEastAsia" w:hAnsi="Cambria Math" w:cs="Arial"/>
                        <w:sz w:val="20"/>
                        <w:szCs w:val="20"/>
                      </w:rPr>
                      <m:t>-1</m:t>
                    </m:r>
                  </m:sup>
                </m:sSup>
              </m:e>
            </m:d>
          </m:e>
          <m:sup>
            <m:r>
              <w:rPr>
                <w:rFonts w:ascii="Cambria Math" w:eastAsiaTheme="minorEastAsia" w:hAnsi="Cambria Math" w:cs="Arial"/>
                <w:sz w:val="20"/>
                <w:szCs w:val="20"/>
              </w:rPr>
              <m:t>c</m:t>
            </m:r>
          </m:sup>
        </m:sSup>
        <m:r>
          <w:rPr>
            <w:rFonts w:ascii="Cambria Math" w:eastAsiaTheme="minorEastAsia" w:hAnsi="Cambria Math" w:cs="Arial"/>
            <w:sz w:val="20"/>
            <w:szCs w:val="20"/>
          </w:rPr>
          <m:t>. T</m:t>
        </m:r>
      </m:oMath>
      <w:r w:rsidR="005C219B" w:rsidRPr="00AC5BCF">
        <w:rPr>
          <w:rFonts w:ascii="Arial" w:eastAsiaTheme="minorEastAsia" w:hAnsi="Arial" w:cs="Arial"/>
          <w:sz w:val="20"/>
          <w:szCs w:val="20"/>
        </w:rPr>
        <w:tab/>
      </w:r>
      <w:r w:rsidR="005C219B"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AC5BCF">
        <w:rPr>
          <w:rFonts w:ascii="Arial" w:eastAsiaTheme="minorEastAsia" w:hAnsi="Arial" w:cs="Arial"/>
          <w:sz w:val="20"/>
          <w:szCs w:val="20"/>
        </w:rPr>
        <w:tab/>
      </w:r>
      <w:r w:rsidR="005C219B" w:rsidRPr="00AC5BCF">
        <w:rPr>
          <w:rFonts w:ascii="Arial" w:eastAsiaTheme="minorEastAsia" w:hAnsi="Arial" w:cs="Arial"/>
          <w:sz w:val="20"/>
          <w:szCs w:val="20"/>
        </w:rPr>
        <w:t>(</w:t>
      </w:r>
      <w:r w:rsidR="00871470" w:rsidRPr="00AC5BCF">
        <w:rPr>
          <w:rFonts w:ascii="Arial" w:eastAsiaTheme="minorEastAsia" w:hAnsi="Arial" w:cs="Arial"/>
          <w:sz w:val="20"/>
          <w:szCs w:val="20"/>
        </w:rPr>
        <w:t>10</w:t>
      </w:r>
      <w:r w:rsidR="005C219B" w:rsidRPr="00AC5BCF">
        <w:rPr>
          <w:rFonts w:ascii="Arial" w:eastAsiaTheme="minorEastAsia" w:hAnsi="Arial" w:cs="Arial"/>
          <w:sz w:val="20"/>
          <w:szCs w:val="20"/>
        </w:rPr>
        <w:t>)</w:t>
      </w:r>
    </w:p>
    <w:p w14:paraId="2B811C62" w14:textId="320BB299" w:rsidR="005C219B" w:rsidRPr="00AC5BCF" w:rsidRDefault="005C219B" w:rsidP="00C370F8">
      <w:pPr>
        <w:spacing w:line="480" w:lineRule="auto"/>
        <w:jc w:val="both"/>
        <w:rPr>
          <w:rFonts w:ascii="Arial" w:eastAsiaTheme="minorEastAsia" w:hAnsi="Arial" w:cs="Arial"/>
          <w:sz w:val="20"/>
          <w:szCs w:val="20"/>
        </w:rPr>
      </w:pPr>
      <w:r w:rsidRPr="00AC5BCF">
        <w:rPr>
          <w:rFonts w:ascii="Arial" w:eastAsiaTheme="minorEastAsia" w:hAnsi="Arial" w:cs="Arial"/>
          <w:sz w:val="20"/>
          <w:szCs w:val="20"/>
        </w:rPr>
        <w:t>Equation (</w:t>
      </w:r>
      <w:r w:rsidR="00871470" w:rsidRPr="00AC5BCF">
        <w:rPr>
          <w:rFonts w:ascii="Arial" w:eastAsiaTheme="minorEastAsia" w:hAnsi="Arial" w:cs="Arial"/>
          <w:sz w:val="20"/>
          <w:szCs w:val="20"/>
        </w:rPr>
        <w:t>10</w:t>
      </w:r>
      <w:r w:rsidRPr="00AC5BCF">
        <w:rPr>
          <w:rFonts w:ascii="Arial" w:eastAsiaTheme="minorEastAsia" w:hAnsi="Arial" w:cs="Arial"/>
          <w:sz w:val="20"/>
          <w:szCs w:val="20"/>
        </w:rPr>
        <w:t>) was solved, with solutions: a = -1, b = 0, and c = 1. Rewriting Equation (</w:t>
      </w:r>
      <w:r w:rsidR="00871470" w:rsidRPr="00AC5BCF">
        <w:rPr>
          <w:rFonts w:ascii="Arial" w:eastAsiaTheme="minorEastAsia" w:hAnsi="Arial" w:cs="Arial"/>
          <w:sz w:val="20"/>
          <w:szCs w:val="20"/>
        </w:rPr>
        <w:t>5</w:t>
      </w:r>
      <w:r w:rsidRPr="00AC5BCF">
        <w:rPr>
          <w:rFonts w:ascii="Arial" w:eastAsiaTheme="minorEastAsia" w:hAnsi="Arial" w:cs="Arial"/>
          <w:sz w:val="20"/>
          <w:szCs w:val="20"/>
        </w:rPr>
        <w:t>) gives the expression for the third π -term (π</w:t>
      </w:r>
      <w:r w:rsidRPr="00AC5BCF">
        <w:rPr>
          <w:rFonts w:ascii="Arial" w:eastAsiaTheme="minorEastAsia" w:hAnsi="Arial" w:cs="Arial"/>
          <w:sz w:val="20"/>
          <w:szCs w:val="20"/>
          <w:vertAlign w:val="subscript"/>
        </w:rPr>
        <w:t>3</w:t>
      </w:r>
      <w:r w:rsidRPr="00AC5BCF">
        <w:rPr>
          <w:rFonts w:ascii="Arial" w:eastAsiaTheme="minorEastAsia" w:hAnsi="Arial" w:cs="Arial"/>
          <w:sz w:val="20"/>
          <w:szCs w:val="20"/>
        </w:rPr>
        <w:t>).</w:t>
      </w:r>
    </w:p>
    <w:p w14:paraId="132A9839" w14:textId="4D6DAA71" w:rsidR="005C219B" w:rsidRPr="00AC5BCF" w:rsidRDefault="00122B66" w:rsidP="00C370F8">
      <w:pPr>
        <w:spacing w:line="48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π</m:t>
            </m:r>
          </m:e>
          <m:sub>
            <m:r>
              <w:rPr>
                <w:rFonts w:ascii="Cambria Math" w:eastAsiaTheme="minorEastAsia" w:hAnsi="Cambria Math" w:cs="Arial"/>
                <w:sz w:val="20"/>
                <w:szCs w:val="20"/>
              </w:rPr>
              <m:t>3</m:t>
            </m:r>
          </m:sub>
        </m:sSub>
        <m:r>
          <w:rPr>
            <w:rFonts w:ascii="Cambria Math" w:eastAsiaTheme="minorEastAsia" w:hAnsi="Cambria Math" w:cs="Arial"/>
            <w:sz w:val="20"/>
            <w:szCs w:val="20"/>
          </w:rPr>
          <m:t>=</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kt</m:t>
            </m:r>
          </m:num>
          <m:den>
            <m:r>
              <w:rPr>
                <w:rFonts w:ascii="Cambria Math" w:eastAsiaTheme="minorEastAsia" w:hAnsi="Cambria Math" w:cs="Arial"/>
                <w:sz w:val="20"/>
                <w:szCs w:val="20"/>
              </w:rPr>
              <m:t>D</m:t>
            </m:r>
          </m:den>
        </m:f>
      </m:oMath>
      <w:r w:rsidR="005C219B" w:rsidRPr="00AC5BCF">
        <w:rPr>
          <w:rFonts w:ascii="Arial" w:eastAsiaTheme="minorEastAsia" w:hAnsi="Arial" w:cs="Arial"/>
          <w:sz w:val="20"/>
          <w:szCs w:val="20"/>
        </w:rPr>
        <w:tab/>
      </w:r>
      <w:r w:rsidR="005C219B" w:rsidRPr="00AC5BCF">
        <w:rPr>
          <w:rFonts w:ascii="Arial" w:eastAsiaTheme="minorEastAsia" w:hAnsi="Arial" w:cs="Arial"/>
          <w:sz w:val="20"/>
          <w:szCs w:val="20"/>
        </w:rPr>
        <w:tab/>
      </w:r>
      <w:r w:rsidR="005C219B" w:rsidRPr="00AC5BCF">
        <w:rPr>
          <w:rFonts w:ascii="Arial" w:eastAsiaTheme="minorEastAsia" w:hAnsi="Arial" w:cs="Arial"/>
          <w:sz w:val="20"/>
          <w:szCs w:val="20"/>
        </w:rPr>
        <w:tab/>
      </w:r>
      <w:r w:rsidR="005C219B"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AC5BCF">
        <w:rPr>
          <w:rFonts w:ascii="Arial" w:eastAsiaTheme="minorEastAsia" w:hAnsi="Arial" w:cs="Arial"/>
          <w:sz w:val="20"/>
          <w:szCs w:val="20"/>
        </w:rPr>
        <w:tab/>
      </w:r>
      <w:r w:rsidR="005C219B" w:rsidRPr="00AC5BCF">
        <w:rPr>
          <w:rFonts w:ascii="Arial" w:eastAsiaTheme="minorEastAsia" w:hAnsi="Arial" w:cs="Arial"/>
          <w:sz w:val="20"/>
          <w:szCs w:val="20"/>
        </w:rPr>
        <w:t>(</w:t>
      </w:r>
      <w:r w:rsidR="0084073D" w:rsidRPr="00AC5BCF">
        <w:rPr>
          <w:rFonts w:ascii="Arial" w:eastAsiaTheme="minorEastAsia" w:hAnsi="Arial" w:cs="Arial"/>
          <w:sz w:val="20"/>
          <w:szCs w:val="20"/>
        </w:rPr>
        <w:t>1</w:t>
      </w:r>
      <w:r w:rsidR="00871470" w:rsidRPr="00AC5BCF">
        <w:rPr>
          <w:rFonts w:ascii="Arial" w:eastAsiaTheme="minorEastAsia" w:hAnsi="Arial" w:cs="Arial"/>
          <w:sz w:val="20"/>
          <w:szCs w:val="20"/>
        </w:rPr>
        <w:t>1</w:t>
      </w:r>
      <w:r w:rsidR="005C219B" w:rsidRPr="00AC5BCF">
        <w:rPr>
          <w:rFonts w:ascii="Arial" w:eastAsiaTheme="minorEastAsia" w:hAnsi="Arial" w:cs="Arial"/>
          <w:sz w:val="20"/>
          <w:szCs w:val="20"/>
        </w:rPr>
        <w:t>)</w:t>
      </w:r>
    </w:p>
    <w:p w14:paraId="641E7428" w14:textId="37939990" w:rsidR="005C219B" w:rsidRPr="00AC5BCF" w:rsidRDefault="005C219B" w:rsidP="00C370F8">
      <w:pPr>
        <w:spacing w:line="480" w:lineRule="auto"/>
        <w:jc w:val="both"/>
        <w:rPr>
          <w:rFonts w:ascii="Arial" w:eastAsiaTheme="minorEastAsia" w:hAnsi="Arial" w:cs="Arial"/>
          <w:sz w:val="20"/>
          <w:szCs w:val="20"/>
        </w:rPr>
      </w:pPr>
      <w:r w:rsidRPr="00AC5BCF">
        <w:rPr>
          <w:rFonts w:ascii="Arial" w:eastAsiaTheme="minorEastAsia" w:hAnsi="Arial" w:cs="Arial"/>
          <w:sz w:val="20"/>
          <w:szCs w:val="20"/>
        </w:rPr>
        <w:t>Equation (</w:t>
      </w:r>
      <w:r w:rsidR="0084073D" w:rsidRPr="00AC5BCF">
        <w:rPr>
          <w:rFonts w:ascii="Arial" w:eastAsiaTheme="minorEastAsia" w:hAnsi="Arial" w:cs="Arial"/>
          <w:sz w:val="20"/>
          <w:szCs w:val="20"/>
        </w:rPr>
        <w:t>1</w:t>
      </w:r>
      <w:r w:rsidR="00871470" w:rsidRPr="00AC5BCF">
        <w:rPr>
          <w:rFonts w:ascii="Arial" w:eastAsiaTheme="minorEastAsia" w:hAnsi="Arial" w:cs="Arial"/>
          <w:sz w:val="20"/>
          <w:szCs w:val="20"/>
        </w:rPr>
        <w:t>2</w:t>
      </w:r>
      <w:r w:rsidRPr="00AC5BCF">
        <w:rPr>
          <w:rFonts w:ascii="Arial" w:eastAsiaTheme="minorEastAsia" w:hAnsi="Arial" w:cs="Arial"/>
          <w:sz w:val="20"/>
          <w:szCs w:val="20"/>
        </w:rPr>
        <w:t>) shows the relationship between the π-terms</w:t>
      </w:r>
    </w:p>
    <w:p w14:paraId="7F5B1E3C" w14:textId="03308A72" w:rsidR="005C219B" w:rsidRPr="00AC5BCF" w:rsidRDefault="00122B66" w:rsidP="00C370F8">
      <w:pPr>
        <w:spacing w:line="48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π</m:t>
            </m:r>
          </m:e>
          <m:sub>
            <m:r>
              <w:rPr>
                <w:rFonts w:ascii="Cambria Math" w:eastAsiaTheme="minorEastAsia" w:hAnsi="Cambria Math" w:cs="Arial"/>
                <w:sz w:val="20"/>
                <w:szCs w:val="20"/>
              </w:rPr>
              <m:t>1</m:t>
            </m:r>
          </m:sub>
        </m:sSub>
        <m:r>
          <w:rPr>
            <w:rFonts w:ascii="Cambria Math" w:eastAsiaTheme="minorEastAsia" w:hAnsi="Cambria Math" w:cs="Arial"/>
            <w:sz w:val="20"/>
            <w:szCs w:val="20"/>
          </w:rPr>
          <m:t>=f</m:t>
        </m:r>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π</m:t>
                </m:r>
              </m:e>
              <m:sub>
                <m:r>
                  <w:rPr>
                    <w:rFonts w:ascii="Cambria Math" w:eastAsiaTheme="minorEastAsia" w:hAnsi="Cambria Math" w:cs="Arial"/>
                    <w:sz w:val="20"/>
                    <w:szCs w:val="20"/>
                  </w:rPr>
                  <m:t>2</m:t>
                </m:r>
              </m:sub>
            </m:sSub>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,π</m:t>
                </m:r>
              </m:e>
              <m:sub>
                <m:r>
                  <w:rPr>
                    <w:rFonts w:ascii="Cambria Math" w:eastAsiaTheme="minorEastAsia" w:hAnsi="Cambria Math" w:cs="Arial"/>
                    <w:sz w:val="20"/>
                    <w:szCs w:val="20"/>
                  </w:rPr>
                  <m:t>3</m:t>
                </m:r>
              </m:sub>
            </m:sSub>
          </m:e>
        </m:d>
      </m:oMath>
      <w:r w:rsidR="005C219B" w:rsidRPr="00AC5BCF">
        <w:rPr>
          <w:rFonts w:ascii="Arial" w:eastAsiaTheme="minorEastAsia" w:hAnsi="Arial" w:cs="Arial"/>
          <w:sz w:val="20"/>
          <w:szCs w:val="20"/>
        </w:rPr>
        <w:tab/>
      </w:r>
      <w:r w:rsidR="005C219B" w:rsidRPr="00AC5BCF">
        <w:rPr>
          <w:rFonts w:ascii="Arial" w:eastAsiaTheme="minorEastAsia" w:hAnsi="Arial" w:cs="Arial"/>
          <w:sz w:val="20"/>
          <w:szCs w:val="20"/>
        </w:rPr>
        <w:tab/>
      </w:r>
      <w:r w:rsidR="005C219B"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AC5BCF">
        <w:rPr>
          <w:rFonts w:ascii="Arial" w:eastAsiaTheme="minorEastAsia" w:hAnsi="Arial" w:cs="Arial"/>
          <w:sz w:val="20"/>
          <w:szCs w:val="20"/>
        </w:rPr>
        <w:tab/>
      </w:r>
      <w:r w:rsidR="005C219B" w:rsidRPr="00AC5BCF">
        <w:rPr>
          <w:rFonts w:ascii="Arial" w:eastAsiaTheme="minorEastAsia" w:hAnsi="Arial" w:cs="Arial"/>
          <w:sz w:val="20"/>
          <w:szCs w:val="20"/>
        </w:rPr>
        <w:t>(</w:t>
      </w:r>
      <w:r w:rsidR="0084073D" w:rsidRPr="00AC5BCF">
        <w:rPr>
          <w:rFonts w:ascii="Arial" w:eastAsiaTheme="minorEastAsia" w:hAnsi="Arial" w:cs="Arial"/>
          <w:sz w:val="20"/>
          <w:szCs w:val="20"/>
        </w:rPr>
        <w:t>1</w:t>
      </w:r>
      <w:r w:rsidR="00871470" w:rsidRPr="00AC5BCF">
        <w:rPr>
          <w:rFonts w:ascii="Arial" w:eastAsiaTheme="minorEastAsia" w:hAnsi="Arial" w:cs="Arial"/>
          <w:sz w:val="20"/>
          <w:szCs w:val="20"/>
        </w:rPr>
        <w:t>2</w:t>
      </w:r>
      <w:r w:rsidR="005C219B" w:rsidRPr="00AC5BCF">
        <w:rPr>
          <w:rFonts w:ascii="Arial" w:eastAsiaTheme="minorEastAsia" w:hAnsi="Arial" w:cs="Arial"/>
          <w:sz w:val="20"/>
          <w:szCs w:val="20"/>
        </w:rPr>
        <w:t>)</w:t>
      </w:r>
    </w:p>
    <w:p w14:paraId="65A3DFBA" w14:textId="528A7A51" w:rsidR="005C219B" w:rsidRPr="00AC5BCF" w:rsidRDefault="005C219B" w:rsidP="00C370F8">
      <w:pPr>
        <w:spacing w:line="480" w:lineRule="auto"/>
        <w:jc w:val="both"/>
        <w:rPr>
          <w:rFonts w:ascii="Arial" w:eastAsiaTheme="minorEastAsia" w:hAnsi="Arial" w:cs="Arial"/>
          <w:sz w:val="20"/>
          <w:szCs w:val="20"/>
        </w:rPr>
      </w:pPr>
      <w:r w:rsidRPr="00AC5BCF">
        <w:rPr>
          <w:rFonts w:ascii="Arial" w:eastAsiaTheme="minorEastAsia" w:hAnsi="Arial" w:cs="Arial"/>
          <w:sz w:val="20"/>
          <w:szCs w:val="20"/>
        </w:rPr>
        <w:t>Writing Equation (</w:t>
      </w:r>
      <w:r w:rsidR="0084073D" w:rsidRPr="00AC5BCF">
        <w:rPr>
          <w:rFonts w:ascii="Arial" w:eastAsiaTheme="minorEastAsia" w:hAnsi="Arial" w:cs="Arial"/>
          <w:sz w:val="20"/>
          <w:szCs w:val="20"/>
        </w:rPr>
        <w:t>1</w:t>
      </w:r>
      <w:r w:rsidR="00871470" w:rsidRPr="00AC5BCF">
        <w:rPr>
          <w:rFonts w:ascii="Arial" w:eastAsiaTheme="minorEastAsia" w:hAnsi="Arial" w:cs="Arial"/>
          <w:sz w:val="20"/>
          <w:szCs w:val="20"/>
        </w:rPr>
        <w:t>2</w:t>
      </w:r>
      <w:r w:rsidRPr="00AC5BCF">
        <w:rPr>
          <w:rFonts w:ascii="Arial" w:eastAsiaTheme="minorEastAsia" w:hAnsi="Arial" w:cs="Arial"/>
          <w:sz w:val="20"/>
          <w:szCs w:val="20"/>
        </w:rPr>
        <w:t>) in the power form gives</w:t>
      </w:r>
    </w:p>
    <w:p w14:paraId="5ACACD31" w14:textId="07118679" w:rsidR="005C219B" w:rsidRPr="00AC5BCF" w:rsidRDefault="00122B66" w:rsidP="00C370F8">
      <w:pPr>
        <w:spacing w:line="48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π</m:t>
            </m:r>
          </m:e>
          <m:sub>
            <m:r>
              <w:rPr>
                <w:rFonts w:ascii="Cambria Math" w:eastAsiaTheme="minorEastAsia" w:hAnsi="Cambria Math" w:cs="Arial"/>
                <w:sz w:val="20"/>
                <w:szCs w:val="20"/>
              </w:rPr>
              <m:t>1</m:t>
            </m:r>
          </m:sub>
        </m:sSub>
        <m:r>
          <w:rPr>
            <w:rFonts w:ascii="Cambria Math" w:eastAsiaTheme="minorEastAsia" w:hAnsi="Cambria Math" w:cs="Arial"/>
            <w:sz w:val="20"/>
            <w:szCs w:val="20"/>
          </w:rPr>
          <m:t>=A</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π</m:t>
            </m:r>
          </m:e>
          <m:sub>
            <m:r>
              <w:rPr>
                <w:rFonts w:ascii="Cambria Math" w:eastAsiaTheme="minorEastAsia" w:hAnsi="Cambria Math" w:cs="Arial"/>
                <w:sz w:val="20"/>
                <w:szCs w:val="20"/>
              </w:rPr>
              <m:t>2</m:t>
            </m:r>
          </m:sub>
          <m:sup>
            <m:r>
              <w:rPr>
                <w:rFonts w:ascii="Cambria Math" w:eastAsiaTheme="minorEastAsia" w:hAnsi="Cambria Math" w:cs="Arial"/>
                <w:sz w:val="20"/>
                <w:szCs w:val="20"/>
              </w:rPr>
              <m:t>B</m:t>
            </m:r>
          </m:sup>
        </m:sSubSup>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π</m:t>
            </m:r>
          </m:e>
          <m:sub>
            <m:r>
              <w:rPr>
                <w:rFonts w:ascii="Cambria Math" w:eastAsiaTheme="minorEastAsia" w:hAnsi="Cambria Math" w:cs="Arial"/>
                <w:sz w:val="20"/>
                <w:szCs w:val="20"/>
              </w:rPr>
              <m:t>3</m:t>
            </m:r>
          </m:sub>
          <m:sup>
            <m:r>
              <w:rPr>
                <w:rFonts w:ascii="Cambria Math" w:eastAsiaTheme="minorEastAsia" w:hAnsi="Cambria Math" w:cs="Arial"/>
                <w:sz w:val="20"/>
                <w:szCs w:val="20"/>
              </w:rPr>
              <m:t>C</m:t>
            </m:r>
          </m:sup>
        </m:sSubSup>
      </m:oMath>
      <w:r w:rsidR="005C219B" w:rsidRPr="00AC5BCF">
        <w:rPr>
          <w:rFonts w:ascii="Arial" w:eastAsiaTheme="minorEastAsia" w:hAnsi="Arial" w:cs="Arial"/>
          <w:sz w:val="20"/>
          <w:szCs w:val="20"/>
        </w:rPr>
        <w:tab/>
      </w:r>
      <w:r w:rsidR="005C219B" w:rsidRPr="00AC5BCF">
        <w:rPr>
          <w:rFonts w:ascii="Arial" w:eastAsiaTheme="minorEastAsia" w:hAnsi="Arial" w:cs="Arial"/>
          <w:sz w:val="20"/>
          <w:szCs w:val="20"/>
        </w:rPr>
        <w:tab/>
      </w:r>
      <w:r w:rsidR="005C219B" w:rsidRPr="00AC5BCF">
        <w:rPr>
          <w:rFonts w:ascii="Arial" w:eastAsiaTheme="minorEastAsia" w:hAnsi="Arial" w:cs="Arial"/>
          <w:sz w:val="20"/>
          <w:szCs w:val="20"/>
        </w:rPr>
        <w:tab/>
      </w:r>
      <w:r w:rsidR="005C219B"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5C219B" w:rsidRPr="00AC5BCF">
        <w:rPr>
          <w:rFonts w:ascii="Arial" w:eastAsiaTheme="minorEastAsia" w:hAnsi="Arial" w:cs="Arial"/>
          <w:sz w:val="20"/>
          <w:szCs w:val="20"/>
        </w:rPr>
        <w:t>(</w:t>
      </w:r>
      <w:r w:rsidR="0084073D" w:rsidRPr="00AC5BCF">
        <w:rPr>
          <w:rFonts w:ascii="Arial" w:eastAsiaTheme="minorEastAsia" w:hAnsi="Arial" w:cs="Arial"/>
          <w:sz w:val="20"/>
          <w:szCs w:val="20"/>
        </w:rPr>
        <w:t>1</w:t>
      </w:r>
      <w:r w:rsidR="00871470" w:rsidRPr="00AC5BCF">
        <w:rPr>
          <w:rFonts w:ascii="Arial" w:eastAsiaTheme="minorEastAsia" w:hAnsi="Arial" w:cs="Arial"/>
          <w:sz w:val="20"/>
          <w:szCs w:val="20"/>
        </w:rPr>
        <w:t>3</w:t>
      </w:r>
      <w:r w:rsidR="005C219B" w:rsidRPr="00AC5BCF">
        <w:rPr>
          <w:rFonts w:ascii="Arial" w:eastAsiaTheme="minorEastAsia" w:hAnsi="Arial" w:cs="Arial"/>
          <w:sz w:val="20"/>
          <w:szCs w:val="20"/>
        </w:rPr>
        <w:t>)</w:t>
      </w:r>
    </w:p>
    <w:p w14:paraId="312EBCD9" w14:textId="2FE7A395" w:rsidR="005C219B" w:rsidRPr="00AC5BCF" w:rsidRDefault="005C219B" w:rsidP="00C370F8">
      <w:pPr>
        <w:spacing w:line="480" w:lineRule="auto"/>
        <w:jc w:val="both"/>
        <w:rPr>
          <w:rFonts w:ascii="Arial" w:eastAsiaTheme="minorEastAsia" w:hAnsi="Arial" w:cs="Arial"/>
          <w:sz w:val="20"/>
          <w:szCs w:val="20"/>
        </w:rPr>
      </w:pPr>
      <w:r w:rsidRPr="00AC5BCF">
        <w:rPr>
          <w:rFonts w:ascii="Arial" w:eastAsiaTheme="minorEastAsia" w:hAnsi="Arial" w:cs="Arial"/>
          <w:sz w:val="20"/>
          <w:szCs w:val="20"/>
        </w:rPr>
        <w:t>Substituting Equation (</w:t>
      </w:r>
      <w:r w:rsidR="00871470" w:rsidRPr="00AC5BCF">
        <w:rPr>
          <w:rFonts w:ascii="Arial" w:eastAsiaTheme="minorEastAsia" w:hAnsi="Arial" w:cs="Arial"/>
          <w:sz w:val="20"/>
          <w:szCs w:val="20"/>
        </w:rPr>
        <w:t>7</w:t>
      </w:r>
      <w:r w:rsidRPr="00AC5BCF">
        <w:rPr>
          <w:rFonts w:ascii="Arial" w:eastAsiaTheme="minorEastAsia" w:hAnsi="Arial" w:cs="Arial"/>
          <w:sz w:val="20"/>
          <w:szCs w:val="20"/>
        </w:rPr>
        <w:t xml:space="preserve">, </w:t>
      </w:r>
      <w:r w:rsidR="00871470" w:rsidRPr="00AC5BCF">
        <w:rPr>
          <w:rFonts w:ascii="Arial" w:eastAsiaTheme="minorEastAsia" w:hAnsi="Arial" w:cs="Arial"/>
          <w:sz w:val="20"/>
          <w:szCs w:val="20"/>
        </w:rPr>
        <w:t>9</w:t>
      </w:r>
      <w:r w:rsidRPr="00AC5BCF">
        <w:rPr>
          <w:rFonts w:ascii="Arial" w:eastAsiaTheme="minorEastAsia" w:hAnsi="Arial" w:cs="Arial"/>
          <w:sz w:val="20"/>
          <w:szCs w:val="20"/>
        </w:rPr>
        <w:t xml:space="preserve"> and </w:t>
      </w:r>
      <w:r w:rsidR="0084073D" w:rsidRPr="00AC5BCF">
        <w:rPr>
          <w:rFonts w:ascii="Arial" w:eastAsiaTheme="minorEastAsia" w:hAnsi="Arial" w:cs="Arial"/>
          <w:sz w:val="20"/>
          <w:szCs w:val="20"/>
        </w:rPr>
        <w:t>1</w:t>
      </w:r>
      <w:r w:rsidR="00871470" w:rsidRPr="00AC5BCF">
        <w:rPr>
          <w:rFonts w:ascii="Arial" w:eastAsiaTheme="minorEastAsia" w:hAnsi="Arial" w:cs="Arial"/>
          <w:sz w:val="20"/>
          <w:szCs w:val="20"/>
        </w:rPr>
        <w:t>1</w:t>
      </w:r>
      <w:r w:rsidRPr="00AC5BCF">
        <w:rPr>
          <w:rFonts w:ascii="Arial" w:eastAsiaTheme="minorEastAsia" w:hAnsi="Arial" w:cs="Arial"/>
          <w:sz w:val="20"/>
          <w:szCs w:val="20"/>
        </w:rPr>
        <w:t>) into Equation (</w:t>
      </w:r>
      <w:r w:rsidR="0084073D" w:rsidRPr="00AC5BCF">
        <w:rPr>
          <w:rFonts w:ascii="Arial" w:eastAsiaTheme="minorEastAsia" w:hAnsi="Arial" w:cs="Arial"/>
          <w:sz w:val="20"/>
          <w:szCs w:val="20"/>
        </w:rPr>
        <w:t>1</w:t>
      </w:r>
      <w:r w:rsidR="00871470" w:rsidRPr="00AC5BCF">
        <w:rPr>
          <w:rFonts w:ascii="Arial" w:eastAsiaTheme="minorEastAsia" w:hAnsi="Arial" w:cs="Arial"/>
          <w:sz w:val="20"/>
          <w:szCs w:val="20"/>
        </w:rPr>
        <w:t>3</w:t>
      </w:r>
      <w:r w:rsidRPr="00AC5BCF">
        <w:rPr>
          <w:rFonts w:ascii="Arial" w:eastAsiaTheme="minorEastAsia" w:hAnsi="Arial" w:cs="Arial"/>
          <w:sz w:val="20"/>
          <w:szCs w:val="20"/>
        </w:rPr>
        <w:t>) gives:</w:t>
      </w:r>
    </w:p>
    <w:p w14:paraId="690FA7D2" w14:textId="783BDF46" w:rsidR="005C219B" w:rsidRPr="00AC5BCF" w:rsidRDefault="00122B66" w:rsidP="00C370F8">
      <w:pPr>
        <w:spacing w:line="480" w:lineRule="auto"/>
        <w:jc w:val="both"/>
        <w:rPr>
          <w:rFonts w:ascii="Arial" w:eastAsiaTheme="minorEastAsia" w:hAnsi="Arial" w:cs="Arial"/>
          <w:sz w:val="20"/>
          <w:szCs w:val="20"/>
        </w:rPr>
      </w:pPr>
      <m:oMath>
        <m:f>
          <m:fPr>
            <m:ctrlPr>
              <w:rPr>
                <w:rFonts w:ascii="Cambria Math" w:eastAsiaTheme="minorEastAsia" w:hAnsi="Cambria Math" w:cs="Arial"/>
                <w:i/>
                <w:sz w:val="20"/>
                <w:szCs w:val="20"/>
              </w:rPr>
            </m:ctrlPr>
          </m:fPr>
          <m:num>
            <m:r>
              <w:rPr>
                <w:rFonts w:ascii="Cambria Math" w:eastAsiaTheme="minorEastAsia" w:hAnsi="Cambria Math" w:cs="Arial"/>
                <w:sz w:val="20"/>
                <w:szCs w:val="20"/>
              </w:rPr>
              <m:t>Dk</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C</m:t>
                </m:r>
              </m:e>
              <m:sub>
                <m:r>
                  <w:rPr>
                    <w:rFonts w:ascii="Cambria Math" w:eastAsiaTheme="minorEastAsia" w:hAnsi="Cambria Math" w:cs="Arial"/>
                    <w:sz w:val="20"/>
                    <w:szCs w:val="20"/>
                  </w:rPr>
                  <m:t>2</m:t>
                </m:r>
              </m:sub>
            </m:sSub>
          </m:num>
          <m:den>
            <m:r>
              <w:rPr>
                <w:rFonts w:ascii="Cambria Math" w:eastAsiaTheme="minorEastAsia" w:hAnsi="Cambria Math" w:cs="Arial"/>
                <w:sz w:val="20"/>
                <w:szCs w:val="20"/>
              </w:rPr>
              <m:t>μ</m:t>
            </m:r>
          </m:den>
        </m:f>
        <m:r>
          <w:rPr>
            <w:rFonts w:ascii="Cambria Math" w:eastAsiaTheme="minorEastAsia" w:hAnsi="Cambria Math" w:cs="Arial"/>
            <w:sz w:val="20"/>
            <w:szCs w:val="20"/>
          </w:rPr>
          <m:t>=A</m:t>
        </m:r>
        <m:sSup>
          <m:sSupPr>
            <m:ctrlPr>
              <w:rPr>
                <w:rFonts w:ascii="Cambria Math" w:eastAsiaTheme="minorEastAsia" w:hAnsi="Cambria Math" w:cs="Arial"/>
                <w:i/>
                <w:sz w:val="20"/>
                <w:szCs w:val="20"/>
              </w:rPr>
            </m:ctrlPr>
          </m:sSupPr>
          <m:e>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Dk</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C</m:t>
                        </m:r>
                      </m:e>
                      <m:sub>
                        <m:r>
                          <w:rPr>
                            <w:rFonts w:ascii="Cambria Math" w:eastAsiaTheme="minorEastAsia" w:hAnsi="Cambria Math" w:cs="Arial"/>
                            <w:sz w:val="20"/>
                            <w:szCs w:val="20"/>
                          </w:rPr>
                          <m:t>1</m:t>
                        </m:r>
                      </m:sub>
                    </m:sSub>
                  </m:num>
                  <m:den>
                    <m:r>
                      <w:rPr>
                        <w:rFonts w:ascii="Cambria Math" w:eastAsiaTheme="minorEastAsia" w:hAnsi="Cambria Math" w:cs="Arial"/>
                        <w:sz w:val="20"/>
                        <w:szCs w:val="20"/>
                      </w:rPr>
                      <m:t>μ</m:t>
                    </m:r>
                  </m:den>
                </m:f>
              </m:e>
            </m:d>
          </m:e>
          <m:sup>
            <m:r>
              <w:rPr>
                <w:rFonts w:ascii="Cambria Math" w:eastAsiaTheme="minorEastAsia" w:hAnsi="Cambria Math" w:cs="Arial"/>
                <w:sz w:val="20"/>
                <w:szCs w:val="20"/>
              </w:rPr>
              <m:t>B</m:t>
            </m:r>
          </m:sup>
        </m:sSup>
        <m:sSup>
          <m:sSupPr>
            <m:ctrlPr>
              <w:rPr>
                <w:rFonts w:ascii="Cambria Math" w:eastAsiaTheme="minorEastAsia" w:hAnsi="Cambria Math" w:cs="Arial"/>
                <w:i/>
                <w:sz w:val="20"/>
                <w:szCs w:val="20"/>
              </w:rPr>
            </m:ctrlPr>
          </m:sSupPr>
          <m:e>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kt</m:t>
                    </m:r>
                  </m:num>
                  <m:den>
                    <m:r>
                      <w:rPr>
                        <w:rFonts w:ascii="Cambria Math" w:eastAsiaTheme="minorEastAsia" w:hAnsi="Cambria Math" w:cs="Arial"/>
                        <w:sz w:val="20"/>
                        <w:szCs w:val="20"/>
                      </w:rPr>
                      <m:t>D</m:t>
                    </m:r>
                  </m:den>
                </m:f>
              </m:e>
            </m:d>
          </m:e>
          <m:sup>
            <m:r>
              <w:rPr>
                <w:rFonts w:ascii="Cambria Math" w:eastAsiaTheme="minorEastAsia" w:hAnsi="Cambria Math" w:cs="Arial"/>
                <w:sz w:val="20"/>
                <w:szCs w:val="20"/>
              </w:rPr>
              <m:t>C</m:t>
            </m:r>
          </m:sup>
        </m:sSup>
      </m:oMath>
      <w:r w:rsidR="005C219B" w:rsidRPr="00AC5BCF">
        <w:rPr>
          <w:rFonts w:ascii="Arial" w:eastAsiaTheme="minorEastAsia" w:hAnsi="Arial" w:cs="Arial"/>
          <w:sz w:val="20"/>
          <w:szCs w:val="20"/>
        </w:rPr>
        <w:tab/>
      </w:r>
      <w:r w:rsidR="005C219B"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AC5BCF">
        <w:rPr>
          <w:rFonts w:ascii="Arial" w:eastAsiaTheme="minorEastAsia" w:hAnsi="Arial" w:cs="Arial"/>
          <w:sz w:val="20"/>
          <w:szCs w:val="20"/>
        </w:rPr>
        <w:tab/>
      </w:r>
      <w:r w:rsidR="005C219B" w:rsidRPr="00AC5BCF">
        <w:rPr>
          <w:rFonts w:ascii="Arial" w:eastAsiaTheme="minorEastAsia" w:hAnsi="Arial" w:cs="Arial"/>
          <w:sz w:val="20"/>
          <w:szCs w:val="20"/>
        </w:rPr>
        <w:t>(</w:t>
      </w:r>
      <w:r w:rsidR="00BE07F7" w:rsidRPr="00AC5BCF">
        <w:rPr>
          <w:rFonts w:ascii="Arial" w:eastAsiaTheme="minorEastAsia" w:hAnsi="Arial" w:cs="Arial"/>
          <w:sz w:val="20"/>
          <w:szCs w:val="20"/>
        </w:rPr>
        <w:t>1</w:t>
      </w:r>
      <w:r w:rsidR="00871470" w:rsidRPr="00AC5BCF">
        <w:rPr>
          <w:rFonts w:ascii="Arial" w:eastAsiaTheme="minorEastAsia" w:hAnsi="Arial" w:cs="Arial"/>
          <w:sz w:val="20"/>
          <w:szCs w:val="20"/>
        </w:rPr>
        <w:t>4</w:t>
      </w:r>
      <w:r w:rsidR="005C219B" w:rsidRPr="00AC5BCF">
        <w:rPr>
          <w:rFonts w:ascii="Arial" w:eastAsiaTheme="minorEastAsia" w:hAnsi="Arial" w:cs="Arial"/>
          <w:sz w:val="20"/>
          <w:szCs w:val="20"/>
        </w:rPr>
        <w:t>)</w:t>
      </w:r>
    </w:p>
    <w:p w14:paraId="18A61F13" w14:textId="5ABDB2BA" w:rsidR="005C219B" w:rsidRPr="00AC5BCF" w:rsidRDefault="005C219B" w:rsidP="00C370F8">
      <w:pPr>
        <w:spacing w:line="480" w:lineRule="auto"/>
        <w:jc w:val="both"/>
        <w:rPr>
          <w:rFonts w:ascii="Arial" w:eastAsiaTheme="minorEastAsia" w:hAnsi="Arial" w:cs="Arial"/>
          <w:sz w:val="20"/>
          <w:szCs w:val="20"/>
        </w:rPr>
      </w:pPr>
      <w:r w:rsidRPr="00AC5BCF">
        <w:rPr>
          <w:rFonts w:ascii="Arial" w:eastAsiaTheme="minorEastAsia" w:hAnsi="Arial" w:cs="Arial"/>
          <w:sz w:val="20"/>
          <w:szCs w:val="20"/>
        </w:rPr>
        <w:t>Rearranging Equation (</w:t>
      </w:r>
      <w:r w:rsidR="00BE07F7" w:rsidRPr="00AC5BCF">
        <w:rPr>
          <w:rFonts w:ascii="Arial" w:eastAsiaTheme="minorEastAsia" w:hAnsi="Arial" w:cs="Arial"/>
          <w:sz w:val="20"/>
          <w:szCs w:val="20"/>
        </w:rPr>
        <w:t>1</w:t>
      </w:r>
      <w:r w:rsidR="00871470" w:rsidRPr="00AC5BCF">
        <w:rPr>
          <w:rFonts w:ascii="Arial" w:eastAsiaTheme="minorEastAsia" w:hAnsi="Arial" w:cs="Arial"/>
          <w:sz w:val="20"/>
          <w:szCs w:val="20"/>
        </w:rPr>
        <w:t>4</w:t>
      </w:r>
      <w:r w:rsidRPr="00AC5BCF">
        <w:rPr>
          <w:rFonts w:ascii="Arial" w:eastAsiaTheme="minorEastAsia" w:hAnsi="Arial" w:cs="Arial"/>
          <w:sz w:val="20"/>
          <w:szCs w:val="20"/>
        </w:rPr>
        <w:t xml:space="preserve">) for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C</m:t>
            </m:r>
          </m:e>
          <m:sub>
            <m:r>
              <w:rPr>
                <w:rFonts w:ascii="Cambria Math" w:eastAsiaTheme="minorEastAsia" w:hAnsi="Cambria Math" w:cs="Arial"/>
                <w:sz w:val="20"/>
                <w:szCs w:val="20"/>
              </w:rPr>
              <m:t>2</m:t>
            </m:r>
          </m:sub>
        </m:sSub>
      </m:oMath>
    </w:p>
    <w:p w14:paraId="3802D214" w14:textId="2BF1728D" w:rsidR="005C219B" w:rsidRPr="00AC5BCF" w:rsidRDefault="00122B66" w:rsidP="00C370F8">
      <w:pPr>
        <w:spacing w:line="48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C</m:t>
            </m:r>
          </m:e>
          <m:sub>
            <m:r>
              <w:rPr>
                <w:rFonts w:ascii="Cambria Math" w:eastAsiaTheme="minorEastAsia" w:hAnsi="Cambria Math" w:cs="Arial"/>
                <w:sz w:val="20"/>
                <w:szCs w:val="20"/>
              </w:rPr>
              <m:t>2</m:t>
            </m:r>
          </m:sub>
        </m:sSub>
        <m:r>
          <w:rPr>
            <w:rFonts w:ascii="Cambria Math" w:eastAsiaTheme="minorEastAsia" w:hAnsi="Cambria Math" w:cs="Arial"/>
            <w:sz w:val="20"/>
            <w:szCs w:val="20"/>
          </w:rPr>
          <m:t>=</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μ</m:t>
            </m:r>
          </m:num>
          <m:den>
            <m:r>
              <w:rPr>
                <w:rFonts w:ascii="Cambria Math" w:eastAsiaTheme="minorEastAsia" w:hAnsi="Cambria Math" w:cs="Arial"/>
                <w:sz w:val="20"/>
                <w:szCs w:val="20"/>
              </w:rPr>
              <m:t>Dk</m:t>
            </m:r>
          </m:den>
        </m:f>
        <m:d>
          <m:dPr>
            <m:begChr m:val="["/>
            <m:endChr m:val="]"/>
            <m:ctrlPr>
              <w:rPr>
                <w:rFonts w:ascii="Cambria Math" w:eastAsiaTheme="minorEastAsia" w:hAnsi="Cambria Math" w:cs="Arial"/>
                <w:i/>
                <w:sz w:val="20"/>
                <w:szCs w:val="20"/>
              </w:rPr>
            </m:ctrlPr>
          </m:dPr>
          <m:e>
            <m:r>
              <w:rPr>
                <w:rFonts w:ascii="Cambria Math" w:eastAsiaTheme="minorEastAsia" w:hAnsi="Cambria Math" w:cs="Arial"/>
                <w:sz w:val="20"/>
                <w:szCs w:val="20"/>
              </w:rPr>
              <m:t>A</m:t>
            </m:r>
            <m:sSup>
              <m:sSupPr>
                <m:ctrlPr>
                  <w:rPr>
                    <w:rFonts w:ascii="Cambria Math" w:eastAsiaTheme="minorEastAsia" w:hAnsi="Cambria Math" w:cs="Arial"/>
                    <w:i/>
                    <w:sz w:val="20"/>
                    <w:szCs w:val="20"/>
                  </w:rPr>
                </m:ctrlPr>
              </m:sSupPr>
              <m:e>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Dk</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C</m:t>
                            </m:r>
                          </m:e>
                          <m:sub>
                            <m:r>
                              <w:rPr>
                                <w:rFonts w:ascii="Cambria Math" w:eastAsiaTheme="minorEastAsia" w:hAnsi="Cambria Math" w:cs="Arial"/>
                                <w:sz w:val="20"/>
                                <w:szCs w:val="20"/>
                              </w:rPr>
                              <m:t>1</m:t>
                            </m:r>
                          </m:sub>
                        </m:sSub>
                      </m:num>
                      <m:den>
                        <m:r>
                          <w:rPr>
                            <w:rFonts w:ascii="Cambria Math" w:eastAsiaTheme="minorEastAsia" w:hAnsi="Cambria Math" w:cs="Arial"/>
                            <w:sz w:val="20"/>
                            <w:szCs w:val="20"/>
                          </w:rPr>
                          <m:t>μ</m:t>
                        </m:r>
                      </m:den>
                    </m:f>
                  </m:e>
                </m:d>
              </m:e>
              <m:sup>
                <m:r>
                  <w:rPr>
                    <w:rFonts w:ascii="Cambria Math" w:eastAsiaTheme="minorEastAsia" w:hAnsi="Cambria Math" w:cs="Arial"/>
                    <w:sz w:val="20"/>
                    <w:szCs w:val="20"/>
                  </w:rPr>
                  <m:t>B</m:t>
                </m:r>
              </m:sup>
            </m:sSup>
            <m:sSup>
              <m:sSupPr>
                <m:ctrlPr>
                  <w:rPr>
                    <w:rFonts w:ascii="Cambria Math" w:eastAsiaTheme="minorEastAsia" w:hAnsi="Cambria Math" w:cs="Arial"/>
                    <w:i/>
                    <w:sz w:val="20"/>
                    <w:szCs w:val="20"/>
                  </w:rPr>
                </m:ctrlPr>
              </m:sSupPr>
              <m:e>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kt</m:t>
                        </m:r>
                      </m:num>
                      <m:den>
                        <m:r>
                          <w:rPr>
                            <w:rFonts w:ascii="Cambria Math" w:eastAsiaTheme="minorEastAsia" w:hAnsi="Cambria Math" w:cs="Arial"/>
                            <w:sz w:val="20"/>
                            <w:szCs w:val="20"/>
                          </w:rPr>
                          <m:t>D</m:t>
                        </m:r>
                      </m:den>
                    </m:f>
                  </m:e>
                </m:d>
              </m:e>
              <m:sup>
                <m:r>
                  <w:rPr>
                    <w:rFonts w:ascii="Cambria Math" w:eastAsiaTheme="minorEastAsia" w:hAnsi="Cambria Math" w:cs="Arial"/>
                    <w:sz w:val="20"/>
                    <w:szCs w:val="20"/>
                  </w:rPr>
                  <m:t>C</m:t>
                </m:r>
              </m:sup>
            </m:sSup>
          </m:e>
        </m:d>
      </m:oMath>
      <w:r w:rsidR="005C219B" w:rsidRPr="00AC5BCF">
        <w:rPr>
          <w:rFonts w:ascii="Arial" w:eastAsiaTheme="minorEastAsia" w:hAnsi="Arial" w:cs="Arial"/>
          <w:sz w:val="20"/>
          <w:szCs w:val="20"/>
        </w:rPr>
        <w:tab/>
      </w:r>
      <w:r w:rsidR="005C219B"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D263E2" w:rsidRPr="00AC5BCF">
        <w:rPr>
          <w:rFonts w:ascii="Arial" w:eastAsiaTheme="minorEastAsia" w:hAnsi="Arial" w:cs="Arial"/>
          <w:sz w:val="20"/>
          <w:szCs w:val="20"/>
        </w:rPr>
        <w:tab/>
      </w:r>
      <w:r w:rsidR="00AC5BCF">
        <w:rPr>
          <w:rFonts w:ascii="Arial" w:eastAsiaTheme="minorEastAsia" w:hAnsi="Arial" w:cs="Arial"/>
          <w:sz w:val="20"/>
          <w:szCs w:val="20"/>
        </w:rPr>
        <w:tab/>
      </w:r>
      <w:r w:rsidR="005C219B" w:rsidRPr="00AC5BCF">
        <w:rPr>
          <w:rFonts w:ascii="Arial" w:eastAsiaTheme="minorEastAsia" w:hAnsi="Arial" w:cs="Arial"/>
          <w:sz w:val="20"/>
          <w:szCs w:val="20"/>
        </w:rPr>
        <w:t>(</w:t>
      </w:r>
      <w:r w:rsidR="00BE07F7" w:rsidRPr="00AC5BCF">
        <w:rPr>
          <w:rFonts w:ascii="Arial" w:eastAsiaTheme="minorEastAsia" w:hAnsi="Arial" w:cs="Arial"/>
          <w:sz w:val="20"/>
          <w:szCs w:val="20"/>
        </w:rPr>
        <w:t>1</w:t>
      </w:r>
      <w:r w:rsidR="00871470" w:rsidRPr="00AC5BCF">
        <w:rPr>
          <w:rFonts w:ascii="Arial" w:eastAsiaTheme="minorEastAsia" w:hAnsi="Arial" w:cs="Arial"/>
          <w:sz w:val="20"/>
          <w:szCs w:val="20"/>
        </w:rPr>
        <w:t>5</w:t>
      </w:r>
      <w:r w:rsidR="005C219B" w:rsidRPr="00AC5BCF">
        <w:rPr>
          <w:rFonts w:ascii="Arial" w:eastAsiaTheme="minorEastAsia" w:hAnsi="Arial" w:cs="Arial"/>
          <w:sz w:val="20"/>
          <w:szCs w:val="20"/>
        </w:rPr>
        <w:t>)</w:t>
      </w:r>
    </w:p>
    <w:p w14:paraId="227FB1C4" w14:textId="6120BC96" w:rsidR="00AC5BCF" w:rsidRPr="00592F41" w:rsidRDefault="005C219B" w:rsidP="00C370F8">
      <w:pPr>
        <w:spacing w:line="480" w:lineRule="auto"/>
        <w:jc w:val="both"/>
        <w:rPr>
          <w:rFonts w:ascii="Arial" w:eastAsiaTheme="minorEastAsia" w:hAnsi="Arial" w:cs="Arial"/>
          <w:sz w:val="20"/>
          <w:szCs w:val="20"/>
        </w:rPr>
      </w:pPr>
      <w:r w:rsidRPr="00AC5BCF">
        <w:rPr>
          <w:rFonts w:ascii="Arial" w:eastAsiaTheme="minorEastAsia" w:hAnsi="Arial" w:cs="Arial"/>
          <w:sz w:val="20"/>
          <w:szCs w:val="20"/>
        </w:rPr>
        <w:t>Equation (</w:t>
      </w:r>
      <w:r w:rsidR="00BE07F7" w:rsidRPr="00AC5BCF">
        <w:rPr>
          <w:rFonts w:ascii="Arial" w:eastAsiaTheme="minorEastAsia" w:hAnsi="Arial" w:cs="Arial"/>
          <w:sz w:val="20"/>
          <w:szCs w:val="20"/>
        </w:rPr>
        <w:t>1</w:t>
      </w:r>
      <w:r w:rsidR="00871470" w:rsidRPr="00AC5BCF">
        <w:rPr>
          <w:rFonts w:ascii="Arial" w:eastAsiaTheme="minorEastAsia" w:hAnsi="Arial" w:cs="Arial"/>
          <w:sz w:val="20"/>
          <w:szCs w:val="20"/>
        </w:rPr>
        <w:t>5</w:t>
      </w:r>
      <w:r w:rsidRPr="00AC5BCF">
        <w:rPr>
          <w:rFonts w:ascii="Arial" w:eastAsiaTheme="minorEastAsia" w:hAnsi="Arial" w:cs="Arial"/>
          <w:sz w:val="20"/>
          <w:szCs w:val="20"/>
        </w:rPr>
        <w:t>) is the model concept based on dimensional analysis, where A, B and C are model constants which are dependent on the soil type and contaminant properties.</w:t>
      </w:r>
    </w:p>
    <w:p w14:paraId="23E891AF" w14:textId="0CBF507E" w:rsidR="005C219B" w:rsidRPr="00AC5BCF" w:rsidRDefault="005C219B" w:rsidP="00C370F8">
      <w:pPr>
        <w:spacing w:line="480" w:lineRule="auto"/>
        <w:jc w:val="both"/>
        <w:rPr>
          <w:rFonts w:ascii="Arial" w:eastAsiaTheme="minorEastAsia" w:hAnsi="Arial" w:cs="Arial"/>
          <w:b/>
          <w:bCs/>
        </w:rPr>
      </w:pPr>
      <w:r w:rsidRPr="00AC5BCF">
        <w:rPr>
          <w:rFonts w:ascii="Arial" w:eastAsiaTheme="minorEastAsia" w:hAnsi="Arial" w:cs="Arial"/>
          <w:b/>
          <w:bCs/>
        </w:rPr>
        <w:t>2.4. Model assumptions</w:t>
      </w:r>
    </w:p>
    <w:p w14:paraId="0B909671" w14:textId="77777777" w:rsidR="005C219B" w:rsidRPr="00AC5BCF" w:rsidRDefault="005C219B" w:rsidP="00C370F8">
      <w:pPr>
        <w:spacing w:line="480" w:lineRule="auto"/>
        <w:jc w:val="both"/>
        <w:rPr>
          <w:rFonts w:ascii="Arial" w:hAnsi="Arial" w:cs="Arial"/>
          <w:sz w:val="20"/>
          <w:szCs w:val="20"/>
        </w:rPr>
      </w:pPr>
      <w:r w:rsidRPr="00AC5BCF">
        <w:rPr>
          <w:rFonts w:ascii="Arial" w:hAnsi="Arial" w:cs="Arial"/>
          <w:sz w:val="20"/>
          <w:szCs w:val="20"/>
        </w:rPr>
        <w:t>When considering the predictive models in this study of crude oil transport in the unsaturated zone, several necessary assumptions were made to simplify the complex real-world dynamics into manageable and mathematically tractable forms. These assumptions are stated below:</w:t>
      </w:r>
    </w:p>
    <w:p w14:paraId="44E81E47" w14:textId="2E621A9E" w:rsidR="005C219B" w:rsidRPr="00AC5BCF" w:rsidRDefault="005C219B" w:rsidP="00C370F8">
      <w:pPr>
        <w:pStyle w:val="ListParagraph"/>
        <w:numPr>
          <w:ilvl w:val="0"/>
          <w:numId w:val="3"/>
        </w:numPr>
        <w:spacing w:line="480" w:lineRule="auto"/>
        <w:jc w:val="both"/>
        <w:rPr>
          <w:rFonts w:ascii="Arial" w:hAnsi="Arial" w:cs="Arial"/>
          <w:sz w:val="20"/>
          <w:szCs w:val="20"/>
        </w:rPr>
      </w:pPr>
      <w:r w:rsidRPr="00AC5BCF">
        <w:rPr>
          <w:rFonts w:ascii="Arial" w:hAnsi="Arial" w:cs="Arial"/>
          <w:sz w:val="20"/>
          <w:szCs w:val="20"/>
        </w:rPr>
        <w:t>The models assume that the soil properties</w:t>
      </w:r>
      <w:r w:rsidR="00592F41">
        <w:rPr>
          <w:rFonts w:ascii="Arial" w:hAnsi="Arial" w:cs="Arial"/>
          <w:sz w:val="20"/>
          <w:szCs w:val="20"/>
        </w:rPr>
        <w:t>,</w:t>
      </w:r>
      <w:r w:rsidRPr="00AC5BCF">
        <w:rPr>
          <w:rFonts w:ascii="Arial" w:hAnsi="Arial" w:cs="Arial"/>
          <w:sz w:val="20"/>
          <w:szCs w:val="20"/>
        </w:rPr>
        <w:t xml:space="preserve"> such as permeability and texture</w:t>
      </w:r>
      <w:r w:rsidR="00592F41">
        <w:rPr>
          <w:rFonts w:ascii="Arial" w:hAnsi="Arial" w:cs="Arial"/>
          <w:sz w:val="20"/>
          <w:szCs w:val="20"/>
        </w:rPr>
        <w:t>,</w:t>
      </w:r>
      <w:r w:rsidRPr="00AC5BCF">
        <w:rPr>
          <w:rFonts w:ascii="Arial" w:hAnsi="Arial" w:cs="Arial"/>
          <w:sz w:val="20"/>
          <w:szCs w:val="20"/>
        </w:rPr>
        <w:t xml:space="preserve"> are homogeneous within each soil type and column.</w:t>
      </w:r>
    </w:p>
    <w:p w14:paraId="17DE7099" w14:textId="77777777" w:rsidR="005C219B" w:rsidRPr="00AC5BCF" w:rsidRDefault="005C219B" w:rsidP="00C370F8">
      <w:pPr>
        <w:pStyle w:val="ListParagraph"/>
        <w:numPr>
          <w:ilvl w:val="0"/>
          <w:numId w:val="3"/>
        </w:numPr>
        <w:spacing w:line="480" w:lineRule="auto"/>
        <w:jc w:val="both"/>
        <w:rPr>
          <w:rFonts w:ascii="Arial" w:hAnsi="Arial" w:cs="Arial"/>
          <w:sz w:val="20"/>
          <w:szCs w:val="20"/>
        </w:rPr>
      </w:pPr>
      <w:r w:rsidRPr="00AC5BCF">
        <w:rPr>
          <w:rFonts w:ascii="Arial" w:hAnsi="Arial" w:cs="Arial"/>
          <w:sz w:val="20"/>
          <w:szCs w:val="20"/>
        </w:rPr>
        <w:t>The system simulates a dry period where there is no rainfall for at least 14 days.</w:t>
      </w:r>
    </w:p>
    <w:p w14:paraId="4B925926" w14:textId="77777777" w:rsidR="005C219B" w:rsidRPr="00AC5BCF" w:rsidRDefault="005C219B" w:rsidP="00C370F8">
      <w:pPr>
        <w:pStyle w:val="ListParagraph"/>
        <w:numPr>
          <w:ilvl w:val="0"/>
          <w:numId w:val="3"/>
        </w:numPr>
        <w:spacing w:line="480" w:lineRule="auto"/>
        <w:jc w:val="both"/>
        <w:rPr>
          <w:rFonts w:ascii="Arial" w:hAnsi="Arial" w:cs="Arial"/>
          <w:sz w:val="20"/>
          <w:szCs w:val="20"/>
        </w:rPr>
      </w:pPr>
      <w:r w:rsidRPr="00AC5BCF">
        <w:rPr>
          <w:rFonts w:ascii="Arial" w:hAnsi="Arial" w:cs="Arial"/>
          <w:sz w:val="20"/>
          <w:szCs w:val="20"/>
        </w:rPr>
        <w:t>Transport of contaminant is only in a one-dimensional vertical direction.</w:t>
      </w:r>
    </w:p>
    <w:p w14:paraId="4872F027" w14:textId="77777777" w:rsidR="005C219B" w:rsidRPr="00AC5BCF" w:rsidRDefault="005C219B" w:rsidP="00C370F8">
      <w:pPr>
        <w:pStyle w:val="ListParagraph"/>
        <w:numPr>
          <w:ilvl w:val="0"/>
          <w:numId w:val="3"/>
        </w:numPr>
        <w:spacing w:line="480" w:lineRule="auto"/>
        <w:jc w:val="both"/>
        <w:rPr>
          <w:rFonts w:ascii="Arial" w:hAnsi="Arial" w:cs="Arial"/>
          <w:sz w:val="20"/>
          <w:szCs w:val="20"/>
        </w:rPr>
      </w:pPr>
      <w:r w:rsidRPr="00AC5BCF">
        <w:rPr>
          <w:rFonts w:ascii="Arial" w:hAnsi="Arial" w:cs="Arial"/>
          <w:sz w:val="20"/>
          <w:szCs w:val="20"/>
        </w:rPr>
        <w:t>The models assume a steady state flow condition where the flow rate of crude oil through the soil media remains constant over time.</w:t>
      </w:r>
    </w:p>
    <w:p w14:paraId="7C73F0D7" w14:textId="77777777" w:rsidR="005C219B" w:rsidRPr="00AC5BCF" w:rsidRDefault="005C219B" w:rsidP="00C370F8">
      <w:pPr>
        <w:pStyle w:val="ListParagraph"/>
        <w:numPr>
          <w:ilvl w:val="0"/>
          <w:numId w:val="3"/>
        </w:numPr>
        <w:spacing w:line="480" w:lineRule="auto"/>
        <w:jc w:val="both"/>
        <w:rPr>
          <w:rFonts w:ascii="Arial" w:hAnsi="Arial" w:cs="Arial"/>
          <w:sz w:val="20"/>
          <w:szCs w:val="20"/>
        </w:rPr>
      </w:pPr>
      <w:r w:rsidRPr="00AC5BCF">
        <w:rPr>
          <w:rFonts w:ascii="Arial" w:hAnsi="Arial" w:cs="Arial"/>
          <w:sz w:val="20"/>
          <w:szCs w:val="20"/>
        </w:rPr>
        <w:t>The viscosity of the contaminant is assumed to remain constant throughout the flow process.</w:t>
      </w:r>
    </w:p>
    <w:p w14:paraId="06EB5ECC" w14:textId="77777777" w:rsidR="005C219B" w:rsidRPr="00AC5BCF" w:rsidRDefault="005C219B" w:rsidP="00C370F8">
      <w:pPr>
        <w:pStyle w:val="ListParagraph"/>
        <w:numPr>
          <w:ilvl w:val="0"/>
          <w:numId w:val="3"/>
        </w:numPr>
        <w:spacing w:line="480" w:lineRule="auto"/>
        <w:jc w:val="both"/>
        <w:rPr>
          <w:rFonts w:ascii="Arial" w:hAnsi="Arial" w:cs="Arial"/>
          <w:sz w:val="20"/>
          <w:szCs w:val="20"/>
        </w:rPr>
      </w:pPr>
      <w:r w:rsidRPr="00AC5BCF">
        <w:rPr>
          <w:rFonts w:ascii="Arial" w:hAnsi="Arial" w:cs="Arial"/>
          <w:sz w:val="20"/>
          <w:szCs w:val="20"/>
        </w:rPr>
        <w:lastRenderedPageBreak/>
        <w:t>The models do not account for chemical reactions between the contaminant and soil components or biological degradation of the contaminant.</w:t>
      </w:r>
    </w:p>
    <w:p w14:paraId="0EA060CC" w14:textId="41B2DFB2" w:rsidR="005C219B" w:rsidRPr="00AC5BCF" w:rsidRDefault="005C219B" w:rsidP="00C370F8">
      <w:pPr>
        <w:pStyle w:val="ListParagraph"/>
        <w:numPr>
          <w:ilvl w:val="0"/>
          <w:numId w:val="3"/>
        </w:numPr>
        <w:spacing w:line="480" w:lineRule="auto"/>
        <w:jc w:val="both"/>
        <w:rPr>
          <w:rFonts w:ascii="Arial" w:hAnsi="Arial" w:cs="Arial"/>
          <w:sz w:val="20"/>
          <w:szCs w:val="20"/>
        </w:rPr>
      </w:pPr>
      <w:r w:rsidRPr="00AC5BCF">
        <w:rPr>
          <w:rFonts w:ascii="Arial" w:hAnsi="Arial" w:cs="Arial"/>
          <w:sz w:val="20"/>
          <w:szCs w:val="20"/>
        </w:rPr>
        <w:t xml:space="preserve">It is assumed that the initial distribution of the contaminant at the surface is uniform. This simplification ignores the possibility of uneven distribution due to spills, runoff, or other </w:t>
      </w:r>
      <w:r w:rsidR="00592F41">
        <w:rPr>
          <w:rFonts w:ascii="Arial" w:hAnsi="Arial" w:cs="Arial"/>
          <w:sz w:val="20"/>
          <w:szCs w:val="20"/>
        </w:rPr>
        <w:t>localised</w:t>
      </w:r>
      <w:r w:rsidRPr="00AC5BCF">
        <w:rPr>
          <w:rFonts w:ascii="Arial" w:hAnsi="Arial" w:cs="Arial"/>
          <w:sz w:val="20"/>
          <w:szCs w:val="20"/>
        </w:rPr>
        <w:t xml:space="preserve"> contamination events.</w:t>
      </w:r>
    </w:p>
    <w:p w14:paraId="7D1947F2" w14:textId="2DA9F8C3" w:rsidR="007F0068" w:rsidRPr="00592F41" w:rsidRDefault="005C219B" w:rsidP="00C370F8">
      <w:pPr>
        <w:pStyle w:val="ListParagraph"/>
        <w:numPr>
          <w:ilvl w:val="0"/>
          <w:numId w:val="3"/>
        </w:numPr>
        <w:spacing w:line="480" w:lineRule="auto"/>
        <w:jc w:val="both"/>
        <w:rPr>
          <w:rFonts w:ascii="Arial" w:hAnsi="Arial" w:cs="Arial"/>
          <w:sz w:val="20"/>
          <w:szCs w:val="20"/>
        </w:rPr>
      </w:pPr>
      <w:r w:rsidRPr="00AC5BCF">
        <w:rPr>
          <w:rFonts w:ascii="Arial" w:hAnsi="Arial" w:cs="Arial"/>
          <w:sz w:val="20"/>
          <w:szCs w:val="20"/>
        </w:rPr>
        <w:t>The models assume that contaminants flow uniformly through the soil matrix, ignoring the presence of preferential flow paths such as cracks, root channels, or other macropores that can significantly affect transport dynamics.</w:t>
      </w:r>
    </w:p>
    <w:p w14:paraId="1D227D20" w14:textId="42B38C47" w:rsidR="00271ED2" w:rsidRPr="00AC5BCF" w:rsidRDefault="00AC5BCF" w:rsidP="00C370F8">
      <w:pPr>
        <w:spacing w:line="480" w:lineRule="auto"/>
        <w:jc w:val="both"/>
        <w:rPr>
          <w:rFonts w:ascii="Arial" w:hAnsi="Arial" w:cs="Arial"/>
          <w:b/>
          <w:bCs/>
        </w:rPr>
      </w:pPr>
      <w:r w:rsidRPr="00AC5BCF">
        <w:rPr>
          <w:rFonts w:ascii="Arial" w:hAnsi="Arial" w:cs="Arial"/>
          <w:b/>
          <w:bCs/>
        </w:rPr>
        <w:t>3. RESULTS AND DISCUSSION</w:t>
      </w:r>
    </w:p>
    <w:p w14:paraId="654FADC4" w14:textId="0148F295" w:rsidR="00271ED2" w:rsidRPr="00AC5BCF" w:rsidRDefault="00271ED2" w:rsidP="00C370F8">
      <w:pPr>
        <w:spacing w:line="480" w:lineRule="auto"/>
        <w:jc w:val="both"/>
        <w:rPr>
          <w:rFonts w:ascii="Arial" w:hAnsi="Arial" w:cs="Arial"/>
          <w:b/>
          <w:bCs/>
        </w:rPr>
      </w:pPr>
      <w:r w:rsidRPr="00AC5BCF">
        <w:rPr>
          <w:rFonts w:ascii="Arial" w:hAnsi="Arial" w:cs="Arial"/>
          <w:b/>
          <w:bCs/>
        </w:rPr>
        <w:t>3.1 Soil permeability</w:t>
      </w:r>
    </w:p>
    <w:p w14:paraId="5E0EFB1D" w14:textId="29DCF0BB" w:rsidR="00BE07F7" w:rsidRPr="00AC5BCF" w:rsidRDefault="00BE07F7" w:rsidP="00C370F8">
      <w:pPr>
        <w:spacing w:line="480" w:lineRule="auto"/>
        <w:jc w:val="both"/>
        <w:rPr>
          <w:rFonts w:ascii="Arial" w:hAnsi="Arial" w:cs="Arial"/>
          <w:sz w:val="20"/>
          <w:szCs w:val="20"/>
        </w:rPr>
      </w:pPr>
      <w:r w:rsidRPr="00AC5BCF">
        <w:rPr>
          <w:rFonts w:ascii="Arial" w:hAnsi="Arial" w:cs="Arial"/>
          <w:sz w:val="20"/>
          <w:szCs w:val="20"/>
        </w:rPr>
        <w:t>Figure</w:t>
      </w:r>
      <w:r w:rsidR="00107E6E" w:rsidRPr="00AC5BCF">
        <w:rPr>
          <w:rFonts w:ascii="Arial" w:hAnsi="Arial" w:cs="Arial"/>
          <w:sz w:val="20"/>
          <w:szCs w:val="20"/>
        </w:rPr>
        <w:t xml:space="preserve"> 2 shows</w:t>
      </w:r>
      <w:r w:rsidRPr="00AC5BCF">
        <w:rPr>
          <w:rFonts w:ascii="Arial" w:hAnsi="Arial" w:cs="Arial"/>
          <w:sz w:val="20"/>
          <w:szCs w:val="20"/>
        </w:rPr>
        <w:t xml:space="preserve"> the permeability of the soil</w:t>
      </w:r>
      <w:r w:rsidR="00107E6E" w:rsidRPr="00AC5BCF">
        <w:rPr>
          <w:rFonts w:ascii="Arial" w:hAnsi="Arial" w:cs="Arial"/>
          <w:sz w:val="20"/>
          <w:szCs w:val="20"/>
        </w:rPr>
        <w:t xml:space="preserve"> </w:t>
      </w:r>
      <w:r w:rsidRPr="00AC5BCF">
        <w:rPr>
          <w:rFonts w:ascii="Arial" w:hAnsi="Arial" w:cs="Arial"/>
          <w:sz w:val="20"/>
          <w:szCs w:val="20"/>
        </w:rPr>
        <w:t>columns of varying heights, the highest and lowest values and the soil column where they were observed.</w:t>
      </w:r>
      <w:r w:rsidR="00CE6808" w:rsidRPr="00AC5BCF">
        <w:rPr>
          <w:rFonts w:ascii="Arial" w:hAnsi="Arial" w:cs="Arial"/>
          <w:sz w:val="20"/>
          <w:szCs w:val="20"/>
        </w:rPr>
        <w:t xml:space="preserve"> </w:t>
      </w:r>
      <w:r w:rsidRPr="00AC5BCF">
        <w:rPr>
          <w:rFonts w:ascii="Arial" w:hAnsi="Arial" w:cs="Arial"/>
          <w:sz w:val="20"/>
          <w:szCs w:val="20"/>
        </w:rPr>
        <w:t xml:space="preserve">The highest permeability for sand </w:t>
      </w:r>
      <w:r w:rsidR="00CE6808" w:rsidRPr="00AC5BCF">
        <w:rPr>
          <w:rFonts w:ascii="Arial" w:hAnsi="Arial" w:cs="Arial"/>
          <w:sz w:val="20"/>
          <w:szCs w:val="20"/>
        </w:rPr>
        <w:t>was</w:t>
      </w:r>
      <w:r w:rsidRPr="00AC5BCF">
        <w:rPr>
          <w:rFonts w:ascii="Arial" w:hAnsi="Arial" w:cs="Arial"/>
          <w:sz w:val="20"/>
          <w:szCs w:val="20"/>
        </w:rPr>
        <w:t xml:space="preserve"> 0.63cm/s, which occurred at the column with 15cm soil depth</w:t>
      </w:r>
      <w:r w:rsidR="00CE6808" w:rsidRPr="00AC5BCF">
        <w:rPr>
          <w:rFonts w:ascii="Arial" w:hAnsi="Arial" w:cs="Arial"/>
          <w:sz w:val="20"/>
          <w:szCs w:val="20"/>
        </w:rPr>
        <w:t>, while t</w:t>
      </w:r>
      <w:r w:rsidRPr="00AC5BCF">
        <w:rPr>
          <w:rFonts w:ascii="Arial" w:hAnsi="Arial" w:cs="Arial"/>
          <w:sz w:val="20"/>
          <w:szCs w:val="20"/>
        </w:rPr>
        <w:t xml:space="preserve">he lowest permeability for sand </w:t>
      </w:r>
      <w:r w:rsidR="00CE6808" w:rsidRPr="00AC5BCF">
        <w:rPr>
          <w:rFonts w:ascii="Arial" w:hAnsi="Arial" w:cs="Arial"/>
          <w:sz w:val="20"/>
          <w:szCs w:val="20"/>
        </w:rPr>
        <w:t>wa</w:t>
      </w:r>
      <w:r w:rsidRPr="00AC5BCF">
        <w:rPr>
          <w:rFonts w:ascii="Arial" w:hAnsi="Arial" w:cs="Arial"/>
          <w:sz w:val="20"/>
          <w:szCs w:val="20"/>
        </w:rPr>
        <w:t>s 0.11cm/s, which occurred at the column with 50cm soil depth.</w:t>
      </w:r>
      <w:r w:rsidR="00D01C5D" w:rsidRPr="00AC5BCF">
        <w:rPr>
          <w:rFonts w:ascii="Arial" w:hAnsi="Arial" w:cs="Arial"/>
          <w:sz w:val="20"/>
          <w:szCs w:val="20"/>
        </w:rPr>
        <w:t xml:space="preserve"> </w:t>
      </w:r>
      <w:r w:rsidRPr="00AC5BCF">
        <w:rPr>
          <w:rFonts w:ascii="Arial" w:hAnsi="Arial" w:cs="Arial"/>
          <w:sz w:val="20"/>
          <w:szCs w:val="20"/>
        </w:rPr>
        <w:t xml:space="preserve">For loam, </w:t>
      </w:r>
      <w:r w:rsidR="00CE6808" w:rsidRPr="00AC5BCF">
        <w:rPr>
          <w:rFonts w:ascii="Arial" w:hAnsi="Arial" w:cs="Arial"/>
          <w:sz w:val="20"/>
          <w:szCs w:val="20"/>
        </w:rPr>
        <w:t>t</w:t>
      </w:r>
      <w:r w:rsidRPr="00AC5BCF">
        <w:rPr>
          <w:rFonts w:ascii="Arial" w:hAnsi="Arial" w:cs="Arial"/>
          <w:sz w:val="20"/>
          <w:szCs w:val="20"/>
        </w:rPr>
        <w:t>he highest permeability</w:t>
      </w:r>
      <w:r w:rsidR="00CE6808" w:rsidRPr="00AC5BCF">
        <w:rPr>
          <w:rFonts w:ascii="Arial" w:hAnsi="Arial" w:cs="Arial"/>
          <w:sz w:val="20"/>
          <w:szCs w:val="20"/>
        </w:rPr>
        <w:t xml:space="preserve"> wa</w:t>
      </w:r>
      <w:r w:rsidRPr="00AC5BCF">
        <w:rPr>
          <w:rFonts w:ascii="Arial" w:hAnsi="Arial" w:cs="Arial"/>
          <w:sz w:val="20"/>
          <w:szCs w:val="20"/>
        </w:rPr>
        <w:t>s 0.14cm/s, which occurred at the column with 15cm soil depth</w:t>
      </w:r>
      <w:r w:rsidR="00CE6808" w:rsidRPr="00AC5BCF">
        <w:rPr>
          <w:rFonts w:ascii="Arial" w:hAnsi="Arial" w:cs="Arial"/>
          <w:sz w:val="20"/>
          <w:szCs w:val="20"/>
        </w:rPr>
        <w:t>, while t</w:t>
      </w:r>
      <w:r w:rsidRPr="00AC5BCF">
        <w:rPr>
          <w:rFonts w:ascii="Arial" w:hAnsi="Arial" w:cs="Arial"/>
          <w:sz w:val="20"/>
          <w:szCs w:val="20"/>
        </w:rPr>
        <w:t xml:space="preserve">he lowest permeability for loam </w:t>
      </w:r>
      <w:r w:rsidR="00CE6808" w:rsidRPr="00AC5BCF">
        <w:rPr>
          <w:rFonts w:ascii="Arial" w:hAnsi="Arial" w:cs="Arial"/>
          <w:sz w:val="20"/>
          <w:szCs w:val="20"/>
        </w:rPr>
        <w:t>was</w:t>
      </w:r>
      <w:r w:rsidRPr="00AC5BCF">
        <w:rPr>
          <w:rFonts w:ascii="Arial" w:hAnsi="Arial" w:cs="Arial"/>
          <w:sz w:val="20"/>
          <w:szCs w:val="20"/>
        </w:rPr>
        <w:t xml:space="preserve"> 0.10cm/s, which occurred at the column with 30cm, 40cm and 50cm soil depth.</w:t>
      </w:r>
    </w:p>
    <w:p w14:paraId="152FC2CA" w14:textId="2AB1CCFD" w:rsidR="00107E6E" w:rsidRPr="00AC5BCF" w:rsidRDefault="00D01C5D" w:rsidP="00C370F8">
      <w:pPr>
        <w:spacing w:line="480" w:lineRule="auto"/>
        <w:jc w:val="both"/>
        <w:rPr>
          <w:rFonts w:ascii="Arial" w:hAnsi="Arial" w:cs="Arial"/>
          <w:color w:val="000000"/>
          <w:sz w:val="20"/>
          <w:szCs w:val="20"/>
        </w:rPr>
      </w:pPr>
      <w:r w:rsidRPr="00AC5BCF">
        <w:rPr>
          <w:rFonts w:ascii="Arial" w:hAnsi="Arial" w:cs="Arial"/>
          <w:sz w:val="20"/>
          <w:szCs w:val="20"/>
        </w:rPr>
        <w:t xml:space="preserve">The permeability values obtained showed how soil depth, soil type and compaction affect water movement through the soil. For sand, the permeability varied significantly with the height of the soil columns, this is because each soil column was artificially compacted randomly to obtain varying permeability values needed for modelling. The highest permeability value, 0.63cm/s, was observed in the column with a 15cm height. This suggests that in this column, the sand's structure and particle arrangement allow for optimal water flow. In contrast, the lowest permeability value for sand, 0.11cm/s, was found in the 50cm column, this reduced permeability is due to increased compaction and tighter packing of sand particles, this agrees with the findings of </w:t>
      </w:r>
      <w:sdt>
        <w:sdtPr>
          <w:rPr>
            <w:rFonts w:ascii="Arial" w:hAnsi="Arial" w:cs="Arial"/>
            <w:color w:val="000000"/>
            <w:sz w:val="20"/>
            <w:szCs w:val="20"/>
          </w:rPr>
          <w:tag w:val="MENDELEY_CITATION_v3_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"/>
          <w:id w:val="360259010"/>
          <w:placeholder>
            <w:docPart w:val="365DF990855443A28C51C8ACB4D7CFBE"/>
          </w:placeholder>
        </w:sdtPr>
        <w:sdtEndPr/>
        <w:sdtContent>
          <w:proofErr w:type="spellStart"/>
          <w:r w:rsidR="002F7DEA" w:rsidRPr="00AC5BCF">
            <w:rPr>
              <w:rFonts w:ascii="Arial" w:hAnsi="Arial" w:cs="Arial"/>
              <w:color w:val="000000"/>
              <w:sz w:val="20"/>
              <w:szCs w:val="20"/>
            </w:rPr>
            <w:t>Ranaivomanana</w:t>
          </w:r>
          <w:proofErr w:type="spellEnd"/>
          <w:r w:rsidR="002F7DEA" w:rsidRPr="00AC5BCF">
            <w:rPr>
              <w:rFonts w:ascii="Arial" w:hAnsi="Arial" w:cs="Arial"/>
              <w:color w:val="000000"/>
              <w:sz w:val="20"/>
              <w:szCs w:val="20"/>
            </w:rPr>
            <w:t xml:space="preserve"> et al. (2017)</w:t>
          </w:r>
        </w:sdtContent>
      </w:sdt>
      <w:r w:rsidRPr="00AC5BCF">
        <w:rPr>
          <w:rFonts w:ascii="Arial" w:hAnsi="Arial" w:cs="Arial"/>
          <w:sz w:val="20"/>
          <w:szCs w:val="20"/>
        </w:rPr>
        <w:t xml:space="preserve">. Similarly, the permeability values for loam varied with the height of the soil columns. The highest permeability for loam, 0.14cm/s, was also observed in the 15cm column, indicating that, more water flowed vertically downwards in this column due to less compaction. However, the lowest permeability for loam, 0.10cm/s, was consistently observed in the columns with heights </w:t>
      </w:r>
      <w:r w:rsidRPr="00AC5BCF">
        <w:rPr>
          <w:rFonts w:ascii="Arial" w:hAnsi="Arial" w:cs="Arial"/>
          <w:sz w:val="20"/>
          <w:szCs w:val="20"/>
        </w:rPr>
        <w:lastRenderedPageBreak/>
        <w:t xml:space="preserve">of 30cm, 40cm and 50cm, although these columns were randomly compacted, it allowed water to flow through them at the same rate. The consistent low permeability across these depths supports the findings of </w:t>
      </w:r>
      <w:sdt>
        <w:sdtPr>
          <w:rPr>
            <w:rFonts w:ascii="Arial" w:hAnsi="Arial" w:cs="Arial"/>
            <w:color w:val="000000"/>
            <w:sz w:val="20"/>
            <w:szCs w:val="20"/>
          </w:rPr>
          <w:tag w:val="MENDELEY_CITATION_v3_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"/>
          <w:id w:val="-136337687"/>
          <w:placeholder>
            <w:docPart w:val="C5A8471916384EDAAE626D403ADAE971"/>
          </w:placeholder>
        </w:sdtPr>
        <w:sdtEndPr/>
        <w:sdtContent>
          <w:r w:rsidR="002F7DEA" w:rsidRPr="00AC5BCF">
            <w:rPr>
              <w:rFonts w:ascii="Arial" w:hAnsi="Arial" w:cs="Arial"/>
              <w:color w:val="000000"/>
              <w:sz w:val="20"/>
              <w:szCs w:val="20"/>
            </w:rPr>
            <w:t>Gleeson et al. (2011)</w:t>
          </w:r>
        </w:sdtContent>
      </w:sdt>
      <w:r w:rsidRPr="00AC5BCF">
        <w:rPr>
          <w:rFonts w:ascii="Arial" w:hAnsi="Arial" w:cs="Arial"/>
          <w:sz w:val="20"/>
          <w:szCs w:val="20"/>
        </w:rPr>
        <w:t xml:space="preserve">, who noted that loam's mixed particle size distribution and higher organic matter content create a stable soil matrix with uniform permeability rates. Although soil columns were randomly compacted, sandy soil showed higher values of permeability when compared to loamy soil. This is because sandy soil is coarser. Coarser soils typically exhibit higher permeability due to larger pore spaces </w:t>
      </w:r>
      <w:sdt>
        <w:sdtPr>
          <w:rPr>
            <w:rFonts w:ascii="Arial" w:hAnsi="Arial" w:cs="Arial"/>
            <w:color w:val="000000"/>
            <w:sz w:val="20"/>
            <w:szCs w:val="20"/>
          </w:rPr>
          <w:tag w:val="MENDELEY_CITATION_v3_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"/>
          <w:id w:val="-389343311"/>
          <w:placeholder>
            <w:docPart w:val="365DF990855443A28C51C8ACB4D7CFBE"/>
          </w:placeholder>
        </w:sdtPr>
        <w:sdtEndPr/>
        <w:sdtContent>
          <w:r w:rsidR="002F7DEA" w:rsidRPr="00AC5BCF">
            <w:rPr>
              <w:rFonts w:ascii="Arial" w:hAnsi="Arial" w:cs="Arial"/>
              <w:color w:val="000000"/>
              <w:sz w:val="20"/>
              <w:szCs w:val="20"/>
            </w:rPr>
            <w:t>(Ding et al., 2023)</w:t>
          </w:r>
        </w:sdtContent>
      </w:sdt>
      <w:r w:rsidRPr="00AC5BCF">
        <w:rPr>
          <w:rFonts w:ascii="Arial" w:hAnsi="Arial" w:cs="Arial"/>
          <w:color w:val="000000"/>
          <w:sz w:val="20"/>
          <w:szCs w:val="20"/>
        </w:rPr>
        <w:t>.</w:t>
      </w:r>
    </w:p>
    <w:p w14:paraId="18320F44" w14:textId="77777777" w:rsidR="004D1BFF" w:rsidRPr="00AC5BCF" w:rsidRDefault="004D1BFF" w:rsidP="00C370F8">
      <w:pPr>
        <w:tabs>
          <w:tab w:val="left" w:pos="5335"/>
        </w:tabs>
        <w:spacing w:line="480" w:lineRule="auto"/>
        <w:rPr>
          <w:rFonts w:ascii="Arial" w:hAnsi="Arial" w:cs="Arial"/>
          <w:sz w:val="20"/>
          <w:szCs w:val="20"/>
        </w:rPr>
        <w:sectPr w:rsidR="004D1BFF" w:rsidRPr="00AC5BCF" w:rsidSect="005D12E9">
          <w:type w:val="continuous"/>
          <w:pgSz w:w="12240" w:h="15840"/>
          <w:pgMar w:top="1440" w:right="1440" w:bottom="1440" w:left="1440" w:header="720" w:footer="720" w:gutter="0"/>
          <w:cols w:space="720"/>
          <w:docGrid w:linePitch="360"/>
        </w:sectPr>
      </w:pPr>
    </w:p>
    <w:p w14:paraId="7E55E7F3" w14:textId="22472F64" w:rsidR="00107E6E" w:rsidRPr="006D43A8" w:rsidRDefault="00107E6E" w:rsidP="00C370F8">
      <w:pPr>
        <w:tabs>
          <w:tab w:val="left" w:pos="5335"/>
        </w:tabs>
        <w:spacing w:line="480" w:lineRule="auto"/>
        <w:rPr>
          <w:rFonts w:ascii="Times New Roman" w:hAnsi="Times New Roman" w:cs="Times New Roman"/>
          <w:sz w:val="24"/>
          <w:szCs w:val="24"/>
        </w:rPr>
      </w:pPr>
      <w:r w:rsidRPr="006D43A8">
        <w:rPr>
          <w:rFonts w:ascii="Times New Roman" w:hAnsi="Times New Roman" w:cs="Times New Roman"/>
          <w:noProof/>
          <w:sz w:val="24"/>
          <w:szCs w:val="24"/>
          <w:lang w:eastAsia="en-GB"/>
        </w:rPr>
        <w:drawing>
          <wp:inline distT="0" distB="0" distL="0" distR="0" wp14:anchorId="47BD5992" wp14:editId="1D51ABC3">
            <wp:extent cx="5676265" cy="3130318"/>
            <wp:effectExtent l="0" t="0" r="635" b="13335"/>
            <wp:docPr id="1952519259" name="Chart 1">
              <a:extLst xmlns:a="http://schemas.openxmlformats.org/drawingml/2006/main">
                <a:ext uri="{FF2B5EF4-FFF2-40B4-BE49-F238E27FC236}">
                  <a16:creationId xmlns:a16="http://schemas.microsoft.com/office/drawing/2014/main" id="{39EFC96C-C3AC-7BBF-F886-2AD5449E27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bookmarkStart w:id="0" w:name="_Toc180419063"/>
    </w:p>
    <w:bookmarkEnd w:id="0"/>
    <w:p w14:paraId="19E4DDD6" w14:textId="3C93D3EA" w:rsidR="00107E6E" w:rsidRPr="00AC5BCF" w:rsidRDefault="00107E6E" w:rsidP="00C370F8">
      <w:pPr>
        <w:spacing w:line="480" w:lineRule="auto"/>
        <w:rPr>
          <w:rFonts w:ascii="Arial" w:hAnsi="Arial" w:cs="Arial"/>
          <w:b/>
          <w:bCs/>
          <w:sz w:val="20"/>
          <w:szCs w:val="20"/>
        </w:rPr>
      </w:pPr>
      <w:r w:rsidRPr="00AC5BCF">
        <w:rPr>
          <w:rFonts w:ascii="Arial" w:hAnsi="Arial" w:cs="Arial"/>
          <w:b/>
          <w:bCs/>
          <w:sz w:val="20"/>
          <w:szCs w:val="20"/>
        </w:rPr>
        <w:t>Figure 2: Soil permeability for sandy and loamy soil</w:t>
      </w:r>
    </w:p>
    <w:p w14:paraId="52BAAF27" w14:textId="77777777" w:rsidR="000A1C5B" w:rsidRDefault="000A1C5B" w:rsidP="00C370F8">
      <w:pPr>
        <w:spacing w:line="480" w:lineRule="auto"/>
        <w:rPr>
          <w:rFonts w:ascii="Times New Roman" w:hAnsi="Times New Roman" w:cs="Times New Roman"/>
          <w:sz w:val="24"/>
          <w:szCs w:val="24"/>
        </w:rPr>
      </w:pPr>
    </w:p>
    <w:p w14:paraId="3E30418F" w14:textId="77777777" w:rsidR="00592F41" w:rsidRPr="006D43A8" w:rsidRDefault="00592F41" w:rsidP="00C370F8">
      <w:pPr>
        <w:spacing w:line="480" w:lineRule="auto"/>
        <w:rPr>
          <w:rFonts w:ascii="Times New Roman" w:hAnsi="Times New Roman" w:cs="Times New Roman"/>
          <w:b/>
          <w:bCs/>
          <w:sz w:val="24"/>
          <w:szCs w:val="24"/>
        </w:rPr>
        <w:sectPr w:rsidR="00592F41" w:rsidRPr="006D43A8" w:rsidSect="005D12E9">
          <w:type w:val="continuous"/>
          <w:pgSz w:w="12240" w:h="15840"/>
          <w:pgMar w:top="1440" w:right="1440" w:bottom="1440" w:left="1440" w:header="720" w:footer="720" w:gutter="0"/>
          <w:cols w:space="720"/>
          <w:docGrid w:linePitch="360"/>
        </w:sectPr>
      </w:pPr>
    </w:p>
    <w:p w14:paraId="7FD30EE6" w14:textId="7FE2C412" w:rsidR="00D01C5D" w:rsidRPr="00AC5BCF" w:rsidRDefault="00D01C5D" w:rsidP="00C370F8">
      <w:pPr>
        <w:spacing w:line="480" w:lineRule="auto"/>
        <w:rPr>
          <w:rFonts w:ascii="Arial" w:hAnsi="Arial" w:cs="Arial"/>
          <w:b/>
          <w:bCs/>
        </w:rPr>
      </w:pPr>
      <w:r w:rsidRPr="00AC5BCF">
        <w:rPr>
          <w:rFonts w:ascii="Arial" w:hAnsi="Arial" w:cs="Arial"/>
          <w:b/>
          <w:bCs/>
        </w:rPr>
        <w:t xml:space="preserve">3.2 </w:t>
      </w:r>
      <w:r w:rsidR="00652546" w:rsidRPr="00AC5BCF">
        <w:rPr>
          <w:rFonts w:ascii="Arial" w:hAnsi="Arial" w:cs="Arial"/>
          <w:b/>
          <w:bCs/>
        </w:rPr>
        <w:t>TPH concentration and leaching time</w:t>
      </w:r>
    </w:p>
    <w:p w14:paraId="1E919B82" w14:textId="0815C966" w:rsidR="00357024" w:rsidRPr="00AC5BCF" w:rsidRDefault="00652546" w:rsidP="00C370F8">
      <w:pPr>
        <w:spacing w:line="480" w:lineRule="auto"/>
        <w:jc w:val="both"/>
        <w:rPr>
          <w:rFonts w:ascii="Arial" w:hAnsi="Arial" w:cs="Arial"/>
          <w:sz w:val="20"/>
          <w:szCs w:val="20"/>
        </w:rPr>
      </w:pPr>
      <w:r w:rsidRPr="00AC5BCF">
        <w:rPr>
          <w:rFonts w:ascii="Arial" w:hAnsi="Arial" w:cs="Arial"/>
          <w:sz w:val="20"/>
          <w:szCs w:val="20"/>
        </w:rPr>
        <w:t xml:space="preserve">Figure </w:t>
      </w:r>
      <w:r w:rsidR="00AC5BCF">
        <w:rPr>
          <w:rFonts w:ascii="Arial" w:hAnsi="Arial" w:cs="Arial"/>
          <w:sz w:val="20"/>
          <w:szCs w:val="20"/>
        </w:rPr>
        <w:t>3</w:t>
      </w:r>
      <w:r w:rsidRPr="00AC5BCF">
        <w:rPr>
          <w:rFonts w:ascii="Arial" w:hAnsi="Arial" w:cs="Arial"/>
          <w:sz w:val="20"/>
          <w:szCs w:val="20"/>
        </w:rPr>
        <w:t xml:space="preserve"> presents the TPH concentration at the surface, TPH concentration at depth and the leaching time of crude through each soil column, for sandy soil. For leaching time, the longest duration was 3600 seconds through a depth of 55cm, and the shortest duration was 37 seconds through a depth of 10cm. Regarding concentration at the surface, the highest value of 42,125mg/l was observed on the column with 10cm soil depth, while the lowest value (1,997mg/l) was observed for the soil column with 55cm soil depth. For </w:t>
      </w:r>
      <w:r w:rsidRPr="00AC5BCF">
        <w:rPr>
          <w:rFonts w:ascii="Arial" w:hAnsi="Arial" w:cs="Arial"/>
          <w:sz w:val="20"/>
          <w:szCs w:val="20"/>
        </w:rPr>
        <w:lastRenderedPageBreak/>
        <w:t>concentration at depth, the highest value (28,913mg/l) occurred on the soil column with 10cm soil depth and the lowest value (103mg/l) on the column with 55cm soil depth.</w:t>
      </w:r>
      <w:r w:rsidR="00592A18" w:rsidRPr="00AC5BCF">
        <w:rPr>
          <w:rFonts w:ascii="Arial" w:hAnsi="Arial" w:cs="Arial"/>
          <w:sz w:val="20"/>
          <w:szCs w:val="20"/>
        </w:rPr>
        <w:t xml:space="preserve"> </w:t>
      </w:r>
    </w:p>
    <w:p w14:paraId="553794A6" w14:textId="7F4D423A" w:rsidR="00357024" w:rsidRPr="00AC5BCF" w:rsidRDefault="00357024" w:rsidP="00C370F8">
      <w:pPr>
        <w:spacing w:line="480" w:lineRule="auto"/>
        <w:jc w:val="both"/>
        <w:rPr>
          <w:rFonts w:ascii="Arial" w:hAnsi="Arial" w:cs="Arial"/>
          <w:sz w:val="20"/>
          <w:szCs w:val="20"/>
        </w:rPr>
      </w:pPr>
      <w:r w:rsidRPr="00AC5BCF">
        <w:rPr>
          <w:rFonts w:ascii="Arial" w:hAnsi="Arial" w:cs="Arial"/>
          <w:sz w:val="20"/>
          <w:szCs w:val="20"/>
        </w:rPr>
        <w:t xml:space="preserve">This result demonstrated a clear trend where the TPH concentration at the surface and depth decreased with increasing soil depth and leaching time. The leaching time followed an inverse pattern. The results suggested that sandy soil, with its larger particle size and higher permeability, allows for rapid movement of contaminants at shallower depths but slows significantly as depth increases due to compaction and reduced pore spaces. The rapid decrease in TPH concentration with increasing depth and leaching time in sandy soil aligns with the findings of </w:t>
      </w:r>
      <w:sdt>
        <w:sdtPr>
          <w:rPr>
            <w:rFonts w:ascii="Arial" w:hAnsi="Arial" w:cs="Arial"/>
            <w:color w:val="000000"/>
            <w:sz w:val="20"/>
            <w:szCs w:val="20"/>
          </w:rPr>
          <w:tag w:val="MENDELEY_CITATION_v3_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"/>
          <w:id w:val="-1161004392"/>
          <w:placeholder>
            <w:docPart w:val="CD01D30EF8A54D47B2AEB300AD5D7792"/>
          </w:placeholder>
        </w:sdtPr>
        <w:sdtEndPr/>
        <w:sdtContent>
          <w:proofErr w:type="spellStart"/>
          <w:r w:rsidR="002F7DEA" w:rsidRPr="00AC5BCF">
            <w:rPr>
              <w:rFonts w:ascii="Arial" w:hAnsi="Arial" w:cs="Arial"/>
              <w:color w:val="000000"/>
              <w:sz w:val="20"/>
              <w:szCs w:val="20"/>
            </w:rPr>
            <w:t>Ugwoha</w:t>
          </w:r>
          <w:proofErr w:type="spellEnd"/>
          <w:r w:rsidR="002F7DEA" w:rsidRPr="00AC5BCF">
            <w:rPr>
              <w:rFonts w:ascii="Arial" w:hAnsi="Arial" w:cs="Arial"/>
              <w:color w:val="000000"/>
              <w:sz w:val="20"/>
              <w:szCs w:val="20"/>
            </w:rPr>
            <w:t xml:space="preserve"> et al. (2019)</w:t>
          </w:r>
        </w:sdtContent>
      </w:sdt>
      <w:r w:rsidRPr="00AC5BCF">
        <w:rPr>
          <w:rFonts w:ascii="Arial" w:hAnsi="Arial" w:cs="Arial"/>
          <w:sz w:val="20"/>
          <w:szCs w:val="20"/>
        </w:rPr>
        <w:t>, who reported that contaminants in sandy soils tend to move quickly through the upper layers but slow down significantly at greater depths, indicating that more groundwater contamination would occur with a thin unsaturated zone than with a thick unsaturated zone.</w:t>
      </w:r>
    </w:p>
    <w:p w14:paraId="5C4FE2EA" w14:textId="77777777" w:rsidR="000A1C5B" w:rsidRPr="00AC5BCF" w:rsidRDefault="000A1C5B" w:rsidP="00C370F8">
      <w:pPr>
        <w:tabs>
          <w:tab w:val="left" w:pos="5335"/>
        </w:tabs>
        <w:spacing w:line="480" w:lineRule="auto"/>
        <w:rPr>
          <w:rFonts w:ascii="Arial" w:hAnsi="Arial" w:cs="Arial"/>
          <w:b/>
          <w:bCs/>
          <w:sz w:val="20"/>
          <w:szCs w:val="20"/>
        </w:rPr>
        <w:sectPr w:rsidR="000A1C5B" w:rsidRPr="00AC5BCF" w:rsidSect="005D12E9">
          <w:type w:val="continuous"/>
          <w:pgSz w:w="12240" w:h="15840"/>
          <w:pgMar w:top="1440" w:right="1440" w:bottom="1440" w:left="1440" w:header="720" w:footer="720" w:gutter="0"/>
          <w:cols w:space="720"/>
          <w:docGrid w:linePitch="360"/>
        </w:sectPr>
      </w:pPr>
    </w:p>
    <w:p w14:paraId="62C62A2A" w14:textId="77777777" w:rsidR="00357024" w:rsidRPr="006D43A8" w:rsidRDefault="00357024" w:rsidP="00C370F8">
      <w:pPr>
        <w:tabs>
          <w:tab w:val="left" w:pos="5335"/>
        </w:tabs>
        <w:spacing w:line="480" w:lineRule="auto"/>
        <w:rPr>
          <w:rFonts w:ascii="Times New Roman" w:hAnsi="Times New Roman" w:cs="Times New Roman"/>
          <w:b/>
          <w:bCs/>
          <w:sz w:val="24"/>
          <w:szCs w:val="24"/>
        </w:rPr>
      </w:pPr>
      <w:r w:rsidRPr="006D43A8">
        <w:rPr>
          <w:rFonts w:ascii="Times New Roman" w:hAnsi="Times New Roman" w:cs="Times New Roman"/>
          <w:noProof/>
          <w:sz w:val="24"/>
          <w:szCs w:val="24"/>
          <w:lang w:eastAsia="en-GB"/>
        </w:rPr>
        <w:drawing>
          <wp:inline distT="0" distB="0" distL="0" distR="0" wp14:anchorId="7E65DED7" wp14:editId="75FB9948">
            <wp:extent cx="5908040" cy="2576339"/>
            <wp:effectExtent l="0" t="0" r="16510" b="14605"/>
            <wp:docPr id="97901852"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988D25D" w14:textId="4F7231F3" w:rsidR="00652546" w:rsidRPr="00AC5BCF" w:rsidRDefault="00357024" w:rsidP="00C370F8">
      <w:pPr>
        <w:spacing w:line="480" w:lineRule="auto"/>
        <w:jc w:val="both"/>
        <w:rPr>
          <w:rFonts w:ascii="Arial" w:hAnsi="Arial" w:cs="Arial"/>
          <w:b/>
          <w:bCs/>
          <w:sz w:val="20"/>
          <w:szCs w:val="20"/>
        </w:rPr>
      </w:pPr>
      <w:bookmarkStart w:id="1" w:name="_Toc180419064"/>
      <w:r w:rsidRPr="00AC5BCF">
        <w:rPr>
          <w:rFonts w:ascii="Arial" w:hAnsi="Arial" w:cs="Arial"/>
          <w:b/>
          <w:bCs/>
          <w:sz w:val="20"/>
          <w:szCs w:val="20"/>
        </w:rPr>
        <w:t xml:space="preserve">Figure </w:t>
      </w:r>
      <w:r w:rsidR="00AC5BCF">
        <w:rPr>
          <w:rFonts w:ascii="Arial" w:hAnsi="Arial" w:cs="Arial"/>
          <w:b/>
          <w:bCs/>
          <w:sz w:val="20"/>
          <w:szCs w:val="20"/>
        </w:rPr>
        <w:t>3</w:t>
      </w:r>
      <w:r w:rsidRPr="00AC5BCF">
        <w:rPr>
          <w:rFonts w:ascii="Arial" w:hAnsi="Arial" w:cs="Arial"/>
          <w:b/>
          <w:bCs/>
          <w:sz w:val="20"/>
          <w:szCs w:val="20"/>
        </w:rPr>
        <w:t>: TPH concentrations and leaching time for sandy soil</w:t>
      </w:r>
      <w:bookmarkEnd w:id="1"/>
    </w:p>
    <w:p w14:paraId="22418790" w14:textId="77777777" w:rsidR="000A1C5B" w:rsidRPr="006D43A8" w:rsidRDefault="000A1C5B" w:rsidP="00C370F8">
      <w:pPr>
        <w:spacing w:line="480" w:lineRule="auto"/>
        <w:jc w:val="both"/>
        <w:rPr>
          <w:rFonts w:ascii="Times New Roman" w:hAnsi="Times New Roman" w:cs="Times New Roman"/>
          <w:sz w:val="24"/>
          <w:szCs w:val="24"/>
        </w:rPr>
        <w:sectPr w:rsidR="000A1C5B" w:rsidRPr="006D43A8" w:rsidSect="005D12E9">
          <w:type w:val="continuous"/>
          <w:pgSz w:w="12240" w:h="15840"/>
          <w:pgMar w:top="1440" w:right="1440" w:bottom="1440" w:left="1440" w:header="720" w:footer="720" w:gutter="0"/>
          <w:cols w:space="720"/>
          <w:docGrid w:linePitch="360"/>
        </w:sectPr>
      </w:pPr>
    </w:p>
    <w:p w14:paraId="78D4518F" w14:textId="352DE5FF" w:rsidR="00EB7779" w:rsidRPr="00E46AC1" w:rsidRDefault="006F472C" w:rsidP="00C370F8">
      <w:pPr>
        <w:spacing w:line="480" w:lineRule="auto"/>
        <w:jc w:val="both"/>
        <w:rPr>
          <w:rFonts w:ascii="Arial" w:hAnsi="Arial" w:cs="Arial"/>
          <w:sz w:val="20"/>
          <w:szCs w:val="20"/>
        </w:rPr>
      </w:pPr>
      <w:r w:rsidRPr="00E46AC1">
        <w:rPr>
          <w:rFonts w:ascii="Arial" w:hAnsi="Arial" w:cs="Arial"/>
          <w:sz w:val="20"/>
          <w:szCs w:val="20"/>
        </w:rPr>
        <w:t xml:space="preserve">Considering the loamy soil, Figure </w:t>
      </w:r>
      <w:r w:rsidR="00E46AC1" w:rsidRPr="00E46AC1">
        <w:rPr>
          <w:rFonts w:ascii="Arial" w:hAnsi="Arial" w:cs="Arial"/>
          <w:sz w:val="20"/>
          <w:szCs w:val="20"/>
        </w:rPr>
        <w:t>4</w:t>
      </w:r>
      <w:r w:rsidRPr="00E46AC1">
        <w:rPr>
          <w:rFonts w:ascii="Arial" w:hAnsi="Arial" w:cs="Arial"/>
          <w:sz w:val="20"/>
          <w:szCs w:val="20"/>
        </w:rPr>
        <w:t xml:space="preserve"> shows the leaching time, concentration at the surface and concentration at depth. For leaching time, the longest duration was 1500 seconds through the depth of 55cm</w:t>
      </w:r>
      <w:r w:rsidR="007969CD">
        <w:rPr>
          <w:rFonts w:ascii="Arial" w:hAnsi="Arial" w:cs="Arial"/>
          <w:sz w:val="20"/>
          <w:szCs w:val="20"/>
        </w:rPr>
        <w:t>,</w:t>
      </w:r>
      <w:r w:rsidRPr="00E46AC1">
        <w:rPr>
          <w:rFonts w:ascii="Arial" w:hAnsi="Arial" w:cs="Arial"/>
          <w:sz w:val="20"/>
          <w:szCs w:val="20"/>
        </w:rPr>
        <w:t xml:space="preserve"> and the shortest duration was 33 seconds through the depth of 10cm. For concentration at the surface, the highest value of 35,662 mg/l was observed on the column with 10cm soil depth, while the lowest value was 3,018mg/l and observed for the column of 55cm depth. Concentration at depth ranged </w:t>
      </w:r>
      <w:r w:rsidRPr="00E46AC1">
        <w:rPr>
          <w:rFonts w:ascii="Arial" w:hAnsi="Arial" w:cs="Arial"/>
          <w:sz w:val="20"/>
          <w:szCs w:val="20"/>
        </w:rPr>
        <w:lastRenderedPageBreak/>
        <w:t>from 309mg/l (lowest) to 11,085mg/l (highest), with the highest and lowest values obtained for the soil column with 10cm soil depth and 55cm soil depth</w:t>
      </w:r>
      <w:r w:rsidR="007969CD">
        <w:rPr>
          <w:rFonts w:ascii="Arial" w:hAnsi="Arial" w:cs="Arial"/>
          <w:sz w:val="20"/>
          <w:szCs w:val="20"/>
        </w:rPr>
        <w:t>,</w:t>
      </w:r>
      <w:r w:rsidRPr="00E46AC1">
        <w:rPr>
          <w:rFonts w:ascii="Arial" w:hAnsi="Arial" w:cs="Arial"/>
          <w:sz w:val="20"/>
          <w:szCs w:val="20"/>
        </w:rPr>
        <w:t xml:space="preserve"> respectively.</w:t>
      </w:r>
      <w:r w:rsidR="003D1C28" w:rsidRPr="00E46AC1">
        <w:rPr>
          <w:rFonts w:ascii="Arial" w:hAnsi="Arial" w:cs="Arial"/>
          <w:sz w:val="20"/>
          <w:szCs w:val="20"/>
        </w:rPr>
        <w:t xml:space="preserve"> </w:t>
      </w:r>
      <w:r w:rsidR="00EB7779" w:rsidRPr="00E46AC1">
        <w:rPr>
          <w:rFonts w:ascii="Arial" w:hAnsi="Arial" w:cs="Arial"/>
          <w:sz w:val="20"/>
          <w:szCs w:val="20"/>
        </w:rPr>
        <w:t>Like sand, t</w:t>
      </w:r>
      <w:r w:rsidR="003D1C28" w:rsidRPr="00E46AC1">
        <w:rPr>
          <w:rFonts w:ascii="Arial" w:hAnsi="Arial" w:cs="Arial"/>
          <w:sz w:val="20"/>
          <w:szCs w:val="20"/>
        </w:rPr>
        <w:t>he concentration of TPH at the surface and depth decreased with increasing soil depth and leaching time, while the leaching time increase</w:t>
      </w:r>
      <w:r w:rsidR="00EB7779" w:rsidRPr="00E46AC1">
        <w:rPr>
          <w:rFonts w:ascii="Arial" w:hAnsi="Arial" w:cs="Arial"/>
          <w:sz w:val="20"/>
          <w:szCs w:val="20"/>
        </w:rPr>
        <w:t>d</w:t>
      </w:r>
      <w:r w:rsidR="003D1C28" w:rsidRPr="00E46AC1">
        <w:rPr>
          <w:rFonts w:ascii="Arial" w:hAnsi="Arial" w:cs="Arial"/>
          <w:sz w:val="20"/>
          <w:szCs w:val="20"/>
        </w:rPr>
        <w:t xml:space="preserve"> with increasing soil depth. Loamy soil, with its balanced mixture of sand, silt, and clay, demonstrated a consistent pattern</w:t>
      </w:r>
      <w:r w:rsidR="007969CD">
        <w:rPr>
          <w:rFonts w:ascii="Arial" w:hAnsi="Arial" w:cs="Arial"/>
          <w:sz w:val="20"/>
          <w:szCs w:val="20"/>
        </w:rPr>
        <w:t>,</w:t>
      </w:r>
      <w:r w:rsidR="003D1C28" w:rsidRPr="00E46AC1">
        <w:rPr>
          <w:rFonts w:ascii="Arial" w:hAnsi="Arial" w:cs="Arial"/>
          <w:sz w:val="20"/>
          <w:szCs w:val="20"/>
        </w:rPr>
        <w:t xml:space="preserve"> but of slower contaminant movement </w:t>
      </w:r>
      <w:r w:rsidR="00EB7779" w:rsidRPr="00E46AC1">
        <w:rPr>
          <w:rFonts w:ascii="Arial" w:hAnsi="Arial" w:cs="Arial"/>
          <w:sz w:val="20"/>
          <w:szCs w:val="20"/>
        </w:rPr>
        <w:t xml:space="preserve">when </w:t>
      </w:r>
      <w:r w:rsidR="003D1C28" w:rsidRPr="00E46AC1">
        <w:rPr>
          <w:rFonts w:ascii="Arial" w:hAnsi="Arial" w:cs="Arial"/>
          <w:sz w:val="20"/>
          <w:szCs w:val="20"/>
        </w:rPr>
        <w:t xml:space="preserve">compared to sandy soil, reflecting its lower permeability and higher water retention capabilities. The observed trends are consistent with the findings of several studies. For instance, </w:t>
      </w:r>
      <w:sdt>
        <w:sdtPr>
          <w:rPr>
            <w:rFonts w:ascii="Arial" w:hAnsi="Arial" w:cs="Arial"/>
            <w:color w:val="000000"/>
            <w:sz w:val="20"/>
            <w:szCs w:val="20"/>
          </w:rPr>
          <w:tag w:val="MENDELEY_CITATION_v3_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"/>
          <w:id w:val="-1060783277"/>
          <w:placeholder>
            <w:docPart w:val="8C34584D5CAF48439C819D1BA3B8AB79"/>
          </w:placeholder>
        </w:sdtPr>
        <w:sdtEndPr/>
        <w:sdtContent>
          <w:r w:rsidR="002F7DEA" w:rsidRPr="00E46AC1">
            <w:rPr>
              <w:rFonts w:ascii="Arial" w:hAnsi="Arial" w:cs="Arial"/>
              <w:color w:val="000000"/>
              <w:sz w:val="20"/>
              <w:szCs w:val="20"/>
            </w:rPr>
            <w:t>Ding et al. (2023)</w:t>
          </w:r>
        </w:sdtContent>
      </w:sdt>
      <w:r w:rsidR="003D1C28" w:rsidRPr="00E46AC1">
        <w:rPr>
          <w:rFonts w:ascii="Arial" w:hAnsi="Arial" w:cs="Arial"/>
          <w:color w:val="000000"/>
          <w:sz w:val="20"/>
          <w:szCs w:val="20"/>
        </w:rPr>
        <w:t xml:space="preserve"> </w:t>
      </w:r>
      <w:r w:rsidR="003D1C28" w:rsidRPr="00E46AC1">
        <w:rPr>
          <w:rFonts w:ascii="Arial" w:hAnsi="Arial" w:cs="Arial"/>
          <w:sz w:val="20"/>
          <w:szCs w:val="20"/>
        </w:rPr>
        <w:t xml:space="preserve">noted that soil texture significantly influences the movement of contaminants, with coarser soils like sand facilitating faster movement due to larger pore spaces. Similarly, </w:t>
      </w:r>
      <w:sdt>
        <w:sdtPr>
          <w:rPr>
            <w:rFonts w:ascii="Arial" w:hAnsi="Arial" w:cs="Arial"/>
            <w:color w:val="000000"/>
            <w:sz w:val="20"/>
            <w:szCs w:val="20"/>
          </w:rPr>
          <w:tag w:val="MENDELEY_CITATION_v3_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"/>
          <w:id w:val="-797827533"/>
          <w:placeholder>
            <w:docPart w:val="0A7A7543C4BD4B69963919CB10C5EC37"/>
          </w:placeholder>
        </w:sdtPr>
        <w:sdtEndPr/>
        <w:sdtContent>
          <w:r w:rsidR="002F7DEA" w:rsidRPr="00E46AC1">
            <w:rPr>
              <w:rFonts w:ascii="Arial" w:hAnsi="Arial" w:cs="Arial"/>
              <w:color w:val="000000"/>
              <w:sz w:val="20"/>
              <w:szCs w:val="20"/>
            </w:rPr>
            <w:t>Gleeson et al. (2011)</w:t>
          </w:r>
        </w:sdtContent>
      </w:sdt>
      <w:r w:rsidR="003D1C28" w:rsidRPr="00E46AC1">
        <w:rPr>
          <w:rFonts w:ascii="Arial" w:hAnsi="Arial" w:cs="Arial"/>
          <w:sz w:val="20"/>
          <w:szCs w:val="20"/>
        </w:rPr>
        <w:t xml:space="preserve"> highlighted that loamy soils with their mixed particle sizes exhibit slower contaminant movement due to their higher water retention and lower permeability.</w:t>
      </w:r>
      <w:r w:rsidR="00EB7779" w:rsidRPr="00E46AC1">
        <w:rPr>
          <w:rFonts w:ascii="Arial" w:hAnsi="Arial" w:cs="Arial"/>
          <w:sz w:val="20"/>
          <w:szCs w:val="20"/>
        </w:rPr>
        <w:t xml:space="preserve"> </w:t>
      </w:r>
    </w:p>
    <w:p w14:paraId="3FE6F164" w14:textId="059EE2A2" w:rsidR="003D1C28" w:rsidRPr="00E46AC1" w:rsidRDefault="00EB7779" w:rsidP="00C370F8">
      <w:pPr>
        <w:spacing w:line="480" w:lineRule="auto"/>
        <w:jc w:val="both"/>
        <w:rPr>
          <w:rFonts w:ascii="Arial" w:hAnsi="Arial" w:cs="Arial"/>
          <w:sz w:val="20"/>
          <w:szCs w:val="20"/>
        </w:rPr>
      </w:pPr>
      <w:r w:rsidRPr="00E46AC1">
        <w:rPr>
          <w:rFonts w:ascii="Arial" w:hAnsi="Arial" w:cs="Arial"/>
          <w:sz w:val="20"/>
          <w:szCs w:val="20"/>
        </w:rPr>
        <w:t>T</w:t>
      </w:r>
      <w:r w:rsidR="003D1C28" w:rsidRPr="00E46AC1">
        <w:rPr>
          <w:rFonts w:ascii="Arial" w:hAnsi="Arial" w:cs="Arial"/>
          <w:sz w:val="20"/>
          <w:szCs w:val="20"/>
        </w:rPr>
        <w:t xml:space="preserve">he slower movement of TPH in loamy soils </w:t>
      </w:r>
      <w:r w:rsidRPr="00E46AC1">
        <w:rPr>
          <w:rFonts w:ascii="Arial" w:hAnsi="Arial" w:cs="Arial"/>
          <w:sz w:val="20"/>
          <w:szCs w:val="20"/>
        </w:rPr>
        <w:t>implies</w:t>
      </w:r>
      <w:r w:rsidR="003D1C28" w:rsidRPr="00E46AC1">
        <w:rPr>
          <w:rFonts w:ascii="Arial" w:hAnsi="Arial" w:cs="Arial"/>
          <w:sz w:val="20"/>
          <w:szCs w:val="20"/>
        </w:rPr>
        <w:t xml:space="preserve"> that contaminants may remain closer to the surface for longer periods, potentially affecting surface water but with less immediate risk to deeper groundwater resources. The slower contaminant movement in loamy soils also means that remediation efforts may need to focus more on surface treatments</w:t>
      </w:r>
      <w:r w:rsidRPr="00E46AC1">
        <w:rPr>
          <w:rFonts w:ascii="Arial" w:hAnsi="Arial" w:cs="Arial"/>
          <w:sz w:val="20"/>
          <w:szCs w:val="20"/>
        </w:rPr>
        <w:t>.</w:t>
      </w:r>
    </w:p>
    <w:p w14:paraId="46FA73D5" w14:textId="77777777" w:rsidR="000A1C5B" w:rsidRPr="00E46AC1" w:rsidRDefault="000A1C5B" w:rsidP="00C370F8">
      <w:pPr>
        <w:spacing w:line="480" w:lineRule="auto"/>
        <w:jc w:val="both"/>
        <w:rPr>
          <w:rFonts w:ascii="Arial" w:hAnsi="Arial" w:cs="Arial"/>
          <w:b/>
          <w:bCs/>
          <w:sz w:val="20"/>
          <w:szCs w:val="20"/>
        </w:rPr>
        <w:sectPr w:rsidR="000A1C5B" w:rsidRPr="00E46AC1" w:rsidSect="005D12E9">
          <w:type w:val="continuous"/>
          <w:pgSz w:w="12240" w:h="15840"/>
          <w:pgMar w:top="1440" w:right="1440" w:bottom="1440" w:left="1440" w:header="720" w:footer="720" w:gutter="0"/>
          <w:cols w:space="720"/>
          <w:docGrid w:linePitch="360"/>
        </w:sectPr>
      </w:pPr>
    </w:p>
    <w:p w14:paraId="0A902FEA" w14:textId="77777777" w:rsidR="00EB7779" w:rsidRPr="006D43A8" w:rsidRDefault="00EB7779" w:rsidP="00C370F8">
      <w:pPr>
        <w:spacing w:line="480" w:lineRule="auto"/>
        <w:jc w:val="both"/>
        <w:rPr>
          <w:rFonts w:ascii="Times New Roman" w:hAnsi="Times New Roman" w:cs="Times New Roman"/>
          <w:b/>
          <w:bCs/>
          <w:sz w:val="24"/>
          <w:szCs w:val="24"/>
        </w:rPr>
      </w:pPr>
      <w:r w:rsidRPr="006D43A8">
        <w:rPr>
          <w:rFonts w:ascii="Times New Roman" w:hAnsi="Times New Roman" w:cs="Times New Roman"/>
          <w:noProof/>
          <w:sz w:val="24"/>
          <w:szCs w:val="24"/>
          <w:lang w:eastAsia="en-GB"/>
        </w:rPr>
        <w:drawing>
          <wp:inline distT="0" distB="0" distL="0" distR="0" wp14:anchorId="61CE4DE7" wp14:editId="3A1A9881">
            <wp:extent cx="5852795" cy="2769898"/>
            <wp:effectExtent l="0" t="0" r="14605" b="11430"/>
            <wp:docPr id="1086142469" name="Chart 1">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ED2D7E8" w14:textId="72744335" w:rsidR="00EB7779" w:rsidRPr="00E46AC1" w:rsidRDefault="00EB7779" w:rsidP="00C370F8">
      <w:pPr>
        <w:spacing w:line="480" w:lineRule="auto"/>
        <w:rPr>
          <w:rFonts w:ascii="Arial" w:hAnsi="Arial" w:cs="Arial"/>
          <w:b/>
          <w:bCs/>
          <w:sz w:val="20"/>
          <w:szCs w:val="20"/>
        </w:rPr>
      </w:pPr>
      <w:r w:rsidRPr="00E46AC1">
        <w:rPr>
          <w:rFonts w:ascii="Arial" w:hAnsi="Arial" w:cs="Arial"/>
          <w:b/>
          <w:bCs/>
          <w:sz w:val="20"/>
          <w:szCs w:val="20"/>
        </w:rPr>
        <w:t xml:space="preserve">Figure </w:t>
      </w:r>
      <w:r w:rsidR="00E46AC1">
        <w:rPr>
          <w:rFonts w:ascii="Arial" w:hAnsi="Arial" w:cs="Arial"/>
          <w:b/>
          <w:bCs/>
          <w:sz w:val="20"/>
          <w:szCs w:val="20"/>
        </w:rPr>
        <w:t>4</w:t>
      </w:r>
      <w:r w:rsidRPr="00E46AC1">
        <w:rPr>
          <w:rFonts w:ascii="Arial" w:hAnsi="Arial" w:cs="Arial"/>
          <w:b/>
          <w:bCs/>
          <w:sz w:val="20"/>
          <w:szCs w:val="20"/>
        </w:rPr>
        <w:t>: TPH concentration and leaching time for loamy soil</w:t>
      </w:r>
    </w:p>
    <w:p w14:paraId="588E5269" w14:textId="77777777" w:rsidR="000A1C5B" w:rsidRDefault="000A1C5B" w:rsidP="00C370F8">
      <w:pPr>
        <w:spacing w:line="480" w:lineRule="auto"/>
        <w:rPr>
          <w:rFonts w:ascii="Times New Roman" w:hAnsi="Times New Roman" w:cs="Times New Roman"/>
          <w:sz w:val="24"/>
          <w:szCs w:val="24"/>
        </w:rPr>
      </w:pPr>
      <w:bookmarkStart w:id="2" w:name="_Toc180418978"/>
    </w:p>
    <w:p w14:paraId="57EF4166" w14:textId="77777777" w:rsidR="00E46AC1" w:rsidRPr="006D43A8" w:rsidRDefault="00E46AC1" w:rsidP="00C370F8">
      <w:pPr>
        <w:spacing w:line="480" w:lineRule="auto"/>
        <w:rPr>
          <w:rFonts w:ascii="Times New Roman" w:hAnsi="Times New Roman" w:cs="Times New Roman"/>
          <w:b/>
          <w:bCs/>
          <w:sz w:val="24"/>
          <w:szCs w:val="24"/>
        </w:rPr>
        <w:sectPr w:rsidR="00E46AC1" w:rsidRPr="006D43A8" w:rsidSect="005D12E9">
          <w:type w:val="continuous"/>
          <w:pgSz w:w="12240" w:h="15840"/>
          <w:pgMar w:top="1440" w:right="1440" w:bottom="1440" w:left="1440" w:header="720" w:footer="720" w:gutter="0"/>
          <w:cols w:space="720"/>
          <w:docGrid w:linePitch="360"/>
        </w:sectPr>
      </w:pPr>
    </w:p>
    <w:p w14:paraId="2BE7582F" w14:textId="625304B4" w:rsidR="00B76625" w:rsidRPr="00E46AC1" w:rsidRDefault="00B76625" w:rsidP="00C370F8">
      <w:pPr>
        <w:spacing w:line="480" w:lineRule="auto"/>
        <w:rPr>
          <w:rFonts w:ascii="Arial" w:hAnsi="Arial" w:cs="Arial"/>
          <w:b/>
          <w:bCs/>
        </w:rPr>
      </w:pPr>
      <w:r w:rsidRPr="00E46AC1">
        <w:rPr>
          <w:rFonts w:ascii="Arial" w:hAnsi="Arial" w:cs="Arial"/>
          <w:b/>
          <w:bCs/>
        </w:rPr>
        <w:lastRenderedPageBreak/>
        <w:t>3.3 TPH concentration versus soil depth, leaching time and permeability</w:t>
      </w:r>
      <w:bookmarkEnd w:id="2"/>
    </w:p>
    <w:p w14:paraId="760F6106" w14:textId="77777777" w:rsidR="00A043D3" w:rsidRPr="00E46AC1" w:rsidRDefault="00A043D3" w:rsidP="00C370F8">
      <w:pPr>
        <w:spacing w:before="240" w:line="480" w:lineRule="auto"/>
        <w:jc w:val="both"/>
        <w:rPr>
          <w:rFonts w:ascii="Arial" w:hAnsi="Arial" w:cs="Arial"/>
          <w:sz w:val="20"/>
          <w:szCs w:val="20"/>
        </w:rPr>
      </w:pPr>
      <w:r w:rsidRPr="00E46AC1">
        <w:rPr>
          <w:rFonts w:ascii="Arial" w:hAnsi="Arial" w:cs="Arial"/>
          <w:sz w:val="20"/>
          <w:szCs w:val="20"/>
        </w:rPr>
        <w:t>Table 1 and Table 2 presented the correlation coefficients between influencing variables: soil depth (D), leaching time (t), permeability (k), surface concentration (C</w:t>
      </w:r>
      <w:r w:rsidRPr="00E46AC1">
        <w:rPr>
          <w:rFonts w:ascii="Arial" w:hAnsi="Arial" w:cs="Arial"/>
          <w:sz w:val="20"/>
          <w:szCs w:val="20"/>
          <w:vertAlign w:val="subscript"/>
        </w:rPr>
        <w:t>1</w:t>
      </w:r>
      <w:r w:rsidRPr="00E46AC1">
        <w:rPr>
          <w:rFonts w:ascii="Arial" w:hAnsi="Arial" w:cs="Arial"/>
          <w:sz w:val="20"/>
          <w:szCs w:val="20"/>
        </w:rPr>
        <w:t>) and depth concentration (C</w:t>
      </w:r>
      <w:r w:rsidRPr="00E46AC1">
        <w:rPr>
          <w:rFonts w:ascii="Arial" w:hAnsi="Arial" w:cs="Arial"/>
          <w:sz w:val="20"/>
          <w:szCs w:val="20"/>
          <w:vertAlign w:val="subscript"/>
        </w:rPr>
        <w:t>2</w:t>
      </w:r>
      <w:r w:rsidRPr="00E46AC1">
        <w:rPr>
          <w:rFonts w:ascii="Arial" w:hAnsi="Arial" w:cs="Arial"/>
          <w:sz w:val="20"/>
          <w:szCs w:val="20"/>
        </w:rPr>
        <w:t xml:space="preserve">), for sandy soil and loamy soil, revealing the relationships that affect the transport of contaminants in the unsaturated zone. </w:t>
      </w:r>
    </w:p>
    <w:p w14:paraId="470A1C6A" w14:textId="77777777" w:rsidR="00A043D3" w:rsidRPr="00E46AC1" w:rsidRDefault="00A043D3" w:rsidP="00C370F8">
      <w:pPr>
        <w:spacing w:before="240" w:line="480" w:lineRule="auto"/>
        <w:jc w:val="both"/>
        <w:rPr>
          <w:rFonts w:ascii="Arial" w:hAnsi="Arial" w:cs="Arial"/>
          <w:sz w:val="20"/>
          <w:szCs w:val="20"/>
        </w:rPr>
      </w:pPr>
      <w:r w:rsidRPr="00E46AC1">
        <w:rPr>
          <w:rFonts w:ascii="Arial" w:hAnsi="Arial" w:cs="Arial"/>
          <w:sz w:val="20"/>
          <w:szCs w:val="20"/>
        </w:rPr>
        <w:t>For sandy soil, soil depth (D) showed a positive correlation with leaching time (t), with a coefficient of 0.88. This indicates longer leaching time at greater depth. Soil depth had a negative correlation with permeability (k), surface concentration (C</w:t>
      </w:r>
      <w:r w:rsidRPr="00E46AC1">
        <w:rPr>
          <w:rFonts w:ascii="Arial" w:hAnsi="Arial" w:cs="Arial"/>
          <w:sz w:val="20"/>
          <w:szCs w:val="20"/>
          <w:vertAlign w:val="subscript"/>
        </w:rPr>
        <w:t>1</w:t>
      </w:r>
      <w:r w:rsidRPr="00E46AC1">
        <w:rPr>
          <w:rFonts w:ascii="Arial" w:hAnsi="Arial" w:cs="Arial"/>
          <w:sz w:val="20"/>
          <w:szCs w:val="20"/>
        </w:rPr>
        <w:t>), and depth concentration (C</w:t>
      </w:r>
      <w:r w:rsidRPr="00E46AC1">
        <w:rPr>
          <w:rFonts w:ascii="Arial" w:hAnsi="Arial" w:cs="Arial"/>
          <w:sz w:val="20"/>
          <w:szCs w:val="20"/>
          <w:vertAlign w:val="subscript"/>
        </w:rPr>
        <w:t>2</w:t>
      </w:r>
      <w:r w:rsidRPr="00E46AC1">
        <w:rPr>
          <w:rFonts w:ascii="Arial" w:hAnsi="Arial" w:cs="Arial"/>
          <w:sz w:val="20"/>
          <w:szCs w:val="20"/>
        </w:rPr>
        <w:t>), with coefficients of -0.67, -0.97 and -0.98, respectively. This implies that as depth increases, permeability and both concentrations at the surface and depth decrease. Leaching time (t) was negatively correlated with permeability (-0.67), surface concentration (-0.77), and depth concentration (-0.89), showing that longer leaching times are associated with lower permeability and lower concentrations. Permeability, however, was positively correlated with surface concentration (0.65) and depth concentration (0.69), suggesting that higher permeability is linked to higher contaminant concentrations. On the other hand, surface concentration (C</w:t>
      </w:r>
      <w:r w:rsidRPr="00E46AC1">
        <w:rPr>
          <w:rFonts w:ascii="Arial" w:hAnsi="Arial" w:cs="Arial"/>
          <w:sz w:val="20"/>
          <w:szCs w:val="20"/>
          <w:vertAlign w:val="subscript"/>
        </w:rPr>
        <w:t>1</w:t>
      </w:r>
      <w:r w:rsidRPr="00E46AC1">
        <w:rPr>
          <w:rFonts w:ascii="Arial" w:hAnsi="Arial" w:cs="Arial"/>
          <w:sz w:val="20"/>
          <w:szCs w:val="20"/>
        </w:rPr>
        <w:t xml:space="preserve">) had a very strong positive correlation with depth concentration (0.97), indicating that higher surface concentrations are associated with higher depth concentrations. </w:t>
      </w:r>
    </w:p>
    <w:p w14:paraId="69F0E473" w14:textId="77777777" w:rsidR="00A043D3" w:rsidRPr="00E46AC1" w:rsidRDefault="00A043D3" w:rsidP="00C370F8">
      <w:pPr>
        <w:spacing w:before="240" w:line="480" w:lineRule="auto"/>
        <w:jc w:val="both"/>
        <w:rPr>
          <w:rFonts w:ascii="Arial" w:hAnsi="Arial" w:cs="Arial"/>
          <w:sz w:val="20"/>
          <w:szCs w:val="20"/>
        </w:rPr>
      </w:pPr>
      <w:r w:rsidRPr="00E46AC1">
        <w:rPr>
          <w:rFonts w:ascii="Arial" w:hAnsi="Arial" w:cs="Arial"/>
          <w:sz w:val="20"/>
          <w:szCs w:val="20"/>
        </w:rPr>
        <w:t>For loamy soil, soil depth (D) showed a positive correlation with leaching time (t), with a coefficient of 0.74, indicating that greater depths are associated with longer leaching time. Soil depth (D) had negative correlations with permeability (k), surface concentration (C</w:t>
      </w:r>
      <w:r w:rsidRPr="00E46AC1">
        <w:rPr>
          <w:rFonts w:ascii="Arial" w:hAnsi="Arial" w:cs="Arial"/>
          <w:sz w:val="20"/>
          <w:szCs w:val="20"/>
          <w:vertAlign w:val="subscript"/>
        </w:rPr>
        <w:t>1</w:t>
      </w:r>
      <w:r w:rsidRPr="00E46AC1">
        <w:rPr>
          <w:rFonts w:ascii="Arial" w:hAnsi="Arial" w:cs="Arial"/>
          <w:sz w:val="20"/>
          <w:szCs w:val="20"/>
        </w:rPr>
        <w:t>), and depth concentration (C</w:t>
      </w:r>
      <w:r w:rsidRPr="00E46AC1">
        <w:rPr>
          <w:rFonts w:ascii="Arial" w:hAnsi="Arial" w:cs="Arial"/>
          <w:sz w:val="20"/>
          <w:szCs w:val="20"/>
          <w:vertAlign w:val="subscript"/>
        </w:rPr>
        <w:t>2</w:t>
      </w:r>
      <w:r w:rsidRPr="00E46AC1">
        <w:rPr>
          <w:rFonts w:ascii="Arial" w:hAnsi="Arial" w:cs="Arial"/>
          <w:sz w:val="20"/>
          <w:szCs w:val="20"/>
        </w:rPr>
        <w:t>), with coefficients of -0.27, -0.95 and -0.78, respectively, indicating that as depth increases, permeability and concentrations decrease. Leaching time (t) had a very weak positive correlation with permeability (0.05). It also showed negative correlations with surface concentration (-0.54) and depth concentration (-0.40), indicating that lower concentrations are associated with longer leaching times. Permeability (k) showed a moderate positive correlation with surface concentration (0.43) and a very weak positive correlation with depth concentration (0.08), indicating that higher permeability is linked to higher concentrations. Surface concentration (C</w:t>
      </w:r>
      <w:r w:rsidRPr="00E46AC1">
        <w:rPr>
          <w:rFonts w:ascii="Arial" w:hAnsi="Arial" w:cs="Arial"/>
          <w:sz w:val="20"/>
          <w:szCs w:val="20"/>
          <w:vertAlign w:val="subscript"/>
        </w:rPr>
        <w:t>1</w:t>
      </w:r>
      <w:r w:rsidRPr="00E46AC1">
        <w:rPr>
          <w:rFonts w:ascii="Arial" w:hAnsi="Arial" w:cs="Arial"/>
          <w:sz w:val="20"/>
          <w:szCs w:val="20"/>
        </w:rPr>
        <w:t xml:space="preserve">) showed a strong positive correlation with depth concentration (0.84), suggesting that higher surface concentrations are associated with higher depth concentrations. </w:t>
      </w:r>
    </w:p>
    <w:p w14:paraId="10ACBB40" w14:textId="742CAC88" w:rsidR="000A1C5B" w:rsidRPr="00E46AC1" w:rsidRDefault="00A043D3" w:rsidP="00C370F8">
      <w:pPr>
        <w:spacing w:before="240" w:line="480" w:lineRule="auto"/>
        <w:jc w:val="both"/>
        <w:rPr>
          <w:rFonts w:ascii="Arial" w:hAnsi="Arial" w:cs="Arial"/>
          <w:sz w:val="20"/>
          <w:szCs w:val="20"/>
        </w:rPr>
        <w:sectPr w:rsidR="000A1C5B" w:rsidRPr="00E46AC1" w:rsidSect="005D12E9">
          <w:type w:val="continuous"/>
          <w:pgSz w:w="12240" w:h="15840"/>
          <w:pgMar w:top="1440" w:right="1440" w:bottom="1440" w:left="1440" w:header="720" w:footer="720" w:gutter="0"/>
          <w:cols w:space="720"/>
          <w:docGrid w:linePitch="360"/>
        </w:sectPr>
      </w:pPr>
      <w:r w:rsidRPr="00E46AC1">
        <w:rPr>
          <w:rFonts w:ascii="Arial" w:hAnsi="Arial" w:cs="Arial"/>
          <w:sz w:val="20"/>
          <w:szCs w:val="20"/>
        </w:rPr>
        <w:lastRenderedPageBreak/>
        <w:t xml:space="preserve">The relationships between these variables for sandy and loamy soil are not out of place as they align well with other researches </w:t>
      </w:r>
      <w:sdt>
        <w:sdtPr>
          <w:rPr>
            <w:rFonts w:ascii="Arial" w:hAnsi="Arial" w:cs="Arial"/>
            <w:color w:val="000000"/>
            <w:sz w:val="20"/>
            <w:szCs w:val="20"/>
          </w:rPr>
          <w:tag w:val="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"/>
          <w:id w:val="1425601474"/>
          <w:placeholder>
            <w:docPart w:val="78584B111552465E9BF0FB3B7A4D5937"/>
          </w:placeholder>
        </w:sdtPr>
        <w:sdtEndPr/>
        <w:sdtContent>
          <w:r w:rsidR="002F7DEA" w:rsidRPr="00E46AC1">
            <w:rPr>
              <w:rFonts w:ascii="Arial" w:hAnsi="Arial" w:cs="Arial"/>
              <w:color w:val="000000"/>
              <w:sz w:val="20"/>
              <w:szCs w:val="20"/>
            </w:rPr>
            <w:t xml:space="preserve">(Ding et al., 2023; Gleeson et al., 2011; </w:t>
          </w:r>
          <w:proofErr w:type="spellStart"/>
          <w:r w:rsidR="002F7DEA" w:rsidRPr="00E46AC1">
            <w:rPr>
              <w:rFonts w:ascii="Arial" w:hAnsi="Arial" w:cs="Arial"/>
              <w:color w:val="000000"/>
              <w:sz w:val="20"/>
              <w:szCs w:val="20"/>
            </w:rPr>
            <w:t>Ranaivomanana</w:t>
          </w:r>
          <w:proofErr w:type="spellEnd"/>
          <w:r w:rsidR="002F7DEA" w:rsidRPr="00E46AC1">
            <w:rPr>
              <w:rFonts w:ascii="Arial" w:hAnsi="Arial" w:cs="Arial"/>
              <w:color w:val="000000"/>
              <w:sz w:val="20"/>
              <w:szCs w:val="20"/>
            </w:rPr>
            <w:t xml:space="preserve"> et al., 2017; </w:t>
          </w:r>
          <w:proofErr w:type="spellStart"/>
          <w:r w:rsidR="002F7DEA" w:rsidRPr="00E46AC1">
            <w:rPr>
              <w:rFonts w:ascii="Arial" w:hAnsi="Arial" w:cs="Arial"/>
              <w:color w:val="000000"/>
              <w:sz w:val="20"/>
              <w:szCs w:val="20"/>
            </w:rPr>
            <w:t>Ugwoha</w:t>
          </w:r>
          <w:proofErr w:type="spellEnd"/>
          <w:r w:rsidR="002F7DEA" w:rsidRPr="00E46AC1">
            <w:rPr>
              <w:rFonts w:ascii="Arial" w:hAnsi="Arial" w:cs="Arial"/>
              <w:color w:val="000000"/>
              <w:sz w:val="20"/>
              <w:szCs w:val="20"/>
            </w:rPr>
            <w:t xml:space="preserve"> et al., 2019)</w:t>
          </w:r>
        </w:sdtContent>
      </w:sdt>
      <w:bookmarkStart w:id="3" w:name="_Toc180419037"/>
      <w:r w:rsidR="00E46AC1">
        <w:rPr>
          <w:rFonts w:ascii="Arial" w:hAnsi="Arial" w:cs="Arial"/>
          <w:sz w:val="20"/>
          <w:szCs w:val="20"/>
        </w:rPr>
        <w:t>.</w:t>
      </w:r>
    </w:p>
    <w:p w14:paraId="5C5596ED" w14:textId="341793CF" w:rsidR="00A043D3" w:rsidRPr="00E46AC1" w:rsidRDefault="00A043D3" w:rsidP="00C370F8">
      <w:pPr>
        <w:spacing w:line="480" w:lineRule="auto"/>
        <w:rPr>
          <w:rFonts w:ascii="Arial" w:hAnsi="Arial" w:cs="Arial"/>
          <w:b/>
          <w:bCs/>
          <w:sz w:val="20"/>
          <w:szCs w:val="20"/>
        </w:rPr>
      </w:pPr>
      <w:r w:rsidRPr="00E46AC1">
        <w:rPr>
          <w:rFonts w:ascii="Arial" w:hAnsi="Arial" w:cs="Arial"/>
          <w:b/>
          <w:bCs/>
          <w:sz w:val="20"/>
          <w:szCs w:val="20"/>
        </w:rPr>
        <w:t>Table 1: Correlation of variables for sandy soil</w:t>
      </w:r>
      <w:bookmarkEnd w:id="3"/>
    </w:p>
    <w:tbl>
      <w:tblPr>
        <w:tblpPr w:leftFromText="180" w:rightFromText="180" w:vertAnchor="text" w:tblpY="1"/>
        <w:tblOverlap w:val="never"/>
        <w:tblW w:w="8992" w:type="dxa"/>
        <w:tblLook w:val="04A0" w:firstRow="1" w:lastRow="0" w:firstColumn="1" w:lastColumn="0" w:noHBand="0" w:noVBand="1"/>
      </w:tblPr>
      <w:tblGrid>
        <w:gridCol w:w="2167"/>
        <w:gridCol w:w="1426"/>
        <w:gridCol w:w="1237"/>
        <w:gridCol w:w="1402"/>
        <w:gridCol w:w="1380"/>
        <w:gridCol w:w="1380"/>
      </w:tblGrid>
      <w:tr w:rsidR="00A043D3" w:rsidRPr="00E46AC1" w14:paraId="444A862E" w14:textId="77777777" w:rsidTr="006D43A8">
        <w:trPr>
          <w:trHeight w:val="428"/>
        </w:trPr>
        <w:tc>
          <w:tcPr>
            <w:tcW w:w="2167" w:type="dxa"/>
            <w:tcBorders>
              <w:top w:val="single" w:sz="8" w:space="0" w:color="auto"/>
              <w:left w:val="nil"/>
              <w:bottom w:val="single" w:sz="4" w:space="0" w:color="auto"/>
              <w:right w:val="nil"/>
            </w:tcBorders>
            <w:noWrap/>
            <w:vAlign w:val="bottom"/>
            <w:hideMark/>
          </w:tcPr>
          <w:p w14:paraId="5A8BFCAE" w14:textId="77777777" w:rsidR="00A043D3" w:rsidRPr="00E46AC1" w:rsidRDefault="00A043D3" w:rsidP="00C370F8">
            <w:pPr>
              <w:spacing w:after="0" w:line="480" w:lineRule="auto"/>
              <w:jc w:val="center"/>
              <w:rPr>
                <w:rFonts w:ascii="Arial" w:eastAsia="Times New Roman" w:hAnsi="Arial" w:cs="Arial"/>
                <w:i/>
                <w:iCs/>
                <w:color w:val="000000"/>
                <w:kern w:val="0"/>
                <w:sz w:val="20"/>
                <w:szCs w:val="20"/>
                <w14:ligatures w14:val="none"/>
              </w:rPr>
            </w:pPr>
            <w:r w:rsidRPr="00E46AC1">
              <w:rPr>
                <w:rFonts w:ascii="Arial" w:eastAsia="Times New Roman" w:hAnsi="Arial" w:cs="Arial"/>
                <w:i/>
                <w:iCs/>
                <w:color w:val="000000"/>
                <w:kern w:val="0"/>
                <w:sz w:val="20"/>
                <w:szCs w:val="20"/>
                <w14:ligatures w14:val="none"/>
              </w:rPr>
              <w:t> </w:t>
            </w:r>
          </w:p>
        </w:tc>
        <w:tc>
          <w:tcPr>
            <w:tcW w:w="1426" w:type="dxa"/>
            <w:tcBorders>
              <w:top w:val="single" w:sz="8" w:space="0" w:color="auto"/>
              <w:left w:val="nil"/>
              <w:bottom w:val="single" w:sz="4" w:space="0" w:color="auto"/>
              <w:right w:val="nil"/>
            </w:tcBorders>
            <w:noWrap/>
            <w:vAlign w:val="bottom"/>
            <w:hideMark/>
          </w:tcPr>
          <w:p w14:paraId="47697F58" w14:textId="77777777" w:rsidR="00A043D3" w:rsidRPr="00E46AC1" w:rsidRDefault="00A043D3" w:rsidP="00C370F8">
            <w:pPr>
              <w:spacing w:after="0" w:line="480" w:lineRule="auto"/>
              <w:jc w:val="center"/>
              <w:rPr>
                <w:rFonts w:ascii="Arial" w:eastAsia="Times New Roman" w:hAnsi="Arial" w:cs="Arial"/>
                <w:i/>
                <w:iCs/>
                <w:color w:val="000000"/>
                <w:kern w:val="0"/>
                <w:sz w:val="20"/>
                <w:szCs w:val="20"/>
                <w14:ligatures w14:val="none"/>
              </w:rPr>
            </w:pPr>
            <w:r w:rsidRPr="00E46AC1">
              <w:rPr>
                <w:rFonts w:ascii="Arial" w:eastAsia="Times New Roman" w:hAnsi="Arial" w:cs="Arial"/>
                <w:i/>
                <w:iCs/>
                <w:color w:val="000000"/>
                <w:kern w:val="0"/>
                <w:sz w:val="20"/>
                <w:szCs w:val="20"/>
                <w14:ligatures w14:val="none"/>
              </w:rPr>
              <w:t>D(cm)</w:t>
            </w:r>
          </w:p>
        </w:tc>
        <w:tc>
          <w:tcPr>
            <w:tcW w:w="1237" w:type="dxa"/>
            <w:tcBorders>
              <w:top w:val="single" w:sz="8" w:space="0" w:color="auto"/>
              <w:left w:val="nil"/>
              <w:bottom w:val="single" w:sz="4" w:space="0" w:color="auto"/>
              <w:right w:val="nil"/>
            </w:tcBorders>
            <w:noWrap/>
            <w:vAlign w:val="bottom"/>
            <w:hideMark/>
          </w:tcPr>
          <w:p w14:paraId="35472E88" w14:textId="77777777" w:rsidR="00A043D3" w:rsidRPr="00E46AC1" w:rsidRDefault="00A043D3" w:rsidP="00C370F8">
            <w:pPr>
              <w:spacing w:after="0" w:line="480" w:lineRule="auto"/>
              <w:jc w:val="center"/>
              <w:rPr>
                <w:rFonts w:ascii="Arial" w:eastAsia="Times New Roman" w:hAnsi="Arial" w:cs="Arial"/>
                <w:i/>
                <w:iCs/>
                <w:color w:val="000000"/>
                <w:kern w:val="0"/>
                <w:sz w:val="20"/>
                <w:szCs w:val="20"/>
                <w14:ligatures w14:val="none"/>
              </w:rPr>
            </w:pPr>
            <w:r w:rsidRPr="00E46AC1">
              <w:rPr>
                <w:rFonts w:ascii="Arial" w:eastAsia="Times New Roman" w:hAnsi="Arial" w:cs="Arial"/>
                <w:i/>
                <w:iCs/>
                <w:color w:val="000000"/>
                <w:kern w:val="0"/>
                <w:sz w:val="20"/>
                <w:szCs w:val="20"/>
                <w14:ligatures w14:val="none"/>
              </w:rPr>
              <w:t>t(s)</w:t>
            </w:r>
          </w:p>
        </w:tc>
        <w:tc>
          <w:tcPr>
            <w:tcW w:w="1402" w:type="dxa"/>
            <w:tcBorders>
              <w:top w:val="single" w:sz="8" w:space="0" w:color="auto"/>
              <w:left w:val="nil"/>
              <w:bottom w:val="single" w:sz="4" w:space="0" w:color="auto"/>
              <w:right w:val="nil"/>
            </w:tcBorders>
            <w:noWrap/>
            <w:vAlign w:val="bottom"/>
            <w:hideMark/>
          </w:tcPr>
          <w:p w14:paraId="06D0EFE6" w14:textId="77777777" w:rsidR="00A043D3" w:rsidRPr="00E46AC1" w:rsidRDefault="00A043D3" w:rsidP="00C370F8">
            <w:pPr>
              <w:spacing w:after="0" w:line="480" w:lineRule="auto"/>
              <w:jc w:val="center"/>
              <w:rPr>
                <w:rFonts w:ascii="Arial" w:eastAsia="Times New Roman" w:hAnsi="Arial" w:cs="Arial"/>
                <w:i/>
                <w:iCs/>
                <w:color w:val="000000"/>
                <w:kern w:val="0"/>
                <w:sz w:val="20"/>
                <w:szCs w:val="20"/>
                <w14:ligatures w14:val="none"/>
              </w:rPr>
            </w:pPr>
            <w:r w:rsidRPr="00E46AC1">
              <w:rPr>
                <w:rFonts w:ascii="Arial" w:eastAsia="Times New Roman" w:hAnsi="Arial" w:cs="Arial"/>
                <w:i/>
                <w:iCs/>
                <w:color w:val="000000"/>
                <w:kern w:val="0"/>
                <w:sz w:val="20"/>
                <w:szCs w:val="20"/>
                <w14:ligatures w14:val="none"/>
              </w:rPr>
              <w:t>k (cm/s)</w:t>
            </w:r>
          </w:p>
        </w:tc>
        <w:tc>
          <w:tcPr>
            <w:tcW w:w="1380" w:type="dxa"/>
            <w:tcBorders>
              <w:top w:val="single" w:sz="8" w:space="0" w:color="auto"/>
              <w:left w:val="nil"/>
              <w:bottom w:val="single" w:sz="4" w:space="0" w:color="auto"/>
              <w:right w:val="nil"/>
            </w:tcBorders>
            <w:noWrap/>
            <w:vAlign w:val="bottom"/>
            <w:hideMark/>
          </w:tcPr>
          <w:p w14:paraId="189011E4" w14:textId="77777777" w:rsidR="00A043D3" w:rsidRPr="00E46AC1" w:rsidRDefault="00A043D3" w:rsidP="00C370F8">
            <w:pPr>
              <w:spacing w:after="0" w:line="480" w:lineRule="auto"/>
              <w:jc w:val="center"/>
              <w:rPr>
                <w:rFonts w:ascii="Arial" w:eastAsia="Times New Roman" w:hAnsi="Arial" w:cs="Arial"/>
                <w:i/>
                <w:iCs/>
                <w:color w:val="000000"/>
                <w:kern w:val="0"/>
                <w:sz w:val="20"/>
                <w:szCs w:val="20"/>
                <w14:ligatures w14:val="none"/>
              </w:rPr>
            </w:pPr>
            <w:r w:rsidRPr="00E46AC1">
              <w:rPr>
                <w:rFonts w:ascii="Arial" w:eastAsia="Times New Roman" w:hAnsi="Arial" w:cs="Arial"/>
                <w:i/>
                <w:iCs/>
                <w:color w:val="000000"/>
                <w:kern w:val="0"/>
                <w:sz w:val="20"/>
                <w:szCs w:val="20"/>
                <w14:ligatures w14:val="none"/>
              </w:rPr>
              <w:t>C</w:t>
            </w:r>
            <w:r w:rsidRPr="00E46AC1">
              <w:rPr>
                <w:rFonts w:ascii="Arial" w:eastAsia="Times New Roman" w:hAnsi="Arial" w:cs="Arial"/>
                <w:i/>
                <w:iCs/>
                <w:color w:val="000000"/>
                <w:kern w:val="0"/>
                <w:sz w:val="20"/>
                <w:szCs w:val="20"/>
                <w:vertAlign w:val="subscript"/>
                <w14:ligatures w14:val="none"/>
              </w:rPr>
              <w:t>1</w:t>
            </w:r>
            <w:r w:rsidRPr="00E46AC1">
              <w:rPr>
                <w:rFonts w:ascii="Arial" w:eastAsia="Times New Roman" w:hAnsi="Arial" w:cs="Arial"/>
                <w:i/>
                <w:iCs/>
                <w:color w:val="000000"/>
                <w:kern w:val="0"/>
                <w:sz w:val="20"/>
                <w:szCs w:val="20"/>
                <w14:ligatures w14:val="none"/>
              </w:rPr>
              <w:t xml:space="preserve"> (mg/l)</w:t>
            </w:r>
          </w:p>
        </w:tc>
        <w:tc>
          <w:tcPr>
            <w:tcW w:w="1380" w:type="dxa"/>
            <w:tcBorders>
              <w:top w:val="single" w:sz="8" w:space="0" w:color="auto"/>
              <w:left w:val="nil"/>
              <w:bottom w:val="single" w:sz="4" w:space="0" w:color="auto"/>
              <w:right w:val="nil"/>
            </w:tcBorders>
            <w:noWrap/>
            <w:vAlign w:val="bottom"/>
            <w:hideMark/>
          </w:tcPr>
          <w:p w14:paraId="6A0B084E" w14:textId="77777777" w:rsidR="00A043D3" w:rsidRPr="00E46AC1" w:rsidRDefault="00A043D3" w:rsidP="00C370F8">
            <w:pPr>
              <w:spacing w:after="0" w:line="480" w:lineRule="auto"/>
              <w:jc w:val="center"/>
              <w:rPr>
                <w:rFonts w:ascii="Arial" w:eastAsia="Times New Roman" w:hAnsi="Arial" w:cs="Arial"/>
                <w:i/>
                <w:iCs/>
                <w:color w:val="000000"/>
                <w:kern w:val="0"/>
                <w:sz w:val="20"/>
                <w:szCs w:val="20"/>
                <w14:ligatures w14:val="none"/>
              </w:rPr>
            </w:pPr>
            <w:r w:rsidRPr="00E46AC1">
              <w:rPr>
                <w:rFonts w:ascii="Arial" w:eastAsia="Times New Roman" w:hAnsi="Arial" w:cs="Arial"/>
                <w:i/>
                <w:iCs/>
                <w:color w:val="000000"/>
                <w:kern w:val="0"/>
                <w:sz w:val="20"/>
                <w:szCs w:val="20"/>
                <w14:ligatures w14:val="none"/>
              </w:rPr>
              <w:t>C</w:t>
            </w:r>
            <w:r w:rsidRPr="00E46AC1">
              <w:rPr>
                <w:rFonts w:ascii="Arial" w:eastAsia="Times New Roman" w:hAnsi="Arial" w:cs="Arial"/>
                <w:i/>
                <w:iCs/>
                <w:color w:val="000000"/>
                <w:kern w:val="0"/>
                <w:sz w:val="20"/>
                <w:szCs w:val="20"/>
                <w:vertAlign w:val="subscript"/>
                <w14:ligatures w14:val="none"/>
              </w:rPr>
              <w:t>2</w:t>
            </w:r>
            <w:r w:rsidRPr="00E46AC1">
              <w:rPr>
                <w:rFonts w:ascii="Arial" w:eastAsia="Times New Roman" w:hAnsi="Arial" w:cs="Arial"/>
                <w:i/>
                <w:iCs/>
                <w:color w:val="000000"/>
                <w:kern w:val="0"/>
                <w:sz w:val="20"/>
                <w:szCs w:val="20"/>
                <w14:ligatures w14:val="none"/>
              </w:rPr>
              <w:t xml:space="preserve"> (mg/l)</w:t>
            </w:r>
          </w:p>
        </w:tc>
      </w:tr>
      <w:tr w:rsidR="00A043D3" w:rsidRPr="00E46AC1" w14:paraId="73B382A8" w14:textId="77777777" w:rsidTr="006D43A8">
        <w:trPr>
          <w:trHeight w:val="428"/>
        </w:trPr>
        <w:tc>
          <w:tcPr>
            <w:tcW w:w="2167" w:type="dxa"/>
            <w:tcBorders>
              <w:top w:val="nil"/>
              <w:left w:val="nil"/>
              <w:bottom w:val="nil"/>
              <w:right w:val="nil"/>
            </w:tcBorders>
            <w:noWrap/>
            <w:vAlign w:val="bottom"/>
            <w:hideMark/>
          </w:tcPr>
          <w:p w14:paraId="7A0A777C" w14:textId="77777777" w:rsidR="00A043D3" w:rsidRPr="00E46AC1" w:rsidRDefault="00A043D3" w:rsidP="00C370F8">
            <w:pPr>
              <w:spacing w:after="0" w:line="480" w:lineRule="auto"/>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D(cm)</w:t>
            </w:r>
          </w:p>
        </w:tc>
        <w:tc>
          <w:tcPr>
            <w:tcW w:w="1426" w:type="dxa"/>
            <w:tcBorders>
              <w:top w:val="nil"/>
              <w:left w:val="nil"/>
              <w:bottom w:val="nil"/>
              <w:right w:val="nil"/>
            </w:tcBorders>
            <w:noWrap/>
            <w:vAlign w:val="bottom"/>
            <w:hideMark/>
          </w:tcPr>
          <w:p w14:paraId="7E96DC02"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1.00</w:t>
            </w:r>
          </w:p>
        </w:tc>
        <w:tc>
          <w:tcPr>
            <w:tcW w:w="1237" w:type="dxa"/>
            <w:tcBorders>
              <w:top w:val="nil"/>
              <w:left w:val="nil"/>
              <w:bottom w:val="nil"/>
              <w:right w:val="nil"/>
            </w:tcBorders>
            <w:noWrap/>
            <w:vAlign w:val="bottom"/>
            <w:hideMark/>
          </w:tcPr>
          <w:p w14:paraId="7C83449D"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p>
        </w:tc>
        <w:tc>
          <w:tcPr>
            <w:tcW w:w="1402" w:type="dxa"/>
            <w:tcBorders>
              <w:top w:val="nil"/>
              <w:left w:val="nil"/>
              <w:bottom w:val="nil"/>
              <w:right w:val="nil"/>
            </w:tcBorders>
            <w:noWrap/>
            <w:vAlign w:val="bottom"/>
            <w:hideMark/>
          </w:tcPr>
          <w:p w14:paraId="52EC4008" w14:textId="77777777" w:rsidR="00A043D3" w:rsidRPr="00E46AC1" w:rsidRDefault="00A043D3" w:rsidP="00C370F8">
            <w:pPr>
              <w:spacing w:after="0" w:line="480" w:lineRule="auto"/>
              <w:jc w:val="center"/>
              <w:rPr>
                <w:rFonts w:ascii="Arial" w:eastAsia="Times New Roman" w:hAnsi="Arial" w:cs="Arial"/>
                <w:kern w:val="0"/>
                <w:sz w:val="20"/>
                <w:szCs w:val="20"/>
                <w14:ligatures w14:val="none"/>
              </w:rPr>
            </w:pPr>
          </w:p>
        </w:tc>
        <w:tc>
          <w:tcPr>
            <w:tcW w:w="1380" w:type="dxa"/>
            <w:tcBorders>
              <w:top w:val="nil"/>
              <w:left w:val="nil"/>
              <w:bottom w:val="nil"/>
              <w:right w:val="nil"/>
            </w:tcBorders>
            <w:noWrap/>
            <w:vAlign w:val="bottom"/>
            <w:hideMark/>
          </w:tcPr>
          <w:p w14:paraId="4C615CA1" w14:textId="77777777" w:rsidR="00A043D3" w:rsidRPr="00E46AC1" w:rsidRDefault="00A043D3" w:rsidP="00C370F8">
            <w:pPr>
              <w:spacing w:after="0" w:line="480" w:lineRule="auto"/>
              <w:jc w:val="center"/>
              <w:rPr>
                <w:rFonts w:ascii="Arial" w:eastAsia="Times New Roman" w:hAnsi="Arial" w:cs="Arial"/>
                <w:kern w:val="0"/>
                <w:sz w:val="20"/>
                <w:szCs w:val="20"/>
                <w14:ligatures w14:val="none"/>
              </w:rPr>
            </w:pPr>
          </w:p>
        </w:tc>
        <w:tc>
          <w:tcPr>
            <w:tcW w:w="1380" w:type="dxa"/>
            <w:tcBorders>
              <w:top w:val="nil"/>
              <w:left w:val="nil"/>
              <w:bottom w:val="nil"/>
              <w:right w:val="nil"/>
            </w:tcBorders>
            <w:noWrap/>
            <w:vAlign w:val="bottom"/>
            <w:hideMark/>
          </w:tcPr>
          <w:p w14:paraId="4E2B71A4" w14:textId="77777777" w:rsidR="00A043D3" w:rsidRPr="00E46AC1" w:rsidRDefault="00A043D3" w:rsidP="00C370F8">
            <w:pPr>
              <w:spacing w:after="0" w:line="480" w:lineRule="auto"/>
              <w:jc w:val="center"/>
              <w:rPr>
                <w:rFonts w:ascii="Arial" w:eastAsia="Times New Roman" w:hAnsi="Arial" w:cs="Arial"/>
                <w:kern w:val="0"/>
                <w:sz w:val="20"/>
                <w:szCs w:val="20"/>
                <w14:ligatures w14:val="none"/>
              </w:rPr>
            </w:pPr>
          </w:p>
        </w:tc>
      </w:tr>
      <w:tr w:rsidR="00A043D3" w:rsidRPr="00E46AC1" w14:paraId="5A452B21" w14:textId="77777777" w:rsidTr="006D43A8">
        <w:trPr>
          <w:trHeight w:val="428"/>
        </w:trPr>
        <w:tc>
          <w:tcPr>
            <w:tcW w:w="2167" w:type="dxa"/>
            <w:tcBorders>
              <w:top w:val="nil"/>
              <w:left w:val="nil"/>
              <w:bottom w:val="nil"/>
              <w:right w:val="nil"/>
            </w:tcBorders>
            <w:noWrap/>
            <w:vAlign w:val="bottom"/>
            <w:hideMark/>
          </w:tcPr>
          <w:p w14:paraId="48A85E51" w14:textId="77777777" w:rsidR="00A043D3" w:rsidRPr="00E46AC1" w:rsidRDefault="00A043D3" w:rsidP="00C370F8">
            <w:pPr>
              <w:spacing w:after="0" w:line="480" w:lineRule="auto"/>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t(s)</w:t>
            </w:r>
          </w:p>
        </w:tc>
        <w:tc>
          <w:tcPr>
            <w:tcW w:w="1426" w:type="dxa"/>
            <w:tcBorders>
              <w:top w:val="nil"/>
              <w:left w:val="nil"/>
              <w:bottom w:val="nil"/>
              <w:right w:val="nil"/>
            </w:tcBorders>
            <w:noWrap/>
            <w:vAlign w:val="bottom"/>
            <w:hideMark/>
          </w:tcPr>
          <w:p w14:paraId="7E3729DB"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0.88</w:t>
            </w:r>
          </w:p>
        </w:tc>
        <w:tc>
          <w:tcPr>
            <w:tcW w:w="1237" w:type="dxa"/>
            <w:tcBorders>
              <w:top w:val="nil"/>
              <w:left w:val="nil"/>
              <w:bottom w:val="nil"/>
              <w:right w:val="nil"/>
            </w:tcBorders>
            <w:noWrap/>
            <w:vAlign w:val="bottom"/>
            <w:hideMark/>
          </w:tcPr>
          <w:p w14:paraId="254DADFF"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1.00</w:t>
            </w:r>
          </w:p>
        </w:tc>
        <w:tc>
          <w:tcPr>
            <w:tcW w:w="1402" w:type="dxa"/>
            <w:tcBorders>
              <w:top w:val="nil"/>
              <w:left w:val="nil"/>
              <w:bottom w:val="nil"/>
              <w:right w:val="nil"/>
            </w:tcBorders>
            <w:noWrap/>
            <w:vAlign w:val="bottom"/>
            <w:hideMark/>
          </w:tcPr>
          <w:p w14:paraId="3018D7CB"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p>
        </w:tc>
        <w:tc>
          <w:tcPr>
            <w:tcW w:w="1380" w:type="dxa"/>
            <w:tcBorders>
              <w:top w:val="nil"/>
              <w:left w:val="nil"/>
              <w:bottom w:val="nil"/>
              <w:right w:val="nil"/>
            </w:tcBorders>
            <w:noWrap/>
            <w:vAlign w:val="bottom"/>
            <w:hideMark/>
          </w:tcPr>
          <w:p w14:paraId="441B5D83" w14:textId="77777777" w:rsidR="00A043D3" w:rsidRPr="00E46AC1" w:rsidRDefault="00A043D3" w:rsidP="00C370F8">
            <w:pPr>
              <w:spacing w:after="0" w:line="480" w:lineRule="auto"/>
              <w:jc w:val="center"/>
              <w:rPr>
                <w:rFonts w:ascii="Arial" w:eastAsia="Times New Roman" w:hAnsi="Arial" w:cs="Arial"/>
                <w:kern w:val="0"/>
                <w:sz w:val="20"/>
                <w:szCs w:val="20"/>
                <w14:ligatures w14:val="none"/>
              </w:rPr>
            </w:pPr>
          </w:p>
        </w:tc>
        <w:tc>
          <w:tcPr>
            <w:tcW w:w="1380" w:type="dxa"/>
            <w:tcBorders>
              <w:top w:val="nil"/>
              <w:left w:val="nil"/>
              <w:bottom w:val="nil"/>
              <w:right w:val="nil"/>
            </w:tcBorders>
            <w:noWrap/>
            <w:vAlign w:val="bottom"/>
            <w:hideMark/>
          </w:tcPr>
          <w:p w14:paraId="68DF5177" w14:textId="77777777" w:rsidR="00A043D3" w:rsidRPr="00E46AC1" w:rsidRDefault="00A043D3" w:rsidP="00C370F8">
            <w:pPr>
              <w:spacing w:after="0" w:line="480" w:lineRule="auto"/>
              <w:jc w:val="center"/>
              <w:rPr>
                <w:rFonts w:ascii="Arial" w:eastAsia="Times New Roman" w:hAnsi="Arial" w:cs="Arial"/>
                <w:kern w:val="0"/>
                <w:sz w:val="20"/>
                <w:szCs w:val="20"/>
                <w14:ligatures w14:val="none"/>
              </w:rPr>
            </w:pPr>
          </w:p>
        </w:tc>
      </w:tr>
      <w:tr w:rsidR="00A043D3" w:rsidRPr="00E46AC1" w14:paraId="6F93CE6C" w14:textId="77777777" w:rsidTr="006D43A8">
        <w:trPr>
          <w:trHeight w:val="428"/>
        </w:trPr>
        <w:tc>
          <w:tcPr>
            <w:tcW w:w="2167" w:type="dxa"/>
            <w:tcBorders>
              <w:top w:val="nil"/>
              <w:left w:val="nil"/>
              <w:bottom w:val="nil"/>
              <w:right w:val="nil"/>
            </w:tcBorders>
            <w:noWrap/>
            <w:vAlign w:val="bottom"/>
            <w:hideMark/>
          </w:tcPr>
          <w:p w14:paraId="2A947638" w14:textId="77777777" w:rsidR="00A043D3" w:rsidRPr="00E46AC1" w:rsidRDefault="00A043D3" w:rsidP="00C370F8">
            <w:pPr>
              <w:spacing w:after="0" w:line="480" w:lineRule="auto"/>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k (cm/s)</w:t>
            </w:r>
          </w:p>
        </w:tc>
        <w:tc>
          <w:tcPr>
            <w:tcW w:w="1426" w:type="dxa"/>
            <w:tcBorders>
              <w:top w:val="nil"/>
              <w:left w:val="nil"/>
              <w:bottom w:val="nil"/>
              <w:right w:val="nil"/>
            </w:tcBorders>
            <w:noWrap/>
            <w:vAlign w:val="bottom"/>
            <w:hideMark/>
          </w:tcPr>
          <w:p w14:paraId="1C880508"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-0.67</w:t>
            </w:r>
          </w:p>
        </w:tc>
        <w:tc>
          <w:tcPr>
            <w:tcW w:w="1237" w:type="dxa"/>
            <w:tcBorders>
              <w:top w:val="nil"/>
              <w:left w:val="nil"/>
              <w:bottom w:val="nil"/>
              <w:right w:val="nil"/>
            </w:tcBorders>
            <w:noWrap/>
            <w:vAlign w:val="bottom"/>
            <w:hideMark/>
          </w:tcPr>
          <w:p w14:paraId="2935D0B6"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-0.67</w:t>
            </w:r>
          </w:p>
        </w:tc>
        <w:tc>
          <w:tcPr>
            <w:tcW w:w="1402" w:type="dxa"/>
            <w:tcBorders>
              <w:top w:val="nil"/>
              <w:left w:val="nil"/>
              <w:bottom w:val="nil"/>
              <w:right w:val="nil"/>
            </w:tcBorders>
            <w:noWrap/>
            <w:vAlign w:val="bottom"/>
            <w:hideMark/>
          </w:tcPr>
          <w:p w14:paraId="10949091"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1.00</w:t>
            </w:r>
          </w:p>
        </w:tc>
        <w:tc>
          <w:tcPr>
            <w:tcW w:w="1380" w:type="dxa"/>
            <w:tcBorders>
              <w:top w:val="nil"/>
              <w:left w:val="nil"/>
              <w:bottom w:val="nil"/>
              <w:right w:val="nil"/>
            </w:tcBorders>
            <w:noWrap/>
            <w:vAlign w:val="bottom"/>
            <w:hideMark/>
          </w:tcPr>
          <w:p w14:paraId="2E7AB1DD"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p>
        </w:tc>
        <w:tc>
          <w:tcPr>
            <w:tcW w:w="1380" w:type="dxa"/>
            <w:tcBorders>
              <w:top w:val="nil"/>
              <w:left w:val="nil"/>
              <w:bottom w:val="nil"/>
              <w:right w:val="nil"/>
            </w:tcBorders>
            <w:noWrap/>
            <w:vAlign w:val="bottom"/>
            <w:hideMark/>
          </w:tcPr>
          <w:p w14:paraId="3406450D" w14:textId="77777777" w:rsidR="00A043D3" w:rsidRPr="00E46AC1" w:rsidRDefault="00A043D3" w:rsidP="00C370F8">
            <w:pPr>
              <w:spacing w:after="0" w:line="480" w:lineRule="auto"/>
              <w:jc w:val="center"/>
              <w:rPr>
                <w:rFonts w:ascii="Arial" w:eastAsia="Times New Roman" w:hAnsi="Arial" w:cs="Arial"/>
                <w:kern w:val="0"/>
                <w:sz w:val="20"/>
                <w:szCs w:val="20"/>
                <w14:ligatures w14:val="none"/>
              </w:rPr>
            </w:pPr>
          </w:p>
        </w:tc>
      </w:tr>
      <w:tr w:rsidR="00A043D3" w:rsidRPr="00E46AC1" w14:paraId="401257C0" w14:textId="77777777" w:rsidTr="006D43A8">
        <w:trPr>
          <w:trHeight w:val="428"/>
        </w:trPr>
        <w:tc>
          <w:tcPr>
            <w:tcW w:w="2167" w:type="dxa"/>
            <w:tcBorders>
              <w:top w:val="nil"/>
              <w:left w:val="nil"/>
              <w:bottom w:val="nil"/>
              <w:right w:val="nil"/>
            </w:tcBorders>
            <w:noWrap/>
            <w:vAlign w:val="bottom"/>
            <w:hideMark/>
          </w:tcPr>
          <w:p w14:paraId="1463091C" w14:textId="77777777" w:rsidR="00A043D3" w:rsidRPr="00E46AC1" w:rsidRDefault="00A043D3" w:rsidP="00C370F8">
            <w:pPr>
              <w:spacing w:after="0" w:line="480" w:lineRule="auto"/>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C1 (mg/l)</w:t>
            </w:r>
          </w:p>
        </w:tc>
        <w:tc>
          <w:tcPr>
            <w:tcW w:w="1426" w:type="dxa"/>
            <w:tcBorders>
              <w:top w:val="nil"/>
              <w:left w:val="nil"/>
              <w:bottom w:val="nil"/>
              <w:right w:val="nil"/>
            </w:tcBorders>
            <w:noWrap/>
            <w:vAlign w:val="bottom"/>
            <w:hideMark/>
          </w:tcPr>
          <w:p w14:paraId="36614506"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-0.97</w:t>
            </w:r>
          </w:p>
        </w:tc>
        <w:tc>
          <w:tcPr>
            <w:tcW w:w="1237" w:type="dxa"/>
            <w:tcBorders>
              <w:top w:val="nil"/>
              <w:left w:val="nil"/>
              <w:bottom w:val="nil"/>
              <w:right w:val="nil"/>
            </w:tcBorders>
            <w:noWrap/>
            <w:vAlign w:val="bottom"/>
            <w:hideMark/>
          </w:tcPr>
          <w:p w14:paraId="4CA1C674"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-0.77</w:t>
            </w:r>
          </w:p>
        </w:tc>
        <w:tc>
          <w:tcPr>
            <w:tcW w:w="1402" w:type="dxa"/>
            <w:tcBorders>
              <w:top w:val="nil"/>
              <w:left w:val="nil"/>
              <w:bottom w:val="nil"/>
              <w:right w:val="nil"/>
            </w:tcBorders>
            <w:noWrap/>
            <w:vAlign w:val="bottom"/>
            <w:hideMark/>
          </w:tcPr>
          <w:p w14:paraId="754730B8"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0.65</w:t>
            </w:r>
          </w:p>
        </w:tc>
        <w:tc>
          <w:tcPr>
            <w:tcW w:w="1380" w:type="dxa"/>
            <w:tcBorders>
              <w:top w:val="nil"/>
              <w:left w:val="nil"/>
              <w:bottom w:val="nil"/>
              <w:right w:val="nil"/>
            </w:tcBorders>
            <w:noWrap/>
            <w:vAlign w:val="bottom"/>
            <w:hideMark/>
          </w:tcPr>
          <w:p w14:paraId="47250837"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1.00</w:t>
            </w:r>
          </w:p>
        </w:tc>
        <w:tc>
          <w:tcPr>
            <w:tcW w:w="1380" w:type="dxa"/>
            <w:tcBorders>
              <w:top w:val="nil"/>
              <w:left w:val="nil"/>
              <w:bottom w:val="nil"/>
              <w:right w:val="nil"/>
            </w:tcBorders>
            <w:noWrap/>
            <w:vAlign w:val="bottom"/>
            <w:hideMark/>
          </w:tcPr>
          <w:p w14:paraId="72B90C1B"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p>
        </w:tc>
      </w:tr>
      <w:tr w:rsidR="00A043D3" w:rsidRPr="00E46AC1" w14:paraId="1BEB8EA6" w14:textId="77777777" w:rsidTr="006D43A8">
        <w:trPr>
          <w:trHeight w:val="442"/>
        </w:trPr>
        <w:tc>
          <w:tcPr>
            <w:tcW w:w="2167" w:type="dxa"/>
            <w:tcBorders>
              <w:top w:val="nil"/>
              <w:left w:val="nil"/>
              <w:bottom w:val="single" w:sz="8" w:space="0" w:color="auto"/>
              <w:right w:val="nil"/>
            </w:tcBorders>
            <w:noWrap/>
            <w:vAlign w:val="bottom"/>
            <w:hideMark/>
          </w:tcPr>
          <w:p w14:paraId="1ABD48FA" w14:textId="77777777" w:rsidR="00A043D3" w:rsidRPr="00E46AC1" w:rsidRDefault="00A043D3" w:rsidP="00C370F8">
            <w:pPr>
              <w:spacing w:after="0" w:line="480" w:lineRule="auto"/>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C2 (mg/l)</w:t>
            </w:r>
          </w:p>
        </w:tc>
        <w:tc>
          <w:tcPr>
            <w:tcW w:w="1426" w:type="dxa"/>
            <w:tcBorders>
              <w:top w:val="nil"/>
              <w:left w:val="nil"/>
              <w:bottom w:val="single" w:sz="8" w:space="0" w:color="auto"/>
              <w:right w:val="nil"/>
            </w:tcBorders>
            <w:noWrap/>
            <w:vAlign w:val="bottom"/>
            <w:hideMark/>
          </w:tcPr>
          <w:p w14:paraId="6AA56BB2"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-0.98</w:t>
            </w:r>
          </w:p>
        </w:tc>
        <w:tc>
          <w:tcPr>
            <w:tcW w:w="1237" w:type="dxa"/>
            <w:tcBorders>
              <w:top w:val="nil"/>
              <w:left w:val="nil"/>
              <w:bottom w:val="single" w:sz="8" w:space="0" w:color="auto"/>
              <w:right w:val="nil"/>
            </w:tcBorders>
            <w:noWrap/>
            <w:vAlign w:val="bottom"/>
            <w:hideMark/>
          </w:tcPr>
          <w:p w14:paraId="67217370"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-0.89</w:t>
            </w:r>
          </w:p>
        </w:tc>
        <w:tc>
          <w:tcPr>
            <w:tcW w:w="1402" w:type="dxa"/>
            <w:tcBorders>
              <w:top w:val="nil"/>
              <w:left w:val="nil"/>
              <w:bottom w:val="single" w:sz="8" w:space="0" w:color="auto"/>
              <w:right w:val="nil"/>
            </w:tcBorders>
            <w:noWrap/>
            <w:vAlign w:val="bottom"/>
            <w:hideMark/>
          </w:tcPr>
          <w:p w14:paraId="09567F7C"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0.69</w:t>
            </w:r>
          </w:p>
        </w:tc>
        <w:tc>
          <w:tcPr>
            <w:tcW w:w="1380" w:type="dxa"/>
            <w:tcBorders>
              <w:top w:val="nil"/>
              <w:left w:val="nil"/>
              <w:bottom w:val="single" w:sz="8" w:space="0" w:color="auto"/>
              <w:right w:val="nil"/>
            </w:tcBorders>
            <w:noWrap/>
            <w:vAlign w:val="bottom"/>
            <w:hideMark/>
          </w:tcPr>
          <w:p w14:paraId="56656BD2"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0.97</w:t>
            </w:r>
          </w:p>
        </w:tc>
        <w:tc>
          <w:tcPr>
            <w:tcW w:w="1380" w:type="dxa"/>
            <w:tcBorders>
              <w:top w:val="nil"/>
              <w:left w:val="nil"/>
              <w:bottom w:val="single" w:sz="8" w:space="0" w:color="auto"/>
              <w:right w:val="nil"/>
            </w:tcBorders>
            <w:noWrap/>
            <w:vAlign w:val="bottom"/>
            <w:hideMark/>
          </w:tcPr>
          <w:p w14:paraId="0BE644D6" w14:textId="77777777" w:rsidR="00A043D3" w:rsidRPr="00E46AC1" w:rsidRDefault="00A043D3" w:rsidP="00C370F8">
            <w:pPr>
              <w:spacing w:after="0" w:line="480" w:lineRule="auto"/>
              <w:jc w:val="center"/>
              <w:rPr>
                <w:rFonts w:ascii="Arial" w:eastAsia="Times New Roman" w:hAnsi="Arial" w:cs="Arial"/>
                <w:color w:val="000000"/>
                <w:kern w:val="0"/>
                <w:sz w:val="20"/>
                <w:szCs w:val="20"/>
                <w14:ligatures w14:val="none"/>
              </w:rPr>
            </w:pPr>
            <w:r w:rsidRPr="00E46AC1">
              <w:rPr>
                <w:rFonts w:ascii="Arial" w:eastAsia="Times New Roman" w:hAnsi="Arial" w:cs="Arial"/>
                <w:color w:val="000000"/>
                <w:kern w:val="0"/>
                <w:sz w:val="20"/>
                <w:szCs w:val="20"/>
                <w14:ligatures w14:val="none"/>
              </w:rPr>
              <w:t>1.00</w:t>
            </w:r>
          </w:p>
        </w:tc>
      </w:tr>
    </w:tbl>
    <w:p w14:paraId="1061F60C" w14:textId="77777777" w:rsidR="004F170B" w:rsidRDefault="004F170B" w:rsidP="00C370F8">
      <w:pPr>
        <w:spacing w:line="480" w:lineRule="auto"/>
        <w:rPr>
          <w:rFonts w:ascii="Arial" w:hAnsi="Arial" w:cs="Arial"/>
          <w:b/>
          <w:bCs/>
          <w:sz w:val="20"/>
          <w:szCs w:val="20"/>
        </w:rPr>
      </w:pPr>
      <w:bookmarkStart w:id="4" w:name="_Toc180419038"/>
    </w:p>
    <w:p w14:paraId="10E3F3B0" w14:textId="161074EA" w:rsidR="00A043D3" w:rsidRPr="00E46AC1" w:rsidRDefault="00A043D3" w:rsidP="00C370F8">
      <w:pPr>
        <w:spacing w:line="480" w:lineRule="auto"/>
        <w:rPr>
          <w:rFonts w:ascii="Times New Roman" w:hAnsi="Times New Roman" w:cs="Times New Roman"/>
          <w:sz w:val="24"/>
          <w:szCs w:val="24"/>
        </w:rPr>
      </w:pPr>
      <w:r w:rsidRPr="00E46AC1">
        <w:rPr>
          <w:rFonts w:ascii="Arial" w:hAnsi="Arial" w:cs="Arial"/>
          <w:b/>
          <w:bCs/>
          <w:sz w:val="20"/>
          <w:szCs w:val="20"/>
        </w:rPr>
        <w:t>Table 2: Correlation of variables for loamy soil</w:t>
      </w:r>
      <w:bookmarkEnd w:id="4"/>
    </w:p>
    <w:tbl>
      <w:tblPr>
        <w:tblW w:w="8865" w:type="dxa"/>
        <w:tblLook w:val="04A0" w:firstRow="1" w:lastRow="0" w:firstColumn="1" w:lastColumn="0" w:noHBand="0" w:noVBand="1"/>
      </w:tblPr>
      <w:tblGrid>
        <w:gridCol w:w="1758"/>
        <w:gridCol w:w="1335"/>
        <w:gridCol w:w="1443"/>
        <w:gridCol w:w="1443"/>
        <w:gridCol w:w="1443"/>
        <w:gridCol w:w="1443"/>
      </w:tblGrid>
      <w:tr w:rsidR="00A043D3" w:rsidRPr="006D43A8" w14:paraId="2367592F" w14:textId="77777777" w:rsidTr="00D00122">
        <w:trPr>
          <w:trHeight w:val="386"/>
        </w:trPr>
        <w:tc>
          <w:tcPr>
            <w:tcW w:w="1758" w:type="dxa"/>
            <w:tcBorders>
              <w:top w:val="single" w:sz="4" w:space="0" w:color="auto"/>
              <w:left w:val="nil"/>
              <w:bottom w:val="single" w:sz="4" w:space="0" w:color="auto"/>
              <w:right w:val="nil"/>
            </w:tcBorders>
            <w:noWrap/>
            <w:vAlign w:val="bottom"/>
            <w:hideMark/>
          </w:tcPr>
          <w:p w14:paraId="140868F4" w14:textId="77777777" w:rsidR="00A043D3" w:rsidRPr="006D43A8" w:rsidRDefault="00A043D3" w:rsidP="00C370F8">
            <w:pPr>
              <w:spacing w:after="0" w:line="480" w:lineRule="auto"/>
              <w:jc w:val="center"/>
              <w:rPr>
                <w:rFonts w:ascii="Times New Roman" w:eastAsia="Times New Roman" w:hAnsi="Times New Roman" w:cs="Times New Roman"/>
                <w:i/>
                <w:iCs/>
                <w:color w:val="000000"/>
                <w:kern w:val="0"/>
                <w:sz w:val="24"/>
                <w:szCs w:val="24"/>
                <w14:ligatures w14:val="none"/>
              </w:rPr>
            </w:pPr>
            <w:r w:rsidRPr="006D43A8">
              <w:rPr>
                <w:rFonts w:ascii="Times New Roman" w:eastAsia="Times New Roman" w:hAnsi="Times New Roman" w:cs="Times New Roman"/>
                <w:i/>
                <w:iCs/>
                <w:color w:val="000000"/>
                <w:kern w:val="0"/>
                <w:sz w:val="24"/>
                <w:szCs w:val="24"/>
                <w14:ligatures w14:val="none"/>
              </w:rPr>
              <w:t> </w:t>
            </w:r>
          </w:p>
        </w:tc>
        <w:tc>
          <w:tcPr>
            <w:tcW w:w="1335" w:type="dxa"/>
            <w:tcBorders>
              <w:top w:val="single" w:sz="4" w:space="0" w:color="auto"/>
              <w:left w:val="nil"/>
              <w:bottom w:val="single" w:sz="4" w:space="0" w:color="auto"/>
              <w:right w:val="nil"/>
            </w:tcBorders>
            <w:noWrap/>
            <w:vAlign w:val="bottom"/>
            <w:hideMark/>
          </w:tcPr>
          <w:p w14:paraId="21AF0D18" w14:textId="77777777" w:rsidR="00A043D3" w:rsidRPr="006D43A8" w:rsidRDefault="00A043D3" w:rsidP="00C370F8">
            <w:pPr>
              <w:spacing w:after="0" w:line="480" w:lineRule="auto"/>
              <w:jc w:val="center"/>
              <w:rPr>
                <w:rFonts w:ascii="Times New Roman" w:eastAsia="Times New Roman" w:hAnsi="Times New Roman" w:cs="Times New Roman"/>
                <w:i/>
                <w:iCs/>
                <w:color w:val="000000"/>
                <w:kern w:val="0"/>
                <w:sz w:val="24"/>
                <w:szCs w:val="24"/>
                <w14:ligatures w14:val="none"/>
              </w:rPr>
            </w:pPr>
            <w:r w:rsidRPr="006D43A8">
              <w:rPr>
                <w:rFonts w:ascii="Times New Roman" w:eastAsia="Times New Roman" w:hAnsi="Times New Roman" w:cs="Times New Roman"/>
                <w:i/>
                <w:iCs/>
                <w:color w:val="000000"/>
                <w:kern w:val="0"/>
                <w:sz w:val="24"/>
                <w:szCs w:val="24"/>
                <w14:ligatures w14:val="none"/>
              </w:rPr>
              <w:t>D(cm)</w:t>
            </w:r>
          </w:p>
        </w:tc>
        <w:tc>
          <w:tcPr>
            <w:tcW w:w="1443" w:type="dxa"/>
            <w:tcBorders>
              <w:top w:val="single" w:sz="4" w:space="0" w:color="auto"/>
              <w:left w:val="nil"/>
              <w:bottom w:val="single" w:sz="4" w:space="0" w:color="auto"/>
              <w:right w:val="nil"/>
            </w:tcBorders>
            <w:noWrap/>
            <w:vAlign w:val="bottom"/>
            <w:hideMark/>
          </w:tcPr>
          <w:p w14:paraId="53960AE3" w14:textId="77777777" w:rsidR="00A043D3" w:rsidRPr="006D43A8" w:rsidRDefault="00A043D3" w:rsidP="00C370F8">
            <w:pPr>
              <w:spacing w:after="0" w:line="480" w:lineRule="auto"/>
              <w:jc w:val="center"/>
              <w:rPr>
                <w:rFonts w:ascii="Times New Roman" w:eastAsia="Times New Roman" w:hAnsi="Times New Roman" w:cs="Times New Roman"/>
                <w:i/>
                <w:iCs/>
                <w:color w:val="000000"/>
                <w:kern w:val="0"/>
                <w:sz w:val="24"/>
                <w:szCs w:val="24"/>
                <w14:ligatures w14:val="none"/>
              </w:rPr>
            </w:pPr>
            <w:r w:rsidRPr="006D43A8">
              <w:rPr>
                <w:rFonts w:ascii="Times New Roman" w:eastAsia="Times New Roman" w:hAnsi="Times New Roman" w:cs="Times New Roman"/>
                <w:i/>
                <w:iCs/>
                <w:color w:val="000000"/>
                <w:kern w:val="0"/>
                <w:sz w:val="24"/>
                <w:szCs w:val="24"/>
                <w14:ligatures w14:val="none"/>
              </w:rPr>
              <w:t>t(s)</w:t>
            </w:r>
          </w:p>
        </w:tc>
        <w:tc>
          <w:tcPr>
            <w:tcW w:w="1443" w:type="dxa"/>
            <w:tcBorders>
              <w:top w:val="single" w:sz="4" w:space="0" w:color="auto"/>
              <w:left w:val="nil"/>
              <w:bottom w:val="single" w:sz="4" w:space="0" w:color="auto"/>
              <w:right w:val="nil"/>
            </w:tcBorders>
            <w:noWrap/>
            <w:vAlign w:val="bottom"/>
            <w:hideMark/>
          </w:tcPr>
          <w:p w14:paraId="3E2C9702" w14:textId="77777777" w:rsidR="00A043D3" w:rsidRPr="006D43A8" w:rsidRDefault="00A043D3" w:rsidP="00C370F8">
            <w:pPr>
              <w:spacing w:after="0" w:line="480" w:lineRule="auto"/>
              <w:jc w:val="center"/>
              <w:rPr>
                <w:rFonts w:ascii="Times New Roman" w:eastAsia="Times New Roman" w:hAnsi="Times New Roman" w:cs="Times New Roman"/>
                <w:i/>
                <w:iCs/>
                <w:color w:val="000000"/>
                <w:kern w:val="0"/>
                <w:sz w:val="24"/>
                <w:szCs w:val="24"/>
                <w14:ligatures w14:val="none"/>
              </w:rPr>
            </w:pPr>
            <w:r w:rsidRPr="006D43A8">
              <w:rPr>
                <w:rFonts w:ascii="Times New Roman" w:eastAsia="Times New Roman" w:hAnsi="Times New Roman" w:cs="Times New Roman"/>
                <w:i/>
                <w:iCs/>
                <w:color w:val="000000"/>
                <w:kern w:val="0"/>
                <w:sz w:val="24"/>
                <w:szCs w:val="24"/>
                <w14:ligatures w14:val="none"/>
              </w:rPr>
              <w:t xml:space="preserve">k </w:t>
            </w:r>
          </w:p>
          <w:p w14:paraId="4FA9FAD2" w14:textId="77777777" w:rsidR="00A043D3" w:rsidRPr="006D43A8" w:rsidRDefault="00A043D3" w:rsidP="00C370F8">
            <w:pPr>
              <w:spacing w:after="0" w:line="480" w:lineRule="auto"/>
              <w:jc w:val="center"/>
              <w:rPr>
                <w:rFonts w:ascii="Times New Roman" w:eastAsia="Times New Roman" w:hAnsi="Times New Roman" w:cs="Times New Roman"/>
                <w:i/>
                <w:iCs/>
                <w:color w:val="000000"/>
                <w:kern w:val="0"/>
                <w:sz w:val="24"/>
                <w:szCs w:val="24"/>
                <w14:ligatures w14:val="none"/>
              </w:rPr>
            </w:pPr>
            <w:r w:rsidRPr="006D43A8">
              <w:rPr>
                <w:rFonts w:ascii="Times New Roman" w:eastAsia="Times New Roman" w:hAnsi="Times New Roman" w:cs="Times New Roman"/>
                <w:i/>
                <w:iCs/>
                <w:color w:val="000000"/>
                <w:kern w:val="0"/>
                <w:sz w:val="24"/>
                <w:szCs w:val="24"/>
                <w14:ligatures w14:val="none"/>
              </w:rPr>
              <w:t>(cm/s)</w:t>
            </w:r>
          </w:p>
        </w:tc>
        <w:tc>
          <w:tcPr>
            <w:tcW w:w="1443" w:type="dxa"/>
            <w:tcBorders>
              <w:top w:val="single" w:sz="4" w:space="0" w:color="auto"/>
              <w:left w:val="nil"/>
              <w:bottom w:val="single" w:sz="4" w:space="0" w:color="auto"/>
              <w:right w:val="nil"/>
            </w:tcBorders>
            <w:noWrap/>
            <w:vAlign w:val="bottom"/>
            <w:hideMark/>
          </w:tcPr>
          <w:p w14:paraId="470834FD" w14:textId="77777777" w:rsidR="00A043D3" w:rsidRPr="006D43A8" w:rsidRDefault="00A043D3" w:rsidP="00C370F8">
            <w:pPr>
              <w:spacing w:after="0" w:line="480" w:lineRule="auto"/>
              <w:jc w:val="center"/>
              <w:rPr>
                <w:rFonts w:ascii="Times New Roman" w:eastAsia="Times New Roman" w:hAnsi="Times New Roman" w:cs="Times New Roman"/>
                <w:i/>
                <w:iCs/>
                <w:color w:val="000000"/>
                <w:kern w:val="0"/>
                <w:sz w:val="24"/>
                <w:szCs w:val="24"/>
                <w14:ligatures w14:val="none"/>
              </w:rPr>
            </w:pPr>
            <w:r w:rsidRPr="006D43A8">
              <w:rPr>
                <w:rFonts w:ascii="Times New Roman" w:eastAsia="Times New Roman" w:hAnsi="Times New Roman" w:cs="Times New Roman"/>
                <w:i/>
                <w:iCs/>
                <w:color w:val="000000"/>
                <w:kern w:val="0"/>
                <w:sz w:val="24"/>
                <w:szCs w:val="24"/>
                <w14:ligatures w14:val="none"/>
              </w:rPr>
              <w:t>C1 (mg/l)</w:t>
            </w:r>
          </w:p>
        </w:tc>
        <w:tc>
          <w:tcPr>
            <w:tcW w:w="1443" w:type="dxa"/>
            <w:tcBorders>
              <w:top w:val="single" w:sz="4" w:space="0" w:color="auto"/>
              <w:left w:val="nil"/>
              <w:bottom w:val="single" w:sz="4" w:space="0" w:color="auto"/>
              <w:right w:val="nil"/>
            </w:tcBorders>
            <w:noWrap/>
            <w:vAlign w:val="bottom"/>
            <w:hideMark/>
          </w:tcPr>
          <w:p w14:paraId="20E59A90" w14:textId="77777777" w:rsidR="00A043D3" w:rsidRPr="006D43A8" w:rsidRDefault="00A043D3" w:rsidP="00C370F8">
            <w:pPr>
              <w:spacing w:after="0" w:line="480" w:lineRule="auto"/>
              <w:jc w:val="center"/>
              <w:rPr>
                <w:rFonts w:ascii="Times New Roman" w:eastAsia="Times New Roman" w:hAnsi="Times New Roman" w:cs="Times New Roman"/>
                <w:i/>
                <w:iCs/>
                <w:color w:val="000000"/>
                <w:kern w:val="0"/>
                <w:sz w:val="24"/>
                <w:szCs w:val="24"/>
                <w14:ligatures w14:val="none"/>
              </w:rPr>
            </w:pPr>
            <w:r w:rsidRPr="006D43A8">
              <w:rPr>
                <w:rFonts w:ascii="Times New Roman" w:eastAsia="Times New Roman" w:hAnsi="Times New Roman" w:cs="Times New Roman"/>
                <w:i/>
                <w:iCs/>
                <w:color w:val="000000"/>
                <w:kern w:val="0"/>
                <w:sz w:val="24"/>
                <w:szCs w:val="24"/>
                <w14:ligatures w14:val="none"/>
              </w:rPr>
              <w:t>C2 (mg/l)</w:t>
            </w:r>
          </w:p>
        </w:tc>
      </w:tr>
      <w:tr w:rsidR="00A043D3" w:rsidRPr="006D43A8" w14:paraId="35E827A1" w14:textId="77777777" w:rsidTr="00D00122">
        <w:trPr>
          <w:trHeight w:val="386"/>
        </w:trPr>
        <w:tc>
          <w:tcPr>
            <w:tcW w:w="1758" w:type="dxa"/>
            <w:tcBorders>
              <w:top w:val="nil"/>
              <w:left w:val="nil"/>
              <w:bottom w:val="nil"/>
              <w:right w:val="nil"/>
            </w:tcBorders>
            <w:noWrap/>
            <w:vAlign w:val="bottom"/>
            <w:hideMark/>
          </w:tcPr>
          <w:p w14:paraId="4ED535DE" w14:textId="77777777" w:rsidR="00A043D3" w:rsidRPr="006D43A8" w:rsidRDefault="00A043D3" w:rsidP="00C370F8">
            <w:pPr>
              <w:spacing w:after="0" w:line="480" w:lineRule="auto"/>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D(cm)</w:t>
            </w:r>
          </w:p>
        </w:tc>
        <w:tc>
          <w:tcPr>
            <w:tcW w:w="1335" w:type="dxa"/>
            <w:tcBorders>
              <w:top w:val="nil"/>
              <w:left w:val="nil"/>
              <w:bottom w:val="nil"/>
              <w:right w:val="nil"/>
            </w:tcBorders>
            <w:noWrap/>
            <w:vAlign w:val="bottom"/>
            <w:hideMark/>
          </w:tcPr>
          <w:p w14:paraId="64805EA9"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1.00</w:t>
            </w:r>
          </w:p>
        </w:tc>
        <w:tc>
          <w:tcPr>
            <w:tcW w:w="1443" w:type="dxa"/>
            <w:tcBorders>
              <w:top w:val="nil"/>
              <w:left w:val="nil"/>
              <w:bottom w:val="nil"/>
              <w:right w:val="nil"/>
            </w:tcBorders>
            <w:noWrap/>
            <w:vAlign w:val="bottom"/>
            <w:hideMark/>
          </w:tcPr>
          <w:p w14:paraId="2BBC7182"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p>
        </w:tc>
        <w:tc>
          <w:tcPr>
            <w:tcW w:w="1443" w:type="dxa"/>
            <w:tcBorders>
              <w:top w:val="nil"/>
              <w:left w:val="nil"/>
              <w:bottom w:val="nil"/>
              <w:right w:val="nil"/>
            </w:tcBorders>
            <w:noWrap/>
            <w:vAlign w:val="bottom"/>
            <w:hideMark/>
          </w:tcPr>
          <w:p w14:paraId="775B4238" w14:textId="77777777" w:rsidR="00A043D3" w:rsidRPr="006D43A8" w:rsidRDefault="00A043D3" w:rsidP="00C370F8">
            <w:pPr>
              <w:spacing w:after="0" w:line="480" w:lineRule="auto"/>
              <w:jc w:val="center"/>
              <w:rPr>
                <w:rFonts w:ascii="Times New Roman" w:eastAsia="Times New Roman" w:hAnsi="Times New Roman" w:cs="Times New Roman"/>
                <w:kern w:val="0"/>
                <w:sz w:val="24"/>
                <w:szCs w:val="24"/>
                <w14:ligatures w14:val="none"/>
              </w:rPr>
            </w:pPr>
          </w:p>
        </w:tc>
        <w:tc>
          <w:tcPr>
            <w:tcW w:w="1443" w:type="dxa"/>
            <w:tcBorders>
              <w:top w:val="nil"/>
              <w:left w:val="nil"/>
              <w:bottom w:val="nil"/>
              <w:right w:val="nil"/>
            </w:tcBorders>
            <w:noWrap/>
            <w:vAlign w:val="bottom"/>
            <w:hideMark/>
          </w:tcPr>
          <w:p w14:paraId="03084ED1" w14:textId="77777777" w:rsidR="00A043D3" w:rsidRPr="006D43A8" w:rsidRDefault="00A043D3" w:rsidP="00C370F8">
            <w:pPr>
              <w:spacing w:after="0" w:line="480" w:lineRule="auto"/>
              <w:jc w:val="center"/>
              <w:rPr>
                <w:rFonts w:ascii="Times New Roman" w:eastAsia="Times New Roman" w:hAnsi="Times New Roman" w:cs="Times New Roman"/>
                <w:kern w:val="0"/>
                <w:sz w:val="24"/>
                <w:szCs w:val="24"/>
                <w14:ligatures w14:val="none"/>
              </w:rPr>
            </w:pPr>
          </w:p>
        </w:tc>
        <w:tc>
          <w:tcPr>
            <w:tcW w:w="1443" w:type="dxa"/>
            <w:tcBorders>
              <w:top w:val="nil"/>
              <w:left w:val="nil"/>
              <w:bottom w:val="nil"/>
              <w:right w:val="nil"/>
            </w:tcBorders>
            <w:noWrap/>
            <w:vAlign w:val="bottom"/>
            <w:hideMark/>
          </w:tcPr>
          <w:p w14:paraId="70C44DC3" w14:textId="77777777" w:rsidR="00A043D3" w:rsidRPr="006D43A8" w:rsidRDefault="00A043D3" w:rsidP="00C370F8">
            <w:pPr>
              <w:spacing w:after="0" w:line="480" w:lineRule="auto"/>
              <w:jc w:val="center"/>
              <w:rPr>
                <w:rFonts w:ascii="Times New Roman" w:eastAsia="Times New Roman" w:hAnsi="Times New Roman" w:cs="Times New Roman"/>
                <w:kern w:val="0"/>
                <w:sz w:val="24"/>
                <w:szCs w:val="24"/>
                <w14:ligatures w14:val="none"/>
              </w:rPr>
            </w:pPr>
          </w:p>
        </w:tc>
      </w:tr>
      <w:tr w:rsidR="00A043D3" w:rsidRPr="006D43A8" w14:paraId="0961F893" w14:textId="77777777" w:rsidTr="00D00122">
        <w:trPr>
          <w:trHeight w:val="386"/>
        </w:trPr>
        <w:tc>
          <w:tcPr>
            <w:tcW w:w="1758" w:type="dxa"/>
            <w:tcBorders>
              <w:top w:val="nil"/>
              <w:left w:val="nil"/>
              <w:bottom w:val="nil"/>
              <w:right w:val="nil"/>
            </w:tcBorders>
            <w:noWrap/>
            <w:vAlign w:val="bottom"/>
            <w:hideMark/>
          </w:tcPr>
          <w:p w14:paraId="26452AB9" w14:textId="77777777" w:rsidR="00A043D3" w:rsidRPr="006D43A8" w:rsidRDefault="00A043D3" w:rsidP="00C370F8">
            <w:pPr>
              <w:spacing w:after="0" w:line="480" w:lineRule="auto"/>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t(s)</w:t>
            </w:r>
          </w:p>
        </w:tc>
        <w:tc>
          <w:tcPr>
            <w:tcW w:w="1335" w:type="dxa"/>
            <w:tcBorders>
              <w:top w:val="nil"/>
              <w:left w:val="nil"/>
              <w:bottom w:val="nil"/>
              <w:right w:val="nil"/>
            </w:tcBorders>
            <w:noWrap/>
            <w:vAlign w:val="bottom"/>
            <w:hideMark/>
          </w:tcPr>
          <w:p w14:paraId="4684CFE0"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0.74</w:t>
            </w:r>
          </w:p>
        </w:tc>
        <w:tc>
          <w:tcPr>
            <w:tcW w:w="1443" w:type="dxa"/>
            <w:tcBorders>
              <w:top w:val="nil"/>
              <w:left w:val="nil"/>
              <w:bottom w:val="nil"/>
              <w:right w:val="nil"/>
            </w:tcBorders>
            <w:noWrap/>
            <w:vAlign w:val="bottom"/>
            <w:hideMark/>
          </w:tcPr>
          <w:p w14:paraId="7027A7F4"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1.00</w:t>
            </w:r>
          </w:p>
        </w:tc>
        <w:tc>
          <w:tcPr>
            <w:tcW w:w="1443" w:type="dxa"/>
            <w:tcBorders>
              <w:top w:val="nil"/>
              <w:left w:val="nil"/>
              <w:bottom w:val="nil"/>
              <w:right w:val="nil"/>
            </w:tcBorders>
            <w:noWrap/>
            <w:vAlign w:val="bottom"/>
            <w:hideMark/>
          </w:tcPr>
          <w:p w14:paraId="3C6324D7"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p>
        </w:tc>
        <w:tc>
          <w:tcPr>
            <w:tcW w:w="1443" w:type="dxa"/>
            <w:tcBorders>
              <w:top w:val="nil"/>
              <w:left w:val="nil"/>
              <w:bottom w:val="nil"/>
              <w:right w:val="nil"/>
            </w:tcBorders>
            <w:noWrap/>
            <w:vAlign w:val="bottom"/>
            <w:hideMark/>
          </w:tcPr>
          <w:p w14:paraId="428926D8" w14:textId="77777777" w:rsidR="00A043D3" w:rsidRPr="006D43A8" w:rsidRDefault="00A043D3" w:rsidP="00C370F8">
            <w:pPr>
              <w:spacing w:after="0" w:line="480" w:lineRule="auto"/>
              <w:jc w:val="center"/>
              <w:rPr>
                <w:rFonts w:ascii="Times New Roman" w:eastAsia="Times New Roman" w:hAnsi="Times New Roman" w:cs="Times New Roman"/>
                <w:kern w:val="0"/>
                <w:sz w:val="24"/>
                <w:szCs w:val="24"/>
                <w14:ligatures w14:val="none"/>
              </w:rPr>
            </w:pPr>
          </w:p>
        </w:tc>
        <w:tc>
          <w:tcPr>
            <w:tcW w:w="1443" w:type="dxa"/>
            <w:tcBorders>
              <w:top w:val="nil"/>
              <w:left w:val="nil"/>
              <w:bottom w:val="nil"/>
              <w:right w:val="nil"/>
            </w:tcBorders>
            <w:noWrap/>
            <w:vAlign w:val="bottom"/>
            <w:hideMark/>
          </w:tcPr>
          <w:p w14:paraId="22A40509" w14:textId="77777777" w:rsidR="00A043D3" w:rsidRPr="006D43A8" w:rsidRDefault="00A043D3" w:rsidP="00C370F8">
            <w:pPr>
              <w:spacing w:after="0" w:line="480" w:lineRule="auto"/>
              <w:jc w:val="center"/>
              <w:rPr>
                <w:rFonts w:ascii="Times New Roman" w:eastAsia="Times New Roman" w:hAnsi="Times New Roman" w:cs="Times New Roman"/>
                <w:kern w:val="0"/>
                <w:sz w:val="24"/>
                <w:szCs w:val="24"/>
                <w14:ligatures w14:val="none"/>
              </w:rPr>
            </w:pPr>
          </w:p>
        </w:tc>
      </w:tr>
      <w:tr w:rsidR="00A043D3" w:rsidRPr="006D43A8" w14:paraId="40D1218C" w14:textId="77777777" w:rsidTr="00D00122">
        <w:trPr>
          <w:trHeight w:val="386"/>
        </w:trPr>
        <w:tc>
          <w:tcPr>
            <w:tcW w:w="1758" w:type="dxa"/>
            <w:tcBorders>
              <w:top w:val="nil"/>
              <w:left w:val="nil"/>
              <w:bottom w:val="nil"/>
              <w:right w:val="nil"/>
            </w:tcBorders>
            <w:noWrap/>
            <w:vAlign w:val="bottom"/>
            <w:hideMark/>
          </w:tcPr>
          <w:p w14:paraId="0E89CBC3" w14:textId="77777777" w:rsidR="00A043D3" w:rsidRPr="006D43A8" w:rsidRDefault="00A043D3" w:rsidP="00C370F8">
            <w:pPr>
              <w:spacing w:after="0" w:line="480" w:lineRule="auto"/>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k (cm/s)</w:t>
            </w:r>
          </w:p>
        </w:tc>
        <w:tc>
          <w:tcPr>
            <w:tcW w:w="1335" w:type="dxa"/>
            <w:tcBorders>
              <w:top w:val="nil"/>
              <w:left w:val="nil"/>
              <w:bottom w:val="nil"/>
              <w:right w:val="nil"/>
            </w:tcBorders>
            <w:noWrap/>
            <w:vAlign w:val="bottom"/>
            <w:hideMark/>
          </w:tcPr>
          <w:p w14:paraId="575ABFB2"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-0.27</w:t>
            </w:r>
          </w:p>
        </w:tc>
        <w:tc>
          <w:tcPr>
            <w:tcW w:w="1443" w:type="dxa"/>
            <w:tcBorders>
              <w:top w:val="nil"/>
              <w:left w:val="nil"/>
              <w:bottom w:val="nil"/>
              <w:right w:val="nil"/>
            </w:tcBorders>
            <w:noWrap/>
            <w:vAlign w:val="bottom"/>
            <w:hideMark/>
          </w:tcPr>
          <w:p w14:paraId="4F78F0EC"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0.05</w:t>
            </w:r>
          </w:p>
        </w:tc>
        <w:tc>
          <w:tcPr>
            <w:tcW w:w="1443" w:type="dxa"/>
            <w:tcBorders>
              <w:top w:val="nil"/>
              <w:left w:val="nil"/>
              <w:bottom w:val="nil"/>
              <w:right w:val="nil"/>
            </w:tcBorders>
            <w:noWrap/>
            <w:vAlign w:val="bottom"/>
            <w:hideMark/>
          </w:tcPr>
          <w:p w14:paraId="6DBF5EBB"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1.00</w:t>
            </w:r>
          </w:p>
        </w:tc>
        <w:tc>
          <w:tcPr>
            <w:tcW w:w="1443" w:type="dxa"/>
            <w:tcBorders>
              <w:top w:val="nil"/>
              <w:left w:val="nil"/>
              <w:bottom w:val="nil"/>
              <w:right w:val="nil"/>
            </w:tcBorders>
            <w:noWrap/>
            <w:vAlign w:val="bottom"/>
            <w:hideMark/>
          </w:tcPr>
          <w:p w14:paraId="61A21355"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p>
        </w:tc>
        <w:tc>
          <w:tcPr>
            <w:tcW w:w="1443" w:type="dxa"/>
            <w:tcBorders>
              <w:top w:val="nil"/>
              <w:left w:val="nil"/>
              <w:bottom w:val="nil"/>
              <w:right w:val="nil"/>
            </w:tcBorders>
            <w:noWrap/>
            <w:vAlign w:val="bottom"/>
            <w:hideMark/>
          </w:tcPr>
          <w:p w14:paraId="21CC9732" w14:textId="77777777" w:rsidR="00A043D3" w:rsidRPr="006D43A8" w:rsidRDefault="00A043D3" w:rsidP="00C370F8">
            <w:pPr>
              <w:spacing w:after="0" w:line="480" w:lineRule="auto"/>
              <w:jc w:val="center"/>
              <w:rPr>
                <w:rFonts w:ascii="Times New Roman" w:eastAsia="Times New Roman" w:hAnsi="Times New Roman" w:cs="Times New Roman"/>
                <w:kern w:val="0"/>
                <w:sz w:val="24"/>
                <w:szCs w:val="24"/>
                <w14:ligatures w14:val="none"/>
              </w:rPr>
            </w:pPr>
          </w:p>
        </w:tc>
      </w:tr>
      <w:tr w:rsidR="00A043D3" w:rsidRPr="006D43A8" w14:paraId="12124868" w14:textId="77777777" w:rsidTr="00D00122">
        <w:trPr>
          <w:trHeight w:val="386"/>
        </w:trPr>
        <w:tc>
          <w:tcPr>
            <w:tcW w:w="1758" w:type="dxa"/>
            <w:tcBorders>
              <w:top w:val="nil"/>
              <w:left w:val="nil"/>
              <w:bottom w:val="nil"/>
              <w:right w:val="nil"/>
            </w:tcBorders>
            <w:noWrap/>
            <w:vAlign w:val="bottom"/>
            <w:hideMark/>
          </w:tcPr>
          <w:p w14:paraId="3200BD2B" w14:textId="77777777" w:rsidR="00A043D3" w:rsidRPr="006D43A8" w:rsidRDefault="00A043D3" w:rsidP="00C370F8">
            <w:pPr>
              <w:spacing w:after="0" w:line="480" w:lineRule="auto"/>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C1 (mg/l)</w:t>
            </w:r>
          </w:p>
        </w:tc>
        <w:tc>
          <w:tcPr>
            <w:tcW w:w="1335" w:type="dxa"/>
            <w:tcBorders>
              <w:top w:val="nil"/>
              <w:left w:val="nil"/>
              <w:bottom w:val="nil"/>
              <w:right w:val="nil"/>
            </w:tcBorders>
            <w:noWrap/>
            <w:vAlign w:val="bottom"/>
            <w:hideMark/>
          </w:tcPr>
          <w:p w14:paraId="6165F522"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-0.95</w:t>
            </w:r>
          </w:p>
        </w:tc>
        <w:tc>
          <w:tcPr>
            <w:tcW w:w="1443" w:type="dxa"/>
            <w:tcBorders>
              <w:top w:val="nil"/>
              <w:left w:val="nil"/>
              <w:bottom w:val="nil"/>
              <w:right w:val="nil"/>
            </w:tcBorders>
            <w:noWrap/>
            <w:vAlign w:val="bottom"/>
            <w:hideMark/>
          </w:tcPr>
          <w:p w14:paraId="1F7A0361"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-0.54</w:t>
            </w:r>
          </w:p>
        </w:tc>
        <w:tc>
          <w:tcPr>
            <w:tcW w:w="1443" w:type="dxa"/>
            <w:tcBorders>
              <w:top w:val="nil"/>
              <w:left w:val="nil"/>
              <w:bottom w:val="nil"/>
              <w:right w:val="nil"/>
            </w:tcBorders>
            <w:noWrap/>
            <w:vAlign w:val="bottom"/>
            <w:hideMark/>
          </w:tcPr>
          <w:p w14:paraId="26E0548A"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0.43</w:t>
            </w:r>
          </w:p>
        </w:tc>
        <w:tc>
          <w:tcPr>
            <w:tcW w:w="1443" w:type="dxa"/>
            <w:tcBorders>
              <w:top w:val="nil"/>
              <w:left w:val="nil"/>
              <w:bottom w:val="nil"/>
              <w:right w:val="nil"/>
            </w:tcBorders>
            <w:noWrap/>
            <w:vAlign w:val="bottom"/>
            <w:hideMark/>
          </w:tcPr>
          <w:p w14:paraId="071803BC"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1.00</w:t>
            </w:r>
          </w:p>
        </w:tc>
        <w:tc>
          <w:tcPr>
            <w:tcW w:w="1443" w:type="dxa"/>
            <w:tcBorders>
              <w:top w:val="nil"/>
              <w:left w:val="nil"/>
              <w:bottom w:val="nil"/>
              <w:right w:val="nil"/>
            </w:tcBorders>
            <w:noWrap/>
            <w:vAlign w:val="bottom"/>
            <w:hideMark/>
          </w:tcPr>
          <w:p w14:paraId="3F53EF5B"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p>
        </w:tc>
      </w:tr>
      <w:tr w:rsidR="00A043D3" w:rsidRPr="006D43A8" w14:paraId="72F92909" w14:textId="77777777" w:rsidTr="00D00122">
        <w:trPr>
          <w:trHeight w:val="386"/>
        </w:trPr>
        <w:tc>
          <w:tcPr>
            <w:tcW w:w="1758" w:type="dxa"/>
            <w:tcBorders>
              <w:top w:val="nil"/>
              <w:left w:val="nil"/>
              <w:bottom w:val="single" w:sz="4" w:space="0" w:color="auto"/>
              <w:right w:val="nil"/>
            </w:tcBorders>
            <w:noWrap/>
            <w:vAlign w:val="bottom"/>
            <w:hideMark/>
          </w:tcPr>
          <w:p w14:paraId="62708928" w14:textId="77777777" w:rsidR="00A043D3" w:rsidRPr="006D43A8" w:rsidRDefault="00A043D3" w:rsidP="00C370F8">
            <w:pPr>
              <w:spacing w:after="0" w:line="480" w:lineRule="auto"/>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C2 (mg/l)</w:t>
            </w:r>
          </w:p>
        </w:tc>
        <w:tc>
          <w:tcPr>
            <w:tcW w:w="1335" w:type="dxa"/>
            <w:tcBorders>
              <w:top w:val="nil"/>
              <w:left w:val="nil"/>
              <w:bottom w:val="single" w:sz="4" w:space="0" w:color="auto"/>
              <w:right w:val="nil"/>
            </w:tcBorders>
            <w:noWrap/>
            <w:vAlign w:val="bottom"/>
            <w:hideMark/>
          </w:tcPr>
          <w:p w14:paraId="124AB966"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-0.78</w:t>
            </w:r>
          </w:p>
        </w:tc>
        <w:tc>
          <w:tcPr>
            <w:tcW w:w="1443" w:type="dxa"/>
            <w:tcBorders>
              <w:top w:val="nil"/>
              <w:left w:val="nil"/>
              <w:bottom w:val="single" w:sz="4" w:space="0" w:color="auto"/>
              <w:right w:val="nil"/>
            </w:tcBorders>
            <w:noWrap/>
            <w:vAlign w:val="bottom"/>
            <w:hideMark/>
          </w:tcPr>
          <w:p w14:paraId="57B726D1"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-0.40</w:t>
            </w:r>
          </w:p>
        </w:tc>
        <w:tc>
          <w:tcPr>
            <w:tcW w:w="1443" w:type="dxa"/>
            <w:tcBorders>
              <w:top w:val="nil"/>
              <w:left w:val="nil"/>
              <w:bottom w:val="single" w:sz="4" w:space="0" w:color="auto"/>
              <w:right w:val="nil"/>
            </w:tcBorders>
            <w:noWrap/>
            <w:vAlign w:val="bottom"/>
            <w:hideMark/>
          </w:tcPr>
          <w:p w14:paraId="2858F293"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0.08</w:t>
            </w:r>
          </w:p>
        </w:tc>
        <w:tc>
          <w:tcPr>
            <w:tcW w:w="1443" w:type="dxa"/>
            <w:tcBorders>
              <w:top w:val="nil"/>
              <w:left w:val="nil"/>
              <w:bottom w:val="single" w:sz="4" w:space="0" w:color="auto"/>
              <w:right w:val="nil"/>
            </w:tcBorders>
            <w:noWrap/>
            <w:vAlign w:val="bottom"/>
            <w:hideMark/>
          </w:tcPr>
          <w:p w14:paraId="775EB24A"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0.84</w:t>
            </w:r>
          </w:p>
        </w:tc>
        <w:tc>
          <w:tcPr>
            <w:tcW w:w="1443" w:type="dxa"/>
            <w:tcBorders>
              <w:top w:val="nil"/>
              <w:left w:val="nil"/>
              <w:bottom w:val="single" w:sz="4" w:space="0" w:color="auto"/>
              <w:right w:val="nil"/>
            </w:tcBorders>
            <w:noWrap/>
            <w:vAlign w:val="bottom"/>
            <w:hideMark/>
          </w:tcPr>
          <w:p w14:paraId="06EAA644" w14:textId="77777777" w:rsidR="00A043D3" w:rsidRPr="006D43A8" w:rsidRDefault="00A043D3" w:rsidP="00C370F8">
            <w:pPr>
              <w:spacing w:after="0" w:line="480" w:lineRule="auto"/>
              <w:jc w:val="center"/>
              <w:rPr>
                <w:rFonts w:ascii="Times New Roman" w:eastAsia="Times New Roman" w:hAnsi="Times New Roman" w:cs="Times New Roman"/>
                <w:color w:val="000000"/>
                <w:kern w:val="0"/>
                <w:sz w:val="24"/>
                <w:szCs w:val="24"/>
                <w14:ligatures w14:val="none"/>
              </w:rPr>
            </w:pPr>
            <w:r w:rsidRPr="006D43A8">
              <w:rPr>
                <w:rFonts w:ascii="Times New Roman" w:eastAsia="Times New Roman" w:hAnsi="Times New Roman" w:cs="Times New Roman"/>
                <w:color w:val="000000"/>
                <w:kern w:val="0"/>
                <w:sz w:val="24"/>
                <w:szCs w:val="24"/>
                <w14:ligatures w14:val="none"/>
              </w:rPr>
              <w:t>1.00</w:t>
            </w:r>
          </w:p>
        </w:tc>
      </w:tr>
    </w:tbl>
    <w:p w14:paraId="5C8E32DE" w14:textId="77777777" w:rsidR="000A1C5B" w:rsidRPr="006D43A8" w:rsidRDefault="000A1C5B" w:rsidP="00C370F8">
      <w:pPr>
        <w:spacing w:line="480" w:lineRule="auto"/>
        <w:rPr>
          <w:rFonts w:ascii="Times New Roman" w:hAnsi="Times New Roman" w:cs="Times New Roman"/>
          <w:b/>
          <w:bCs/>
          <w:sz w:val="24"/>
          <w:szCs w:val="24"/>
        </w:rPr>
        <w:sectPr w:rsidR="000A1C5B" w:rsidRPr="006D43A8" w:rsidSect="005D12E9">
          <w:type w:val="continuous"/>
          <w:pgSz w:w="12240" w:h="15840"/>
          <w:pgMar w:top="1440" w:right="1440" w:bottom="1440" w:left="1440" w:header="720" w:footer="720" w:gutter="0"/>
          <w:cols w:space="720"/>
          <w:docGrid w:linePitch="360"/>
        </w:sectPr>
      </w:pPr>
      <w:bookmarkStart w:id="5" w:name="_Toc180418979"/>
    </w:p>
    <w:p w14:paraId="5D771B70" w14:textId="7907B4F5" w:rsidR="00E20A9C" w:rsidRPr="00E46AC1" w:rsidRDefault="00E20A9C" w:rsidP="00C370F8">
      <w:pPr>
        <w:spacing w:line="480" w:lineRule="auto"/>
        <w:rPr>
          <w:rFonts w:ascii="Arial" w:hAnsi="Arial" w:cs="Arial"/>
          <w:b/>
          <w:bCs/>
        </w:rPr>
      </w:pPr>
      <w:r w:rsidRPr="00E46AC1">
        <w:rPr>
          <w:rFonts w:ascii="Arial" w:hAnsi="Arial" w:cs="Arial"/>
          <w:b/>
          <w:bCs/>
        </w:rPr>
        <w:t>3.4 Statistical analysis</w:t>
      </w:r>
      <w:bookmarkEnd w:id="5"/>
    </w:p>
    <w:p w14:paraId="6B50D1F0" w14:textId="7F4E5247" w:rsidR="00E20A9C" w:rsidRPr="00E46AC1" w:rsidRDefault="00E20A9C" w:rsidP="00C370F8">
      <w:pPr>
        <w:spacing w:before="240" w:line="480" w:lineRule="auto"/>
        <w:jc w:val="both"/>
        <w:rPr>
          <w:rFonts w:ascii="Arial" w:hAnsi="Arial" w:cs="Arial"/>
          <w:sz w:val="20"/>
          <w:szCs w:val="20"/>
        </w:rPr>
      </w:pPr>
      <w:r w:rsidRPr="00E46AC1">
        <w:rPr>
          <w:rFonts w:ascii="Arial" w:hAnsi="Arial" w:cs="Arial"/>
          <w:sz w:val="20"/>
          <w:szCs w:val="20"/>
        </w:rPr>
        <w:t>The one-way analysis of variance (ANOVA) was carried out using the Microsoft XLSTAT package to test for variation between the concentration at depth (C</w:t>
      </w:r>
      <w:r w:rsidRPr="00E46AC1">
        <w:rPr>
          <w:rFonts w:ascii="Arial" w:hAnsi="Arial" w:cs="Arial"/>
          <w:sz w:val="20"/>
          <w:szCs w:val="20"/>
          <w:vertAlign w:val="subscript"/>
        </w:rPr>
        <w:t>2</w:t>
      </w:r>
      <w:r w:rsidRPr="00E46AC1">
        <w:rPr>
          <w:rFonts w:ascii="Arial" w:hAnsi="Arial" w:cs="Arial"/>
          <w:sz w:val="20"/>
          <w:szCs w:val="20"/>
        </w:rPr>
        <w:t xml:space="preserve">) for sandy and loamy soil. Results from the analysis showed that the </w:t>
      </w:r>
      <w:r w:rsidR="00BF7D3D">
        <w:rPr>
          <w:rFonts w:ascii="Arial" w:hAnsi="Arial" w:cs="Arial"/>
          <w:sz w:val="20"/>
          <w:szCs w:val="20"/>
        </w:rPr>
        <w:t>P</w:t>
      </w:r>
      <w:r w:rsidRPr="00E46AC1">
        <w:rPr>
          <w:rFonts w:ascii="Arial" w:hAnsi="Arial" w:cs="Arial"/>
          <w:sz w:val="20"/>
          <w:szCs w:val="20"/>
        </w:rPr>
        <w:t xml:space="preserve">-value is .002 and is less than the significance level of 5% (.05). This indicates that the </w:t>
      </w:r>
      <w:r w:rsidRPr="00E46AC1">
        <w:rPr>
          <w:rFonts w:ascii="Arial" w:hAnsi="Arial" w:cs="Arial"/>
          <w:sz w:val="20"/>
          <w:szCs w:val="20"/>
        </w:rPr>
        <w:lastRenderedPageBreak/>
        <w:t xml:space="preserve">observed differences are statistically significant, confirming that the type of soil significantly affects the concentration at depth. This is in agreement with the research of </w:t>
      </w:r>
      <w:sdt>
        <w:sdtPr>
          <w:rPr>
            <w:rFonts w:ascii="Arial" w:hAnsi="Arial" w:cs="Arial"/>
            <w:color w:val="000000"/>
            <w:sz w:val="20"/>
            <w:szCs w:val="20"/>
          </w:rPr>
          <w:tag w:val="MENDELEY_CITATION_v3_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"/>
          <w:id w:val="-2128914291"/>
          <w:placeholder>
            <w:docPart w:val="0D3C55AA66AA4EA6BD3DDFC75AB177AF"/>
          </w:placeholder>
        </w:sdtPr>
        <w:sdtEndPr/>
        <w:sdtContent>
          <w:r w:rsidR="002F7DEA" w:rsidRPr="00E46AC1">
            <w:rPr>
              <w:rFonts w:ascii="Arial" w:hAnsi="Arial" w:cs="Arial"/>
              <w:color w:val="000000"/>
              <w:sz w:val="20"/>
              <w:szCs w:val="20"/>
            </w:rPr>
            <w:t>Ding et al. (2023)</w:t>
          </w:r>
        </w:sdtContent>
      </w:sdt>
      <w:r w:rsidRPr="00E46AC1">
        <w:rPr>
          <w:rFonts w:ascii="Arial" w:hAnsi="Arial" w:cs="Arial"/>
          <w:color w:val="000000"/>
          <w:sz w:val="20"/>
          <w:szCs w:val="20"/>
        </w:rPr>
        <w:t xml:space="preserve"> who </w:t>
      </w:r>
      <w:r w:rsidRPr="00E46AC1">
        <w:rPr>
          <w:rFonts w:ascii="Arial" w:hAnsi="Arial" w:cs="Arial"/>
          <w:sz w:val="20"/>
          <w:szCs w:val="20"/>
        </w:rPr>
        <w:t xml:space="preserve">noted that soil texture significantly influences the movement of contaminants, with coarser soils like sand facilitating faster movement due to larger pore spaces. </w:t>
      </w:r>
      <w:sdt>
        <w:sdtPr>
          <w:rPr>
            <w:rFonts w:ascii="Arial" w:hAnsi="Arial" w:cs="Arial"/>
            <w:color w:val="000000"/>
            <w:sz w:val="20"/>
            <w:szCs w:val="20"/>
          </w:rPr>
          <w:tag w:val="MENDELEY_CITATION_v3_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"/>
          <w:id w:val="153195323"/>
          <w:placeholder>
            <w:docPart w:val="820846D9B31440F491BC96C09D26FA1A"/>
          </w:placeholder>
        </w:sdtPr>
        <w:sdtEndPr/>
        <w:sdtContent>
          <w:r w:rsidR="002F7DEA" w:rsidRPr="00E46AC1">
            <w:rPr>
              <w:rFonts w:ascii="Arial" w:hAnsi="Arial" w:cs="Arial"/>
              <w:color w:val="000000"/>
              <w:sz w:val="20"/>
              <w:szCs w:val="20"/>
            </w:rPr>
            <w:t>Gleeson et al. (2011)</w:t>
          </w:r>
        </w:sdtContent>
      </w:sdt>
      <w:r w:rsidRPr="00E46AC1">
        <w:rPr>
          <w:rFonts w:ascii="Arial" w:hAnsi="Arial" w:cs="Arial"/>
          <w:sz w:val="20"/>
          <w:szCs w:val="20"/>
        </w:rPr>
        <w:t xml:space="preserve"> on the other hand, noted that loamy soils, with their mixed particle sizes, exhibit slower contaminant movement due to their higher water retention and lower permeability. Higher concentrations of contaminants at depth in sandy soil can lead to greater risks of groundwater contamination due to its higher permeability and faster leaching times. On the contrary, loamy soil, with its lower permeability, may slow the transport of contaminants, potentially reducing the immediate risk to groundwater but potentially allowing for more surface runoff. These differences highlight the need for tailored remediation strategies based on soil type to protect water resources and </w:t>
      </w:r>
      <w:r w:rsidR="004F170B">
        <w:rPr>
          <w:rFonts w:ascii="Arial" w:hAnsi="Arial" w:cs="Arial"/>
          <w:sz w:val="20"/>
          <w:szCs w:val="20"/>
        </w:rPr>
        <w:t>minimise</w:t>
      </w:r>
      <w:r w:rsidRPr="00E46AC1">
        <w:rPr>
          <w:rFonts w:ascii="Arial" w:hAnsi="Arial" w:cs="Arial"/>
          <w:sz w:val="20"/>
          <w:szCs w:val="20"/>
        </w:rPr>
        <w:t xml:space="preserve"> environmental damage.</w:t>
      </w:r>
    </w:p>
    <w:p w14:paraId="5B6CE1B4" w14:textId="6F7E5022" w:rsidR="004278E0" w:rsidRPr="00E46AC1" w:rsidRDefault="00FF18FE" w:rsidP="00C370F8">
      <w:pPr>
        <w:spacing w:line="480" w:lineRule="auto"/>
        <w:rPr>
          <w:rFonts w:ascii="Arial" w:hAnsi="Arial" w:cs="Arial"/>
          <w:b/>
          <w:bCs/>
        </w:rPr>
      </w:pPr>
      <w:bookmarkStart w:id="6" w:name="_Toc180418980"/>
      <w:r w:rsidRPr="00E46AC1">
        <w:rPr>
          <w:rFonts w:ascii="Arial" w:hAnsi="Arial" w:cs="Arial"/>
          <w:b/>
          <w:bCs/>
        </w:rPr>
        <w:t>3.</w:t>
      </w:r>
      <w:r w:rsidR="004278E0" w:rsidRPr="00E46AC1">
        <w:rPr>
          <w:rFonts w:ascii="Arial" w:hAnsi="Arial" w:cs="Arial"/>
          <w:b/>
          <w:bCs/>
        </w:rPr>
        <w:t>5 Predictive model for TPH concentration at depth (C</w:t>
      </w:r>
      <w:r w:rsidR="004278E0" w:rsidRPr="00E46AC1">
        <w:rPr>
          <w:rFonts w:ascii="Arial" w:hAnsi="Arial" w:cs="Arial"/>
          <w:b/>
          <w:bCs/>
          <w:vertAlign w:val="subscript"/>
        </w:rPr>
        <w:t>2</w:t>
      </w:r>
      <w:r w:rsidR="004278E0" w:rsidRPr="00E46AC1">
        <w:rPr>
          <w:rFonts w:ascii="Arial" w:hAnsi="Arial" w:cs="Arial"/>
          <w:b/>
          <w:bCs/>
        </w:rPr>
        <w:t>)</w:t>
      </w:r>
      <w:bookmarkEnd w:id="6"/>
    </w:p>
    <w:p w14:paraId="7B1B95B2" w14:textId="4484DB26" w:rsidR="004278E0" w:rsidRPr="00E46AC1" w:rsidRDefault="004278E0" w:rsidP="00C370F8">
      <w:pPr>
        <w:spacing w:line="480" w:lineRule="auto"/>
        <w:jc w:val="both"/>
        <w:rPr>
          <w:rFonts w:ascii="Arial" w:hAnsi="Arial" w:cs="Arial"/>
          <w:sz w:val="20"/>
          <w:szCs w:val="20"/>
        </w:rPr>
      </w:pPr>
      <w:r w:rsidRPr="00E46AC1">
        <w:rPr>
          <w:rFonts w:ascii="Arial" w:hAnsi="Arial" w:cs="Arial"/>
          <w:sz w:val="20"/>
          <w:szCs w:val="20"/>
        </w:rPr>
        <w:t>Equation (16) presents the model for predicting the concentration at depth (C</w:t>
      </w:r>
      <w:r w:rsidRPr="00E46AC1">
        <w:rPr>
          <w:rFonts w:ascii="Arial" w:hAnsi="Arial" w:cs="Arial"/>
          <w:sz w:val="20"/>
          <w:szCs w:val="20"/>
          <w:vertAlign w:val="subscript"/>
        </w:rPr>
        <w:t>2</w:t>
      </w:r>
      <w:r w:rsidRPr="00E46AC1">
        <w:rPr>
          <w:rFonts w:ascii="Arial" w:hAnsi="Arial" w:cs="Arial"/>
          <w:sz w:val="20"/>
          <w:szCs w:val="20"/>
        </w:rPr>
        <w:t>) for sandy soil, while Equation (17) presents that of loamy soil. The data from which the model concept in Equation (14) was calibrated are shown in Tables 3 and 4 with concentration at depth (C</w:t>
      </w:r>
      <w:r w:rsidRPr="00E46AC1">
        <w:rPr>
          <w:rFonts w:ascii="Arial" w:hAnsi="Arial" w:cs="Arial"/>
          <w:sz w:val="20"/>
          <w:szCs w:val="20"/>
          <w:vertAlign w:val="subscript"/>
        </w:rPr>
        <w:t>2</w:t>
      </w:r>
      <w:r w:rsidRPr="00E46AC1">
        <w:rPr>
          <w:rFonts w:ascii="Arial" w:hAnsi="Arial" w:cs="Arial"/>
          <w:sz w:val="20"/>
          <w:szCs w:val="20"/>
        </w:rPr>
        <w:t>) as the dependent variable and soil depth (D), permeability (k), viscosity (μ), leaching time (t) and concentration at the surface (C</w:t>
      </w:r>
      <w:r w:rsidRPr="00E46AC1">
        <w:rPr>
          <w:rFonts w:ascii="Arial" w:hAnsi="Arial" w:cs="Arial"/>
          <w:sz w:val="20"/>
          <w:szCs w:val="20"/>
          <w:vertAlign w:val="subscript"/>
        </w:rPr>
        <w:t>1</w:t>
      </w:r>
      <w:r w:rsidRPr="00E46AC1">
        <w:rPr>
          <w:rFonts w:ascii="Arial" w:hAnsi="Arial" w:cs="Arial"/>
          <w:sz w:val="20"/>
          <w:szCs w:val="20"/>
        </w:rPr>
        <w:t xml:space="preserve">) as the independent </w:t>
      </w:r>
      <w:r w:rsidR="004F170B">
        <w:rPr>
          <w:rFonts w:ascii="Arial" w:hAnsi="Arial" w:cs="Arial"/>
          <w:sz w:val="20"/>
          <w:szCs w:val="20"/>
        </w:rPr>
        <w:t>variables</w:t>
      </w:r>
      <w:r w:rsidRPr="00E46AC1">
        <w:rPr>
          <w:rFonts w:ascii="Arial" w:hAnsi="Arial" w:cs="Arial"/>
          <w:sz w:val="20"/>
          <w:szCs w:val="20"/>
        </w:rPr>
        <w:t xml:space="preserve">. The models were calibrated using the 2019 version of Microsoft XLSTAT. </w:t>
      </w:r>
    </w:p>
    <w:p w14:paraId="38B25AA2" w14:textId="0C0742CF" w:rsidR="00FF18FE" w:rsidRPr="00E46AC1" w:rsidRDefault="00FF18FE" w:rsidP="00C370F8">
      <w:pPr>
        <w:spacing w:line="480" w:lineRule="auto"/>
        <w:jc w:val="both"/>
        <w:rPr>
          <w:rFonts w:ascii="Arial" w:hAnsi="Arial" w:cs="Arial"/>
          <w:sz w:val="20"/>
          <w:szCs w:val="20"/>
        </w:rPr>
      </w:pPr>
      <w:r w:rsidRPr="00E46AC1">
        <w:rPr>
          <w:rFonts w:ascii="Arial" w:hAnsi="Arial" w:cs="Arial"/>
          <w:sz w:val="20"/>
          <w:szCs w:val="20"/>
        </w:rPr>
        <w:t xml:space="preserve">These models were developed based on dimensional analysis and calibrated based on the relationships observed between these variables and the concentration at depth. The difference in the two models developed is supported by various studies </w:t>
      </w:r>
      <w:sdt>
        <w:sdtPr>
          <w:rPr>
            <w:rFonts w:ascii="Arial" w:hAnsi="Arial" w:cs="Arial"/>
            <w:color w:val="000000"/>
            <w:sz w:val="20"/>
            <w:szCs w:val="20"/>
          </w:rPr>
          <w:tag w:val="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"/>
          <w:id w:val="2030288077"/>
          <w:placeholder>
            <w:docPart w:val="D210016555984EB88EB679F51892FD7A"/>
          </w:placeholder>
        </w:sdtPr>
        <w:sdtEndPr/>
        <w:sdtContent>
          <w:r w:rsidR="002F7DEA" w:rsidRPr="00E46AC1">
            <w:rPr>
              <w:rFonts w:ascii="Arial" w:hAnsi="Arial" w:cs="Arial"/>
              <w:color w:val="000000"/>
              <w:sz w:val="20"/>
              <w:szCs w:val="20"/>
            </w:rPr>
            <w:t xml:space="preserve">(Morrison et al., 2022; </w:t>
          </w:r>
          <w:proofErr w:type="spellStart"/>
          <w:r w:rsidR="002F7DEA" w:rsidRPr="00E46AC1">
            <w:rPr>
              <w:rFonts w:ascii="Arial" w:hAnsi="Arial" w:cs="Arial"/>
              <w:color w:val="000000"/>
              <w:sz w:val="20"/>
              <w:szCs w:val="20"/>
            </w:rPr>
            <w:t>Pontoni</w:t>
          </w:r>
          <w:proofErr w:type="spellEnd"/>
          <w:r w:rsidR="002F7DEA" w:rsidRPr="00E46AC1">
            <w:rPr>
              <w:rFonts w:ascii="Arial" w:hAnsi="Arial" w:cs="Arial"/>
              <w:color w:val="000000"/>
              <w:sz w:val="20"/>
              <w:szCs w:val="20"/>
            </w:rPr>
            <w:t xml:space="preserve"> et al., 2016; Soares et al., 2015)</w:t>
          </w:r>
        </w:sdtContent>
      </w:sdt>
      <w:r w:rsidRPr="00E46AC1">
        <w:rPr>
          <w:rFonts w:ascii="Arial" w:hAnsi="Arial" w:cs="Arial"/>
          <w:sz w:val="20"/>
          <w:szCs w:val="20"/>
        </w:rPr>
        <w:t xml:space="preserve"> and can be attributed to sandy and loamy soils having distinct physical and chemical properties that affect the transport of contaminants. These differences are reflected in the varying coefficients and exponents in the models, indicating different influences of the independent variables on the concentration at depth for each soil type. The models developed are dependent on the respective soil type (soil and loam) studied, and contaminant (crude oil) properties and consider only one-dimensional transport in the vertical direction.</w:t>
      </w:r>
    </w:p>
    <w:p w14:paraId="6C4ACFAA" w14:textId="426625CA" w:rsidR="004278E0" w:rsidRPr="00E46AC1" w:rsidRDefault="00122B66" w:rsidP="00C370F8">
      <w:pPr>
        <w:spacing w:line="48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C</m:t>
            </m:r>
          </m:e>
          <m:sub>
            <m:r>
              <w:rPr>
                <w:rFonts w:ascii="Cambria Math" w:eastAsiaTheme="minorEastAsia" w:hAnsi="Cambria Math" w:cs="Arial"/>
                <w:sz w:val="20"/>
                <w:szCs w:val="20"/>
              </w:rPr>
              <m:t>2</m:t>
            </m:r>
          </m:sub>
        </m:sSub>
        <m:r>
          <w:rPr>
            <w:rFonts w:ascii="Cambria Math" w:eastAsiaTheme="minorEastAsia" w:hAnsi="Cambria Math" w:cs="Arial"/>
            <w:sz w:val="20"/>
            <w:szCs w:val="20"/>
          </w:rPr>
          <m:t>=</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μ</m:t>
            </m:r>
          </m:num>
          <m:den>
            <m:r>
              <w:rPr>
                <w:rFonts w:ascii="Cambria Math" w:eastAsiaTheme="minorEastAsia" w:hAnsi="Cambria Math" w:cs="Arial"/>
                <w:sz w:val="20"/>
                <w:szCs w:val="20"/>
              </w:rPr>
              <m:t>Dk</m:t>
            </m:r>
          </m:den>
        </m:f>
        <m:d>
          <m:dPr>
            <m:begChr m:val="["/>
            <m:endChr m:val="]"/>
            <m:ctrlPr>
              <w:rPr>
                <w:rFonts w:ascii="Cambria Math" w:eastAsiaTheme="minorEastAsia" w:hAnsi="Cambria Math" w:cs="Arial"/>
                <w:i/>
                <w:sz w:val="20"/>
                <w:szCs w:val="20"/>
              </w:rPr>
            </m:ctrlPr>
          </m:dPr>
          <m:e>
            <m:r>
              <w:rPr>
                <w:rFonts w:ascii="Cambria Math" w:eastAsiaTheme="minorEastAsia" w:hAnsi="Cambria Math" w:cs="Arial"/>
                <w:sz w:val="20"/>
                <w:szCs w:val="20"/>
              </w:rPr>
              <m:t>3.8108</m:t>
            </m:r>
            <m:sSup>
              <m:sSupPr>
                <m:ctrlPr>
                  <w:rPr>
                    <w:rFonts w:ascii="Cambria Math" w:eastAsiaTheme="minorEastAsia" w:hAnsi="Cambria Math" w:cs="Arial"/>
                    <w:i/>
                    <w:sz w:val="20"/>
                    <w:szCs w:val="20"/>
                  </w:rPr>
                </m:ctrlPr>
              </m:sSupPr>
              <m:e>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Dk</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C</m:t>
                            </m:r>
                          </m:e>
                          <m:sub>
                            <m:r>
                              <w:rPr>
                                <w:rFonts w:ascii="Cambria Math" w:eastAsiaTheme="minorEastAsia" w:hAnsi="Cambria Math" w:cs="Arial"/>
                                <w:sz w:val="20"/>
                                <w:szCs w:val="20"/>
                              </w:rPr>
                              <m:t>1</m:t>
                            </m:r>
                          </m:sub>
                        </m:sSub>
                      </m:num>
                      <m:den>
                        <m:r>
                          <w:rPr>
                            <w:rFonts w:ascii="Cambria Math" w:eastAsiaTheme="minorEastAsia" w:hAnsi="Cambria Math" w:cs="Arial"/>
                            <w:sz w:val="20"/>
                            <w:szCs w:val="20"/>
                          </w:rPr>
                          <m:t>μ</m:t>
                        </m:r>
                      </m:den>
                    </m:f>
                  </m:e>
                </m:d>
              </m:e>
              <m:sup>
                <m:r>
                  <w:rPr>
                    <w:rFonts w:ascii="Cambria Math" w:eastAsiaTheme="minorEastAsia" w:hAnsi="Cambria Math" w:cs="Arial"/>
                    <w:sz w:val="20"/>
                    <w:szCs w:val="20"/>
                  </w:rPr>
                  <m:t>0.8558</m:t>
                </m:r>
              </m:sup>
            </m:sSup>
            <m:sSup>
              <m:sSupPr>
                <m:ctrlPr>
                  <w:rPr>
                    <w:rFonts w:ascii="Cambria Math" w:eastAsiaTheme="minorEastAsia" w:hAnsi="Cambria Math" w:cs="Arial"/>
                    <w:i/>
                    <w:sz w:val="20"/>
                    <w:szCs w:val="20"/>
                  </w:rPr>
                </m:ctrlPr>
              </m:sSupPr>
              <m:e>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kt</m:t>
                        </m:r>
                      </m:num>
                      <m:den>
                        <m:r>
                          <w:rPr>
                            <w:rFonts w:ascii="Cambria Math" w:eastAsiaTheme="minorEastAsia" w:hAnsi="Cambria Math" w:cs="Arial"/>
                            <w:sz w:val="20"/>
                            <w:szCs w:val="20"/>
                          </w:rPr>
                          <m:t>D</m:t>
                        </m:r>
                      </m:den>
                    </m:f>
                  </m:e>
                </m:d>
              </m:e>
              <m:sup>
                <m:r>
                  <w:rPr>
                    <w:rFonts w:ascii="Cambria Math" w:eastAsiaTheme="minorEastAsia" w:hAnsi="Cambria Math" w:cs="Arial"/>
                    <w:sz w:val="20"/>
                    <w:szCs w:val="20"/>
                  </w:rPr>
                  <m:t>0.2098</m:t>
                </m:r>
              </m:sup>
            </m:sSup>
          </m:e>
        </m:d>
      </m:oMath>
      <w:r w:rsidR="000A1C5B" w:rsidRPr="00E46AC1">
        <w:rPr>
          <w:rFonts w:ascii="Arial" w:eastAsiaTheme="minorEastAsia" w:hAnsi="Arial" w:cs="Arial"/>
          <w:sz w:val="20"/>
          <w:szCs w:val="20"/>
        </w:rPr>
        <w:tab/>
      </w:r>
      <w:r w:rsidR="000A1C5B" w:rsidRPr="00E46AC1">
        <w:rPr>
          <w:rFonts w:ascii="Arial" w:eastAsiaTheme="minorEastAsia" w:hAnsi="Arial" w:cs="Arial"/>
          <w:sz w:val="20"/>
          <w:szCs w:val="20"/>
        </w:rPr>
        <w:tab/>
      </w:r>
      <w:r w:rsidR="000A1C5B" w:rsidRPr="00E46AC1">
        <w:rPr>
          <w:rFonts w:ascii="Arial" w:eastAsiaTheme="minorEastAsia" w:hAnsi="Arial" w:cs="Arial"/>
          <w:sz w:val="20"/>
          <w:szCs w:val="20"/>
        </w:rPr>
        <w:tab/>
      </w:r>
      <w:r w:rsidR="000A1C5B" w:rsidRPr="00E46AC1">
        <w:rPr>
          <w:rFonts w:ascii="Arial" w:eastAsiaTheme="minorEastAsia" w:hAnsi="Arial" w:cs="Arial"/>
          <w:sz w:val="20"/>
          <w:szCs w:val="20"/>
        </w:rPr>
        <w:tab/>
      </w:r>
      <w:r w:rsidR="000A1C5B" w:rsidRPr="00E46AC1">
        <w:rPr>
          <w:rFonts w:ascii="Arial" w:eastAsiaTheme="minorEastAsia" w:hAnsi="Arial" w:cs="Arial"/>
          <w:sz w:val="20"/>
          <w:szCs w:val="20"/>
        </w:rPr>
        <w:tab/>
      </w:r>
      <w:r w:rsidR="000A1C5B" w:rsidRPr="00E46AC1">
        <w:rPr>
          <w:rFonts w:ascii="Arial" w:eastAsiaTheme="minorEastAsia" w:hAnsi="Arial" w:cs="Arial"/>
          <w:sz w:val="20"/>
          <w:szCs w:val="20"/>
        </w:rPr>
        <w:tab/>
      </w:r>
      <w:r w:rsidR="004278E0" w:rsidRPr="00E46AC1">
        <w:rPr>
          <w:rFonts w:ascii="Arial" w:eastAsiaTheme="minorEastAsia" w:hAnsi="Arial" w:cs="Arial"/>
          <w:sz w:val="20"/>
          <w:szCs w:val="20"/>
        </w:rPr>
        <w:t>(16)</w:t>
      </w:r>
    </w:p>
    <w:p w14:paraId="56424A5C" w14:textId="3A24D2E1" w:rsidR="000A1C5B" w:rsidRPr="00C370F8" w:rsidRDefault="00122B66" w:rsidP="00C370F8">
      <w:pPr>
        <w:spacing w:line="480" w:lineRule="auto"/>
        <w:jc w:val="both"/>
        <w:rPr>
          <w:rFonts w:ascii="Arial" w:eastAsiaTheme="minorEastAsia" w:hAnsi="Arial" w:cs="Arial"/>
          <w:sz w:val="20"/>
          <w:szCs w:val="20"/>
        </w:rPr>
        <w:sectPr w:rsidR="000A1C5B" w:rsidRPr="00C370F8" w:rsidSect="005D12E9">
          <w:type w:val="continuous"/>
          <w:pgSz w:w="12240" w:h="15840"/>
          <w:pgMar w:top="1440" w:right="1440" w:bottom="1440" w:left="1440" w:header="720" w:footer="720" w:gutter="0"/>
          <w:cols w:space="720"/>
          <w:docGrid w:linePitch="360"/>
        </w:sect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C</m:t>
            </m:r>
          </m:e>
          <m:sub>
            <m:r>
              <w:rPr>
                <w:rFonts w:ascii="Cambria Math" w:eastAsiaTheme="minorEastAsia" w:hAnsi="Cambria Math" w:cs="Arial"/>
                <w:sz w:val="20"/>
                <w:szCs w:val="20"/>
              </w:rPr>
              <m:t>2</m:t>
            </m:r>
          </m:sub>
        </m:sSub>
        <m:r>
          <w:rPr>
            <w:rFonts w:ascii="Cambria Math" w:eastAsiaTheme="minorEastAsia" w:hAnsi="Cambria Math" w:cs="Arial"/>
            <w:sz w:val="20"/>
            <w:szCs w:val="20"/>
          </w:rPr>
          <m:t>=</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μ</m:t>
            </m:r>
          </m:num>
          <m:den>
            <m:r>
              <w:rPr>
                <w:rFonts w:ascii="Cambria Math" w:eastAsiaTheme="minorEastAsia" w:hAnsi="Cambria Math" w:cs="Arial"/>
                <w:sz w:val="20"/>
                <w:szCs w:val="20"/>
              </w:rPr>
              <m:t>Dk</m:t>
            </m:r>
          </m:den>
        </m:f>
        <m:d>
          <m:dPr>
            <m:begChr m:val="["/>
            <m:endChr m:val="]"/>
            <m:ctrlPr>
              <w:rPr>
                <w:rFonts w:ascii="Cambria Math" w:eastAsiaTheme="minorEastAsia" w:hAnsi="Cambria Math" w:cs="Arial"/>
                <w:i/>
                <w:sz w:val="20"/>
                <w:szCs w:val="20"/>
              </w:rPr>
            </m:ctrlPr>
          </m:dPr>
          <m:e>
            <m:r>
              <w:rPr>
                <w:rFonts w:ascii="Cambria Math" w:eastAsiaTheme="minorEastAsia" w:hAnsi="Cambria Math" w:cs="Arial"/>
                <w:sz w:val="20"/>
                <w:szCs w:val="20"/>
              </w:rPr>
              <m:t>48.6036</m:t>
            </m:r>
            <m:sSup>
              <m:sSupPr>
                <m:ctrlPr>
                  <w:rPr>
                    <w:rFonts w:ascii="Cambria Math" w:eastAsiaTheme="minorEastAsia" w:hAnsi="Cambria Math" w:cs="Arial"/>
                    <w:i/>
                    <w:sz w:val="20"/>
                    <w:szCs w:val="20"/>
                  </w:rPr>
                </m:ctrlPr>
              </m:sSupPr>
              <m:e>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Dk</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C</m:t>
                            </m:r>
                          </m:e>
                          <m:sub>
                            <m:r>
                              <w:rPr>
                                <w:rFonts w:ascii="Cambria Math" w:eastAsiaTheme="minorEastAsia" w:hAnsi="Cambria Math" w:cs="Arial"/>
                                <w:sz w:val="20"/>
                                <w:szCs w:val="20"/>
                              </w:rPr>
                              <m:t>1</m:t>
                            </m:r>
                          </m:sub>
                        </m:sSub>
                      </m:num>
                      <m:den>
                        <m:r>
                          <w:rPr>
                            <w:rFonts w:ascii="Cambria Math" w:eastAsiaTheme="minorEastAsia" w:hAnsi="Cambria Math" w:cs="Arial"/>
                            <w:sz w:val="20"/>
                            <w:szCs w:val="20"/>
                          </w:rPr>
                          <m:t>μ</m:t>
                        </m:r>
                      </m:den>
                    </m:f>
                  </m:e>
                </m:d>
              </m:e>
              <m:sup>
                <m:r>
                  <w:rPr>
                    <w:rFonts w:ascii="Cambria Math" w:eastAsiaTheme="minorEastAsia" w:hAnsi="Cambria Math" w:cs="Arial"/>
                    <w:sz w:val="20"/>
                    <w:szCs w:val="20"/>
                  </w:rPr>
                  <m:t>0.429</m:t>
                </m:r>
              </m:sup>
            </m:sSup>
            <m:sSup>
              <m:sSupPr>
                <m:ctrlPr>
                  <w:rPr>
                    <w:rFonts w:ascii="Cambria Math" w:eastAsiaTheme="minorEastAsia" w:hAnsi="Cambria Math" w:cs="Arial"/>
                    <w:i/>
                    <w:sz w:val="20"/>
                    <w:szCs w:val="20"/>
                  </w:rPr>
                </m:ctrlPr>
              </m:sSupPr>
              <m:e>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kt</m:t>
                        </m:r>
                      </m:num>
                      <m:den>
                        <m:r>
                          <w:rPr>
                            <w:rFonts w:ascii="Cambria Math" w:eastAsiaTheme="minorEastAsia" w:hAnsi="Cambria Math" w:cs="Arial"/>
                            <w:sz w:val="20"/>
                            <w:szCs w:val="20"/>
                          </w:rPr>
                          <m:t>D</m:t>
                        </m:r>
                      </m:den>
                    </m:f>
                  </m:e>
                </m:d>
              </m:e>
              <m:sup>
                <m:r>
                  <w:rPr>
                    <w:rFonts w:ascii="Cambria Math" w:eastAsiaTheme="minorEastAsia" w:hAnsi="Cambria Math" w:cs="Arial"/>
                    <w:sz w:val="20"/>
                    <w:szCs w:val="20"/>
                  </w:rPr>
                  <m:t>-0.1882</m:t>
                </m:r>
              </m:sup>
            </m:sSup>
          </m:e>
        </m:d>
      </m:oMath>
      <w:r w:rsidR="004278E0" w:rsidRPr="00E46AC1">
        <w:rPr>
          <w:rFonts w:ascii="Arial" w:eastAsiaTheme="minorEastAsia" w:hAnsi="Arial" w:cs="Arial"/>
          <w:sz w:val="20"/>
          <w:szCs w:val="20"/>
        </w:rPr>
        <w:tab/>
      </w:r>
      <w:r w:rsidR="004278E0" w:rsidRPr="00E46AC1">
        <w:rPr>
          <w:rFonts w:ascii="Arial" w:eastAsiaTheme="minorEastAsia" w:hAnsi="Arial" w:cs="Arial"/>
          <w:sz w:val="20"/>
          <w:szCs w:val="20"/>
        </w:rPr>
        <w:tab/>
      </w:r>
      <w:r w:rsidR="004278E0" w:rsidRPr="00E46AC1">
        <w:rPr>
          <w:rFonts w:ascii="Arial" w:eastAsiaTheme="minorEastAsia" w:hAnsi="Arial" w:cs="Arial"/>
          <w:sz w:val="20"/>
          <w:szCs w:val="20"/>
        </w:rPr>
        <w:tab/>
      </w:r>
      <w:r w:rsidR="004278E0" w:rsidRPr="00E46AC1">
        <w:rPr>
          <w:rFonts w:ascii="Arial" w:eastAsiaTheme="minorEastAsia" w:hAnsi="Arial" w:cs="Arial"/>
          <w:sz w:val="20"/>
          <w:szCs w:val="20"/>
        </w:rPr>
        <w:tab/>
      </w:r>
      <w:r w:rsidR="004278E0" w:rsidRPr="00E46AC1">
        <w:rPr>
          <w:rFonts w:ascii="Arial" w:eastAsiaTheme="minorEastAsia" w:hAnsi="Arial" w:cs="Arial"/>
          <w:sz w:val="20"/>
          <w:szCs w:val="20"/>
        </w:rPr>
        <w:tab/>
      </w:r>
      <w:r w:rsidR="004278E0" w:rsidRPr="00E46AC1">
        <w:rPr>
          <w:rFonts w:ascii="Arial" w:eastAsiaTheme="minorEastAsia" w:hAnsi="Arial" w:cs="Arial"/>
          <w:sz w:val="20"/>
          <w:szCs w:val="20"/>
        </w:rPr>
        <w:tab/>
        <w:t>(17)</w:t>
      </w:r>
    </w:p>
    <w:p w14:paraId="4BEB333D" w14:textId="4774C9DC" w:rsidR="00FF18FE" w:rsidRPr="009A53D8" w:rsidRDefault="00FF18FE" w:rsidP="00C370F8">
      <w:pPr>
        <w:spacing w:before="240" w:line="480" w:lineRule="auto"/>
        <w:rPr>
          <w:rFonts w:ascii="Arial" w:hAnsi="Arial" w:cs="Arial"/>
          <w:b/>
          <w:bCs/>
          <w:sz w:val="20"/>
          <w:szCs w:val="20"/>
        </w:rPr>
      </w:pPr>
      <w:bookmarkStart w:id="7" w:name="_Toc180419039"/>
      <w:r w:rsidRPr="009A53D8">
        <w:rPr>
          <w:rFonts w:ascii="Arial" w:hAnsi="Arial" w:cs="Arial"/>
          <w:b/>
          <w:bCs/>
          <w:sz w:val="20"/>
          <w:szCs w:val="20"/>
        </w:rPr>
        <w:t>Table 3: Data table for sandy soil</w:t>
      </w:r>
      <w:bookmarkEnd w:id="7"/>
    </w:p>
    <w:tbl>
      <w:tblPr>
        <w:tblpPr w:leftFromText="180" w:rightFromText="180" w:vertAnchor="text" w:tblpY="1"/>
        <w:tblOverlap w:val="never"/>
        <w:tblW w:w="6075" w:type="dxa"/>
        <w:tblLook w:val="04A0" w:firstRow="1" w:lastRow="0" w:firstColumn="1" w:lastColumn="0" w:noHBand="0" w:noVBand="1"/>
      </w:tblPr>
      <w:tblGrid>
        <w:gridCol w:w="1099"/>
        <w:gridCol w:w="941"/>
        <w:gridCol w:w="1099"/>
        <w:gridCol w:w="1468"/>
        <w:gridCol w:w="1468"/>
      </w:tblGrid>
      <w:tr w:rsidR="00FF18FE" w:rsidRPr="009A53D8" w14:paraId="2F1E05A4" w14:textId="77777777" w:rsidTr="00FF18FE">
        <w:trPr>
          <w:trHeight w:val="342"/>
        </w:trPr>
        <w:tc>
          <w:tcPr>
            <w:tcW w:w="1099" w:type="dxa"/>
            <w:tcBorders>
              <w:top w:val="single" w:sz="4" w:space="0" w:color="auto"/>
              <w:left w:val="nil"/>
              <w:bottom w:val="single" w:sz="4" w:space="0" w:color="auto"/>
              <w:right w:val="nil"/>
            </w:tcBorders>
            <w:noWrap/>
            <w:vAlign w:val="bottom"/>
            <w:hideMark/>
          </w:tcPr>
          <w:p w14:paraId="19198321" w14:textId="77777777" w:rsidR="00FF18FE" w:rsidRPr="009A53D8" w:rsidRDefault="00FF18FE" w:rsidP="00C370F8">
            <w:pPr>
              <w:spacing w:after="0" w:line="240" w:lineRule="auto"/>
              <w:jc w:val="center"/>
              <w:rPr>
                <w:rFonts w:ascii="Arial" w:eastAsia="Times New Roman" w:hAnsi="Arial" w:cs="Arial"/>
                <w:b/>
                <w:bCs/>
                <w:color w:val="000000"/>
                <w:kern w:val="0"/>
                <w:sz w:val="20"/>
                <w:szCs w:val="20"/>
                <w14:ligatures w14:val="none"/>
              </w:rPr>
            </w:pPr>
            <w:r w:rsidRPr="009A53D8">
              <w:rPr>
                <w:rFonts w:ascii="Arial" w:eastAsia="Times New Roman" w:hAnsi="Arial" w:cs="Arial"/>
                <w:b/>
                <w:bCs/>
                <w:color w:val="000000"/>
                <w:kern w:val="0"/>
                <w:sz w:val="20"/>
                <w:szCs w:val="20"/>
                <w14:ligatures w14:val="none"/>
              </w:rPr>
              <w:t>D(cm)</w:t>
            </w:r>
          </w:p>
        </w:tc>
        <w:tc>
          <w:tcPr>
            <w:tcW w:w="941" w:type="dxa"/>
            <w:tcBorders>
              <w:top w:val="single" w:sz="4" w:space="0" w:color="auto"/>
              <w:left w:val="nil"/>
              <w:bottom w:val="single" w:sz="4" w:space="0" w:color="auto"/>
              <w:right w:val="nil"/>
            </w:tcBorders>
            <w:noWrap/>
            <w:vAlign w:val="bottom"/>
            <w:hideMark/>
          </w:tcPr>
          <w:p w14:paraId="02C845E9" w14:textId="77777777" w:rsidR="00FF18FE" w:rsidRPr="009A53D8" w:rsidRDefault="00FF18FE" w:rsidP="00C370F8">
            <w:pPr>
              <w:spacing w:after="0" w:line="240" w:lineRule="auto"/>
              <w:jc w:val="center"/>
              <w:rPr>
                <w:rFonts w:ascii="Arial" w:eastAsia="Times New Roman" w:hAnsi="Arial" w:cs="Arial"/>
                <w:b/>
                <w:bCs/>
                <w:color w:val="000000"/>
                <w:kern w:val="0"/>
                <w:sz w:val="20"/>
                <w:szCs w:val="20"/>
                <w14:ligatures w14:val="none"/>
              </w:rPr>
            </w:pPr>
            <w:r w:rsidRPr="009A53D8">
              <w:rPr>
                <w:rFonts w:ascii="Arial" w:eastAsia="Times New Roman" w:hAnsi="Arial" w:cs="Arial"/>
                <w:b/>
                <w:bCs/>
                <w:color w:val="000000"/>
                <w:kern w:val="0"/>
                <w:sz w:val="20"/>
                <w:szCs w:val="20"/>
                <w14:ligatures w14:val="none"/>
              </w:rPr>
              <w:t>t (s)</w:t>
            </w:r>
          </w:p>
        </w:tc>
        <w:tc>
          <w:tcPr>
            <w:tcW w:w="1099" w:type="dxa"/>
            <w:tcBorders>
              <w:top w:val="single" w:sz="4" w:space="0" w:color="auto"/>
              <w:left w:val="nil"/>
              <w:bottom w:val="single" w:sz="4" w:space="0" w:color="auto"/>
              <w:right w:val="nil"/>
            </w:tcBorders>
            <w:noWrap/>
            <w:vAlign w:val="bottom"/>
            <w:hideMark/>
          </w:tcPr>
          <w:p w14:paraId="582EA29B" w14:textId="77777777" w:rsidR="00FF18FE" w:rsidRPr="009A53D8" w:rsidRDefault="00FF18FE" w:rsidP="00C370F8">
            <w:pPr>
              <w:spacing w:after="0" w:line="240" w:lineRule="auto"/>
              <w:jc w:val="center"/>
              <w:rPr>
                <w:rFonts w:ascii="Arial" w:eastAsia="Times New Roman" w:hAnsi="Arial" w:cs="Arial"/>
                <w:b/>
                <w:bCs/>
                <w:color w:val="000000"/>
                <w:kern w:val="0"/>
                <w:sz w:val="20"/>
                <w:szCs w:val="20"/>
                <w14:ligatures w14:val="none"/>
              </w:rPr>
            </w:pPr>
            <w:r w:rsidRPr="009A53D8">
              <w:rPr>
                <w:rFonts w:ascii="Arial" w:eastAsia="Times New Roman" w:hAnsi="Arial" w:cs="Arial"/>
                <w:b/>
                <w:bCs/>
                <w:color w:val="000000"/>
                <w:kern w:val="0"/>
                <w:sz w:val="20"/>
                <w:szCs w:val="20"/>
                <w14:ligatures w14:val="none"/>
              </w:rPr>
              <w:t>k (cm/s)</w:t>
            </w:r>
          </w:p>
        </w:tc>
        <w:tc>
          <w:tcPr>
            <w:tcW w:w="1468" w:type="dxa"/>
            <w:tcBorders>
              <w:top w:val="single" w:sz="4" w:space="0" w:color="auto"/>
              <w:left w:val="nil"/>
              <w:bottom w:val="single" w:sz="4" w:space="0" w:color="auto"/>
              <w:right w:val="nil"/>
            </w:tcBorders>
            <w:noWrap/>
            <w:vAlign w:val="bottom"/>
            <w:hideMark/>
          </w:tcPr>
          <w:p w14:paraId="1020FF89" w14:textId="77777777" w:rsidR="00FF18FE" w:rsidRPr="009A53D8" w:rsidRDefault="00FF18FE" w:rsidP="00C370F8">
            <w:pPr>
              <w:spacing w:after="0" w:line="240" w:lineRule="auto"/>
              <w:jc w:val="center"/>
              <w:rPr>
                <w:rFonts w:ascii="Arial" w:eastAsia="Times New Roman" w:hAnsi="Arial" w:cs="Arial"/>
                <w:b/>
                <w:bCs/>
                <w:color w:val="000000"/>
                <w:kern w:val="0"/>
                <w:sz w:val="20"/>
                <w:szCs w:val="20"/>
                <w14:ligatures w14:val="none"/>
              </w:rPr>
            </w:pPr>
            <w:r w:rsidRPr="009A53D8">
              <w:rPr>
                <w:rFonts w:ascii="Arial" w:eastAsia="Times New Roman" w:hAnsi="Arial" w:cs="Arial"/>
                <w:b/>
                <w:bCs/>
                <w:color w:val="000000"/>
                <w:kern w:val="0"/>
                <w:sz w:val="20"/>
                <w:szCs w:val="20"/>
                <w14:ligatures w14:val="none"/>
              </w:rPr>
              <w:t>C</w:t>
            </w:r>
            <w:r w:rsidRPr="009A53D8">
              <w:rPr>
                <w:rFonts w:ascii="Arial" w:eastAsia="Times New Roman" w:hAnsi="Arial" w:cs="Arial"/>
                <w:b/>
                <w:bCs/>
                <w:color w:val="000000"/>
                <w:kern w:val="0"/>
                <w:sz w:val="20"/>
                <w:szCs w:val="20"/>
                <w:vertAlign w:val="subscript"/>
                <w14:ligatures w14:val="none"/>
              </w:rPr>
              <w:t xml:space="preserve">1 </w:t>
            </w:r>
            <w:r w:rsidRPr="009A53D8">
              <w:rPr>
                <w:rFonts w:ascii="Arial" w:eastAsia="Times New Roman" w:hAnsi="Arial" w:cs="Arial"/>
                <w:b/>
                <w:bCs/>
                <w:color w:val="000000"/>
                <w:kern w:val="0"/>
                <w:sz w:val="20"/>
                <w:szCs w:val="20"/>
                <w14:ligatures w14:val="none"/>
              </w:rPr>
              <w:t>(mg/l)</w:t>
            </w:r>
          </w:p>
        </w:tc>
        <w:tc>
          <w:tcPr>
            <w:tcW w:w="1468" w:type="dxa"/>
            <w:tcBorders>
              <w:top w:val="single" w:sz="4" w:space="0" w:color="auto"/>
              <w:left w:val="nil"/>
              <w:bottom w:val="single" w:sz="4" w:space="0" w:color="auto"/>
              <w:right w:val="nil"/>
            </w:tcBorders>
            <w:noWrap/>
            <w:vAlign w:val="bottom"/>
            <w:hideMark/>
          </w:tcPr>
          <w:p w14:paraId="5CF7F279" w14:textId="77777777" w:rsidR="00FF18FE" w:rsidRPr="009A53D8" w:rsidRDefault="00FF18FE" w:rsidP="00C370F8">
            <w:pPr>
              <w:spacing w:after="0" w:line="240" w:lineRule="auto"/>
              <w:jc w:val="center"/>
              <w:rPr>
                <w:rFonts w:ascii="Arial" w:eastAsia="Times New Roman" w:hAnsi="Arial" w:cs="Arial"/>
                <w:b/>
                <w:bCs/>
                <w:color w:val="000000"/>
                <w:kern w:val="0"/>
                <w:sz w:val="20"/>
                <w:szCs w:val="20"/>
                <w14:ligatures w14:val="none"/>
              </w:rPr>
            </w:pPr>
            <w:r w:rsidRPr="009A53D8">
              <w:rPr>
                <w:rFonts w:ascii="Arial" w:eastAsia="Times New Roman" w:hAnsi="Arial" w:cs="Arial"/>
                <w:b/>
                <w:bCs/>
                <w:color w:val="000000"/>
                <w:kern w:val="0"/>
                <w:sz w:val="20"/>
                <w:szCs w:val="20"/>
                <w14:ligatures w14:val="none"/>
              </w:rPr>
              <w:t>C</w:t>
            </w:r>
            <w:r w:rsidRPr="009A53D8">
              <w:rPr>
                <w:rFonts w:ascii="Arial" w:eastAsia="Times New Roman" w:hAnsi="Arial" w:cs="Arial"/>
                <w:b/>
                <w:bCs/>
                <w:color w:val="000000"/>
                <w:kern w:val="0"/>
                <w:sz w:val="20"/>
                <w:szCs w:val="20"/>
                <w:vertAlign w:val="subscript"/>
                <w14:ligatures w14:val="none"/>
              </w:rPr>
              <w:t>2</w:t>
            </w:r>
            <w:r w:rsidRPr="009A53D8">
              <w:rPr>
                <w:rFonts w:ascii="Arial" w:eastAsia="Times New Roman" w:hAnsi="Arial" w:cs="Arial"/>
                <w:b/>
                <w:bCs/>
                <w:color w:val="000000"/>
                <w:kern w:val="0"/>
                <w:sz w:val="20"/>
                <w:szCs w:val="20"/>
                <w14:ligatures w14:val="none"/>
              </w:rPr>
              <w:t xml:space="preserve"> (mg/l)</w:t>
            </w:r>
          </w:p>
        </w:tc>
      </w:tr>
      <w:tr w:rsidR="00FF18FE" w:rsidRPr="009A53D8" w14:paraId="58E33ACF" w14:textId="77777777" w:rsidTr="00FF18FE">
        <w:trPr>
          <w:trHeight w:val="342"/>
        </w:trPr>
        <w:tc>
          <w:tcPr>
            <w:tcW w:w="1099" w:type="dxa"/>
            <w:tcBorders>
              <w:top w:val="nil"/>
              <w:left w:val="nil"/>
              <w:bottom w:val="nil"/>
              <w:right w:val="nil"/>
            </w:tcBorders>
            <w:noWrap/>
            <w:vAlign w:val="bottom"/>
            <w:hideMark/>
          </w:tcPr>
          <w:p w14:paraId="2DCB3DD2"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10</w:t>
            </w:r>
          </w:p>
        </w:tc>
        <w:tc>
          <w:tcPr>
            <w:tcW w:w="941" w:type="dxa"/>
            <w:tcBorders>
              <w:top w:val="nil"/>
              <w:left w:val="nil"/>
              <w:bottom w:val="nil"/>
              <w:right w:val="nil"/>
            </w:tcBorders>
            <w:noWrap/>
            <w:vAlign w:val="bottom"/>
            <w:hideMark/>
          </w:tcPr>
          <w:p w14:paraId="690F6193"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37</w:t>
            </w:r>
          </w:p>
        </w:tc>
        <w:tc>
          <w:tcPr>
            <w:tcW w:w="1099" w:type="dxa"/>
            <w:tcBorders>
              <w:top w:val="nil"/>
              <w:left w:val="nil"/>
              <w:bottom w:val="nil"/>
              <w:right w:val="nil"/>
            </w:tcBorders>
            <w:noWrap/>
            <w:vAlign w:val="bottom"/>
            <w:hideMark/>
          </w:tcPr>
          <w:p w14:paraId="0E1F3EC3"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0.20</w:t>
            </w:r>
          </w:p>
        </w:tc>
        <w:tc>
          <w:tcPr>
            <w:tcW w:w="1468" w:type="dxa"/>
            <w:tcBorders>
              <w:top w:val="nil"/>
              <w:left w:val="nil"/>
              <w:bottom w:val="nil"/>
              <w:right w:val="nil"/>
            </w:tcBorders>
            <w:noWrap/>
            <w:vAlign w:val="bottom"/>
            <w:hideMark/>
          </w:tcPr>
          <w:p w14:paraId="5FB78A11"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42125</w:t>
            </w:r>
          </w:p>
        </w:tc>
        <w:tc>
          <w:tcPr>
            <w:tcW w:w="1468" w:type="dxa"/>
            <w:tcBorders>
              <w:top w:val="nil"/>
              <w:left w:val="nil"/>
              <w:bottom w:val="nil"/>
              <w:right w:val="nil"/>
            </w:tcBorders>
            <w:noWrap/>
            <w:vAlign w:val="bottom"/>
            <w:hideMark/>
          </w:tcPr>
          <w:p w14:paraId="1F38961B"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28913</w:t>
            </w:r>
          </w:p>
        </w:tc>
      </w:tr>
      <w:tr w:rsidR="00FF18FE" w:rsidRPr="009A53D8" w14:paraId="210F8F48" w14:textId="77777777" w:rsidTr="00FF18FE">
        <w:trPr>
          <w:trHeight w:val="342"/>
        </w:trPr>
        <w:tc>
          <w:tcPr>
            <w:tcW w:w="1099" w:type="dxa"/>
            <w:tcBorders>
              <w:top w:val="nil"/>
              <w:left w:val="nil"/>
              <w:bottom w:val="nil"/>
              <w:right w:val="nil"/>
            </w:tcBorders>
            <w:noWrap/>
            <w:vAlign w:val="bottom"/>
            <w:hideMark/>
          </w:tcPr>
          <w:p w14:paraId="20540F76"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15</w:t>
            </w:r>
          </w:p>
        </w:tc>
        <w:tc>
          <w:tcPr>
            <w:tcW w:w="941" w:type="dxa"/>
            <w:tcBorders>
              <w:top w:val="nil"/>
              <w:left w:val="nil"/>
              <w:bottom w:val="nil"/>
              <w:right w:val="nil"/>
            </w:tcBorders>
            <w:noWrap/>
            <w:vAlign w:val="bottom"/>
            <w:hideMark/>
          </w:tcPr>
          <w:p w14:paraId="53E1E9CC"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38</w:t>
            </w:r>
          </w:p>
        </w:tc>
        <w:tc>
          <w:tcPr>
            <w:tcW w:w="1099" w:type="dxa"/>
            <w:tcBorders>
              <w:top w:val="nil"/>
              <w:left w:val="nil"/>
              <w:bottom w:val="nil"/>
              <w:right w:val="nil"/>
            </w:tcBorders>
            <w:noWrap/>
            <w:vAlign w:val="bottom"/>
            <w:hideMark/>
          </w:tcPr>
          <w:p w14:paraId="1CD31F56"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0.63</w:t>
            </w:r>
          </w:p>
        </w:tc>
        <w:tc>
          <w:tcPr>
            <w:tcW w:w="1468" w:type="dxa"/>
            <w:tcBorders>
              <w:top w:val="nil"/>
              <w:left w:val="nil"/>
              <w:bottom w:val="nil"/>
              <w:right w:val="nil"/>
            </w:tcBorders>
            <w:noWrap/>
            <w:vAlign w:val="bottom"/>
            <w:hideMark/>
          </w:tcPr>
          <w:p w14:paraId="6A65F31E"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40283</w:t>
            </w:r>
          </w:p>
        </w:tc>
        <w:tc>
          <w:tcPr>
            <w:tcW w:w="1468" w:type="dxa"/>
            <w:tcBorders>
              <w:top w:val="nil"/>
              <w:left w:val="nil"/>
              <w:bottom w:val="nil"/>
              <w:right w:val="nil"/>
            </w:tcBorders>
            <w:noWrap/>
            <w:vAlign w:val="bottom"/>
            <w:hideMark/>
          </w:tcPr>
          <w:p w14:paraId="642CADAC"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28107</w:t>
            </w:r>
          </w:p>
        </w:tc>
      </w:tr>
      <w:tr w:rsidR="00FF18FE" w:rsidRPr="009A53D8" w14:paraId="0A60DF04" w14:textId="77777777" w:rsidTr="00FF18FE">
        <w:trPr>
          <w:trHeight w:val="342"/>
        </w:trPr>
        <w:tc>
          <w:tcPr>
            <w:tcW w:w="1099" w:type="dxa"/>
            <w:tcBorders>
              <w:top w:val="nil"/>
              <w:left w:val="nil"/>
              <w:bottom w:val="nil"/>
              <w:right w:val="nil"/>
            </w:tcBorders>
            <w:noWrap/>
            <w:vAlign w:val="bottom"/>
            <w:hideMark/>
          </w:tcPr>
          <w:p w14:paraId="6CF870EE"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20</w:t>
            </w:r>
          </w:p>
        </w:tc>
        <w:tc>
          <w:tcPr>
            <w:tcW w:w="941" w:type="dxa"/>
            <w:tcBorders>
              <w:top w:val="nil"/>
              <w:left w:val="nil"/>
              <w:bottom w:val="nil"/>
              <w:right w:val="nil"/>
            </w:tcBorders>
            <w:noWrap/>
            <w:vAlign w:val="bottom"/>
            <w:hideMark/>
          </w:tcPr>
          <w:p w14:paraId="12114802"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137</w:t>
            </w:r>
          </w:p>
        </w:tc>
        <w:tc>
          <w:tcPr>
            <w:tcW w:w="1099" w:type="dxa"/>
            <w:tcBorders>
              <w:top w:val="nil"/>
              <w:left w:val="nil"/>
              <w:bottom w:val="nil"/>
              <w:right w:val="nil"/>
            </w:tcBorders>
            <w:noWrap/>
            <w:vAlign w:val="bottom"/>
            <w:hideMark/>
          </w:tcPr>
          <w:p w14:paraId="3C043DC8"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0.38</w:t>
            </w:r>
          </w:p>
        </w:tc>
        <w:tc>
          <w:tcPr>
            <w:tcW w:w="1468" w:type="dxa"/>
            <w:tcBorders>
              <w:top w:val="nil"/>
              <w:left w:val="nil"/>
              <w:bottom w:val="nil"/>
              <w:right w:val="nil"/>
            </w:tcBorders>
            <w:noWrap/>
            <w:vAlign w:val="bottom"/>
            <w:hideMark/>
          </w:tcPr>
          <w:p w14:paraId="09C2FF52"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37450</w:t>
            </w:r>
          </w:p>
        </w:tc>
        <w:tc>
          <w:tcPr>
            <w:tcW w:w="1468" w:type="dxa"/>
            <w:tcBorders>
              <w:top w:val="nil"/>
              <w:left w:val="nil"/>
              <w:bottom w:val="nil"/>
              <w:right w:val="nil"/>
            </w:tcBorders>
            <w:noWrap/>
            <w:vAlign w:val="bottom"/>
            <w:hideMark/>
          </w:tcPr>
          <w:p w14:paraId="18C9A237"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28037</w:t>
            </w:r>
          </w:p>
        </w:tc>
      </w:tr>
      <w:tr w:rsidR="00FF18FE" w:rsidRPr="009A53D8" w14:paraId="2ECD48E0" w14:textId="77777777" w:rsidTr="00FF18FE">
        <w:trPr>
          <w:trHeight w:val="342"/>
        </w:trPr>
        <w:tc>
          <w:tcPr>
            <w:tcW w:w="1099" w:type="dxa"/>
            <w:tcBorders>
              <w:top w:val="nil"/>
              <w:left w:val="nil"/>
              <w:bottom w:val="nil"/>
              <w:right w:val="nil"/>
            </w:tcBorders>
            <w:noWrap/>
            <w:vAlign w:val="bottom"/>
            <w:hideMark/>
          </w:tcPr>
          <w:p w14:paraId="4158576C"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25</w:t>
            </w:r>
          </w:p>
        </w:tc>
        <w:tc>
          <w:tcPr>
            <w:tcW w:w="941" w:type="dxa"/>
            <w:tcBorders>
              <w:top w:val="nil"/>
              <w:left w:val="nil"/>
              <w:bottom w:val="nil"/>
              <w:right w:val="nil"/>
            </w:tcBorders>
            <w:noWrap/>
            <w:vAlign w:val="bottom"/>
            <w:hideMark/>
          </w:tcPr>
          <w:p w14:paraId="751EA233"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180</w:t>
            </w:r>
          </w:p>
        </w:tc>
        <w:tc>
          <w:tcPr>
            <w:tcW w:w="1099" w:type="dxa"/>
            <w:tcBorders>
              <w:top w:val="nil"/>
              <w:left w:val="nil"/>
              <w:bottom w:val="nil"/>
              <w:right w:val="nil"/>
            </w:tcBorders>
            <w:noWrap/>
            <w:vAlign w:val="bottom"/>
            <w:hideMark/>
          </w:tcPr>
          <w:p w14:paraId="334161CF"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0.48</w:t>
            </w:r>
          </w:p>
        </w:tc>
        <w:tc>
          <w:tcPr>
            <w:tcW w:w="1468" w:type="dxa"/>
            <w:tcBorders>
              <w:top w:val="nil"/>
              <w:left w:val="nil"/>
              <w:bottom w:val="nil"/>
              <w:right w:val="nil"/>
            </w:tcBorders>
            <w:noWrap/>
            <w:vAlign w:val="bottom"/>
            <w:hideMark/>
          </w:tcPr>
          <w:p w14:paraId="6E520F99"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24432</w:t>
            </w:r>
          </w:p>
        </w:tc>
        <w:tc>
          <w:tcPr>
            <w:tcW w:w="1468" w:type="dxa"/>
            <w:tcBorders>
              <w:top w:val="nil"/>
              <w:left w:val="nil"/>
              <w:bottom w:val="nil"/>
              <w:right w:val="nil"/>
            </w:tcBorders>
            <w:noWrap/>
            <w:vAlign w:val="bottom"/>
            <w:hideMark/>
          </w:tcPr>
          <w:p w14:paraId="5D2D52C5"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19019</w:t>
            </w:r>
          </w:p>
        </w:tc>
      </w:tr>
      <w:tr w:rsidR="00FF18FE" w:rsidRPr="009A53D8" w14:paraId="4096B425" w14:textId="77777777" w:rsidTr="00FF18FE">
        <w:trPr>
          <w:trHeight w:val="342"/>
        </w:trPr>
        <w:tc>
          <w:tcPr>
            <w:tcW w:w="1099" w:type="dxa"/>
            <w:tcBorders>
              <w:top w:val="nil"/>
              <w:left w:val="nil"/>
              <w:bottom w:val="nil"/>
              <w:right w:val="nil"/>
            </w:tcBorders>
            <w:noWrap/>
            <w:vAlign w:val="bottom"/>
            <w:hideMark/>
          </w:tcPr>
          <w:p w14:paraId="14719624"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30</w:t>
            </w:r>
          </w:p>
        </w:tc>
        <w:tc>
          <w:tcPr>
            <w:tcW w:w="941" w:type="dxa"/>
            <w:tcBorders>
              <w:top w:val="nil"/>
              <w:left w:val="nil"/>
              <w:bottom w:val="nil"/>
              <w:right w:val="nil"/>
            </w:tcBorders>
            <w:noWrap/>
            <w:vAlign w:val="bottom"/>
            <w:hideMark/>
          </w:tcPr>
          <w:p w14:paraId="6499919B"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410</w:t>
            </w:r>
          </w:p>
        </w:tc>
        <w:tc>
          <w:tcPr>
            <w:tcW w:w="1099" w:type="dxa"/>
            <w:tcBorders>
              <w:top w:val="nil"/>
              <w:left w:val="nil"/>
              <w:bottom w:val="nil"/>
              <w:right w:val="nil"/>
            </w:tcBorders>
            <w:noWrap/>
            <w:vAlign w:val="bottom"/>
            <w:hideMark/>
          </w:tcPr>
          <w:p w14:paraId="7273DFCA"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0.31</w:t>
            </w:r>
          </w:p>
        </w:tc>
        <w:tc>
          <w:tcPr>
            <w:tcW w:w="1468" w:type="dxa"/>
            <w:tcBorders>
              <w:top w:val="nil"/>
              <w:left w:val="nil"/>
              <w:bottom w:val="nil"/>
              <w:right w:val="nil"/>
            </w:tcBorders>
            <w:noWrap/>
            <w:vAlign w:val="bottom"/>
            <w:hideMark/>
          </w:tcPr>
          <w:p w14:paraId="625D4B95"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16527</w:t>
            </w:r>
          </w:p>
        </w:tc>
        <w:tc>
          <w:tcPr>
            <w:tcW w:w="1468" w:type="dxa"/>
            <w:tcBorders>
              <w:top w:val="nil"/>
              <w:left w:val="nil"/>
              <w:bottom w:val="nil"/>
              <w:right w:val="nil"/>
            </w:tcBorders>
            <w:noWrap/>
            <w:vAlign w:val="bottom"/>
            <w:hideMark/>
          </w:tcPr>
          <w:p w14:paraId="30296F11"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17596</w:t>
            </w:r>
          </w:p>
        </w:tc>
      </w:tr>
      <w:tr w:rsidR="00FF18FE" w:rsidRPr="009A53D8" w14:paraId="6DF3F97C" w14:textId="77777777" w:rsidTr="00FF18FE">
        <w:trPr>
          <w:trHeight w:val="342"/>
        </w:trPr>
        <w:tc>
          <w:tcPr>
            <w:tcW w:w="1099" w:type="dxa"/>
            <w:tcBorders>
              <w:top w:val="nil"/>
              <w:left w:val="nil"/>
              <w:bottom w:val="nil"/>
              <w:right w:val="nil"/>
            </w:tcBorders>
            <w:noWrap/>
            <w:vAlign w:val="bottom"/>
            <w:hideMark/>
          </w:tcPr>
          <w:p w14:paraId="7089C887"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35</w:t>
            </w:r>
          </w:p>
        </w:tc>
        <w:tc>
          <w:tcPr>
            <w:tcW w:w="941" w:type="dxa"/>
            <w:tcBorders>
              <w:top w:val="nil"/>
              <w:left w:val="nil"/>
              <w:bottom w:val="nil"/>
              <w:right w:val="nil"/>
            </w:tcBorders>
            <w:noWrap/>
            <w:vAlign w:val="bottom"/>
            <w:hideMark/>
          </w:tcPr>
          <w:p w14:paraId="70DEE21E"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563</w:t>
            </w:r>
          </w:p>
        </w:tc>
        <w:tc>
          <w:tcPr>
            <w:tcW w:w="1099" w:type="dxa"/>
            <w:tcBorders>
              <w:top w:val="nil"/>
              <w:left w:val="nil"/>
              <w:bottom w:val="nil"/>
              <w:right w:val="nil"/>
            </w:tcBorders>
            <w:noWrap/>
            <w:vAlign w:val="bottom"/>
            <w:hideMark/>
          </w:tcPr>
          <w:p w14:paraId="31959B80"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0.23</w:t>
            </w:r>
          </w:p>
        </w:tc>
        <w:tc>
          <w:tcPr>
            <w:tcW w:w="1468" w:type="dxa"/>
            <w:tcBorders>
              <w:top w:val="nil"/>
              <w:left w:val="nil"/>
              <w:bottom w:val="nil"/>
              <w:right w:val="nil"/>
            </w:tcBorders>
            <w:noWrap/>
            <w:vAlign w:val="bottom"/>
            <w:hideMark/>
          </w:tcPr>
          <w:p w14:paraId="537B480E"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11226</w:t>
            </w:r>
          </w:p>
        </w:tc>
        <w:tc>
          <w:tcPr>
            <w:tcW w:w="1468" w:type="dxa"/>
            <w:tcBorders>
              <w:top w:val="nil"/>
              <w:left w:val="nil"/>
              <w:bottom w:val="nil"/>
              <w:right w:val="nil"/>
            </w:tcBorders>
            <w:noWrap/>
            <w:vAlign w:val="bottom"/>
            <w:hideMark/>
          </w:tcPr>
          <w:p w14:paraId="3B8810A9"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12272</w:t>
            </w:r>
          </w:p>
        </w:tc>
      </w:tr>
      <w:tr w:rsidR="00FF18FE" w:rsidRPr="009A53D8" w14:paraId="7C88DB40" w14:textId="77777777" w:rsidTr="00FF18FE">
        <w:trPr>
          <w:trHeight w:val="342"/>
        </w:trPr>
        <w:tc>
          <w:tcPr>
            <w:tcW w:w="1099" w:type="dxa"/>
            <w:tcBorders>
              <w:top w:val="nil"/>
              <w:left w:val="nil"/>
              <w:bottom w:val="nil"/>
              <w:right w:val="nil"/>
            </w:tcBorders>
            <w:noWrap/>
            <w:vAlign w:val="bottom"/>
            <w:hideMark/>
          </w:tcPr>
          <w:p w14:paraId="43B6FEEF"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40</w:t>
            </w:r>
          </w:p>
        </w:tc>
        <w:tc>
          <w:tcPr>
            <w:tcW w:w="941" w:type="dxa"/>
            <w:tcBorders>
              <w:top w:val="nil"/>
              <w:left w:val="nil"/>
              <w:bottom w:val="nil"/>
              <w:right w:val="nil"/>
            </w:tcBorders>
            <w:noWrap/>
            <w:vAlign w:val="bottom"/>
            <w:hideMark/>
          </w:tcPr>
          <w:p w14:paraId="5E5EFE73"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830</w:t>
            </w:r>
          </w:p>
        </w:tc>
        <w:tc>
          <w:tcPr>
            <w:tcW w:w="1099" w:type="dxa"/>
            <w:tcBorders>
              <w:top w:val="nil"/>
              <w:left w:val="nil"/>
              <w:bottom w:val="nil"/>
              <w:right w:val="nil"/>
            </w:tcBorders>
            <w:noWrap/>
            <w:vAlign w:val="bottom"/>
            <w:hideMark/>
          </w:tcPr>
          <w:p w14:paraId="7D5463A1"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0.30</w:t>
            </w:r>
          </w:p>
        </w:tc>
        <w:tc>
          <w:tcPr>
            <w:tcW w:w="1468" w:type="dxa"/>
            <w:tcBorders>
              <w:top w:val="nil"/>
              <w:left w:val="nil"/>
              <w:bottom w:val="nil"/>
              <w:right w:val="nil"/>
            </w:tcBorders>
            <w:noWrap/>
            <w:vAlign w:val="bottom"/>
            <w:hideMark/>
          </w:tcPr>
          <w:p w14:paraId="297F203C"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9163</w:t>
            </w:r>
          </w:p>
        </w:tc>
        <w:tc>
          <w:tcPr>
            <w:tcW w:w="1468" w:type="dxa"/>
            <w:tcBorders>
              <w:top w:val="nil"/>
              <w:left w:val="nil"/>
              <w:bottom w:val="nil"/>
              <w:right w:val="nil"/>
            </w:tcBorders>
            <w:noWrap/>
            <w:vAlign w:val="bottom"/>
            <w:hideMark/>
          </w:tcPr>
          <w:p w14:paraId="0D04644F"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11262</w:t>
            </w:r>
          </w:p>
        </w:tc>
      </w:tr>
      <w:tr w:rsidR="00FF18FE" w:rsidRPr="009A53D8" w14:paraId="1B4B67F1" w14:textId="77777777" w:rsidTr="00FF18FE">
        <w:trPr>
          <w:trHeight w:val="342"/>
        </w:trPr>
        <w:tc>
          <w:tcPr>
            <w:tcW w:w="1099" w:type="dxa"/>
            <w:tcBorders>
              <w:top w:val="nil"/>
              <w:left w:val="nil"/>
              <w:bottom w:val="nil"/>
              <w:right w:val="nil"/>
            </w:tcBorders>
            <w:noWrap/>
            <w:vAlign w:val="bottom"/>
            <w:hideMark/>
          </w:tcPr>
          <w:p w14:paraId="29501B11"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45</w:t>
            </w:r>
          </w:p>
        </w:tc>
        <w:tc>
          <w:tcPr>
            <w:tcW w:w="941" w:type="dxa"/>
            <w:tcBorders>
              <w:top w:val="nil"/>
              <w:left w:val="nil"/>
              <w:bottom w:val="nil"/>
              <w:right w:val="nil"/>
            </w:tcBorders>
            <w:noWrap/>
            <w:vAlign w:val="bottom"/>
            <w:hideMark/>
          </w:tcPr>
          <w:p w14:paraId="012B158D"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1386</w:t>
            </w:r>
          </w:p>
        </w:tc>
        <w:tc>
          <w:tcPr>
            <w:tcW w:w="1099" w:type="dxa"/>
            <w:tcBorders>
              <w:top w:val="nil"/>
              <w:left w:val="nil"/>
              <w:bottom w:val="nil"/>
              <w:right w:val="nil"/>
            </w:tcBorders>
            <w:noWrap/>
            <w:vAlign w:val="bottom"/>
            <w:hideMark/>
          </w:tcPr>
          <w:p w14:paraId="6CE66270"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0.16</w:t>
            </w:r>
          </w:p>
        </w:tc>
        <w:tc>
          <w:tcPr>
            <w:tcW w:w="1468" w:type="dxa"/>
            <w:tcBorders>
              <w:top w:val="nil"/>
              <w:left w:val="nil"/>
              <w:bottom w:val="nil"/>
              <w:right w:val="nil"/>
            </w:tcBorders>
            <w:noWrap/>
            <w:vAlign w:val="bottom"/>
            <w:hideMark/>
          </w:tcPr>
          <w:p w14:paraId="5D5B66F0"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9103</w:t>
            </w:r>
          </w:p>
        </w:tc>
        <w:tc>
          <w:tcPr>
            <w:tcW w:w="1468" w:type="dxa"/>
            <w:tcBorders>
              <w:top w:val="nil"/>
              <w:left w:val="nil"/>
              <w:bottom w:val="nil"/>
              <w:right w:val="nil"/>
            </w:tcBorders>
            <w:noWrap/>
            <w:vAlign w:val="bottom"/>
            <w:hideMark/>
          </w:tcPr>
          <w:p w14:paraId="1688DB22"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8423</w:t>
            </w:r>
          </w:p>
        </w:tc>
      </w:tr>
      <w:tr w:rsidR="00FF18FE" w:rsidRPr="009A53D8" w14:paraId="534E81FA" w14:textId="77777777" w:rsidTr="00FF18FE">
        <w:trPr>
          <w:trHeight w:val="342"/>
        </w:trPr>
        <w:tc>
          <w:tcPr>
            <w:tcW w:w="1099" w:type="dxa"/>
            <w:tcBorders>
              <w:top w:val="nil"/>
              <w:left w:val="nil"/>
              <w:bottom w:val="nil"/>
              <w:right w:val="nil"/>
            </w:tcBorders>
            <w:noWrap/>
            <w:vAlign w:val="bottom"/>
            <w:hideMark/>
          </w:tcPr>
          <w:p w14:paraId="36DF520E"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50</w:t>
            </w:r>
          </w:p>
        </w:tc>
        <w:tc>
          <w:tcPr>
            <w:tcW w:w="941" w:type="dxa"/>
            <w:tcBorders>
              <w:top w:val="nil"/>
              <w:left w:val="nil"/>
              <w:bottom w:val="nil"/>
              <w:right w:val="nil"/>
            </w:tcBorders>
            <w:noWrap/>
            <w:vAlign w:val="bottom"/>
            <w:hideMark/>
          </w:tcPr>
          <w:p w14:paraId="305BC432"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2700</w:t>
            </w:r>
          </w:p>
        </w:tc>
        <w:tc>
          <w:tcPr>
            <w:tcW w:w="1099" w:type="dxa"/>
            <w:tcBorders>
              <w:top w:val="nil"/>
              <w:left w:val="nil"/>
              <w:bottom w:val="nil"/>
              <w:right w:val="nil"/>
            </w:tcBorders>
            <w:noWrap/>
            <w:vAlign w:val="bottom"/>
            <w:hideMark/>
          </w:tcPr>
          <w:p w14:paraId="4B827539"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0.11</w:t>
            </w:r>
          </w:p>
        </w:tc>
        <w:tc>
          <w:tcPr>
            <w:tcW w:w="1468" w:type="dxa"/>
            <w:tcBorders>
              <w:top w:val="nil"/>
              <w:left w:val="nil"/>
              <w:bottom w:val="nil"/>
              <w:right w:val="nil"/>
            </w:tcBorders>
            <w:noWrap/>
            <w:vAlign w:val="bottom"/>
            <w:hideMark/>
          </w:tcPr>
          <w:p w14:paraId="66D7FB59"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2541</w:t>
            </w:r>
          </w:p>
        </w:tc>
        <w:tc>
          <w:tcPr>
            <w:tcW w:w="1468" w:type="dxa"/>
            <w:tcBorders>
              <w:top w:val="nil"/>
              <w:left w:val="nil"/>
              <w:bottom w:val="nil"/>
              <w:right w:val="nil"/>
            </w:tcBorders>
            <w:noWrap/>
            <w:vAlign w:val="bottom"/>
            <w:hideMark/>
          </w:tcPr>
          <w:p w14:paraId="06D277E7"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142</w:t>
            </w:r>
          </w:p>
        </w:tc>
      </w:tr>
      <w:tr w:rsidR="00FF18FE" w:rsidRPr="009A53D8" w14:paraId="38C578A4" w14:textId="77777777" w:rsidTr="00FF18FE">
        <w:trPr>
          <w:trHeight w:val="342"/>
        </w:trPr>
        <w:tc>
          <w:tcPr>
            <w:tcW w:w="1099" w:type="dxa"/>
            <w:tcBorders>
              <w:top w:val="nil"/>
              <w:left w:val="nil"/>
              <w:bottom w:val="single" w:sz="4" w:space="0" w:color="auto"/>
              <w:right w:val="nil"/>
            </w:tcBorders>
            <w:noWrap/>
            <w:vAlign w:val="bottom"/>
            <w:hideMark/>
          </w:tcPr>
          <w:p w14:paraId="05DD4258"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55</w:t>
            </w:r>
          </w:p>
        </w:tc>
        <w:tc>
          <w:tcPr>
            <w:tcW w:w="941" w:type="dxa"/>
            <w:tcBorders>
              <w:top w:val="nil"/>
              <w:left w:val="nil"/>
              <w:bottom w:val="single" w:sz="4" w:space="0" w:color="auto"/>
              <w:right w:val="nil"/>
            </w:tcBorders>
            <w:noWrap/>
            <w:vAlign w:val="bottom"/>
            <w:hideMark/>
          </w:tcPr>
          <w:p w14:paraId="1446DA60"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3600</w:t>
            </w:r>
          </w:p>
        </w:tc>
        <w:tc>
          <w:tcPr>
            <w:tcW w:w="1099" w:type="dxa"/>
            <w:tcBorders>
              <w:top w:val="nil"/>
              <w:left w:val="nil"/>
              <w:bottom w:val="single" w:sz="4" w:space="0" w:color="auto"/>
              <w:right w:val="nil"/>
            </w:tcBorders>
            <w:noWrap/>
            <w:vAlign w:val="bottom"/>
            <w:hideMark/>
          </w:tcPr>
          <w:p w14:paraId="7D345563"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0.13</w:t>
            </w:r>
          </w:p>
        </w:tc>
        <w:tc>
          <w:tcPr>
            <w:tcW w:w="1468" w:type="dxa"/>
            <w:tcBorders>
              <w:top w:val="nil"/>
              <w:left w:val="nil"/>
              <w:bottom w:val="single" w:sz="4" w:space="0" w:color="auto"/>
              <w:right w:val="nil"/>
            </w:tcBorders>
            <w:noWrap/>
            <w:vAlign w:val="bottom"/>
            <w:hideMark/>
          </w:tcPr>
          <w:p w14:paraId="5BBC9FDD"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1997</w:t>
            </w:r>
          </w:p>
        </w:tc>
        <w:tc>
          <w:tcPr>
            <w:tcW w:w="1468" w:type="dxa"/>
            <w:tcBorders>
              <w:top w:val="nil"/>
              <w:left w:val="nil"/>
              <w:bottom w:val="single" w:sz="4" w:space="0" w:color="auto"/>
              <w:right w:val="nil"/>
            </w:tcBorders>
            <w:noWrap/>
            <w:vAlign w:val="bottom"/>
            <w:hideMark/>
          </w:tcPr>
          <w:p w14:paraId="6E4DC683"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103</w:t>
            </w:r>
          </w:p>
        </w:tc>
      </w:tr>
    </w:tbl>
    <w:p w14:paraId="0AB1F888" w14:textId="77777777" w:rsidR="00FF18FE" w:rsidRPr="009A53D8" w:rsidRDefault="00FF18FE" w:rsidP="00C370F8">
      <w:pPr>
        <w:spacing w:line="480" w:lineRule="auto"/>
        <w:jc w:val="both"/>
        <w:rPr>
          <w:rFonts w:ascii="Arial" w:hAnsi="Arial" w:cs="Arial"/>
          <w:b/>
          <w:bCs/>
          <w:sz w:val="20"/>
          <w:szCs w:val="20"/>
        </w:rPr>
      </w:pPr>
      <w:r w:rsidRPr="009A53D8">
        <w:rPr>
          <w:rFonts w:ascii="Arial" w:hAnsi="Arial" w:cs="Arial"/>
          <w:b/>
          <w:bCs/>
          <w:sz w:val="20"/>
          <w:szCs w:val="20"/>
        </w:rPr>
        <w:br w:type="textWrapping" w:clear="all"/>
      </w:r>
    </w:p>
    <w:p w14:paraId="689841C9" w14:textId="46EF1A32" w:rsidR="00FF18FE" w:rsidRPr="009A53D8" w:rsidRDefault="00FF18FE" w:rsidP="00C370F8">
      <w:pPr>
        <w:spacing w:line="480" w:lineRule="auto"/>
        <w:rPr>
          <w:rFonts w:ascii="Arial" w:hAnsi="Arial" w:cs="Arial"/>
          <w:b/>
          <w:bCs/>
          <w:sz w:val="20"/>
          <w:szCs w:val="20"/>
        </w:rPr>
      </w:pPr>
      <w:bookmarkStart w:id="8" w:name="_Toc180419040"/>
      <w:r w:rsidRPr="009A53D8">
        <w:rPr>
          <w:rFonts w:ascii="Arial" w:hAnsi="Arial" w:cs="Arial"/>
          <w:b/>
          <w:bCs/>
          <w:sz w:val="20"/>
          <w:szCs w:val="20"/>
        </w:rPr>
        <w:t>Table 4: Data table for loamy soil</w:t>
      </w:r>
      <w:bookmarkEnd w:id="8"/>
    </w:p>
    <w:tbl>
      <w:tblPr>
        <w:tblW w:w="6014" w:type="dxa"/>
        <w:tblLook w:val="04A0" w:firstRow="1" w:lastRow="0" w:firstColumn="1" w:lastColumn="0" w:noHBand="0" w:noVBand="1"/>
      </w:tblPr>
      <w:tblGrid>
        <w:gridCol w:w="1060"/>
        <w:gridCol w:w="1060"/>
        <w:gridCol w:w="1060"/>
        <w:gridCol w:w="1417"/>
        <w:gridCol w:w="1417"/>
      </w:tblGrid>
      <w:tr w:rsidR="00FF18FE" w:rsidRPr="009A53D8" w14:paraId="14343527" w14:textId="77777777" w:rsidTr="00D00122">
        <w:trPr>
          <w:trHeight w:val="348"/>
        </w:trPr>
        <w:tc>
          <w:tcPr>
            <w:tcW w:w="1060" w:type="dxa"/>
            <w:tcBorders>
              <w:top w:val="single" w:sz="4" w:space="0" w:color="auto"/>
              <w:left w:val="nil"/>
              <w:bottom w:val="single" w:sz="4" w:space="0" w:color="auto"/>
              <w:right w:val="nil"/>
            </w:tcBorders>
            <w:noWrap/>
            <w:vAlign w:val="bottom"/>
            <w:hideMark/>
          </w:tcPr>
          <w:p w14:paraId="3420A7B1" w14:textId="77777777" w:rsidR="00FF18FE" w:rsidRPr="009A53D8" w:rsidRDefault="00FF18FE" w:rsidP="00C370F8">
            <w:pPr>
              <w:spacing w:after="0" w:line="240" w:lineRule="auto"/>
              <w:jc w:val="center"/>
              <w:rPr>
                <w:rFonts w:ascii="Arial" w:eastAsia="Times New Roman" w:hAnsi="Arial" w:cs="Arial"/>
                <w:b/>
                <w:bCs/>
                <w:color w:val="000000"/>
                <w:kern w:val="0"/>
                <w:sz w:val="20"/>
                <w:szCs w:val="20"/>
                <w14:ligatures w14:val="none"/>
              </w:rPr>
            </w:pPr>
            <w:r w:rsidRPr="009A53D8">
              <w:rPr>
                <w:rFonts w:ascii="Arial" w:eastAsia="Times New Roman" w:hAnsi="Arial" w:cs="Arial"/>
                <w:b/>
                <w:bCs/>
                <w:color w:val="000000"/>
                <w:kern w:val="0"/>
                <w:sz w:val="20"/>
                <w:szCs w:val="20"/>
                <w14:ligatures w14:val="none"/>
              </w:rPr>
              <w:t>D(cm)</w:t>
            </w:r>
          </w:p>
        </w:tc>
        <w:tc>
          <w:tcPr>
            <w:tcW w:w="1060" w:type="dxa"/>
            <w:tcBorders>
              <w:top w:val="single" w:sz="4" w:space="0" w:color="auto"/>
              <w:left w:val="nil"/>
              <w:bottom w:val="single" w:sz="4" w:space="0" w:color="auto"/>
              <w:right w:val="nil"/>
            </w:tcBorders>
            <w:noWrap/>
            <w:vAlign w:val="bottom"/>
            <w:hideMark/>
          </w:tcPr>
          <w:p w14:paraId="63CE0BD0" w14:textId="77777777" w:rsidR="00FF18FE" w:rsidRPr="009A53D8" w:rsidRDefault="00FF18FE" w:rsidP="00C370F8">
            <w:pPr>
              <w:spacing w:after="0" w:line="240" w:lineRule="auto"/>
              <w:jc w:val="center"/>
              <w:rPr>
                <w:rFonts w:ascii="Arial" w:eastAsia="Times New Roman" w:hAnsi="Arial" w:cs="Arial"/>
                <w:b/>
                <w:bCs/>
                <w:color w:val="000000"/>
                <w:kern w:val="0"/>
                <w:sz w:val="20"/>
                <w:szCs w:val="20"/>
                <w14:ligatures w14:val="none"/>
              </w:rPr>
            </w:pPr>
            <w:r w:rsidRPr="009A53D8">
              <w:rPr>
                <w:rFonts w:ascii="Arial" w:eastAsia="Times New Roman" w:hAnsi="Arial" w:cs="Arial"/>
                <w:b/>
                <w:bCs/>
                <w:color w:val="000000"/>
                <w:kern w:val="0"/>
                <w:sz w:val="20"/>
                <w:szCs w:val="20"/>
                <w14:ligatures w14:val="none"/>
              </w:rPr>
              <w:t>t (s)</w:t>
            </w:r>
          </w:p>
        </w:tc>
        <w:tc>
          <w:tcPr>
            <w:tcW w:w="1060" w:type="dxa"/>
            <w:tcBorders>
              <w:top w:val="single" w:sz="4" w:space="0" w:color="auto"/>
              <w:left w:val="nil"/>
              <w:bottom w:val="single" w:sz="4" w:space="0" w:color="auto"/>
              <w:right w:val="nil"/>
            </w:tcBorders>
            <w:noWrap/>
            <w:vAlign w:val="bottom"/>
            <w:hideMark/>
          </w:tcPr>
          <w:p w14:paraId="72A81495" w14:textId="77777777" w:rsidR="00FF18FE" w:rsidRPr="009A53D8" w:rsidRDefault="00FF18FE" w:rsidP="00C370F8">
            <w:pPr>
              <w:spacing w:after="0" w:line="240" w:lineRule="auto"/>
              <w:jc w:val="center"/>
              <w:rPr>
                <w:rFonts w:ascii="Arial" w:eastAsia="Times New Roman" w:hAnsi="Arial" w:cs="Arial"/>
                <w:b/>
                <w:bCs/>
                <w:color w:val="000000"/>
                <w:kern w:val="0"/>
                <w:sz w:val="20"/>
                <w:szCs w:val="20"/>
                <w14:ligatures w14:val="none"/>
              </w:rPr>
            </w:pPr>
            <w:r w:rsidRPr="009A53D8">
              <w:rPr>
                <w:rFonts w:ascii="Arial" w:eastAsia="Times New Roman" w:hAnsi="Arial" w:cs="Arial"/>
                <w:b/>
                <w:bCs/>
                <w:color w:val="000000"/>
                <w:kern w:val="0"/>
                <w:sz w:val="20"/>
                <w:szCs w:val="20"/>
                <w14:ligatures w14:val="none"/>
              </w:rPr>
              <w:t>k (cm/s)</w:t>
            </w:r>
          </w:p>
        </w:tc>
        <w:tc>
          <w:tcPr>
            <w:tcW w:w="1417" w:type="dxa"/>
            <w:tcBorders>
              <w:top w:val="single" w:sz="4" w:space="0" w:color="auto"/>
              <w:left w:val="nil"/>
              <w:bottom w:val="single" w:sz="4" w:space="0" w:color="auto"/>
              <w:right w:val="nil"/>
            </w:tcBorders>
            <w:noWrap/>
            <w:vAlign w:val="bottom"/>
            <w:hideMark/>
          </w:tcPr>
          <w:p w14:paraId="352A9928" w14:textId="77777777" w:rsidR="00FF18FE" w:rsidRPr="009A53D8" w:rsidRDefault="00FF18FE" w:rsidP="00C370F8">
            <w:pPr>
              <w:spacing w:after="0" w:line="240" w:lineRule="auto"/>
              <w:jc w:val="center"/>
              <w:rPr>
                <w:rFonts w:ascii="Arial" w:eastAsia="Times New Roman" w:hAnsi="Arial" w:cs="Arial"/>
                <w:b/>
                <w:bCs/>
                <w:color w:val="000000"/>
                <w:kern w:val="0"/>
                <w:sz w:val="20"/>
                <w:szCs w:val="20"/>
                <w14:ligatures w14:val="none"/>
              </w:rPr>
            </w:pPr>
            <w:r w:rsidRPr="009A53D8">
              <w:rPr>
                <w:rFonts w:ascii="Arial" w:eastAsia="Times New Roman" w:hAnsi="Arial" w:cs="Arial"/>
                <w:b/>
                <w:bCs/>
                <w:color w:val="000000"/>
                <w:kern w:val="0"/>
                <w:sz w:val="20"/>
                <w:szCs w:val="20"/>
                <w14:ligatures w14:val="none"/>
              </w:rPr>
              <w:t>C</w:t>
            </w:r>
            <w:r w:rsidRPr="009A53D8">
              <w:rPr>
                <w:rFonts w:ascii="Arial" w:eastAsia="Times New Roman" w:hAnsi="Arial" w:cs="Arial"/>
                <w:b/>
                <w:bCs/>
                <w:color w:val="000000"/>
                <w:kern w:val="0"/>
                <w:sz w:val="20"/>
                <w:szCs w:val="20"/>
                <w:vertAlign w:val="subscript"/>
                <w14:ligatures w14:val="none"/>
              </w:rPr>
              <w:t>1</w:t>
            </w:r>
            <w:r w:rsidRPr="009A53D8">
              <w:rPr>
                <w:rFonts w:ascii="Arial" w:eastAsia="Times New Roman" w:hAnsi="Arial" w:cs="Arial"/>
                <w:b/>
                <w:bCs/>
                <w:color w:val="000000"/>
                <w:kern w:val="0"/>
                <w:sz w:val="20"/>
                <w:szCs w:val="20"/>
                <w14:ligatures w14:val="none"/>
              </w:rPr>
              <w:t xml:space="preserve"> (mg/l)</w:t>
            </w:r>
          </w:p>
        </w:tc>
        <w:tc>
          <w:tcPr>
            <w:tcW w:w="1417" w:type="dxa"/>
            <w:tcBorders>
              <w:top w:val="single" w:sz="4" w:space="0" w:color="auto"/>
              <w:left w:val="nil"/>
              <w:bottom w:val="single" w:sz="4" w:space="0" w:color="auto"/>
              <w:right w:val="nil"/>
            </w:tcBorders>
            <w:noWrap/>
            <w:vAlign w:val="bottom"/>
            <w:hideMark/>
          </w:tcPr>
          <w:p w14:paraId="3E426547" w14:textId="77777777" w:rsidR="00FF18FE" w:rsidRPr="009A53D8" w:rsidRDefault="00FF18FE" w:rsidP="00C370F8">
            <w:pPr>
              <w:spacing w:after="0" w:line="240" w:lineRule="auto"/>
              <w:jc w:val="center"/>
              <w:rPr>
                <w:rFonts w:ascii="Arial" w:eastAsia="Times New Roman" w:hAnsi="Arial" w:cs="Arial"/>
                <w:b/>
                <w:bCs/>
                <w:color w:val="000000"/>
                <w:kern w:val="0"/>
                <w:sz w:val="20"/>
                <w:szCs w:val="20"/>
                <w14:ligatures w14:val="none"/>
              </w:rPr>
            </w:pPr>
            <w:r w:rsidRPr="009A53D8">
              <w:rPr>
                <w:rFonts w:ascii="Arial" w:eastAsia="Times New Roman" w:hAnsi="Arial" w:cs="Arial"/>
                <w:b/>
                <w:bCs/>
                <w:color w:val="000000"/>
                <w:kern w:val="0"/>
                <w:sz w:val="20"/>
                <w:szCs w:val="20"/>
                <w14:ligatures w14:val="none"/>
              </w:rPr>
              <w:t>C</w:t>
            </w:r>
            <w:r w:rsidRPr="009A53D8">
              <w:rPr>
                <w:rFonts w:ascii="Arial" w:eastAsia="Times New Roman" w:hAnsi="Arial" w:cs="Arial"/>
                <w:b/>
                <w:bCs/>
                <w:color w:val="000000"/>
                <w:kern w:val="0"/>
                <w:sz w:val="20"/>
                <w:szCs w:val="20"/>
                <w:vertAlign w:val="subscript"/>
                <w14:ligatures w14:val="none"/>
              </w:rPr>
              <w:t>2</w:t>
            </w:r>
            <w:r w:rsidRPr="009A53D8">
              <w:rPr>
                <w:rFonts w:ascii="Arial" w:eastAsia="Times New Roman" w:hAnsi="Arial" w:cs="Arial"/>
                <w:b/>
                <w:bCs/>
                <w:color w:val="000000"/>
                <w:kern w:val="0"/>
                <w:sz w:val="20"/>
                <w:szCs w:val="20"/>
                <w14:ligatures w14:val="none"/>
              </w:rPr>
              <w:t xml:space="preserve"> (mg/l)</w:t>
            </w:r>
          </w:p>
        </w:tc>
      </w:tr>
      <w:tr w:rsidR="00FF18FE" w:rsidRPr="009A53D8" w14:paraId="31068381" w14:textId="77777777" w:rsidTr="00D00122">
        <w:trPr>
          <w:trHeight w:val="348"/>
        </w:trPr>
        <w:tc>
          <w:tcPr>
            <w:tcW w:w="1060" w:type="dxa"/>
            <w:tcBorders>
              <w:top w:val="nil"/>
              <w:left w:val="nil"/>
              <w:bottom w:val="nil"/>
              <w:right w:val="nil"/>
            </w:tcBorders>
            <w:noWrap/>
            <w:vAlign w:val="bottom"/>
            <w:hideMark/>
          </w:tcPr>
          <w:p w14:paraId="31E7E346"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10</w:t>
            </w:r>
          </w:p>
        </w:tc>
        <w:tc>
          <w:tcPr>
            <w:tcW w:w="1060" w:type="dxa"/>
            <w:tcBorders>
              <w:top w:val="nil"/>
              <w:left w:val="nil"/>
              <w:bottom w:val="nil"/>
              <w:right w:val="nil"/>
            </w:tcBorders>
            <w:noWrap/>
            <w:vAlign w:val="bottom"/>
            <w:hideMark/>
          </w:tcPr>
          <w:p w14:paraId="2806C08F"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33</w:t>
            </w:r>
          </w:p>
        </w:tc>
        <w:tc>
          <w:tcPr>
            <w:tcW w:w="1060" w:type="dxa"/>
            <w:tcBorders>
              <w:top w:val="nil"/>
              <w:left w:val="nil"/>
              <w:bottom w:val="nil"/>
              <w:right w:val="nil"/>
            </w:tcBorders>
            <w:noWrap/>
            <w:vAlign w:val="bottom"/>
            <w:hideMark/>
          </w:tcPr>
          <w:p w14:paraId="2615F668"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0.11</w:t>
            </w:r>
          </w:p>
        </w:tc>
        <w:tc>
          <w:tcPr>
            <w:tcW w:w="1417" w:type="dxa"/>
            <w:tcBorders>
              <w:top w:val="nil"/>
              <w:left w:val="nil"/>
              <w:bottom w:val="nil"/>
              <w:right w:val="nil"/>
            </w:tcBorders>
            <w:noWrap/>
            <w:vAlign w:val="bottom"/>
            <w:hideMark/>
          </w:tcPr>
          <w:p w14:paraId="339AC00F"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35662</w:t>
            </w:r>
          </w:p>
        </w:tc>
        <w:tc>
          <w:tcPr>
            <w:tcW w:w="1417" w:type="dxa"/>
            <w:tcBorders>
              <w:top w:val="nil"/>
              <w:left w:val="nil"/>
              <w:bottom w:val="nil"/>
              <w:right w:val="nil"/>
            </w:tcBorders>
            <w:noWrap/>
            <w:vAlign w:val="bottom"/>
            <w:hideMark/>
          </w:tcPr>
          <w:p w14:paraId="52C6D5D7"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11085</w:t>
            </w:r>
          </w:p>
        </w:tc>
      </w:tr>
      <w:tr w:rsidR="00FF18FE" w:rsidRPr="009A53D8" w14:paraId="037CC418" w14:textId="77777777" w:rsidTr="00D00122">
        <w:trPr>
          <w:trHeight w:val="348"/>
        </w:trPr>
        <w:tc>
          <w:tcPr>
            <w:tcW w:w="1060" w:type="dxa"/>
            <w:tcBorders>
              <w:top w:val="nil"/>
              <w:left w:val="nil"/>
              <w:bottom w:val="nil"/>
              <w:right w:val="nil"/>
            </w:tcBorders>
            <w:noWrap/>
            <w:vAlign w:val="bottom"/>
            <w:hideMark/>
          </w:tcPr>
          <w:p w14:paraId="61EFC301"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15</w:t>
            </w:r>
          </w:p>
        </w:tc>
        <w:tc>
          <w:tcPr>
            <w:tcW w:w="1060" w:type="dxa"/>
            <w:tcBorders>
              <w:top w:val="nil"/>
              <w:left w:val="nil"/>
              <w:bottom w:val="nil"/>
              <w:right w:val="nil"/>
            </w:tcBorders>
            <w:noWrap/>
            <w:vAlign w:val="bottom"/>
            <w:hideMark/>
          </w:tcPr>
          <w:p w14:paraId="4618E0B8"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35</w:t>
            </w:r>
          </w:p>
        </w:tc>
        <w:tc>
          <w:tcPr>
            <w:tcW w:w="1060" w:type="dxa"/>
            <w:tcBorders>
              <w:top w:val="nil"/>
              <w:left w:val="nil"/>
              <w:bottom w:val="nil"/>
              <w:right w:val="nil"/>
            </w:tcBorders>
            <w:noWrap/>
            <w:vAlign w:val="bottom"/>
            <w:hideMark/>
          </w:tcPr>
          <w:p w14:paraId="4371C723"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0.14</w:t>
            </w:r>
          </w:p>
        </w:tc>
        <w:tc>
          <w:tcPr>
            <w:tcW w:w="1417" w:type="dxa"/>
            <w:tcBorders>
              <w:top w:val="nil"/>
              <w:left w:val="nil"/>
              <w:bottom w:val="nil"/>
              <w:right w:val="nil"/>
            </w:tcBorders>
            <w:noWrap/>
            <w:vAlign w:val="bottom"/>
            <w:hideMark/>
          </w:tcPr>
          <w:p w14:paraId="7EF170D0"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32961</w:t>
            </w:r>
          </w:p>
        </w:tc>
        <w:tc>
          <w:tcPr>
            <w:tcW w:w="1417" w:type="dxa"/>
            <w:tcBorders>
              <w:top w:val="nil"/>
              <w:left w:val="nil"/>
              <w:bottom w:val="nil"/>
              <w:right w:val="nil"/>
            </w:tcBorders>
            <w:noWrap/>
            <w:vAlign w:val="bottom"/>
            <w:hideMark/>
          </w:tcPr>
          <w:p w14:paraId="0F81D95F"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3943</w:t>
            </w:r>
          </w:p>
        </w:tc>
      </w:tr>
      <w:tr w:rsidR="00FF18FE" w:rsidRPr="009A53D8" w14:paraId="118AB2F9" w14:textId="77777777" w:rsidTr="00D00122">
        <w:trPr>
          <w:trHeight w:val="348"/>
        </w:trPr>
        <w:tc>
          <w:tcPr>
            <w:tcW w:w="1060" w:type="dxa"/>
            <w:tcBorders>
              <w:top w:val="nil"/>
              <w:left w:val="nil"/>
              <w:bottom w:val="nil"/>
              <w:right w:val="nil"/>
            </w:tcBorders>
            <w:noWrap/>
            <w:vAlign w:val="bottom"/>
            <w:hideMark/>
          </w:tcPr>
          <w:p w14:paraId="647B7122"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20</w:t>
            </w:r>
          </w:p>
        </w:tc>
        <w:tc>
          <w:tcPr>
            <w:tcW w:w="1060" w:type="dxa"/>
            <w:tcBorders>
              <w:top w:val="nil"/>
              <w:left w:val="nil"/>
              <w:bottom w:val="nil"/>
              <w:right w:val="nil"/>
            </w:tcBorders>
            <w:noWrap/>
            <w:vAlign w:val="bottom"/>
            <w:hideMark/>
          </w:tcPr>
          <w:p w14:paraId="6EB009D4"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37</w:t>
            </w:r>
          </w:p>
        </w:tc>
        <w:tc>
          <w:tcPr>
            <w:tcW w:w="1060" w:type="dxa"/>
            <w:tcBorders>
              <w:top w:val="nil"/>
              <w:left w:val="nil"/>
              <w:bottom w:val="nil"/>
              <w:right w:val="nil"/>
            </w:tcBorders>
            <w:noWrap/>
            <w:vAlign w:val="bottom"/>
            <w:hideMark/>
          </w:tcPr>
          <w:p w14:paraId="7275FA1B"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0.11</w:t>
            </w:r>
          </w:p>
        </w:tc>
        <w:tc>
          <w:tcPr>
            <w:tcW w:w="1417" w:type="dxa"/>
            <w:tcBorders>
              <w:top w:val="nil"/>
              <w:left w:val="nil"/>
              <w:bottom w:val="nil"/>
              <w:right w:val="nil"/>
            </w:tcBorders>
            <w:noWrap/>
            <w:vAlign w:val="bottom"/>
            <w:hideMark/>
          </w:tcPr>
          <w:p w14:paraId="3308D3D2"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23059</w:t>
            </w:r>
          </w:p>
        </w:tc>
        <w:tc>
          <w:tcPr>
            <w:tcW w:w="1417" w:type="dxa"/>
            <w:tcBorders>
              <w:top w:val="nil"/>
              <w:left w:val="nil"/>
              <w:bottom w:val="nil"/>
              <w:right w:val="nil"/>
            </w:tcBorders>
            <w:noWrap/>
            <w:vAlign w:val="bottom"/>
            <w:hideMark/>
          </w:tcPr>
          <w:p w14:paraId="74B2FC6C"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2789</w:t>
            </w:r>
          </w:p>
        </w:tc>
      </w:tr>
      <w:tr w:rsidR="00FF18FE" w:rsidRPr="009A53D8" w14:paraId="787E0A8A" w14:textId="77777777" w:rsidTr="00D00122">
        <w:trPr>
          <w:trHeight w:val="348"/>
        </w:trPr>
        <w:tc>
          <w:tcPr>
            <w:tcW w:w="1060" w:type="dxa"/>
            <w:tcBorders>
              <w:top w:val="nil"/>
              <w:left w:val="nil"/>
              <w:bottom w:val="nil"/>
              <w:right w:val="nil"/>
            </w:tcBorders>
            <w:noWrap/>
            <w:vAlign w:val="bottom"/>
            <w:hideMark/>
          </w:tcPr>
          <w:p w14:paraId="1100B820"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25</w:t>
            </w:r>
          </w:p>
        </w:tc>
        <w:tc>
          <w:tcPr>
            <w:tcW w:w="1060" w:type="dxa"/>
            <w:tcBorders>
              <w:top w:val="nil"/>
              <w:left w:val="nil"/>
              <w:bottom w:val="nil"/>
              <w:right w:val="nil"/>
            </w:tcBorders>
            <w:noWrap/>
            <w:vAlign w:val="bottom"/>
            <w:hideMark/>
          </w:tcPr>
          <w:p w14:paraId="63A469E8"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41</w:t>
            </w:r>
          </w:p>
        </w:tc>
        <w:tc>
          <w:tcPr>
            <w:tcW w:w="1060" w:type="dxa"/>
            <w:tcBorders>
              <w:top w:val="nil"/>
              <w:left w:val="nil"/>
              <w:bottom w:val="nil"/>
              <w:right w:val="nil"/>
            </w:tcBorders>
            <w:noWrap/>
            <w:vAlign w:val="bottom"/>
            <w:hideMark/>
          </w:tcPr>
          <w:p w14:paraId="357FD1A8"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0.12</w:t>
            </w:r>
          </w:p>
        </w:tc>
        <w:tc>
          <w:tcPr>
            <w:tcW w:w="1417" w:type="dxa"/>
            <w:tcBorders>
              <w:top w:val="nil"/>
              <w:left w:val="nil"/>
              <w:bottom w:val="nil"/>
              <w:right w:val="nil"/>
            </w:tcBorders>
            <w:noWrap/>
            <w:vAlign w:val="bottom"/>
            <w:hideMark/>
          </w:tcPr>
          <w:p w14:paraId="039AF4D9"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19085</w:t>
            </w:r>
          </w:p>
        </w:tc>
        <w:tc>
          <w:tcPr>
            <w:tcW w:w="1417" w:type="dxa"/>
            <w:tcBorders>
              <w:top w:val="nil"/>
              <w:left w:val="nil"/>
              <w:bottom w:val="nil"/>
              <w:right w:val="nil"/>
            </w:tcBorders>
            <w:noWrap/>
            <w:vAlign w:val="bottom"/>
            <w:hideMark/>
          </w:tcPr>
          <w:p w14:paraId="6AAFE200"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2275</w:t>
            </w:r>
          </w:p>
        </w:tc>
      </w:tr>
      <w:tr w:rsidR="00FF18FE" w:rsidRPr="009A53D8" w14:paraId="7D21CE69" w14:textId="77777777" w:rsidTr="00D00122">
        <w:trPr>
          <w:trHeight w:val="348"/>
        </w:trPr>
        <w:tc>
          <w:tcPr>
            <w:tcW w:w="1060" w:type="dxa"/>
            <w:tcBorders>
              <w:top w:val="nil"/>
              <w:left w:val="nil"/>
              <w:bottom w:val="nil"/>
              <w:right w:val="nil"/>
            </w:tcBorders>
            <w:noWrap/>
            <w:vAlign w:val="bottom"/>
            <w:hideMark/>
          </w:tcPr>
          <w:p w14:paraId="16674998"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30</w:t>
            </w:r>
          </w:p>
        </w:tc>
        <w:tc>
          <w:tcPr>
            <w:tcW w:w="1060" w:type="dxa"/>
            <w:tcBorders>
              <w:top w:val="nil"/>
              <w:left w:val="nil"/>
              <w:bottom w:val="nil"/>
              <w:right w:val="nil"/>
            </w:tcBorders>
            <w:noWrap/>
            <w:vAlign w:val="bottom"/>
            <w:hideMark/>
          </w:tcPr>
          <w:p w14:paraId="137F10A2"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80</w:t>
            </w:r>
          </w:p>
        </w:tc>
        <w:tc>
          <w:tcPr>
            <w:tcW w:w="1060" w:type="dxa"/>
            <w:tcBorders>
              <w:top w:val="nil"/>
              <w:left w:val="nil"/>
              <w:bottom w:val="nil"/>
              <w:right w:val="nil"/>
            </w:tcBorders>
            <w:noWrap/>
            <w:vAlign w:val="bottom"/>
            <w:hideMark/>
          </w:tcPr>
          <w:p w14:paraId="0CADC41D"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0.10</w:t>
            </w:r>
          </w:p>
        </w:tc>
        <w:tc>
          <w:tcPr>
            <w:tcW w:w="1417" w:type="dxa"/>
            <w:tcBorders>
              <w:top w:val="nil"/>
              <w:left w:val="nil"/>
              <w:bottom w:val="nil"/>
              <w:right w:val="nil"/>
            </w:tcBorders>
            <w:noWrap/>
            <w:vAlign w:val="bottom"/>
            <w:hideMark/>
          </w:tcPr>
          <w:p w14:paraId="014934ED"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10995</w:t>
            </w:r>
          </w:p>
        </w:tc>
        <w:tc>
          <w:tcPr>
            <w:tcW w:w="1417" w:type="dxa"/>
            <w:tcBorders>
              <w:top w:val="nil"/>
              <w:left w:val="nil"/>
              <w:bottom w:val="nil"/>
              <w:right w:val="nil"/>
            </w:tcBorders>
            <w:noWrap/>
            <w:vAlign w:val="bottom"/>
            <w:hideMark/>
          </w:tcPr>
          <w:p w14:paraId="708017E6"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1963</w:t>
            </w:r>
          </w:p>
        </w:tc>
      </w:tr>
      <w:tr w:rsidR="00FF18FE" w:rsidRPr="009A53D8" w14:paraId="70000E19" w14:textId="77777777" w:rsidTr="00D00122">
        <w:trPr>
          <w:trHeight w:val="348"/>
        </w:trPr>
        <w:tc>
          <w:tcPr>
            <w:tcW w:w="1060" w:type="dxa"/>
            <w:tcBorders>
              <w:top w:val="nil"/>
              <w:left w:val="nil"/>
              <w:bottom w:val="nil"/>
              <w:right w:val="nil"/>
            </w:tcBorders>
            <w:noWrap/>
            <w:vAlign w:val="bottom"/>
            <w:hideMark/>
          </w:tcPr>
          <w:p w14:paraId="14F88144"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35</w:t>
            </w:r>
          </w:p>
        </w:tc>
        <w:tc>
          <w:tcPr>
            <w:tcW w:w="1060" w:type="dxa"/>
            <w:tcBorders>
              <w:top w:val="nil"/>
              <w:left w:val="nil"/>
              <w:bottom w:val="nil"/>
              <w:right w:val="nil"/>
            </w:tcBorders>
            <w:noWrap/>
            <w:vAlign w:val="bottom"/>
            <w:hideMark/>
          </w:tcPr>
          <w:p w14:paraId="1C83CF91"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92</w:t>
            </w:r>
          </w:p>
        </w:tc>
        <w:tc>
          <w:tcPr>
            <w:tcW w:w="1060" w:type="dxa"/>
            <w:tcBorders>
              <w:top w:val="nil"/>
              <w:left w:val="nil"/>
              <w:bottom w:val="nil"/>
              <w:right w:val="nil"/>
            </w:tcBorders>
            <w:noWrap/>
            <w:vAlign w:val="bottom"/>
            <w:hideMark/>
          </w:tcPr>
          <w:p w14:paraId="07BEBA8E"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0.11</w:t>
            </w:r>
          </w:p>
        </w:tc>
        <w:tc>
          <w:tcPr>
            <w:tcW w:w="1417" w:type="dxa"/>
            <w:tcBorders>
              <w:top w:val="nil"/>
              <w:left w:val="nil"/>
              <w:bottom w:val="nil"/>
              <w:right w:val="nil"/>
            </w:tcBorders>
            <w:noWrap/>
            <w:vAlign w:val="bottom"/>
            <w:hideMark/>
          </w:tcPr>
          <w:p w14:paraId="3B079B00"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10051</w:t>
            </w:r>
          </w:p>
        </w:tc>
        <w:tc>
          <w:tcPr>
            <w:tcW w:w="1417" w:type="dxa"/>
            <w:tcBorders>
              <w:top w:val="nil"/>
              <w:left w:val="nil"/>
              <w:bottom w:val="nil"/>
              <w:right w:val="nil"/>
            </w:tcBorders>
            <w:noWrap/>
            <w:vAlign w:val="bottom"/>
            <w:hideMark/>
          </w:tcPr>
          <w:p w14:paraId="2DD2186E"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1681</w:t>
            </w:r>
          </w:p>
        </w:tc>
      </w:tr>
      <w:tr w:rsidR="00FF18FE" w:rsidRPr="009A53D8" w14:paraId="2820A09F" w14:textId="77777777" w:rsidTr="00D00122">
        <w:trPr>
          <w:trHeight w:val="348"/>
        </w:trPr>
        <w:tc>
          <w:tcPr>
            <w:tcW w:w="1060" w:type="dxa"/>
            <w:tcBorders>
              <w:top w:val="nil"/>
              <w:left w:val="nil"/>
              <w:bottom w:val="nil"/>
              <w:right w:val="nil"/>
            </w:tcBorders>
            <w:noWrap/>
            <w:vAlign w:val="bottom"/>
            <w:hideMark/>
          </w:tcPr>
          <w:p w14:paraId="4D29C2A0"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40</w:t>
            </w:r>
          </w:p>
        </w:tc>
        <w:tc>
          <w:tcPr>
            <w:tcW w:w="1060" w:type="dxa"/>
            <w:tcBorders>
              <w:top w:val="nil"/>
              <w:left w:val="nil"/>
              <w:bottom w:val="nil"/>
              <w:right w:val="nil"/>
            </w:tcBorders>
            <w:noWrap/>
            <w:vAlign w:val="bottom"/>
            <w:hideMark/>
          </w:tcPr>
          <w:p w14:paraId="561C638B"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133</w:t>
            </w:r>
          </w:p>
        </w:tc>
        <w:tc>
          <w:tcPr>
            <w:tcW w:w="1060" w:type="dxa"/>
            <w:tcBorders>
              <w:top w:val="nil"/>
              <w:left w:val="nil"/>
              <w:bottom w:val="nil"/>
              <w:right w:val="nil"/>
            </w:tcBorders>
            <w:noWrap/>
            <w:vAlign w:val="bottom"/>
            <w:hideMark/>
          </w:tcPr>
          <w:p w14:paraId="1A23A929"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0.10</w:t>
            </w:r>
          </w:p>
        </w:tc>
        <w:tc>
          <w:tcPr>
            <w:tcW w:w="1417" w:type="dxa"/>
            <w:tcBorders>
              <w:top w:val="nil"/>
              <w:left w:val="nil"/>
              <w:bottom w:val="nil"/>
              <w:right w:val="nil"/>
            </w:tcBorders>
            <w:noWrap/>
            <w:vAlign w:val="bottom"/>
            <w:hideMark/>
          </w:tcPr>
          <w:p w14:paraId="651D3F51"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6619</w:t>
            </w:r>
          </w:p>
        </w:tc>
        <w:tc>
          <w:tcPr>
            <w:tcW w:w="1417" w:type="dxa"/>
            <w:tcBorders>
              <w:top w:val="nil"/>
              <w:left w:val="nil"/>
              <w:bottom w:val="nil"/>
              <w:right w:val="nil"/>
            </w:tcBorders>
            <w:noWrap/>
            <w:vAlign w:val="bottom"/>
            <w:hideMark/>
          </w:tcPr>
          <w:p w14:paraId="2E12F3D3"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1148</w:t>
            </w:r>
          </w:p>
        </w:tc>
      </w:tr>
      <w:tr w:rsidR="00FF18FE" w:rsidRPr="009A53D8" w14:paraId="01ACDBEB" w14:textId="77777777" w:rsidTr="00D00122">
        <w:trPr>
          <w:trHeight w:val="348"/>
        </w:trPr>
        <w:tc>
          <w:tcPr>
            <w:tcW w:w="1060" w:type="dxa"/>
            <w:tcBorders>
              <w:top w:val="nil"/>
              <w:left w:val="nil"/>
              <w:bottom w:val="nil"/>
              <w:right w:val="nil"/>
            </w:tcBorders>
            <w:noWrap/>
            <w:vAlign w:val="bottom"/>
            <w:hideMark/>
          </w:tcPr>
          <w:p w14:paraId="06BECBBB"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45</w:t>
            </w:r>
          </w:p>
        </w:tc>
        <w:tc>
          <w:tcPr>
            <w:tcW w:w="1060" w:type="dxa"/>
            <w:tcBorders>
              <w:top w:val="nil"/>
              <w:left w:val="nil"/>
              <w:bottom w:val="nil"/>
              <w:right w:val="nil"/>
            </w:tcBorders>
            <w:noWrap/>
            <w:vAlign w:val="bottom"/>
            <w:hideMark/>
          </w:tcPr>
          <w:p w14:paraId="609A81D9"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141</w:t>
            </w:r>
          </w:p>
        </w:tc>
        <w:tc>
          <w:tcPr>
            <w:tcW w:w="1060" w:type="dxa"/>
            <w:tcBorders>
              <w:top w:val="nil"/>
              <w:left w:val="nil"/>
              <w:bottom w:val="nil"/>
              <w:right w:val="nil"/>
            </w:tcBorders>
            <w:noWrap/>
            <w:vAlign w:val="bottom"/>
            <w:hideMark/>
          </w:tcPr>
          <w:p w14:paraId="22745586"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0.11</w:t>
            </w:r>
          </w:p>
        </w:tc>
        <w:tc>
          <w:tcPr>
            <w:tcW w:w="1417" w:type="dxa"/>
            <w:tcBorders>
              <w:top w:val="nil"/>
              <w:left w:val="nil"/>
              <w:bottom w:val="nil"/>
              <w:right w:val="nil"/>
            </w:tcBorders>
            <w:noWrap/>
            <w:vAlign w:val="bottom"/>
            <w:hideMark/>
          </w:tcPr>
          <w:p w14:paraId="6401BA89"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6062</w:t>
            </w:r>
          </w:p>
        </w:tc>
        <w:tc>
          <w:tcPr>
            <w:tcW w:w="1417" w:type="dxa"/>
            <w:tcBorders>
              <w:top w:val="nil"/>
              <w:left w:val="nil"/>
              <w:bottom w:val="nil"/>
              <w:right w:val="nil"/>
            </w:tcBorders>
            <w:noWrap/>
            <w:vAlign w:val="bottom"/>
            <w:hideMark/>
          </w:tcPr>
          <w:p w14:paraId="315E1733"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811</w:t>
            </w:r>
          </w:p>
        </w:tc>
      </w:tr>
      <w:tr w:rsidR="00FF18FE" w:rsidRPr="009A53D8" w14:paraId="57B2BFD1" w14:textId="77777777" w:rsidTr="00D00122">
        <w:trPr>
          <w:trHeight w:val="348"/>
        </w:trPr>
        <w:tc>
          <w:tcPr>
            <w:tcW w:w="1060" w:type="dxa"/>
            <w:tcBorders>
              <w:top w:val="nil"/>
              <w:left w:val="nil"/>
              <w:bottom w:val="nil"/>
              <w:right w:val="nil"/>
            </w:tcBorders>
            <w:noWrap/>
            <w:vAlign w:val="bottom"/>
            <w:hideMark/>
          </w:tcPr>
          <w:p w14:paraId="5F7D786C"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50</w:t>
            </w:r>
          </w:p>
        </w:tc>
        <w:tc>
          <w:tcPr>
            <w:tcW w:w="1060" w:type="dxa"/>
            <w:tcBorders>
              <w:top w:val="nil"/>
              <w:left w:val="nil"/>
              <w:bottom w:val="nil"/>
              <w:right w:val="nil"/>
            </w:tcBorders>
            <w:noWrap/>
            <w:vAlign w:val="bottom"/>
            <w:hideMark/>
          </w:tcPr>
          <w:p w14:paraId="6B81ADF6"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900</w:t>
            </w:r>
          </w:p>
        </w:tc>
        <w:tc>
          <w:tcPr>
            <w:tcW w:w="1060" w:type="dxa"/>
            <w:tcBorders>
              <w:top w:val="nil"/>
              <w:left w:val="nil"/>
              <w:bottom w:val="nil"/>
              <w:right w:val="nil"/>
            </w:tcBorders>
            <w:noWrap/>
            <w:vAlign w:val="bottom"/>
            <w:hideMark/>
          </w:tcPr>
          <w:p w14:paraId="68FBA855"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0.10</w:t>
            </w:r>
          </w:p>
        </w:tc>
        <w:tc>
          <w:tcPr>
            <w:tcW w:w="1417" w:type="dxa"/>
            <w:tcBorders>
              <w:top w:val="nil"/>
              <w:left w:val="nil"/>
              <w:bottom w:val="nil"/>
              <w:right w:val="nil"/>
            </w:tcBorders>
            <w:noWrap/>
            <w:vAlign w:val="bottom"/>
            <w:hideMark/>
          </w:tcPr>
          <w:p w14:paraId="1975A95C"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5814</w:t>
            </w:r>
          </w:p>
        </w:tc>
        <w:tc>
          <w:tcPr>
            <w:tcW w:w="1417" w:type="dxa"/>
            <w:tcBorders>
              <w:top w:val="nil"/>
              <w:left w:val="nil"/>
              <w:bottom w:val="nil"/>
              <w:right w:val="nil"/>
            </w:tcBorders>
            <w:noWrap/>
            <w:vAlign w:val="bottom"/>
            <w:hideMark/>
          </w:tcPr>
          <w:p w14:paraId="51EEF827"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625</w:t>
            </w:r>
          </w:p>
        </w:tc>
      </w:tr>
      <w:tr w:rsidR="00FF18FE" w:rsidRPr="009A53D8" w14:paraId="2BBA9DA4" w14:textId="77777777" w:rsidTr="00D00122">
        <w:trPr>
          <w:trHeight w:val="348"/>
        </w:trPr>
        <w:tc>
          <w:tcPr>
            <w:tcW w:w="1060" w:type="dxa"/>
            <w:tcBorders>
              <w:top w:val="nil"/>
              <w:left w:val="nil"/>
              <w:bottom w:val="single" w:sz="4" w:space="0" w:color="auto"/>
              <w:right w:val="nil"/>
            </w:tcBorders>
            <w:noWrap/>
            <w:vAlign w:val="bottom"/>
            <w:hideMark/>
          </w:tcPr>
          <w:p w14:paraId="7F7591FC"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55</w:t>
            </w:r>
          </w:p>
        </w:tc>
        <w:tc>
          <w:tcPr>
            <w:tcW w:w="1060" w:type="dxa"/>
            <w:tcBorders>
              <w:top w:val="nil"/>
              <w:left w:val="nil"/>
              <w:bottom w:val="single" w:sz="4" w:space="0" w:color="auto"/>
              <w:right w:val="nil"/>
            </w:tcBorders>
            <w:noWrap/>
            <w:vAlign w:val="bottom"/>
            <w:hideMark/>
          </w:tcPr>
          <w:p w14:paraId="5C6E6150"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1500</w:t>
            </w:r>
          </w:p>
        </w:tc>
        <w:tc>
          <w:tcPr>
            <w:tcW w:w="1060" w:type="dxa"/>
            <w:tcBorders>
              <w:top w:val="nil"/>
              <w:left w:val="nil"/>
              <w:bottom w:val="single" w:sz="4" w:space="0" w:color="auto"/>
              <w:right w:val="nil"/>
            </w:tcBorders>
            <w:noWrap/>
            <w:vAlign w:val="bottom"/>
            <w:hideMark/>
          </w:tcPr>
          <w:p w14:paraId="11982224"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0.12</w:t>
            </w:r>
          </w:p>
        </w:tc>
        <w:tc>
          <w:tcPr>
            <w:tcW w:w="1417" w:type="dxa"/>
            <w:tcBorders>
              <w:top w:val="nil"/>
              <w:left w:val="nil"/>
              <w:bottom w:val="single" w:sz="4" w:space="0" w:color="auto"/>
              <w:right w:val="nil"/>
            </w:tcBorders>
            <w:noWrap/>
            <w:vAlign w:val="bottom"/>
            <w:hideMark/>
          </w:tcPr>
          <w:p w14:paraId="14627E05"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3018</w:t>
            </w:r>
          </w:p>
        </w:tc>
        <w:tc>
          <w:tcPr>
            <w:tcW w:w="1417" w:type="dxa"/>
            <w:tcBorders>
              <w:top w:val="nil"/>
              <w:left w:val="nil"/>
              <w:bottom w:val="single" w:sz="4" w:space="0" w:color="auto"/>
              <w:right w:val="nil"/>
            </w:tcBorders>
            <w:noWrap/>
            <w:vAlign w:val="bottom"/>
            <w:hideMark/>
          </w:tcPr>
          <w:p w14:paraId="21894F79" w14:textId="77777777" w:rsidR="00FF18FE" w:rsidRPr="009A53D8" w:rsidRDefault="00FF18FE" w:rsidP="00C370F8">
            <w:pPr>
              <w:spacing w:after="0" w:line="240" w:lineRule="auto"/>
              <w:jc w:val="center"/>
              <w:rPr>
                <w:rFonts w:ascii="Arial" w:eastAsia="Times New Roman" w:hAnsi="Arial" w:cs="Arial"/>
                <w:color w:val="000000"/>
                <w:kern w:val="0"/>
                <w:sz w:val="20"/>
                <w:szCs w:val="20"/>
                <w14:ligatures w14:val="none"/>
              </w:rPr>
            </w:pPr>
            <w:r w:rsidRPr="009A53D8">
              <w:rPr>
                <w:rFonts w:ascii="Arial" w:eastAsia="Times New Roman" w:hAnsi="Arial" w:cs="Arial"/>
                <w:color w:val="000000"/>
                <w:kern w:val="0"/>
                <w:sz w:val="20"/>
                <w:szCs w:val="20"/>
                <w14:ligatures w14:val="none"/>
              </w:rPr>
              <w:t>309</w:t>
            </w:r>
          </w:p>
        </w:tc>
      </w:tr>
    </w:tbl>
    <w:p w14:paraId="1D447532" w14:textId="77777777" w:rsidR="0067058C" w:rsidRPr="006D43A8" w:rsidRDefault="0067058C" w:rsidP="00C370F8">
      <w:pPr>
        <w:spacing w:line="480" w:lineRule="auto"/>
        <w:rPr>
          <w:rFonts w:ascii="Times New Roman" w:hAnsi="Times New Roman" w:cs="Times New Roman"/>
          <w:b/>
          <w:bCs/>
          <w:sz w:val="24"/>
          <w:szCs w:val="24"/>
        </w:rPr>
      </w:pPr>
    </w:p>
    <w:p w14:paraId="2AAAE8CF" w14:textId="77777777" w:rsidR="000A1C5B" w:rsidRPr="006D43A8" w:rsidRDefault="000A1C5B" w:rsidP="00C370F8">
      <w:pPr>
        <w:spacing w:line="480" w:lineRule="auto"/>
        <w:rPr>
          <w:rFonts w:ascii="Times New Roman" w:hAnsi="Times New Roman" w:cs="Times New Roman"/>
          <w:b/>
          <w:bCs/>
          <w:sz w:val="24"/>
          <w:szCs w:val="24"/>
        </w:rPr>
        <w:sectPr w:rsidR="000A1C5B" w:rsidRPr="006D43A8" w:rsidSect="005D12E9">
          <w:type w:val="continuous"/>
          <w:pgSz w:w="12240" w:h="15840"/>
          <w:pgMar w:top="1440" w:right="1440" w:bottom="1440" w:left="1440" w:header="720" w:footer="720" w:gutter="0"/>
          <w:cols w:space="720"/>
          <w:docGrid w:linePitch="360"/>
        </w:sectPr>
      </w:pPr>
      <w:bookmarkStart w:id="9" w:name="_Toc180418981"/>
    </w:p>
    <w:p w14:paraId="405AE281" w14:textId="2A5B0DF9" w:rsidR="00A7794A" w:rsidRPr="009A53D8" w:rsidRDefault="00A7794A" w:rsidP="00C370F8">
      <w:pPr>
        <w:spacing w:line="480" w:lineRule="auto"/>
        <w:rPr>
          <w:rFonts w:ascii="Arial" w:hAnsi="Arial" w:cs="Arial"/>
          <w:b/>
          <w:bCs/>
        </w:rPr>
      </w:pPr>
      <w:r w:rsidRPr="009A53D8">
        <w:rPr>
          <w:rFonts w:ascii="Arial" w:hAnsi="Arial" w:cs="Arial"/>
          <w:b/>
          <w:bCs/>
        </w:rPr>
        <w:t>3.6 Model validation</w:t>
      </w:r>
      <w:bookmarkEnd w:id="9"/>
    </w:p>
    <w:p w14:paraId="79B03D29" w14:textId="33165CDB" w:rsidR="00A7794A" w:rsidRPr="009A53D8" w:rsidRDefault="004F170B" w:rsidP="00C370F8">
      <w:pPr>
        <w:tabs>
          <w:tab w:val="left" w:pos="5335"/>
        </w:tabs>
        <w:spacing w:line="480" w:lineRule="auto"/>
        <w:jc w:val="both"/>
        <w:rPr>
          <w:rFonts w:ascii="Arial" w:hAnsi="Arial" w:cs="Arial"/>
          <w:sz w:val="20"/>
          <w:szCs w:val="20"/>
        </w:rPr>
      </w:pPr>
      <w:r>
        <w:rPr>
          <w:rFonts w:ascii="Arial" w:hAnsi="Arial" w:cs="Arial"/>
          <w:sz w:val="20"/>
          <w:szCs w:val="20"/>
        </w:rPr>
        <w:t>Figures</w:t>
      </w:r>
      <w:r w:rsidR="00A7794A" w:rsidRPr="009A53D8">
        <w:rPr>
          <w:rFonts w:ascii="Arial" w:hAnsi="Arial" w:cs="Arial"/>
          <w:sz w:val="20"/>
          <w:szCs w:val="20"/>
        </w:rPr>
        <w:t xml:space="preserve"> 5</w:t>
      </w:r>
      <w:r w:rsidR="00A128EC">
        <w:rPr>
          <w:rFonts w:ascii="Arial" w:hAnsi="Arial" w:cs="Arial"/>
          <w:sz w:val="20"/>
          <w:szCs w:val="20"/>
        </w:rPr>
        <w:t xml:space="preserve"> and 6 </w:t>
      </w:r>
      <w:r w:rsidR="00A7794A" w:rsidRPr="009A53D8">
        <w:rPr>
          <w:rFonts w:ascii="Arial" w:hAnsi="Arial" w:cs="Arial"/>
          <w:sz w:val="20"/>
          <w:szCs w:val="20"/>
        </w:rPr>
        <w:t>show the actual and predicted concentration at depth (C</w:t>
      </w:r>
      <w:r w:rsidR="00A7794A" w:rsidRPr="009A53D8">
        <w:rPr>
          <w:rFonts w:ascii="Arial" w:hAnsi="Arial" w:cs="Arial"/>
          <w:sz w:val="20"/>
          <w:szCs w:val="20"/>
          <w:vertAlign w:val="subscript"/>
        </w:rPr>
        <w:t>2</w:t>
      </w:r>
      <w:r w:rsidR="00A7794A" w:rsidRPr="009A53D8">
        <w:rPr>
          <w:rFonts w:ascii="Arial" w:hAnsi="Arial" w:cs="Arial"/>
          <w:sz w:val="20"/>
          <w:szCs w:val="20"/>
        </w:rPr>
        <w:t>)</w:t>
      </w:r>
      <w:r w:rsidR="00A128EC">
        <w:rPr>
          <w:rFonts w:ascii="Arial" w:hAnsi="Arial" w:cs="Arial"/>
          <w:sz w:val="20"/>
          <w:szCs w:val="20"/>
        </w:rPr>
        <w:t xml:space="preserve">. </w:t>
      </w:r>
      <w:r w:rsidR="00A7794A" w:rsidRPr="009A53D8">
        <w:rPr>
          <w:rFonts w:ascii="Arial" w:hAnsi="Arial" w:cs="Arial"/>
          <w:sz w:val="20"/>
          <w:szCs w:val="20"/>
        </w:rPr>
        <w:t>The R</w:t>
      </w:r>
      <w:r w:rsidR="00A7794A" w:rsidRPr="009A53D8">
        <w:rPr>
          <w:rFonts w:ascii="Arial" w:hAnsi="Arial" w:cs="Arial"/>
          <w:sz w:val="20"/>
          <w:szCs w:val="20"/>
          <w:vertAlign w:val="superscript"/>
        </w:rPr>
        <w:t>2</w:t>
      </w:r>
      <w:r w:rsidR="00A7794A" w:rsidRPr="009A53D8">
        <w:rPr>
          <w:rFonts w:ascii="Arial" w:hAnsi="Arial" w:cs="Arial"/>
          <w:sz w:val="20"/>
          <w:szCs w:val="20"/>
        </w:rPr>
        <w:t xml:space="preserve"> values obtained from Microsoft XLSTAT </w:t>
      </w:r>
      <w:r w:rsidR="00A128EC">
        <w:rPr>
          <w:rFonts w:ascii="Arial" w:hAnsi="Arial" w:cs="Arial"/>
          <w:sz w:val="20"/>
          <w:szCs w:val="20"/>
        </w:rPr>
        <w:t>were</w:t>
      </w:r>
      <w:r w:rsidR="00A7794A" w:rsidRPr="009A53D8">
        <w:rPr>
          <w:rFonts w:ascii="Arial" w:hAnsi="Arial" w:cs="Arial"/>
          <w:sz w:val="20"/>
          <w:szCs w:val="20"/>
        </w:rPr>
        <w:t xml:space="preserve"> 0.97 for sandy soil and 0.66 for loamy soil. </w:t>
      </w:r>
    </w:p>
    <w:p w14:paraId="70A65FE5" w14:textId="5BC0D653" w:rsidR="00D05A3E" w:rsidRPr="009A53D8" w:rsidRDefault="00D05A3E" w:rsidP="00C370F8">
      <w:pPr>
        <w:tabs>
          <w:tab w:val="left" w:pos="5335"/>
        </w:tabs>
        <w:spacing w:line="480" w:lineRule="auto"/>
        <w:jc w:val="both"/>
        <w:rPr>
          <w:rFonts w:ascii="Arial" w:hAnsi="Arial" w:cs="Arial"/>
          <w:sz w:val="20"/>
          <w:szCs w:val="20"/>
        </w:rPr>
      </w:pPr>
      <w:r w:rsidRPr="009A53D8">
        <w:rPr>
          <w:rFonts w:ascii="Arial" w:hAnsi="Arial" w:cs="Arial"/>
          <w:sz w:val="20"/>
          <w:szCs w:val="20"/>
        </w:rPr>
        <w:lastRenderedPageBreak/>
        <w:t>The R² value for sandy soil indicates an excellent fit between the actual and predicted values, showing that the model for sandy soil can excellently predict the concentration at depth. This can be attributed to the relatively uniform structure and high permeability of sandy soil, which allows for more predictable and consistent movement of contaminants.</w:t>
      </w:r>
    </w:p>
    <w:p w14:paraId="773C69D2" w14:textId="42E54C81" w:rsidR="00D05A3E" w:rsidRPr="009A53D8" w:rsidRDefault="00D05A3E" w:rsidP="00C370F8">
      <w:pPr>
        <w:tabs>
          <w:tab w:val="left" w:pos="5335"/>
        </w:tabs>
        <w:spacing w:line="480" w:lineRule="auto"/>
        <w:jc w:val="both"/>
        <w:rPr>
          <w:rFonts w:ascii="Arial" w:hAnsi="Arial" w:cs="Arial"/>
          <w:sz w:val="20"/>
          <w:szCs w:val="20"/>
        </w:rPr>
      </w:pPr>
      <w:r w:rsidRPr="009A53D8">
        <w:rPr>
          <w:rFonts w:ascii="Arial" w:hAnsi="Arial" w:cs="Arial"/>
          <w:sz w:val="20"/>
          <w:szCs w:val="20"/>
        </w:rPr>
        <w:t xml:space="preserve">In contrast, the R² value for loamy soil indicates a moderate fit between the actual and predicted values. This moderate fit may be due to the more complex and heterogeneous nature of loamy soil, which contains a mix of sand, silt and clay particles. This complexity can lead to more variable and less predictable contaminant transport, making it harder for the model to capture all the influencing factors accurately. Factors such as variations in organic matter content, soil compaction, and micro-structures within loamy soil may contribute to this variability. </w:t>
      </w:r>
    </w:p>
    <w:p w14:paraId="79B21307" w14:textId="15AF90BF" w:rsidR="000A1C5B" w:rsidRPr="009A53D8" w:rsidRDefault="0029717D" w:rsidP="00C370F8">
      <w:pPr>
        <w:spacing w:before="240" w:line="480" w:lineRule="auto"/>
        <w:jc w:val="both"/>
        <w:rPr>
          <w:rFonts w:ascii="Arial" w:hAnsi="Arial" w:cs="Arial"/>
          <w:sz w:val="20"/>
          <w:szCs w:val="20"/>
        </w:rPr>
        <w:sectPr w:rsidR="000A1C5B" w:rsidRPr="009A53D8" w:rsidSect="005D12E9">
          <w:type w:val="continuous"/>
          <w:pgSz w:w="12240" w:h="15840"/>
          <w:pgMar w:top="1440" w:right="1440" w:bottom="1440" w:left="1440" w:header="720" w:footer="720" w:gutter="0"/>
          <w:cols w:space="720"/>
          <w:docGrid w:linePitch="360"/>
        </w:sectPr>
      </w:pPr>
      <w:r w:rsidRPr="009A53D8">
        <w:rPr>
          <w:rFonts w:ascii="Arial" w:hAnsi="Arial" w:cs="Arial"/>
          <w:sz w:val="20"/>
          <w:szCs w:val="20"/>
        </w:rPr>
        <w:t xml:space="preserve">The moderate predictive reliability of the loamy soil model indicates that while the model provides a reasonable approximation, it may not capture all the variability in contaminant transport in loamy soils. This suggests a need for caution when relying solely on model predictions. Environmental assessments using the loamy soil model should be supplemented with additional field data and monitoring to ensure accurate </w:t>
      </w:r>
      <w:r w:rsidR="004F170B">
        <w:rPr>
          <w:rFonts w:ascii="Arial" w:hAnsi="Arial" w:cs="Arial"/>
          <w:sz w:val="20"/>
          <w:szCs w:val="20"/>
        </w:rPr>
        <w:t>characterisation</w:t>
      </w:r>
      <w:r w:rsidRPr="009A53D8">
        <w:rPr>
          <w:rFonts w:ascii="Arial" w:hAnsi="Arial" w:cs="Arial"/>
          <w:sz w:val="20"/>
          <w:szCs w:val="20"/>
        </w:rPr>
        <w:t xml:space="preserve"> of contamination. Remediation strategies in loamy soils may need to be more flexible and adaptive, taking into account the potential for greater variability and unexpected conditions. Supporting research aligns with these findings. Studies by </w:t>
      </w:r>
      <w:sdt>
        <w:sdtPr>
          <w:rPr>
            <w:rFonts w:ascii="Arial" w:hAnsi="Arial" w:cs="Arial"/>
            <w:color w:val="000000"/>
            <w:sz w:val="20"/>
            <w:szCs w:val="20"/>
          </w:rPr>
          <w:tag w:val="MENDELEY_CITATION_v3_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"/>
          <w:id w:val="742921683"/>
          <w:placeholder>
            <w:docPart w:val="E92A79EDC8AC4515869896CA85ACDA7B"/>
          </w:placeholder>
        </w:sdtPr>
        <w:sdtEndPr/>
        <w:sdtContent>
          <w:r w:rsidR="002F7DEA" w:rsidRPr="009A53D8">
            <w:rPr>
              <w:rFonts w:ascii="Arial" w:hAnsi="Arial" w:cs="Arial"/>
              <w:color w:val="000000"/>
              <w:sz w:val="20"/>
              <w:szCs w:val="20"/>
            </w:rPr>
            <w:t>Gao et al. (2019)</w:t>
          </w:r>
        </w:sdtContent>
      </w:sdt>
      <w:r w:rsidRPr="009A53D8">
        <w:rPr>
          <w:rFonts w:ascii="Arial" w:hAnsi="Arial" w:cs="Arial"/>
          <w:color w:val="000000"/>
          <w:sz w:val="20"/>
          <w:szCs w:val="20"/>
        </w:rPr>
        <w:t xml:space="preserve"> and </w:t>
      </w:r>
      <w:sdt>
        <w:sdtPr>
          <w:rPr>
            <w:rFonts w:ascii="Arial" w:hAnsi="Arial" w:cs="Arial"/>
            <w:color w:val="000000"/>
            <w:sz w:val="20"/>
            <w:szCs w:val="20"/>
          </w:rPr>
          <w:tag w:val="MENDELEY_CITATION_v3_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"/>
          <w:id w:val="-1214497325"/>
          <w:placeholder>
            <w:docPart w:val="E92A79EDC8AC4515869896CA85ACDA7B"/>
          </w:placeholder>
        </w:sdtPr>
        <w:sdtEndPr/>
        <w:sdtContent>
          <w:r w:rsidR="002F7DEA" w:rsidRPr="009A53D8">
            <w:rPr>
              <w:rFonts w:ascii="Arial" w:hAnsi="Arial" w:cs="Arial"/>
              <w:color w:val="000000"/>
              <w:sz w:val="20"/>
              <w:szCs w:val="20"/>
            </w:rPr>
            <w:t>Hamamoto et al. (2009)</w:t>
          </w:r>
        </w:sdtContent>
      </w:sdt>
      <w:r w:rsidRPr="009A53D8">
        <w:rPr>
          <w:rFonts w:ascii="Arial" w:hAnsi="Arial" w:cs="Arial"/>
          <w:sz w:val="20"/>
          <w:szCs w:val="20"/>
        </w:rPr>
        <w:t xml:space="preserve"> have shown that sandy soils, with their larger particles, typically exhibit higher permeability and faster contaminant transport rates, making the behaviour of contaminant in sandy soils less complex and more predictable, supporting the higher R² value for the sandy soil model. On the other hand, </w:t>
      </w:r>
      <w:sdt>
        <w:sdtPr>
          <w:rPr>
            <w:rFonts w:ascii="Arial" w:hAnsi="Arial" w:cs="Arial"/>
            <w:color w:val="000000"/>
            <w:sz w:val="20"/>
            <w:szCs w:val="20"/>
          </w:rPr>
          <w:tag w:val="MENDELEY_CITATION_v3_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"/>
          <w:id w:val="-564413101"/>
          <w:placeholder>
            <w:docPart w:val="E92A79EDC8AC4515869896CA85ACDA7B"/>
          </w:placeholder>
        </w:sdtPr>
        <w:sdtEndPr/>
        <w:sdtContent>
          <w:r w:rsidR="002F7DEA" w:rsidRPr="009A53D8">
            <w:rPr>
              <w:rFonts w:ascii="Arial" w:hAnsi="Arial" w:cs="Arial"/>
              <w:color w:val="000000"/>
              <w:sz w:val="20"/>
              <w:szCs w:val="20"/>
            </w:rPr>
            <w:t>Soares et al. (2015)</w:t>
          </w:r>
        </w:sdtContent>
      </w:sdt>
      <w:r w:rsidRPr="009A53D8">
        <w:rPr>
          <w:rFonts w:ascii="Arial" w:hAnsi="Arial" w:cs="Arial"/>
          <w:sz w:val="20"/>
          <w:szCs w:val="20"/>
        </w:rPr>
        <w:t xml:space="preserve"> found that organic matter content and soil composition can significantly alter contaminant transport dynamics, highlighting the complexity of loamy soils and the moderate fit of the loamy soil model</w:t>
      </w:r>
      <w:r w:rsidR="004F170B">
        <w:rPr>
          <w:rFonts w:ascii="Arial" w:hAnsi="Arial" w:cs="Arial"/>
          <w:sz w:val="20"/>
          <w:szCs w:val="20"/>
        </w:rPr>
        <w:t>.</w:t>
      </w:r>
    </w:p>
    <w:p w14:paraId="4B7B41F7" w14:textId="77777777" w:rsidR="006D43A8" w:rsidRPr="006D43A8" w:rsidRDefault="006D43A8" w:rsidP="00C370F8">
      <w:pPr>
        <w:tabs>
          <w:tab w:val="left" w:pos="5335"/>
        </w:tabs>
        <w:spacing w:line="480" w:lineRule="auto"/>
        <w:jc w:val="both"/>
        <w:rPr>
          <w:rFonts w:ascii="Times New Roman" w:hAnsi="Times New Roman" w:cs="Times New Roman"/>
          <w:sz w:val="24"/>
          <w:szCs w:val="24"/>
        </w:rPr>
      </w:pPr>
    </w:p>
    <w:p w14:paraId="305F9A7F" w14:textId="77777777" w:rsidR="00C370F8" w:rsidRDefault="0029717D" w:rsidP="00C370F8">
      <w:pPr>
        <w:spacing w:after="0" w:line="480" w:lineRule="auto"/>
        <w:jc w:val="both"/>
        <w:rPr>
          <w:rFonts w:ascii="Arial" w:hAnsi="Arial" w:cs="Arial"/>
          <w:b/>
          <w:bCs/>
          <w:sz w:val="20"/>
          <w:szCs w:val="20"/>
        </w:rPr>
      </w:pPr>
      <w:r w:rsidRPr="006D43A8">
        <w:rPr>
          <w:rFonts w:ascii="Times New Roman" w:hAnsi="Times New Roman" w:cs="Times New Roman"/>
          <w:noProof/>
          <w:sz w:val="24"/>
          <w:szCs w:val="24"/>
          <w:lang w:eastAsia="en-GB"/>
        </w:rPr>
        <w:lastRenderedPageBreak/>
        <w:drawing>
          <wp:inline distT="0" distB="0" distL="0" distR="0" wp14:anchorId="260D6EBD" wp14:editId="6C5E1875">
            <wp:extent cx="5391260" cy="2933480"/>
            <wp:effectExtent l="0" t="0" r="0" b="635"/>
            <wp:docPr id="1243492532" name="Chart 1">
              <a:extLst xmlns:a="http://schemas.openxmlformats.org/drawingml/2006/main">
                <a:ext uri="{FF2B5EF4-FFF2-40B4-BE49-F238E27FC236}">
                  <a16:creationId xmlns:a16="http://schemas.microsoft.com/office/drawing/2014/main" id="{F86FAE93-EC3D-894E-8DBE-0812A0AD34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bookmarkStart w:id="10" w:name="_Toc180419066"/>
    </w:p>
    <w:p w14:paraId="47200AC6" w14:textId="025C7776" w:rsidR="0029717D" w:rsidRPr="004F170B" w:rsidRDefault="0029717D" w:rsidP="00C370F8">
      <w:pPr>
        <w:spacing w:after="0" w:line="480" w:lineRule="auto"/>
        <w:jc w:val="both"/>
        <w:rPr>
          <w:rFonts w:ascii="Times New Roman" w:hAnsi="Times New Roman" w:cs="Times New Roman"/>
          <w:sz w:val="24"/>
          <w:szCs w:val="24"/>
        </w:rPr>
      </w:pPr>
      <w:r w:rsidRPr="00A128EC">
        <w:rPr>
          <w:rFonts w:ascii="Arial" w:hAnsi="Arial" w:cs="Arial"/>
          <w:b/>
          <w:bCs/>
          <w:sz w:val="20"/>
          <w:szCs w:val="20"/>
        </w:rPr>
        <w:t xml:space="preserve">Figure </w:t>
      </w:r>
      <w:r w:rsidR="00780CA9" w:rsidRPr="00A128EC">
        <w:rPr>
          <w:rFonts w:ascii="Arial" w:hAnsi="Arial" w:cs="Arial"/>
          <w:b/>
          <w:bCs/>
          <w:sz w:val="20"/>
          <w:szCs w:val="20"/>
        </w:rPr>
        <w:t>5</w:t>
      </w:r>
      <w:r w:rsidRPr="00A128EC">
        <w:rPr>
          <w:rFonts w:ascii="Arial" w:hAnsi="Arial" w:cs="Arial"/>
          <w:b/>
          <w:bCs/>
          <w:sz w:val="20"/>
          <w:szCs w:val="20"/>
        </w:rPr>
        <w:t>: Actual and predicted C</w:t>
      </w:r>
      <w:r w:rsidRPr="00A128EC">
        <w:rPr>
          <w:rFonts w:ascii="Arial" w:hAnsi="Arial" w:cs="Arial"/>
          <w:b/>
          <w:bCs/>
          <w:sz w:val="20"/>
          <w:szCs w:val="20"/>
          <w:vertAlign w:val="subscript"/>
        </w:rPr>
        <w:t>2</w:t>
      </w:r>
      <w:r w:rsidRPr="00A128EC">
        <w:rPr>
          <w:rFonts w:ascii="Arial" w:hAnsi="Arial" w:cs="Arial"/>
          <w:b/>
          <w:bCs/>
          <w:sz w:val="20"/>
          <w:szCs w:val="20"/>
        </w:rPr>
        <w:t xml:space="preserve"> for sandy soil</w:t>
      </w:r>
      <w:bookmarkEnd w:id="10"/>
    </w:p>
    <w:p w14:paraId="334A2080" w14:textId="77777777" w:rsidR="0029717D" w:rsidRPr="006D43A8" w:rsidRDefault="0029717D" w:rsidP="00C370F8">
      <w:pPr>
        <w:spacing w:after="0" w:line="480" w:lineRule="auto"/>
        <w:jc w:val="both"/>
        <w:rPr>
          <w:rFonts w:ascii="Times New Roman" w:hAnsi="Times New Roman" w:cs="Times New Roman"/>
          <w:sz w:val="24"/>
          <w:szCs w:val="24"/>
        </w:rPr>
      </w:pPr>
    </w:p>
    <w:p w14:paraId="3DCDAEC9" w14:textId="77777777" w:rsidR="0029717D" w:rsidRPr="006D43A8" w:rsidRDefault="0029717D" w:rsidP="00C370F8">
      <w:pPr>
        <w:spacing w:after="0" w:line="480" w:lineRule="auto"/>
        <w:jc w:val="both"/>
        <w:rPr>
          <w:rFonts w:ascii="Times New Roman" w:hAnsi="Times New Roman" w:cs="Times New Roman"/>
          <w:sz w:val="24"/>
          <w:szCs w:val="24"/>
        </w:rPr>
      </w:pPr>
    </w:p>
    <w:p w14:paraId="16B71828" w14:textId="47169327" w:rsidR="0029717D" w:rsidRPr="006D43A8" w:rsidRDefault="0029717D" w:rsidP="00C370F8">
      <w:pPr>
        <w:spacing w:after="0" w:line="480" w:lineRule="auto"/>
        <w:jc w:val="both"/>
        <w:rPr>
          <w:rFonts w:ascii="Times New Roman" w:hAnsi="Times New Roman" w:cs="Times New Roman"/>
          <w:sz w:val="24"/>
          <w:szCs w:val="24"/>
        </w:rPr>
      </w:pPr>
    </w:p>
    <w:p w14:paraId="4C0B73D3" w14:textId="49DD3A68" w:rsidR="00A128EC" w:rsidRDefault="0029717D" w:rsidP="00C370F8">
      <w:pPr>
        <w:spacing w:before="240" w:line="480" w:lineRule="auto"/>
        <w:rPr>
          <w:rFonts w:ascii="Arial" w:hAnsi="Arial" w:cs="Arial"/>
          <w:b/>
          <w:bCs/>
          <w:sz w:val="20"/>
          <w:szCs w:val="20"/>
        </w:rPr>
      </w:pPr>
      <w:r w:rsidRPr="006D43A8">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70DD2B80" wp14:editId="323FF6DA">
            <wp:simplePos x="0" y="0"/>
            <wp:positionH relativeFrom="column">
              <wp:align>left</wp:align>
            </wp:positionH>
            <wp:positionV relativeFrom="paragraph">
              <wp:align>top</wp:align>
            </wp:positionV>
            <wp:extent cx="5454687" cy="2711487"/>
            <wp:effectExtent l="0" t="0" r="12700" b="12700"/>
            <wp:wrapSquare wrapText="bothSides"/>
            <wp:docPr id="90105506" name="Chart 1">
              <a:extLst xmlns:a="http://schemas.openxmlformats.org/drawingml/2006/main">
                <a:ext uri="{FF2B5EF4-FFF2-40B4-BE49-F238E27FC236}">
                  <a16:creationId xmlns:a16="http://schemas.microsoft.com/office/drawing/2014/main" id="{615C6B0C-81C6-B029-9644-BEB629FA69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V relativeFrom="margin">
              <wp14:pctHeight>0</wp14:pctHeight>
            </wp14:sizeRelV>
          </wp:anchor>
        </w:drawing>
      </w:r>
    </w:p>
    <w:p w14:paraId="72E984EA" w14:textId="77777777" w:rsidR="00A128EC" w:rsidRDefault="00A128EC" w:rsidP="00C370F8">
      <w:pPr>
        <w:spacing w:before="240" w:line="480" w:lineRule="auto"/>
        <w:rPr>
          <w:rFonts w:ascii="Arial" w:hAnsi="Arial" w:cs="Arial"/>
          <w:b/>
          <w:bCs/>
          <w:sz w:val="20"/>
          <w:szCs w:val="20"/>
        </w:rPr>
      </w:pPr>
    </w:p>
    <w:p w14:paraId="36C17E43" w14:textId="77777777" w:rsidR="00A128EC" w:rsidRDefault="00A128EC" w:rsidP="00C370F8">
      <w:pPr>
        <w:spacing w:before="240" w:line="480" w:lineRule="auto"/>
        <w:rPr>
          <w:rFonts w:ascii="Arial" w:hAnsi="Arial" w:cs="Arial"/>
          <w:b/>
          <w:bCs/>
          <w:sz w:val="20"/>
          <w:szCs w:val="20"/>
        </w:rPr>
      </w:pPr>
    </w:p>
    <w:p w14:paraId="32CC9145" w14:textId="77777777" w:rsidR="00A128EC" w:rsidRDefault="00A128EC" w:rsidP="00C370F8">
      <w:pPr>
        <w:spacing w:before="240" w:line="480" w:lineRule="auto"/>
        <w:rPr>
          <w:rFonts w:ascii="Arial" w:hAnsi="Arial" w:cs="Arial"/>
          <w:b/>
          <w:bCs/>
          <w:sz w:val="20"/>
          <w:szCs w:val="20"/>
        </w:rPr>
      </w:pPr>
    </w:p>
    <w:p w14:paraId="7CDCB9A6" w14:textId="77777777" w:rsidR="00A128EC" w:rsidRDefault="00A128EC" w:rsidP="00C370F8">
      <w:pPr>
        <w:spacing w:before="240" w:line="480" w:lineRule="auto"/>
        <w:rPr>
          <w:rFonts w:ascii="Arial" w:hAnsi="Arial" w:cs="Arial"/>
          <w:b/>
          <w:bCs/>
          <w:sz w:val="20"/>
          <w:szCs w:val="20"/>
        </w:rPr>
      </w:pPr>
    </w:p>
    <w:p w14:paraId="19A38965" w14:textId="77777777" w:rsidR="00A128EC" w:rsidRDefault="00A128EC" w:rsidP="00C370F8">
      <w:pPr>
        <w:spacing w:before="240" w:line="480" w:lineRule="auto"/>
        <w:rPr>
          <w:rFonts w:ascii="Arial" w:hAnsi="Arial" w:cs="Arial"/>
          <w:b/>
          <w:bCs/>
          <w:sz w:val="20"/>
          <w:szCs w:val="20"/>
        </w:rPr>
      </w:pPr>
    </w:p>
    <w:p w14:paraId="092686C8" w14:textId="3ACB059F" w:rsidR="0029717D" w:rsidRPr="00A128EC" w:rsidRDefault="0029717D" w:rsidP="00C370F8">
      <w:pPr>
        <w:spacing w:before="240" w:line="480" w:lineRule="auto"/>
        <w:rPr>
          <w:rFonts w:ascii="Arial" w:hAnsi="Arial" w:cs="Arial"/>
          <w:b/>
          <w:bCs/>
          <w:sz w:val="20"/>
          <w:szCs w:val="20"/>
        </w:rPr>
      </w:pPr>
      <w:r w:rsidRPr="00A128EC">
        <w:rPr>
          <w:rFonts w:ascii="Arial" w:hAnsi="Arial" w:cs="Arial"/>
          <w:b/>
          <w:bCs/>
          <w:sz w:val="20"/>
          <w:szCs w:val="20"/>
        </w:rPr>
        <w:t xml:space="preserve">Figure </w:t>
      </w:r>
      <w:r w:rsidR="00780CA9" w:rsidRPr="00A128EC">
        <w:rPr>
          <w:rFonts w:ascii="Arial" w:hAnsi="Arial" w:cs="Arial"/>
          <w:b/>
          <w:bCs/>
          <w:sz w:val="20"/>
          <w:szCs w:val="20"/>
        </w:rPr>
        <w:t>6</w:t>
      </w:r>
      <w:r w:rsidRPr="00A128EC">
        <w:rPr>
          <w:rFonts w:ascii="Arial" w:hAnsi="Arial" w:cs="Arial"/>
          <w:b/>
          <w:bCs/>
          <w:sz w:val="20"/>
          <w:szCs w:val="20"/>
        </w:rPr>
        <w:t>: Actual and predicted C</w:t>
      </w:r>
      <w:r w:rsidRPr="00A128EC">
        <w:rPr>
          <w:rFonts w:ascii="Arial" w:hAnsi="Arial" w:cs="Arial"/>
          <w:b/>
          <w:bCs/>
          <w:sz w:val="20"/>
          <w:szCs w:val="20"/>
          <w:vertAlign w:val="subscript"/>
        </w:rPr>
        <w:t>2</w:t>
      </w:r>
      <w:r w:rsidRPr="00A128EC">
        <w:rPr>
          <w:rFonts w:ascii="Arial" w:hAnsi="Arial" w:cs="Arial"/>
          <w:b/>
          <w:bCs/>
          <w:sz w:val="20"/>
          <w:szCs w:val="20"/>
        </w:rPr>
        <w:t xml:space="preserve"> for loamy soil</w:t>
      </w:r>
    </w:p>
    <w:p w14:paraId="19D10888" w14:textId="77777777" w:rsidR="000A1C5B" w:rsidRPr="006D43A8" w:rsidRDefault="000A1C5B" w:rsidP="00C370F8">
      <w:pPr>
        <w:spacing w:line="480" w:lineRule="auto"/>
        <w:rPr>
          <w:rFonts w:ascii="Times New Roman" w:hAnsi="Times New Roman" w:cs="Times New Roman"/>
          <w:b/>
          <w:bCs/>
          <w:sz w:val="24"/>
          <w:szCs w:val="24"/>
        </w:rPr>
        <w:sectPr w:rsidR="000A1C5B" w:rsidRPr="006D43A8" w:rsidSect="005D12E9">
          <w:type w:val="continuous"/>
          <w:pgSz w:w="12240" w:h="15840"/>
          <w:pgMar w:top="1440" w:right="1440" w:bottom="1440" w:left="1440" w:header="720" w:footer="720" w:gutter="0"/>
          <w:cols w:space="720"/>
          <w:docGrid w:linePitch="360"/>
        </w:sectPr>
      </w:pPr>
    </w:p>
    <w:p w14:paraId="045CB193" w14:textId="77777777" w:rsidR="004F170B" w:rsidRDefault="004F170B" w:rsidP="00C370F8">
      <w:pPr>
        <w:spacing w:line="480" w:lineRule="auto"/>
        <w:rPr>
          <w:rFonts w:ascii="Arial" w:hAnsi="Arial" w:cs="Arial"/>
          <w:b/>
          <w:bCs/>
        </w:rPr>
      </w:pPr>
    </w:p>
    <w:p w14:paraId="5D6EBA06" w14:textId="3BF36B00" w:rsidR="0029717D" w:rsidRPr="00A128EC" w:rsidRDefault="00A128EC" w:rsidP="00C370F8">
      <w:pPr>
        <w:spacing w:line="480" w:lineRule="auto"/>
        <w:rPr>
          <w:rFonts w:ascii="Arial" w:hAnsi="Arial" w:cs="Arial"/>
          <w:b/>
          <w:bCs/>
        </w:rPr>
      </w:pPr>
      <w:r w:rsidRPr="00A128EC">
        <w:rPr>
          <w:rFonts w:ascii="Arial" w:hAnsi="Arial" w:cs="Arial"/>
          <w:b/>
          <w:bCs/>
        </w:rPr>
        <w:lastRenderedPageBreak/>
        <w:t>4. CONCLUSION</w:t>
      </w:r>
    </w:p>
    <w:p w14:paraId="4F7BE06E" w14:textId="00AB7489" w:rsidR="0020730F" w:rsidRPr="00A128EC" w:rsidRDefault="0020730F" w:rsidP="00C370F8">
      <w:pPr>
        <w:spacing w:line="480" w:lineRule="auto"/>
        <w:jc w:val="both"/>
        <w:rPr>
          <w:rFonts w:ascii="Arial" w:hAnsi="Arial" w:cs="Arial"/>
          <w:sz w:val="20"/>
          <w:szCs w:val="20"/>
        </w:rPr>
      </w:pPr>
      <w:r w:rsidRPr="00A128EC">
        <w:rPr>
          <w:rFonts w:ascii="Arial" w:hAnsi="Arial" w:cs="Arial"/>
          <w:sz w:val="20"/>
          <w:szCs w:val="20"/>
        </w:rPr>
        <w:t xml:space="preserve">The analysis of soil permeability in sandy and loamy soil columns of varying heights </w:t>
      </w:r>
      <w:r w:rsidR="00F9407F" w:rsidRPr="00A128EC">
        <w:rPr>
          <w:rFonts w:ascii="Arial" w:hAnsi="Arial" w:cs="Arial"/>
          <w:sz w:val="20"/>
          <w:szCs w:val="20"/>
        </w:rPr>
        <w:t>showed</w:t>
      </w:r>
      <w:r w:rsidRPr="00A128EC">
        <w:rPr>
          <w:rFonts w:ascii="Arial" w:hAnsi="Arial" w:cs="Arial"/>
          <w:sz w:val="20"/>
          <w:szCs w:val="20"/>
        </w:rPr>
        <w:t xml:space="preserve"> how soil depth and compaction affected water movement through these soil types. For sandy soil, the highest permeability value of 0.63 cm/s was observed in the 15 cm column, suggesting that optimal water flow occurred in this column due to the sand's structure and particle arrangement. </w:t>
      </w:r>
      <w:r w:rsidR="00F9407F" w:rsidRPr="00A128EC">
        <w:rPr>
          <w:rFonts w:ascii="Arial" w:hAnsi="Arial" w:cs="Arial"/>
          <w:sz w:val="20"/>
          <w:szCs w:val="20"/>
        </w:rPr>
        <w:t>On the other hand</w:t>
      </w:r>
      <w:r w:rsidRPr="00A128EC">
        <w:rPr>
          <w:rFonts w:ascii="Arial" w:hAnsi="Arial" w:cs="Arial"/>
          <w:sz w:val="20"/>
          <w:szCs w:val="20"/>
        </w:rPr>
        <w:t>, the lowest permeability value of 0.11 cm/s was found in the 50 cm column, which was attributed to increased compaction and tighter packing of sand particles. This variation in permeability indicated that artificial compaction significantly impacted water flow in sandy soil, with less compacted columns facilitating higher permeability. Similarly, for loamy soil, the highest permeability value of 0.14 cm/s was observed in the 15 cm column, indicating that water flowed more easily through this less compacted column. The lowest permeability value of 0.10 cm/s was consistently observed in columns with heights of 30 cm, 40 cm and 50 cm,</w:t>
      </w:r>
      <w:r w:rsidR="00F9407F" w:rsidRPr="00A128EC">
        <w:rPr>
          <w:rFonts w:ascii="Arial" w:hAnsi="Arial" w:cs="Arial"/>
          <w:sz w:val="20"/>
          <w:szCs w:val="20"/>
        </w:rPr>
        <w:t xml:space="preserve"> indicating</w:t>
      </w:r>
      <w:r w:rsidRPr="00A128EC">
        <w:rPr>
          <w:rFonts w:ascii="Arial" w:hAnsi="Arial" w:cs="Arial"/>
          <w:sz w:val="20"/>
          <w:szCs w:val="20"/>
        </w:rPr>
        <w:t xml:space="preserve"> that loam maintained uniform permeability rates across these depths despite random compaction. This consistency indicated that loam's mixed particle size distribution and higher organic matter content created a stable soil matrix with uniform permeability.</w:t>
      </w:r>
    </w:p>
    <w:p w14:paraId="5E5DB6C6" w14:textId="667C6321" w:rsidR="0020730F" w:rsidRPr="00A128EC" w:rsidRDefault="0020730F" w:rsidP="00C370F8">
      <w:pPr>
        <w:spacing w:line="480" w:lineRule="auto"/>
        <w:jc w:val="both"/>
        <w:rPr>
          <w:rFonts w:ascii="Arial" w:hAnsi="Arial" w:cs="Arial"/>
          <w:sz w:val="20"/>
          <w:szCs w:val="20"/>
        </w:rPr>
      </w:pPr>
      <w:r w:rsidRPr="00A128EC">
        <w:rPr>
          <w:rFonts w:ascii="Arial" w:hAnsi="Arial" w:cs="Arial"/>
          <w:sz w:val="20"/>
          <w:szCs w:val="20"/>
        </w:rPr>
        <w:t>When comparing the permeability values, sandy soil consistently showed higher permeability than loamy soil. This was attributed to the coarser nature of sandy soil, which typically exhibited higher permeability due to larger pore spaces. This study demonstrated that soil type and compaction significantly influenced permeability. Understanding t</w:t>
      </w:r>
      <w:r w:rsidR="00C87A32" w:rsidRPr="00A128EC">
        <w:rPr>
          <w:rFonts w:ascii="Arial" w:hAnsi="Arial" w:cs="Arial"/>
          <w:sz w:val="20"/>
          <w:szCs w:val="20"/>
        </w:rPr>
        <w:t>his</w:t>
      </w:r>
      <w:r w:rsidRPr="00A128EC">
        <w:rPr>
          <w:rFonts w:ascii="Arial" w:hAnsi="Arial" w:cs="Arial"/>
          <w:sz w:val="20"/>
          <w:szCs w:val="20"/>
        </w:rPr>
        <w:t xml:space="preserve"> could inform strategies to optimize water flow and mitigate risks of groundwater contamination in different soil environments.</w:t>
      </w:r>
    </w:p>
    <w:p w14:paraId="4C39A976" w14:textId="77777777" w:rsidR="0020730F" w:rsidRPr="00A128EC" w:rsidRDefault="0020730F" w:rsidP="00C370F8">
      <w:pPr>
        <w:spacing w:line="480" w:lineRule="auto"/>
        <w:jc w:val="both"/>
        <w:rPr>
          <w:rFonts w:ascii="Arial" w:hAnsi="Arial" w:cs="Arial"/>
          <w:sz w:val="20"/>
          <w:szCs w:val="20"/>
        </w:rPr>
      </w:pPr>
      <w:r w:rsidRPr="00A128EC">
        <w:rPr>
          <w:rFonts w:ascii="Arial" w:hAnsi="Arial" w:cs="Arial"/>
          <w:sz w:val="20"/>
          <w:szCs w:val="20"/>
        </w:rPr>
        <w:t xml:space="preserve"> For sandy soil, the TPH concentration at the surface was highest at 42,125 mg/l for the column with a soil depth of 10 cm and lowest at 1,997 mg/l for the column with a soil depth of 55 cm. This demonstrated a clear trend where the TPH concentration at the surface decreased with increasing soil depth and leaching time. At depth, the highest TPH concentration was 28,913 mg/l at 10 cm, while the lowest was 103 mg/l at 55 cm, showing that the concentration at depth decreased as soil depth increased. The leaching time followed an inverse pattern, with the shortest duration being 37 seconds through a depth of 10 cm and the longest being 3,600 seconds through a depth of 55 cm. These results suggested that sandy soil, with its </w:t>
      </w:r>
      <w:r w:rsidRPr="00A128EC">
        <w:rPr>
          <w:rFonts w:ascii="Arial" w:hAnsi="Arial" w:cs="Arial"/>
          <w:sz w:val="20"/>
          <w:szCs w:val="20"/>
        </w:rPr>
        <w:lastRenderedPageBreak/>
        <w:t>larger particle size and higher permeability, allowed for rapid movement of contaminants at shallower depths but slowed significantly as depth increased due to contaminant and soil particle interaction.</w:t>
      </w:r>
    </w:p>
    <w:p w14:paraId="5B270468" w14:textId="77777777" w:rsidR="0020730F" w:rsidRPr="00A128EC" w:rsidRDefault="0020730F" w:rsidP="00C370F8">
      <w:pPr>
        <w:spacing w:before="240" w:line="480" w:lineRule="auto"/>
        <w:jc w:val="both"/>
        <w:rPr>
          <w:rFonts w:ascii="Arial" w:hAnsi="Arial" w:cs="Arial"/>
          <w:sz w:val="20"/>
          <w:szCs w:val="20"/>
        </w:rPr>
      </w:pPr>
      <w:r w:rsidRPr="00A128EC">
        <w:rPr>
          <w:rFonts w:ascii="Arial" w:hAnsi="Arial" w:cs="Arial"/>
          <w:sz w:val="20"/>
          <w:szCs w:val="20"/>
        </w:rPr>
        <w:t>For loamy soil, the TPH concentration at the surface was highest at 35,662 mg/l for the column with a soil depth of 10 cm and lowest at 3,018 mg/l for the column with a 55 cm soil depth. At depth, the highest TPH concentration was 11,085 mg/l at 10 cm, and the lowest was 309 mg/l at 55 cm. The leaching time for loamy soil was shortest at 33 seconds through the 10 cm soil depth and longest at 1,500 seconds through the 55 cm soil depth. Similar to sandy soil, the concentration of TPH at the surface decreased with increasing soil depth and leaching time, and the concentration at depth decreased as soil depth increased. Leaching time increased with increasing soil depth. Loamy soil, with its balanced mixture of sand, silt and clay, demonstrated a consistent pattern of slower contaminant movement compared to sandy soil, reflecting its lower permeability and higher water retention capabilities.</w:t>
      </w:r>
    </w:p>
    <w:p w14:paraId="02E1033E" w14:textId="3D1A0EB9" w:rsidR="0020730F" w:rsidRPr="00A128EC" w:rsidRDefault="0020730F" w:rsidP="00C370F8">
      <w:pPr>
        <w:spacing w:before="240" w:line="480" w:lineRule="auto"/>
        <w:jc w:val="both"/>
        <w:rPr>
          <w:rFonts w:ascii="Arial" w:hAnsi="Arial" w:cs="Arial"/>
          <w:sz w:val="20"/>
          <w:szCs w:val="20"/>
        </w:rPr>
      </w:pPr>
      <w:r w:rsidRPr="00A128EC">
        <w:rPr>
          <w:rFonts w:ascii="Arial" w:hAnsi="Arial" w:cs="Arial"/>
          <w:sz w:val="20"/>
          <w:szCs w:val="20"/>
        </w:rPr>
        <w:t xml:space="preserve">High TPH concentrations at the surface and shallow depths in sandy soils indicated a potential for rapid surface contamination and quicker spread of pollutants in environments with sandy soil. This could lead to more extensive contamination of surface water and shallow groundwater resources. On the other hand, the slower movement of TPH in loamy soils showed that contaminants may remain closer to the surface for longer periods, potentially affecting surface water but with less immediate risk to deeper groundwater resources. The slower contaminant movement in loamy soils also </w:t>
      </w:r>
      <w:r w:rsidR="004F170B">
        <w:rPr>
          <w:rFonts w:ascii="Arial" w:hAnsi="Arial" w:cs="Arial"/>
          <w:sz w:val="20"/>
          <w:szCs w:val="20"/>
        </w:rPr>
        <w:t>means</w:t>
      </w:r>
      <w:r w:rsidRPr="00A128EC">
        <w:rPr>
          <w:rFonts w:ascii="Arial" w:hAnsi="Arial" w:cs="Arial"/>
          <w:sz w:val="20"/>
          <w:szCs w:val="20"/>
        </w:rPr>
        <w:t xml:space="preserve"> that remediation efforts may need to focus more on surface treatments, while in sandy soils, deeper and more comprehensive remediation strategies may be necessary. The increased leaching time with depth in both soil types also showed that contaminants can persist for longer periods in the soil, posing long-term environmental risks.</w:t>
      </w:r>
    </w:p>
    <w:p w14:paraId="0D4625DD" w14:textId="77777777" w:rsidR="0020730F" w:rsidRPr="00A128EC" w:rsidRDefault="0020730F" w:rsidP="00C370F8">
      <w:pPr>
        <w:spacing w:before="240" w:line="480" w:lineRule="auto"/>
        <w:jc w:val="both"/>
        <w:rPr>
          <w:rFonts w:ascii="Arial" w:hAnsi="Arial" w:cs="Arial"/>
          <w:sz w:val="20"/>
          <w:szCs w:val="20"/>
        </w:rPr>
      </w:pPr>
      <w:r w:rsidRPr="00A128EC">
        <w:rPr>
          <w:rFonts w:ascii="Arial" w:hAnsi="Arial" w:cs="Arial"/>
          <w:sz w:val="20"/>
          <w:szCs w:val="20"/>
        </w:rPr>
        <w:t>Correlation coefficients between variables for sandy soil showed that depth had a positive correlation with leaching time (0.88) and negative correlations with permeability (-0.67), surface concentration (-0.97) and depth concentration (-0.98). This indicated longer leaching times at greater depths, with reduced permeability and concentrations. Leaching time was negatively correlated with permeability (-0.67), surface concentration (-0.77) and depth concentration (-0.89), while permeability showed positive correlations with surface (0.65) and depth concentrations (0.69). Surface concentration had a strong positive correlation with depth concentration (0.97).</w:t>
      </w:r>
    </w:p>
    <w:p w14:paraId="57273593" w14:textId="77777777" w:rsidR="0020730F" w:rsidRPr="00A128EC" w:rsidRDefault="0020730F" w:rsidP="00C370F8">
      <w:pPr>
        <w:spacing w:before="240" w:line="480" w:lineRule="auto"/>
        <w:jc w:val="both"/>
        <w:rPr>
          <w:rFonts w:ascii="Arial" w:hAnsi="Arial" w:cs="Arial"/>
          <w:sz w:val="20"/>
          <w:szCs w:val="20"/>
        </w:rPr>
      </w:pPr>
      <w:r w:rsidRPr="00A128EC">
        <w:rPr>
          <w:rFonts w:ascii="Arial" w:hAnsi="Arial" w:cs="Arial"/>
          <w:sz w:val="20"/>
          <w:szCs w:val="20"/>
        </w:rPr>
        <w:lastRenderedPageBreak/>
        <w:t>For loamy soil, depth had a positive correlation with leaching time (0.74) and negative correlations with permeability (-0.27), surface concentration (-0.95) and depth concentration (-0.78). Leaching time had a weak positive correlation with permeability (0.05) and negative correlations with surface (-0.54) and depth concentrations (-0.40). Permeability showed a moderate positive correlation with surface concentration (0.43) and a very weak positive correlation with depth concentration (0.08). Surface concentration had a strong positive correlation with depth concentration (0.84). In areas with sandy soil, groundwater protection strategies must account for the rapid transport of contaminants. In contrast, loamy soils require strategies to address long-term contamination risks. The need for stringent environmental regulations and policies to control the release of contaminants into the environment cannot be overemphasized. Policymakers must consider soil type and properties when developing regulations to ensure they effectively address the specific risks associated with different soils.</w:t>
      </w:r>
    </w:p>
    <w:p w14:paraId="163F3245" w14:textId="12C484E5" w:rsidR="0020730F" w:rsidRPr="00A128EC" w:rsidRDefault="0020730F" w:rsidP="00C370F8">
      <w:pPr>
        <w:spacing w:before="240" w:line="480" w:lineRule="auto"/>
        <w:jc w:val="both"/>
        <w:rPr>
          <w:rFonts w:ascii="Arial" w:hAnsi="Arial" w:cs="Arial"/>
          <w:sz w:val="20"/>
          <w:szCs w:val="20"/>
        </w:rPr>
      </w:pPr>
      <w:r w:rsidRPr="00A128EC">
        <w:rPr>
          <w:rFonts w:ascii="Arial" w:hAnsi="Arial" w:cs="Arial"/>
          <w:sz w:val="20"/>
          <w:szCs w:val="20"/>
        </w:rPr>
        <w:t>A one-way analysis of variance (ANOVA) was conducted using the Microsoft XLSTAT package to test for variation in the concentration at depth (C</w:t>
      </w:r>
      <w:r w:rsidRPr="00A128EC">
        <w:rPr>
          <w:rFonts w:ascii="Arial" w:hAnsi="Arial" w:cs="Arial"/>
          <w:sz w:val="20"/>
          <w:szCs w:val="20"/>
          <w:vertAlign w:val="subscript"/>
        </w:rPr>
        <w:t>2</w:t>
      </w:r>
      <w:r w:rsidRPr="00A128EC">
        <w:rPr>
          <w:rFonts w:ascii="Arial" w:hAnsi="Arial" w:cs="Arial"/>
          <w:sz w:val="20"/>
          <w:szCs w:val="20"/>
        </w:rPr>
        <w:t xml:space="preserve">) between sandy and loamy soil. The results revealed a </w:t>
      </w:r>
      <w:r w:rsidR="00BF7D3D">
        <w:rPr>
          <w:rFonts w:ascii="Arial" w:hAnsi="Arial" w:cs="Arial"/>
          <w:sz w:val="20"/>
          <w:szCs w:val="20"/>
        </w:rPr>
        <w:t>P</w:t>
      </w:r>
      <w:r w:rsidRPr="00A128EC">
        <w:rPr>
          <w:rFonts w:ascii="Arial" w:hAnsi="Arial" w:cs="Arial"/>
          <w:sz w:val="20"/>
          <w:szCs w:val="20"/>
        </w:rPr>
        <w:t>-value of .002, which is less than the significance level of 5% (.05). This indicated that the observed differences are statistically significant, confirming that the type of soil significantly affected the concentration at depth. These differences highlight the need for tailored remediation strategies based on soil type to protect water resources and minimize environmental damage.</w:t>
      </w:r>
    </w:p>
    <w:p w14:paraId="11783E83" w14:textId="77777777" w:rsidR="0020730F" w:rsidRPr="00A128EC" w:rsidRDefault="0020730F" w:rsidP="00C370F8">
      <w:pPr>
        <w:spacing w:before="240" w:line="480" w:lineRule="auto"/>
        <w:jc w:val="both"/>
        <w:rPr>
          <w:rFonts w:ascii="Arial" w:hAnsi="Arial" w:cs="Arial"/>
          <w:sz w:val="20"/>
          <w:szCs w:val="20"/>
        </w:rPr>
      </w:pPr>
      <w:r w:rsidRPr="00A128EC">
        <w:rPr>
          <w:rFonts w:ascii="Arial" w:hAnsi="Arial" w:cs="Arial"/>
          <w:sz w:val="20"/>
          <w:szCs w:val="20"/>
        </w:rPr>
        <w:t>The models for predicting the concentration at depth (C</w:t>
      </w:r>
      <w:r w:rsidRPr="00A128EC">
        <w:rPr>
          <w:rFonts w:ascii="Arial" w:hAnsi="Arial" w:cs="Arial"/>
          <w:sz w:val="20"/>
          <w:szCs w:val="20"/>
          <w:vertAlign w:val="subscript"/>
        </w:rPr>
        <w:t>2</w:t>
      </w:r>
      <w:r w:rsidRPr="00A128EC">
        <w:rPr>
          <w:rFonts w:ascii="Arial" w:hAnsi="Arial" w:cs="Arial"/>
          <w:sz w:val="20"/>
          <w:szCs w:val="20"/>
        </w:rPr>
        <w:t>) for sandy and loamy soil were developed. These models were developed using observed data, where the concentration at depth (C</w:t>
      </w:r>
      <w:r w:rsidRPr="00A128EC">
        <w:rPr>
          <w:rFonts w:ascii="Arial" w:hAnsi="Arial" w:cs="Arial"/>
          <w:sz w:val="20"/>
          <w:szCs w:val="20"/>
          <w:vertAlign w:val="subscript"/>
        </w:rPr>
        <w:t>2</w:t>
      </w:r>
      <w:r w:rsidRPr="00A128EC">
        <w:rPr>
          <w:rFonts w:ascii="Arial" w:hAnsi="Arial" w:cs="Arial"/>
          <w:sz w:val="20"/>
          <w:szCs w:val="20"/>
        </w:rPr>
        <w:t>) is the dependent variable. The independent variables used in developing these models are depth (D), permeability (k), viscosity (μ), leaching time (t) and concentration at the surface (C</w:t>
      </w:r>
      <w:r w:rsidRPr="00A128EC">
        <w:rPr>
          <w:rFonts w:ascii="Arial" w:hAnsi="Arial" w:cs="Arial"/>
          <w:sz w:val="20"/>
          <w:szCs w:val="20"/>
          <w:vertAlign w:val="subscript"/>
        </w:rPr>
        <w:t>1</w:t>
      </w:r>
      <w:r w:rsidRPr="00A128EC">
        <w:rPr>
          <w:rFonts w:ascii="Arial" w:hAnsi="Arial" w:cs="Arial"/>
          <w:sz w:val="20"/>
          <w:szCs w:val="20"/>
        </w:rPr>
        <w:t xml:space="preserve">). The models were developed based on dimensional analysis and calibrated according to the observed relationships between these variables and the concentration at depth. Although these models came from the same root they vary from each other. These variations could be attributed to the distinct physical and chemical properties of loamy and sandy soils, which affect the transport of contaminants. The models developed are dependent on the respective soil type (sandy or loamy) studied, and the properties of the contaminant (in this case, crude oil) and </w:t>
      </w:r>
      <w:r w:rsidRPr="00A128EC">
        <w:rPr>
          <w:rFonts w:ascii="Arial" w:hAnsi="Arial" w:cs="Arial"/>
          <w:sz w:val="20"/>
          <w:szCs w:val="20"/>
        </w:rPr>
        <w:lastRenderedPageBreak/>
        <w:t xml:space="preserve">consider only one-dimensional transport in the vertical direction. These factors were crucial in accurately predicting the concentration at depth, as they influence how contaminants interact with the soil matrix. </w:t>
      </w:r>
    </w:p>
    <w:p w14:paraId="4D02D8F8" w14:textId="77777777" w:rsidR="0020730F" w:rsidRPr="00A128EC" w:rsidRDefault="0020730F" w:rsidP="00C370F8">
      <w:pPr>
        <w:spacing w:before="240" w:line="480" w:lineRule="auto"/>
        <w:jc w:val="both"/>
        <w:rPr>
          <w:rFonts w:ascii="Arial" w:hAnsi="Arial" w:cs="Arial"/>
          <w:sz w:val="20"/>
          <w:szCs w:val="20"/>
        </w:rPr>
      </w:pPr>
      <w:r w:rsidRPr="00A128EC">
        <w:rPr>
          <w:rFonts w:ascii="Arial" w:hAnsi="Arial" w:cs="Arial"/>
          <w:sz w:val="20"/>
          <w:szCs w:val="20"/>
        </w:rPr>
        <w:t>The models provide valuable tools for understanding and predicting contaminant transport in different soil types. They enable more effective planning and implementation of remediation strategies tailored to the specific characteristics of sandy and loamy soils, ensuring better protection of groundwater and surface water resources from contamination.</w:t>
      </w:r>
    </w:p>
    <w:p w14:paraId="014A7079" w14:textId="77777777" w:rsidR="0020730F" w:rsidRPr="00A128EC" w:rsidRDefault="0020730F" w:rsidP="00C370F8">
      <w:pPr>
        <w:spacing w:before="240" w:line="480" w:lineRule="auto"/>
        <w:jc w:val="both"/>
        <w:rPr>
          <w:rFonts w:ascii="Arial" w:hAnsi="Arial" w:cs="Arial"/>
          <w:sz w:val="20"/>
          <w:szCs w:val="20"/>
        </w:rPr>
      </w:pPr>
      <w:r w:rsidRPr="00A128EC">
        <w:rPr>
          <w:rFonts w:ascii="Arial" w:hAnsi="Arial" w:cs="Arial"/>
          <w:sz w:val="20"/>
          <w:szCs w:val="20"/>
        </w:rPr>
        <w:t>The actual and predicted concentration at depth (C</w:t>
      </w:r>
      <w:r w:rsidRPr="00A128EC">
        <w:rPr>
          <w:rFonts w:ascii="Arial" w:hAnsi="Arial" w:cs="Arial"/>
          <w:sz w:val="20"/>
          <w:szCs w:val="20"/>
          <w:vertAlign w:val="subscript"/>
        </w:rPr>
        <w:t>2</w:t>
      </w:r>
      <w:r w:rsidRPr="00A128EC">
        <w:rPr>
          <w:rFonts w:ascii="Arial" w:hAnsi="Arial" w:cs="Arial"/>
          <w:sz w:val="20"/>
          <w:szCs w:val="20"/>
        </w:rPr>
        <w:t>) for sandy and loamy soils were plotted against soil depth (D). The R² values from Microsoft XLST</w:t>
      </w:r>
      <w:bookmarkStart w:id="11" w:name="_GoBack"/>
      <w:bookmarkEnd w:id="11"/>
      <w:r w:rsidRPr="00A128EC">
        <w:rPr>
          <w:rFonts w:ascii="Arial" w:hAnsi="Arial" w:cs="Arial"/>
          <w:sz w:val="20"/>
          <w:szCs w:val="20"/>
        </w:rPr>
        <w:t>AT were 0.97 for sandy soil and 0.66 for loamy soil.</w:t>
      </w:r>
    </w:p>
    <w:p w14:paraId="1FC98549" w14:textId="77777777" w:rsidR="0020730F" w:rsidRPr="00A128EC" w:rsidRDefault="0020730F" w:rsidP="00C370F8">
      <w:pPr>
        <w:spacing w:before="240" w:line="480" w:lineRule="auto"/>
        <w:jc w:val="both"/>
        <w:rPr>
          <w:rFonts w:ascii="Arial" w:hAnsi="Arial" w:cs="Arial"/>
          <w:sz w:val="20"/>
          <w:szCs w:val="20"/>
        </w:rPr>
      </w:pPr>
      <w:r w:rsidRPr="00A128EC">
        <w:rPr>
          <w:rFonts w:ascii="Arial" w:hAnsi="Arial" w:cs="Arial"/>
          <w:sz w:val="20"/>
          <w:szCs w:val="20"/>
        </w:rPr>
        <w:t>The R² value of 0.97 for sandy soil indicated an excellent fit between actual and predicted values, indicating that the model could accurately predict the concentration at depth. This high accuracy was attributed to the uniform structure and high permeability of sandy soil, allowing for predictable contaminant movement. The strong correlation implied that the model effectively captured key factors affecting contaminant transport in sandy soil.</w:t>
      </w:r>
    </w:p>
    <w:p w14:paraId="110B0542" w14:textId="77777777" w:rsidR="0020730F" w:rsidRPr="00A128EC" w:rsidRDefault="0020730F" w:rsidP="00C370F8">
      <w:pPr>
        <w:spacing w:before="240" w:line="480" w:lineRule="auto"/>
        <w:jc w:val="both"/>
        <w:rPr>
          <w:rFonts w:ascii="Arial" w:hAnsi="Arial" w:cs="Arial"/>
          <w:sz w:val="20"/>
          <w:szCs w:val="20"/>
        </w:rPr>
      </w:pPr>
      <w:r w:rsidRPr="00A128EC">
        <w:rPr>
          <w:rFonts w:ascii="Arial" w:hAnsi="Arial" w:cs="Arial"/>
          <w:sz w:val="20"/>
          <w:szCs w:val="20"/>
        </w:rPr>
        <w:t>In contrast, the R² value of 0.66 for loamy soil indicated a moderate fit due to the complex and heterogeneous nature of loamy soil, which contained a mix of sand, silt and clay particles. This complexity led to more variable contaminant transport, making it harder for the model to capture all influencing factors accurately. Variations in organic matter content, soil compaction and microstructures within loamy soil may have contributed to this variability.</w:t>
      </w:r>
    </w:p>
    <w:p w14:paraId="5DA7C915" w14:textId="00D3B364" w:rsidR="007F0068" w:rsidRDefault="0020730F" w:rsidP="00C370F8">
      <w:pPr>
        <w:spacing w:before="240" w:line="480" w:lineRule="auto"/>
        <w:jc w:val="both"/>
        <w:rPr>
          <w:rFonts w:ascii="Arial" w:hAnsi="Arial" w:cs="Arial"/>
          <w:sz w:val="20"/>
          <w:szCs w:val="20"/>
        </w:rPr>
      </w:pPr>
      <w:r w:rsidRPr="00A128EC">
        <w:rPr>
          <w:rFonts w:ascii="Arial" w:hAnsi="Arial" w:cs="Arial"/>
          <w:sz w:val="20"/>
          <w:szCs w:val="20"/>
        </w:rPr>
        <w:t>The high predictive accuracy of the sandy soil model showed its reliable use in real-world scenarios, aiding environmental assessments and remediation planning. This model, when used for prediction, could reduce the need for extensive field sampling and monitoring. Conversely, the moderate reliability of the loamy soil model indicates a need for caution and supplementary data when relying on its predictions. Remediation strategies for loamy soils should be more flexible and adaptive.</w:t>
      </w:r>
    </w:p>
    <w:p w14:paraId="5495B2C2" w14:textId="0DF7957F" w:rsidR="002014AF" w:rsidRDefault="002014AF" w:rsidP="00C370F8">
      <w:pPr>
        <w:spacing w:before="240" w:line="480" w:lineRule="auto"/>
        <w:jc w:val="both"/>
        <w:rPr>
          <w:rFonts w:ascii="Arial" w:hAnsi="Arial" w:cs="Arial"/>
          <w:sz w:val="20"/>
          <w:szCs w:val="20"/>
        </w:rPr>
      </w:pPr>
    </w:p>
    <w:p w14:paraId="1ECC1EB2" w14:textId="77777777" w:rsidR="001C7430" w:rsidRDefault="001C7430" w:rsidP="002014AF">
      <w:pPr>
        <w:spacing w:before="240" w:line="480" w:lineRule="auto"/>
        <w:jc w:val="both"/>
        <w:rPr>
          <w:rFonts w:ascii="Arial" w:hAnsi="Arial" w:cs="Arial"/>
          <w:sz w:val="20"/>
          <w:szCs w:val="20"/>
        </w:rPr>
      </w:pPr>
    </w:p>
    <w:p w14:paraId="5E0B74DF" w14:textId="079FF6CF" w:rsidR="002014AF" w:rsidRPr="002014AF" w:rsidRDefault="002014AF" w:rsidP="002014AF">
      <w:pPr>
        <w:spacing w:before="240" w:line="480" w:lineRule="auto"/>
        <w:jc w:val="both"/>
        <w:rPr>
          <w:rFonts w:ascii="Arial" w:hAnsi="Arial" w:cs="Arial"/>
          <w:sz w:val="20"/>
          <w:szCs w:val="20"/>
        </w:rPr>
      </w:pPr>
      <w:r w:rsidRPr="002014AF">
        <w:rPr>
          <w:rFonts w:ascii="Arial" w:hAnsi="Arial" w:cs="Arial"/>
          <w:sz w:val="20"/>
          <w:szCs w:val="20"/>
        </w:rPr>
        <w:lastRenderedPageBreak/>
        <w:t>COMPETING INTERESTS DISCLAIMER:</w:t>
      </w:r>
    </w:p>
    <w:p w14:paraId="6E2EDFFB" w14:textId="788F67CC" w:rsidR="002014AF" w:rsidRDefault="002014AF" w:rsidP="002014AF">
      <w:pPr>
        <w:spacing w:before="240" w:line="480" w:lineRule="auto"/>
        <w:jc w:val="both"/>
        <w:rPr>
          <w:rFonts w:ascii="Arial" w:hAnsi="Arial" w:cs="Arial"/>
          <w:sz w:val="20"/>
          <w:szCs w:val="20"/>
        </w:rPr>
      </w:pPr>
      <w:r w:rsidRPr="002014AF">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7E5B8DE6" w14:textId="77777777" w:rsidR="005859E8" w:rsidRDefault="005859E8" w:rsidP="00C370F8">
      <w:pPr>
        <w:spacing w:before="240" w:line="480" w:lineRule="auto"/>
        <w:jc w:val="both"/>
        <w:rPr>
          <w:rFonts w:ascii="Arial" w:hAnsi="Arial" w:cs="Arial"/>
          <w:b/>
          <w:bCs/>
        </w:rPr>
      </w:pPr>
    </w:p>
    <w:p w14:paraId="72555CEB" w14:textId="26B378C9" w:rsidR="0029717D" w:rsidRPr="00A128EC" w:rsidRDefault="0020730F" w:rsidP="00C370F8">
      <w:pPr>
        <w:spacing w:before="240" w:line="480" w:lineRule="auto"/>
        <w:rPr>
          <w:rFonts w:ascii="Arial" w:hAnsi="Arial" w:cs="Arial"/>
          <w:b/>
          <w:bCs/>
        </w:rPr>
      </w:pPr>
      <w:r w:rsidRPr="00A128EC">
        <w:rPr>
          <w:rFonts w:ascii="Arial" w:hAnsi="Arial" w:cs="Arial"/>
          <w:b/>
          <w:bCs/>
        </w:rPr>
        <w:t>REFERENCES</w:t>
      </w:r>
    </w:p>
    <w:sdt>
      <w:sdtPr>
        <w:rPr>
          <w:rFonts w:ascii="Arial" w:hAnsi="Arial" w:cs="Arial"/>
          <w:bCs/>
          <w:color w:val="000000"/>
          <w:sz w:val="20"/>
          <w:szCs w:val="20"/>
        </w:rPr>
        <w:tag w:val="MENDELEY_BIBLIOGRAPHY"/>
        <w:id w:val="317009090"/>
        <w:placeholder>
          <w:docPart w:val="DefaultPlaceholder_-1854013440"/>
        </w:placeholder>
      </w:sdtPr>
      <w:sdtEndPr/>
      <w:sdtContent>
        <w:p w14:paraId="0FE0B7BB" w14:textId="77777777" w:rsidR="002F7DEA" w:rsidRPr="006C7E20" w:rsidRDefault="002F7DEA" w:rsidP="00C370F8">
          <w:pPr>
            <w:autoSpaceDE w:val="0"/>
            <w:autoSpaceDN w:val="0"/>
            <w:spacing w:line="480" w:lineRule="auto"/>
            <w:ind w:hanging="480"/>
            <w:jc w:val="both"/>
            <w:divId w:val="1056703990"/>
            <w:rPr>
              <w:rFonts w:ascii="Arial" w:eastAsia="Times New Roman" w:hAnsi="Arial" w:cs="Arial"/>
              <w:kern w:val="0"/>
              <w:sz w:val="20"/>
              <w:szCs w:val="20"/>
              <w14:ligatures w14:val="none"/>
            </w:rPr>
          </w:pPr>
          <w:r w:rsidRPr="006C7E20">
            <w:rPr>
              <w:rFonts w:ascii="Arial" w:eastAsia="Times New Roman" w:hAnsi="Arial" w:cs="Arial"/>
              <w:sz w:val="20"/>
              <w:szCs w:val="20"/>
            </w:rPr>
            <w:t xml:space="preserve">Ahmad, K., </w:t>
          </w:r>
          <w:proofErr w:type="spellStart"/>
          <w:r w:rsidRPr="006C7E20">
            <w:rPr>
              <w:rFonts w:ascii="Arial" w:eastAsia="Times New Roman" w:hAnsi="Arial" w:cs="Arial"/>
              <w:sz w:val="20"/>
              <w:szCs w:val="20"/>
            </w:rPr>
            <w:t>Yamusa</w:t>
          </w:r>
          <w:proofErr w:type="spellEnd"/>
          <w:r w:rsidRPr="006C7E20">
            <w:rPr>
              <w:rFonts w:ascii="Arial" w:eastAsia="Times New Roman" w:hAnsi="Arial" w:cs="Arial"/>
              <w:sz w:val="20"/>
              <w:szCs w:val="20"/>
            </w:rPr>
            <w:t xml:space="preserve">, Y. B., &amp; </w:t>
          </w:r>
          <w:proofErr w:type="spellStart"/>
          <w:r w:rsidRPr="006C7E20">
            <w:rPr>
              <w:rFonts w:ascii="Arial" w:eastAsia="Times New Roman" w:hAnsi="Arial" w:cs="Arial"/>
              <w:sz w:val="20"/>
              <w:szCs w:val="20"/>
            </w:rPr>
            <w:t>Kamisan</w:t>
          </w:r>
          <w:proofErr w:type="spellEnd"/>
          <w:r w:rsidRPr="006C7E20">
            <w:rPr>
              <w:rFonts w:ascii="Arial" w:eastAsia="Times New Roman" w:hAnsi="Arial" w:cs="Arial"/>
              <w:sz w:val="20"/>
              <w:szCs w:val="20"/>
            </w:rPr>
            <w:t xml:space="preserve">, M. A. Bin. (2018). Effects of Soil </w:t>
          </w:r>
          <w:proofErr w:type="spellStart"/>
          <w:r w:rsidRPr="006C7E20">
            <w:rPr>
              <w:rFonts w:ascii="Arial" w:eastAsia="Times New Roman" w:hAnsi="Arial" w:cs="Arial"/>
              <w:sz w:val="20"/>
              <w:szCs w:val="20"/>
            </w:rPr>
            <w:t>Recompaction</w:t>
          </w:r>
          <w:proofErr w:type="spellEnd"/>
          <w:r w:rsidRPr="006C7E20">
            <w:rPr>
              <w:rFonts w:ascii="Arial" w:eastAsia="Times New Roman" w:hAnsi="Arial" w:cs="Arial"/>
              <w:sz w:val="20"/>
              <w:szCs w:val="20"/>
            </w:rPr>
            <w:t xml:space="preserve"> On Permeability. </w:t>
          </w:r>
          <w:r w:rsidRPr="006C7E20">
            <w:rPr>
              <w:rFonts w:ascii="Arial" w:eastAsia="Times New Roman" w:hAnsi="Arial" w:cs="Arial"/>
              <w:i/>
              <w:iCs/>
              <w:sz w:val="20"/>
              <w:szCs w:val="20"/>
            </w:rPr>
            <w:t>Science World Journal</w:t>
          </w:r>
          <w:r w:rsidRPr="006C7E20">
            <w:rPr>
              <w:rFonts w:ascii="Arial" w:eastAsia="Times New Roman" w:hAnsi="Arial" w:cs="Arial"/>
              <w:sz w:val="20"/>
              <w:szCs w:val="20"/>
            </w:rPr>
            <w:t xml:space="preserve">, </w:t>
          </w:r>
          <w:r w:rsidRPr="006C7E20">
            <w:rPr>
              <w:rFonts w:ascii="Arial" w:eastAsia="Times New Roman" w:hAnsi="Arial" w:cs="Arial"/>
              <w:i/>
              <w:iCs/>
              <w:sz w:val="20"/>
              <w:szCs w:val="20"/>
            </w:rPr>
            <w:t>13</w:t>
          </w:r>
          <w:r w:rsidRPr="006C7E20">
            <w:rPr>
              <w:rFonts w:ascii="Arial" w:eastAsia="Times New Roman" w:hAnsi="Arial" w:cs="Arial"/>
              <w:sz w:val="20"/>
              <w:szCs w:val="20"/>
            </w:rPr>
            <w:t>(3). www.scienceworldjournal.org</w:t>
          </w:r>
        </w:p>
        <w:p w14:paraId="3AF53E86" w14:textId="56CF6ED9" w:rsidR="002F7DEA" w:rsidRPr="006C7E20" w:rsidRDefault="002F7DEA" w:rsidP="00C370F8">
          <w:pPr>
            <w:autoSpaceDE w:val="0"/>
            <w:autoSpaceDN w:val="0"/>
            <w:spacing w:line="480" w:lineRule="auto"/>
            <w:ind w:hanging="480"/>
            <w:jc w:val="both"/>
            <w:divId w:val="301693128"/>
            <w:rPr>
              <w:rFonts w:ascii="Arial" w:eastAsia="Times New Roman" w:hAnsi="Arial" w:cs="Arial"/>
              <w:sz w:val="20"/>
              <w:szCs w:val="20"/>
            </w:rPr>
          </w:pPr>
          <w:r w:rsidRPr="006C7E20">
            <w:rPr>
              <w:rFonts w:ascii="Arial" w:eastAsia="Times New Roman" w:hAnsi="Arial" w:cs="Arial"/>
              <w:sz w:val="20"/>
              <w:szCs w:val="20"/>
            </w:rPr>
            <w:t xml:space="preserve">Bear, J., &amp; Cheng, A. H.-D. (2010). </w:t>
          </w:r>
          <w:proofErr w:type="spellStart"/>
          <w:r w:rsidRPr="006C7E20">
            <w:rPr>
              <w:rFonts w:ascii="Arial" w:eastAsia="Times New Roman" w:hAnsi="Arial" w:cs="Arial"/>
              <w:sz w:val="20"/>
              <w:szCs w:val="20"/>
            </w:rPr>
            <w:t>Modeling</w:t>
          </w:r>
          <w:proofErr w:type="spellEnd"/>
          <w:r w:rsidRPr="006C7E20">
            <w:rPr>
              <w:rFonts w:ascii="Arial" w:eastAsia="Times New Roman" w:hAnsi="Arial" w:cs="Arial"/>
              <w:sz w:val="20"/>
              <w:szCs w:val="20"/>
            </w:rPr>
            <w:t xml:space="preserve"> Groundwater Flow and Contaminant Transport. In </w:t>
          </w:r>
          <w:proofErr w:type="spellStart"/>
          <w:r w:rsidRPr="006C7E20">
            <w:rPr>
              <w:rFonts w:ascii="Arial" w:eastAsia="Times New Roman" w:hAnsi="Arial" w:cs="Arial"/>
              <w:i/>
              <w:iCs/>
              <w:sz w:val="20"/>
              <w:szCs w:val="20"/>
            </w:rPr>
            <w:t>Modeling</w:t>
          </w:r>
          <w:proofErr w:type="spellEnd"/>
          <w:r w:rsidRPr="006C7E20">
            <w:rPr>
              <w:rFonts w:ascii="Arial" w:eastAsia="Times New Roman" w:hAnsi="Arial" w:cs="Arial"/>
              <w:i/>
              <w:iCs/>
              <w:sz w:val="20"/>
              <w:szCs w:val="20"/>
            </w:rPr>
            <w:t xml:space="preserve"> Groundwater Flow and Contaminant Transport</w:t>
          </w:r>
          <w:r w:rsidRPr="006C7E20">
            <w:rPr>
              <w:rFonts w:ascii="Arial" w:eastAsia="Times New Roman" w:hAnsi="Arial" w:cs="Arial"/>
              <w:sz w:val="20"/>
              <w:szCs w:val="20"/>
            </w:rPr>
            <w:t>. https://doi.org/10.1007/978-1-4020-6682-5</w:t>
          </w:r>
        </w:p>
        <w:p w14:paraId="6D6C805B" w14:textId="77777777" w:rsidR="002F7DEA" w:rsidRPr="006C7E20" w:rsidRDefault="002F7DEA" w:rsidP="00C370F8">
          <w:pPr>
            <w:autoSpaceDE w:val="0"/>
            <w:autoSpaceDN w:val="0"/>
            <w:spacing w:line="480" w:lineRule="auto"/>
            <w:ind w:hanging="480"/>
            <w:jc w:val="both"/>
            <w:divId w:val="635961542"/>
            <w:rPr>
              <w:rFonts w:ascii="Arial" w:eastAsia="Times New Roman" w:hAnsi="Arial" w:cs="Arial"/>
              <w:sz w:val="20"/>
              <w:szCs w:val="20"/>
            </w:rPr>
          </w:pPr>
          <w:proofErr w:type="spellStart"/>
          <w:r w:rsidRPr="006C7E20">
            <w:rPr>
              <w:rFonts w:ascii="Arial" w:eastAsia="Times New Roman" w:hAnsi="Arial" w:cs="Arial"/>
              <w:sz w:val="20"/>
              <w:szCs w:val="20"/>
            </w:rPr>
            <w:t>Bierkens</w:t>
          </w:r>
          <w:proofErr w:type="spellEnd"/>
          <w:r w:rsidRPr="006C7E20">
            <w:rPr>
              <w:rFonts w:ascii="Arial" w:eastAsia="Times New Roman" w:hAnsi="Arial" w:cs="Arial"/>
              <w:sz w:val="20"/>
              <w:szCs w:val="20"/>
            </w:rPr>
            <w:t xml:space="preserve">, J., &amp; Geerts, L. (2014). Environmental hazard and risk characterisation of petroleum substances: A guided “walking tour” of petroleum hydrocarbons. </w:t>
          </w:r>
          <w:r w:rsidRPr="006C7E20">
            <w:rPr>
              <w:rFonts w:ascii="Arial" w:eastAsia="Times New Roman" w:hAnsi="Arial" w:cs="Arial"/>
              <w:i/>
              <w:iCs/>
              <w:sz w:val="20"/>
              <w:szCs w:val="20"/>
            </w:rPr>
            <w:t>Environment International</w:t>
          </w:r>
          <w:r w:rsidRPr="006C7E20">
            <w:rPr>
              <w:rFonts w:ascii="Arial" w:eastAsia="Times New Roman" w:hAnsi="Arial" w:cs="Arial"/>
              <w:sz w:val="20"/>
              <w:szCs w:val="20"/>
            </w:rPr>
            <w:t xml:space="preserve">, </w:t>
          </w:r>
          <w:r w:rsidRPr="006C7E20">
            <w:rPr>
              <w:rFonts w:ascii="Arial" w:eastAsia="Times New Roman" w:hAnsi="Arial" w:cs="Arial"/>
              <w:i/>
              <w:iCs/>
              <w:sz w:val="20"/>
              <w:szCs w:val="20"/>
            </w:rPr>
            <w:t>66</w:t>
          </w:r>
          <w:r w:rsidRPr="006C7E20">
            <w:rPr>
              <w:rFonts w:ascii="Arial" w:eastAsia="Times New Roman" w:hAnsi="Arial" w:cs="Arial"/>
              <w:sz w:val="20"/>
              <w:szCs w:val="20"/>
            </w:rPr>
            <w:t>. https://doi.org/10.1016/j.envint.2014.01.030</w:t>
          </w:r>
        </w:p>
        <w:p w14:paraId="76850F8D" w14:textId="77777777" w:rsidR="002F7DEA" w:rsidRPr="006C7E20" w:rsidRDefault="002F7DEA" w:rsidP="00C370F8">
          <w:pPr>
            <w:autoSpaceDE w:val="0"/>
            <w:autoSpaceDN w:val="0"/>
            <w:spacing w:line="480" w:lineRule="auto"/>
            <w:ind w:hanging="480"/>
            <w:jc w:val="both"/>
            <w:divId w:val="1610312558"/>
            <w:rPr>
              <w:rFonts w:ascii="Arial" w:eastAsia="Times New Roman" w:hAnsi="Arial" w:cs="Arial"/>
              <w:sz w:val="20"/>
              <w:szCs w:val="20"/>
            </w:rPr>
          </w:pPr>
          <w:r w:rsidRPr="006C7E20">
            <w:rPr>
              <w:rFonts w:ascii="Arial" w:eastAsia="Times New Roman" w:hAnsi="Arial" w:cs="Arial"/>
              <w:sz w:val="20"/>
              <w:szCs w:val="20"/>
            </w:rPr>
            <w:t xml:space="preserve">Delin, G. N., &amp; </w:t>
          </w:r>
          <w:proofErr w:type="spellStart"/>
          <w:r w:rsidRPr="006C7E20">
            <w:rPr>
              <w:rFonts w:ascii="Arial" w:eastAsia="Times New Roman" w:hAnsi="Arial" w:cs="Arial"/>
              <w:sz w:val="20"/>
              <w:szCs w:val="20"/>
            </w:rPr>
            <w:t>Herkelrath</w:t>
          </w:r>
          <w:proofErr w:type="spellEnd"/>
          <w:r w:rsidRPr="006C7E20">
            <w:rPr>
              <w:rFonts w:ascii="Arial" w:eastAsia="Times New Roman" w:hAnsi="Arial" w:cs="Arial"/>
              <w:sz w:val="20"/>
              <w:szCs w:val="20"/>
            </w:rPr>
            <w:t xml:space="preserve">, W. N. (2017). Effects of crude oil on water and tracer movement in the unsaturated and saturated zones. </w:t>
          </w:r>
          <w:r w:rsidRPr="006C7E20">
            <w:rPr>
              <w:rFonts w:ascii="Arial" w:eastAsia="Times New Roman" w:hAnsi="Arial" w:cs="Arial"/>
              <w:i/>
              <w:iCs/>
              <w:sz w:val="20"/>
              <w:szCs w:val="20"/>
            </w:rPr>
            <w:t>Journal of Contaminant Hydrology</w:t>
          </w:r>
          <w:r w:rsidRPr="006C7E20">
            <w:rPr>
              <w:rFonts w:ascii="Arial" w:eastAsia="Times New Roman" w:hAnsi="Arial" w:cs="Arial"/>
              <w:sz w:val="20"/>
              <w:szCs w:val="20"/>
            </w:rPr>
            <w:t xml:space="preserve">, </w:t>
          </w:r>
          <w:r w:rsidRPr="006C7E20">
            <w:rPr>
              <w:rFonts w:ascii="Arial" w:eastAsia="Times New Roman" w:hAnsi="Arial" w:cs="Arial"/>
              <w:i/>
              <w:iCs/>
              <w:sz w:val="20"/>
              <w:szCs w:val="20"/>
            </w:rPr>
            <w:t>200</w:t>
          </w:r>
          <w:r w:rsidRPr="006C7E20">
            <w:rPr>
              <w:rFonts w:ascii="Arial" w:eastAsia="Times New Roman" w:hAnsi="Arial" w:cs="Arial"/>
              <w:sz w:val="20"/>
              <w:szCs w:val="20"/>
            </w:rPr>
            <w:t>. https://doi.org/10.1016/j.jconhyd.2017.03.007</w:t>
          </w:r>
        </w:p>
        <w:p w14:paraId="69B29506" w14:textId="77777777" w:rsidR="002F7DEA" w:rsidRPr="006C7E20" w:rsidRDefault="002F7DEA" w:rsidP="00C370F8">
          <w:pPr>
            <w:autoSpaceDE w:val="0"/>
            <w:autoSpaceDN w:val="0"/>
            <w:spacing w:line="480" w:lineRule="auto"/>
            <w:ind w:hanging="480"/>
            <w:jc w:val="both"/>
            <w:divId w:val="585960016"/>
            <w:rPr>
              <w:rFonts w:ascii="Arial" w:eastAsia="Times New Roman" w:hAnsi="Arial" w:cs="Arial"/>
              <w:sz w:val="20"/>
              <w:szCs w:val="20"/>
            </w:rPr>
          </w:pPr>
          <w:r w:rsidRPr="006C7E20">
            <w:rPr>
              <w:rFonts w:ascii="Arial" w:eastAsia="Times New Roman" w:hAnsi="Arial" w:cs="Arial"/>
              <w:sz w:val="20"/>
              <w:szCs w:val="20"/>
            </w:rPr>
            <w:t xml:space="preserve">Ding, Q., Gan, L., Wei, L., Zhang, X., Zhang, M., Dai, X., &amp; Yang, H. (2023). Permeability prediction based on dual seismic pore structure factors. </w:t>
          </w:r>
          <w:r w:rsidRPr="006C7E20">
            <w:rPr>
              <w:rFonts w:ascii="Arial" w:eastAsia="Times New Roman" w:hAnsi="Arial" w:cs="Arial"/>
              <w:i/>
              <w:iCs/>
              <w:sz w:val="20"/>
              <w:szCs w:val="20"/>
            </w:rPr>
            <w:t>Geophysics</w:t>
          </w:r>
          <w:r w:rsidRPr="006C7E20">
            <w:rPr>
              <w:rFonts w:ascii="Arial" w:eastAsia="Times New Roman" w:hAnsi="Arial" w:cs="Arial"/>
              <w:sz w:val="20"/>
              <w:szCs w:val="20"/>
            </w:rPr>
            <w:t xml:space="preserve">, </w:t>
          </w:r>
          <w:r w:rsidRPr="006C7E20">
            <w:rPr>
              <w:rFonts w:ascii="Arial" w:eastAsia="Times New Roman" w:hAnsi="Arial" w:cs="Arial"/>
              <w:i/>
              <w:iCs/>
              <w:sz w:val="20"/>
              <w:szCs w:val="20"/>
            </w:rPr>
            <w:t>88</w:t>
          </w:r>
          <w:r w:rsidRPr="006C7E20">
            <w:rPr>
              <w:rFonts w:ascii="Arial" w:eastAsia="Times New Roman" w:hAnsi="Arial" w:cs="Arial"/>
              <w:sz w:val="20"/>
              <w:szCs w:val="20"/>
            </w:rPr>
            <w:t>(3). https://doi.org/10.1190/geo2022-0411.1</w:t>
          </w:r>
        </w:p>
        <w:p w14:paraId="030BEA50" w14:textId="77777777" w:rsidR="002F7DEA" w:rsidRPr="006C7E20" w:rsidRDefault="002F7DEA" w:rsidP="00C370F8">
          <w:pPr>
            <w:autoSpaceDE w:val="0"/>
            <w:autoSpaceDN w:val="0"/>
            <w:spacing w:line="480" w:lineRule="auto"/>
            <w:ind w:hanging="480"/>
            <w:jc w:val="both"/>
            <w:divId w:val="1344359868"/>
            <w:rPr>
              <w:rFonts w:ascii="Arial" w:eastAsia="Times New Roman" w:hAnsi="Arial" w:cs="Arial"/>
              <w:sz w:val="20"/>
              <w:szCs w:val="20"/>
            </w:rPr>
          </w:pPr>
          <w:r w:rsidRPr="006C7E20">
            <w:rPr>
              <w:rFonts w:ascii="Arial" w:eastAsia="Times New Roman" w:hAnsi="Arial" w:cs="Arial"/>
              <w:sz w:val="20"/>
              <w:szCs w:val="20"/>
            </w:rPr>
            <w:t>El-</w:t>
          </w:r>
          <w:proofErr w:type="spellStart"/>
          <w:r w:rsidRPr="006C7E20">
            <w:rPr>
              <w:rFonts w:ascii="Arial" w:eastAsia="Times New Roman" w:hAnsi="Arial" w:cs="Arial"/>
              <w:sz w:val="20"/>
              <w:szCs w:val="20"/>
            </w:rPr>
            <w:t>Aassar</w:t>
          </w:r>
          <w:proofErr w:type="spellEnd"/>
          <w:r w:rsidRPr="006C7E20">
            <w:rPr>
              <w:rFonts w:ascii="Arial" w:eastAsia="Times New Roman" w:hAnsi="Arial" w:cs="Arial"/>
              <w:sz w:val="20"/>
              <w:szCs w:val="20"/>
            </w:rPr>
            <w:t xml:space="preserve">, A. H., </w:t>
          </w:r>
          <w:proofErr w:type="spellStart"/>
          <w:r w:rsidRPr="006C7E20">
            <w:rPr>
              <w:rFonts w:ascii="Arial" w:eastAsia="Times New Roman" w:hAnsi="Arial" w:cs="Arial"/>
              <w:sz w:val="20"/>
              <w:szCs w:val="20"/>
            </w:rPr>
            <w:t>Hagagg</w:t>
          </w:r>
          <w:proofErr w:type="spellEnd"/>
          <w:r w:rsidRPr="006C7E20">
            <w:rPr>
              <w:rFonts w:ascii="Arial" w:eastAsia="Times New Roman" w:hAnsi="Arial" w:cs="Arial"/>
              <w:sz w:val="20"/>
              <w:szCs w:val="20"/>
            </w:rPr>
            <w:t xml:space="preserve">, K., Hussien, R., </w:t>
          </w:r>
          <w:proofErr w:type="spellStart"/>
          <w:r w:rsidRPr="006C7E20">
            <w:rPr>
              <w:rFonts w:ascii="Arial" w:eastAsia="Times New Roman" w:hAnsi="Arial" w:cs="Arial"/>
              <w:sz w:val="20"/>
              <w:szCs w:val="20"/>
            </w:rPr>
            <w:t>Oterkus</w:t>
          </w:r>
          <w:proofErr w:type="spellEnd"/>
          <w:r w:rsidRPr="006C7E20">
            <w:rPr>
              <w:rFonts w:ascii="Arial" w:eastAsia="Times New Roman" w:hAnsi="Arial" w:cs="Arial"/>
              <w:sz w:val="20"/>
              <w:szCs w:val="20"/>
            </w:rPr>
            <w:t xml:space="preserve">, S., &amp; </w:t>
          </w:r>
          <w:proofErr w:type="spellStart"/>
          <w:r w:rsidRPr="006C7E20">
            <w:rPr>
              <w:rFonts w:ascii="Arial" w:eastAsia="Times New Roman" w:hAnsi="Arial" w:cs="Arial"/>
              <w:sz w:val="20"/>
              <w:szCs w:val="20"/>
            </w:rPr>
            <w:t>Oterkus</w:t>
          </w:r>
          <w:proofErr w:type="spellEnd"/>
          <w:r w:rsidRPr="006C7E20">
            <w:rPr>
              <w:rFonts w:ascii="Arial" w:eastAsia="Times New Roman" w:hAnsi="Arial" w:cs="Arial"/>
              <w:sz w:val="20"/>
              <w:szCs w:val="20"/>
            </w:rPr>
            <w:t xml:space="preserve">, E. (2023). Integration of groundwater vulnerability with contaminants transport </w:t>
          </w:r>
          <w:proofErr w:type="spellStart"/>
          <w:r w:rsidRPr="006C7E20">
            <w:rPr>
              <w:rFonts w:ascii="Arial" w:eastAsia="Times New Roman" w:hAnsi="Arial" w:cs="Arial"/>
              <w:sz w:val="20"/>
              <w:szCs w:val="20"/>
            </w:rPr>
            <w:t>modeling</w:t>
          </w:r>
          <w:proofErr w:type="spellEnd"/>
          <w:r w:rsidRPr="006C7E20">
            <w:rPr>
              <w:rFonts w:ascii="Arial" w:eastAsia="Times New Roman" w:hAnsi="Arial" w:cs="Arial"/>
              <w:sz w:val="20"/>
              <w:szCs w:val="20"/>
            </w:rPr>
            <w:t xml:space="preserve"> in unsaturated zone, case study El-Sharqia, Egypt. </w:t>
          </w:r>
          <w:r w:rsidRPr="006C7E20">
            <w:rPr>
              <w:rFonts w:ascii="Arial" w:eastAsia="Times New Roman" w:hAnsi="Arial" w:cs="Arial"/>
              <w:i/>
              <w:iCs/>
              <w:sz w:val="20"/>
              <w:szCs w:val="20"/>
            </w:rPr>
            <w:t>Environmental Monitoring and Assessment</w:t>
          </w:r>
          <w:r w:rsidRPr="006C7E20">
            <w:rPr>
              <w:rFonts w:ascii="Arial" w:eastAsia="Times New Roman" w:hAnsi="Arial" w:cs="Arial"/>
              <w:sz w:val="20"/>
              <w:szCs w:val="20"/>
            </w:rPr>
            <w:t xml:space="preserve">, </w:t>
          </w:r>
          <w:r w:rsidRPr="006C7E20">
            <w:rPr>
              <w:rFonts w:ascii="Arial" w:eastAsia="Times New Roman" w:hAnsi="Arial" w:cs="Arial"/>
              <w:i/>
              <w:iCs/>
              <w:sz w:val="20"/>
              <w:szCs w:val="20"/>
            </w:rPr>
            <w:t>195</w:t>
          </w:r>
          <w:r w:rsidRPr="006C7E20">
            <w:rPr>
              <w:rFonts w:ascii="Arial" w:eastAsia="Times New Roman" w:hAnsi="Arial" w:cs="Arial"/>
              <w:sz w:val="20"/>
              <w:szCs w:val="20"/>
            </w:rPr>
            <w:t>(6). https://doi.org/10.1007/s10661-023-11298-3</w:t>
          </w:r>
        </w:p>
        <w:p w14:paraId="7B28BE73" w14:textId="77777777" w:rsidR="002F7DEA" w:rsidRPr="006C7E20" w:rsidRDefault="002F7DEA" w:rsidP="00C370F8">
          <w:pPr>
            <w:autoSpaceDE w:val="0"/>
            <w:autoSpaceDN w:val="0"/>
            <w:spacing w:line="480" w:lineRule="auto"/>
            <w:ind w:hanging="480"/>
            <w:jc w:val="both"/>
            <w:divId w:val="1725448339"/>
            <w:rPr>
              <w:rFonts w:ascii="Arial" w:eastAsia="Times New Roman" w:hAnsi="Arial" w:cs="Arial"/>
              <w:sz w:val="20"/>
              <w:szCs w:val="20"/>
            </w:rPr>
          </w:pPr>
          <w:r w:rsidRPr="006C7E20">
            <w:rPr>
              <w:rFonts w:ascii="Arial" w:eastAsia="Times New Roman" w:hAnsi="Arial" w:cs="Arial"/>
              <w:sz w:val="20"/>
              <w:szCs w:val="20"/>
            </w:rPr>
            <w:t xml:space="preserve">Frevert, R. K., &amp; Kirkham, D. (1948). A field method for measuring the permeability of soil below a water table. </w:t>
          </w:r>
          <w:r w:rsidRPr="006C7E20">
            <w:rPr>
              <w:rFonts w:ascii="Arial" w:eastAsia="Times New Roman" w:hAnsi="Arial" w:cs="Arial"/>
              <w:i/>
              <w:iCs/>
              <w:sz w:val="20"/>
              <w:szCs w:val="20"/>
            </w:rPr>
            <w:t>Highway Res. Board Proc.</w:t>
          </w:r>
          <w:r w:rsidRPr="006C7E20">
            <w:rPr>
              <w:rFonts w:ascii="Arial" w:eastAsia="Times New Roman" w:hAnsi="Arial" w:cs="Arial"/>
              <w:sz w:val="20"/>
              <w:szCs w:val="20"/>
            </w:rPr>
            <w:t xml:space="preserve">, </w:t>
          </w:r>
          <w:r w:rsidRPr="006C7E20">
            <w:rPr>
              <w:rFonts w:ascii="Arial" w:eastAsia="Times New Roman" w:hAnsi="Arial" w:cs="Arial"/>
              <w:i/>
              <w:iCs/>
              <w:sz w:val="20"/>
              <w:szCs w:val="20"/>
            </w:rPr>
            <w:t>28</w:t>
          </w:r>
          <w:r w:rsidRPr="006C7E20">
            <w:rPr>
              <w:rFonts w:ascii="Arial" w:eastAsia="Times New Roman" w:hAnsi="Arial" w:cs="Arial"/>
              <w:sz w:val="20"/>
              <w:szCs w:val="20"/>
            </w:rPr>
            <w:t>.</w:t>
          </w:r>
        </w:p>
        <w:p w14:paraId="651F353E" w14:textId="77777777" w:rsidR="002F7DEA" w:rsidRPr="006C7E20" w:rsidRDefault="002F7DEA" w:rsidP="00C370F8">
          <w:pPr>
            <w:autoSpaceDE w:val="0"/>
            <w:autoSpaceDN w:val="0"/>
            <w:spacing w:line="480" w:lineRule="auto"/>
            <w:ind w:hanging="480"/>
            <w:jc w:val="both"/>
            <w:divId w:val="985818360"/>
            <w:rPr>
              <w:rFonts w:ascii="Arial" w:eastAsia="Times New Roman" w:hAnsi="Arial" w:cs="Arial"/>
              <w:sz w:val="20"/>
              <w:szCs w:val="20"/>
            </w:rPr>
          </w:pPr>
          <w:r w:rsidRPr="006C7E20">
            <w:rPr>
              <w:rFonts w:ascii="Arial" w:eastAsia="Times New Roman" w:hAnsi="Arial" w:cs="Arial"/>
              <w:sz w:val="20"/>
              <w:szCs w:val="20"/>
            </w:rPr>
            <w:t xml:space="preserve">Gao, Y., Tang, X., Chu, J., &amp; He, J. (2019). Microbially Induced Calcite Precipitation for Seepage Control in Sandy Soil. </w:t>
          </w:r>
          <w:r w:rsidRPr="006C7E20">
            <w:rPr>
              <w:rFonts w:ascii="Arial" w:eastAsia="Times New Roman" w:hAnsi="Arial" w:cs="Arial"/>
              <w:i/>
              <w:iCs/>
              <w:sz w:val="20"/>
              <w:szCs w:val="20"/>
            </w:rPr>
            <w:t>Geomicrobiology Journal</w:t>
          </w:r>
          <w:r w:rsidRPr="006C7E20">
            <w:rPr>
              <w:rFonts w:ascii="Arial" w:eastAsia="Times New Roman" w:hAnsi="Arial" w:cs="Arial"/>
              <w:sz w:val="20"/>
              <w:szCs w:val="20"/>
            </w:rPr>
            <w:t xml:space="preserve">, </w:t>
          </w:r>
          <w:r w:rsidRPr="006C7E20">
            <w:rPr>
              <w:rFonts w:ascii="Arial" w:eastAsia="Times New Roman" w:hAnsi="Arial" w:cs="Arial"/>
              <w:i/>
              <w:iCs/>
              <w:sz w:val="20"/>
              <w:szCs w:val="20"/>
            </w:rPr>
            <w:t>36</w:t>
          </w:r>
          <w:r w:rsidRPr="006C7E20">
            <w:rPr>
              <w:rFonts w:ascii="Arial" w:eastAsia="Times New Roman" w:hAnsi="Arial" w:cs="Arial"/>
              <w:sz w:val="20"/>
              <w:szCs w:val="20"/>
            </w:rPr>
            <w:t>(4). https://doi.org/10.1080/01490451.2018.1556750</w:t>
          </w:r>
        </w:p>
        <w:p w14:paraId="794A78D7" w14:textId="77777777" w:rsidR="002F7DEA" w:rsidRPr="006C7E20" w:rsidRDefault="002F7DEA" w:rsidP="00C370F8">
          <w:pPr>
            <w:autoSpaceDE w:val="0"/>
            <w:autoSpaceDN w:val="0"/>
            <w:spacing w:line="480" w:lineRule="auto"/>
            <w:ind w:hanging="480"/>
            <w:jc w:val="both"/>
            <w:divId w:val="1834253797"/>
            <w:rPr>
              <w:rFonts w:ascii="Arial" w:eastAsia="Times New Roman" w:hAnsi="Arial" w:cs="Arial"/>
              <w:sz w:val="20"/>
              <w:szCs w:val="20"/>
            </w:rPr>
          </w:pPr>
          <w:r w:rsidRPr="006C7E20">
            <w:rPr>
              <w:rFonts w:ascii="Arial" w:eastAsia="Times New Roman" w:hAnsi="Arial" w:cs="Arial"/>
              <w:sz w:val="20"/>
              <w:szCs w:val="20"/>
            </w:rPr>
            <w:lastRenderedPageBreak/>
            <w:t xml:space="preserve">Gleeson, T., Smith, L., Moosdorf, N., Hartmann, J., Dürr, H. H., Manning, A. H., Van Beek, L. P. H., &amp; Jellinek, A. M. (2011). Mapping permeability over the surface of the Earth. </w:t>
          </w:r>
          <w:r w:rsidRPr="006C7E20">
            <w:rPr>
              <w:rFonts w:ascii="Arial" w:eastAsia="Times New Roman" w:hAnsi="Arial" w:cs="Arial"/>
              <w:i/>
              <w:iCs/>
              <w:sz w:val="20"/>
              <w:szCs w:val="20"/>
            </w:rPr>
            <w:t>Geophysical Research Letters</w:t>
          </w:r>
          <w:r w:rsidRPr="006C7E20">
            <w:rPr>
              <w:rFonts w:ascii="Arial" w:eastAsia="Times New Roman" w:hAnsi="Arial" w:cs="Arial"/>
              <w:sz w:val="20"/>
              <w:szCs w:val="20"/>
            </w:rPr>
            <w:t xml:space="preserve">, </w:t>
          </w:r>
          <w:r w:rsidRPr="006C7E20">
            <w:rPr>
              <w:rFonts w:ascii="Arial" w:eastAsia="Times New Roman" w:hAnsi="Arial" w:cs="Arial"/>
              <w:i/>
              <w:iCs/>
              <w:sz w:val="20"/>
              <w:szCs w:val="20"/>
            </w:rPr>
            <w:t>38</w:t>
          </w:r>
          <w:r w:rsidRPr="006C7E20">
            <w:rPr>
              <w:rFonts w:ascii="Arial" w:eastAsia="Times New Roman" w:hAnsi="Arial" w:cs="Arial"/>
              <w:sz w:val="20"/>
              <w:szCs w:val="20"/>
            </w:rPr>
            <w:t>(2). https://doi.org/10.1029/2010GL045565</w:t>
          </w:r>
        </w:p>
        <w:p w14:paraId="390AD0D5" w14:textId="77777777" w:rsidR="002F7DEA" w:rsidRPr="006C7E20" w:rsidRDefault="002F7DEA" w:rsidP="00C370F8">
          <w:pPr>
            <w:autoSpaceDE w:val="0"/>
            <w:autoSpaceDN w:val="0"/>
            <w:spacing w:line="480" w:lineRule="auto"/>
            <w:ind w:hanging="480"/>
            <w:jc w:val="both"/>
            <w:divId w:val="54008594"/>
            <w:rPr>
              <w:rFonts w:ascii="Arial" w:eastAsia="Times New Roman" w:hAnsi="Arial" w:cs="Arial"/>
              <w:sz w:val="20"/>
              <w:szCs w:val="20"/>
            </w:rPr>
          </w:pPr>
          <w:r w:rsidRPr="006C7E20">
            <w:rPr>
              <w:rFonts w:ascii="Arial" w:eastAsia="Times New Roman" w:hAnsi="Arial" w:cs="Arial"/>
              <w:sz w:val="20"/>
              <w:szCs w:val="20"/>
            </w:rPr>
            <w:t xml:space="preserve">Hamamoto, S., Moldrup, P., Kawamoto, K., &amp; Komatsu, T. (2009). Effect of Particle Size and Soil Compaction on Gas Transport Parameters in Variably Saturated, Sandy Soils. </w:t>
          </w:r>
          <w:r w:rsidRPr="006C7E20">
            <w:rPr>
              <w:rFonts w:ascii="Arial" w:eastAsia="Times New Roman" w:hAnsi="Arial" w:cs="Arial"/>
              <w:i/>
              <w:iCs/>
              <w:sz w:val="20"/>
              <w:szCs w:val="20"/>
            </w:rPr>
            <w:t>Vadose Zone Journal</w:t>
          </w:r>
          <w:r w:rsidRPr="006C7E20">
            <w:rPr>
              <w:rFonts w:ascii="Arial" w:eastAsia="Times New Roman" w:hAnsi="Arial" w:cs="Arial"/>
              <w:sz w:val="20"/>
              <w:szCs w:val="20"/>
            </w:rPr>
            <w:t xml:space="preserve">, </w:t>
          </w:r>
          <w:r w:rsidRPr="006C7E20">
            <w:rPr>
              <w:rFonts w:ascii="Arial" w:eastAsia="Times New Roman" w:hAnsi="Arial" w:cs="Arial"/>
              <w:i/>
              <w:iCs/>
              <w:sz w:val="20"/>
              <w:szCs w:val="20"/>
            </w:rPr>
            <w:t>8</w:t>
          </w:r>
          <w:r w:rsidRPr="006C7E20">
            <w:rPr>
              <w:rFonts w:ascii="Arial" w:eastAsia="Times New Roman" w:hAnsi="Arial" w:cs="Arial"/>
              <w:sz w:val="20"/>
              <w:szCs w:val="20"/>
            </w:rPr>
            <w:t>(4). https://doi.org/10.2136/vzj2008.0157</w:t>
          </w:r>
        </w:p>
        <w:p w14:paraId="6EFA579D" w14:textId="77777777" w:rsidR="002F7DEA" w:rsidRPr="006C7E20" w:rsidRDefault="002F7DEA" w:rsidP="00C370F8">
          <w:pPr>
            <w:autoSpaceDE w:val="0"/>
            <w:autoSpaceDN w:val="0"/>
            <w:spacing w:line="480" w:lineRule="auto"/>
            <w:ind w:hanging="480"/>
            <w:jc w:val="both"/>
            <w:divId w:val="21908931"/>
            <w:rPr>
              <w:rFonts w:ascii="Arial" w:eastAsia="Times New Roman" w:hAnsi="Arial" w:cs="Arial"/>
              <w:sz w:val="20"/>
              <w:szCs w:val="20"/>
            </w:rPr>
          </w:pPr>
          <w:r w:rsidRPr="006C7E20">
            <w:rPr>
              <w:rFonts w:ascii="Arial" w:eastAsia="Times New Roman" w:hAnsi="Arial" w:cs="Arial"/>
              <w:sz w:val="20"/>
              <w:szCs w:val="20"/>
            </w:rPr>
            <w:t xml:space="preserve">Johnston, J. E., Lim, E., &amp; Roh, H. (2019). Impact of upstream oil extraction and environmental public health: A review of the evidence. In </w:t>
          </w:r>
          <w:r w:rsidRPr="006C7E20">
            <w:rPr>
              <w:rFonts w:ascii="Arial" w:eastAsia="Times New Roman" w:hAnsi="Arial" w:cs="Arial"/>
              <w:i/>
              <w:iCs/>
              <w:sz w:val="20"/>
              <w:szCs w:val="20"/>
            </w:rPr>
            <w:t>Science of the Total Environment</w:t>
          </w:r>
          <w:r w:rsidRPr="006C7E20">
            <w:rPr>
              <w:rFonts w:ascii="Arial" w:eastAsia="Times New Roman" w:hAnsi="Arial" w:cs="Arial"/>
              <w:sz w:val="20"/>
              <w:szCs w:val="20"/>
            </w:rPr>
            <w:t xml:space="preserve"> (Vol. 657). https://doi.org/10.1016/j.scitotenv.2018.11.483</w:t>
          </w:r>
        </w:p>
        <w:p w14:paraId="150012E1" w14:textId="77777777" w:rsidR="002F7DEA" w:rsidRPr="006C7E20" w:rsidRDefault="002F7DEA" w:rsidP="00C370F8">
          <w:pPr>
            <w:autoSpaceDE w:val="0"/>
            <w:autoSpaceDN w:val="0"/>
            <w:spacing w:line="480" w:lineRule="auto"/>
            <w:ind w:hanging="480"/>
            <w:jc w:val="both"/>
            <w:divId w:val="988023174"/>
            <w:rPr>
              <w:rFonts w:ascii="Arial" w:eastAsia="Times New Roman" w:hAnsi="Arial" w:cs="Arial"/>
              <w:sz w:val="20"/>
              <w:szCs w:val="20"/>
            </w:rPr>
          </w:pPr>
          <w:proofErr w:type="spellStart"/>
          <w:r w:rsidRPr="006C7E20">
            <w:rPr>
              <w:rFonts w:ascii="Arial" w:eastAsia="Times New Roman" w:hAnsi="Arial" w:cs="Arial"/>
              <w:sz w:val="20"/>
              <w:szCs w:val="20"/>
            </w:rPr>
            <w:t>Koroša</w:t>
          </w:r>
          <w:proofErr w:type="spellEnd"/>
          <w:r w:rsidRPr="006C7E20">
            <w:rPr>
              <w:rFonts w:ascii="Arial" w:eastAsia="Times New Roman" w:hAnsi="Arial" w:cs="Arial"/>
              <w:sz w:val="20"/>
              <w:szCs w:val="20"/>
            </w:rPr>
            <w:t xml:space="preserve">, A., </w:t>
          </w:r>
          <w:proofErr w:type="spellStart"/>
          <w:r w:rsidRPr="006C7E20">
            <w:rPr>
              <w:rFonts w:ascii="Arial" w:eastAsia="Times New Roman" w:hAnsi="Arial" w:cs="Arial"/>
              <w:sz w:val="20"/>
              <w:szCs w:val="20"/>
            </w:rPr>
            <w:t>Brenčič</w:t>
          </w:r>
          <w:proofErr w:type="spellEnd"/>
          <w:r w:rsidRPr="006C7E20">
            <w:rPr>
              <w:rFonts w:ascii="Arial" w:eastAsia="Times New Roman" w:hAnsi="Arial" w:cs="Arial"/>
              <w:sz w:val="20"/>
              <w:szCs w:val="20"/>
            </w:rPr>
            <w:t xml:space="preserve">, M., &amp; Mali, N. (2020). Estimating the transport parameters of propyphenazone, caffeine and carbamazepine by means of a tracer experiment in a coarse-gravel unsaturated zone. </w:t>
          </w:r>
          <w:r w:rsidRPr="006C7E20">
            <w:rPr>
              <w:rFonts w:ascii="Arial" w:eastAsia="Times New Roman" w:hAnsi="Arial" w:cs="Arial"/>
              <w:i/>
              <w:iCs/>
              <w:sz w:val="20"/>
              <w:szCs w:val="20"/>
            </w:rPr>
            <w:t>Water Research</w:t>
          </w:r>
          <w:r w:rsidRPr="006C7E20">
            <w:rPr>
              <w:rFonts w:ascii="Arial" w:eastAsia="Times New Roman" w:hAnsi="Arial" w:cs="Arial"/>
              <w:sz w:val="20"/>
              <w:szCs w:val="20"/>
            </w:rPr>
            <w:t xml:space="preserve">, </w:t>
          </w:r>
          <w:r w:rsidRPr="006C7E20">
            <w:rPr>
              <w:rFonts w:ascii="Arial" w:eastAsia="Times New Roman" w:hAnsi="Arial" w:cs="Arial"/>
              <w:i/>
              <w:iCs/>
              <w:sz w:val="20"/>
              <w:szCs w:val="20"/>
            </w:rPr>
            <w:t>175</w:t>
          </w:r>
          <w:r w:rsidRPr="006C7E20">
            <w:rPr>
              <w:rFonts w:ascii="Arial" w:eastAsia="Times New Roman" w:hAnsi="Arial" w:cs="Arial"/>
              <w:sz w:val="20"/>
              <w:szCs w:val="20"/>
            </w:rPr>
            <w:t>. https://doi.org/10.1016/j.watres.2020.115680</w:t>
          </w:r>
        </w:p>
        <w:p w14:paraId="3EE10A7E" w14:textId="77777777" w:rsidR="002F7DEA" w:rsidRPr="006C7E20" w:rsidRDefault="002F7DEA" w:rsidP="00C370F8">
          <w:pPr>
            <w:autoSpaceDE w:val="0"/>
            <w:autoSpaceDN w:val="0"/>
            <w:spacing w:line="480" w:lineRule="auto"/>
            <w:ind w:hanging="480"/>
            <w:jc w:val="both"/>
            <w:divId w:val="1756902065"/>
            <w:rPr>
              <w:rFonts w:ascii="Arial" w:eastAsia="Times New Roman" w:hAnsi="Arial" w:cs="Arial"/>
              <w:sz w:val="20"/>
              <w:szCs w:val="20"/>
            </w:rPr>
          </w:pPr>
          <w:proofErr w:type="spellStart"/>
          <w:r w:rsidRPr="006C7E20">
            <w:rPr>
              <w:rFonts w:ascii="Arial" w:eastAsia="Times New Roman" w:hAnsi="Arial" w:cs="Arial"/>
              <w:sz w:val="20"/>
              <w:szCs w:val="20"/>
            </w:rPr>
            <w:t>Kponee</w:t>
          </w:r>
          <w:proofErr w:type="spellEnd"/>
          <w:r w:rsidRPr="006C7E20">
            <w:rPr>
              <w:rFonts w:ascii="Arial" w:eastAsia="Times New Roman" w:hAnsi="Arial" w:cs="Arial"/>
              <w:sz w:val="20"/>
              <w:szCs w:val="20"/>
            </w:rPr>
            <w:t xml:space="preserve">, K. Z., Chiger, A., Kakulu, I. I., Vorhees, D., &amp; </w:t>
          </w:r>
          <w:proofErr w:type="spellStart"/>
          <w:r w:rsidRPr="006C7E20">
            <w:rPr>
              <w:rFonts w:ascii="Arial" w:eastAsia="Times New Roman" w:hAnsi="Arial" w:cs="Arial"/>
              <w:sz w:val="20"/>
              <w:szCs w:val="20"/>
            </w:rPr>
            <w:t>Heiger</w:t>
          </w:r>
          <w:proofErr w:type="spellEnd"/>
          <w:r w:rsidRPr="006C7E20">
            <w:rPr>
              <w:rFonts w:ascii="Arial" w:eastAsia="Times New Roman" w:hAnsi="Arial" w:cs="Arial"/>
              <w:sz w:val="20"/>
              <w:szCs w:val="20"/>
            </w:rPr>
            <w:t xml:space="preserve">-Bernays, W. (2015). Petroleum contaminated water and health symptoms: a cross-sectional pilot study in a rural Nigerian community. </w:t>
          </w:r>
          <w:r w:rsidRPr="006C7E20">
            <w:rPr>
              <w:rFonts w:ascii="Arial" w:eastAsia="Times New Roman" w:hAnsi="Arial" w:cs="Arial"/>
              <w:i/>
              <w:iCs/>
              <w:sz w:val="20"/>
              <w:szCs w:val="20"/>
            </w:rPr>
            <w:t>Environmental Health: A Global Access Science Source</w:t>
          </w:r>
          <w:r w:rsidRPr="006C7E20">
            <w:rPr>
              <w:rFonts w:ascii="Arial" w:eastAsia="Times New Roman" w:hAnsi="Arial" w:cs="Arial"/>
              <w:sz w:val="20"/>
              <w:szCs w:val="20"/>
            </w:rPr>
            <w:t xml:space="preserve">, </w:t>
          </w:r>
          <w:r w:rsidRPr="006C7E20">
            <w:rPr>
              <w:rFonts w:ascii="Arial" w:eastAsia="Times New Roman" w:hAnsi="Arial" w:cs="Arial"/>
              <w:i/>
              <w:iCs/>
              <w:sz w:val="20"/>
              <w:szCs w:val="20"/>
            </w:rPr>
            <w:t>14</w:t>
          </w:r>
          <w:r w:rsidRPr="006C7E20">
            <w:rPr>
              <w:rFonts w:ascii="Arial" w:eastAsia="Times New Roman" w:hAnsi="Arial" w:cs="Arial"/>
              <w:sz w:val="20"/>
              <w:szCs w:val="20"/>
            </w:rPr>
            <w:t>(1). https://doi.org/10.1186/s12940-015-0073-0</w:t>
          </w:r>
        </w:p>
        <w:p w14:paraId="5A5C6BEC" w14:textId="77777777" w:rsidR="002F7DEA" w:rsidRPr="006C7E20" w:rsidRDefault="002F7DEA" w:rsidP="00C370F8">
          <w:pPr>
            <w:autoSpaceDE w:val="0"/>
            <w:autoSpaceDN w:val="0"/>
            <w:spacing w:line="480" w:lineRule="auto"/>
            <w:ind w:hanging="480"/>
            <w:jc w:val="both"/>
            <w:divId w:val="2130052403"/>
            <w:rPr>
              <w:rFonts w:ascii="Arial" w:eastAsia="Times New Roman" w:hAnsi="Arial" w:cs="Arial"/>
              <w:sz w:val="20"/>
              <w:szCs w:val="20"/>
            </w:rPr>
          </w:pPr>
          <w:r w:rsidRPr="006C7E20">
            <w:rPr>
              <w:rFonts w:ascii="Arial" w:eastAsia="Times New Roman" w:hAnsi="Arial" w:cs="Arial"/>
              <w:sz w:val="20"/>
              <w:szCs w:val="20"/>
            </w:rPr>
            <w:t xml:space="preserve">Morrison, B. A., Xia, K., &amp; Stewart, R. D. (2022). Soil organic matter can delay—but not eliminate—leaching of neonicotinoid insecticides. </w:t>
          </w:r>
          <w:r w:rsidRPr="006C7E20">
            <w:rPr>
              <w:rFonts w:ascii="Arial" w:eastAsia="Times New Roman" w:hAnsi="Arial" w:cs="Arial"/>
              <w:i/>
              <w:iCs/>
              <w:sz w:val="20"/>
              <w:szCs w:val="20"/>
            </w:rPr>
            <w:t>Journal of Environmental Quality</w:t>
          </w:r>
          <w:r w:rsidRPr="006C7E20">
            <w:rPr>
              <w:rFonts w:ascii="Arial" w:eastAsia="Times New Roman" w:hAnsi="Arial" w:cs="Arial"/>
              <w:sz w:val="20"/>
              <w:szCs w:val="20"/>
            </w:rPr>
            <w:t xml:space="preserve">, </w:t>
          </w:r>
          <w:r w:rsidRPr="006C7E20">
            <w:rPr>
              <w:rFonts w:ascii="Arial" w:eastAsia="Times New Roman" w:hAnsi="Arial" w:cs="Arial"/>
              <w:i/>
              <w:iCs/>
              <w:sz w:val="20"/>
              <w:szCs w:val="20"/>
            </w:rPr>
            <w:t>51</w:t>
          </w:r>
          <w:r w:rsidRPr="006C7E20">
            <w:rPr>
              <w:rFonts w:ascii="Arial" w:eastAsia="Times New Roman" w:hAnsi="Arial" w:cs="Arial"/>
              <w:sz w:val="20"/>
              <w:szCs w:val="20"/>
            </w:rPr>
            <w:t>(6). https://doi.org/10.1002/jeq2.20402</w:t>
          </w:r>
        </w:p>
        <w:p w14:paraId="26A52902" w14:textId="77777777" w:rsidR="002F7DEA" w:rsidRPr="006C7E20" w:rsidRDefault="002F7DEA" w:rsidP="00C370F8">
          <w:pPr>
            <w:autoSpaceDE w:val="0"/>
            <w:autoSpaceDN w:val="0"/>
            <w:spacing w:line="480" w:lineRule="auto"/>
            <w:ind w:hanging="480"/>
            <w:jc w:val="both"/>
            <w:divId w:val="1436553897"/>
            <w:rPr>
              <w:rFonts w:ascii="Arial" w:eastAsia="Times New Roman" w:hAnsi="Arial" w:cs="Arial"/>
              <w:sz w:val="20"/>
              <w:szCs w:val="20"/>
            </w:rPr>
          </w:pPr>
          <w:proofErr w:type="spellStart"/>
          <w:r w:rsidRPr="006C7E20">
            <w:rPr>
              <w:rFonts w:ascii="Arial" w:eastAsia="Times New Roman" w:hAnsi="Arial" w:cs="Arial"/>
              <w:sz w:val="20"/>
              <w:szCs w:val="20"/>
            </w:rPr>
            <w:t>Pontoni</w:t>
          </w:r>
          <w:proofErr w:type="spellEnd"/>
          <w:r w:rsidRPr="006C7E20">
            <w:rPr>
              <w:rFonts w:ascii="Arial" w:eastAsia="Times New Roman" w:hAnsi="Arial" w:cs="Arial"/>
              <w:sz w:val="20"/>
              <w:szCs w:val="20"/>
            </w:rPr>
            <w:t xml:space="preserve">, L., van </w:t>
          </w:r>
          <w:proofErr w:type="spellStart"/>
          <w:r w:rsidRPr="006C7E20">
            <w:rPr>
              <w:rFonts w:ascii="Arial" w:eastAsia="Times New Roman" w:hAnsi="Arial" w:cs="Arial"/>
              <w:sz w:val="20"/>
              <w:szCs w:val="20"/>
            </w:rPr>
            <w:t>Hullebusch</w:t>
          </w:r>
          <w:proofErr w:type="spellEnd"/>
          <w:r w:rsidRPr="006C7E20">
            <w:rPr>
              <w:rFonts w:ascii="Arial" w:eastAsia="Times New Roman" w:hAnsi="Arial" w:cs="Arial"/>
              <w:sz w:val="20"/>
              <w:szCs w:val="20"/>
            </w:rPr>
            <w:t xml:space="preserve">, E. D., </w:t>
          </w:r>
          <w:proofErr w:type="spellStart"/>
          <w:r w:rsidRPr="006C7E20">
            <w:rPr>
              <w:rFonts w:ascii="Arial" w:eastAsia="Times New Roman" w:hAnsi="Arial" w:cs="Arial"/>
              <w:sz w:val="20"/>
              <w:szCs w:val="20"/>
            </w:rPr>
            <w:t>Fabbricino</w:t>
          </w:r>
          <w:proofErr w:type="spellEnd"/>
          <w:r w:rsidRPr="006C7E20">
            <w:rPr>
              <w:rFonts w:ascii="Arial" w:eastAsia="Times New Roman" w:hAnsi="Arial" w:cs="Arial"/>
              <w:sz w:val="20"/>
              <w:szCs w:val="20"/>
            </w:rPr>
            <w:t xml:space="preserve">, M., Esposito, G., &amp; Pirozzi, F. (2016). Assessment of trace heavy metals dynamics during the interaction of aqueous solutions with the artificial OECD soil: Evaluation of the effect of soil organic matter content and colloidal mobilization. </w:t>
          </w:r>
          <w:r w:rsidRPr="006C7E20">
            <w:rPr>
              <w:rFonts w:ascii="Arial" w:eastAsia="Times New Roman" w:hAnsi="Arial" w:cs="Arial"/>
              <w:i/>
              <w:iCs/>
              <w:sz w:val="20"/>
              <w:szCs w:val="20"/>
            </w:rPr>
            <w:t>Chemosphere</w:t>
          </w:r>
          <w:r w:rsidRPr="006C7E20">
            <w:rPr>
              <w:rFonts w:ascii="Arial" w:eastAsia="Times New Roman" w:hAnsi="Arial" w:cs="Arial"/>
              <w:sz w:val="20"/>
              <w:szCs w:val="20"/>
            </w:rPr>
            <w:t xml:space="preserve">, </w:t>
          </w:r>
          <w:r w:rsidRPr="006C7E20">
            <w:rPr>
              <w:rFonts w:ascii="Arial" w:eastAsia="Times New Roman" w:hAnsi="Arial" w:cs="Arial"/>
              <w:i/>
              <w:iCs/>
              <w:sz w:val="20"/>
              <w:szCs w:val="20"/>
            </w:rPr>
            <w:t>163</w:t>
          </w:r>
          <w:r w:rsidRPr="006C7E20">
            <w:rPr>
              <w:rFonts w:ascii="Arial" w:eastAsia="Times New Roman" w:hAnsi="Arial" w:cs="Arial"/>
              <w:sz w:val="20"/>
              <w:szCs w:val="20"/>
            </w:rPr>
            <w:t>. https://doi.org/10.1016/j.chemosphere.2016.08.005</w:t>
          </w:r>
        </w:p>
        <w:p w14:paraId="2922F743" w14:textId="77777777" w:rsidR="002F7DEA" w:rsidRPr="006C7E20" w:rsidRDefault="002F7DEA" w:rsidP="00C370F8">
          <w:pPr>
            <w:autoSpaceDE w:val="0"/>
            <w:autoSpaceDN w:val="0"/>
            <w:spacing w:line="480" w:lineRule="auto"/>
            <w:ind w:hanging="480"/>
            <w:jc w:val="both"/>
            <w:divId w:val="1204291933"/>
            <w:rPr>
              <w:rFonts w:ascii="Arial" w:eastAsia="Times New Roman" w:hAnsi="Arial" w:cs="Arial"/>
              <w:sz w:val="20"/>
              <w:szCs w:val="20"/>
            </w:rPr>
          </w:pPr>
          <w:proofErr w:type="spellStart"/>
          <w:r w:rsidRPr="006C7E20">
            <w:rPr>
              <w:rFonts w:ascii="Arial" w:eastAsia="Times New Roman" w:hAnsi="Arial" w:cs="Arial"/>
              <w:sz w:val="20"/>
              <w:szCs w:val="20"/>
            </w:rPr>
            <w:t>Ranaivomanana</w:t>
          </w:r>
          <w:proofErr w:type="spellEnd"/>
          <w:r w:rsidRPr="006C7E20">
            <w:rPr>
              <w:rFonts w:ascii="Arial" w:eastAsia="Times New Roman" w:hAnsi="Arial" w:cs="Arial"/>
              <w:sz w:val="20"/>
              <w:szCs w:val="20"/>
            </w:rPr>
            <w:t xml:space="preserve">, H., </w:t>
          </w:r>
          <w:proofErr w:type="spellStart"/>
          <w:r w:rsidRPr="006C7E20">
            <w:rPr>
              <w:rFonts w:ascii="Arial" w:eastAsia="Times New Roman" w:hAnsi="Arial" w:cs="Arial"/>
              <w:sz w:val="20"/>
              <w:szCs w:val="20"/>
            </w:rPr>
            <w:t>Razakamanantsoa</w:t>
          </w:r>
          <w:proofErr w:type="spellEnd"/>
          <w:r w:rsidRPr="006C7E20">
            <w:rPr>
              <w:rFonts w:ascii="Arial" w:eastAsia="Times New Roman" w:hAnsi="Arial" w:cs="Arial"/>
              <w:sz w:val="20"/>
              <w:szCs w:val="20"/>
            </w:rPr>
            <w:t xml:space="preserve">, A., &amp; Amiri, O. (2017). Permeability Prediction of Soils Including Degree of Compaction and Microstructure. </w:t>
          </w:r>
          <w:r w:rsidRPr="006C7E20">
            <w:rPr>
              <w:rFonts w:ascii="Arial" w:eastAsia="Times New Roman" w:hAnsi="Arial" w:cs="Arial"/>
              <w:i/>
              <w:iCs/>
              <w:sz w:val="20"/>
              <w:szCs w:val="20"/>
            </w:rPr>
            <w:t>International Journal of Geomechanics</w:t>
          </w:r>
          <w:r w:rsidRPr="006C7E20">
            <w:rPr>
              <w:rFonts w:ascii="Arial" w:eastAsia="Times New Roman" w:hAnsi="Arial" w:cs="Arial"/>
              <w:sz w:val="20"/>
              <w:szCs w:val="20"/>
            </w:rPr>
            <w:t xml:space="preserve">, </w:t>
          </w:r>
          <w:r w:rsidRPr="006C7E20">
            <w:rPr>
              <w:rFonts w:ascii="Arial" w:eastAsia="Times New Roman" w:hAnsi="Arial" w:cs="Arial"/>
              <w:i/>
              <w:iCs/>
              <w:sz w:val="20"/>
              <w:szCs w:val="20"/>
            </w:rPr>
            <w:t>17</w:t>
          </w:r>
          <w:r w:rsidRPr="006C7E20">
            <w:rPr>
              <w:rFonts w:ascii="Arial" w:eastAsia="Times New Roman" w:hAnsi="Arial" w:cs="Arial"/>
              <w:sz w:val="20"/>
              <w:szCs w:val="20"/>
            </w:rPr>
            <w:t>(4). https://doi.org/10.1061/(asce)gm.1943-5622.0000792</w:t>
          </w:r>
        </w:p>
        <w:p w14:paraId="3D748E65" w14:textId="77777777" w:rsidR="002F7DEA" w:rsidRPr="006C7E20" w:rsidRDefault="002F7DEA" w:rsidP="00C370F8">
          <w:pPr>
            <w:autoSpaceDE w:val="0"/>
            <w:autoSpaceDN w:val="0"/>
            <w:spacing w:line="480" w:lineRule="auto"/>
            <w:ind w:hanging="480"/>
            <w:jc w:val="both"/>
            <w:divId w:val="155583911"/>
            <w:rPr>
              <w:rFonts w:ascii="Arial" w:eastAsia="Times New Roman" w:hAnsi="Arial" w:cs="Arial"/>
              <w:sz w:val="20"/>
              <w:szCs w:val="20"/>
            </w:rPr>
          </w:pPr>
          <w:r w:rsidRPr="006C7E20">
            <w:rPr>
              <w:rFonts w:ascii="Arial" w:eastAsia="Times New Roman" w:hAnsi="Arial" w:cs="Arial"/>
              <w:sz w:val="20"/>
              <w:szCs w:val="20"/>
            </w:rPr>
            <w:lastRenderedPageBreak/>
            <w:t xml:space="preserve">Soares, A., Moldrup, P., Vendelboe, A. L., </w:t>
          </w:r>
          <w:proofErr w:type="spellStart"/>
          <w:r w:rsidRPr="006C7E20">
            <w:rPr>
              <w:rFonts w:ascii="Arial" w:eastAsia="Times New Roman" w:hAnsi="Arial" w:cs="Arial"/>
              <w:sz w:val="20"/>
              <w:szCs w:val="20"/>
            </w:rPr>
            <w:t>Katuwal</w:t>
          </w:r>
          <w:proofErr w:type="spellEnd"/>
          <w:r w:rsidRPr="006C7E20">
            <w:rPr>
              <w:rFonts w:ascii="Arial" w:eastAsia="Times New Roman" w:hAnsi="Arial" w:cs="Arial"/>
              <w:sz w:val="20"/>
              <w:szCs w:val="20"/>
            </w:rPr>
            <w:t xml:space="preserve">, S., Norgaard, T., Delerue-Matos, C., Tuller, M., &amp; De Jonge, L. W. (2015). Effects of soil compaction and organic carbon content on preferential flow in loamy field soils. </w:t>
          </w:r>
          <w:r w:rsidRPr="006C7E20">
            <w:rPr>
              <w:rFonts w:ascii="Arial" w:eastAsia="Times New Roman" w:hAnsi="Arial" w:cs="Arial"/>
              <w:i/>
              <w:iCs/>
              <w:sz w:val="20"/>
              <w:szCs w:val="20"/>
            </w:rPr>
            <w:t>Soil Science</w:t>
          </w:r>
          <w:r w:rsidRPr="006C7E20">
            <w:rPr>
              <w:rFonts w:ascii="Arial" w:eastAsia="Times New Roman" w:hAnsi="Arial" w:cs="Arial"/>
              <w:sz w:val="20"/>
              <w:szCs w:val="20"/>
            </w:rPr>
            <w:t xml:space="preserve">, </w:t>
          </w:r>
          <w:r w:rsidRPr="006C7E20">
            <w:rPr>
              <w:rFonts w:ascii="Arial" w:eastAsia="Times New Roman" w:hAnsi="Arial" w:cs="Arial"/>
              <w:i/>
              <w:iCs/>
              <w:sz w:val="20"/>
              <w:szCs w:val="20"/>
            </w:rPr>
            <w:t>180</w:t>
          </w:r>
          <w:r w:rsidRPr="006C7E20">
            <w:rPr>
              <w:rFonts w:ascii="Arial" w:eastAsia="Times New Roman" w:hAnsi="Arial" w:cs="Arial"/>
              <w:sz w:val="20"/>
              <w:szCs w:val="20"/>
            </w:rPr>
            <w:t>(1). https://doi.org/10.1097/SS.0000000000000105</w:t>
          </w:r>
        </w:p>
        <w:p w14:paraId="3B87965A" w14:textId="77777777" w:rsidR="002F7DEA" w:rsidRPr="006C7E20" w:rsidRDefault="002F7DEA" w:rsidP="00C370F8">
          <w:pPr>
            <w:autoSpaceDE w:val="0"/>
            <w:autoSpaceDN w:val="0"/>
            <w:spacing w:line="480" w:lineRule="auto"/>
            <w:ind w:hanging="480"/>
            <w:jc w:val="both"/>
            <w:divId w:val="639576375"/>
            <w:rPr>
              <w:rFonts w:ascii="Arial" w:eastAsia="Times New Roman" w:hAnsi="Arial" w:cs="Arial"/>
              <w:sz w:val="20"/>
              <w:szCs w:val="20"/>
            </w:rPr>
          </w:pPr>
          <w:r w:rsidRPr="006C7E20">
            <w:rPr>
              <w:rFonts w:ascii="Arial" w:eastAsia="Times New Roman" w:hAnsi="Arial" w:cs="Arial"/>
              <w:sz w:val="20"/>
              <w:szCs w:val="20"/>
            </w:rPr>
            <w:t xml:space="preserve">Srivastava, A., &amp; Valsala, R. (2023). Numerical </w:t>
          </w:r>
          <w:proofErr w:type="spellStart"/>
          <w:r w:rsidRPr="006C7E20">
            <w:rPr>
              <w:rFonts w:ascii="Arial" w:eastAsia="Times New Roman" w:hAnsi="Arial" w:cs="Arial"/>
              <w:sz w:val="20"/>
              <w:szCs w:val="20"/>
            </w:rPr>
            <w:t>modeling</w:t>
          </w:r>
          <w:proofErr w:type="spellEnd"/>
          <w:r w:rsidRPr="006C7E20">
            <w:rPr>
              <w:rFonts w:ascii="Arial" w:eastAsia="Times New Roman" w:hAnsi="Arial" w:cs="Arial"/>
              <w:sz w:val="20"/>
              <w:szCs w:val="20"/>
            </w:rPr>
            <w:t xml:space="preserve"> to assess the effect of soil texture on transport and attenuation of petroleum hydrocarbons in unsaturated zone. </w:t>
          </w:r>
          <w:r w:rsidRPr="006C7E20">
            <w:rPr>
              <w:rFonts w:ascii="Arial" w:eastAsia="Times New Roman" w:hAnsi="Arial" w:cs="Arial"/>
              <w:i/>
              <w:iCs/>
              <w:sz w:val="20"/>
              <w:szCs w:val="20"/>
            </w:rPr>
            <w:t>Environmental Science and Pollution Research</w:t>
          </w:r>
          <w:r w:rsidRPr="006C7E20">
            <w:rPr>
              <w:rFonts w:ascii="Arial" w:eastAsia="Times New Roman" w:hAnsi="Arial" w:cs="Arial"/>
              <w:sz w:val="20"/>
              <w:szCs w:val="20"/>
            </w:rPr>
            <w:t xml:space="preserve">, </w:t>
          </w:r>
          <w:r w:rsidRPr="006C7E20">
            <w:rPr>
              <w:rFonts w:ascii="Arial" w:eastAsia="Times New Roman" w:hAnsi="Arial" w:cs="Arial"/>
              <w:i/>
              <w:iCs/>
              <w:sz w:val="20"/>
              <w:szCs w:val="20"/>
            </w:rPr>
            <w:t>30</w:t>
          </w:r>
          <w:r w:rsidRPr="006C7E20">
            <w:rPr>
              <w:rFonts w:ascii="Arial" w:eastAsia="Times New Roman" w:hAnsi="Arial" w:cs="Arial"/>
              <w:sz w:val="20"/>
              <w:szCs w:val="20"/>
            </w:rPr>
            <w:t>(16). https://doi.org/10.1007/s11356-023-25557-w</w:t>
          </w:r>
        </w:p>
        <w:p w14:paraId="5B9FD67B" w14:textId="77777777" w:rsidR="002F7DEA" w:rsidRPr="006C7E20" w:rsidRDefault="002F7DEA" w:rsidP="00C370F8">
          <w:pPr>
            <w:autoSpaceDE w:val="0"/>
            <w:autoSpaceDN w:val="0"/>
            <w:spacing w:line="480" w:lineRule="auto"/>
            <w:ind w:hanging="480"/>
            <w:jc w:val="both"/>
            <w:divId w:val="598484061"/>
            <w:rPr>
              <w:rFonts w:ascii="Arial" w:eastAsia="Times New Roman" w:hAnsi="Arial" w:cs="Arial"/>
              <w:sz w:val="20"/>
              <w:szCs w:val="20"/>
            </w:rPr>
          </w:pPr>
          <w:proofErr w:type="spellStart"/>
          <w:r w:rsidRPr="006C7E20">
            <w:rPr>
              <w:rFonts w:ascii="Arial" w:eastAsia="Times New Roman" w:hAnsi="Arial" w:cs="Arial"/>
              <w:sz w:val="20"/>
              <w:szCs w:val="20"/>
            </w:rPr>
            <w:t>Ugwoha</w:t>
          </w:r>
          <w:proofErr w:type="spellEnd"/>
          <w:r w:rsidRPr="006C7E20">
            <w:rPr>
              <w:rFonts w:ascii="Arial" w:eastAsia="Times New Roman" w:hAnsi="Arial" w:cs="Arial"/>
              <w:sz w:val="20"/>
              <w:szCs w:val="20"/>
            </w:rPr>
            <w:t xml:space="preserve">, E., Amah, V. E., &amp; Agharese-Adu, P. E. (2019). Modelling the Transport of Crude Oil in Sandy Soil. </w:t>
          </w:r>
          <w:proofErr w:type="spellStart"/>
          <w:r w:rsidRPr="006C7E20">
            <w:rPr>
              <w:rFonts w:ascii="Arial" w:eastAsia="Times New Roman" w:hAnsi="Arial" w:cs="Arial"/>
              <w:i/>
              <w:iCs/>
              <w:sz w:val="20"/>
              <w:szCs w:val="20"/>
            </w:rPr>
            <w:t>Ejikeme</w:t>
          </w:r>
          <w:proofErr w:type="spellEnd"/>
          <w:r w:rsidRPr="006C7E20">
            <w:rPr>
              <w:rFonts w:ascii="Arial" w:eastAsia="Times New Roman" w:hAnsi="Arial" w:cs="Arial"/>
              <w:i/>
              <w:iCs/>
              <w:sz w:val="20"/>
              <w:szCs w:val="20"/>
            </w:rPr>
            <w:t xml:space="preserve"> </w:t>
          </w:r>
          <w:proofErr w:type="spellStart"/>
          <w:r w:rsidRPr="006C7E20">
            <w:rPr>
              <w:rFonts w:ascii="Arial" w:eastAsia="Times New Roman" w:hAnsi="Arial" w:cs="Arial"/>
              <w:i/>
              <w:iCs/>
              <w:sz w:val="20"/>
              <w:szCs w:val="20"/>
            </w:rPr>
            <w:t>Ugwoha</w:t>
          </w:r>
          <w:proofErr w:type="spellEnd"/>
          <w:r w:rsidRPr="006C7E20">
            <w:rPr>
              <w:rFonts w:ascii="Arial" w:eastAsia="Times New Roman" w:hAnsi="Arial" w:cs="Arial"/>
              <w:i/>
              <w:iCs/>
              <w:sz w:val="20"/>
              <w:szCs w:val="20"/>
            </w:rPr>
            <w:t xml:space="preserve"> Journal of Engineering Research and Application </w:t>
          </w:r>
          <w:proofErr w:type="gramStart"/>
          <w:r w:rsidRPr="006C7E20">
            <w:rPr>
              <w:rFonts w:ascii="Arial" w:eastAsia="Times New Roman" w:hAnsi="Arial" w:cs="Arial"/>
              <w:i/>
              <w:iCs/>
              <w:sz w:val="20"/>
              <w:szCs w:val="20"/>
            </w:rPr>
            <w:t>Www.Ijera.Com</w:t>
          </w:r>
          <w:proofErr w:type="gramEnd"/>
          <w:r w:rsidRPr="006C7E20">
            <w:rPr>
              <w:rFonts w:ascii="Arial" w:eastAsia="Times New Roman" w:hAnsi="Arial" w:cs="Arial"/>
              <w:sz w:val="20"/>
              <w:szCs w:val="20"/>
            </w:rPr>
            <w:t xml:space="preserve">, </w:t>
          </w:r>
          <w:r w:rsidRPr="006C7E20">
            <w:rPr>
              <w:rFonts w:ascii="Arial" w:eastAsia="Times New Roman" w:hAnsi="Arial" w:cs="Arial"/>
              <w:i/>
              <w:iCs/>
              <w:sz w:val="20"/>
              <w:szCs w:val="20"/>
            </w:rPr>
            <w:t>9</w:t>
          </w:r>
          <w:r w:rsidRPr="006C7E20">
            <w:rPr>
              <w:rFonts w:ascii="Arial" w:eastAsia="Times New Roman" w:hAnsi="Arial" w:cs="Arial"/>
              <w:sz w:val="20"/>
              <w:szCs w:val="20"/>
            </w:rPr>
            <w:t>, 1–12. https://doi.org/10.9790/9622-0908010112</w:t>
          </w:r>
        </w:p>
        <w:p w14:paraId="1DF41A15" w14:textId="77777777" w:rsidR="002F7DEA" w:rsidRPr="006C7E20" w:rsidRDefault="002F7DEA" w:rsidP="00C370F8">
          <w:pPr>
            <w:autoSpaceDE w:val="0"/>
            <w:autoSpaceDN w:val="0"/>
            <w:spacing w:line="480" w:lineRule="auto"/>
            <w:ind w:hanging="480"/>
            <w:jc w:val="both"/>
            <w:divId w:val="260190733"/>
            <w:rPr>
              <w:rFonts w:ascii="Arial" w:eastAsia="Times New Roman" w:hAnsi="Arial" w:cs="Arial"/>
              <w:sz w:val="20"/>
              <w:szCs w:val="20"/>
            </w:rPr>
          </w:pPr>
          <w:r w:rsidRPr="006C7E20">
            <w:rPr>
              <w:rFonts w:ascii="Arial" w:eastAsia="Times New Roman" w:hAnsi="Arial" w:cs="Arial"/>
              <w:sz w:val="20"/>
              <w:szCs w:val="20"/>
            </w:rPr>
            <w:t xml:space="preserve">Zhuang, L., Raoof, A., </w:t>
          </w:r>
          <w:proofErr w:type="spellStart"/>
          <w:r w:rsidRPr="006C7E20">
            <w:rPr>
              <w:rFonts w:ascii="Arial" w:eastAsia="Times New Roman" w:hAnsi="Arial" w:cs="Arial"/>
              <w:sz w:val="20"/>
              <w:szCs w:val="20"/>
            </w:rPr>
            <w:t>Mahmoodlu</w:t>
          </w:r>
          <w:proofErr w:type="spellEnd"/>
          <w:r w:rsidRPr="006C7E20">
            <w:rPr>
              <w:rFonts w:ascii="Arial" w:eastAsia="Times New Roman" w:hAnsi="Arial" w:cs="Arial"/>
              <w:sz w:val="20"/>
              <w:szCs w:val="20"/>
            </w:rPr>
            <w:t xml:space="preserve">, M. G., </w:t>
          </w:r>
          <w:proofErr w:type="spellStart"/>
          <w:r w:rsidRPr="006C7E20">
            <w:rPr>
              <w:rFonts w:ascii="Arial" w:eastAsia="Times New Roman" w:hAnsi="Arial" w:cs="Arial"/>
              <w:sz w:val="20"/>
              <w:szCs w:val="20"/>
            </w:rPr>
            <w:t>Biekart</w:t>
          </w:r>
          <w:proofErr w:type="spellEnd"/>
          <w:r w:rsidRPr="006C7E20">
            <w:rPr>
              <w:rFonts w:ascii="Arial" w:eastAsia="Times New Roman" w:hAnsi="Arial" w:cs="Arial"/>
              <w:sz w:val="20"/>
              <w:szCs w:val="20"/>
            </w:rPr>
            <w:t xml:space="preserve">, S., de Witte, R., Badi, L., van </w:t>
          </w:r>
          <w:proofErr w:type="spellStart"/>
          <w:r w:rsidRPr="006C7E20">
            <w:rPr>
              <w:rFonts w:ascii="Arial" w:eastAsia="Times New Roman" w:hAnsi="Arial" w:cs="Arial"/>
              <w:sz w:val="20"/>
              <w:szCs w:val="20"/>
            </w:rPr>
            <w:t>Genuchten</w:t>
          </w:r>
          <w:proofErr w:type="spellEnd"/>
          <w:r w:rsidRPr="006C7E20">
            <w:rPr>
              <w:rFonts w:ascii="Arial" w:eastAsia="Times New Roman" w:hAnsi="Arial" w:cs="Arial"/>
              <w:sz w:val="20"/>
              <w:szCs w:val="20"/>
            </w:rPr>
            <w:t xml:space="preserve">, M. T., &amp; Lin, K. (2021). Unsaturated flow effects on solute transport in porous media. </w:t>
          </w:r>
          <w:r w:rsidRPr="006C7E20">
            <w:rPr>
              <w:rFonts w:ascii="Arial" w:eastAsia="Times New Roman" w:hAnsi="Arial" w:cs="Arial"/>
              <w:i/>
              <w:iCs/>
              <w:sz w:val="20"/>
              <w:szCs w:val="20"/>
            </w:rPr>
            <w:t>Journal of Hydrology</w:t>
          </w:r>
          <w:r w:rsidRPr="006C7E20">
            <w:rPr>
              <w:rFonts w:ascii="Arial" w:eastAsia="Times New Roman" w:hAnsi="Arial" w:cs="Arial"/>
              <w:sz w:val="20"/>
              <w:szCs w:val="20"/>
            </w:rPr>
            <w:t xml:space="preserve">, </w:t>
          </w:r>
          <w:r w:rsidRPr="006C7E20">
            <w:rPr>
              <w:rFonts w:ascii="Arial" w:eastAsia="Times New Roman" w:hAnsi="Arial" w:cs="Arial"/>
              <w:i/>
              <w:iCs/>
              <w:sz w:val="20"/>
              <w:szCs w:val="20"/>
            </w:rPr>
            <w:t>598</w:t>
          </w:r>
          <w:r w:rsidRPr="006C7E20">
            <w:rPr>
              <w:rFonts w:ascii="Arial" w:eastAsia="Times New Roman" w:hAnsi="Arial" w:cs="Arial"/>
              <w:sz w:val="20"/>
              <w:szCs w:val="20"/>
            </w:rPr>
            <w:t>. https://doi.org/10.1016/j.jhydrol.2021.126301</w:t>
          </w:r>
        </w:p>
        <w:p w14:paraId="3F3BF30E" w14:textId="382A0CAD" w:rsidR="0020730F" w:rsidRPr="006D43A8" w:rsidRDefault="002F7DEA" w:rsidP="00C370F8">
          <w:pPr>
            <w:spacing w:line="480" w:lineRule="auto"/>
            <w:jc w:val="both"/>
            <w:rPr>
              <w:rFonts w:ascii="Times New Roman" w:hAnsi="Times New Roman" w:cs="Times New Roman"/>
              <w:b/>
              <w:bCs/>
              <w:sz w:val="24"/>
              <w:szCs w:val="24"/>
            </w:rPr>
          </w:pPr>
          <w:r w:rsidRPr="006C7E20">
            <w:rPr>
              <w:rFonts w:ascii="Arial" w:eastAsia="Times New Roman" w:hAnsi="Arial" w:cs="Arial"/>
              <w:sz w:val="20"/>
              <w:szCs w:val="20"/>
            </w:rPr>
            <w:t> </w:t>
          </w:r>
        </w:p>
      </w:sdtContent>
    </w:sdt>
    <w:sectPr w:rsidR="0020730F" w:rsidRPr="006D43A8" w:rsidSect="005D12E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6248B" w14:textId="77777777" w:rsidR="00122B66" w:rsidRDefault="00122B66" w:rsidP="003E1329">
      <w:pPr>
        <w:spacing w:after="0" w:line="240" w:lineRule="auto"/>
      </w:pPr>
      <w:r>
        <w:separator/>
      </w:r>
    </w:p>
  </w:endnote>
  <w:endnote w:type="continuationSeparator" w:id="0">
    <w:p w14:paraId="1223D7C9" w14:textId="77777777" w:rsidR="00122B66" w:rsidRDefault="00122B66" w:rsidP="003E1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B1FAB" w14:textId="77777777" w:rsidR="001C7430" w:rsidRDefault="001C7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E466" w14:textId="77777777" w:rsidR="00737C2E" w:rsidRDefault="00737C2E" w:rsidP="00C64D94">
    <w:pPr>
      <w:pStyle w:val="Footer"/>
    </w:pPr>
  </w:p>
  <w:p w14:paraId="05B6DCD7" w14:textId="77777777" w:rsidR="003E1329" w:rsidRDefault="003E13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D0274" w14:textId="77777777" w:rsidR="001C7430" w:rsidRDefault="001C74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591CD" w14:textId="77777777" w:rsidR="00C64D94" w:rsidRDefault="00C64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8ED13" w14:textId="77777777" w:rsidR="00122B66" w:rsidRDefault="00122B66" w:rsidP="003E1329">
      <w:pPr>
        <w:spacing w:after="0" w:line="240" w:lineRule="auto"/>
      </w:pPr>
      <w:r>
        <w:separator/>
      </w:r>
    </w:p>
  </w:footnote>
  <w:footnote w:type="continuationSeparator" w:id="0">
    <w:p w14:paraId="23245C77" w14:textId="77777777" w:rsidR="00122B66" w:rsidRDefault="00122B66" w:rsidP="003E1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15603" w14:textId="197EBF9B" w:rsidR="001C7430" w:rsidRDefault="001C7430">
    <w:pPr>
      <w:pStyle w:val="Header"/>
    </w:pPr>
    <w:r>
      <w:rPr>
        <w:noProof/>
      </w:rPr>
      <w:pict w14:anchorId="025BDE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36231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C716C" w14:textId="5BA901DA" w:rsidR="001C7430" w:rsidRDefault="001C7430">
    <w:pPr>
      <w:pStyle w:val="Header"/>
    </w:pPr>
    <w:r>
      <w:rPr>
        <w:noProof/>
      </w:rPr>
      <w:pict w14:anchorId="22BD85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36231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00B99" w14:textId="60F25C4B" w:rsidR="001C7430" w:rsidRDefault="001C7430">
    <w:pPr>
      <w:pStyle w:val="Header"/>
    </w:pPr>
    <w:r>
      <w:rPr>
        <w:noProof/>
      </w:rPr>
      <w:pict w14:anchorId="12FBCC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36231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C938C" w14:textId="42C558C7" w:rsidR="001C7430" w:rsidRDefault="001C7430">
    <w:pPr>
      <w:pStyle w:val="Header"/>
    </w:pPr>
    <w:r>
      <w:rPr>
        <w:noProof/>
      </w:rPr>
      <w:pict w14:anchorId="6BE4C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362317"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7E4AE" w14:textId="3126A05A" w:rsidR="001C7430" w:rsidRDefault="001C7430">
    <w:pPr>
      <w:pStyle w:val="Header"/>
    </w:pPr>
    <w:r>
      <w:rPr>
        <w:noProof/>
      </w:rPr>
      <w:pict w14:anchorId="30AE7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362318"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BA2D2" w14:textId="4BB7942E" w:rsidR="001C7430" w:rsidRDefault="001C7430">
    <w:pPr>
      <w:pStyle w:val="Header"/>
    </w:pPr>
    <w:r>
      <w:rPr>
        <w:noProof/>
      </w:rPr>
      <w:pict w14:anchorId="56B07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362316"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B5082"/>
    <w:multiLevelType w:val="multilevel"/>
    <w:tmpl w:val="BE66B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B026B"/>
    <w:multiLevelType w:val="hybridMultilevel"/>
    <w:tmpl w:val="B1245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4600CA"/>
    <w:multiLevelType w:val="hybridMultilevel"/>
    <w:tmpl w:val="C8C26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75A"/>
    <w:rsid w:val="000409CE"/>
    <w:rsid w:val="0006095F"/>
    <w:rsid w:val="00092CFB"/>
    <w:rsid w:val="0009475A"/>
    <w:rsid w:val="000A1C5B"/>
    <w:rsid w:val="000E027C"/>
    <w:rsid w:val="00101100"/>
    <w:rsid w:val="00107E6E"/>
    <w:rsid w:val="0011396D"/>
    <w:rsid w:val="00122B66"/>
    <w:rsid w:val="00140077"/>
    <w:rsid w:val="001C7430"/>
    <w:rsid w:val="001E5916"/>
    <w:rsid w:val="002014AF"/>
    <w:rsid w:val="0020730F"/>
    <w:rsid w:val="00217E84"/>
    <w:rsid w:val="002344E3"/>
    <w:rsid w:val="00247179"/>
    <w:rsid w:val="00256BC8"/>
    <w:rsid w:val="00262729"/>
    <w:rsid w:val="00271ED2"/>
    <w:rsid w:val="0029717D"/>
    <w:rsid w:val="002B3C3B"/>
    <w:rsid w:val="002F7DEA"/>
    <w:rsid w:val="00316885"/>
    <w:rsid w:val="00345CC8"/>
    <w:rsid w:val="00357024"/>
    <w:rsid w:val="0035774B"/>
    <w:rsid w:val="003857B4"/>
    <w:rsid w:val="003D1C28"/>
    <w:rsid w:val="003E1329"/>
    <w:rsid w:val="003F0DCD"/>
    <w:rsid w:val="004033EE"/>
    <w:rsid w:val="004278E0"/>
    <w:rsid w:val="004D1BFF"/>
    <w:rsid w:val="004F170B"/>
    <w:rsid w:val="00572C89"/>
    <w:rsid w:val="005859E8"/>
    <w:rsid w:val="00590112"/>
    <w:rsid w:val="00592A18"/>
    <w:rsid w:val="00592F41"/>
    <w:rsid w:val="005A66E4"/>
    <w:rsid w:val="005B4271"/>
    <w:rsid w:val="005C219B"/>
    <w:rsid w:val="005C5D89"/>
    <w:rsid w:val="005D12E9"/>
    <w:rsid w:val="006055EC"/>
    <w:rsid w:val="0061226B"/>
    <w:rsid w:val="00652546"/>
    <w:rsid w:val="0067058C"/>
    <w:rsid w:val="00695F46"/>
    <w:rsid w:val="006B749D"/>
    <w:rsid w:val="006C7E20"/>
    <w:rsid w:val="006D0A11"/>
    <w:rsid w:val="006D43A8"/>
    <w:rsid w:val="006E2381"/>
    <w:rsid w:val="006F472C"/>
    <w:rsid w:val="00737C2E"/>
    <w:rsid w:val="00743875"/>
    <w:rsid w:val="00744C46"/>
    <w:rsid w:val="0075188A"/>
    <w:rsid w:val="00780CA9"/>
    <w:rsid w:val="007969CD"/>
    <w:rsid w:val="007F0068"/>
    <w:rsid w:val="0084073D"/>
    <w:rsid w:val="00871470"/>
    <w:rsid w:val="008829C0"/>
    <w:rsid w:val="008D507B"/>
    <w:rsid w:val="00962D2C"/>
    <w:rsid w:val="009A53D8"/>
    <w:rsid w:val="009F4A44"/>
    <w:rsid w:val="00A043D3"/>
    <w:rsid w:val="00A128EC"/>
    <w:rsid w:val="00A57349"/>
    <w:rsid w:val="00A7794A"/>
    <w:rsid w:val="00AA2897"/>
    <w:rsid w:val="00AC5BCF"/>
    <w:rsid w:val="00B04762"/>
    <w:rsid w:val="00B3335B"/>
    <w:rsid w:val="00B55DD4"/>
    <w:rsid w:val="00B611BE"/>
    <w:rsid w:val="00B6538A"/>
    <w:rsid w:val="00B76625"/>
    <w:rsid w:val="00B80FB5"/>
    <w:rsid w:val="00BA68BA"/>
    <w:rsid w:val="00BD5F5F"/>
    <w:rsid w:val="00BE07F7"/>
    <w:rsid w:val="00BF7D3D"/>
    <w:rsid w:val="00C2765A"/>
    <w:rsid w:val="00C370F8"/>
    <w:rsid w:val="00C64D94"/>
    <w:rsid w:val="00C87A32"/>
    <w:rsid w:val="00CE6808"/>
    <w:rsid w:val="00D01C5D"/>
    <w:rsid w:val="00D05A3E"/>
    <w:rsid w:val="00D263E2"/>
    <w:rsid w:val="00D5657E"/>
    <w:rsid w:val="00D6429C"/>
    <w:rsid w:val="00DD2B09"/>
    <w:rsid w:val="00E02106"/>
    <w:rsid w:val="00E024F9"/>
    <w:rsid w:val="00E20A9C"/>
    <w:rsid w:val="00E46AC1"/>
    <w:rsid w:val="00E554FE"/>
    <w:rsid w:val="00E80945"/>
    <w:rsid w:val="00EB7779"/>
    <w:rsid w:val="00F207EC"/>
    <w:rsid w:val="00F52378"/>
    <w:rsid w:val="00F52D73"/>
    <w:rsid w:val="00F9407F"/>
    <w:rsid w:val="00FD71F0"/>
    <w:rsid w:val="00FF1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CDEAC15"/>
  <w15:chartTrackingRefBased/>
  <w15:docId w15:val="{D50A5D66-89BB-400A-B706-76A7682E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475A"/>
    <w:pPr>
      <w:spacing w:line="259" w:lineRule="auto"/>
    </w:pPr>
    <w:rPr>
      <w:sz w:val="22"/>
      <w:szCs w:val="22"/>
      <w:lang w:val="en-GB"/>
    </w:rPr>
  </w:style>
  <w:style w:type="paragraph" w:styleId="Heading1">
    <w:name w:val="heading 1"/>
    <w:basedOn w:val="Normal"/>
    <w:next w:val="Normal"/>
    <w:link w:val="Heading1Char"/>
    <w:uiPriority w:val="9"/>
    <w:qFormat/>
    <w:rsid w:val="000947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47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47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47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0947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47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7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7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7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7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47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47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47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0947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47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7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7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75A"/>
    <w:rPr>
      <w:rFonts w:eastAsiaTheme="majorEastAsia" w:cstheme="majorBidi"/>
      <w:color w:val="272727" w:themeColor="text1" w:themeTint="D8"/>
    </w:rPr>
  </w:style>
  <w:style w:type="paragraph" w:styleId="Title">
    <w:name w:val="Title"/>
    <w:basedOn w:val="Normal"/>
    <w:next w:val="Normal"/>
    <w:link w:val="TitleChar"/>
    <w:uiPriority w:val="10"/>
    <w:qFormat/>
    <w:rsid w:val="00094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7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7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7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75A"/>
    <w:pPr>
      <w:spacing w:before="160"/>
      <w:jc w:val="center"/>
    </w:pPr>
    <w:rPr>
      <w:i/>
      <w:iCs/>
      <w:color w:val="404040" w:themeColor="text1" w:themeTint="BF"/>
    </w:rPr>
  </w:style>
  <w:style w:type="character" w:customStyle="1" w:styleId="QuoteChar">
    <w:name w:val="Quote Char"/>
    <w:basedOn w:val="DefaultParagraphFont"/>
    <w:link w:val="Quote"/>
    <w:uiPriority w:val="29"/>
    <w:rsid w:val="0009475A"/>
    <w:rPr>
      <w:i/>
      <w:iCs/>
      <w:color w:val="404040" w:themeColor="text1" w:themeTint="BF"/>
    </w:rPr>
  </w:style>
  <w:style w:type="paragraph" w:styleId="ListParagraph">
    <w:name w:val="List Paragraph"/>
    <w:basedOn w:val="Normal"/>
    <w:uiPriority w:val="34"/>
    <w:qFormat/>
    <w:rsid w:val="0009475A"/>
    <w:pPr>
      <w:ind w:left="720"/>
      <w:contextualSpacing/>
    </w:pPr>
  </w:style>
  <w:style w:type="character" w:styleId="IntenseEmphasis">
    <w:name w:val="Intense Emphasis"/>
    <w:basedOn w:val="DefaultParagraphFont"/>
    <w:uiPriority w:val="21"/>
    <w:qFormat/>
    <w:rsid w:val="0009475A"/>
    <w:rPr>
      <w:i/>
      <w:iCs/>
      <w:color w:val="2F5496" w:themeColor="accent1" w:themeShade="BF"/>
    </w:rPr>
  </w:style>
  <w:style w:type="paragraph" w:styleId="IntenseQuote">
    <w:name w:val="Intense Quote"/>
    <w:basedOn w:val="Normal"/>
    <w:next w:val="Normal"/>
    <w:link w:val="IntenseQuoteChar"/>
    <w:uiPriority w:val="30"/>
    <w:qFormat/>
    <w:rsid w:val="000947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475A"/>
    <w:rPr>
      <w:i/>
      <w:iCs/>
      <w:color w:val="2F5496" w:themeColor="accent1" w:themeShade="BF"/>
    </w:rPr>
  </w:style>
  <w:style w:type="character" w:styleId="IntenseReference">
    <w:name w:val="Intense Reference"/>
    <w:basedOn w:val="DefaultParagraphFont"/>
    <w:uiPriority w:val="32"/>
    <w:qFormat/>
    <w:rsid w:val="0009475A"/>
    <w:rPr>
      <w:b/>
      <w:bCs/>
      <w:smallCaps/>
      <w:color w:val="2F5496" w:themeColor="accent1" w:themeShade="BF"/>
      <w:spacing w:val="5"/>
    </w:rPr>
  </w:style>
  <w:style w:type="paragraph" w:styleId="NormalWeb">
    <w:name w:val="Normal (Web)"/>
    <w:basedOn w:val="Normal"/>
    <w:uiPriority w:val="99"/>
    <w:unhideWhenUsed/>
    <w:rsid w:val="005A66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29717D"/>
    <w:pPr>
      <w:spacing w:after="0" w:line="240" w:lineRule="auto"/>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F9407F"/>
    <w:rPr>
      <w:color w:val="666666"/>
    </w:rPr>
  </w:style>
  <w:style w:type="paragraph" w:styleId="Header">
    <w:name w:val="header"/>
    <w:basedOn w:val="Normal"/>
    <w:link w:val="HeaderChar"/>
    <w:uiPriority w:val="99"/>
    <w:unhideWhenUsed/>
    <w:rsid w:val="003E1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329"/>
    <w:rPr>
      <w:sz w:val="22"/>
      <w:szCs w:val="22"/>
      <w:lang w:val="en-GB"/>
    </w:rPr>
  </w:style>
  <w:style w:type="paragraph" w:styleId="Footer">
    <w:name w:val="footer"/>
    <w:basedOn w:val="Normal"/>
    <w:link w:val="FooterChar"/>
    <w:unhideWhenUsed/>
    <w:rsid w:val="003E1329"/>
    <w:pPr>
      <w:tabs>
        <w:tab w:val="center" w:pos="4680"/>
        <w:tab w:val="right" w:pos="9360"/>
      </w:tabs>
      <w:spacing w:after="0" w:line="240" w:lineRule="auto"/>
    </w:pPr>
  </w:style>
  <w:style w:type="character" w:customStyle="1" w:styleId="FooterChar">
    <w:name w:val="Footer Char"/>
    <w:basedOn w:val="DefaultParagraphFont"/>
    <w:link w:val="Footer"/>
    <w:rsid w:val="003E1329"/>
    <w:rPr>
      <w:sz w:val="22"/>
      <w:szCs w:val="22"/>
      <w:lang w:val="en-GB"/>
    </w:rPr>
  </w:style>
  <w:style w:type="character" w:styleId="Hyperlink">
    <w:name w:val="Hyperlink"/>
    <w:basedOn w:val="DefaultParagraphFont"/>
    <w:uiPriority w:val="99"/>
    <w:unhideWhenUsed/>
    <w:rsid w:val="00737C2E"/>
    <w:rPr>
      <w:color w:val="0563C1" w:themeColor="hyperlink"/>
      <w:u w:val="single"/>
    </w:rPr>
  </w:style>
  <w:style w:type="character" w:styleId="UnresolvedMention">
    <w:name w:val="Unresolved Mention"/>
    <w:basedOn w:val="DefaultParagraphFont"/>
    <w:uiPriority w:val="99"/>
    <w:semiHidden/>
    <w:unhideWhenUsed/>
    <w:rsid w:val="00737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82093">
      <w:bodyDiv w:val="1"/>
      <w:marLeft w:val="0"/>
      <w:marRight w:val="0"/>
      <w:marTop w:val="0"/>
      <w:marBottom w:val="0"/>
      <w:divBdr>
        <w:top w:val="none" w:sz="0" w:space="0" w:color="auto"/>
        <w:left w:val="none" w:sz="0" w:space="0" w:color="auto"/>
        <w:bottom w:val="none" w:sz="0" w:space="0" w:color="auto"/>
        <w:right w:val="none" w:sz="0" w:space="0" w:color="auto"/>
      </w:divBdr>
    </w:div>
    <w:div w:id="22707144">
      <w:bodyDiv w:val="1"/>
      <w:marLeft w:val="0"/>
      <w:marRight w:val="0"/>
      <w:marTop w:val="0"/>
      <w:marBottom w:val="0"/>
      <w:divBdr>
        <w:top w:val="none" w:sz="0" w:space="0" w:color="auto"/>
        <w:left w:val="none" w:sz="0" w:space="0" w:color="auto"/>
        <w:bottom w:val="none" w:sz="0" w:space="0" w:color="auto"/>
        <w:right w:val="none" w:sz="0" w:space="0" w:color="auto"/>
      </w:divBdr>
    </w:div>
    <w:div w:id="125710003">
      <w:bodyDiv w:val="1"/>
      <w:marLeft w:val="0"/>
      <w:marRight w:val="0"/>
      <w:marTop w:val="0"/>
      <w:marBottom w:val="0"/>
      <w:divBdr>
        <w:top w:val="none" w:sz="0" w:space="0" w:color="auto"/>
        <w:left w:val="none" w:sz="0" w:space="0" w:color="auto"/>
        <w:bottom w:val="none" w:sz="0" w:space="0" w:color="auto"/>
        <w:right w:val="none" w:sz="0" w:space="0" w:color="auto"/>
      </w:divBdr>
    </w:div>
    <w:div w:id="436097237">
      <w:bodyDiv w:val="1"/>
      <w:marLeft w:val="0"/>
      <w:marRight w:val="0"/>
      <w:marTop w:val="0"/>
      <w:marBottom w:val="0"/>
      <w:divBdr>
        <w:top w:val="none" w:sz="0" w:space="0" w:color="auto"/>
        <w:left w:val="none" w:sz="0" w:space="0" w:color="auto"/>
        <w:bottom w:val="none" w:sz="0" w:space="0" w:color="auto"/>
        <w:right w:val="none" w:sz="0" w:space="0" w:color="auto"/>
      </w:divBdr>
    </w:div>
    <w:div w:id="603614911">
      <w:bodyDiv w:val="1"/>
      <w:marLeft w:val="0"/>
      <w:marRight w:val="0"/>
      <w:marTop w:val="0"/>
      <w:marBottom w:val="0"/>
      <w:divBdr>
        <w:top w:val="none" w:sz="0" w:space="0" w:color="auto"/>
        <w:left w:val="none" w:sz="0" w:space="0" w:color="auto"/>
        <w:bottom w:val="none" w:sz="0" w:space="0" w:color="auto"/>
        <w:right w:val="none" w:sz="0" w:space="0" w:color="auto"/>
      </w:divBdr>
    </w:div>
    <w:div w:id="673648985">
      <w:bodyDiv w:val="1"/>
      <w:marLeft w:val="0"/>
      <w:marRight w:val="0"/>
      <w:marTop w:val="0"/>
      <w:marBottom w:val="0"/>
      <w:divBdr>
        <w:top w:val="none" w:sz="0" w:space="0" w:color="auto"/>
        <w:left w:val="none" w:sz="0" w:space="0" w:color="auto"/>
        <w:bottom w:val="none" w:sz="0" w:space="0" w:color="auto"/>
        <w:right w:val="none" w:sz="0" w:space="0" w:color="auto"/>
      </w:divBdr>
    </w:div>
    <w:div w:id="750926256">
      <w:bodyDiv w:val="1"/>
      <w:marLeft w:val="0"/>
      <w:marRight w:val="0"/>
      <w:marTop w:val="0"/>
      <w:marBottom w:val="0"/>
      <w:divBdr>
        <w:top w:val="none" w:sz="0" w:space="0" w:color="auto"/>
        <w:left w:val="none" w:sz="0" w:space="0" w:color="auto"/>
        <w:bottom w:val="none" w:sz="0" w:space="0" w:color="auto"/>
        <w:right w:val="none" w:sz="0" w:space="0" w:color="auto"/>
      </w:divBdr>
    </w:div>
    <w:div w:id="781220559">
      <w:bodyDiv w:val="1"/>
      <w:marLeft w:val="0"/>
      <w:marRight w:val="0"/>
      <w:marTop w:val="0"/>
      <w:marBottom w:val="0"/>
      <w:divBdr>
        <w:top w:val="none" w:sz="0" w:space="0" w:color="auto"/>
        <w:left w:val="none" w:sz="0" w:space="0" w:color="auto"/>
        <w:bottom w:val="none" w:sz="0" w:space="0" w:color="auto"/>
        <w:right w:val="none" w:sz="0" w:space="0" w:color="auto"/>
      </w:divBdr>
    </w:div>
    <w:div w:id="859316177">
      <w:bodyDiv w:val="1"/>
      <w:marLeft w:val="0"/>
      <w:marRight w:val="0"/>
      <w:marTop w:val="0"/>
      <w:marBottom w:val="0"/>
      <w:divBdr>
        <w:top w:val="none" w:sz="0" w:space="0" w:color="auto"/>
        <w:left w:val="none" w:sz="0" w:space="0" w:color="auto"/>
        <w:bottom w:val="none" w:sz="0" w:space="0" w:color="auto"/>
        <w:right w:val="none" w:sz="0" w:space="0" w:color="auto"/>
      </w:divBdr>
      <w:divsChild>
        <w:div w:id="1681352550">
          <w:marLeft w:val="480"/>
          <w:marRight w:val="0"/>
          <w:marTop w:val="0"/>
          <w:marBottom w:val="0"/>
          <w:divBdr>
            <w:top w:val="none" w:sz="0" w:space="0" w:color="auto"/>
            <w:left w:val="none" w:sz="0" w:space="0" w:color="auto"/>
            <w:bottom w:val="none" w:sz="0" w:space="0" w:color="auto"/>
            <w:right w:val="none" w:sz="0" w:space="0" w:color="auto"/>
          </w:divBdr>
        </w:div>
        <w:div w:id="838735737">
          <w:marLeft w:val="480"/>
          <w:marRight w:val="0"/>
          <w:marTop w:val="0"/>
          <w:marBottom w:val="0"/>
          <w:divBdr>
            <w:top w:val="none" w:sz="0" w:space="0" w:color="auto"/>
            <w:left w:val="none" w:sz="0" w:space="0" w:color="auto"/>
            <w:bottom w:val="none" w:sz="0" w:space="0" w:color="auto"/>
            <w:right w:val="none" w:sz="0" w:space="0" w:color="auto"/>
          </w:divBdr>
        </w:div>
        <w:div w:id="261184513">
          <w:marLeft w:val="480"/>
          <w:marRight w:val="0"/>
          <w:marTop w:val="0"/>
          <w:marBottom w:val="0"/>
          <w:divBdr>
            <w:top w:val="none" w:sz="0" w:space="0" w:color="auto"/>
            <w:left w:val="none" w:sz="0" w:space="0" w:color="auto"/>
            <w:bottom w:val="none" w:sz="0" w:space="0" w:color="auto"/>
            <w:right w:val="none" w:sz="0" w:space="0" w:color="auto"/>
          </w:divBdr>
        </w:div>
        <w:div w:id="666984604">
          <w:marLeft w:val="480"/>
          <w:marRight w:val="0"/>
          <w:marTop w:val="0"/>
          <w:marBottom w:val="0"/>
          <w:divBdr>
            <w:top w:val="none" w:sz="0" w:space="0" w:color="auto"/>
            <w:left w:val="none" w:sz="0" w:space="0" w:color="auto"/>
            <w:bottom w:val="none" w:sz="0" w:space="0" w:color="auto"/>
            <w:right w:val="none" w:sz="0" w:space="0" w:color="auto"/>
          </w:divBdr>
        </w:div>
        <w:div w:id="1447889779">
          <w:marLeft w:val="480"/>
          <w:marRight w:val="0"/>
          <w:marTop w:val="0"/>
          <w:marBottom w:val="0"/>
          <w:divBdr>
            <w:top w:val="none" w:sz="0" w:space="0" w:color="auto"/>
            <w:left w:val="none" w:sz="0" w:space="0" w:color="auto"/>
            <w:bottom w:val="none" w:sz="0" w:space="0" w:color="auto"/>
            <w:right w:val="none" w:sz="0" w:space="0" w:color="auto"/>
          </w:divBdr>
        </w:div>
        <w:div w:id="647518896">
          <w:marLeft w:val="480"/>
          <w:marRight w:val="0"/>
          <w:marTop w:val="0"/>
          <w:marBottom w:val="0"/>
          <w:divBdr>
            <w:top w:val="none" w:sz="0" w:space="0" w:color="auto"/>
            <w:left w:val="none" w:sz="0" w:space="0" w:color="auto"/>
            <w:bottom w:val="none" w:sz="0" w:space="0" w:color="auto"/>
            <w:right w:val="none" w:sz="0" w:space="0" w:color="auto"/>
          </w:divBdr>
        </w:div>
        <w:div w:id="1509637099">
          <w:marLeft w:val="480"/>
          <w:marRight w:val="0"/>
          <w:marTop w:val="0"/>
          <w:marBottom w:val="0"/>
          <w:divBdr>
            <w:top w:val="none" w:sz="0" w:space="0" w:color="auto"/>
            <w:left w:val="none" w:sz="0" w:space="0" w:color="auto"/>
            <w:bottom w:val="none" w:sz="0" w:space="0" w:color="auto"/>
            <w:right w:val="none" w:sz="0" w:space="0" w:color="auto"/>
          </w:divBdr>
        </w:div>
        <w:div w:id="25256504">
          <w:marLeft w:val="480"/>
          <w:marRight w:val="0"/>
          <w:marTop w:val="0"/>
          <w:marBottom w:val="0"/>
          <w:divBdr>
            <w:top w:val="none" w:sz="0" w:space="0" w:color="auto"/>
            <w:left w:val="none" w:sz="0" w:space="0" w:color="auto"/>
            <w:bottom w:val="none" w:sz="0" w:space="0" w:color="auto"/>
            <w:right w:val="none" w:sz="0" w:space="0" w:color="auto"/>
          </w:divBdr>
        </w:div>
        <w:div w:id="746658681">
          <w:marLeft w:val="480"/>
          <w:marRight w:val="0"/>
          <w:marTop w:val="0"/>
          <w:marBottom w:val="0"/>
          <w:divBdr>
            <w:top w:val="none" w:sz="0" w:space="0" w:color="auto"/>
            <w:left w:val="none" w:sz="0" w:space="0" w:color="auto"/>
            <w:bottom w:val="none" w:sz="0" w:space="0" w:color="auto"/>
            <w:right w:val="none" w:sz="0" w:space="0" w:color="auto"/>
          </w:divBdr>
        </w:div>
        <w:div w:id="752236992">
          <w:marLeft w:val="480"/>
          <w:marRight w:val="0"/>
          <w:marTop w:val="0"/>
          <w:marBottom w:val="0"/>
          <w:divBdr>
            <w:top w:val="none" w:sz="0" w:space="0" w:color="auto"/>
            <w:left w:val="none" w:sz="0" w:space="0" w:color="auto"/>
            <w:bottom w:val="none" w:sz="0" w:space="0" w:color="auto"/>
            <w:right w:val="none" w:sz="0" w:space="0" w:color="auto"/>
          </w:divBdr>
        </w:div>
        <w:div w:id="1739939574">
          <w:marLeft w:val="480"/>
          <w:marRight w:val="0"/>
          <w:marTop w:val="0"/>
          <w:marBottom w:val="0"/>
          <w:divBdr>
            <w:top w:val="none" w:sz="0" w:space="0" w:color="auto"/>
            <w:left w:val="none" w:sz="0" w:space="0" w:color="auto"/>
            <w:bottom w:val="none" w:sz="0" w:space="0" w:color="auto"/>
            <w:right w:val="none" w:sz="0" w:space="0" w:color="auto"/>
          </w:divBdr>
        </w:div>
        <w:div w:id="1042245502">
          <w:marLeft w:val="480"/>
          <w:marRight w:val="0"/>
          <w:marTop w:val="0"/>
          <w:marBottom w:val="0"/>
          <w:divBdr>
            <w:top w:val="none" w:sz="0" w:space="0" w:color="auto"/>
            <w:left w:val="none" w:sz="0" w:space="0" w:color="auto"/>
            <w:bottom w:val="none" w:sz="0" w:space="0" w:color="auto"/>
            <w:right w:val="none" w:sz="0" w:space="0" w:color="auto"/>
          </w:divBdr>
        </w:div>
        <w:div w:id="1295913197">
          <w:marLeft w:val="480"/>
          <w:marRight w:val="0"/>
          <w:marTop w:val="0"/>
          <w:marBottom w:val="0"/>
          <w:divBdr>
            <w:top w:val="none" w:sz="0" w:space="0" w:color="auto"/>
            <w:left w:val="none" w:sz="0" w:space="0" w:color="auto"/>
            <w:bottom w:val="none" w:sz="0" w:space="0" w:color="auto"/>
            <w:right w:val="none" w:sz="0" w:space="0" w:color="auto"/>
          </w:divBdr>
        </w:div>
        <w:div w:id="299455683">
          <w:marLeft w:val="480"/>
          <w:marRight w:val="0"/>
          <w:marTop w:val="0"/>
          <w:marBottom w:val="0"/>
          <w:divBdr>
            <w:top w:val="none" w:sz="0" w:space="0" w:color="auto"/>
            <w:left w:val="none" w:sz="0" w:space="0" w:color="auto"/>
            <w:bottom w:val="none" w:sz="0" w:space="0" w:color="auto"/>
            <w:right w:val="none" w:sz="0" w:space="0" w:color="auto"/>
          </w:divBdr>
        </w:div>
        <w:div w:id="1274706633">
          <w:marLeft w:val="480"/>
          <w:marRight w:val="0"/>
          <w:marTop w:val="0"/>
          <w:marBottom w:val="0"/>
          <w:divBdr>
            <w:top w:val="none" w:sz="0" w:space="0" w:color="auto"/>
            <w:left w:val="none" w:sz="0" w:space="0" w:color="auto"/>
            <w:bottom w:val="none" w:sz="0" w:space="0" w:color="auto"/>
            <w:right w:val="none" w:sz="0" w:space="0" w:color="auto"/>
          </w:divBdr>
        </w:div>
        <w:div w:id="1104887233">
          <w:marLeft w:val="480"/>
          <w:marRight w:val="0"/>
          <w:marTop w:val="0"/>
          <w:marBottom w:val="0"/>
          <w:divBdr>
            <w:top w:val="none" w:sz="0" w:space="0" w:color="auto"/>
            <w:left w:val="none" w:sz="0" w:space="0" w:color="auto"/>
            <w:bottom w:val="none" w:sz="0" w:space="0" w:color="auto"/>
            <w:right w:val="none" w:sz="0" w:space="0" w:color="auto"/>
          </w:divBdr>
        </w:div>
        <w:div w:id="1376807802">
          <w:marLeft w:val="480"/>
          <w:marRight w:val="0"/>
          <w:marTop w:val="0"/>
          <w:marBottom w:val="0"/>
          <w:divBdr>
            <w:top w:val="none" w:sz="0" w:space="0" w:color="auto"/>
            <w:left w:val="none" w:sz="0" w:space="0" w:color="auto"/>
            <w:bottom w:val="none" w:sz="0" w:space="0" w:color="auto"/>
            <w:right w:val="none" w:sz="0" w:space="0" w:color="auto"/>
          </w:divBdr>
        </w:div>
        <w:div w:id="149445787">
          <w:marLeft w:val="480"/>
          <w:marRight w:val="0"/>
          <w:marTop w:val="0"/>
          <w:marBottom w:val="0"/>
          <w:divBdr>
            <w:top w:val="none" w:sz="0" w:space="0" w:color="auto"/>
            <w:left w:val="none" w:sz="0" w:space="0" w:color="auto"/>
            <w:bottom w:val="none" w:sz="0" w:space="0" w:color="auto"/>
            <w:right w:val="none" w:sz="0" w:space="0" w:color="auto"/>
          </w:divBdr>
        </w:div>
        <w:div w:id="569510124">
          <w:marLeft w:val="480"/>
          <w:marRight w:val="0"/>
          <w:marTop w:val="0"/>
          <w:marBottom w:val="0"/>
          <w:divBdr>
            <w:top w:val="none" w:sz="0" w:space="0" w:color="auto"/>
            <w:left w:val="none" w:sz="0" w:space="0" w:color="auto"/>
            <w:bottom w:val="none" w:sz="0" w:space="0" w:color="auto"/>
            <w:right w:val="none" w:sz="0" w:space="0" w:color="auto"/>
          </w:divBdr>
        </w:div>
        <w:div w:id="1158109911">
          <w:marLeft w:val="480"/>
          <w:marRight w:val="0"/>
          <w:marTop w:val="0"/>
          <w:marBottom w:val="0"/>
          <w:divBdr>
            <w:top w:val="none" w:sz="0" w:space="0" w:color="auto"/>
            <w:left w:val="none" w:sz="0" w:space="0" w:color="auto"/>
            <w:bottom w:val="none" w:sz="0" w:space="0" w:color="auto"/>
            <w:right w:val="none" w:sz="0" w:space="0" w:color="auto"/>
          </w:divBdr>
        </w:div>
      </w:divsChild>
    </w:div>
    <w:div w:id="1078674113">
      <w:bodyDiv w:val="1"/>
      <w:marLeft w:val="0"/>
      <w:marRight w:val="0"/>
      <w:marTop w:val="0"/>
      <w:marBottom w:val="0"/>
      <w:divBdr>
        <w:top w:val="none" w:sz="0" w:space="0" w:color="auto"/>
        <w:left w:val="none" w:sz="0" w:space="0" w:color="auto"/>
        <w:bottom w:val="none" w:sz="0" w:space="0" w:color="auto"/>
        <w:right w:val="none" w:sz="0" w:space="0" w:color="auto"/>
      </w:divBdr>
    </w:div>
    <w:div w:id="1129086331">
      <w:bodyDiv w:val="1"/>
      <w:marLeft w:val="0"/>
      <w:marRight w:val="0"/>
      <w:marTop w:val="0"/>
      <w:marBottom w:val="0"/>
      <w:divBdr>
        <w:top w:val="none" w:sz="0" w:space="0" w:color="auto"/>
        <w:left w:val="none" w:sz="0" w:space="0" w:color="auto"/>
        <w:bottom w:val="none" w:sz="0" w:space="0" w:color="auto"/>
        <w:right w:val="none" w:sz="0" w:space="0" w:color="auto"/>
      </w:divBdr>
    </w:div>
    <w:div w:id="1203395513">
      <w:bodyDiv w:val="1"/>
      <w:marLeft w:val="0"/>
      <w:marRight w:val="0"/>
      <w:marTop w:val="0"/>
      <w:marBottom w:val="0"/>
      <w:divBdr>
        <w:top w:val="none" w:sz="0" w:space="0" w:color="auto"/>
        <w:left w:val="none" w:sz="0" w:space="0" w:color="auto"/>
        <w:bottom w:val="none" w:sz="0" w:space="0" w:color="auto"/>
        <w:right w:val="none" w:sz="0" w:space="0" w:color="auto"/>
      </w:divBdr>
    </w:div>
    <w:div w:id="1292325007">
      <w:bodyDiv w:val="1"/>
      <w:marLeft w:val="0"/>
      <w:marRight w:val="0"/>
      <w:marTop w:val="0"/>
      <w:marBottom w:val="0"/>
      <w:divBdr>
        <w:top w:val="none" w:sz="0" w:space="0" w:color="auto"/>
        <w:left w:val="none" w:sz="0" w:space="0" w:color="auto"/>
        <w:bottom w:val="none" w:sz="0" w:space="0" w:color="auto"/>
        <w:right w:val="none" w:sz="0" w:space="0" w:color="auto"/>
      </w:divBdr>
    </w:div>
    <w:div w:id="1371762328">
      <w:bodyDiv w:val="1"/>
      <w:marLeft w:val="0"/>
      <w:marRight w:val="0"/>
      <w:marTop w:val="0"/>
      <w:marBottom w:val="0"/>
      <w:divBdr>
        <w:top w:val="none" w:sz="0" w:space="0" w:color="auto"/>
        <w:left w:val="none" w:sz="0" w:space="0" w:color="auto"/>
        <w:bottom w:val="none" w:sz="0" w:space="0" w:color="auto"/>
        <w:right w:val="none" w:sz="0" w:space="0" w:color="auto"/>
      </w:divBdr>
    </w:div>
    <w:div w:id="1562868771">
      <w:bodyDiv w:val="1"/>
      <w:marLeft w:val="0"/>
      <w:marRight w:val="0"/>
      <w:marTop w:val="0"/>
      <w:marBottom w:val="0"/>
      <w:divBdr>
        <w:top w:val="none" w:sz="0" w:space="0" w:color="auto"/>
        <w:left w:val="none" w:sz="0" w:space="0" w:color="auto"/>
        <w:bottom w:val="none" w:sz="0" w:space="0" w:color="auto"/>
        <w:right w:val="none" w:sz="0" w:space="0" w:color="auto"/>
      </w:divBdr>
      <w:divsChild>
        <w:div w:id="1319306067">
          <w:marLeft w:val="480"/>
          <w:marRight w:val="0"/>
          <w:marTop w:val="0"/>
          <w:marBottom w:val="0"/>
          <w:divBdr>
            <w:top w:val="none" w:sz="0" w:space="0" w:color="auto"/>
            <w:left w:val="none" w:sz="0" w:space="0" w:color="auto"/>
            <w:bottom w:val="none" w:sz="0" w:space="0" w:color="auto"/>
            <w:right w:val="none" w:sz="0" w:space="0" w:color="auto"/>
          </w:divBdr>
        </w:div>
        <w:div w:id="482938048">
          <w:marLeft w:val="480"/>
          <w:marRight w:val="0"/>
          <w:marTop w:val="0"/>
          <w:marBottom w:val="0"/>
          <w:divBdr>
            <w:top w:val="none" w:sz="0" w:space="0" w:color="auto"/>
            <w:left w:val="none" w:sz="0" w:space="0" w:color="auto"/>
            <w:bottom w:val="none" w:sz="0" w:space="0" w:color="auto"/>
            <w:right w:val="none" w:sz="0" w:space="0" w:color="auto"/>
          </w:divBdr>
        </w:div>
        <w:div w:id="1356618932">
          <w:marLeft w:val="480"/>
          <w:marRight w:val="0"/>
          <w:marTop w:val="0"/>
          <w:marBottom w:val="0"/>
          <w:divBdr>
            <w:top w:val="none" w:sz="0" w:space="0" w:color="auto"/>
            <w:left w:val="none" w:sz="0" w:space="0" w:color="auto"/>
            <w:bottom w:val="none" w:sz="0" w:space="0" w:color="auto"/>
            <w:right w:val="none" w:sz="0" w:space="0" w:color="auto"/>
          </w:divBdr>
        </w:div>
        <w:div w:id="707804693">
          <w:marLeft w:val="480"/>
          <w:marRight w:val="0"/>
          <w:marTop w:val="0"/>
          <w:marBottom w:val="0"/>
          <w:divBdr>
            <w:top w:val="none" w:sz="0" w:space="0" w:color="auto"/>
            <w:left w:val="none" w:sz="0" w:space="0" w:color="auto"/>
            <w:bottom w:val="none" w:sz="0" w:space="0" w:color="auto"/>
            <w:right w:val="none" w:sz="0" w:space="0" w:color="auto"/>
          </w:divBdr>
        </w:div>
        <w:div w:id="304897839">
          <w:marLeft w:val="480"/>
          <w:marRight w:val="0"/>
          <w:marTop w:val="0"/>
          <w:marBottom w:val="0"/>
          <w:divBdr>
            <w:top w:val="none" w:sz="0" w:space="0" w:color="auto"/>
            <w:left w:val="none" w:sz="0" w:space="0" w:color="auto"/>
            <w:bottom w:val="none" w:sz="0" w:space="0" w:color="auto"/>
            <w:right w:val="none" w:sz="0" w:space="0" w:color="auto"/>
          </w:divBdr>
        </w:div>
        <w:div w:id="966661484">
          <w:marLeft w:val="480"/>
          <w:marRight w:val="0"/>
          <w:marTop w:val="0"/>
          <w:marBottom w:val="0"/>
          <w:divBdr>
            <w:top w:val="none" w:sz="0" w:space="0" w:color="auto"/>
            <w:left w:val="none" w:sz="0" w:space="0" w:color="auto"/>
            <w:bottom w:val="none" w:sz="0" w:space="0" w:color="auto"/>
            <w:right w:val="none" w:sz="0" w:space="0" w:color="auto"/>
          </w:divBdr>
        </w:div>
        <w:div w:id="947547197">
          <w:marLeft w:val="480"/>
          <w:marRight w:val="0"/>
          <w:marTop w:val="0"/>
          <w:marBottom w:val="0"/>
          <w:divBdr>
            <w:top w:val="none" w:sz="0" w:space="0" w:color="auto"/>
            <w:left w:val="none" w:sz="0" w:space="0" w:color="auto"/>
            <w:bottom w:val="none" w:sz="0" w:space="0" w:color="auto"/>
            <w:right w:val="none" w:sz="0" w:space="0" w:color="auto"/>
          </w:divBdr>
        </w:div>
        <w:div w:id="310451352">
          <w:marLeft w:val="480"/>
          <w:marRight w:val="0"/>
          <w:marTop w:val="0"/>
          <w:marBottom w:val="0"/>
          <w:divBdr>
            <w:top w:val="none" w:sz="0" w:space="0" w:color="auto"/>
            <w:left w:val="none" w:sz="0" w:space="0" w:color="auto"/>
            <w:bottom w:val="none" w:sz="0" w:space="0" w:color="auto"/>
            <w:right w:val="none" w:sz="0" w:space="0" w:color="auto"/>
          </w:divBdr>
        </w:div>
        <w:div w:id="1296906432">
          <w:marLeft w:val="480"/>
          <w:marRight w:val="0"/>
          <w:marTop w:val="0"/>
          <w:marBottom w:val="0"/>
          <w:divBdr>
            <w:top w:val="none" w:sz="0" w:space="0" w:color="auto"/>
            <w:left w:val="none" w:sz="0" w:space="0" w:color="auto"/>
            <w:bottom w:val="none" w:sz="0" w:space="0" w:color="auto"/>
            <w:right w:val="none" w:sz="0" w:space="0" w:color="auto"/>
          </w:divBdr>
        </w:div>
        <w:div w:id="155809456">
          <w:marLeft w:val="480"/>
          <w:marRight w:val="0"/>
          <w:marTop w:val="0"/>
          <w:marBottom w:val="0"/>
          <w:divBdr>
            <w:top w:val="none" w:sz="0" w:space="0" w:color="auto"/>
            <w:left w:val="none" w:sz="0" w:space="0" w:color="auto"/>
            <w:bottom w:val="none" w:sz="0" w:space="0" w:color="auto"/>
            <w:right w:val="none" w:sz="0" w:space="0" w:color="auto"/>
          </w:divBdr>
        </w:div>
        <w:div w:id="1849253542">
          <w:marLeft w:val="480"/>
          <w:marRight w:val="0"/>
          <w:marTop w:val="0"/>
          <w:marBottom w:val="0"/>
          <w:divBdr>
            <w:top w:val="none" w:sz="0" w:space="0" w:color="auto"/>
            <w:left w:val="none" w:sz="0" w:space="0" w:color="auto"/>
            <w:bottom w:val="none" w:sz="0" w:space="0" w:color="auto"/>
            <w:right w:val="none" w:sz="0" w:space="0" w:color="auto"/>
          </w:divBdr>
        </w:div>
        <w:div w:id="587226582">
          <w:marLeft w:val="480"/>
          <w:marRight w:val="0"/>
          <w:marTop w:val="0"/>
          <w:marBottom w:val="0"/>
          <w:divBdr>
            <w:top w:val="none" w:sz="0" w:space="0" w:color="auto"/>
            <w:left w:val="none" w:sz="0" w:space="0" w:color="auto"/>
            <w:bottom w:val="none" w:sz="0" w:space="0" w:color="auto"/>
            <w:right w:val="none" w:sz="0" w:space="0" w:color="auto"/>
          </w:divBdr>
        </w:div>
        <w:div w:id="875503499">
          <w:marLeft w:val="480"/>
          <w:marRight w:val="0"/>
          <w:marTop w:val="0"/>
          <w:marBottom w:val="0"/>
          <w:divBdr>
            <w:top w:val="none" w:sz="0" w:space="0" w:color="auto"/>
            <w:left w:val="none" w:sz="0" w:space="0" w:color="auto"/>
            <w:bottom w:val="none" w:sz="0" w:space="0" w:color="auto"/>
            <w:right w:val="none" w:sz="0" w:space="0" w:color="auto"/>
          </w:divBdr>
        </w:div>
        <w:div w:id="803348456">
          <w:marLeft w:val="480"/>
          <w:marRight w:val="0"/>
          <w:marTop w:val="0"/>
          <w:marBottom w:val="0"/>
          <w:divBdr>
            <w:top w:val="none" w:sz="0" w:space="0" w:color="auto"/>
            <w:left w:val="none" w:sz="0" w:space="0" w:color="auto"/>
            <w:bottom w:val="none" w:sz="0" w:space="0" w:color="auto"/>
            <w:right w:val="none" w:sz="0" w:space="0" w:color="auto"/>
          </w:divBdr>
        </w:div>
        <w:div w:id="856575221">
          <w:marLeft w:val="480"/>
          <w:marRight w:val="0"/>
          <w:marTop w:val="0"/>
          <w:marBottom w:val="0"/>
          <w:divBdr>
            <w:top w:val="none" w:sz="0" w:space="0" w:color="auto"/>
            <w:left w:val="none" w:sz="0" w:space="0" w:color="auto"/>
            <w:bottom w:val="none" w:sz="0" w:space="0" w:color="auto"/>
            <w:right w:val="none" w:sz="0" w:space="0" w:color="auto"/>
          </w:divBdr>
        </w:div>
        <w:div w:id="677122387">
          <w:marLeft w:val="480"/>
          <w:marRight w:val="0"/>
          <w:marTop w:val="0"/>
          <w:marBottom w:val="0"/>
          <w:divBdr>
            <w:top w:val="none" w:sz="0" w:space="0" w:color="auto"/>
            <w:left w:val="none" w:sz="0" w:space="0" w:color="auto"/>
            <w:bottom w:val="none" w:sz="0" w:space="0" w:color="auto"/>
            <w:right w:val="none" w:sz="0" w:space="0" w:color="auto"/>
          </w:divBdr>
        </w:div>
        <w:div w:id="1414353891">
          <w:marLeft w:val="480"/>
          <w:marRight w:val="0"/>
          <w:marTop w:val="0"/>
          <w:marBottom w:val="0"/>
          <w:divBdr>
            <w:top w:val="none" w:sz="0" w:space="0" w:color="auto"/>
            <w:left w:val="none" w:sz="0" w:space="0" w:color="auto"/>
            <w:bottom w:val="none" w:sz="0" w:space="0" w:color="auto"/>
            <w:right w:val="none" w:sz="0" w:space="0" w:color="auto"/>
          </w:divBdr>
        </w:div>
        <w:div w:id="1869835719">
          <w:marLeft w:val="480"/>
          <w:marRight w:val="0"/>
          <w:marTop w:val="0"/>
          <w:marBottom w:val="0"/>
          <w:divBdr>
            <w:top w:val="none" w:sz="0" w:space="0" w:color="auto"/>
            <w:left w:val="none" w:sz="0" w:space="0" w:color="auto"/>
            <w:bottom w:val="none" w:sz="0" w:space="0" w:color="auto"/>
            <w:right w:val="none" w:sz="0" w:space="0" w:color="auto"/>
          </w:divBdr>
        </w:div>
        <w:div w:id="854879433">
          <w:marLeft w:val="480"/>
          <w:marRight w:val="0"/>
          <w:marTop w:val="0"/>
          <w:marBottom w:val="0"/>
          <w:divBdr>
            <w:top w:val="none" w:sz="0" w:space="0" w:color="auto"/>
            <w:left w:val="none" w:sz="0" w:space="0" w:color="auto"/>
            <w:bottom w:val="none" w:sz="0" w:space="0" w:color="auto"/>
            <w:right w:val="none" w:sz="0" w:space="0" w:color="auto"/>
          </w:divBdr>
        </w:div>
        <w:div w:id="1750351539">
          <w:marLeft w:val="480"/>
          <w:marRight w:val="0"/>
          <w:marTop w:val="0"/>
          <w:marBottom w:val="0"/>
          <w:divBdr>
            <w:top w:val="none" w:sz="0" w:space="0" w:color="auto"/>
            <w:left w:val="none" w:sz="0" w:space="0" w:color="auto"/>
            <w:bottom w:val="none" w:sz="0" w:space="0" w:color="auto"/>
            <w:right w:val="none" w:sz="0" w:space="0" w:color="auto"/>
          </w:divBdr>
        </w:div>
      </w:divsChild>
    </w:div>
    <w:div w:id="1737389969">
      <w:bodyDiv w:val="1"/>
      <w:marLeft w:val="0"/>
      <w:marRight w:val="0"/>
      <w:marTop w:val="0"/>
      <w:marBottom w:val="0"/>
      <w:divBdr>
        <w:top w:val="none" w:sz="0" w:space="0" w:color="auto"/>
        <w:left w:val="none" w:sz="0" w:space="0" w:color="auto"/>
        <w:bottom w:val="none" w:sz="0" w:space="0" w:color="auto"/>
        <w:right w:val="none" w:sz="0" w:space="0" w:color="auto"/>
      </w:divBdr>
    </w:div>
    <w:div w:id="1888757932">
      <w:bodyDiv w:val="1"/>
      <w:marLeft w:val="0"/>
      <w:marRight w:val="0"/>
      <w:marTop w:val="0"/>
      <w:marBottom w:val="0"/>
      <w:divBdr>
        <w:top w:val="none" w:sz="0" w:space="0" w:color="auto"/>
        <w:left w:val="none" w:sz="0" w:space="0" w:color="auto"/>
        <w:bottom w:val="none" w:sz="0" w:space="0" w:color="auto"/>
        <w:right w:val="none" w:sz="0" w:space="0" w:color="auto"/>
      </w:divBdr>
    </w:div>
    <w:div w:id="1906605879">
      <w:bodyDiv w:val="1"/>
      <w:marLeft w:val="0"/>
      <w:marRight w:val="0"/>
      <w:marTop w:val="0"/>
      <w:marBottom w:val="0"/>
      <w:divBdr>
        <w:top w:val="none" w:sz="0" w:space="0" w:color="auto"/>
        <w:left w:val="none" w:sz="0" w:space="0" w:color="auto"/>
        <w:bottom w:val="none" w:sz="0" w:space="0" w:color="auto"/>
        <w:right w:val="none" w:sz="0" w:space="0" w:color="auto"/>
      </w:divBdr>
    </w:div>
    <w:div w:id="1999848250">
      <w:bodyDiv w:val="1"/>
      <w:marLeft w:val="0"/>
      <w:marRight w:val="0"/>
      <w:marTop w:val="0"/>
      <w:marBottom w:val="0"/>
      <w:divBdr>
        <w:top w:val="none" w:sz="0" w:space="0" w:color="auto"/>
        <w:left w:val="none" w:sz="0" w:space="0" w:color="auto"/>
        <w:bottom w:val="none" w:sz="0" w:space="0" w:color="auto"/>
        <w:right w:val="none" w:sz="0" w:space="0" w:color="auto"/>
      </w:divBdr>
      <w:divsChild>
        <w:div w:id="1056703990">
          <w:marLeft w:val="480"/>
          <w:marRight w:val="0"/>
          <w:marTop w:val="0"/>
          <w:marBottom w:val="0"/>
          <w:divBdr>
            <w:top w:val="none" w:sz="0" w:space="0" w:color="auto"/>
            <w:left w:val="none" w:sz="0" w:space="0" w:color="auto"/>
            <w:bottom w:val="none" w:sz="0" w:space="0" w:color="auto"/>
            <w:right w:val="none" w:sz="0" w:space="0" w:color="auto"/>
          </w:divBdr>
        </w:div>
        <w:div w:id="301693128">
          <w:marLeft w:val="480"/>
          <w:marRight w:val="0"/>
          <w:marTop w:val="0"/>
          <w:marBottom w:val="0"/>
          <w:divBdr>
            <w:top w:val="none" w:sz="0" w:space="0" w:color="auto"/>
            <w:left w:val="none" w:sz="0" w:space="0" w:color="auto"/>
            <w:bottom w:val="none" w:sz="0" w:space="0" w:color="auto"/>
            <w:right w:val="none" w:sz="0" w:space="0" w:color="auto"/>
          </w:divBdr>
        </w:div>
        <w:div w:id="635961542">
          <w:marLeft w:val="480"/>
          <w:marRight w:val="0"/>
          <w:marTop w:val="0"/>
          <w:marBottom w:val="0"/>
          <w:divBdr>
            <w:top w:val="none" w:sz="0" w:space="0" w:color="auto"/>
            <w:left w:val="none" w:sz="0" w:space="0" w:color="auto"/>
            <w:bottom w:val="none" w:sz="0" w:space="0" w:color="auto"/>
            <w:right w:val="none" w:sz="0" w:space="0" w:color="auto"/>
          </w:divBdr>
        </w:div>
        <w:div w:id="1610312558">
          <w:marLeft w:val="480"/>
          <w:marRight w:val="0"/>
          <w:marTop w:val="0"/>
          <w:marBottom w:val="0"/>
          <w:divBdr>
            <w:top w:val="none" w:sz="0" w:space="0" w:color="auto"/>
            <w:left w:val="none" w:sz="0" w:space="0" w:color="auto"/>
            <w:bottom w:val="none" w:sz="0" w:space="0" w:color="auto"/>
            <w:right w:val="none" w:sz="0" w:space="0" w:color="auto"/>
          </w:divBdr>
        </w:div>
        <w:div w:id="585960016">
          <w:marLeft w:val="480"/>
          <w:marRight w:val="0"/>
          <w:marTop w:val="0"/>
          <w:marBottom w:val="0"/>
          <w:divBdr>
            <w:top w:val="none" w:sz="0" w:space="0" w:color="auto"/>
            <w:left w:val="none" w:sz="0" w:space="0" w:color="auto"/>
            <w:bottom w:val="none" w:sz="0" w:space="0" w:color="auto"/>
            <w:right w:val="none" w:sz="0" w:space="0" w:color="auto"/>
          </w:divBdr>
        </w:div>
        <w:div w:id="1344359868">
          <w:marLeft w:val="480"/>
          <w:marRight w:val="0"/>
          <w:marTop w:val="0"/>
          <w:marBottom w:val="0"/>
          <w:divBdr>
            <w:top w:val="none" w:sz="0" w:space="0" w:color="auto"/>
            <w:left w:val="none" w:sz="0" w:space="0" w:color="auto"/>
            <w:bottom w:val="none" w:sz="0" w:space="0" w:color="auto"/>
            <w:right w:val="none" w:sz="0" w:space="0" w:color="auto"/>
          </w:divBdr>
        </w:div>
        <w:div w:id="1725448339">
          <w:marLeft w:val="480"/>
          <w:marRight w:val="0"/>
          <w:marTop w:val="0"/>
          <w:marBottom w:val="0"/>
          <w:divBdr>
            <w:top w:val="none" w:sz="0" w:space="0" w:color="auto"/>
            <w:left w:val="none" w:sz="0" w:space="0" w:color="auto"/>
            <w:bottom w:val="none" w:sz="0" w:space="0" w:color="auto"/>
            <w:right w:val="none" w:sz="0" w:space="0" w:color="auto"/>
          </w:divBdr>
        </w:div>
        <w:div w:id="985818360">
          <w:marLeft w:val="480"/>
          <w:marRight w:val="0"/>
          <w:marTop w:val="0"/>
          <w:marBottom w:val="0"/>
          <w:divBdr>
            <w:top w:val="none" w:sz="0" w:space="0" w:color="auto"/>
            <w:left w:val="none" w:sz="0" w:space="0" w:color="auto"/>
            <w:bottom w:val="none" w:sz="0" w:space="0" w:color="auto"/>
            <w:right w:val="none" w:sz="0" w:space="0" w:color="auto"/>
          </w:divBdr>
        </w:div>
        <w:div w:id="1834253797">
          <w:marLeft w:val="480"/>
          <w:marRight w:val="0"/>
          <w:marTop w:val="0"/>
          <w:marBottom w:val="0"/>
          <w:divBdr>
            <w:top w:val="none" w:sz="0" w:space="0" w:color="auto"/>
            <w:left w:val="none" w:sz="0" w:space="0" w:color="auto"/>
            <w:bottom w:val="none" w:sz="0" w:space="0" w:color="auto"/>
            <w:right w:val="none" w:sz="0" w:space="0" w:color="auto"/>
          </w:divBdr>
        </w:div>
        <w:div w:id="54008594">
          <w:marLeft w:val="480"/>
          <w:marRight w:val="0"/>
          <w:marTop w:val="0"/>
          <w:marBottom w:val="0"/>
          <w:divBdr>
            <w:top w:val="none" w:sz="0" w:space="0" w:color="auto"/>
            <w:left w:val="none" w:sz="0" w:space="0" w:color="auto"/>
            <w:bottom w:val="none" w:sz="0" w:space="0" w:color="auto"/>
            <w:right w:val="none" w:sz="0" w:space="0" w:color="auto"/>
          </w:divBdr>
        </w:div>
        <w:div w:id="21908931">
          <w:marLeft w:val="480"/>
          <w:marRight w:val="0"/>
          <w:marTop w:val="0"/>
          <w:marBottom w:val="0"/>
          <w:divBdr>
            <w:top w:val="none" w:sz="0" w:space="0" w:color="auto"/>
            <w:left w:val="none" w:sz="0" w:space="0" w:color="auto"/>
            <w:bottom w:val="none" w:sz="0" w:space="0" w:color="auto"/>
            <w:right w:val="none" w:sz="0" w:space="0" w:color="auto"/>
          </w:divBdr>
        </w:div>
        <w:div w:id="988023174">
          <w:marLeft w:val="480"/>
          <w:marRight w:val="0"/>
          <w:marTop w:val="0"/>
          <w:marBottom w:val="0"/>
          <w:divBdr>
            <w:top w:val="none" w:sz="0" w:space="0" w:color="auto"/>
            <w:left w:val="none" w:sz="0" w:space="0" w:color="auto"/>
            <w:bottom w:val="none" w:sz="0" w:space="0" w:color="auto"/>
            <w:right w:val="none" w:sz="0" w:space="0" w:color="auto"/>
          </w:divBdr>
        </w:div>
        <w:div w:id="1756902065">
          <w:marLeft w:val="480"/>
          <w:marRight w:val="0"/>
          <w:marTop w:val="0"/>
          <w:marBottom w:val="0"/>
          <w:divBdr>
            <w:top w:val="none" w:sz="0" w:space="0" w:color="auto"/>
            <w:left w:val="none" w:sz="0" w:space="0" w:color="auto"/>
            <w:bottom w:val="none" w:sz="0" w:space="0" w:color="auto"/>
            <w:right w:val="none" w:sz="0" w:space="0" w:color="auto"/>
          </w:divBdr>
        </w:div>
        <w:div w:id="2130052403">
          <w:marLeft w:val="480"/>
          <w:marRight w:val="0"/>
          <w:marTop w:val="0"/>
          <w:marBottom w:val="0"/>
          <w:divBdr>
            <w:top w:val="none" w:sz="0" w:space="0" w:color="auto"/>
            <w:left w:val="none" w:sz="0" w:space="0" w:color="auto"/>
            <w:bottom w:val="none" w:sz="0" w:space="0" w:color="auto"/>
            <w:right w:val="none" w:sz="0" w:space="0" w:color="auto"/>
          </w:divBdr>
        </w:div>
        <w:div w:id="1436553897">
          <w:marLeft w:val="480"/>
          <w:marRight w:val="0"/>
          <w:marTop w:val="0"/>
          <w:marBottom w:val="0"/>
          <w:divBdr>
            <w:top w:val="none" w:sz="0" w:space="0" w:color="auto"/>
            <w:left w:val="none" w:sz="0" w:space="0" w:color="auto"/>
            <w:bottom w:val="none" w:sz="0" w:space="0" w:color="auto"/>
            <w:right w:val="none" w:sz="0" w:space="0" w:color="auto"/>
          </w:divBdr>
        </w:div>
        <w:div w:id="1204291933">
          <w:marLeft w:val="480"/>
          <w:marRight w:val="0"/>
          <w:marTop w:val="0"/>
          <w:marBottom w:val="0"/>
          <w:divBdr>
            <w:top w:val="none" w:sz="0" w:space="0" w:color="auto"/>
            <w:left w:val="none" w:sz="0" w:space="0" w:color="auto"/>
            <w:bottom w:val="none" w:sz="0" w:space="0" w:color="auto"/>
            <w:right w:val="none" w:sz="0" w:space="0" w:color="auto"/>
          </w:divBdr>
        </w:div>
        <w:div w:id="155583911">
          <w:marLeft w:val="480"/>
          <w:marRight w:val="0"/>
          <w:marTop w:val="0"/>
          <w:marBottom w:val="0"/>
          <w:divBdr>
            <w:top w:val="none" w:sz="0" w:space="0" w:color="auto"/>
            <w:left w:val="none" w:sz="0" w:space="0" w:color="auto"/>
            <w:bottom w:val="none" w:sz="0" w:space="0" w:color="auto"/>
            <w:right w:val="none" w:sz="0" w:space="0" w:color="auto"/>
          </w:divBdr>
        </w:div>
        <w:div w:id="639576375">
          <w:marLeft w:val="480"/>
          <w:marRight w:val="0"/>
          <w:marTop w:val="0"/>
          <w:marBottom w:val="0"/>
          <w:divBdr>
            <w:top w:val="none" w:sz="0" w:space="0" w:color="auto"/>
            <w:left w:val="none" w:sz="0" w:space="0" w:color="auto"/>
            <w:bottom w:val="none" w:sz="0" w:space="0" w:color="auto"/>
            <w:right w:val="none" w:sz="0" w:space="0" w:color="auto"/>
          </w:divBdr>
        </w:div>
        <w:div w:id="598484061">
          <w:marLeft w:val="480"/>
          <w:marRight w:val="0"/>
          <w:marTop w:val="0"/>
          <w:marBottom w:val="0"/>
          <w:divBdr>
            <w:top w:val="none" w:sz="0" w:space="0" w:color="auto"/>
            <w:left w:val="none" w:sz="0" w:space="0" w:color="auto"/>
            <w:bottom w:val="none" w:sz="0" w:space="0" w:color="auto"/>
            <w:right w:val="none" w:sz="0" w:space="0" w:color="auto"/>
          </w:divBdr>
        </w:div>
        <w:div w:id="260190733">
          <w:marLeft w:val="480"/>
          <w:marRight w:val="0"/>
          <w:marTop w:val="0"/>
          <w:marBottom w:val="0"/>
          <w:divBdr>
            <w:top w:val="none" w:sz="0" w:space="0" w:color="auto"/>
            <w:left w:val="none" w:sz="0" w:space="0" w:color="auto"/>
            <w:bottom w:val="none" w:sz="0" w:space="0" w:color="auto"/>
            <w:right w:val="none" w:sz="0" w:space="0" w:color="auto"/>
          </w:divBdr>
        </w:div>
      </w:divsChild>
    </w:div>
    <w:div w:id="2000496557">
      <w:bodyDiv w:val="1"/>
      <w:marLeft w:val="0"/>
      <w:marRight w:val="0"/>
      <w:marTop w:val="0"/>
      <w:marBottom w:val="0"/>
      <w:divBdr>
        <w:top w:val="none" w:sz="0" w:space="0" w:color="auto"/>
        <w:left w:val="none" w:sz="0" w:space="0" w:color="auto"/>
        <w:bottom w:val="none" w:sz="0" w:space="0" w:color="auto"/>
        <w:right w:val="none" w:sz="0" w:space="0" w:color="auto"/>
      </w:divBdr>
    </w:div>
    <w:div w:id="212352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chart" Target="charts/chart5.xml"/><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CS\Downloads\Research%20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CS\Downloads\XLSTA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CS\Downloads\XLSTA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CS\Downloads\XLSTA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PCS\Downloads\XLSTA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Sheet1!$C$15</c:f>
              <c:strCache>
                <c:ptCount val="1"/>
                <c:pt idx="0">
                  <c:v>Sandy soil</c:v>
                </c:pt>
              </c:strCache>
            </c:strRef>
          </c:tx>
          <c:spPr>
            <a:solidFill>
              <a:schemeClr val="accent1"/>
            </a:solidFill>
            <a:ln>
              <a:noFill/>
            </a:ln>
            <a:effectLst/>
            <a:sp3d/>
          </c:spPr>
          <c:invertIfNegative val="0"/>
          <c:cat>
            <c:numRef>
              <c:f>Sheet1!$B$16:$B$25</c:f>
              <c:numCache>
                <c:formatCode>General</c:formatCode>
                <c:ptCount val="10"/>
                <c:pt idx="0">
                  <c:v>10</c:v>
                </c:pt>
                <c:pt idx="1">
                  <c:v>15</c:v>
                </c:pt>
                <c:pt idx="2">
                  <c:v>20</c:v>
                </c:pt>
                <c:pt idx="3">
                  <c:v>25</c:v>
                </c:pt>
                <c:pt idx="4">
                  <c:v>30</c:v>
                </c:pt>
                <c:pt idx="5">
                  <c:v>35</c:v>
                </c:pt>
                <c:pt idx="6">
                  <c:v>40</c:v>
                </c:pt>
                <c:pt idx="7">
                  <c:v>45</c:v>
                </c:pt>
                <c:pt idx="8">
                  <c:v>50</c:v>
                </c:pt>
                <c:pt idx="9">
                  <c:v>55</c:v>
                </c:pt>
              </c:numCache>
            </c:numRef>
          </c:cat>
          <c:val>
            <c:numRef>
              <c:f>Sheet1!$C$16:$C$25</c:f>
              <c:numCache>
                <c:formatCode>0.00</c:formatCode>
                <c:ptCount val="10"/>
                <c:pt idx="0">
                  <c:v>0.2</c:v>
                </c:pt>
                <c:pt idx="1">
                  <c:v>0.625</c:v>
                </c:pt>
                <c:pt idx="2">
                  <c:v>0.38461538461538464</c:v>
                </c:pt>
                <c:pt idx="3">
                  <c:v>0.48076923076923078</c:v>
                </c:pt>
                <c:pt idx="4">
                  <c:v>0.30612244897959184</c:v>
                </c:pt>
                <c:pt idx="5">
                  <c:v>0.23333333333333334</c:v>
                </c:pt>
                <c:pt idx="6">
                  <c:v>0.29850746268656714</c:v>
                </c:pt>
                <c:pt idx="7">
                  <c:v>0.15625</c:v>
                </c:pt>
                <c:pt idx="8">
                  <c:v>0.10940919037199125</c:v>
                </c:pt>
                <c:pt idx="9">
                  <c:v>0.13285024154589373</c:v>
                </c:pt>
              </c:numCache>
            </c:numRef>
          </c:val>
          <c:extLst>
            <c:ext xmlns:c16="http://schemas.microsoft.com/office/drawing/2014/chart" uri="{C3380CC4-5D6E-409C-BE32-E72D297353CC}">
              <c16:uniqueId val="{00000000-777F-462D-846C-38ACF79BD7EA}"/>
            </c:ext>
          </c:extLst>
        </c:ser>
        <c:ser>
          <c:idx val="1"/>
          <c:order val="1"/>
          <c:tx>
            <c:strRef>
              <c:f>Sheet1!$D$15</c:f>
              <c:strCache>
                <c:ptCount val="1"/>
                <c:pt idx="0">
                  <c:v>Loamy soil</c:v>
                </c:pt>
              </c:strCache>
            </c:strRef>
          </c:tx>
          <c:spPr>
            <a:solidFill>
              <a:schemeClr val="accent2"/>
            </a:solidFill>
            <a:ln>
              <a:noFill/>
            </a:ln>
            <a:effectLst/>
            <a:sp3d/>
          </c:spPr>
          <c:invertIfNegative val="0"/>
          <c:cat>
            <c:numRef>
              <c:f>Sheet1!$B$16:$B$25</c:f>
              <c:numCache>
                <c:formatCode>General</c:formatCode>
                <c:ptCount val="10"/>
                <c:pt idx="0">
                  <c:v>10</c:v>
                </c:pt>
                <c:pt idx="1">
                  <c:v>15</c:v>
                </c:pt>
                <c:pt idx="2">
                  <c:v>20</c:v>
                </c:pt>
                <c:pt idx="3">
                  <c:v>25</c:v>
                </c:pt>
                <c:pt idx="4">
                  <c:v>30</c:v>
                </c:pt>
                <c:pt idx="5">
                  <c:v>35</c:v>
                </c:pt>
                <c:pt idx="6">
                  <c:v>40</c:v>
                </c:pt>
                <c:pt idx="7">
                  <c:v>45</c:v>
                </c:pt>
                <c:pt idx="8">
                  <c:v>50</c:v>
                </c:pt>
                <c:pt idx="9">
                  <c:v>55</c:v>
                </c:pt>
              </c:numCache>
            </c:numRef>
          </c:cat>
          <c:val>
            <c:numRef>
              <c:f>Sheet1!$D$16:$D$25</c:f>
              <c:numCache>
                <c:formatCode>0.00</c:formatCode>
                <c:ptCount val="10"/>
                <c:pt idx="0">
                  <c:v>0.10869565217391304</c:v>
                </c:pt>
                <c:pt idx="1">
                  <c:v>0.13513513513513514</c:v>
                </c:pt>
                <c:pt idx="2">
                  <c:v>0.1111111111111111</c:v>
                </c:pt>
                <c:pt idx="3">
                  <c:v>0.12315270935960591</c:v>
                </c:pt>
                <c:pt idx="4">
                  <c:v>0.10033444816053512</c:v>
                </c:pt>
                <c:pt idx="5">
                  <c:v>0.109375</c:v>
                </c:pt>
                <c:pt idx="6">
                  <c:v>9.5238095238095233E-2</c:v>
                </c:pt>
                <c:pt idx="7">
                  <c:v>0.11479591836734694</c:v>
                </c:pt>
                <c:pt idx="8">
                  <c:v>0.10395010395010396</c:v>
                </c:pt>
                <c:pt idx="9">
                  <c:v>0.12008733624454149</c:v>
                </c:pt>
              </c:numCache>
            </c:numRef>
          </c:val>
          <c:extLst>
            <c:ext xmlns:c16="http://schemas.microsoft.com/office/drawing/2014/chart" uri="{C3380CC4-5D6E-409C-BE32-E72D297353CC}">
              <c16:uniqueId val="{00000001-777F-462D-846C-38ACF79BD7EA}"/>
            </c:ext>
          </c:extLst>
        </c:ser>
        <c:dLbls>
          <c:showLegendKey val="0"/>
          <c:showVal val="0"/>
          <c:showCatName val="0"/>
          <c:showSerName val="0"/>
          <c:showPercent val="0"/>
          <c:showBubbleSize val="0"/>
        </c:dLbls>
        <c:gapWidth val="150"/>
        <c:shape val="box"/>
        <c:axId val="156526080"/>
        <c:axId val="156533888"/>
        <c:axId val="0"/>
      </c:bar3DChart>
      <c:catAx>
        <c:axId val="1565260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Soil</a:t>
                </a:r>
                <a:r>
                  <a:rPr lang="en-US" baseline="0"/>
                  <a:t> d</a:t>
                </a:r>
                <a:r>
                  <a:rPr lang="en-US"/>
                  <a:t>epth (cm)</a:t>
                </a:r>
              </a:p>
            </c:rich>
          </c:tx>
          <c:layout>
            <c:manualLayout>
              <c:xMode val="edge"/>
              <c:yMode val="edge"/>
              <c:x val="0.44963651274209354"/>
              <c:y val="0.85352255146261546"/>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533888"/>
        <c:crosses val="autoZero"/>
        <c:auto val="1"/>
        <c:lblAlgn val="ctr"/>
        <c:lblOffset val="100"/>
        <c:noMultiLvlLbl val="0"/>
      </c:catAx>
      <c:valAx>
        <c:axId val="1565338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Permeability</a:t>
                </a:r>
                <a:r>
                  <a:rPr lang="en-US" baseline="0"/>
                  <a:t> (cm/s)</a:t>
                </a:r>
                <a:endParaRPr lang="en-US"/>
              </a:p>
            </c:rich>
          </c:tx>
          <c:layout>
            <c:manualLayout>
              <c:xMode val="edge"/>
              <c:yMode val="edge"/>
              <c:x val="2.6972666004846491E-2"/>
              <c:y val="0.24557314747109424"/>
            </c:manualLayout>
          </c:layout>
          <c:overlay val="0"/>
          <c:spPr>
            <a:noFill/>
            <a:ln>
              <a:noFill/>
            </a:ln>
            <a:effectLst/>
          </c:sp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526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'Sandy soil data'!$D$1</c:f>
              <c:strCache>
                <c:ptCount val="1"/>
                <c:pt idx="0">
                  <c:v>Concentration at the surface</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'Sandy soil data'!$A$2:$A$11</c:f>
              <c:numCache>
                <c:formatCode>General</c:formatCode>
                <c:ptCount val="10"/>
                <c:pt idx="0">
                  <c:v>10</c:v>
                </c:pt>
                <c:pt idx="1">
                  <c:v>15</c:v>
                </c:pt>
                <c:pt idx="2">
                  <c:v>20</c:v>
                </c:pt>
                <c:pt idx="3">
                  <c:v>25</c:v>
                </c:pt>
                <c:pt idx="4">
                  <c:v>30</c:v>
                </c:pt>
                <c:pt idx="5">
                  <c:v>35</c:v>
                </c:pt>
                <c:pt idx="6">
                  <c:v>40</c:v>
                </c:pt>
                <c:pt idx="7">
                  <c:v>45</c:v>
                </c:pt>
                <c:pt idx="8">
                  <c:v>50</c:v>
                </c:pt>
                <c:pt idx="9">
                  <c:v>55</c:v>
                </c:pt>
              </c:numCache>
            </c:numRef>
          </c:xVal>
          <c:yVal>
            <c:numRef>
              <c:f>'Sandy soil data'!$D$2:$D$11</c:f>
              <c:numCache>
                <c:formatCode>General</c:formatCode>
                <c:ptCount val="10"/>
                <c:pt idx="0">
                  <c:v>42125</c:v>
                </c:pt>
                <c:pt idx="1">
                  <c:v>40283</c:v>
                </c:pt>
                <c:pt idx="2">
                  <c:v>37450</c:v>
                </c:pt>
                <c:pt idx="3">
                  <c:v>24432</c:v>
                </c:pt>
                <c:pt idx="4">
                  <c:v>16527</c:v>
                </c:pt>
                <c:pt idx="5">
                  <c:v>11226</c:v>
                </c:pt>
                <c:pt idx="6">
                  <c:v>9163</c:v>
                </c:pt>
                <c:pt idx="7">
                  <c:v>9103</c:v>
                </c:pt>
                <c:pt idx="8">
                  <c:v>2541</c:v>
                </c:pt>
                <c:pt idx="9">
                  <c:v>1997</c:v>
                </c:pt>
              </c:numCache>
            </c:numRef>
          </c:yVal>
          <c:smooth val="0"/>
          <c:extLst>
            <c:ext xmlns:c16="http://schemas.microsoft.com/office/drawing/2014/chart" uri="{C3380CC4-5D6E-409C-BE32-E72D297353CC}">
              <c16:uniqueId val="{00000000-AB81-43A6-B72B-91391FC2F936}"/>
            </c:ext>
          </c:extLst>
        </c:ser>
        <c:ser>
          <c:idx val="1"/>
          <c:order val="1"/>
          <c:tx>
            <c:strRef>
              <c:f>'Sandy soil data'!$E$1</c:f>
              <c:strCache>
                <c:ptCount val="1"/>
                <c:pt idx="0">
                  <c:v>Concentration at depth</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'Sandy soil data'!$A$2:$A$11</c:f>
              <c:numCache>
                <c:formatCode>General</c:formatCode>
                <c:ptCount val="10"/>
                <c:pt idx="0">
                  <c:v>10</c:v>
                </c:pt>
                <c:pt idx="1">
                  <c:v>15</c:v>
                </c:pt>
                <c:pt idx="2">
                  <c:v>20</c:v>
                </c:pt>
                <c:pt idx="3">
                  <c:v>25</c:v>
                </c:pt>
                <c:pt idx="4">
                  <c:v>30</c:v>
                </c:pt>
                <c:pt idx="5">
                  <c:v>35</c:v>
                </c:pt>
                <c:pt idx="6">
                  <c:v>40</c:v>
                </c:pt>
                <c:pt idx="7">
                  <c:v>45</c:v>
                </c:pt>
                <c:pt idx="8">
                  <c:v>50</c:v>
                </c:pt>
                <c:pt idx="9">
                  <c:v>55</c:v>
                </c:pt>
              </c:numCache>
            </c:numRef>
          </c:xVal>
          <c:yVal>
            <c:numRef>
              <c:f>'Sandy soil data'!$E$2:$E$11</c:f>
              <c:numCache>
                <c:formatCode>General</c:formatCode>
                <c:ptCount val="10"/>
                <c:pt idx="0">
                  <c:v>28913</c:v>
                </c:pt>
                <c:pt idx="1">
                  <c:v>28107</c:v>
                </c:pt>
                <c:pt idx="2">
                  <c:v>28037</c:v>
                </c:pt>
                <c:pt idx="3">
                  <c:v>19019</c:v>
                </c:pt>
                <c:pt idx="4">
                  <c:v>17596</c:v>
                </c:pt>
                <c:pt idx="5">
                  <c:v>12272</c:v>
                </c:pt>
                <c:pt idx="6">
                  <c:v>11262</c:v>
                </c:pt>
                <c:pt idx="7">
                  <c:v>8423</c:v>
                </c:pt>
                <c:pt idx="8">
                  <c:v>142</c:v>
                </c:pt>
                <c:pt idx="9">
                  <c:v>103</c:v>
                </c:pt>
              </c:numCache>
            </c:numRef>
          </c:yVal>
          <c:smooth val="0"/>
          <c:extLst>
            <c:ext xmlns:c16="http://schemas.microsoft.com/office/drawing/2014/chart" uri="{C3380CC4-5D6E-409C-BE32-E72D297353CC}">
              <c16:uniqueId val="{00000001-AB81-43A6-B72B-91391FC2F936}"/>
            </c:ext>
          </c:extLst>
        </c:ser>
        <c:dLbls>
          <c:showLegendKey val="0"/>
          <c:showVal val="0"/>
          <c:showCatName val="0"/>
          <c:showSerName val="0"/>
          <c:showPercent val="0"/>
          <c:showBubbleSize val="0"/>
        </c:dLbls>
        <c:axId val="132692608"/>
        <c:axId val="132699264"/>
      </c:scatterChart>
      <c:scatterChart>
        <c:scatterStyle val="lineMarker"/>
        <c:varyColors val="0"/>
        <c:ser>
          <c:idx val="2"/>
          <c:order val="2"/>
          <c:tx>
            <c:strRef>
              <c:f>'Sandy soil data'!$B$1</c:f>
              <c:strCache>
                <c:ptCount val="1"/>
                <c:pt idx="0">
                  <c:v>Leaching time</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'Sandy soil data'!$A$2:$A$11</c:f>
              <c:numCache>
                <c:formatCode>General</c:formatCode>
                <c:ptCount val="10"/>
                <c:pt idx="0">
                  <c:v>10</c:v>
                </c:pt>
                <c:pt idx="1">
                  <c:v>15</c:v>
                </c:pt>
                <c:pt idx="2">
                  <c:v>20</c:v>
                </c:pt>
                <c:pt idx="3">
                  <c:v>25</c:v>
                </c:pt>
                <c:pt idx="4">
                  <c:v>30</c:v>
                </c:pt>
                <c:pt idx="5">
                  <c:v>35</c:v>
                </c:pt>
                <c:pt idx="6">
                  <c:v>40</c:v>
                </c:pt>
                <c:pt idx="7">
                  <c:v>45</c:v>
                </c:pt>
                <c:pt idx="8">
                  <c:v>50</c:v>
                </c:pt>
                <c:pt idx="9">
                  <c:v>55</c:v>
                </c:pt>
              </c:numCache>
            </c:numRef>
          </c:xVal>
          <c:yVal>
            <c:numRef>
              <c:f>'Sandy soil data'!$B$2:$B$11</c:f>
              <c:numCache>
                <c:formatCode>General</c:formatCode>
                <c:ptCount val="10"/>
                <c:pt idx="0">
                  <c:v>37</c:v>
                </c:pt>
                <c:pt idx="1">
                  <c:v>38</c:v>
                </c:pt>
                <c:pt idx="2">
                  <c:v>137</c:v>
                </c:pt>
                <c:pt idx="3">
                  <c:v>180</c:v>
                </c:pt>
                <c:pt idx="4">
                  <c:v>410</c:v>
                </c:pt>
                <c:pt idx="5">
                  <c:v>563</c:v>
                </c:pt>
                <c:pt idx="6">
                  <c:v>830</c:v>
                </c:pt>
                <c:pt idx="7">
                  <c:v>1386</c:v>
                </c:pt>
                <c:pt idx="8">
                  <c:v>2700</c:v>
                </c:pt>
                <c:pt idx="9">
                  <c:v>3600</c:v>
                </c:pt>
              </c:numCache>
            </c:numRef>
          </c:yVal>
          <c:smooth val="0"/>
          <c:extLst>
            <c:ext xmlns:c16="http://schemas.microsoft.com/office/drawing/2014/chart" uri="{C3380CC4-5D6E-409C-BE32-E72D297353CC}">
              <c16:uniqueId val="{00000002-AB81-43A6-B72B-91391FC2F936}"/>
            </c:ext>
          </c:extLst>
        </c:ser>
        <c:dLbls>
          <c:showLegendKey val="0"/>
          <c:showVal val="0"/>
          <c:showCatName val="0"/>
          <c:showSerName val="0"/>
          <c:showPercent val="0"/>
          <c:showBubbleSize val="0"/>
        </c:dLbls>
        <c:axId val="132703360"/>
        <c:axId val="132701184"/>
      </c:scatterChart>
      <c:valAx>
        <c:axId val="1326926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Soil</a:t>
                </a:r>
                <a:r>
                  <a:rPr lang="en-US" baseline="0"/>
                  <a:t> depth (cm)</a:t>
                </a:r>
                <a:endParaRPr lang="en-US"/>
              </a:p>
            </c:rich>
          </c:tx>
          <c:layout>
            <c:manualLayout>
              <c:xMode val="edge"/>
              <c:yMode val="edge"/>
              <c:x val="0.43190499725797388"/>
              <c:y val="0.7830276822988944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699264"/>
        <c:crosses val="autoZero"/>
        <c:crossBetween val="midCat"/>
      </c:valAx>
      <c:valAx>
        <c:axId val="1326992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TPH concentration (mg/l)</a:t>
                </a:r>
              </a:p>
            </c:rich>
          </c:tx>
          <c:layout>
            <c:manualLayout>
              <c:xMode val="edge"/>
              <c:yMode val="edge"/>
              <c:x val="2.0474810597084649E-2"/>
              <c:y val="7.017558841624956E-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692608"/>
        <c:crosses val="autoZero"/>
        <c:crossBetween val="midCat"/>
      </c:valAx>
      <c:valAx>
        <c:axId val="132701184"/>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Crude</a:t>
                </a:r>
                <a:r>
                  <a:rPr lang="en-US" baseline="0"/>
                  <a:t> oil leaching time (s)</a:t>
                </a:r>
                <a:endParaRPr lang="en-US"/>
              </a:p>
            </c:rich>
          </c:tx>
          <c:layout>
            <c:manualLayout>
              <c:xMode val="edge"/>
              <c:yMode val="edge"/>
              <c:x val="0.95331006560551379"/>
              <c:y val="9.9412893822090329E-2"/>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703360"/>
        <c:crosses val="max"/>
        <c:crossBetween val="midCat"/>
      </c:valAx>
      <c:valAx>
        <c:axId val="132703360"/>
        <c:scaling>
          <c:orientation val="minMax"/>
        </c:scaling>
        <c:delete val="1"/>
        <c:axPos val="b"/>
        <c:numFmt formatCode="General" sourceLinked="1"/>
        <c:majorTickMark val="out"/>
        <c:minorTickMark val="none"/>
        <c:tickLblPos val="nextTo"/>
        <c:crossAx val="132701184"/>
        <c:crosses val="autoZero"/>
        <c:crossBetween val="midCat"/>
      </c:valAx>
      <c:spPr>
        <a:noFill/>
        <a:ln>
          <a:noFill/>
        </a:ln>
        <a:effectLst/>
      </c:spPr>
    </c:plotArea>
    <c:legend>
      <c:legendPos val="b"/>
      <c:layout>
        <c:manualLayout>
          <c:xMode val="edge"/>
          <c:yMode val="edge"/>
          <c:x val="4.0596980381468022E-2"/>
          <c:y val="0.900370275772989"/>
          <c:w val="0.92111684182065046"/>
          <c:h val="6.255836185444381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'Loamy soil data'!$D$2</c:f>
              <c:strCache>
                <c:ptCount val="1"/>
                <c:pt idx="0">
                  <c:v>Concentration at the surface</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'Loamy soil data'!$A$3:$A$12</c:f>
              <c:numCache>
                <c:formatCode>General</c:formatCode>
                <c:ptCount val="10"/>
                <c:pt idx="0">
                  <c:v>10</c:v>
                </c:pt>
                <c:pt idx="1">
                  <c:v>15</c:v>
                </c:pt>
                <c:pt idx="2">
                  <c:v>20</c:v>
                </c:pt>
                <c:pt idx="3">
                  <c:v>25</c:v>
                </c:pt>
                <c:pt idx="4">
                  <c:v>30</c:v>
                </c:pt>
                <c:pt idx="5">
                  <c:v>35</c:v>
                </c:pt>
                <c:pt idx="6">
                  <c:v>40</c:v>
                </c:pt>
                <c:pt idx="7">
                  <c:v>45</c:v>
                </c:pt>
                <c:pt idx="8">
                  <c:v>50</c:v>
                </c:pt>
                <c:pt idx="9">
                  <c:v>55</c:v>
                </c:pt>
              </c:numCache>
            </c:numRef>
          </c:xVal>
          <c:yVal>
            <c:numRef>
              <c:f>'Loamy soil data'!$D$3:$D$12</c:f>
              <c:numCache>
                <c:formatCode>0</c:formatCode>
                <c:ptCount val="10"/>
                <c:pt idx="0">
                  <c:v>35662.0092</c:v>
                </c:pt>
                <c:pt idx="1">
                  <c:v>32961.430800000002</c:v>
                </c:pt>
                <c:pt idx="2">
                  <c:v>23059.390800000001</c:v>
                </c:pt>
                <c:pt idx="3">
                  <c:v>19084.515599999999</c:v>
                </c:pt>
                <c:pt idx="4">
                  <c:v>10994.718599999998</c:v>
                </c:pt>
                <c:pt idx="5">
                  <c:v>10051.116</c:v>
                </c:pt>
                <c:pt idx="6">
                  <c:v>6619.4349599999996</c:v>
                </c:pt>
                <c:pt idx="7">
                  <c:v>6062.1088799999998</c:v>
                </c:pt>
                <c:pt idx="8">
                  <c:v>5813.588279999999</c:v>
                </c:pt>
                <c:pt idx="9">
                  <c:v>3018.0739199999998</c:v>
                </c:pt>
              </c:numCache>
            </c:numRef>
          </c:yVal>
          <c:smooth val="0"/>
          <c:extLst>
            <c:ext xmlns:c16="http://schemas.microsoft.com/office/drawing/2014/chart" uri="{C3380CC4-5D6E-409C-BE32-E72D297353CC}">
              <c16:uniqueId val="{00000000-F39C-4EB0-B56A-15D1DEE0D6B6}"/>
            </c:ext>
          </c:extLst>
        </c:ser>
        <c:ser>
          <c:idx val="1"/>
          <c:order val="1"/>
          <c:tx>
            <c:strRef>
              <c:f>'Loamy soil data'!$E$2</c:f>
              <c:strCache>
                <c:ptCount val="1"/>
                <c:pt idx="0">
                  <c:v>Concentration at depth</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'Loamy soil data'!$A$3:$A$12</c:f>
              <c:numCache>
                <c:formatCode>General</c:formatCode>
                <c:ptCount val="10"/>
                <c:pt idx="0">
                  <c:v>10</c:v>
                </c:pt>
                <c:pt idx="1">
                  <c:v>15</c:v>
                </c:pt>
                <c:pt idx="2">
                  <c:v>20</c:v>
                </c:pt>
                <c:pt idx="3">
                  <c:v>25</c:v>
                </c:pt>
                <c:pt idx="4">
                  <c:v>30</c:v>
                </c:pt>
                <c:pt idx="5">
                  <c:v>35</c:v>
                </c:pt>
                <c:pt idx="6">
                  <c:v>40</c:v>
                </c:pt>
                <c:pt idx="7">
                  <c:v>45</c:v>
                </c:pt>
                <c:pt idx="8">
                  <c:v>50</c:v>
                </c:pt>
                <c:pt idx="9">
                  <c:v>55</c:v>
                </c:pt>
              </c:numCache>
            </c:numRef>
          </c:xVal>
          <c:yVal>
            <c:numRef>
              <c:f>'Loamy soil data'!$E$3:$E$12</c:f>
              <c:numCache>
                <c:formatCode>0</c:formatCode>
                <c:ptCount val="10"/>
                <c:pt idx="0">
                  <c:v>11084.951999999999</c:v>
                </c:pt>
                <c:pt idx="1">
                  <c:v>3942.67236</c:v>
                </c:pt>
                <c:pt idx="2">
                  <c:v>2788.88472</c:v>
                </c:pt>
                <c:pt idx="3">
                  <c:v>2274.7300799999998</c:v>
                </c:pt>
                <c:pt idx="4">
                  <c:v>1962.7612799999999</c:v>
                </c:pt>
                <c:pt idx="5">
                  <c:v>1681.3348799999999</c:v>
                </c:pt>
                <c:pt idx="6">
                  <c:v>1147.9942800000001</c:v>
                </c:pt>
                <c:pt idx="7">
                  <c:v>810.96132</c:v>
                </c:pt>
                <c:pt idx="8">
                  <c:v>625.19808</c:v>
                </c:pt>
                <c:pt idx="9">
                  <c:v>309.06</c:v>
                </c:pt>
              </c:numCache>
            </c:numRef>
          </c:yVal>
          <c:smooth val="0"/>
          <c:extLst>
            <c:ext xmlns:c16="http://schemas.microsoft.com/office/drawing/2014/chart" uri="{C3380CC4-5D6E-409C-BE32-E72D297353CC}">
              <c16:uniqueId val="{00000001-F39C-4EB0-B56A-15D1DEE0D6B6}"/>
            </c:ext>
          </c:extLst>
        </c:ser>
        <c:dLbls>
          <c:showLegendKey val="0"/>
          <c:showVal val="0"/>
          <c:showCatName val="0"/>
          <c:showSerName val="0"/>
          <c:showPercent val="0"/>
          <c:showBubbleSize val="0"/>
        </c:dLbls>
        <c:axId val="133214592"/>
        <c:axId val="133216896"/>
      </c:scatterChart>
      <c:scatterChart>
        <c:scatterStyle val="lineMarker"/>
        <c:varyColors val="0"/>
        <c:ser>
          <c:idx val="2"/>
          <c:order val="2"/>
          <c:tx>
            <c:strRef>
              <c:f>'Loamy soil data'!$B$2</c:f>
              <c:strCache>
                <c:ptCount val="1"/>
                <c:pt idx="0">
                  <c:v>Leaching time</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'Loamy soil data'!$A$3:$A$12</c:f>
              <c:numCache>
                <c:formatCode>General</c:formatCode>
                <c:ptCount val="10"/>
                <c:pt idx="0">
                  <c:v>10</c:v>
                </c:pt>
                <c:pt idx="1">
                  <c:v>15</c:v>
                </c:pt>
                <c:pt idx="2">
                  <c:v>20</c:v>
                </c:pt>
                <c:pt idx="3">
                  <c:v>25</c:v>
                </c:pt>
                <c:pt idx="4">
                  <c:v>30</c:v>
                </c:pt>
                <c:pt idx="5">
                  <c:v>35</c:v>
                </c:pt>
                <c:pt idx="6">
                  <c:v>40</c:v>
                </c:pt>
                <c:pt idx="7">
                  <c:v>45</c:v>
                </c:pt>
                <c:pt idx="8">
                  <c:v>50</c:v>
                </c:pt>
                <c:pt idx="9">
                  <c:v>55</c:v>
                </c:pt>
              </c:numCache>
            </c:numRef>
          </c:xVal>
          <c:yVal>
            <c:numRef>
              <c:f>'Loamy soil data'!$B$3:$B$12</c:f>
              <c:numCache>
                <c:formatCode>General</c:formatCode>
                <c:ptCount val="10"/>
                <c:pt idx="0">
                  <c:v>33</c:v>
                </c:pt>
                <c:pt idx="1">
                  <c:v>35</c:v>
                </c:pt>
                <c:pt idx="2">
                  <c:v>37</c:v>
                </c:pt>
                <c:pt idx="3">
                  <c:v>41</c:v>
                </c:pt>
                <c:pt idx="4">
                  <c:v>80</c:v>
                </c:pt>
                <c:pt idx="5">
                  <c:v>92</c:v>
                </c:pt>
                <c:pt idx="6">
                  <c:v>133</c:v>
                </c:pt>
                <c:pt idx="7">
                  <c:v>141</c:v>
                </c:pt>
                <c:pt idx="8">
                  <c:v>900</c:v>
                </c:pt>
                <c:pt idx="9">
                  <c:v>1500</c:v>
                </c:pt>
              </c:numCache>
            </c:numRef>
          </c:yVal>
          <c:smooth val="0"/>
          <c:extLst>
            <c:ext xmlns:c16="http://schemas.microsoft.com/office/drawing/2014/chart" uri="{C3380CC4-5D6E-409C-BE32-E72D297353CC}">
              <c16:uniqueId val="{00000002-F39C-4EB0-B56A-15D1DEE0D6B6}"/>
            </c:ext>
          </c:extLst>
        </c:ser>
        <c:dLbls>
          <c:showLegendKey val="0"/>
          <c:showVal val="0"/>
          <c:showCatName val="0"/>
          <c:showSerName val="0"/>
          <c:showPercent val="0"/>
          <c:showBubbleSize val="0"/>
        </c:dLbls>
        <c:axId val="133229184"/>
        <c:axId val="133227264"/>
      </c:scatterChart>
      <c:valAx>
        <c:axId val="133214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Soil depth (cm)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216896"/>
        <c:crosses val="autoZero"/>
        <c:crossBetween val="midCat"/>
      </c:valAx>
      <c:valAx>
        <c:axId val="1332168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TPH concentration (mg/l)</a:t>
                </a:r>
              </a:p>
            </c:rich>
          </c:tx>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214592"/>
        <c:crosses val="autoZero"/>
        <c:crossBetween val="midCat"/>
      </c:valAx>
      <c:valAx>
        <c:axId val="133227264"/>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Crude oil leaching time (s)</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229184"/>
        <c:crosses val="max"/>
        <c:crossBetween val="midCat"/>
      </c:valAx>
      <c:valAx>
        <c:axId val="133229184"/>
        <c:scaling>
          <c:orientation val="minMax"/>
        </c:scaling>
        <c:delete val="1"/>
        <c:axPos val="b"/>
        <c:numFmt formatCode="General" sourceLinked="1"/>
        <c:majorTickMark val="out"/>
        <c:minorTickMark val="none"/>
        <c:tickLblPos val="nextTo"/>
        <c:crossAx val="13322726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'Model validation'!$B$2</c:f>
              <c:strCache>
                <c:ptCount val="1"/>
                <c:pt idx="0">
                  <c:v>Actual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'Model validation'!$A$3:$A$12</c:f>
              <c:numCache>
                <c:formatCode>General</c:formatCode>
                <c:ptCount val="10"/>
                <c:pt idx="0">
                  <c:v>10</c:v>
                </c:pt>
                <c:pt idx="1">
                  <c:v>15</c:v>
                </c:pt>
                <c:pt idx="2">
                  <c:v>20</c:v>
                </c:pt>
                <c:pt idx="3">
                  <c:v>25</c:v>
                </c:pt>
                <c:pt idx="4">
                  <c:v>30</c:v>
                </c:pt>
                <c:pt idx="5">
                  <c:v>35</c:v>
                </c:pt>
                <c:pt idx="6">
                  <c:v>40</c:v>
                </c:pt>
                <c:pt idx="7">
                  <c:v>45</c:v>
                </c:pt>
                <c:pt idx="8">
                  <c:v>50</c:v>
                </c:pt>
                <c:pt idx="9">
                  <c:v>55</c:v>
                </c:pt>
              </c:numCache>
            </c:numRef>
          </c:xVal>
          <c:yVal>
            <c:numRef>
              <c:f>'Model validation'!$B$3:$B$12</c:f>
              <c:numCache>
                <c:formatCode>General</c:formatCode>
                <c:ptCount val="10"/>
                <c:pt idx="0">
                  <c:v>28913</c:v>
                </c:pt>
                <c:pt idx="1">
                  <c:v>28107</c:v>
                </c:pt>
                <c:pt idx="2">
                  <c:v>28037</c:v>
                </c:pt>
                <c:pt idx="3">
                  <c:v>19019</c:v>
                </c:pt>
                <c:pt idx="4">
                  <c:v>17596</c:v>
                </c:pt>
                <c:pt idx="5">
                  <c:v>12272</c:v>
                </c:pt>
                <c:pt idx="6">
                  <c:v>11262</c:v>
                </c:pt>
                <c:pt idx="7">
                  <c:v>8423</c:v>
                </c:pt>
                <c:pt idx="8">
                  <c:v>142</c:v>
                </c:pt>
                <c:pt idx="9">
                  <c:v>103</c:v>
                </c:pt>
              </c:numCache>
            </c:numRef>
          </c:yVal>
          <c:smooth val="0"/>
          <c:extLst>
            <c:ext xmlns:c16="http://schemas.microsoft.com/office/drawing/2014/chart" uri="{C3380CC4-5D6E-409C-BE32-E72D297353CC}">
              <c16:uniqueId val="{00000000-8BD8-4AAD-B578-5B8AFCDCFAC6}"/>
            </c:ext>
          </c:extLst>
        </c:ser>
        <c:ser>
          <c:idx val="1"/>
          <c:order val="1"/>
          <c:tx>
            <c:strRef>
              <c:f>'Model validation'!$C$2</c:f>
              <c:strCache>
                <c:ptCount val="1"/>
                <c:pt idx="0">
                  <c:v>Predicted  </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'Model validation'!$A$3:$A$12</c:f>
              <c:numCache>
                <c:formatCode>General</c:formatCode>
                <c:ptCount val="10"/>
                <c:pt idx="0">
                  <c:v>10</c:v>
                </c:pt>
                <c:pt idx="1">
                  <c:v>15</c:v>
                </c:pt>
                <c:pt idx="2">
                  <c:v>20</c:v>
                </c:pt>
                <c:pt idx="3">
                  <c:v>25</c:v>
                </c:pt>
                <c:pt idx="4">
                  <c:v>30</c:v>
                </c:pt>
                <c:pt idx="5">
                  <c:v>35</c:v>
                </c:pt>
                <c:pt idx="6">
                  <c:v>40</c:v>
                </c:pt>
                <c:pt idx="7">
                  <c:v>45</c:v>
                </c:pt>
                <c:pt idx="8">
                  <c:v>50</c:v>
                </c:pt>
                <c:pt idx="9">
                  <c:v>55</c:v>
                </c:pt>
              </c:numCache>
            </c:numRef>
          </c:xVal>
          <c:yVal>
            <c:numRef>
              <c:f>'Model validation'!$C$3:$C$12</c:f>
              <c:numCache>
                <c:formatCode>General</c:formatCode>
                <c:ptCount val="10"/>
                <c:pt idx="0">
                  <c:v>30208.112023520105</c:v>
                </c:pt>
                <c:pt idx="1">
                  <c:v>27305.973981023519</c:v>
                </c:pt>
                <c:pt idx="2">
                  <c:v>29373.810883580943</c:v>
                </c:pt>
                <c:pt idx="3">
                  <c:v>20237.845629782812</c:v>
                </c:pt>
                <c:pt idx="4">
                  <c:v>15665.848772946727</c:v>
                </c:pt>
                <c:pt idx="5">
                  <c:v>11184.404114111456</c:v>
                </c:pt>
                <c:pt idx="6">
                  <c:v>9886.7952444708826</c:v>
                </c:pt>
                <c:pt idx="7">
                  <c:v>10062.692786016871</c:v>
                </c:pt>
                <c:pt idx="8">
                  <c:v>3653.7567308334792</c:v>
                </c:pt>
                <c:pt idx="9">
                  <c:v>3092.628449556385</c:v>
                </c:pt>
              </c:numCache>
            </c:numRef>
          </c:yVal>
          <c:smooth val="0"/>
          <c:extLst>
            <c:ext xmlns:c16="http://schemas.microsoft.com/office/drawing/2014/chart" uri="{C3380CC4-5D6E-409C-BE32-E72D297353CC}">
              <c16:uniqueId val="{00000001-8BD8-4AAD-B578-5B8AFCDCFAC6}"/>
            </c:ext>
          </c:extLst>
        </c:ser>
        <c:dLbls>
          <c:showLegendKey val="0"/>
          <c:showVal val="0"/>
          <c:showCatName val="0"/>
          <c:showSerName val="0"/>
          <c:showPercent val="0"/>
          <c:showBubbleSize val="0"/>
        </c:dLbls>
        <c:axId val="133393792"/>
        <c:axId val="133396352"/>
      </c:scatterChart>
      <c:valAx>
        <c:axId val="1333937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Soil</a:t>
                </a:r>
                <a:r>
                  <a:rPr lang="en-US" baseline="0"/>
                  <a:t> depth (cm)</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396352"/>
        <c:crosses val="autoZero"/>
        <c:crossBetween val="midCat"/>
      </c:valAx>
      <c:valAx>
        <c:axId val="1333963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TPH concentration at depth (mg/l)</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39379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'Model validation'!$D$2</c:f>
              <c:strCache>
                <c:ptCount val="1"/>
                <c:pt idx="0">
                  <c:v>Actual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'Model validation'!$A$3:$A$12</c:f>
              <c:numCache>
                <c:formatCode>General</c:formatCode>
                <c:ptCount val="10"/>
                <c:pt idx="0">
                  <c:v>10</c:v>
                </c:pt>
                <c:pt idx="1">
                  <c:v>15</c:v>
                </c:pt>
                <c:pt idx="2">
                  <c:v>20</c:v>
                </c:pt>
                <c:pt idx="3">
                  <c:v>25</c:v>
                </c:pt>
                <c:pt idx="4">
                  <c:v>30</c:v>
                </c:pt>
                <c:pt idx="5">
                  <c:v>35</c:v>
                </c:pt>
                <c:pt idx="6">
                  <c:v>40</c:v>
                </c:pt>
                <c:pt idx="7">
                  <c:v>45</c:v>
                </c:pt>
                <c:pt idx="8">
                  <c:v>50</c:v>
                </c:pt>
                <c:pt idx="9">
                  <c:v>55</c:v>
                </c:pt>
              </c:numCache>
            </c:numRef>
          </c:xVal>
          <c:yVal>
            <c:numRef>
              <c:f>'Model validation'!$D$3:$D$12</c:f>
              <c:numCache>
                <c:formatCode>0</c:formatCode>
                <c:ptCount val="10"/>
                <c:pt idx="0">
                  <c:v>11084.951999999999</c:v>
                </c:pt>
                <c:pt idx="1">
                  <c:v>3942.67236</c:v>
                </c:pt>
                <c:pt idx="2">
                  <c:v>2788.88472</c:v>
                </c:pt>
                <c:pt idx="3">
                  <c:v>2274.7300799999998</c:v>
                </c:pt>
                <c:pt idx="4">
                  <c:v>1962.7612799999999</c:v>
                </c:pt>
                <c:pt idx="5">
                  <c:v>1681.3348799999999</c:v>
                </c:pt>
                <c:pt idx="6">
                  <c:v>1147.9942800000001</c:v>
                </c:pt>
                <c:pt idx="7">
                  <c:v>810.96132</c:v>
                </c:pt>
                <c:pt idx="8">
                  <c:v>625.19808</c:v>
                </c:pt>
                <c:pt idx="9">
                  <c:v>309.06</c:v>
                </c:pt>
              </c:numCache>
            </c:numRef>
          </c:yVal>
          <c:smooth val="0"/>
          <c:extLst>
            <c:ext xmlns:c16="http://schemas.microsoft.com/office/drawing/2014/chart" uri="{C3380CC4-5D6E-409C-BE32-E72D297353CC}">
              <c16:uniqueId val="{00000000-5C5B-4DD2-8565-1D2DC4582175}"/>
            </c:ext>
          </c:extLst>
        </c:ser>
        <c:ser>
          <c:idx val="1"/>
          <c:order val="1"/>
          <c:tx>
            <c:strRef>
              <c:f>'Model validation'!$E$2</c:f>
              <c:strCache>
                <c:ptCount val="1"/>
                <c:pt idx="0">
                  <c:v>Predicted</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'Model validation'!$A$3:$A$12</c:f>
              <c:numCache>
                <c:formatCode>General</c:formatCode>
                <c:ptCount val="10"/>
                <c:pt idx="0">
                  <c:v>10</c:v>
                </c:pt>
                <c:pt idx="1">
                  <c:v>15</c:v>
                </c:pt>
                <c:pt idx="2">
                  <c:v>20</c:v>
                </c:pt>
                <c:pt idx="3">
                  <c:v>25</c:v>
                </c:pt>
                <c:pt idx="4">
                  <c:v>30</c:v>
                </c:pt>
                <c:pt idx="5">
                  <c:v>35</c:v>
                </c:pt>
                <c:pt idx="6">
                  <c:v>40</c:v>
                </c:pt>
                <c:pt idx="7">
                  <c:v>45</c:v>
                </c:pt>
                <c:pt idx="8">
                  <c:v>50</c:v>
                </c:pt>
                <c:pt idx="9">
                  <c:v>55</c:v>
                </c:pt>
              </c:numCache>
            </c:numRef>
          </c:xVal>
          <c:yVal>
            <c:numRef>
              <c:f>'Model validation'!$E$3:$E$12</c:f>
              <c:numCache>
                <c:formatCode>General</c:formatCode>
                <c:ptCount val="10"/>
                <c:pt idx="0">
                  <c:v>5596.4221729641349</c:v>
                </c:pt>
                <c:pt idx="1">
                  <c:v>3883.6105281380578</c:v>
                </c:pt>
                <c:pt idx="2">
                  <c:v>3426.4672884613428</c:v>
                </c:pt>
                <c:pt idx="3">
                  <c:v>2631.3810682692556</c:v>
                </c:pt>
                <c:pt idx="4">
                  <c:v>1995.5186251786338</c:v>
                </c:pt>
                <c:pt idx="5">
                  <c:v>1651.3576703714823</c:v>
                </c:pt>
                <c:pt idx="6">
                  <c:v>1359.355008043095</c:v>
                </c:pt>
                <c:pt idx="7">
                  <c:v>1074.007490859452</c:v>
                </c:pt>
                <c:pt idx="8">
                  <c:v>770.72778318973326</c:v>
                </c:pt>
                <c:pt idx="9">
                  <c:v>456.64382271604319</c:v>
                </c:pt>
              </c:numCache>
            </c:numRef>
          </c:yVal>
          <c:smooth val="0"/>
          <c:extLst>
            <c:ext xmlns:c16="http://schemas.microsoft.com/office/drawing/2014/chart" uri="{C3380CC4-5D6E-409C-BE32-E72D297353CC}">
              <c16:uniqueId val="{00000001-5C5B-4DD2-8565-1D2DC4582175}"/>
            </c:ext>
          </c:extLst>
        </c:ser>
        <c:dLbls>
          <c:showLegendKey val="0"/>
          <c:showVal val="0"/>
          <c:showCatName val="0"/>
          <c:showSerName val="0"/>
          <c:showPercent val="0"/>
          <c:showBubbleSize val="0"/>
        </c:dLbls>
        <c:axId val="133422080"/>
        <c:axId val="133572096"/>
      </c:scatterChart>
      <c:valAx>
        <c:axId val="1334220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Soil</a:t>
                </a:r>
                <a:r>
                  <a:rPr lang="en-US" baseline="0"/>
                  <a:t> depth (cm)</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572096"/>
        <c:crosses val="autoZero"/>
        <c:crossBetween val="midCat"/>
      </c:valAx>
      <c:valAx>
        <c:axId val="1335720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TPH concentration at depth (mg/l)</a:t>
                </a:r>
              </a:p>
            </c:rich>
          </c:tx>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42208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2B1AB56A6E4D3D9A0AE377C3B78316"/>
        <w:category>
          <w:name w:val="General"/>
          <w:gallery w:val="placeholder"/>
        </w:category>
        <w:types>
          <w:type w:val="bbPlcHdr"/>
        </w:types>
        <w:behaviors>
          <w:behavior w:val="content"/>
        </w:behaviors>
        <w:guid w:val="{C33417D9-A82A-4907-8EB2-86FC83C41D5B}"/>
      </w:docPartPr>
      <w:docPartBody>
        <w:p w:rsidR="004C0397" w:rsidRDefault="001910B3" w:rsidP="001910B3">
          <w:pPr>
            <w:pStyle w:val="4C2B1AB56A6E4D3D9A0AE377C3B78316"/>
          </w:pPr>
          <w:r w:rsidRPr="00BD63C4">
            <w:rPr>
              <w:rStyle w:val="PlaceholderText"/>
            </w:rPr>
            <w:t>Click or tap here to enter text.</w:t>
          </w:r>
        </w:p>
      </w:docPartBody>
    </w:docPart>
    <w:docPart>
      <w:docPartPr>
        <w:name w:val="2D8A24BCD89148758BF7DBACA560180D"/>
        <w:category>
          <w:name w:val="General"/>
          <w:gallery w:val="placeholder"/>
        </w:category>
        <w:types>
          <w:type w:val="bbPlcHdr"/>
        </w:types>
        <w:behaviors>
          <w:behavior w:val="content"/>
        </w:behaviors>
        <w:guid w:val="{55CF0748-F6ED-4B76-8D2F-6B2B0BF6A4B6}"/>
      </w:docPartPr>
      <w:docPartBody>
        <w:p w:rsidR="004C0397" w:rsidRDefault="001910B3" w:rsidP="001910B3">
          <w:pPr>
            <w:pStyle w:val="2D8A24BCD89148758BF7DBACA560180D"/>
          </w:pPr>
          <w:r w:rsidRPr="00346AE7">
            <w:rPr>
              <w:rStyle w:val="PlaceholderText"/>
            </w:rPr>
            <w:t>Click or tap here to enter text.</w:t>
          </w:r>
        </w:p>
      </w:docPartBody>
    </w:docPart>
    <w:docPart>
      <w:docPartPr>
        <w:name w:val="923E56A840A04575A131392050B6E203"/>
        <w:category>
          <w:name w:val="General"/>
          <w:gallery w:val="placeholder"/>
        </w:category>
        <w:types>
          <w:type w:val="bbPlcHdr"/>
        </w:types>
        <w:behaviors>
          <w:behavior w:val="content"/>
        </w:behaviors>
        <w:guid w:val="{9CDD94DB-B18A-468D-834E-00CA12A8E7BC}"/>
      </w:docPartPr>
      <w:docPartBody>
        <w:p w:rsidR="00EC3D8F" w:rsidRDefault="004C0397" w:rsidP="004C0397">
          <w:pPr>
            <w:pStyle w:val="923E56A840A04575A131392050B6E203"/>
          </w:pPr>
          <w:r w:rsidRPr="00BD63C4">
            <w:rPr>
              <w:rStyle w:val="PlaceholderText"/>
            </w:rPr>
            <w:t>Click or tap here to enter text.</w:t>
          </w:r>
        </w:p>
      </w:docPartBody>
    </w:docPart>
    <w:docPart>
      <w:docPartPr>
        <w:name w:val="BF505998DC554187A14B2F488EC1550C"/>
        <w:category>
          <w:name w:val="General"/>
          <w:gallery w:val="placeholder"/>
        </w:category>
        <w:types>
          <w:type w:val="bbPlcHdr"/>
        </w:types>
        <w:behaviors>
          <w:behavior w:val="content"/>
        </w:behaviors>
        <w:guid w:val="{49ABC9D9-AF41-486B-890D-C5C6F6650255}"/>
      </w:docPartPr>
      <w:docPartBody>
        <w:p w:rsidR="00EC3D8F" w:rsidRDefault="004C0397" w:rsidP="004C0397">
          <w:pPr>
            <w:pStyle w:val="BF505998DC554187A14B2F488EC1550C"/>
          </w:pPr>
          <w:r w:rsidRPr="00346AE7">
            <w:rPr>
              <w:rStyle w:val="PlaceholderText"/>
            </w:rPr>
            <w:t>Click or tap here to enter text.</w:t>
          </w:r>
        </w:p>
      </w:docPartBody>
    </w:docPart>
    <w:docPart>
      <w:docPartPr>
        <w:name w:val="365DF990855443A28C51C8ACB4D7CFBE"/>
        <w:category>
          <w:name w:val="General"/>
          <w:gallery w:val="placeholder"/>
        </w:category>
        <w:types>
          <w:type w:val="bbPlcHdr"/>
        </w:types>
        <w:behaviors>
          <w:behavior w:val="content"/>
        </w:behaviors>
        <w:guid w:val="{D97B5EB2-4D88-4CC5-A9AF-78F61C384030}"/>
      </w:docPartPr>
      <w:docPartBody>
        <w:p w:rsidR="00EC3D8F" w:rsidRDefault="004C0397" w:rsidP="004C0397">
          <w:pPr>
            <w:pStyle w:val="365DF990855443A28C51C8ACB4D7CFBE"/>
          </w:pPr>
          <w:r w:rsidRPr="00346AE7">
            <w:rPr>
              <w:rStyle w:val="PlaceholderText"/>
            </w:rPr>
            <w:t>Click or tap here to enter text.</w:t>
          </w:r>
        </w:p>
      </w:docPartBody>
    </w:docPart>
    <w:docPart>
      <w:docPartPr>
        <w:name w:val="C5A8471916384EDAAE626D403ADAE971"/>
        <w:category>
          <w:name w:val="General"/>
          <w:gallery w:val="placeholder"/>
        </w:category>
        <w:types>
          <w:type w:val="bbPlcHdr"/>
        </w:types>
        <w:behaviors>
          <w:behavior w:val="content"/>
        </w:behaviors>
        <w:guid w:val="{4FC0850B-EF7C-44B3-AD3A-6912882E9EA0}"/>
      </w:docPartPr>
      <w:docPartBody>
        <w:p w:rsidR="00EC3D8F" w:rsidRDefault="004C0397" w:rsidP="004C0397">
          <w:pPr>
            <w:pStyle w:val="C5A8471916384EDAAE626D403ADAE971"/>
          </w:pPr>
          <w:r w:rsidRPr="00346AE7">
            <w:rPr>
              <w:rStyle w:val="PlaceholderText"/>
            </w:rPr>
            <w:t>Click or tap here to enter text.</w:t>
          </w:r>
        </w:p>
      </w:docPartBody>
    </w:docPart>
    <w:docPart>
      <w:docPartPr>
        <w:name w:val="CD01D30EF8A54D47B2AEB300AD5D7792"/>
        <w:category>
          <w:name w:val="General"/>
          <w:gallery w:val="placeholder"/>
        </w:category>
        <w:types>
          <w:type w:val="bbPlcHdr"/>
        </w:types>
        <w:behaviors>
          <w:behavior w:val="content"/>
        </w:behaviors>
        <w:guid w:val="{A7AA68E5-FFE0-436C-A8DE-30B0EC5D3FB5}"/>
      </w:docPartPr>
      <w:docPartBody>
        <w:p w:rsidR="00EC3D8F" w:rsidRDefault="004C0397" w:rsidP="004C0397">
          <w:pPr>
            <w:pStyle w:val="CD01D30EF8A54D47B2AEB300AD5D7792"/>
          </w:pPr>
          <w:r w:rsidRPr="00346AE7">
            <w:rPr>
              <w:rStyle w:val="PlaceholderText"/>
            </w:rPr>
            <w:t>Click or tap here to enter text.</w:t>
          </w:r>
        </w:p>
      </w:docPartBody>
    </w:docPart>
    <w:docPart>
      <w:docPartPr>
        <w:name w:val="8C34584D5CAF48439C819D1BA3B8AB79"/>
        <w:category>
          <w:name w:val="General"/>
          <w:gallery w:val="placeholder"/>
        </w:category>
        <w:types>
          <w:type w:val="bbPlcHdr"/>
        </w:types>
        <w:behaviors>
          <w:behavior w:val="content"/>
        </w:behaviors>
        <w:guid w:val="{61BBF1E1-1D83-4157-B8F0-71EB1D7A473F}"/>
      </w:docPartPr>
      <w:docPartBody>
        <w:p w:rsidR="00EC3D8F" w:rsidRDefault="004C0397" w:rsidP="004C0397">
          <w:pPr>
            <w:pStyle w:val="8C34584D5CAF48439C819D1BA3B8AB79"/>
          </w:pPr>
          <w:r w:rsidRPr="00346AE7">
            <w:rPr>
              <w:rStyle w:val="PlaceholderText"/>
            </w:rPr>
            <w:t>Click or tap here to enter text.</w:t>
          </w:r>
        </w:p>
      </w:docPartBody>
    </w:docPart>
    <w:docPart>
      <w:docPartPr>
        <w:name w:val="0A7A7543C4BD4B69963919CB10C5EC37"/>
        <w:category>
          <w:name w:val="General"/>
          <w:gallery w:val="placeholder"/>
        </w:category>
        <w:types>
          <w:type w:val="bbPlcHdr"/>
        </w:types>
        <w:behaviors>
          <w:behavior w:val="content"/>
        </w:behaviors>
        <w:guid w:val="{6CBD783C-B240-4552-A386-6C24C88048C7}"/>
      </w:docPartPr>
      <w:docPartBody>
        <w:p w:rsidR="00EC3D8F" w:rsidRDefault="004C0397" w:rsidP="004C0397">
          <w:pPr>
            <w:pStyle w:val="0A7A7543C4BD4B69963919CB10C5EC37"/>
          </w:pPr>
          <w:r w:rsidRPr="00346AE7">
            <w:rPr>
              <w:rStyle w:val="PlaceholderText"/>
            </w:rPr>
            <w:t>Click or tap here to enter text.</w:t>
          </w:r>
        </w:p>
      </w:docPartBody>
    </w:docPart>
    <w:docPart>
      <w:docPartPr>
        <w:name w:val="78584B111552465E9BF0FB3B7A4D5937"/>
        <w:category>
          <w:name w:val="General"/>
          <w:gallery w:val="placeholder"/>
        </w:category>
        <w:types>
          <w:type w:val="bbPlcHdr"/>
        </w:types>
        <w:behaviors>
          <w:behavior w:val="content"/>
        </w:behaviors>
        <w:guid w:val="{CBA2A47F-4D0A-4F51-AA68-ECE17FC311FB}"/>
      </w:docPartPr>
      <w:docPartBody>
        <w:p w:rsidR="00EC3D8F" w:rsidRDefault="004C0397" w:rsidP="004C0397">
          <w:pPr>
            <w:pStyle w:val="78584B111552465E9BF0FB3B7A4D5937"/>
          </w:pPr>
          <w:r w:rsidRPr="00346AE7">
            <w:rPr>
              <w:rStyle w:val="PlaceholderText"/>
            </w:rPr>
            <w:t>Click or tap here to enter text.</w:t>
          </w:r>
        </w:p>
      </w:docPartBody>
    </w:docPart>
    <w:docPart>
      <w:docPartPr>
        <w:name w:val="0D3C55AA66AA4EA6BD3DDFC75AB177AF"/>
        <w:category>
          <w:name w:val="General"/>
          <w:gallery w:val="placeholder"/>
        </w:category>
        <w:types>
          <w:type w:val="bbPlcHdr"/>
        </w:types>
        <w:behaviors>
          <w:behavior w:val="content"/>
        </w:behaviors>
        <w:guid w:val="{DEAF8F98-98CC-4486-97FD-C2D688A16201}"/>
      </w:docPartPr>
      <w:docPartBody>
        <w:p w:rsidR="00EC3D8F" w:rsidRDefault="004C0397" w:rsidP="004C0397">
          <w:pPr>
            <w:pStyle w:val="0D3C55AA66AA4EA6BD3DDFC75AB177AF"/>
          </w:pPr>
          <w:r w:rsidRPr="00346AE7">
            <w:rPr>
              <w:rStyle w:val="PlaceholderText"/>
            </w:rPr>
            <w:t>Click or tap here to enter text.</w:t>
          </w:r>
        </w:p>
      </w:docPartBody>
    </w:docPart>
    <w:docPart>
      <w:docPartPr>
        <w:name w:val="820846D9B31440F491BC96C09D26FA1A"/>
        <w:category>
          <w:name w:val="General"/>
          <w:gallery w:val="placeholder"/>
        </w:category>
        <w:types>
          <w:type w:val="bbPlcHdr"/>
        </w:types>
        <w:behaviors>
          <w:behavior w:val="content"/>
        </w:behaviors>
        <w:guid w:val="{546EB450-D1D5-4C7D-93A7-34AE707CF406}"/>
      </w:docPartPr>
      <w:docPartBody>
        <w:p w:rsidR="00EC3D8F" w:rsidRDefault="004C0397" w:rsidP="004C0397">
          <w:pPr>
            <w:pStyle w:val="820846D9B31440F491BC96C09D26FA1A"/>
          </w:pPr>
          <w:r w:rsidRPr="00346AE7">
            <w:rPr>
              <w:rStyle w:val="PlaceholderText"/>
            </w:rPr>
            <w:t>Click or tap here to enter text.</w:t>
          </w:r>
        </w:p>
      </w:docPartBody>
    </w:docPart>
    <w:docPart>
      <w:docPartPr>
        <w:name w:val="D210016555984EB88EB679F51892FD7A"/>
        <w:category>
          <w:name w:val="General"/>
          <w:gallery w:val="placeholder"/>
        </w:category>
        <w:types>
          <w:type w:val="bbPlcHdr"/>
        </w:types>
        <w:behaviors>
          <w:behavior w:val="content"/>
        </w:behaviors>
        <w:guid w:val="{5043C387-4355-4E32-9C4E-F8554B04F391}"/>
      </w:docPartPr>
      <w:docPartBody>
        <w:p w:rsidR="00EC3D8F" w:rsidRDefault="004C0397" w:rsidP="004C0397">
          <w:pPr>
            <w:pStyle w:val="D210016555984EB88EB679F51892FD7A"/>
          </w:pPr>
          <w:r w:rsidRPr="00346AE7">
            <w:rPr>
              <w:rStyle w:val="PlaceholderText"/>
            </w:rPr>
            <w:t>Click or tap here to enter text.</w:t>
          </w:r>
        </w:p>
      </w:docPartBody>
    </w:docPart>
    <w:docPart>
      <w:docPartPr>
        <w:name w:val="E92A79EDC8AC4515869896CA85ACDA7B"/>
        <w:category>
          <w:name w:val="General"/>
          <w:gallery w:val="placeholder"/>
        </w:category>
        <w:types>
          <w:type w:val="bbPlcHdr"/>
        </w:types>
        <w:behaviors>
          <w:behavior w:val="content"/>
        </w:behaviors>
        <w:guid w:val="{059673F7-F7A1-41BD-A07A-573607ED2884}"/>
      </w:docPartPr>
      <w:docPartBody>
        <w:p w:rsidR="00EC3D8F" w:rsidRDefault="004C0397" w:rsidP="004C0397">
          <w:pPr>
            <w:pStyle w:val="E92A79EDC8AC4515869896CA85ACDA7B"/>
          </w:pPr>
          <w:r w:rsidRPr="00346AE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CEB826C-9EB5-43F2-B3BF-70EE22A438D2}"/>
      </w:docPartPr>
      <w:docPartBody>
        <w:p w:rsidR="00EC3D8F" w:rsidRDefault="004C0397">
          <w:r w:rsidRPr="009C217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0B3"/>
    <w:rsid w:val="001910B3"/>
    <w:rsid w:val="0019715C"/>
    <w:rsid w:val="00262729"/>
    <w:rsid w:val="003F0DCD"/>
    <w:rsid w:val="004C0397"/>
    <w:rsid w:val="00525984"/>
    <w:rsid w:val="00572C89"/>
    <w:rsid w:val="009F4A44"/>
    <w:rsid w:val="00B568AB"/>
    <w:rsid w:val="00C2765A"/>
    <w:rsid w:val="00D033EE"/>
    <w:rsid w:val="00E31ED6"/>
    <w:rsid w:val="00E90F56"/>
    <w:rsid w:val="00EA19A6"/>
    <w:rsid w:val="00EC3D8F"/>
    <w:rsid w:val="00F266CB"/>
    <w:rsid w:val="00F52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0397"/>
    <w:rPr>
      <w:color w:val="666666"/>
    </w:rPr>
  </w:style>
  <w:style w:type="paragraph" w:customStyle="1" w:styleId="4C2B1AB56A6E4D3D9A0AE377C3B78316">
    <w:name w:val="4C2B1AB56A6E4D3D9A0AE377C3B78316"/>
    <w:rsid w:val="001910B3"/>
  </w:style>
  <w:style w:type="paragraph" w:customStyle="1" w:styleId="2D8A24BCD89148758BF7DBACA560180D">
    <w:name w:val="2D8A24BCD89148758BF7DBACA560180D"/>
    <w:rsid w:val="001910B3"/>
  </w:style>
  <w:style w:type="paragraph" w:customStyle="1" w:styleId="923E56A840A04575A131392050B6E203">
    <w:name w:val="923E56A840A04575A131392050B6E203"/>
    <w:rsid w:val="004C0397"/>
  </w:style>
  <w:style w:type="paragraph" w:customStyle="1" w:styleId="BF505998DC554187A14B2F488EC1550C">
    <w:name w:val="BF505998DC554187A14B2F488EC1550C"/>
    <w:rsid w:val="004C0397"/>
  </w:style>
  <w:style w:type="paragraph" w:customStyle="1" w:styleId="365DF990855443A28C51C8ACB4D7CFBE">
    <w:name w:val="365DF990855443A28C51C8ACB4D7CFBE"/>
    <w:rsid w:val="004C0397"/>
  </w:style>
  <w:style w:type="paragraph" w:customStyle="1" w:styleId="C5A8471916384EDAAE626D403ADAE971">
    <w:name w:val="C5A8471916384EDAAE626D403ADAE971"/>
    <w:rsid w:val="004C0397"/>
  </w:style>
  <w:style w:type="paragraph" w:customStyle="1" w:styleId="CD01D30EF8A54D47B2AEB300AD5D7792">
    <w:name w:val="CD01D30EF8A54D47B2AEB300AD5D7792"/>
    <w:rsid w:val="004C0397"/>
  </w:style>
  <w:style w:type="paragraph" w:customStyle="1" w:styleId="8C34584D5CAF48439C819D1BA3B8AB79">
    <w:name w:val="8C34584D5CAF48439C819D1BA3B8AB79"/>
    <w:rsid w:val="004C0397"/>
  </w:style>
  <w:style w:type="paragraph" w:customStyle="1" w:styleId="0A7A7543C4BD4B69963919CB10C5EC37">
    <w:name w:val="0A7A7543C4BD4B69963919CB10C5EC37"/>
    <w:rsid w:val="004C0397"/>
  </w:style>
  <w:style w:type="paragraph" w:customStyle="1" w:styleId="78584B111552465E9BF0FB3B7A4D5937">
    <w:name w:val="78584B111552465E9BF0FB3B7A4D5937"/>
    <w:rsid w:val="004C0397"/>
  </w:style>
  <w:style w:type="paragraph" w:customStyle="1" w:styleId="0D3C55AA66AA4EA6BD3DDFC75AB177AF">
    <w:name w:val="0D3C55AA66AA4EA6BD3DDFC75AB177AF"/>
    <w:rsid w:val="004C0397"/>
  </w:style>
  <w:style w:type="paragraph" w:customStyle="1" w:styleId="820846D9B31440F491BC96C09D26FA1A">
    <w:name w:val="820846D9B31440F491BC96C09D26FA1A"/>
    <w:rsid w:val="004C0397"/>
  </w:style>
  <w:style w:type="paragraph" w:customStyle="1" w:styleId="D210016555984EB88EB679F51892FD7A">
    <w:name w:val="D210016555984EB88EB679F51892FD7A"/>
    <w:rsid w:val="004C0397"/>
  </w:style>
  <w:style w:type="paragraph" w:customStyle="1" w:styleId="E92A79EDC8AC4515869896CA85ACDA7B">
    <w:name w:val="E92A79EDC8AC4515869896CA85ACDA7B"/>
    <w:rsid w:val="004C0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C0D0650-C8F3-4807-BF7B-D5CCB024699C}">
  <we:reference id="wa104382081" version="1.55.1.0" store="en-US" storeType="OMEX"/>
  <we:alternateReferences>
    <we:reference id="WA104382081" version="1.55.1.0" store="" storeType="OMEX"/>
  </we:alternateReferences>
  <we:properties>
    <we:property name="MENDELEY_CITATIONS" value="[{&quot;citationID&quot;:&quot;MENDELEY_CITATION_6440a511-544c-49f1-a79a-3dfe2fb5fb00&quot;,&quot;properties&quot;:{&quot;noteIndex&quot;:0},&quot;isEdited&quot;:false,&quot;manualOverride&quot;:{&quot;isManuallyOverridden&quot;:true,&quot;citeprocText&quot;:&quot;(Johnston et al., 2019; Kponee et al., 2015)&quot;,&quot;manualOverrideText&quot;:&quot;(Johnston et al., 2019; Kponee et al., 2015).&quot;},&quot;citationTag&quot;:&quot;MENDELEY_CITATION_v3_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&quot;,&quot;citationItems&quot;:[{&quot;id&quot;:&quot;e9d775bc-e2fa-3e83-bca2-3954191fa854&quot;,&quot;itemData&quot;:{&quot;type&quot;:&quot;article&quot;,&quot;id&quot;:&quot;e9d775bc-e2fa-3e83-bca2-3954191fa854&quot;,&quot;title&quot;:&quot;Impact of upstream oil extraction and environmental public health: A review of the evidence&quot;,&quot;author&quot;:[{&quot;family&quot;:&quot;Johnston&quot;,&quot;given&quot;:&quot;Jill E.&quot;,&quot;parse-names&quot;:false,&quot;dropping-particle&quot;:&quot;&quot;,&quot;non-dropping-particle&quot;:&quot;&quot;},{&quot;family&quot;:&quot;Lim&quot;,&quot;given&quot;:&quot;Esther&quot;,&quot;parse-names&quot;:false,&quot;dropping-particle&quot;:&quot;&quot;,&quot;non-dropping-particle&quot;:&quot;&quot;},{&quot;family&quot;:&quot;Roh&quot;,&quot;given&quot;:&quot;Hannah&quot;,&quot;parse-names&quot;:false,&quot;dropping-particle&quot;:&quot;&quot;,&quot;non-dropping-particle&quot;:&quot;&quot;}],&quot;container-title&quot;:&quot;Science of the Total Environment&quot;,&quot;DOI&quot;:&quot;10.1016/j.scitotenv.2018.11.483&quot;,&quot;ISSN&quot;:&quot;18791026&quot;,&quot;issued&quot;:{&quot;date-parts&quot;:[[2019]]},&quot;abstract&quot;:&quot;Upstream oil extraction, which includes exploration and operation to bring crude oil to the surface, frequently occurs near human populations. There are approximately 40,000 oil fields globally and 6 million people that live or work nearby. Oil extraction can impact local soil, water, and air, which in turn can influence community health. As oil resources are increasingly being extracted near human populations, we highlight the current scope of scientific knowledge regarding potential community health impacts with the aim to help identify scientific gaps and inform policy discussions surrounding oil drilling operations. In this review, we assess the wide range of both direct and indirect impacts that oil drilling operations can have on human health, with specific emphasis on understanding the body of scientific literature to assess potential environmental and health risks to residents living near active onshore oil extraction sites. From an initial literature search capturing 2236 studies, we identified 22 human studies, including 5 occupational studies, 5 animal studies, 6 experimental studies and 31 oil drilling-related exposure studies relevant to the scope of this review. The current evidence suggests potential health impacts due to exposure to upstream oil extraction, such as cancer, liver damage, immunodeficiency, and neurological symptoms. Adverse impacts to soil, air, and water quality in oil drilling regions were also identified. Improved characterization of exposures by community health studies and further study of the chemical mixtures associated with oil extraction will be critical to determining the full range of health risks to communities living near oil extraction.&quot;,&quot;volume&quot;:&quot;657&quot;,&quot;container-title-short&quot;:&quot;&quot;},&quot;isTemporary&quot;:false},{&quot;id&quot;:&quot;05fb163f-b0fd-3ac0-8bea-4f607e3c23b1&quot;,&quot;itemData&quot;:{&quot;type&quot;:&quot;article-journal&quot;,&quot;id&quot;:&quot;05fb163f-b0fd-3ac0-8bea-4f607e3c23b1&quot;,&quot;title&quot;:&quot;Petroleum contaminated water and health symptoms: a cross-sectional pilot study in a rural Nigerian community&quot;,&quot;author&quot;:[{&quot;family&quot;:&quot;Kponee&quot;,&quot;given&quot;:&quot;Kalé Zainab&quot;,&quot;parse-names&quot;:false,&quot;dropping-particle&quot;:&quot;&quot;,&quot;non-dropping-particle&quot;:&quot;&quot;},{&quot;family&quot;:&quot;Chiger&quot;,&quot;given&quot;:&quot;Andrea&quot;,&quot;parse-names&quot;:false,&quot;dropping-particle&quot;:&quot;&quot;,&quot;non-dropping-particle&quot;:&quot;&quot;},{&quot;family&quot;:&quot;Kakulu&quot;,&quot;given&quot;:&quot;Iyenemi Ibimina&quot;,&quot;parse-names&quot;:false,&quot;dropping-particle&quot;:&quot;&quot;,&quot;non-dropping-particle&quot;:&quot;&quot;},{&quot;family&quot;:&quot;Vorhees&quot;,&quot;given&quot;:&quot;Donna&quot;,&quot;parse-names&quot;:false,&quot;dropping-particle&quot;:&quot;&quot;,&quot;non-dropping-particle&quot;:&quot;&quot;},{&quot;family&quot;:&quot;Heiger-Bernays&quot;,&quot;given&quot;:&quot;Wendy&quot;,&quot;parse-names&quot;:false,&quot;dropping-particle&quot;:&quot;&quot;,&quot;non-dropping-particle&quot;:&quot;&quot;}],&quot;container-title&quot;:&quot;Environmental Health: A Global Access Science Source&quot;,&quot;container-title-short&quot;:&quot;Environ Health&quot;,&quot;DOI&quot;:&quot;10.1186/s12940-015-0073-0&quot;,&quot;ISSN&quot;:&quot;1476069X&quot;,&quot;issued&quot;:{&quot;date-parts&quot;:[[2015]]},&quot;abstract&quot;:&quot;Background: The oil-rich Niger Delta suffers from extensive petroleum contamination. A pilot study was conducted in the region of Ogoniland where one community, Ogale, has drinking water wells highly contaminated with a refined oil product. In a 2011 study, the United Nations Environment Programme (UNEP) sampled Ogale drinking water wells and detected numerous petroleum hydrocarbons, including benzene at concentrations as much as 1800 times higher than the USEPA drinking water standard. UNEP recommended immediate provision of clean drinking water, medical surveillance, and a prospective cohort study. Although the Nigerian government has provided emergency drinking water, other UNEP recommendations have not been implemented. We aimed to (i) follow up on UNEP recommendations by investigating health symptoms associated with exposure to contaminated water; and (ii) assess the adequacy and utilization of the government-supplied emergency drinking water. Methods: We recruited 200 participants from Ogale and a reference community, Eteo, and administered questionnaires to investigate water use, perceived water safety, and self-reported health symptoms. Results: Our multivariate regression analyses show statistically significant associations between exposure to Ogale drinking water and self-reported health symptoms consistent with petroleum exposure. Participants in Ogale more frequently reported health symptoms related to neurological effects (OR = 2.8), hematological effects (OR = 3.3), and irritation (OR = 2.7). Conclusions: Our results are the first from a community relying on drinking water with such extremely high concentrations of benzene and other hydrocarbons. The ongoing exposure and these pilot study results highlight the need for more refined investigation as recommended by UNEP.&quot;,&quot;issue&quot;:&quot;1&quot;,&quot;volume&quot;:&quot;14&quot;},&quot;isTemporary&quot;:false}]},{&quot;citationID&quot;:&quot;MENDELEY_CITATION_2142e87e-47a5-4e3e-a4db-b1af2aec7f61&quot;,&quot;properties&quot;:{&quot;noteIndex&quot;:0},&quot;isEdited&quot;:false,&quot;manualOverride&quot;:{&quot;isManuallyOverridden&quot;:false,&quot;citeprocText&quot;:&quot;(Zhuang et al., 2021)&quot;,&quot;manualOverrideText&quot;:&quot;&quot;},&quot;citationTag&quot;:&quot;MENDELEY_CITATION_v3_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&quot;,&quot;citationItems&quot;:[{&quot;id&quot;:&quot;3c5b5e8d-564c-31d4-81de-8d9cddcf76eb&quot;,&quot;itemData&quot;:{&quot;type&quot;:&quot;article-journal&quot;,&quot;id&quot;:&quot;3c5b5e8d-564c-31d4-81de-8d9cddcf76eb&quot;,&quot;title&quot;:&quot;Unsaturated flow effects on solute transport in porous media&quot;,&quot;author&quot;:[{&quot;family&quot;:&quot;Zhuang&quot;,&quot;given&quot;:&quot;Luwen&quot;,&quot;parse-names&quot;:false,&quot;dropping-particle&quot;:&quot;&quot;,&quot;non-dropping-particle&quot;:&quot;&quot;},{&quot;family&quot;:&quot;Raoof&quot;,&quot;given&quot;:&quot;Amir&quot;,&quot;parse-names&quot;:false,&quot;dropping-particle&quot;:&quot;&quot;,&quot;non-dropping-particle&quot;:&quot;&quot;},{&quot;family&quot;:&quot;Mahmoodlu&quot;,&quot;given&quot;:&quot;Mojtaba G.&quot;,&quot;parse-names&quot;:false,&quot;dropping-particle&quot;:&quot;&quot;,&quot;non-dropping-particle&quot;:&quot;&quot;},{&quot;family&quot;:&quot;Biekart&quot;,&quot;given&quot;:&quot;Sara&quot;,&quot;parse-names&quot;:false,&quot;dropping-particle&quot;:&quot;&quot;,&quot;non-dropping-particle&quot;:&quot;&quot;},{&quot;family&quot;:&quot;Witte&quot;,&quot;given&quot;:&quot;Riemer&quot;,&quot;parse-names&quot;:false,&quot;dropping-particle&quot;:&quot;&quot;,&quot;non-dropping-particle&quot;:&quot;de&quot;},{&quot;family&quot;:&quot;Badi&quot;,&quot;given&quot;:&quot;Lubna&quot;,&quot;parse-names&quot;:false,&quot;dropping-particle&quot;:&quot;&quot;,&quot;non-dropping-particle&quot;:&quot;&quot;},{&quot;family&quot;:&quot;Genuchten&quot;,&quot;given&quot;:&quot;Martinus Th&quot;,&quot;parse-names&quot;:false,&quot;dropping-particle&quot;:&quot;&quot;,&quot;non-dropping-particle&quot;:&quot;van&quot;},{&quot;family&quot;:&quot;Lin&quot;,&quot;given&quot;:&quot;Kairong&quot;,&quot;parse-names&quot;:false,&quot;dropping-particle&quot;:&quot;&quot;,&quot;non-dropping-particle&quot;:&quot;&quot;}],&quot;container-title&quot;:&quot;Journal of Hydrology&quot;,&quot;container-title-short&quot;:&quot;J Hydrol (Amst)&quot;,&quot;DOI&quot;:&quot;10.1016/j.jhydrol.2021.126301&quot;,&quot;ISSN&quot;:&quot;00221694&quot;,&quot;issued&quot;:{&quot;date-parts&quot;:[[2021]]},&quot;abstract&quot;:&quot;A major contaminant transport process in soils is hydrodynamic dispersion by affecting the spreading and arrival of surface-applied pollutants at underlying groundwater reservoirs. When a soil is unsaturated, hydrodynamic dispersion is very much affected by soil water saturation. Centimeter- and decimeter-scale column experiments were carried out to explore the effects of fluid saturation and particle size on the unsaturated solute dispersivity. Measured in-situ breakthrough curves were analyzed in terms of both classical advection–dispersion and dual-porosity (mobile-immobile) type transport equations. A clear non-monotonic relationship was found between the dispersivity and soil water saturation. The extent of non-monotonicity was more pronounced for a relatively coarse-textured sand compared to a finer sand. This finding has been reported rarely before; it explains some of the inconsistencies of saturation-dispersivity relationships in the literature.&quot;,&quot;volume&quot;:&quot;598&quot;},&quot;isTemporary&quot;:false}]},{&quot;citationID&quot;:&quot;MENDELEY_CITATION_0c7d1e7a-7014-4ab7-876e-2d5c5b10eed9&quot;,&quot;properties&quot;:{&quot;noteIndex&quot;:0},&quot;isEdited&quot;:false,&quot;manualOverride&quot;:{&quot;isManuallyOverridden&quot;:false,&quot;citeprocText&quot;:&quot;(Koroša et al., 2020)&quot;,&quot;manualOverrideText&quot;:&quot;&quot;},&quot;citationTag&quot;:&quot;MENDELEY_CITATION_v3_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&quot;,&quot;citationItems&quot;:[{&quot;id&quot;:&quot;00174927-cf74-3aa1-9f2e-4a1407a38df7&quot;,&quot;itemData&quot;:{&quot;type&quot;:&quot;article-journal&quot;,&quot;id&quot;:&quot;00174927-cf74-3aa1-9f2e-4a1407a38df7&quot;,&quot;title&quot;:&quot;Estimating the transport parameters of propyphenazone, caffeine and carbamazepine by means of a tracer experiment in a coarse-gravel unsaturated zone&quot;,&quot;author&quot;:[{&quot;family&quot;:&quot;Koroša&quot;,&quot;given&quot;:&quot;Anja&quot;,&quot;parse-names&quot;:false,&quot;dropping-particle&quot;:&quot;&quot;,&quot;non-dropping-particle&quot;:&quot;&quot;},{&quot;family&quot;:&quot;Brenčič&quot;,&quot;given&quot;:&quot;Mihael&quot;,&quot;parse-names&quot;:false,&quot;dropping-particle&quot;:&quot;&quot;,&quot;non-dropping-particle&quot;:&quot;&quot;},{&quot;family&quot;:&quot;Mali&quot;,&quot;given&quot;:&quot;Nina&quot;,&quot;parse-names&quot;:false,&quot;dropping-particle&quot;:&quot;&quot;,&quot;non-dropping-particle&quot;:&quot;&quot;}],&quot;container-title&quot;:&quot;Water Research&quot;,&quot;container-title-short&quot;:&quot;Water Res&quot;,&quot;DOI&quot;:&quot;10.1016/j.watres.2020.115680&quot;,&quot;ISSN&quot;:&quot;18792448&quot;,&quot;issued&quot;:{&quot;date-parts&quot;:[[2020]]},&quot;abstract&quot;:&quot;Among the emerging contaminants today, pharmaceuticals are some of the most demanding chemical compounds when it comes to understanding their transport within aquifers. The transport of pharmaceuticals in an unsaturated zone is influenced by many factors, including compound sorption and degradation, which is essential in assessing contaminant migration in soil and groundwater. Coarse-gravel aquifers are particularly important for drinking water sources and industrial water supply. Globally, little data on the transport characteristics of coarse-gravel unsaturated zones is available. However, such data is crucial to understanding the transport of pollutants and to implementing the appropriate management strategies to protect the aquifers. In this article, we present tracer experiments employed to determine pharmaceutical transport parameters in the coarse-gravel unsaturated zone. The tracer experiment was performed as a multi-tracer exercise, where deuterated water was infiltrated as a conservative tracer to define the characteristics of the unsaturated zone, together with pharmaceuticals (propyphenazone, caffeine and carbamazepine) as reactive tracers. Based on the breakthrough curves measured at various depths, inverse modelling in combination with analytical and numerical methods (HYDRUS-1D) was performed. Hydraulic parameters for the unsaturated zone were estimated. Linear sorption coefficients (Kd) and degradation half-lives (t1/2) were evaluated for each pharmaceutical. In the unsaturated zone of the coarse-gravel aquifer caffeine has the lowest sorption capacity (mean Kd = 0.027 Lkg-1), while the sorption coefficient of propyphenazone is higher (Kd = 0.07 Lkg-1). Results for the degradation constant of the first order and t1/2 indicate that caffeine has the fastest decay rate (highest t1/2 = 69.3 days), followed by propyphenazone (highest t1/2 = 92.4 days). The parameters for carbamazepine could not be determined using an advection dispersion equation.&quot;,&quot;volume&quot;:&quot;175&quot;},&quot;isTemporary&quot;:false}]},{&quot;citationID&quot;:&quot;MENDELEY_CITATION_fd500e76-dc84-4bf8-aad5-41e932e0bbe2&quot;,&quot;properties&quot;:{&quot;noteIndex&quot;:0},&quot;isEdited&quot;:false,&quot;manualOverride&quot;:{&quot;isManuallyOverridden&quot;:false,&quot;citeprocText&quot;:&quot;(El-Aassar et al., 2023)&quot;,&quot;manualOverrideText&quot;:&quot;&quot;},&quot;citationTag&quot;:&quot;MENDELEY_CITATION_v3_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&quot;,&quot;citationItems&quot;:[{&quot;id&quot;:&quot;a8f2c288-ff3a-3119-b778-55e6e4d53d19&quot;,&quot;itemData&quot;:{&quot;type&quot;:&quot;article-journal&quot;,&quot;id&quot;:&quot;a8f2c288-ff3a-3119-b778-55e6e4d53d19&quot;,&quot;title&quot;:&quot;Integration of groundwater vulnerability with contaminants transport modeling in unsaturated zone, case study El-Sharqia, Egypt&quot;,&quot;author&quot;:[{&quot;family&quot;:&quot;El-Aassar&quot;,&quot;given&quot;:&quot;Abdel Hameed&quot;,&quot;parse-names&quot;:false,&quot;dropping-particle&quot;:&quot;&quot;,&quot;non-dropping-particle&quot;:&quot;&quot;},{&quot;family&quot;:&quot;Hagagg&quot;,&quot;given&quot;:&quot;Kamilia&quot;,&quot;parse-names&quot;:false,&quot;dropping-particle&quot;:&quot;&quot;,&quot;non-dropping-particle&quot;:&quot;&quot;},{&quot;family&quot;:&quot;Hussien&quot;,&quot;given&quot;:&quot;Rasha&quot;,&quot;parse-names&quot;:false,&quot;dropping-particle&quot;:&quot;&quot;,&quot;non-dropping-particle&quot;:&quot;&quot;},{&quot;family&quot;:&quot;Oterkus&quot;,&quot;given&quot;:&quot;Selda&quot;,&quot;parse-names&quot;:false,&quot;dropping-particle&quot;:&quot;&quot;,&quot;non-dropping-particle&quot;:&quot;&quot;},{&quot;family&quot;:&quot;Oterkus&quot;,&quot;given&quot;:&quot;Erkan&quot;,&quot;parse-names&quot;:false,&quot;dropping-particle&quot;:&quot;&quot;,&quot;non-dropping-particle&quot;:&quot;&quot;}],&quot;container-title&quot;:&quot;Environmental Monitoring and Assessment&quot;,&quot;container-title-short&quot;:&quot;Environ Monit Assess&quot;,&quot;DOI&quot;:&quot;10.1007/s10661-023-11298-3&quot;,&quot;ISSN&quot;:&quot;15732959&quot;,&quot;issued&quot;:{&quot;date-parts&quot;:[[2023]]},&quot;abstract&quot;:&quot;Nowadays, irrigation uses large amount of marginal wastewater due to continuous decline in fresh water supply. As a consequence, using this wastewater for different purposes can cause some adverse environmental impacts. Anthropogenic activities such as septic tanks, sewage ponds, and polluted drains have large influence on deterioration of shallow groundwater aquifers. So, construction of many wastewater treatment plants in these areas is mandatory to control and mitigate this deterioration. Groundwater vulnerability assessment maps and contamination simulation in unsaturated zone can be beneficial in understanding contaminants pathways and groundwater quality evolution. This work is mainly focused on aquifer vulnerability assessment to pollution and the role of vadose zone in attenuation of contaminants transport through it prior to groundwater seepage. Therefore, about 56 drainage and groundwater samples were collected and analyzed for potentially toxic elements. The most vulnerable sector was determined using GOD method revealing that central parts of the study area are the most threatened zones with some scattered sporadic zone of sensitivity to pollution and this was verified through the zonation of Pb, Fe, and Mn spatial concentrations. The leakage of these elements through the unsaturated zone was further simulated using HYDRUS-1D model for the next 10-year period to determine the extent of the pollution plumes and maximum concentration of these elements that percolate to the groundwater directly. The concentration of Fe, Pb, and Mn at the end of the simulation reached low concentrations at the bottom layer of the unsaturated zone.&quot;,&quot;issue&quot;:&quot;6&quot;,&quot;volume&quot;:&quot;195&quot;},&quot;isTemporary&quot;:false}]},{&quot;citationID&quot;:&quot;MENDELEY_CITATION_ea3a33b9-bb69-483d-82fe-637554955685&quot;,&quot;properties&quot;:{&quot;noteIndex&quot;:0},&quot;isEdited&quot;:false,&quot;manualOverride&quot;:{&quot;isManuallyOverridden&quot;:true,&quot;citeprocText&quot;:&quot;(Delin &amp;#38; Herkelrath, 2017; Srivastava &amp;#38; Valsala, 2023)&quot;,&quot;manualOverrideText&quot;:&quot;(Delin &amp; Herkelrath, 2017; Srivastava &amp; Valsala, 2023).&quot;},&quot;citationTag&quot;:&quot;MENDELEY_CITATION_v3_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&quot;,&quot;citationItems&quot;:[{&quot;id&quot;:&quot;40b69f9c-0995-3d7d-80d2-e8390ed48814&quot;,&quot;itemData&quot;:{&quot;type&quot;:&quot;article-journal&quot;,&quot;id&quot;:&quot;40b69f9c-0995-3d7d-80d2-e8390ed48814&quot;,&quot;title&quot;:&quot;Effects of crude oil on water and tracer movement in the unsaturated and saturated zones&quot;,&quot;author&quot;:[{&quot;family&quot;:&quot;Delin&quot;,&quot;given&quot;:&quot;Geoffrey N.&quot;,&quot;parse-names&quot;:false,&quot;dropping-particle&quot;:&quot;&quot;,&quot;non-dropping-particle&quot;:&quot;&quot;},{&quot;family&quot;:&quot;Herkelrath&quot;,&quot;given&quot;:&quot;William N.&quot;,&quot;parse-names&quot;:false,&quot;dropping-particle&quot;:&quot;&quot;,&quot;non-dropping-particle&quot;:&quot;&quot;}],&quot;container-title&quot;:&quot;Journal of Contaminant Hydrology&quot;,&quot;container-title-short&quot;:&quot;J Contam Hydrol&quot;,&quot;DOI&quot;:&quot;10.1016/j.jconhyd.2017.03.007&quot;,&quot;ISSN&quot;:&quot;18736009&quot;,&quot;issued&quot;:{&quot;date-parts&quot;:[[2017]]},&quot;abstract&quot;:&quot;A tracer test was conducted to aid in the investigation of water movement and solute transport at a crude-oil spill site near Bemidji, Minnesota. Time of travel was measured using breakthrough curves for rhodamine WT and bromide tracers moving from the soil surface through oil-contaminated and oil-free unsaturated zones to the saturated zone. Results indicate that the rates of tracer movement were similar in the oil-free unsaturated and saturated zones compared to the oily zones. These results are somewhat surprising given the oil contamination in the unsaturated and saturated zones. Rhodamine tracer breakthrough in the unsaturated and saturated zones in general was delayed in comparison to bromide tracer breakthrough. Peak tracer concentrations for the lysimeters and wells in the oily zone were much greater than at the corresponding depths in the oil-free zone. Water and tracer movement in the oily zone was complicated by soil hydrophobicity and decreased oil saturations toward the periphery of the oil. Preferential flow resulted in reduced tracer interaction with the soil, adsorption, and dispersion and faster tracer movement in the oily zone than expected. Tracers were freely transported through the oily zone to the water table. Recharge calculations support the idea that the oil does not substantially affect recharge in the oily zone. This is an important result indicating that previous model-based assumptions of decreased recharge beneath the oil were incorrect. Results have important implications for modeling the fate and transport of dissolved contaminants at hydrocarbon spill sites.&quot;,&quot;volume&quot;:&quot;200&quot;},&quot;isTemporary&quot;:false},{&quot;id&quot;:&quot;454b68cf-d571-31ba-bd76-ad324c61db97&quot;,&quot;itemData&quot;:{&quot;type&quot;:&quot;article-journal&quot;,&quot;id&quot;:&quot;454b68cf-d571-31ba-bd76-ad324c61db97&quot;,&quot;title&quot;:&quot;Numerical modeling to assess the effect of soil texture on transport and attenuation of petroleum hydrocarbons in unsaturated zone&quot;,&quot;author&quot;:[{&quot;family&quot;:&quot;Srivastava&quot;,&quot;given&quot;:&quot;Akanksha&quot;,&quot;parse-names&quot;:false,&quot;dropping-particle&quot;:&quot;&quot;,&quot;non-dropping-particle&quot;:&quot;&quot;},{&quot;family&quot;:&quot;Valsala&quot;,&quot;given&quot;:&quot;Renu&quot;,&quot;parse-names&quot;:false,&quot;dropping-particle&quot;:&quot;&quot;,&quot;non-dropping-particle&quot;:&quot;&quot;}],&quot;container-title&quot;:&quot;Environmental Science and Pollution Research&quot;,&quot;DOI&quot;:&quot;10.1007/s11356-023-25557-w&quot;,&quot;ISSN&quot;:&quot;16147499&quot;,&quot;issued&quot;:{&quot;date-parts&quot;:[[2023]]},&quot;abstract&quot;:&quot;Soil texture in the unsaturated zone is a critical factor affecting the transport, accumulation, and attenuation rate of petroleum hydrocarbons (PHCs) in unsaturated conditions. The scope of this study is to investigate the soil texture impact on the fate of PHCs in unsaturated zones. The main objective is to formulate a coupled flow and multicomponent transport model for simulating the PHC plumes in various soil textures. Zeroth spatial moment (ZSM) of simulated PHC plumes is estimated to quantify the transient effect of soil textures on the dissolved PHC mass in the system. A BTEX (benzene, toluene, ethylbenzene, and xylene) spill is considered at the source zone for modeling. Simulations are carried out for clay, sand, and loam textures. The outcome of the study suggests that the infiltration rate in the unsaturated zone is minimal in clay texture. Wetting front depths and BTEX source depletion rates are found to be in the following order: clay &lt; loam &lt; sand. The migration depth of BTEX components in the sand texture is approximately twice the depth for clay and loam after 50 days. An increment in the BTEX source zone length by twofold enhances the dissolved BTEX mass in the unsaturated system by approximately 33% in all soil textures. Overall, the modeling and sensitivity studies conclude that the soil texture, vertical dispersivity, source zone length and composition, sorption characteristics, and volatility critically affect the depth and extent of BTEX migration in unsaturated zones.&quot;,&quot;issue&quot;:&quot;16&quot;,&quot;volume&quot;:&quot;30&quot;,&quot;container-title-short&quot;:&quot;&quot;},&quot;isTemporary&quot;:false}]},{&quot;citationID&quot;:&quot;MENDELEY_CITATION_6bcdadde-eb65-426c-917e-3f68cfe3cb9e&quot;,&quot;properties&quot;:{&quot;noteIndex&quot;:0},&quot;isEdited&quot;:false,&quot;manualOverride&quot;:{&quot;isManuallyOverridden&quot;:false,&quot;citeprocText&quot;:&quot;(Bear &amp;#38; Cheng, 2010)&quot;,&quot;manualOverrideText&quot;:&quot;&quot;},&quot;citationTag&quot;:&quot;MENDELEY_CITATION_v3_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&quot;,&quot;citationItems&quot;:[{&quot;id&quot;:&quot;222bbb3e-552d-3542-ab1f-80a27dfc1912&quot;,&quot;itemData&quot;:{&quot;type&quot;:&quot;book&quot;,&quot;id&quot;:&quot;222bbb3e-552d-3542-ab1f-80a27dfc1912&quot;,&quot;title&quot;:&quot;Modeling Groundwater Flow and Contaminant Transport&quot;,&quot;author&quot;:[{&quot;family&quot;:&quot;Bear&quot;,&quot;given&quot;:&quot;Jacob&quot;,&quot;parse-names&quot;:false,&quot;dropping-particle&quot;:&quot;&quot;,&quot;non-dropping-particle&quot;:&quot;&quot;},{&quot;family&quot;:&quot;Cheng&quot;,&quot;given&quot;:&quot;Alexander H.-D.&quot;,&quot;parse-names&quot;:false,&quot;dropping-particle&quot;:&quot;&quot;,&quot;non-dropping-particle&quot;:&quot;&quot;}],&quot;container-title&quot;:&quot;Modeling Groundwater Flow and Contaminant Transport&quot;,&quot;DOI&quot;:&quot;10.1007/978-1-4020-6682-5&quot;,&quot;issued&quot;:{&quot;date-parts&quot;:[[2010]]},&quot;abstract&quot;:&quot;Groundwater, extracted from deep geological formations (called aquifers) through pumping wells, constitutes an important component of many wa- ter resource systems. A spring constitutes an outlet for groundwater from an underlying aquifer to ground surface; its discharge rate may be strongly af- fected by pumping from the same aquifer in the vicinity of the spring.Water can be injected through specially designed wells into an aquifer, say, for stor- age purposes. A water table aquifer can also be artificially recharged through infiltration ponds. These are just a few examples of factor that may affect the management of a groundwater system. Decisions associated with such management include, for example,&quot;,&quot;container-title-short&quot;:&quot;&quot;},&quot;isTemporary&quot;:false}]},{&quot;citationID&quot;:&quot;MENDELEY_CITATION_cba2e849-51a5-4af6-b66e-d12dd65510a5&quot;,&quot;properties&quot;:{&quot;noteIndex&quot;:0},&quot;isEdited&quot;:false,&quot;manualOverride&quot;:{&quot;isManuallyOverridden&quot;:true,&quot;citeprocText&quot;:&quot;(Ugwoha et al., 2019)&quot;,&quot;manualOverrideText&quot;:&quot;Ugwoha et al., (2019)&quot;},&quot;citationTag&quot;:&quot;MENDELEY_CITATION_v3_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&quot;,&quot;citationItems&quot;:[{&quot;id&quot;:&quot;6023f6a3-e18f-3a3e-acf2-80fe9345a70b&quot;,&quot;itemData&quot;:{&quot;type&quot;:&quot;article-journal&quot;,&quot;id&quot;:&quot;6023f6a3-e18f-3a3e-acf2-80fe9345a70b&quot;,&quot;title&quot;:&quot;Modelling the Transport of Crude Oil in Sandy Soil&quot;,&quot;author&quot;:[{&quot;family&quot;:&quot;Ugwoha&quot;,&quot;given&quot;:&quot;Ejikeme&quot;,&quot;parse-names&quot;:false,&quot;dropping-particle&quot;:&quot;&quot;,&quot;non-dropping-particle&quot;:&quot;&quot;},{&quot;family&quot;:&quot;Amah&quot;,&quot;given&quot;:&quot;Victor Emeka&quot;,&quot;parse-names&quot;:false,&quot;dropping-particle&quot;:&quot;&quot;,&quot;non-dropping-particle&quot;:&quot;&quot;},{&quot;family&quot;:&quot;Agharese-Adu&quot;,&quot;given&quot;:&quot;Precious Ehis&quot;,&quot;parse-names&quot;:false,&quot;dropping-particle&quot;:&quot;&quot;,&quot;non-dropping-particle&quot;:&quot;&quot;}],&quot;container-title&quot;:&quot;Ejikeme Ugwoha Journal of Engineering Research and Application www.ijera.com&quot;,&quot;DOI&quot;:&quot;10.9790/9622-0908010112&quot;,&quot;URL&quot;:&quot;www.ijera.com&quot;,&quot;issued&quot;:{&quot;date-parts&quot;:[[2019]]},&quot;page&quot;:&quot;1-12&quot;,&quot;abstract&quot;:&quot;The transport and retention of crude oil in sandy soil was studied. A full factorial experimental design with three independent variables, namely soil depth, contaminant volume and rainfall intensity, was used. The soil was artificially contaminated with varying crude oil volumes and rainfall simulation was performed in a mesocosm. The results obtained showed variations in the transport and retention of crude oil with the independent variables. The leached total petroleum hydrocarbons (TPH) concentrations decreased with increasing soil depth but increased with increasing contaminant volume and rainfall intensity. Contrarily, the retained TPH concentrations increased with increasing soil depth and contaminant volume but decreased with increasing rainfall intensity. Transport and retention models were developed and used to fit the transport and retention of crude oil in sandy soil after accidental release with correlation coefficient of 0.9407 and 0.9446 for the transport and retention model, respectively.&quot;,&quot;volume&quot;:&quot;9&quot;,&quot;container-title-short&quot;:&quot;&quot;},&quot;isTemporary&quot;:false}]},{&quot;citationID&quot;:&quot;MENDELEY_CITATION_d7c0087a-0a48-4808-b8d7-4d592a97d02c&quot;,&quot;properties&quot;:{&quot;noteIndex&quot;:0},&quot;isEdited&quot;:false,&quot;manualOverride&quot;:{&quot;isManuallyOverridden&quot;:false,&quot;citeprocText&quot;:&quot;(Ahmad et al., 2018)&quot;,&quot;manualOverrideText&quot;:&quot;&quot;},&quot;citationTag&quot;:&quot;MENDELEY_CITATION_v3_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&quot;,&quot;citationItems&quot;:[{&quot;id&quot;:&quot;1d1f19ec-5953-3d00-98ae-4d978e5bca31&quot;,&quot;itemData&quot;:{&quot;type&quot;:&quot;article-journal&quot;,&quot;id&quot;:&quot;1d1f19ec-5953-3d00-98ae-4d978e5bca31&quot;,&quot;title&quot;:&quot;Effects of Soil Recompaction On Permeability&quot;,&quot;author&quot;:[{&quot;family&quot;:&quot;Ahmad&quot;,&quot;given&quot;:&quot;K&quot;,&quot;parse-names&quot;:false,&quot;dropping-particle&quot;:&quot;&quot;,&quot;non-dropping-particle&quot;:&quot;&quot;},{&quot;family&quot;:&quot;Yamusa&quot;,&quot;given&quot;:&quot;Y B&quot;,&quot;parse-names&quot;:false,&quot;dropping-particle&quot;:&quot;&quot;,&quot;non-dropping-particle&quot;:&quot;&quot;},{&quot;family&quot;:&quot;Kamisan&quot;,&quot;given&quot;:&quot;M A&quot;,&quot;parse-names&quot;:false,&quot;dropping-particle&quot;:&quot;Bin&quot;,&quot;non-dropping-particle&quot;:&quot;&quot;}],&quot;container-title&quot;:&quot;Science World Journal&quot;,&quot;ISSN&quot;:&quot;1597-6343&quot;,&quot;URL&quot;:&quot;www.scienceworldjournal.org&quot;,&quot;issued&quot;:{&quot;date-parts&quot;:[[2018]]},&quot;issue&quot;:&quot;3&quot;,&quot;volume&quot;:&quot;13&quot;,&quot;container-title-short&quot;:&quot;&quot;},&quot;isTemporary&quot;:false}]},{&quot;citationID&quot;:&quot;MENDELEY_CITATION_f2408a00-db77-47a5-ab5b-ab4c3312c1a0&quot;,&quot;properties&quot;:{&quot;noteIndex&quot;:0,&quot;mode&quot;:&quot;composite&quot;},&quot;isEdited&quot;:false,&quot;manualOverride&quot;:{&quot;isManuallyOverridden&quot;:false,&quot;citeprocText&quot;:&quot;Frevert &amp;#38; Kirkham (1948)&quot;,&quot;manualOverrideText&quot;:&quot;&quot;},&quot;citationTag&quot;:&quot;MENDELEY_CITATION_v3_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&quot;,&quot;citationItems&quot;:[{&quot;id&quot;:&quot;fffd4fe7-4cff-3d60-a7f9-ea71fc297ed2&quot;,&quot;itemData&quot;:{&quot;type&quot;:&quot;article-journal&quot;,&quot;id&quot;:&quot;fffd4fe7-4cff-3d60-a7f9-ea71fc297ed2&quot;,&quot;title&quot;:&quot;A field method for measuring the permeability of soil below a water table&quot;,&quot;author&quot;:[{&quot;family&quot;:&quot;Frevert&quot;,&quot;given&quot;:&quot;R. K.&quot;,&quot;parse-names&quot;:false,&quot;dropping-particle&quot;:&quot;&quot;,&quot;non-dropping-particle&quot;:&quot;&quot;},{&quot;family&quot;:&quot;Kirkham&quot;,&quot;given&quot;:&quot;D.&quot;,&quot;parse-names&quot;:false,&quot;dropping-particle&quot;:&quot;&quot;,&quot;non-dropping-particle&quot;:&quot;&quot;}],&quot;container-title&quot;:&quot;Highway Res. Board Proc.&quot;,&quot;issued&quot;:{&quot;date-parts&quot;:[[1948]]},&quot;abstract&quot;:&quot;SYNOPSIS The measurement of water permeability of soil under field conditions is a problem of major importance in connection with tho design of structures for controlling ground water. Present methods of permeability measurement are not entirely satisfactory, particularly with respect to the measurement of permeabil-ity when it is desired that the natural field structure not be disturbed and that the readings be statistically significant. This paper presents a method of per-meability measurement, in the field, below the water table, involving a minimum of soil disturbance and yielding statistically significant results. The method involves the insertion of a tube into the soil to the depth where the measurement is desired, the removal of the soil from the tube, the emptying of the water in the tube to a known distance below the water table level, and the measuring of rise of water in the tube in a known time. The permeability is determined in standard units using a formula based on Darcy's Law. The formula involves the radius of the tube, the depth of tho tube below the water table, and a certain constant obtained in the laboratory. The constant, evaluated in the laboratory, depends upon the radius and depth of the tube. It was determined by a three dimensional electric analogue of its ground water flow system, the ground water flow having been simulated by a corresponding electric current flow. The analogue was also used to obtain the streamline pattern, and lines of equal hydraulic head, and to evaluate changes in the rate of flow due to obstructions , such as rocks, which may be near the end of a tube. The analogue was used because a mathematical analysis of the problem is not at hand. The effect of rocks and other obstructions on the accuracy of the measurements was found to be small. The field equipment consists of apparatus for driving the tubes quickly, for removing the soil from the tubes without puddling the exposed soil surface, for measuring the water levels, and for pulling the tubes from tho soil. Eight inch diameter tubes were used in this study. Some field data are also reported in this paper. Statistical methods wore used to determine, from the data, the number of tubes required to obtain measurements of a reasonable degree of accuracy. The results indicate that permeabil-ity determinations at depths of 6 in. or less are difiicult to duplicate and are of doubtful value. At depths of 12 in. or more, satisfactorily uniform results were obtained. Two additional methods of permeability measurement are briefly described.&quot;,&quot;volume&quot;:&quot;28&quot;,&quot;container-title-short&quot;:&quot;&quot;},&quot;isTemporary&quot;:false,&quot;displayAs&quot;:&quot;composite&quot;,&quot;suppress-author&quot;:false,&quot;composite&quot;:true,&quot;author-only&quot;:false}]},{&quot;citationID&quot;:&quot;MENDELEY_CITATION_7a382b54-fd0c-4730-86db-e33854256780&quot;,&quot;properties&quot;:{&quot;noteIndex&quot;:0,&quot;mode&quot;:&quot;composite&quot;},&quot;isEdited&quot;:false,&quot;manualOverride&quot;:{&quot;isManuallyOverridden&quot;:false,&quot;citeprocText&quot;:&quot;Bierkens &amp;#38; Geerts (2014)&quot;,&quot;manualOverrideText&quot;:&quot;&quot;},&quot;citationTag&quot;:&quot;MENDELEY_CITATION_v3_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&quot;,&quot;citationItems&quot;:[{&quot;displayAs&quot;:&quot;composite&quot;,&quot;label&quot;:&quot;page&quot;,&quot;id&quot;:&quot;0345273e-b09e-3ebd-8754-e328ebc8d655&quot;,&quot;itemData&quot;:{&quot;type&quot;:&quot;article-journal&quot;,&quot;id&quot;:&quot;0345273e-b09e-3ebd-8754-e328ebc8d655&quot;,&quot;title&quot;:&quot;Environmental hazard and risk characterisation of petroleum substances: A guided \&quot;walking tour\&quot; of petroleum hydrocarbons&quot;,&quot;author&quot;:[{&quot;family&quot;:&quot;Bierkens&quot;,&quot;given&quot;:&quot;Johan&quot;,&quot;parse-names&quot;:false,&quot;dropping-particle&quot;:&quot;&quot;,&quot;non-dropping-particle&quot;:&quot;&quot;},{&quot;family&quot;:&quot;Geerts&quot;,&quot;given&quot;:&quot;Lieve&quot;,&quot;parse-names&quot;:false,&quot;dropping-particle&quot;:&quot;&quot;,&quot;non-dropping-particle&quot;:&quot;&quot;}],&quot;container-title&quot;:&quot;Environment International&quot;,&quot;container-title-short&quot;:&quot;Environ Int&quot;,&quot;DOI&quot;:&quot;10.1016/j.envint.2014.01.030&quot;,&quot;ISSN&quot;:&quot;18736750&quot;,&quot;issued&quot;:{&quot;date-parts&quot;:[[2014]]},&quot;abstract&quot;:&quot;Petroleum substances are used in large quantities, primarily as fuels. They are complex mixtures whose major constituents are hydrocarbons derived from crude oil by distillation and fractionation. Determining the complete molecular composition of petroleum and its refined products is not feasible with current analytical techniques because of the huge number of molecular components. This complex nature of petroleum products, with their varied number of constituents, all of them exhibiting different fate and effect characteristics, merits a dedicated hazard and risk assessment approach. From a regulatory perspective they pose a great challenge in a number of REACH processes, in particular in the context of dossier and substance evaluation but also for priority setting activities. In order to facilitate the performance of hazard and risk assessment for petroleum substances the European oil company association, CONCAWE, has developed the PETROTOX and PETRORISK spreadsheet models.Since the exact composition of many petroleum products is not known, an underlying assumption of the PETROTOX and PETRORISK tools is that the behaviour and fate of a total petroleum substance can be simulated based on the physical-chemical properties of representative structures mapped to hydrocarbon blocks (HBs) and on the relative share of each HB in the total mass of the product. To assess how differing chemical compositions affect the simulated chemical fate and toxicity of hydrocarbon mixtures, a series of model simulations were run using an artificial petroleum substance, containing 386 (PETROTOX) or 160 (PETRORISK) HBs belonging to different chemical classes and molecular weight ranges, but with equal mass assigned to each of them. To this artificial petroleum substance a guided series of subsequent modifications in mass allocation to a delineated number of HBs belonging to different chemical classes and carbon ranges was performed, in what we perceived as a guided \&quot;walking tour\&quot; through the chemical space of petroleum substances. We show that the PETROTOX and PETRORISK predictions reflect changes in mass distribution introduced to selected HBs by affecting hazard and risk estimates in correspondence with what is expected based on physical-chemical properties of individual constituents in the corresponding HBs. © 2014 Elsevier Ltd.&quot;,&quot;volume&quot;:&quot;66&quot;},&quot;isTemporary&quot;:false,&quot;suppress-author&quot;:false,&quot;composite&quot;:true,&quot;author-only&quot;:false}]},{&quot;citationID&quot;:&quot;MENDELEY_CITATION_647d94e9-c79c-45b4-a5b8-49874d3e90be&quot;,&quot;properties&quot;:{&quot;noteIndex&quot;:0,&quot;mode&quot;:&quot;composite&quot;},&quot;isEdited&quot;:false,&quot;manualOverride&quot;:{&quot;isManuallyOverridden&quot;:false,&quot;citeprocText&quot;:&quot;Ranaivomanana et al. (2017)&quot;,&quot;manualOverrideText&quot;:&quot;&quot;},&quot;citationTag&quot;:&quot;MENDELEY_CITATION_v3_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&quot;,&quot;citationItems&quot;:[{&quot;id&quot;:&quot;63ca1e3d-f1e9-3907-8807-bc94ae49dc3b&quot;,&quot;itemData&quot;:{&quot;type&quot;:&quot;article-journal&quot;,&quot;id&quot;:&quot;63ca1e3d-f1e9-3907-8807-bc94ae49dc3b&quot;,&quot;title&quot;:&quot;Permeability Prediction of Soils Including Degree of Compaction and Microstructure&quot;,&quot;author&quot;:[{&quot;family&quot;:&quot;Ranaivomanana&quot;,&quot;given&quot;:&quot;Harifidy&quot;,&quot;parse-names&quot;:false,&quot;dropping-particle&quot;:&quot;&quot;,&quot;non-dropping-particle&quot;:&quot;&quot;},{&quot;family&quot;:&quot;Razakamanantsoa&quot;,&quot;given&quot;:&quot;Andry&quot;,&quot;parse-names&quot;:false,&quot;dropping-particle&quot;:&quot;&quot;,&quot;non-dropping-particle&quot;:&quot;&quot;},{&quot;family&quot;:&quot;Amiri&quot;,&quot;given&quot;:&quot;Ouali&quot;,&quot;parse-names&quot;:false,&quot;dropping-particle&quot;:&quot;&quot;,&quot;non-dropping-particle&quot;:&quot;&quot;}],&quot;container-title&quot;:&quot;International Journal of Geomechanics&quot;,&quot;DOI&quot;:&quot;10.1061/(asce)gm.1943-5622.0000792&quot;,&quot;ISSN&quot;:&quot;1532-3641&quot;,&quot;issued&quot;:{&quot;date-parts&quot;:[[2017]]},&quot;abstract&quot;:&quot;© 2016 American Society of Civil Engineers. The present paper deals with the proposition of an original analytical permeability model of compacted soils. The model involves the microstructure of the material through the porosity and the pore-size distribution obtained by mercury intrusion porosimetry (MIP), as well as the degree of compaction. Their effects on the morphological parameters of the porous network (tortuosity and interconnection of pore network) are studied. The model was developed and tested on various types of soil: a loamy sand, a gravelous sand, a clay, and an alterite. Samples were compacted with various degrees of compaction: 85, 95, 100, and 105% of the optimum dry density as determined by a standard compaction method. The experimental results obtained for both loamy and gravelous sands and for clay were well reproduced by the model, except for the alterite. Such results might be explained by the high brittleness of the alterite, leading to a crumbling phenomenon rather than to its densification during the compaction process.&quot;,&quot;issue&quot;:&quot;4&quot;,&quot;volume&quot;:&quot;17&quot;,&quot;container-title-short&quot;:&quot;&quot;},&quot;isTemporary&quot;:false,&quot;displayAs&quot;:&quot;composite&quot;,&quot;suppress-author&quot;:false,&quot;composite&quot;:true,&quot;author-only&quot;:false}]},{&quot;citationID&quot;:&quot;MENDELEY_CITATION_3a187eb0-607f-43b4-b5f3-b079a4454c04&quot;,&quot;properties&quot;:{&quot;noteIndex&quot;:0,&quot;mode&quot;:&quot;composite&quot;},&quot;isEdited&quot;:false,&quot;manualOverride&quot;:{&quot;isManuallyOverridden&quot;:false,&quot;citeprocText&quot;:&quot;Gleeson et al. (2011)&quot;,&quot;manualOverrideText&quot;:&quot;&quot;},&quot;citationTag&quot;:&quot;MENDELEY_CITATION_v3_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&quot;,&quot;citationItems&quot;:[{&quot;id&quot;:&quot;df9e2e48-4fef-3c9e-8006-184ccdfff336&quot;,&quot;itemData&quot;:{&quot;type&quot;:&quot;article-journal&quot;,&quot;id&quot;:&quot;df9e2e48-4fef-3c9e-8006-184ccdfff336&quot;,&quot;title&quot;:&quot;Mapping permeability over the surface of the Earth&quot;,&quot;author&quot;:[{&quot;family&quot;:&quot;Gleeson&quot;,&quot;given&quot;:&quot;Tom&quot;,&quot;parse-names&quot;:false,&quot;dropping-particle&quot;:&quot;&quot;,&quot;non-dropping-particle&quot;:&quot;&quot;},{&quot;family&quot;:&quot;Smith&quot;,&quot;given&quot;:&quot;Leslie&quot;,&quot;parse-names&quot;:false,&quot;dropping-particle&quot;:&quot;&quot;,&quot;non-dropping-particle&quot;:&quot;&quot;},{&quot;family&quot;:&quot;Moosdorf&quot;,&quot;given&quot;:&quot;Nils&quot;,&quot;parse-names&quot;:false,&quot;dropping-particle&quot;:&quot;&quot;,&quot;non-dropping-particle&quot;:&quot;&quot;},{&quot;family&quot;:&quot;Hartmann&quot;,&quot;given&quot;:&quot;Jens&quot;,&quot;parse-names&quot;:false,&quot;dropping-particle&quot;:&quot;&quot;,&quot;non-dropping-particle&quot;:&quot;&quot;},{&quot;family&quot;:&quot;Dürr&quot;,&quot;given&quot;:&quot;Hans H.&quot;,&quot;parse-names&quot;:false,&quot;dropping-particle&quot;:&quot;&quot;,&quot;non-dropping-particle&quot;:&quot;&quot;},{&quot;family&quot;:&quot;Manning&quot;,&quot;given&quot;:&quot;Andrew H.&quot;,&quot;parse-names&quot;:false,&quot;dropping-particle&quot;:&quot;&quot;,&quot;non-dropping-particle&quot;:&quot;&quot;},{&quot;family&quot;:&quot;Beek&quot;,&quot;given&quot;:&quot;Ludovicus P.H.&quot;,&quot;parse-names&quot;:false,&quot;dropping-particle&quot;:&quot;&quot;,&quot;non-dropping-particle&quot;:&quot;Van&quot;},{&quot;family&quot;:&quot;Jellinek&quot;,&quot;given&quot;:&quot;A. M.&quot;,&quot;parse-names&quot;:false,&quot;dropping-particle&quot;:&quot;&quot;,&quot;non-dropping-particle&quot;:&quot;&quot;}],&quot;container-title&quot;:&quot;Geophysical Research Letters&quot;,&quot;container-title-short&quot;:&quot;Geophys Res Lett&quot;,&quot;DOI&quot;:&quot;10.1029/2010GL045565&quot;,&quot;ISSN&quot;:&quot;00948276&quot;,&quot;issued&quot;:{&quot;date-parts&quot;:[[2011]]},&quot;abstract&quot;:&quot;Permeability, the ease of fluid flow through porous rocks and soils, is a fundamental but often poorly quantified component in the analysis of regional-scale water fluxes. Permeability is difficult to quantify because it varies over more than 13 orders of magnitude and is heterogeneous and dependent on flow direction. Indeed, at the regional scale, maps of permeability only exist for soil to depths of 1-2 m. Here we use an extensive compilation of results from hydrogeologic models to show that regional-scale (&gt;5 km) permeability of consolidated and unconsolidated geologic units below soil horizons (hydrolithologies) can be characterized in a statistically meaningful way. The representative permeabilities of these hydrolithologies are used to map the distribution of near-surface (on the order of 100 m depth) permeability globally and over North America. The distribution of each hydrolithology is generally scale independent. The near-surface mean permeability is of the order of ∼5 × 10&lt;sup&gt;-14&lt;/sup&gt; m&lt;sup&gt;2&lt;/sup&gt;. The results provide the first global picture of near-surface permeability and will be of particular value for evaluating global water resources and modeling the influence of climate-surface-subsurface interactions on global climate change. Copyright © 2011 by the American Geophysical Union.&quot;,&quot;issue&quot;:&quot;2&quot;,&quot;volume&quot;:&quot;38&quot;},&quot;isTemporary&quot;:false,&quot;displayAs&quot;:&quot;composite&quot;,&quot;suppress-author&quot;:false,&quot;composite&quot;:true,&quot;author-only&quot;:false}]},{&quot;citationID&quot;:&quot;MENDELEY_CITATION_83ad5fdb-8c2c-42f2-afa2-9a9b6720d163&quot;,&quot;properties&quot;:{&quot;noteIndex&quot;:0},&quot;isEdited&quot;:false,&quot;manualOverride&quot;:{&quot;isManuallyOverridden&quot;:false,&quot;citeprocText&quot;:&quot;(Ding et al., 2023)&quot;,&quot;manualOverrideText&quot;:&quot;&quot;},&quot;citationTag&quot;:&quot;MENDELEY_CITATION_v3_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&quot;,&quot;citationItems&quot;:[{&quot;id&quot;:&quot;d508c62f-9880-344c-aaae-a0f54f6abb2b&quot;,&quot;itemData&quot;:{&quot;type&quot;:&quot;article-journal&quot;,&quot;id&quot;:&quot;d508c62f-9880-344c-aaae-a0f54f6abb2b&quot;,&quot;title&quot;:&quot;Permeability prediction based on dual seismic pore structure factors&quot;,&quot;author&quot;:[{&quot;family&quot;:&quot;Ding&quot;,&quot;given&quot;:&quot;Qian&quot;,&quot;parse-names&quot;:false,&quot;dropping-particle&quot;:&quot;&quot;,&quot;non-dropping-particle&quot;:&quot;&quot;},{&quot;family&quot;:&quot;Gan&quot;,&quot;given&quot;:&quot;Lideng&quot;,&quot;parse-names&quot;:false,&quot;dropping-particle&quot;:&quot;&quot;,&quot;non-dropping-particle&quot;:&quot;&quot;},{&quot;family&quot;:&quot;Wei&quot;,&quot;given&quot;:&quot;Lele&quot;,&quot;parse-names&quot;:false,&quot;dropping-particle&quot;:&quot;&quot;,&quot;non-dropping-particle&quot;:&quot;&quot;},{&quot;family&quot;:&quot;Zhang&quot;,&quot;given&quot;:&quot;Xin&quot;,&quot;parse-names&quot;:false,&quot;dropping-particle&quot;:&quot;&quot;,&quot;non-dropping-particle&quot;:&quot;&quot;},{&quot;family&quot;:&quot;Zhang&quot;,&quot;given&quot;:&quot;Ming&quot;,&quot;parse-names&quot;:false,&quot;dropping-particle&quot;:&quot;&quot;,&quot;non-dropping-particle&quot;:&quot;&quot;},{&quot;family&quot;:&quot;Dai&quot;,&quot;given&quot;:&quot;Xiaofeng&quot;,&quot;parse-names&quot;:false,&quot;dropping-particle&quot;:&quot;&quot;,&quot;non-dropping-particle&quot;:&quot;&quot;},{&quot;family&quot;:&quot;Yang&quot;,&quot;given&quot;:&quot;Hao&quot;,&quot;parse-names&quot;:false,&quot;dropping-particle&quot;:&quot;&quot;,&quot;non-dropping-particle&quot;:&quot;&quot;}],&quot;container-title&quot;:&quot;Geophysics&quot;,&quot;DOI&quot;:&quot;10.1190/geo2022-0411.1&quot;,&quot;ISSN&quot;:&quot;19422156&quot;,&quot;issued&quot;:{&quot;date-parts&quot;:[[2023]]},&quot;abstract&quot;:&quot;Pore structure, especially pore shape and size, is a key factor affecting reservoir permeability. There is a poor correlation between permeability and porosity when the pore structure is complex, which leads to the low accuracy of permeability prediction by using porosity. In view of the preceding problems, six factors related to pore structure are summarized from rock physical models and entitled seismic pore structure factors (SPSFs), and the sensitivity of SPSF to permeability is analyzed with the data of two groups of clastic rock cores. The results find that the shear Lee factor is most sensitive to permeability, followed by the shear flexibility factor. In addition, there are good linear correlations between the shear Lee factor and pore size and between the shear flexibility factor and pore aspect ratio. Therefore, the combination of the shear Lee factor and pore aspect ratio can better characterize pore structure, and thus reservoir permeability. A seismic permeability prediction method based on pore aspect ratio, the shear Lee factor, and lithofacies is developed and applied to the Jurassic tight sandstone reservoirs of the Sichuan Basin. The results find that the permeability prediction accuracy is within half an order of magnitude, which is five times higher than the single-factor method of the shear flexibility factor. Compared with porosity, permeability distribution is more consistent with the measured productivity, which confirms the effectiveness of the method. It also provides a new way to predict the spatial distribution of reservoir permeability.&quot;,&quot;issue&quot;:&quot;3&quot;,&quot;volume&quot;:&quot;88&quot;,&quot;container-title-short&quot;:&quot;&quot;},&quot;isTemporary&quot;:false}]},{&quot;citationID&quot;:&quot;MENDELEY_CITATION_a805a6a2-ecec-449c-a608-9cc295c943fd&quot;,&quot;properties&quot;:{&quot;noteIndex&quot;:0,&quot;mode&quot;:&quot;composite&quot;},&quot;isEdited&quot;:false,&quot;manualOverride&quot;:{&quot;isManuallyOverridden&quot;:false,&quot;citeprocText&quot;:&quot;Ugwoha et al. (2019)&quot;,&quot;manualOverrideText&quot;:&quot;&quot;},&quot;citationTag&quot;:&quot;MENDELEY_CITATION_v3_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&quot;,&quot;citationItems&quot;:[{&quot;id&quot;:&quot;6023f6a3-e18f-3a3e-acf2-80fe9345a70b&quot;,&quot;itemData&quot;:{&quot;type&quot;:&quot;article-journal&quot;,&quot;id&quot;:&quot;6023f6a3-e18f-3a3e-acf2-80fe9345a70b&quot;,&quot;title&quot;:&quot;Modelling the Transport of Crude Oil in Sandy Soil&quot;,&quot;author&quot;:[{&quot;family&quot;:&quot;Ugwoha&quot;,&quot;given&quot;:&quot;Ejikeme&quot;,&quot;parse-names&quot;:false,&quot;dropping-particle&quot;:&quot;&quot;,&quot;non-dropping-particle&quot;:&quot;&quot;},{&quot;family&quot;:&quot;Amah&quot;,&quot;given&quot;:&quot;Victor Emeka&quot;,&quot;parse-names&quot;:false,&quot;dropping-particle&quot;:&quot;&quot;,&quot;non-dropping-particle&quot;:&quot;&quot;},{&quot;family&quot;:&quot;Agharese-Adu&quot;,&quot;given&quot;:&quot;Precious Ehis&quot;,&quot;parse-names&quot;:false,&quot;dropping-particle&quot;:&quot;&quot;,&quot;non-dropping-particle&quot;:&quot;&quot;}],&quot;container-title&quot;:&quot;Ejikeme Ugwoha Journal of Engineering Research and Application www.ijera.com&quot;,&quot;DOI&quot;:&quot;10.9790/9622-0908010112&quot;,&quot;URL&quot;:&quot;www.ijera.com&quot;,&quot;issued&quot;:{&quot;date-parts&quot;:[[2019]]},&quot;page&quot;:&quot;1-12&quot;,&quot;abstract&quot;:&quot;The transport and retention of crude oil in sandy soil was studied. A full factorial experimental design with three independent variables, namely soil depth, contaminant volume and rainfall intensity, was used. The soil was artificially contaminated with varying crude oil volumes and rainfall simulation was performed in a mesocosm. The results obtained showed variations in the transport and retention of crude oil with the independent variables. The leached total petroleum hydrocarbons (TPH) concentrations decreased with increasing soil depth but increased with increasing contaminant volume and rainfall intensity. Contrarily, the retained TPH concentrations increased with increasing soil depth and contaminant volume but decreased with increasing rainfall intensity. Transport and retention models were developed and used to fit the transport and retention of crude oil in sandy soil after accidental release with correlation coefficient of 0.9407 and 0.9446 for the transport and retention model, respectively.&quot;,&quot;volume&quot;:&quot;9&quot;,&quot;container-title-short&quot;:&quot;&quot;},&quot;isTemporary&quot;:false,&quot;displayAs&quot;:&quot;composite&quot;,&quot;suppress-author&quot;:false,&quot;composite&quot;:true,&quot;author-only&quot;:false}]},{&quot;citationID&quot;:&quot;MENDELEY_CITATION_49f3c172-9725-474a-bb31-6aa1fef032c8&quot;,&quot;properties&quot;:{&quot;noteIndex&quot;:0,&quot;mode&quot;:&quot;composite&quot;},&quot;isEdited&quot;:false,&quot;manualOverride&quot;:{&quot;isManuallyOverridden&quot;:false,&quot;citeprocText&quot;:&quot;Ding et al. (2023)&quot;,&quot;manualOverrideText&quot;:&quot;&quot;},&quot;citationTag&quot;:&quot;MENDELEY_CITATION_v3_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&quot;,&quot;citationItems&quot;:[{&quot;displayAs&quot;:&quot;composite&quot;,&quot;label&quot;:&quot;page&quot;,&quot;id&quot;:&quot;d508c62f-9880-344c-aaae-a0f54f6abb2b&quot;,&quot;itemData&quot;:{&quot;type&quot;:&quot;article-journal&quot;,&quot;id&quot;:&quot;d508c62f-9880-344c-aaae-a0f54f6abb2b&quot;,&quot;title&quot;:&quot;Permeability prediction based on dual seismic pore structure factors&quot;,&quot;author&quot;:[{&quot;family&quot;:&quot;Ding&quot;,&quot;given&quot;:&quot;Qian&quot;,&quot;parse-names&quot;:false,&quot;dropping-particle&quot;:&quot;&quot;,&quot;non-dropping-particle&quot;:&quot;&quot;},{&quot;family&quot;:&quot;Gan&quot;,&quot;given&quot;:&quot;Lideng&quot;,&quot;parse-names&quot;:false,&quot;dropping-particle&quot;:&quot;&quot;,&quot;non-dropping-particle&quot;:&quot;&quot;},{&quot;family&quot;:&quot;Wei&quot;,&quot;given&quot;:&quot;Lele&quot;,&quot;parse-names&quot;:false,&quot;dropping-particle&quot;:&quot;&quot;,&quot;non-dropping-particle&quot;:&quot;&quot;},{&quot;family&quot;:&quot;Zhang&quot;,&quot;given&quot;:&quot;Xin&quot;,&quot;parse-names&quot;:false,&quot;dropping-particle&quot;:&quot;&quot;,&quot;non-dropping-particle&quot;:&quot;&quot;},{&quot;family&quot;:&quot;Zhang&quot;,&quot;given&quot;:&quot;Ming&quot;,&quot;parse-names&quot;:false,&quot;dropping-particle&quot;:&quot;&quot;,&quot;non-dropping-particle&quot;:&quot;&quot;},{&quot;family&quot;:&quot;Dai&quot;,&quot;given&quot;:&quot;Xiaofeng&quot;,&quot;parse-names&quot;:false,&quot;dropping-particle&quot;:&quot;&quot;,&quot;non-dropping-particle&quot;:&quot;&quot;},{&quot;family&quot;:&quot;Yang&quot;,&quot;given&quot;:&quot;Hao&quot;,&quot;parse-names&quot;:false,&quot;dropping-particle&quot;:&quot;&quot;,&quot;non-dropping-particle&quot;:&quot;&quot;}],&quot;container-title&quot;:&quot;Geophysics&quot;,&quot;DOI&quot;:&quot;10.1190/geo2022-0411.1&quot;,&quot;ISSN&quot;:&quot;19422156&quot;,&quot;issued&quot;:{&quot;date-parts&quot;:[[2023]]},&quot;abstract&quot;:&quot;Pore structure, especially pore shape and size, is a key factor affecting reservoir permeability. There is a poor correlation between permeability and porosity when the pore structure is complex, which leads to the low accuracy of permeability prediction by using porosity. In view of the preceding problems, six factors related to pore structure are summarized from rock physical models and entitled seismic pore structure factors (SPSFs), and the sensitivity of SPSF to permeability is analyzed with the data of two groups of clastic rock cores. The results find that the shear Lee factor is most sensitive to permeability, followed by the shear flexibility factor. In addition, there are good linear correlations between the shear Lee factor and pore size and between the shear flexibility factor and pore aspect ratio. Therefore, the combination of the shear Lee factor and pore aspect ratio can better characterize pore structure, and thus reservoir permeability. A seismic permeability prediction method based on pore aspect ratio, the shear Lee factor, and lithofacies is developed and applied to the Jurassic tight sandstone reservoirs of the Sichuan Basin. The results find that the permeability prediction accuracy is within half an order of magnitude, which is five times higher than the single-factor method of the shear flexibility factor. Compared with porosity, permeability distribution is more consistent with the measured productivity, which confirms the effectiveness of the method. It also provides a new way to predict the spatial distribution of reservoir permeability.&quot;,&quot;issue&quot;:&quot;3&quot;,&quot;volume&quot;:&quot;88&quot;,&quot;container-title-short&quot;:&quot;&quot;},&quot;isTemporary&quot;:false,&quot;suppress-author&quot;:false,&quot;composite&quot;:true,&quot;author-only&quot;:false}]},{&quot;citationID&quot;:&quot;MENDELEY_CITATION_244cf6fd-bf91-49c9-be26-315d05876741&quot;,&quot;properties&quot;:{&quot;noteIndex&quot;:0,&quot;mode&quot;:&quot;composite&quot;},&quot;isEdited&quot;:false,&quot;manualOverride&quot;:{&quot;isManuallyOverridden&quot;:false,&quot;citeprocText&quot;:&quot;Gleeson et al. (2011)&quot;,&quot;manualOverrideText&quot;:&quot;&quot;},&quot;citationTag&quot;:&quot;MENDELEY_CITATION_v3_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&quot;,&quot;citationItems&quot;:[{&quot;id&quot;:&quot;df9e2e48-4fef-3c9e-8006-184ccdfff336&quot;,&quot;itemData&quot;:{&quot;type&quot;:&quot;article-journal&quot;,&quot;id&quot;:&quot;df9e2e48-4fef-3c9e-8006-184ccdfff336&quot;,&quot;title&quot;:&quot;Mapping permeability over the surface of the Earth&quot;,&quot;author&quot;:[{&quot;family&quot;:&quot;Gleeson&quot;,&quot;given&quot;:&quot;Tom&quot;,&quot;parse-names&quot;:false,&quot;dropping-particle&quot;:&quot;&quot;,&quot;non-dropping-particle&quot;:&quot;&quot;},{&quot;family&quot;:&quot;Smith&quot;,&quot;given&quot;:&quot;Leslie&quot;,&quot;parse-names&quot;:false,&quot;dropping-particle&quot;:&quot;&quot;,&quot;non-dropping-particle&quot;:&quot;&quot;},{&quot;family&quot;:&quot;Moosdorf&quot;,&quot;given&quot;:&quot;Nils&quot;,&quot;parse-names&quot;:false,&quot;dropping-particle&quot;:&quot;&quot;,&quot;non-dropping-particle&quot;:&quot;&quot;},{&quot;family&quot;:&quot;Hartmann&quot;,&quot;given&quot;:&quot;Jens&quot;,&quot;parse-names&quot;:false,&quot;dropping-particle&quot;:&quot;&quot;,&quot;non-dropping-particle&quot;:&quot;&quot;},{&quot;family&quot;:&quot;Dürr&quot;,&quot;given&quot;:&quot;Hans H.&quot;,&quot;parse-names&quot;:false,&quot;dropping-particle&quot;:&quot;&quot;,&quot;non-dropping-particle&quot;:&quot;&quot;},{&quot;family&quot;:&quot;Manning&quot;,&quot;given&quot;:&quot;Andrew H.&quot;,&quot;parse-names&quot;:false,&quot;dropping-particle&quot;:&quot;&quot;,&quot;non-dropping-particle&quot;:&quot;&quot;},{&quot;family&quot;:&quot;Beek&quot;,&quot;given&quot;:&quot;Ludovicus P.H.&quot;,&quot;parse-names&quot;:false,&quot;dropping-particle&quot;:&quot;&quot;,&quot;non-dropping-particle&quot;:&quot;Van&quot;},{&quot;family&quot;:&quot;Jellinek&quot;,&quot;given&quot;:&quot;A. M.&quot;,&quot;parse-names&quot;:false,&quot;dropping-particle&quot;:&quot;&quot;,&quot;non-dropping-particle&quot;:&quot;&quot;}],&quot;container-title&quot;:&quot;Geophysical Research Letters&quot;,&quot;container-title-short&quot;:&quot;Geophys Res Lett&quot;,&quot;DOI&quot;:&quot;10.1029/2010GL045565&quot;,&quot;ISSN&quot;:&quot;00948276&quot;,&quot;issued&quot;:{&quot;date-parts&quot;:[[2011]]},&quot;abstract&quot;:&quot;Permeability, the ease of fluid flow through porous rocks and soils, is a fundamental but often poorly quantified component in the analysis of regional-scale water fluxes. Permeability is difficult to quantify because it varies over more than 13 orders of magnitude and is heterogeneous and dependent on flow direction. Indeed, at the regional scale, maps of permeability only exist for soil to depths of 1-2 m. Here we use an extensive compilation of results from hydrogeologic models to show that regional-scale (&gt;5 km) permeability of consolidated and unconsolidated geologic units below soil horizons (hydrolithologies) can be characterized in a statistically meaningful way. The representative permeabilities of these hydrolithologies are used to map the distribution of near-surface (on the order of 100 m depth) permeability globally and over North America. The distribution of each hydrolithology is generally scale independent. The near-surface mean permeability is of the order of ∼5 × 10&lt;sup&gt;-14&lt;/sup&gt; m&lt;sup&gt;2&lt;/sup&gt;. The results provide the first global picture of near-surface permeability and will be of particular value for evaluating global water resources and modeling the influence of climate-surface-subsurface interactions on global climate change. Copyright © 2011 by the American Geophysical Union.&quot;,&quot;issue&quot;:&quot;2&quot;,&quot;volume&quot;:&quot;38&quot;},&quot;isTemporary&quot;:false,&quot;displayAs&quot;:&quot;composite&quot;,&quot;suppress-author&quot;:false,&quot;composite&quot;:true,&quot;author-only&quot;:false}]},{&quot;citationID&quot;:&quot;MENDELEY_CITATION_64c19021-77f0-489b-8274-ac09f5bd9f95&quot;,&quot;properties&quot;:{&quot;noteIndex&quot;:0},&quot;isEdited&quot;:false,&quot;manualOverride&quot;:{&quot;isManuallyOverridden&quot;:false,&quot;citeprocText&quot;:&quot;(Ding et al., 2023; Gleeson et al., 2011; Ranaivomanana et al., 2017; Ugwoha et al., 2019)&quot;,&quot;manualOverrideText&quot;:&quot;&quot;},&quot;citationTag&quot;:&quot;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&quot;,&quot;citationItems&quot;:[{&quot;id&quot;:&quot;6023f6a3-e18f-3a3e-acf2-80fe9345a70b&quot;,&quot;itemData&quot;:{&quot;type&quot;:&quot;article-journal&quot;,&quot;id&quot;:&quot;6023f6a3-e18f-3a3e-acf2-80fe9345a70b&quot;,&quot;title&quot;:&quot;Modelling the Transport of Crude Oil in Sandy Soil&quot;,&quot;author&quot;:[{&quot;family&quot;:&quot;Ugwoha&quot;,&quot;given&quot;:&quot;Ejikeme&quot;,&quot;parse-names&quot;:false,&quot;dropping-particle&quot;:&quot;&quot;,&quot;non-dropping-particle&quot;:&quot;&quot;},{&quot;family&quot;:&quot;Amah&quot;,&quot;given&quot;:&quot;Victor Emeka&quot;,&quot;parse-names&quot;:false,&quot;dropping-particle&quot;:&quot;&quot;,&quot;non-dropping-particle&quot;:&quot;&quot;},{&quot;family&quot;:&quot;Agharese-Adu&quot;,&quot;given&quot;:&quot;Precious Ehis&quot;,&quot;parse-names&quot;:false,&quot;dropping-particle&quot;:&quot;&quot;,&quot;non-dropping-particle&quot;:&quot;&quot;}],&quot;container-title&quot;:&quot;Ejikeme Ugwoha Journal of Engineering Research and Application www.ijera.com&quot;,&quot;DOI&quot;:&quot;10.9790/9622-0908010112&quot;,&quot;URL&quot;:&quot;www.ijera.com&quot;,&quot;issued&quot;:{&quot;date-parts&quot;:[[2019]]},&quot;page&quot;:&quot;1-12&quot;,&quot;abstract&quot;:&quot;The transport and retention of crude oil in sandy soil was studied. A full factorial experimental design with three independent variables, namely soil depth, contaminant volume and rainfall intensity, was used. The soil was artificially contaminated with varying crude oil volumes and rainfall simulation was performed in a mesocosm. The results obtained showed variations in the transport and retention of crude oil with the independent variables. The leached total petroleum hydrocarbons (TPH) concentrations decreased with increasing soil depth but increased with increasing contaminant volume and rainfall intensity. Contrarily, the retained TPH concentrations increased with increasing soil depth and contaminant volume but decreased with increasing rainfall intensity. Transport and retention models were developed and used to fit the transport and retention of crude oil in sandy soil after accidental release with correlation coefficient of 0.9407 and 0.9446 for the transport and retention model, respectively.&quot;,&quot;volume&quot;:&quot;9&quot;,&quot;container-title-short&quot;:&quot;&quot;},&quot;isTemporary&quot;:false},{&quot;id&quot;:&quot;d508c62f-9880-344c-aaae-a0f54f6abb2b&quot;,&quot;itemData&quot;:{&quot;type&quot;:&quot;article-journal&quot;,&quot;id&quot;:&quot;d508c62f-9880-344c-aaae-a0f54f6abb2b&quot;,&quot;title&quot;:&quot;Permeability prediction based on dual seismic pore structure factors&quot;,&quot;author&quot;:[{&quot;family&quot;:&quot;Ding&quot;,&quot;given&quot;:&quot;Qian&quot;,&quot;parse-names&quot;:false,&quot;dropping-particle&quot;:&quot;&quot;,&quot;non-dropping-particle&quot;:&quot;&quot;},{&quot;family&quot;:&quot;Gan&quot;,&quot;given&quot;:&quot;Lideng&quot;,&quot;parse-names&quot;:false,&quot;dropping-particle&quot;:&quot;&quot;,&quot;non-dropping-particle&quot;:&quot;&quot;},{&quot;family&quot;:&quot;Wei&quot;,&quot;given&quot;:&quot;Lele&quot;,&quot;parse-names&quot;:false,&quot;dropping-particle&quot;:&quot;&quot;,&quot;non-dropping-particle&quot;:&quot;&quot;},{&quot;family&quot;:&quot;Zhang&quot;,&quot;given&quot;:&quot;Xin&quot;,&quot;parse-names&quot;:false,&quot;dropping-particle&quot;:&quot;&quot;,&quot;non-dropping-particle&quot;:&quot;&quot;},{&quot;family&quot;:&quot;Zhang&quot;,&quot;given&quot;:&quot;Ming&quot;,&quot;parse-names&quot;:false,&quot;dropping-particle&quot;:&quot;&quot;,&quot;non-dropping-particle&quot;:&quot;&quot;},{&quot;family&quot;:&quot;Dai&quot;,&quot;given&quot;:&quot;Xiaofeng&quot;,&quot;parse-names&quot;:false,&quot;dropping-particle&quot;:&quot;&quot;,&quot;non-dropping-particle&quot;:&quot;&quot;},{&quot;family&quot;:&quot;Yang&quot;,&quot;given&quot;:&quot;Hao&quot;,&quot;parse-names&quot;:false,&quot;dropping-particle&quot;:&quot;&quot;,&quot;non-dropping-particle&quot;:&quot;&quot;}],&quot;container-title&quot;:&quot;Geophysics&quot;,&quot;DOI&quot;:&quot;10.1190/geo2022-0411.1&quot;,&quot;ISSN&quot;:&quot;19422156&quot;,&quot;issued&quot;:{&quot;date-parts&quot;:[[2023]]},&quot;abstract&quot;:&quot;Pore structure, especially pore shape and size, is a key factor affecting reservoir permeability. There is a poor correlation between permeability and porosity when the pore structure is complex, which leads to the low accuracy of permeability prediction by using porosity. In view of the preceding problems, six factors related to pore structure are summarized from rock physical models and entitled seismic pore structure factors (SPSFs), and the sensitivity of SPSF to permeability is analyzed with the data of two groups of clastic rock cores. The results find that the shear Lee factor is most sensitive to permeability, followed by the shear flexibility factor. In addition, there are good linear correlations between the shear Lee factor and pore size and between the shear flexibility factor and pore aspect ratio. Therefore, the combination of the shear Lee factor and pore aspect ratio can better characterize pore structure, and thus reservoir permeability. A seismic permeability prediction method based on pore aspect ratio, the shear Lee factor, and lithofacies is developed and applied to the Jurassic tight sandstone reservoirs of the Sichuan Basin. The results find that the permeability prediction accuracy is within half an order of magnitude, which is five times higher than the single-factor method of the shear flexibility factor. Compared with porosity, permeability distribution is more consistent with the measured productivity, which confirms the effectiveness of the method. It also provides a new way to predict the spatial distribution of reservoir permeability.&quot;,&quot;issue&quot;:&quot;3&quot;,&quot;volume&quot;:&quot;88&quot;,&quot;container-title-short&quot;:&quot;&quot;},&quot;isTemporary&quot;:false},{&quot;id&quot;:&quot;df9e2e48-4fef-3c9e-8006-184ccdfff336&quot;,&quot;itemData&quot;:{&quot;type&quot;:&quot;article-journal&quot;,&quot;id&quot;:&quot;df9e2e48-4fef-3c9e-8006-184ccdfff336&quot;,&quot;title&quot;:&quot;Mapping permeability over the surface of the Earth&quot;,&quot;author&quot;:[{&quot;family&quot;:&quot;Gleeson&quot;,&quot;given&quot;:&quot;Tom&quot;,&quot;parse-names&quot;:false,&quot;dropping-particle&quot;:&quot;&quot;,&quot;non-dropping-particle&quot;:&quot;&quot;},{&quot;family&quot;:&quot;Smith&quot;,&quot;given&quot;:&quot;Leslie&quot;,&quot;parse-names&quot;:false,&quot;dropping-particle&quot;:&quot;&quot;,&quot;non-dropping-particle&quot;:&quot;&quot;},{&quot;family&quot;:&quot;Moosdorf&quot;,&quot;given&quot;:&quot;Nils&quot;,&quot;parse-names&quot;:false,&quot;dropping-particle&quot;:&quot;&quot;,&quot;non-dropping-particle&quot;:&quot;&quot;},{&quot;family&quot;:&quot;Hartmann&quot;,&quot;given&quot;:&quot;Jens&quot;,&quot;parse-names&quot;:false,&quot;dropping-particle&quot;:&quot;&quot;,&quot;non-dropping-particle&quot;:&quot;&quot;},{&quot;family&quot;:&quot;Dürr&quot;,&quot;given&quot;:&quot;Hans H.&quot;,&quot;parse-names&quot;:false,&quot;dropping-particle&quot;:&quot;&quot;,&quot;non-dropping-particle&quot;:&quot;&quot;},{&quot;family&quot;:&quot;Manning&quot;,&quot;given&quot;:&quot;Andrew H.&quot;,&quot;parse-names&quot;:false,&quot;dropping-particle&quot;:&quot;&quot;,&quot;non-dropping-particle&quot;:&quot;&quot;},{&quot;family&quot;:&quot;Beek&quot;,&quot;given&quot;:&quot;Ludovicus P.H.&quot;,&quot;parse-names&quot;:false,&quot;dropping-particle&quot;:&quot;&quot;,&quot;non-dropping-particle&quot;:&quot;Van&quot;},{&quot;family&quot;:&quot;Jellinek&quot;,&quot;given&quot;:&quot;A. M.&quot;,&quot;parse-names&quot;:false,&quot;dropping-particle&quot;:&quot;&quot;,&quot;non-dropping-particle&quot;:&quot;&quot;}],&quot;container-title&quot;:&quot;Geophysical Research Letters&quot;,&quot;container-title-short&quot;:&quot;Geophys Res Lett&quot;,&quot;DOI&quot;:&quot;10.1029/2010GL045565&quot;,&quot;ISSN&quot;:&quot;00948276&quot;,&quot;issued&quot;:{&quot;date-parts&quot;:[[2011]]},&quot;abstract&quot;:&quot;Permeability, the ease of fluid flow through porous rocks and soils, is a fundamental but often poorly quantified component in the analysis of regional-scale water fluxes. Permeability is difficult to quantify because it varies over more than 13 orders of magnitude and is heterogeneous and dependent on flow direction. Indeed, at the regional scale, maps of permeability only exist for soil to depths of 1-2 m. Here we use an extensive compilation of results from hydrogeologic models to show that regional-scale (&gt;5 km) permeability of consolidated and unconsolidated geologic units below soil horizons (hydrolithologies) can be characterized in a statistically meaningful way. The representative permeabilities of these hydrolithologies are used to map the distribution of near-surface (on the order of 100 m depth) permeability globally and over North America. The distribution of each hydrolithology is generally scale independent. The near-surface mean permeability is of the order of ∼5 × 10&lt;sup&gt;-14&lt;/sup&gt; m&lt;sup&gt;2&lt;/sup&gt;. The results provide the first global picture of near-surface permeability and will be of particular value for evaluating global water resources and modeling the influence of climate-surface-subsurface interactions on global climate change. Copyright © 2011 by the American Geophysical Union.&quot;,&quot;issue&quot;:&quot;2&quot;,&quot;volume&quot;:&quot;38&quot;},&quot;isTemporary&quot;:false},{&quot;id&quot;:&quot;63ca1e3d-f1e9-3907-8807-bc94ae49dc3b&quot;,&quot;itemData&quot;:{&quot;type&quot;:&quot;article-journal&quot;,&quot;id&quot;:&quot;63ca1e3d-f1e9-3907-8807-bc94ae49dc3b&quot;,&quot;title&quot;:&quot;Permeability Prediction of Soils Including Degree of Compaction and Microstructure&quot;,&quot;author&quot;:[{&quot;family&quot;:&quot;Ranaivomanana&quot;,&quot;given&quot;:&quot;Harifidy&quot;,&quot;parse-names&quot;:false,&quot;dropping-particle&quot;:&quot;&quot;,&quot;non-dropping-particle&quot;:&quot;&quot;},{&quot;family&quot;:&quot;Razakamanantsoa&quot;,&quot;given&quot;:&quot;Andry&quot;,&quot;parse-names&quot;:false,&quot;dropping-particle&quot;:&quot;&quot;,&quot;non-dropping-particle&quot;:&quot;&quot;},{&quot;family&quot;:&quot;Amiri&quot;,&quot;given&quot;:&quot;Ouali&quot;,&quot;parse-names&quot;:false,&quot;dropping-particle&quot;:&quot;&quot;,&quot;non-dropping-particle&quot;:&quot;&quot;}],&quot;container-title&quot;:&quot;International Journal of Geomechanics&quot;,&quot;DOI&quot;:&quot;10.1061/(asce)gm.1943-5622.0000792&quot;,&quot;ISSN&quot;:&quot;1532-3641&quot;,&quot;issued&quot;:{&quot;date-parts&quot;:[[2017]]},&quot;abstract&quot;:&quot;© 2016 American Society of Civil Engineers. The present paper deals with the proposition of an original analytical permeability model of compacted soils. The model involves the microstructure of the material through the porosity and the pore-size distribution obtained by mercury intrusion porosimetry (MIP), as well as the degree of compaction. Their effects on the morphological parameters of the porous network (tortuosity and interconnection of pore network) are studied. The model was developed and tested on various types of soil: a loamy sand, a gravelous sand, a clay, and an alterite. Samples were compacted with various degrees of compaction: 85, 95, 100, and 105% of the optimum dry density as determined by a standard compaction method. The experimental results obtained for both loamy and gravelous sands and for clay were well reproduced by the model, except for the alterite. Such results might be explained by the high brittleness of the alterite, leading to a crumbling phenomenon rather than to its densification during the compaction process.&quot;,&quot;issue&quot;:&quot;4&quot;,&quot;volume&quot;:&quot;17&quot;,&quot;container-title-short&quot;:&quot;&quot;},&quot;isTemporary&quot;:false}]},{&quot;citationID&quot;:&quot;MENDELEY_CITATION_1a8741bf-2de7-474c-ba7c-1347fd25b0f3&quot;,&quot;properties&quot;:{&quot;noteIndex&quot;:0,&quot;mode&quot;:&quot;composite&quot;},&quot;isEdited&quot;:false,&quot;manualOverride&quot;:{&quot;isManuallyOverridden&quot;:false,&quot;citeprocText&quot;:&quot;Ding et al. (2023)&quot;,&quot;manualOverrideText&quot;:&quot;&quot;},&quot;citationTag&quot;:&quot;MENDELEY_CITATION_v3_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&quot;,&quot;citationItems&quot;:[{&quot;id&quot;:&quot;d508c62f-9880-344c-aaae-a0f54f6abb2b&quot;,&quot;itemData&quot;:{&quot;type&quot;:&quot;article-journal&quot;,&quot;id&quot;:&quot;d508c62f-9880-344c-aaae-a0f54f6abb2b&quot;,&quot;title&quot;:&quot;Permeability prediction based on dual seismic pore structure factors&quot;,&quot;author&quot;:[{&quot;family&quot;:&quot;Ding&quot;,&quot;given&quot;:&quot;Qian&quot;,&quot;parse-names&quot;:false,&quot;dropping-particle&quot;:&quot;&quot;,&quot;non-dropping-particle&quot;:&quot;&quot;},{&quot;family&quot;:&quot;Gan&quot;,&quot;given&quot;:&quot;Lideng&quot;,&quot;parse-names&quot;:false,&quot;dropping-particle&quot;:&quot;&quot;,&quot;non-dropping-particle&quot;:&quot;&quot;},{&quot;family&quot;:&quot;Wei&quot;,&quot;given&quot;:&quot;Lele&quot;,&quot;parse-names&quot;:false,&quot;dropping-particle&quot;:&quot;&quot;,&quot;non-dropping-particle&quot;:&quot;&quot;},{&quot;family&quot;:&quot;Zhang&quot;,&quot;given&quot;:&quot;Xin&quot;,&quot;parse-names&quot;:false,&quot;dropping-particle&quot;:&quot;&quot;,&quot;non-dropping-particle&quot;:&quot;&quot;},{&quot;family&quot;:&quot;Zhang&quot;,&quot;given&quot;:&quot;Ming&quot;,&quot;parse-names&quot;:false,&quot;dropping-particle&quot;:&quot;&quot;,&quot;non-dropping-particle&quot;:&quot;&quot;},{&quot;family&quot;:&quot;Dai&quot;,&quot;given&quot;:&quot;Xiaofeng&quot;,&quot;parse-names&quot;:false,&quot;dropping-particle&quot;:&quot;&quot;,&quot;non-dropping-particle&quot;:&quot;&quot;},{&quot;family&quot;:&quot;Yang&quot;,&quot;given&quot;:&quot;Hao&quot;,&quot;parse-names&quot;:false,&quot;dropping-particle&quot;:&quot;&quot;,&quot;non-dropping-particle&quot;:&quot;&quot;}],&quot;container-title&quot;:&quot;Geophysics&quot;,&quot;DOI&quot;:&quot;10.1190/geo2022-0411.1&quot;,&quot;ISSN&quot;:&quot;19422156&quot;,&quot;issued&quot;:{&quot;date-parts&quot;:[[2023]]},&quot;abstract&quot;:&quot;Pore structure, especially pore shape and size, is a key factor affecting reservoir permeability. There is a poor correlation between permeability and porosity when the pore structure is complex, which leads to the low accuracy of permeability prediction by using porosity. In view of the preceding problems, six factors related to pore structure are summarized from rock physical models and entitled seismic pore structure factors (SPSFs), and the sensitivity of SPSF to permeability is analyzed with the data of two groups of clastic rock cores. The results find that the shear Lee factor is most sensitive to permeability, followed by the shear flexibility factor. In addition, there are good linear correlations between the shear Lee factor and pore size and between the shear flexibility factor and pore aspect ratio. Therefore, the combination of the shear Lee factor and pore aspect ratio can better characterize pore structure, and thus reservoir permeability. A seismic permeability prediction method based on pore aspect ratio, the shear Lee factor, and lithofacies is developed and applied to the Jurassic tight sandstone reservoirs of the Sichuan Basin. The results find that the permeability prediction accuracy is within half an order of magnitude, which is five times higher than the single-factor method of the shear flexibility factor. Compared with porosity, permeability distribution is more consistent with the measured productivity, which confirms the effectiveness of the method. It also provides a new way to predict the spatial distribution of reservoir permeability.&quot;,&quot;issue&quot;:&quot;3&quot;,&quot;volume&quot;:&quot;88&quot;,&quot;container-title-short&quot;:&quot;&quot;},&quot;isTemporary&quot;:false,&quot;displayAs&quot;:&quot;composite&quot;,&quot;suppress-author&quot;:false,&quot;composite&quot;:true,&quot;author-only&quot;:false}]},{&quot;citationID&quot;:&quot;MENDELEY_CITATION_039ee6e0-9f0d-4f1a-9ba1-e3dc874d5c23&quot;,&quot;properties&quot;:{&quot;noteIndex&quot;:0,&quot;mode&quot;:&quot;composite&quot;},&quot;isEdited&quot;:false,&quot;manualOverride&quot;:{&quot;isManuallyOverridden&quot;:false,&quot;citeprocText&quot;:&quot;Gleeson et al. (2011)&quot;,&quot;manualOverrideText&quot;:&quot;&quot;},&quot;citationTag&quot;:&quot;MENDELEY_CITATION_v3_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&quot;,&quot;citationItems&quot;:[{&quot;id&quot;:&quot;df9e2e48-4fef-3c9e-8006-184ccdfff336&quot;,&quot;itemData&quot;:{&quot;type&quot;:&quot;article-journal&quot;,&quot;id&quot;:&quot;df9e2e48-4fef-3c9e-8006-184ccdfff336&quot;,&quot;title&quot;:&quot;Mapping permeability over the surface of the Earth&quot;,&quot;author&quot;:[{&quot;family&quot;:&quot;Gleeson&quot;,&quot;given&quot;:&quot;Tom&quot;,&quot;parse-names&quot;:false,&quot;dropping-particle&quot;:&quot;&quot;,&quot;non-dropping-particle&quot;:&quot;&quot;},{&quot;family&quot;:&quot;Smith&quot;,&quot;given&quot;:&quot;Leslie&quot;,&quot;parse-names&quot;:false,&quot;dropping-particle&quot;:&quot;&quot;,&quot;non-dropping-particle&quot;:&quot;&quot;},{&quot;family&quot;:&quot;Moosdorf&quot;,&quot;given&quot;:&quot;Nils&quot;,&quot;parse-names&quot;:false,&quot;dropping-particle&quot;:&quot;&quot;,&quot;non-dropping-particle&quot;:&quot;&quot;},{&quot;family&quot;:&quot;Hartmann&quot;,&quot;given&quot;:&quot;Jens&quot;,&quot;parse-names&quot;:false,&quot;dropping-particle&quot;:&quot;&quot;,&quot;non-dropping-particle&quot;:&quot;&quot;},{&quot;family&quot;:&quot;Dürr&quot;,&quot;given&quot;:&quot;Hans H.&quot;,&quot;parse-names&quot;:false,&quot;dropping-particle&quot;:&quot;&quot;,&quot;non-dropping-particle&quot;:&quot;&quot;},{&quot;family&quot;:&quot;Manning&quot;,&quot;given&quot;:&quot;Andrew H.&quot;,&quot;parse-names&quot;:false,&quot;dropping-particle&quot;:&quot;&quot;,&quot;non-dropping-particle&quot;:&quot;&quot;},{&quot;family&quot;:&quot;Beek&quot;,&quot;given&quot;:&quot;Ludovicus P.H.&quot;,&quot;parse-names&quot;:false,&quot;dropping-particle&quot;:&quot;&quot;,&quot;non-dropping-particle&quot;:&quot;Van&quot;},{&quot;family&quot;:&quot;Jellinek&quot;,&quot;given&quot;:&quot;A. M.&quot;,&quot;parse-names&quot;:false,&quot;dropping-particle&quot;:&quot;&quot;,&quot;non-dropping-particle&quot;:&quot;&quot;}],&quot;container-title&quot;:&quot;Geophysical Research Letters&quot;,&quot;container-title-short&quot;:&quot;Geophys Res Lett&quot;,&quot;DOI&quot;:&quot;10.1029/2010GL045565&quot;,&quot;ISSN&quot;:&quot;00948276&quot;,&quot;issued&quot;:{&quot;date-parts&quot;:[[2011]]},&quot;abstract&quot;:&quot;Permeability, the ease of fluid flow through porous rocks and soils, is a fundamental but often poorly quantified component in the analysis of regional-scale water fluxes. Permeability is difficult to quantify because it varies over more than 13 orders of magnitude and is heterogeneous and dependent on flow direction. Indeed, at the regional scale, maps of permeability only exist for soil to depths of 1-2 m. Here we use an extensive compilation of results from hydrogeologic models to show that regional-scale (&gt;5 km) permeability of consolidated and unconsolidated geologic units below soil horizons (hydrolithologies) can be characterized in a statistically meaningful way. The representative permeabilities of these hydrolithologies are used to map the distribution of near-surface (on the order of 100 m depth) permeability globally and over North America. The distribution of each hydrolithology is generally scale independent. The near-surface mean permeability is of the order of ∼5 × 10&lt;sup&gt;-14&lt;/sup&gt; m&lt;sup&gt;2&lt;/sup&gt;. The results provide the first global picture of near-surface permeability and will be of particular value for evaluating global water resources and modeling the influence of climate-surface-subsurface interactions on global climate change. Copyright © 2011 by the American Geophysical Union.&quot;,&quot;issue&quot;:&quot;2&quot;,&quot;volume&quot;:&quot;38&quot;},&quot;isTemporary&quot;:false,&quot;displayAs&quot;:&quot;composite&quot;,&quot;suppress-author&quot;:false,&quot;composite&quot;:true,&quot;author-only&quot;:false}]},{&quot;citationID&quot;:&quot;MENDELEY_CITATION_1b08a147-b9bc-430c-950d-0a4beef7fefd&quot;,&quot;properties&quot;:{&quot;noteIndex&quot;:0},&quot;isEdited&quot;:false,&quot;manualOverride&quot;:{&quot;isManuallyOverridden&quot;:false,&quot;citeprocText&quot;:&quot;(Morrison et al., 2022; Pontoni et al., 2016; Soares et al., 2015)&quot;,&quot;manualOverrideText&quot;:&quot;&quot;},&quot;citationTag&quot;:&quot;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&quot;,&quot;citationItems&quot;:[{&quot;id&quot;:&quot;9c1407d5-c24f-3aeb-8f3c-6e1dc58f664c&quot;,&quot;itemData&quot;:{&quot;type&quot;:&quot;article-journal&quot;,&quot;id&quot;:&quot;9c1407d5-c24f-3aeb-8f3c-6e1dc58f664c&quot;,&quot;title&quot;:&quot;Effects of soil compaction and organic carbon content on preferential flow in loamy field soils&quot;,&quot;author&quot;:[{&quot;family&quot;:&quot;Soares&quot;,&quot;given&quot;:&quot;Antonio&quot;,&quot;parse-names&quot;:false,&quot;dropping-particle&quot;:&quot;&quot;,&quot;non-dropping-particle&quot;:&quot;&quot;},{&quot;family&quot;:&quot;Moldrup&quot;,&quot;given&quot;:&quot;Per&quot;,&quot;parse-names&quot;:false,&quot;dropping-particle&quot;:&quot;&quot;,&quot;non-dropping-particle&quot;:&quot;&quot;},{&quot;family&quot;:&quot;Vendelboe&quot;,&quot;given&quot;:&quot;Anders L.&quot;,&quot;parse-names&quot;:false,&quot;dropping-particle&quot;:&quot;&quot;,&quot;non-dropping-particle&quot;:&quot;&quot;},{&quot;family&quot;:&quot;Katuwal&quot;,&quot;given&quot;:&quot;Sheela&quot;,&quot;parse-names&quot;:false,&quot;dropping-particle&quot;:&quot;&quot;,&quot;non-dropping-particle&quot;:&quot;&quot;},{&quot;family&quot;:&quot;Norgaard&quot;,&quot;given&quot;:&quot;Trine&quot;,&quot;parse-names&quot;:false,&quot;dropping-particle&quot;:&quot;&quot;,&quot;non-dropping-particle&quot;:&quot;&quot;},{&quot;family&quot;:&quot;Delerue-Matos&quot;,&quot;given&quot;:&quot;Cristina&quot;,&quot;parse-names&quot;:false,&quot;dropping-particle&quot;:&quot;&quot;,&quot;non-dropping-particle&quot;:&quot;&quot;},{&quot;family&quot;:&quot;Tuller&quot;,&quot;given&quot;:&quot;Markus&quot;,&quot;parse-names&quot;:false,&quot;dropping-particle&quot;:&quot;&quot;,&quot;non-dropping-particle&quot;:&quot;&quot;},{&quot;family&quot;:&quot;Jonge&quot;,&quot;given&quot;:&quot;Lis W.&quot;,&quot;parse-names&quot;:false,&quot;dropping-particle&quot;:&quot;&quot;,&quot;non-dropping-particle&quot;:&quot;De&quot;}],&quot;container-title&quot;:&quot;Soil Science&quot;,&quot;container-title-short&quot;:&quot;Soil Sci&quot;,&quot;DOI&quot;:&quot;10.1097/SS.0000000000000105&quot;,&quot;ISSN&quot;:&quot;15389243&quot;,&quot;issued&quot;:{&quot;date-parts&quot;:[[2015]]},&quot;abstract&quot;:&quot;Preferential flowand transport throughmacropores affect plant water use efficiency and enhance leaching of agrochemicals and the transport of colloids, thereby increasing the risk for contamination of groundwater resources. The effects of soil compaction, expressed in terms of bulk density (BD), and organic carbon (OC) content on preferential flow and transport were investigated using 150 undisturbed soil cores sampled from 15 15-mgrids on two field sites. Both fields had loamy textures, but one site had significantly higher OC content. Leaching experiments were conducted in each core by applying a constant irrigation rate of 10mmh-1 with a pulse application of tritium tracer. Five percent tritium mass arrival times and apparent dispersivities were derived from each of the tracer breakthrough curves and correlated with texture, OC content, and BD to assess the spatial distribution of preferential flow and transport across the investigated fields. Soils fromboth fields showed strong positive correlations between BD and preferential flow. Interestingly, the relationships between BD and tracer transport characteristics were markedly different for the two fields, although the relationship between BD and macroporosity was nearly identical. The difference was likely caused by the higher contents of fines and OC at one of the fields leading to stronger aggregation, smaller matrix permeability, and a more pronounced pipe-like pore system with wellaligned macropores.&quot;,&quot;issue&quot;:&quot;1&quot;,&quot;volume&quot;:&quot;180&quot;},&quot;isTemporary&quot;:false},{&quot;id&quot;:&quot;65ae46cc-9268-3e92-bb14-bd47fb5b16f7&quot;,&quot;itemData&quot;:{&quot;type&quot;:&quot;article-journal&quot;,&quot;id&quot;:&quot;65ae46cc-9268-3e92-bb14-bd47fb5b16f7&quot;,&quot;title&quot;:&quot;Assessment of trace heavy metals dynamics during the interaction of aqueous solutions with the artificial OECD soil: Evaluation of the effect of soil organic matter content and colloidal mobilization&quot;,&quot;author&quot;:[{&quot;family&quot;:&quot;Pontoni&quot;,&quot;given&quot;:&quot;Ludovico&quot;,&quot;parse-names&quot;:false,&quot;dropping-particle&quot;:&quot;&quot;,&quot;non-dropping-particle&quot;:&quot;&quot;},{&quot;family&quot;:&quot;Hullebusch&quot;,&quot;given&quot;:&quot;Eric D.&quot;,&quot;parse-names&quot;:false,&quot;dropping-particle&quot;:&quot;&quot;,&quot;non-dropping-particle&quot;:&quot;van&quot;},{&quot;family&quot;:&quot;Fabbricino&quot;,&quot;given&quot;:&quot;Massimiliano&quot;,&quot;parse-names&quot;:false,&quot;dropping-particle&quot;:&quot;&quot;,&quot;non-dropping-particle&quot;:&quot;&quot;},{&quot;family&quot;:&quot;Esposito&quot;,&quot;given&quot;:&quot;Giovanni&quot;,&quot;parse-names&quot;:false,&quot;dropping-particle&quot;:&quot;&quot;,&quot;non-dropping-particle&quot;:&quot;&quot;},{&quot;family&quot;:&quot;Pirozzi&quot;,&quot;given&quot;:&quot;Francesco&quot;,&quot;parse-names&quot;:false,&quot;dropping-particle&quot;:&quot;&quot;,&quot;non-dropping-particle&quot;:&quot;&quot;}],&quot;container-title&quot;:&quot;Chemosphere&quot;,&quot;container-title-short&quot;:&quot;Chemosphere&quot;,&quot;DOI&quot;:&quot;10.1016/j.chemosphere.2016.08.005&quot;,&quot;ISSN&quot;:&quot;18791298&quot;,&quot;issued&quot;:{&quot;date-parts&quot;:[[2016]]},&quot;abstract&quot;:&quot;A micro-contamination phenomenon was reproduced and studied at lab-scale, mimicking the irrigation of a standard artificial soil with a water solution containing three Heavy Metals (HMs) at trace concentration level. To assess the dynamics of micro-pollutants accumulation and migration trough the soil, the organic matter in the soil was varied, together with sodicity of the irrigation water. Accumulation of the investigated contaminants was observed mainly in the top layer (≤1 cm) of the irrigated soil. This was attributed to the high interaction capacity of the soil compared to the low HM concentrations in the water phase. HMs transport pattern was described assuming a multi-component mechanism including: i) the interaction of HMs with the colloidal phase of the soil; ii) the slow and constant release of small molecular weight ligands detaching from the soil immobile matrix; iii) the transportation of HMs through the soil by these low molecular weight chaperon molecules. The mobility was directly related to the soil organic matter (SOM), since higher amount of SOM correspond to a higher number of chaperon molecules. In the first centimetre of the soil the metals were mostly bound to the acid labile fraction. Very low mobilization was observed with increasing sodicity in the leaching water, since such conditions were unfavourable to the colloidal mobilization of SOM. This indicated that water/soil transfer of pollutant is not only related to the contaminant concentration in the irrigation water but also to the characteristics of the aqueous solution and to the physical-chemical properties of the soil.&quot;,&quot;volume&quot;:&quot;163&quot;},&quot;isTemporary&quot;:false},{&quot;id&quot;:&quot;764bb4c7-5720-307f-aab1-0919446ae05c&quot;,&quot;itemData&quot;:{&quot;type&quot;:&quot;article-journal&quot;,&quot;id&quot;:&quot;764bb4c7-5720-307f-aab1-0919446ae05c&quot;,&quot;title&quot;:&quot;Soil organic matter can delay—but not eliminate—leaching of neonicotinoid insecticides&quot;,&quot;author&quot;:[{&quot;family&quot;:&quot;Morrison&quot;,&quot;given&quot;:&quot;Benjamin A.&quot;,&quot;parse-names&quot;:false,&quot;dropping-particle&quot;:&quot;&quot;,&quot;non-dropping-particle&quot;:&quot;&quot;},{&quot;family&quot;:&quot;Xia&quot;,&quot;given&quot;:&quot;Kang&quot;,&quot;parse-names&quot;:false,&quot;dropping-particle&quot;:&quot;&quot;,&quot;non-dropping-particle&quot;:&quot;&quot;},{&quot;family&quot;:&quot;Stewart&quot;,&quot;given&quot;:&quot;Ryan D.&quot;,&quot;parse-names&quot;:false,&quot;dropping-particle&quot;:&quot;&quot;,&quot;non-dropping-particle&quot;:&quot;&quot;}],&quot;container-title&quot;:&quot;Journal of Environmental Quality&quot;,&quot;container-title-short&quot;:&quot;J Environ Qual&quot;,&quot;DOI&quot;:&quot;10.1002/jeq2.20402&quot;,&quot;ISSN&quot;:&quot;15372537&quot;,&quot;issued&quot;:{&quot;date-parts&quot;:[[2022]]},&quot;abstract&quot;:&quot;Soil organic matter (SOM) retains and attenuates many contaminants; however, its interactions with neonicotinoid insecticides under field conditions remain poorly understood. The goal of this study was to determine if SOM influences the persistence or leaching of two neonicotinoid insecticides: thiamethoxam (TMX) and its transformation-product clothianidin (CLO). Thiamethoxam-coated soybean [Glycine max (L.) Merr.] was planted into a clay soil containing different soil organic carbon (SOC) concentrations. Leachate and soil samples were collected for 10 wk after planting and were analyzed for insecticide concentrations using liquid chromatography–tandem mass spectrometry. Single and multiple linear regressions were performed between SOC, leaching volumes, and measured insecticide concentrations, focusing on rainfall events near the beginning, middle, and end of the study. Correlations were also tested between SOC and cumulative mass of leached insecticides. Neither SOC nor per-event leachate volumes explained variability in TMX leaching or residual CLO concentrations in soils; however, by the conclusion of the study residual thiamethoxam concentrations in soil were negatively correlated with cumulative volume of leached water. Initially, the concentration and total mass of leached CLO were significantly and negatively correlated with SOC content; however, this effect faded with time. Leachate dynamics also affected CLO transport, with positive correlations between leachate volume and CLO concentration during the latter events. This analysis demonstrates that SOM can reduce peak loading of neonicotinoids but may not alter cumulative leaching over the entire growing season.&quot;,&quot;issue&quot;:&quot;6&quot;,&quot;volume&quot;:&quot;51&quot;},&quot;isTemporary&quot;:false}]},{&quot;citationID&quot;:&quot;MENDELEY_CITATION_82cb20a2-6760-4ff4-8798-bef8061706f9&quot;,&quot;properties&quot;:{&quot;noteIndex&quot;:0,&quot;mode&quot;:&quot;composite&quot;},&quot;isEdited&quot;:false,&quot;manualOverride&quot;:{&quot;isManuallyOverridden&quot;:false,&quot;citeprocText&quot;:&quot;Gao et al. (2019)&quot;,&quot;manualOverrideText&quot;:&quot;&quot;},&quot;citationTag&quot;:&quot;MENDELEY_CITATION_v3_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&quot;,&quot;citationItems&quot;:[{&quot;id&quot;:&quot;71265601-0bc2-3c9d-8a9b-032cd354bf35&quot;,&quot;itemData&quot;:{&quot;type&quot;:&quot;article-journal&quot;,&quot;id&quot;:&quot;71265601-0bc2-3c9d-8a9b-032cd354bf35&quot;,&quot;title&quot;:&quot;Microbially Induced Calcite Precipitation for Seepage Control in Sandy Soil&quot;,&quot;author&quot;:[{&quot;family&quot;:&quot;Gao&quot;,&quot;given&quot;:&quot;Yufeng&quot;,&quot;parse-names&quot;:false,&quot;dropping-particle&quot;:&quot;&quot;,&quot;non-dropping-particle&quot;:&quot;&quot;},{&quot;family&quot;:&quot;Tang&quot;,&quot;given&quot;:&quot;Xinyi&quot;,&quot;parse-names&quot;:false,&quot;dropping-particle&quot;:&quot;&quot;,&quot;non-dropping-particle&quot;:&quot;&quot;},{&quot;family&quot;:&quot;Chu&quot;,&quot;given&quot;:&quot;Jian&quot;,&quot;parse-names&quot;:false,&quot;dropping-particle&quot;:&quot;&quot;,&quot;non-dropping-particle&quot;:&quot;&quot;},{&quot;family&quot;:&quot;He&quot;,&quot;given&quot;:&quot;Jia&quot;,&quot;parse-names&quot;:false,&quot;dropping-particle&quot;:&quot;&quot;,&quot;non-dropping-particle&quot;:&quot;&quot;}],&quot;container-title&quot;:&quot;Geomicrobiology Journal&quot;,&quot;container-title-short&quot;:&quot;Geomicrobiol J&quot;,&quot;DOI&quot;:&quot;10.1080/01490451.2018.1556750&quot;,&quot;ISSN&quot;:&quot;15210529&quot;,&quot;issued&quot;:{&quot;date-parts&quot;:[[2019]]},&quot;abstract&quot;:&quot;Microbially induced calcite precipitation (MICP) can reduce the permeability of soil by reducing the pore volumes. A MICP-based soil improvement method to control water leakage in irrigation channels and reservoirs built on sandy soil grounds is presented in this article. Using this method, a low-permeable hard crust can be formed at the soil surfaces. An experimental study was carried out to evaluate the effect of this method. Sandy soil samples were treated using four different schemes, namely, (1) surface spray, (2) surface spray with the addition of fibers, (3) surface spray and bulk stabilization, and (4) immersion stabilization. By applying around 2.6 L treatment liquid (consisting of ureolytic bacteria, 0.5 mol/L calcium chloride and 0.5 mol/L urea) to the top 2-cm thick soil, the seepage rates of the samples treated by the four different schemes could be reduced by up to 379 times. The conversion rates of calcium source in the tests were up to 89.7%. The results showed that a method of treating the soil in bulk before the formation of a crust on top of the soil layer was effective in reducing the seepage rates. After the bio-treatment, the formed low-permeable hard crust layer was 10 to 20 mm thick with a calcite content higher than 5%. Below the hard crusts, the calcite content was less than 5% and the soil was not properly cemented. Using the mercury intrusion test, it was found that both pore volumes and pore sizes of the bio-treated soil reduced significantly as compared with the untreated soil. Penetration tests using a flat-bottom penetrometer were used to assess the mechanical behavior of the bio-treated soil. The results indicated that the penetration resistance of the bio-treated soil layer was much higher than that of the untreated soil.&quot;,&quot;issue&quot;:&quot;4&quot;,&quot;volume&quot;:&quot;36&quot;},&quot;isTemporary&quot;:false,&quot;displayAs&quot;:&quot;composite&quot;,&quot;suppress-author&quot;:false,&quot;composite&quot;:true,&quot;author-only&quot;:false}]},{&quot;citationID&quot;:&quot;MENDELEY_CITATION_6356d623-4394-432c-8dea-8e7039b91867&quot;,&quot;properties&quot;:{&quot;noteIndex&quot;:0,&quot;mode&quot;:&quot;composite&quot;},&quot;isEdited&quot;:false,&quot;manualOverride&quot;:{&quot;isManuallyOverridden&quot;:false,&quot;citeprocText&quot;:&quot;Hamamoto et al. (2009)&quot;,&quot;manualOverrideText&quot;:&quot;&quot;},&quot;citationTag&quot;:&quot;MENDELEY_CITATION_v3_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&quot;,&quot;citationItems&quot;:[{&quot;id&quot;:&quot;2f53e337-6898-3d15-a3f1-9bc74954ae11&quot;,&quot;itemData&quot;:{&quot;type&quot;:&quot;article-journal&quot;,&quot;id&quot;:&quot;2f53e337-6898-3d15-a3f1-9bc74954ae11&quot;,&quot;title&quot;:&quot;Effect of Particle Size and Soil Compaction on Gas Transport Parameters in Variably Saturated, Sandy Soils&quot;,&quot;author&quot;:[{&quot;family&quot;:&quot;Hamamoto&quot;,&quot;given&quot;:&quot;Shoichiro&quot;,&quot;parse-names&quot;:false,&quot;dropping-particle&quot;:&quot;&quot;,&quot;non-dropping-particle&quot;:&quot;&quot;},{&quot;family&quot;:&quot;Moldrup&quot;,&quot;given&quot;:&quot;Per&quot;,&quot;parse-names&quot;:false,&quot;dropping-particle&quot;:&quot;&quot;,&quot;non-dropping-particle&quot;:&quot;&quot;},{&quot;family&quot;:&quot;Kawamoto&quot;,&quot;given&quot;:&quot;Ken&quot;,&quot;parse-names&quot;:false,&quot;dropping-particle&quot;:&quot;&quot;,&quot;non-dropping-particle&quot;:&quot;&quot;},{&quot;family&quot;:&quot;Komatsu&quot;,&quot;given&quot;:&quot;Toshiko&quot;,&quot;parse-names&quot;:false,&quot;dropping-particle&quot;:&quot;&quot;,&quot;non-dropping-particle&quot;:&quot;&quot;}],&quot;container-title&quot;:&quot;Vadose Zone Journal&quot;,&quot;DOI&quot;:&quot;10.2136/vzj2008.0157&quot;,&quot;ISSN&quot;:&quot;1539-1663&quot;,&quot;issued&quot;:{&quot;date-parts&quot;:[[2009]]},&quot;abstract&quot;:&quot; The soil gas diffusion coefficient ( D p ) and air permeability ( k a ) and their dependency on soil air content (ε) control gas diffusion and advection in soils. This study investigated the effects of average particle size ( D 50 ) and dry bulk density (ρ b ) on D p and k a for six sandy soils under variably saturated conditions. Data showed that particle size markedly affects the effective diameter of the drained pores active in leading gas through the sample at −100 cm H 2 O of soil water matric potential (calculated from D p and k a ) as well as the average pore diameter at half saturation (calculated from the water retention curve), both exhibiting similar and exponential relationships with D 50 Under variably saturated conditions, higher D p and k a in coarser sand (larger D 50 ) were observed due to rapid gas diffusion and advection through the less tortuous large‐pore networks. In addition, soil compaction (larger ρ b ) simultaneously caused reduced water blockage effects and a reduction of large‐pore space, resulting in higher D p (ε) but lower k a (ε). Two recent models for D p (ε) and k a (ε) were evaluated: the water‐induced linear reduction (WLR) model for D p , and the reference‐point power law (RPL) model for k a , with reference point k a set at −100 cm H 2 O. The performance of both models for the sandy soils (particle size range 0.02–0.9 mm) was improved if the pore connectivity–tortuosity factor and water blockage factors were assumed to be functions of D 50 and ρ b Water blockage factors, N for the WLR D p (ε) model and M for the RPL k a (ε) model, showed a strong nonlinear relationship ( R 2 = 0.95) that seems promising for predicting D p (ε) from the more easily measureable k a (ε). &quot;,&quot;issue&quot;:&quot;4&quot;,&quot;volume&quot;:&quot;8&quot;,&quot;container-title-short&quot;:&quot;&quot;},&quot;isTemporary&quot;:false,&quot;displayAs&quot;:&quot;composite&quot;,&quot;suppress-author&quot;:false,&quot;composite&quot;:true,&quot;author-only&quot;:false}]},{&quot;citationID&quot;:&quot;MENDELEY_CITATION_4f569243-fe0f-44f4-af4b-5b96735cba13&quot;,&quot;properties&quot;:{&quot;noteIndex&quot;:0,&quot;mode&quot;:&quot;composite&quot;},&quot;isEdited&quot;:false,&quot;manualOverride&quot;:{&quot;isManuallyOverridden&quot;:false,&quot;citeprocText&quot;:&quot;Soares et al. (2015)&quot;,&quot;manualOverrideText&quot;:&quot;&quot;},&quot;citationTag&quot;:&quot;MENDELEY_CITATION_v3_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&quot;,&quot;citationItems&quot;:[{&quot;id&quot;:&quot;9c1407d5-c24f-3aeb-8f3c-6e1dc58f664c&quot;,&quot;itemData&quot;:{&quot;type&quot;:&quot;article-journal&quot;,&quot;id&quot;:&quot;9c1407d5-c24f-3aeb-8f3c-6e1dc58f664c&quot;,&quot;title&quot;:&quot;Effects of soil compaction and organic carbon content on preferential flow in loamy field soils&quot;,&quot;author&quot;:[{&quot;family&quot;:&quot;Soares&quot;,&quot;given&quot;:&quot;Antonio&quot;,&quot;parse-names&quot;:false,&quot;dropping-particle&quot;:&quot;&quot;,&quot;non-dropping-particle&quot;:&quot;&quot;},{&quot;family&quot;:&quot;Moldrup&quot;,&quot;given&quot;:&quot;Per&quot;,&quot;parse-names&quot;:false,&quot;dropping-particle&quot;:&quot;&quot;,&quot;non-dropping-particle&quot;:&quot;&quot;},{&quot;family&quot;:&quot;Vendelboe&quot;,&quot;given&quot;:&quot;Anders L.&quot;,&quot;parse-names&quot;:false,&quot;dropping-particle&quot;:&quot;&quot;,&quot;non-dropping-particle&quot;:&quot;&quot;},{&quot;family&quot;:&quot;Katuwal&quot;,&quot;given&quot;:&quot;Sheela&quot;,&quot;parse-names&quot;:false,&quot;dropping-particle&quot;:&quot;&quot;,&quot;non-dropping-particle&quot;:&quot;&quot;},{&quot;family&quot;:&quot;Norgaard&quot;,&quot;given&quot;:&quot;Trine&quot;,&quot;parse-names&quot;:false,&quot;dropping-particle&quot;:&quot;&quot;,&quot;non-dropping-particle&quot;:&quot;&quot;},{&quot;family&quot;:&quot;Delerue-Matos&quot;,&quot;given&quot;:&quot;Cristina&quot;,&quot;parse-names&quot;:false,&quot;dropping-particle&quot;:&quot;&quot;,&quot;non-dropping-particle&quot;:&quot;&quot;},{&quot;family&quot;:&quot;Tuller&quot;,&quot;given&quot;:&quot;Markus&quot;,&quot;parse-names&quot;:false,&quot;dropping-particle&quot;:&quot;&quot;,&quot;non-dropping-particle&quot;:&quot;&quot;},{&quot;family&quot;:&quot;Jonge&quot;,&quot;given&quot;:&quot;Lis W.&quot;,&quot;parse-names&quot;:false,&quot;dropping-particle&quot;:&quot;&quot;,&quot;non-dropping-particle&quot;:&quot;De&quot;}],&quot;container-title&quot;:&quot;Soil Science&quot;,&quot;container-title-short&quot;:&quot;Soil Sci&quot;,&quot;DOI&quot;:&quot;10.1097/SS.0000000000000105&quot;,&quot;ISSN&quot;:&quot;15389243&quot;,&quot;issued&quot;:{&quot;date-parts&quot;:[[2015]]},&quot;abstract&quot;:&quot;Preferential flowand transport throughmacropores affect plant water use efficiency and enhance leaching of agrochemicals and the transport of colloids, thereby increasing the risk for contamination of groundwater resources. The effects of soil compaction, expressed in terms of bulk density (BD), and organic carbon (OC) content on preferential flow and transport were investigated using 150 undisturbed soil cores sampled from 15 15-mgrids on two field sites. Both fields had loamy textures, but one site had significantly higher OC content. Leaching experiments were conducted in each core by applying a constant irrigation rate of 10mmh-1 with a pulse application of tritium tracer. Five percent tritium mass arrival times and apparent dispersivities were derived from each of the tracer breakthrough curves and correlated with texture, OC content, and BD to assess the spatial distribution of preferential flow and transport across the investigated fields. Soils fromboth fields showed strong positive correlations between BD and preferential flow. Interestingly, the relationships between BD and tracer transport characteristics were markedly different for the two fields, although the relationship between BD and macroporosity was nearly identical. The difference was likely caused by the higher contents of fines and OC at one of the fields leading to stronger aggregation, smaller matrix permeability, and a more pronounced pipe-like pore system with wellaligned macropores.&quot;,&quot;issue&quot;:&quot;1&quot;,&quot;volume&quot;:&quot;180&quot;},&quot;isTemporary&quot;:false,&quot;displayAs&quot;:&quot;composite&quot;,&quot;suppress-author&quot;:false,&quot;composite&quot;:tru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9F8CE-2D36-444A-A931-3D9094F74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6751</Words>
  <Characters>38481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Uzochi Njoku</dc:creator>
  <cp:keywords/>
  <dc:description/>
  <cp:lastModifiedBy>RAJAT SHAW</cp:lastModifiedBy>
  <cp:revision>10</cp:revision>
  <dcterms:created xsi:type="dcterms:W3CDTF">2026-04-28T12:23:00Z</dcterms:created>
  <dcterms:modified xsi:type="dcterms:W3CDTF">2026-04-29T09:11:00Z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a8092fe3-3f55-48cf-bcd9-de598264fccd</vt:lpwstr>
  </property>
</Properties>
</file>