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FC236" w14:textId="0B686A60" w:rsidR="005E7DAB" w:rsidRPr="00E94F4F" w:rsidRDefault="005E7DAB" w:rsidP="00E94F4F">
      <w:pPr>
        <w:jc w:val="center"/>
        <w:rPr>
          <w:b/>
          <w:bCs/>
        </w:rPr>
      </w:pPr>
      <w:r w:rsidRPr="00E94F4F">
        <w:rPr>
          <w:b/>
          <w:bCs/>
        </w:rPr>
        <w:t>Capital–Energy Substitutability and Labour–Energy Complementarity in Nigeria’s Manufacturing Sector: Evidence from a Translog Cost Function</w:t>
      </w:r>
    </w:p>
    <w:p w14:paraId="40847231" w14:textId="16E1CE93" w:rsidR="005E7DAB" w:rsidRDefault="005E7DAB" w:rsidP="005E7DAB"/>
    <w:p w14:paraId="6FBE9585" w14:textId="77777777" w:rsidR="00BC6D47" w:rsidRDefault="00BC6D47" w:rsidP="005E7DAB"/>
    <w:p w14:paraId="38F2FEE2" w14:textId="09CFC4CD" w:rsidR="005E7DAB" w:rsidRPr="004E1009" w:rsidRDefault="005E7DAB" w:rsidP="004E1009">
      <w:pPr>
        <w:jc w:val="both"/>
        <w:rPr>
          <w:b/>
          <w:bCs/>
        </w:rPr>
      </w:pPr>
      <w:r w:rsidRPr="004E1009">
        <w:rPr>
          <w:b/>
          <w:bCs/>
        </w:rPr>
        <w:t>Abstract</w:t>
      </w:r>
    </w:p>
    <w:p w14:paraId="61AF3EF2" w14:textId="77777777" w:rsidR="00BF571D" w:rsidRPr="00BF571D" w:rsidRDefault="00BF571D" w:rsidP="00E63BF0">
      <w:pPr>
        <w:jc w:val="both"/>
        <w:rPr>
          <w:i/>
          <w:iCs/>
        </w:rPr>
      </w:pPr>
      <w:r w:rsidRPr="00BF571D">
        <w:rPr>
          <w:i/>
          <w:iCs/>
        </w:rPr>
        <w:t xml:space="preserve">Understanding the scope for substitution between energy and non-energy inputs is central to the design of energy taxes, subsidies, and environmental regulation. Using annual data for 1981–2023, this study estimates Allen (AES) and Morishima (MES) elasticities among capital, labour, and energy in Nigeria’s manufacturing sector within a </w:t>
      </w:r>
      <w:proofErr w:type="spellStart"/>
      <w:r w:rsidRPr="00BF571D">
        <w:rPr>
          <w:i/>
          <w:iCs/>
        </w:rPr>
        <w:t>translog</w:t>
      </w:r>
      <w:proofErr w:type="spellEnd"/>
      <w:r w:rsidRPr="00BF571D">
        <w:rPr>
          <w:i/>
          <w:iCs/>
        </w:rPr>
        <w:t xml:space="preserve"> cost framework. The system is estimated by iterated Seemingly Unrelated Regression (</w:t>
      </w:r>
      <w:proofErr w:type="spellStart"/>
      <w:r w:rsidRPr="00BF571D">
        <w:rPr>
          <w:i/>
          <w:iCs/>
        </w:rPr>
        <w:t>iSUR</w:t>
      </w:r>
      <w:proofErr w:type="spellEnd"/>
      <w:r w:rsidRPr="00BF571D">
        <w:rPr>
          <w:i/>
          <w:iCs/>
        </w:rPr>
        <w:t xml:space="preserve">), imposing linear homogeneity and symmetry restrictions. The results indicate that capital and energy are Morishima substitutes, with MES-KE rising from 1.95 in 1981 to 4.50 in 2023 (a 131% increase), consistent with technology-driven growth in substitutability. Energy and labour are also substitutes (mean MES-EL = 2.32), although the degree of substitution declines over time. By contrast, capital and </w:t>
      </w:r>
      <w:proofErr w:type="spellStart"/>
      <w:r w:rsidRPr="00BF571D">
        <w:rPr>
          <w:i/>
          <w:iCs/>
        </w:rPr>
        <w:t>labour</w:t>
      </w:r>
      <w:proofErr w:type="spellEnd"/>
      <w:r w:rsidRPr="00BF571D">
        <w:rPr>
          <w:i/>
          <w:iCs/>
        </w:rPr>
        <w:t xml:space="preserve"> are </w:t>
      </w:r>
      <w:proofErr w:type="spellStart"/>
      <w:r w:rsidRPr="00BF571D">
        <w:rPr>
          <w:i/>
          <w:iCs/>
        </w:rPr>
        <w:t>Morishima</w:t>
      </w:r>
      <w:proofErr w:type="spellEnd"/>
      <w:r w:rsidRPr="00BF571D">
        <w:rPr>
          <w:i/>
          <w:iCs/>
        </w:rPr>
        <w:t xml:space="preserve"> complements (mean MES-KL = −1.94), implying that higher capital prices reduce demand for both capital and labour. Relative to AES, MES better captures directionality and time variation; AES estimates remain close to 1–2 with limited movement. Policy implications follow: higher energy prices are likely to induce substitution toward capital, whereas higher capital costs may depress employment. Accordingly, policy interventions should target energy directly rather than capital.</w:t>
      </w:r>
    </w:p>
    <w:p w14:paraId="2B4E35B0" w14:textId="77777777" w:rsidR="00BF571D" w:rsidRDefault="00BF571D" w:rsidP="00BF571D">
      <w:pPr>
        <w:jc w:val="both"/>
        <w:rPr>
          <w:i/>
          <w:iCs/>
        </w:rPr>
      </w:pPr>
      <w:r w:rsidRPr="00BF571D">
        <w:rPr>
          <w:i/>
          <w:iCs/>
        </w:rPr>
        <w:t xml:space="preserve">Keywords: Elasticity of substitution, </w:t>
      </w:r>
      <w:proofErr w:type="spellStart"/>
      <w:r w:rsidRPr="00BF571D">
        <w:rPr>
          <w:i/>
          <w:iCs/>
        </w:rPr>
        <w:t>translog</w:t>
      </w:r>
      <w:proofErr w:type="spellEnd"/>
      <w:r w:rsidRPr="00BF571D">
        <w:rPr>
          <w:i/>
          <w:iCs/>
        </w:rPr>
        <w:t xml:space="preserve"> cost function, </w:t>
      </w:r>
      <w:proofErr w:type="spellStart"/>
      <w:r w:rsidRPr="00BF571D">
        <w:rPr>
          <w:i/>
          <w:iCs/>
        </w:rPr>
        <w:t>Morishima</w:t>
      </w:r>
      <w:proofErr w:type="spellEnd"/>
      <w:r w:rsidRPr="00BF571D">
        <w:rPr>
          <w:i/>
          <w:iCs/>
        </w:rPr>
        <w:t xml:space="preserve"> elasticity, capital-energy substitution, manufacturing, Nigeria</w:t>
      </w:r>
    </w:p>
    <w:p w14:paraId="398E0DA3" w14:textId="13E74BA8" w:rsidR="005E7DAB" w:rsidRPr="004E1009" w:rsidRDefault="005E7DAB" w:rsidP="00BF571D">
      <w:pPr>
        <w:jc w:val="both"/>
        <w:rPr>
          <w:b/>
          <w:bCs/>
        </w:rPr>
      </w:pPr>
      <w:r w:rsidRPr="004E1009">
        <w:rPr>
          <w:b/>
          <w:bCs/>
        </w:rPr>
        <w:t>1. Introduction</w:t>
      </w:r>
    </w:p>
    <w:p w14:paraId="0428B69D" w14:textId="77777777" w:rsidR="006C2668" w:rsidRDefault="006C2668" w:rsidP="00E63BF0">
      <w:pPr>
        <w:jc w:val="both"/>
      </w:pPr>
      <w:r>
        <w:t>The global policy debate on energy and climate change frequently invokes substitution possibilities: can firms replace energy with capital (e.g., more efficient machinery) or labour (e.g., better energy management practices) when energy prices rise? The answer determines whether energy taxes are effective (high substitutability) or merely regressive (low substitutability). In Nigeria, the manufacturing sector faces chronic energy supply shortages and price volatility. Firms routinely self-generate electricity using diesel generators, incurring costs three to four times higher than grid tariffs (Sheu &amp; Taiwo, 2025). Understanding substitution elasticities is therefore urgent.</w:t>
      </w:r>
    </w:p>
    <w:p w14:paraId="28F2518B" w14:textId="77777777" w:rsidR="006C2668" w:rsidRDefault="006C2668" w:rsidP="00E63BF0">
      <w:pPr>
        <w:jc w:val="both"/>
      </w:pPr>
    </w:p>
    <w:p w14:paraId="732F1749" w14:textId="77777777" w:rsidR="006C2668" w:rsidRDefault="006C2668" w:rsidP="00E63BF0">
      <w:pPr>
        <w:jc w:val="both"/>
      </w:pPr>
      <w:r>
        <w:t xml:space="preserve">Yet previous Nigerian studies (e.g., Ogunleye &amp; </w:t>
      </w:r>
      <w:proofErr w:type="spellStart"/>
      <w:r>
        <w:t>Akinbami</w:t>
      </w:r>
      <w:proofErr w:type="spellEnd"/>
      <w:r>
        <w:t xml:space="preserve">, 2016; </w:t>
      </w:r>
      <w:proofErr w:type="spellStart"/>
      <w:r>
        <w:t>Adenikinju</w:t>
      </w:r>
      <w:proofErr w:type="spellEnd"/>
      <w:r>
        <w:t xml:space="preserve">, 2008) focused on fuel substitution (diesel vs. electricity) rather than cross-factor substitution among energy, capital, and </w:t>
      </w:r>
      <w:r>
        <w:lastRenderedPageBreak/>
        <w:t xml:space="preserve">labour. Moreover, they used Allen elasticities, which have known theoretical weaknesses (Blackorby &amp; Russell, 1989). This paper provides the first estimates of Morishima elasticities of substitution for Nigeria’s manufacturing sector using a </w:t>
      </w:r>
      <w:proofErr w:type="spellStart"/>
      <w:r>
        <w:t>translog</w:t>
      </w:r>
      <w:proofErr w:type="spellEnd"/>
      <w:r>
        <w:t xml:space="preserve"> cost function and 43 years of aggregate data. It compares MES with AES and demonstrates why MES is preferred for policy analysis.</w:t>
      </w:r>
    </w:p>
    <w:p w14:paraId="5D4F2B4D" w14:textId="77777777" w:rsidR="006C2668" w:rsidRDefault="006C2668" w:rsidP="00E63BF0">
      <w:pPr>
        <w:jc w:val="both"/>
      </w:pPr>
      <w:r>
        <w:t xml:space="preserve">Recent contributions from emerging economies highlight the relevance of such analysis. For instance, Khan et al. (2022) found significant capital-energy substitution in Pakistan’s textile sector, while Mensah and </w:t>
      </w:r>
      <w:proofErr w:type="spellStart"/>
      <w:r>
        <w:t>Adu</w:t>
      </w:r>
      <w:proofErr w:type="spellEnd"/>
      <w:r>
        <w:t xml:space="preserve"> (2023) reported </w:t>
      </w:r>
      <w:proofErr w:type="spellStart"/>
      <w:r>
        <w:t>labour</w:t>
      </w:r>
      <w:proofErr w:type="spellEnd"/>
      <w:r>
        <w:t>-energy complementarity in Ghanaian manufacturing. However, no comparable evidence exists for Nigeria, leaving a critical gap. This study aims to fill that gap by answering three research questions: (1) Are capital and energy substitutes or complements in Nigerian manufacturing? (2) How have these elasticities evolved over four decades? (3) What are the differential implications of using AES versus MES for policy design?</w:t>
      </w:r>
    </w:p>
    <w:p w14:paraId="5F079473" w14:textId="77777777" w:rsidR="005E7DAB" w:rsidRDefault="005E7DAB" w:rsidP="004E1009">
      <w:pPr>
        <w:jc w:val="both"/>
      </w:pPr>
    </w:p>
    <w:p w14:paraId="00963E62" w14:textId="7F3C2609" w:rsidR="005E7DAB" w:rsidRPr="004E1009" w:rsidRDefault="005E7DAB" w:rsidP="004E1009">
      <w:pPr>
        <w:jc w:val="both"/>
        <w:rPr>
          <w:b/>
          <w:bCs/>
        </w:rPr>
      </w:pPr>
      <w:r w:rsidRPr="004E1009">
        <w:rPr>
          <w:b/>
          <w:bCs/>
        </w:rPr>
        <w:t>2. Literature Review</w:t>
      </w:r>
    </w:p>
    <w:p w14:paraId="2ACA3AE9" w14:textId="0A45082B" w:rsidR="005E7DAB" w:rsidRPr="004E1009" w:rsidRDefault="005E7DAB" w:rsidP="004E1009">
      <w:pPr>
        <w:jc w:val="both"/>
        <w:rPr>
          <w:b/>
          <w:bCs/>
        </w:rPr>
      </w:pPr>
      <w:r w:rsidRPr="004E1009">
        <w:rPr>
          <w:b/>
          <w:bCs/>
        </w:rPr>
        <w:t>2.1 Theoretical Foundations</w:t>
      </w:r>
    </w:p>
    <w:p w14:paraId="252274D5" w14:textId="77777777" w:rsidR="00DA7F7C" w:rsidRDefault="006D2B2A" w:rsidP="004E1009">
      <w:pPr>
        <w:jc w:val="both"/>
      </w:pPr>
      <w:r w:rsidRPr="006D2B2A">
        <w:t>The elasticity of substitution measures the ease with which one input can replace another while holding output constant. The Allen-</w:t>
      </w:r>
      <w:proofErr w:type="spellStart"/>
      <w:r w:rsidRPr="006D2B2A">
        <w:t>Uzawa</w:t>
      </w:r>
      <w:proofErr w:type="spellEnd"/>
      <w:r w:rsidRPr="006D2B2A">
        <w:t xml:space="preserve"> elasticity (AES) was the standard for decades (Allen, 1938; </w:t>
      </w:r>
      <w:proofErr w:type="spellStart"/>
      <w:r w:rsidRPr="006D2B2A">
        <w:t>Uzawa</w:t>
      </w:r>
      <w:proofErr w:type="spellEnd"/>
      <w:r w:rsidRPr="006D2B2A">
        <w:t>, 1962). However, Blackorby and Russell (1989) demonstrated that AES does not measure the curvature of the isoquant and is not a derivative of a quantity ratio with respect to a price ratio. They proposed the Morishima elasticity (MES) as a superior alternative. MES is defined as:</w:t>
      </w:r>
    </w:p>
    <w:p w14:paraId="2034F65D" w14:textId="194FCAC4" w:rsidR="005E7DAB" w:rsidRDefault="009452FA" w:rsidP="004E1009">
      <w:pPr>
        <w:jc w:val="both"/>
      </w:pPr>
      <m:oMathPara>
        <m:oMath>
          <m:sSub>
            <m:sSubPr>
              <m:ctrlPr>
                <w:rPr>
                  <w:rFonts w:ascii="Cambria Math" w:hAnsi="Cambria Math"/>
                  <w:i/>
                </w:rPr>
              </m:ctrlPr>
            </m:sSubPr>
            <m:e>
              <m:r>
                <w:rPr>
                  <w:rFonts w:ascii="Cambria Math" w:hAnsi="Cambria Math"/>
                </w:rPr>
                <m:t>MES</m:t>
              </m:r>
            </m:e>
            <m:sub>
              <m:r>
                <w:rPr>
                  <w:rFonts w:ascii="Cambria Math" w:hAnsi="Cambria Math"/>
                </w:rPr>
                <m:t>ij</m:t>
              </m:r>
            </m:sub>
          </m:sSub>
          <m:r>
            <w:rPr>
              <w:rFonts w:ascii="Cambria Math" w:hAnsi="Cambria Math"/>
            </w:rPr>
            <m:t>=</m:t>
          </m:r>
          <m:f>
            <m:fPr>
              <m:ctrlPr>
                <w:rPr>
                  <w:rFonts w:ascii="Cambria Math" w:hAnsi="Cambria Math"/>
                  <w:i/>
                </w:rPr>
              </m:ctrlPr>
            </m:fPr>
            <m:num>
              <m:f>
                <m:fPr>
                  <m:type m:val="lin"/>
                  <m:ctrlPr>
                    <w:rPr>
                      <w:rFonts w:ascii="Cambria Math" w:hAnsi="Cambria Math"/>
                      <w:i/>
                    </w:rPr>
                  </m:ctrlPr>
                </m:fPr>
                <m:num>
                  <m:sSub>
                    <m:sSubPr>
                      <m:ctrlPr>
                        <w:rPr>
                          <w:rFonts w:ascii="Cambria Math" w:hAnsi="Cambria Math"/>
                          <w:i/>
                        </w:rPr>
                      </m:ctrlPr>
                    </m:sSubPr>
                    <m:e>
                      <m:r>
                        <w:rPr>
                          <w:rFonts w:ascii="Cambria Math" w:hAnsi="Cambria Math"/>
                        </w:rPr>
                        <m:t>∂</m:t>
                      </m:r>
                      <m:r>
                        <m:rPr>
                          <m:sty m:val="p"/>
                        </m:rPr>
                        <w:rPr>
                          <w:rFonts w:ascii="Cambria Math" w:hAnsi="Cambria Math"/>
                        </w:rPr>
                        <m:t>ln⁡</m:t>
                      </m:r>
                      <m:r>
                        <w:rPr>
                          <w:rFonts w:ascii="Cambria Math" w:hAnsi="Cambria Math"/>
                        </w:rPr>
                        <m:t>(</m:t>
                      </m:r>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den>
              </m:f>
            </m:num>
            <m:den>
              <m:sSub>
                <m:sSubPr>
                  <m:ctrlPr>
                    <w:rPr>
                      <w:rFonts w:ascii="Cambria Math" w:hAnsi="Cambria Math"/>
                      <w:i/>
                    </w:rPr>
                  </m:ctrlPr>
                </m:sSubPr>
                <m:e>
                  <m:r>
                    <w:rPr>
                      <w:rFonts w:ascii="Cambria Math" w:hAnsi="Cambria Math"/>
                    </w:rPr>
                    <m:t>∂lnP</m:t>
                  </m:r>
                </m:e>
                <m:sub>
                  <m:r>
                    <w:rPr>
                      <w:rFonts w:ascii="Cambria Math" w:hAnsi="Cambria Math"/>
                    </w:rPr>
                    <m:t>j</m:t>
                  </m:r>
                </m:sub>
              </m:sSub>
            </m:den>
          </m:f>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j</m:t>
              </m:r>
            </m:sub>
          </m:sSub>
          <m:sSub>
            <m:sSubPr>
              <m:ctrlPr>
                <w:rPr>
                  <w:rFonts w:ascii="Cambria Math" w:hAnsi="Cambria Math"/>
                  <w:i/>
                </w:rPr>
              </m:ctrlPr>
            </m:sSubPr>
            <m:e>
              <m:r>
                <w:rPr>
                  <w:rFonts w:ascii="Cambria Math" w:hAnsi="Cambria Math"/>
                </w:rPr>
                <m:t>P</m:t>
              </m:r>
            </m:e>
            <m:sub>
              <m:r>
                <w:rPr>
                  <w:rFonts w:ascii="Cambria Math" w:hAnsi="Cambria Math"/>
                </w:rPr>
                <m:t>j</m:t>
              </m:r>
            </m:sub>
          </m:sSub>
        </m:oMath>
      </m:oMathPara>
    </w:p>
    <w:p w14:paraId="61AEB6E3" w14:textId="5279E107" w:rsidR="005E7DAB" w:rsidRDefault="005E7DAB" w:rsidP="004E1009">
      <w:pPr>
        <w:jc w:val="both"/>
      </w:pPr>
      <w:r>
        <w:t>where</w:t>
      </w:r>
      <m:oMath>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is the cross-price elasticity of demand for input </w:t>
      </w:r>
      <w:r w:rsidRPr="00102B80">
        <w:rPr>
          <w:i/>
          <w:iCs/>
        </w:rPr>
        <w:t>i</w:t>
      </w:r>
      <w:r>
        <w:t xml:space="preserve"> with respect to price </w:t>
      </w:r>
      <w:r w:rsidRPr="00102B80">
        <w:rPr>
          <w:i/>
          <w:iCs/>
        </w:rPr>
        <w:t>j</w:t>
      </w:r>
      <w:r>
        <w:t xml:space="preserve">, and </w:t>
      </w:r>
      <m:oMath>
        <m:sSub>
          <m:sSubPr>
            <m:ctrlPr>
              <w:rPr>
                <w:rFonts w:ascii="Cambria Math" w:hAnsi="Cambria Math"/>
                <w:i/>
              </w:rPr>
            </m:ctrlPr>
          </m:sSubPr>
          <m:e>
            <m:r>
              <w:rPr>
                <w:rFonts w:ascii="Cambria Math" w:hAnsi="Cambria Math"/>
              </w:rPr>
              <m:t>∈X</m:t>
            </m:r>
          </m:e>
          <m:sub>
            <m:r>
              <w:rPr>
                <w:rFonts w:ascii="Cambria Math" w:hAnsi="Cambria Math"/>
              </w:rPr>
              <m:t>j</m:t>
            </m:r>
          </m:sub>
        </m:sSub>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is the own-price elasticity of input </w:t>
      </w:r>
      <w:r w:rsidRPr="002E2A16">
        <w:rPr>
          <w:i/>
          <w:iCs/>
        </w:rPr>
        <w:t>j</w:t>
      </w:r>
      <w:r>
        <w:t xml:space="preserve">. MES is asymmetric: </w:t>
      </w:r>
      <m:oMath>
        <m:sSub>
          <m:sSubPr>
            <m:ctrlPr>
              <w:rPr>
                <w:rFonts w:ascii="Cambria Math" w:hAnsi="Cambria Math"/>
                <w:i/>
              </w:rPr>
            </m:ctrlPr>
          </m:sSubPr>
          <m:e>
            <m:r>
              <w:rPr>
                <w:rFonts w:ascii="Cambria Math" w:hAnsi="Cambria Math"/>
              </w:rPr>
              <m:t>MES</m:t>
            </m:r>
          </m:e>
          <m:sub>
            <m:r>
              <w:rPr>
                <w:rFonts w:ascii="Cambria Math" w:hAnsi="Cambria Math"/>
              </w:rPr>
              <m:t>ij</m:t>
            </m:r>
          </m:sub>
        </m:sSub>
        <m:r>
          <w:rPr>
            <w:rFonts w:ascii="Cambria Math" w:hAnsi="Cambria Math"/>
          </w:rPr>
          <m:t>≠</m:t>
        </m:r>
      </m:oMath>
      <w:r w:rsidR="00055B9E">
        <w:t xml:space="preserve"> </w:t>
      </w:r>
      <m:oMath>
        <m:sSub>
          <m:sSubPr>
            <m:ctrlPr>
              <w:rPr>
                <w:rFonts w:ascii="Cambria Math" w:hAnsi="Cambria Math"/>
                <w:i/>
              </w:rPr>
            </m:ctrlPr>
          </m:sSubPr>
          <m:e>
            <m:r>
              <w:rPr>
                <w:rFonts w:ascii="Cambria Math" w:hAnsi="Cambria Math"/>
              </w:rPr>
              <m:t>MES</m:t>
            </m:r>
          </m:e>
          <m:sub>
            <m:r>
              <w:rPr>
                <w:rFonts w:ascii="Cambria Math" w:hAnsi="Cambria Math"/>
              </w:rPr>
              <m:t>ji</m:t>
            </m:r>
          </m:sub>
        </m:sSub>
      </m:oMath>
      <w:r>
        <w:t xml:space="preserve">, reflecting that the ease of substituting </w:t>
      </w:r>
      <w:r w:rsidRPr="007B075E">
        <w:rPr>
          <w:i/>
          <w:iCs/>
        </w:rPr>
        <w:t>i</w:t>
      </w:r>
      <w:r>
        <w:t xml:space="preserve"> for </w:t>
      </w:r>
      <w:r w:rsidRPr="007B075E">
        <w:rPr>
          <w:i/>
          <w:iCs/>
        </w:rPr>
        <w:t>j</w:t>
      </w:r>
      <w:r>
        <w:t xml:space="preserve"> when </w:t>
      </w:r>
      <w:proofErr w:type="spellStart"/>
      <w:r>
        <w:t>Pj</w:t>
      </w:r>
      <w:proofErr w:type="spellEnd"/>
      <w:r>
        <w:t xml:space="preserve"> rises may differ from substituting j for i when Pi rises.</w:t>
      </w:r>
      <w:r w:rsidR="00B76A44">
        <w:t xml:space="preserve"> </w:t>
      </w:r>
      <w:r w:rsidR="00B76A44" w:rsidRPr="00B76A44">
        <w:t>This asymmetry is empirically relevant: raising energy prices may induce capital-for-energy substitution, but raising capital prices may not induce energy-for-capital substitution if capital is a complement to labour.</w:t>
      </w:r>
    </w:p>
    <w:p w14:paraId="5B816171" w14:textId="77777777" w:rsidR="00146B6D" w:rsidRDefault="00146B6D" w:rsidP="004E1009">
      <w:pPr>
        <w:jc w:val="both"/>
      </w:pPr>
    </w:p>
    <w:p w14:paraId="6BF98756" w14:textId="4FD3B4FE" w:rsidR="005E7DAB" w:rsidRPr="004E1009" w:rsidRDefault="005E7DAB" w:rsidP="004E1009">
      <w:pPr>
        <w:jc w:val="both"/>
        <w:rPr>
          <w:b/>
          <w:bCs/>
        </w:rPr>
      </w:pPr>
      <w:r w:rsidRPr="004E1009">
        <w:rPr>
          <w:b/>
          <w:bCs/>
        </w:rPr>
        <w:t>2.2 Empirical Evidence</w:t>
      </w:r>
    </w:p>
    <w:p w14:paraId="0A8325FC" w14:textId="77777777" w:rsidR="006F0694" w:rsidRDefault="006F0694" w:rsidP="00146B6D">
      <w:pPr>
        <w:jc w:val="both"/>
      </w:pPr>
      <w:r>
        <w:lastRenderedPageBreak/>
        <w:t>Empirical evidence on capital–energy substitutability remains inconclusive. Berndt and Wood (1975) documented capital–energy complementarity in U.S. manufacturing, whereas subsequent work (e.g., Koetse et al., 2008) found substitution to prevail in most national contexts. A meta-analysis by Koetse et al. (2008) covering 47 studies concluded that capital and energy are long-run substitutes, with a mean elasticity near unity. For developing economies, Smyth et al. (2011) reported substitutability in China’s steel industry (MES-KE around 2.5–4.0), and Macharia (2023) provided comparable evidence for Kenya’s manufacturing sector.</w:t>
      </w:r>
    </w:p>
    <w:p w14:paraId="3D47910D" w14:textId="2633D86D" w:rsidR="005E7DAB" w:rsidRDefault="006F0694" w:rsidP="00146B6D">
      <w:pPr>
        <w:jc w:val="both"/>
      </w:pPr>
      <w:r>
        <w:t xml:space="preserve">Recent studies have extended this literature. Ouedraogo (2021) examined West African manufacturing and found that energy-labour substitutability is lower in countries with rigid labour markets. In a panel of 18 African economies, </w:t>
      </w:r>
      <w:proofErr w:type="spellStart"/>
      <w:r>
        <w:t>Adewuyi</w:t>
      </w:r>
      <w:proofErr w:type="spellEnd"/>
      <w:r>
        <w:t xml:space="preserve"> and </w:t>
      </w:r>
      <w:proofErr w:type="spellStart"/>
      <w:r>
        <w:t>Awodumi</w:t>
      </w:r>
      <w:proofErr w:type="spellEnd"/>
      <w:r>
        <w:t xml:space="preserve"> (2022) reported that capital-energy substitution increased after electricity market reforms. Closer to Nigeria, Ogunleye and </w:t>
      </w:r>
      <w:proofErr w:type="spellStart"/>
      <w:r>
        <w:t>Akinbami</w:t>
      </w:r>
      <w:proofErr w:type="spellEnd"/>
      <w:r>
        <w:t xml:space="preserve"> (2016) used a </w:t>
      </w:r>
      <w:proofErr w:type="spellStart"/>
      <w:r>
        <w:t>translog</w:t>
      </w:r>
      <w:proofErr w:type="spellEnd"/>
      <w:r>
        <w:t xml:space="preserve"> cost function to study fuel substitution (diesel, electricity, gas) but did not estimate cross-factor elasticities with capital and labour. </w:t>
      </w:r>
      <w:proofErr w:type="spellStart"/>
      <w:r>
        <w:t>Adenikinju</w:t>
      </w:r>
      <w:proofErr w:type="spellEnd"/>
      <w:r>
        <w:t xml:space="preserve"> (2008) found low substitution between energy and labour. No study has reported MES for Nigeria. This paper is the first to do so, contributing a 43-year time series and explicit comparison of AES and MES.</w:t>
      </w:r>
    </w:p>
    <w:p w14:paraId="7B30B48C" w14:textId="77777777" w:rsidR="006F0694" w:rsidRDefault="006F0694" w:rsidP="006F0694">
      <w:pPr>
        <w:jc w:val="both"/>
      </w:pPr>
    </w:p>
    <w:p w14:paraId="29C64133" w14:textId="395A779E" w:rsidR="005E7DAB" w:rsidRPr="00D0698D" w:rsidRDefault="005E7DAB" w:rsidP="004E1009">
      <w:pPr>
        <w:jc w:val="both"/>
        <w:rPr>
          <w:b/>
          <w:bCs/>
        </w:rPr>
      </w:pPr>
      <w:r w:rsidRPr="00D0698D">
        <w:rPr>
          <w:b/>
          <w:bCs/>
        </w:rPr>
        <w:t>3. Methodology</w:t>
      </w:r>
    </w:p>
    <w:p w14:paraId="25FAD5EB" w14:textId="4A2A4335" w:rsidR="005E7DAB" w:rsidRPr="00D0698D" w:rsidRDefault="005E7DAB" w:rsidP="004E1009">
      <w:pPr>
        <w:jc w:val="both"/>
        <w:rPr>
          <w:b/>
          <w:bCs/>
        </w:rPr>
      </w:pPr>
      <w:r w:rsidRPr="00D0698D">
        <w:rPr>
          <w:b/>
          <w:bCs/>
        </w:rPr>
        <w:t>3.1 Translog Cost Function</w:t>
      </w:r>
    </w:p>
    <w:p w14:paraId="511012D6" w14:textId="3AE5DFCC" w:rsidR="00940F86" w:rsidRDefault="00940F86">
      <w:pPr>
        <w:jc w:val="both"/>
      </w:pPr>
      <w:r>
        <w:t>Following Berndt and Wood (1975, 1979) and Haller and Hyland (2014), we assume a twice-differentiable, weakly separable production technology, Q=f(</w:t>
      </w:r>
      <w:proofErr w:type="gramStart"/>
      <w:r>
        <w:t>K,L</w:t>
      </w:r>
      <w:proofErr w:type="gramEnd"/>
      <w:r>
        <w:t>,E)</w:t>
      </w:r>
      <w:r w:rsidR="00D65B8F">
        <w:t>.</w:t>
      </w:r>
      <w:r>
        <w:t xml:space="preserve"> The associated dual cost function is specified as:</w:t>
      </w:r>
    </w:p>
    <w:p w14:paraId="66535C05" w14:textId="66BA9FE9" w:rsidR="005E7DAB" w:rsidRDefault="00BE49DB" w:rsidP="004E1009">
      <w:pPr>
        <w:jc w:val="both"/>
      </w:pPr>
      <m:oMathPara>
        <m:oMath>
          <m:r>
            <w:rPr>
              <w:rFonts w:ascii="Cambria Math" w:hAnsi="Cambria Math"/>
            </w:rPr>
            <m:t>lnC=</m:t>
          </m:r>
          <m:sSub>
            <m:sSubPr>
              <m:ctrlPr>
                <w:rPr>
                  <w:rFonts w:ascii="Cambria Math" w:hAnsi="Cambria Math"/>
                  <w:i/>
                </w:rPr>
              </m:ctrlPr>
            </m:sSubPr>
            <m:e>
              <m:r>
                <w:rPr>
                  <w:rFonts w:ascii="Cambria Math" w:hAnsi="Cambria Math"/>
                </w:rPr>
                <m:t>∝</m:t>
              </m:r>
            </m:e>
            <m:sub>
              <m:r>
                <w:rPr>
                  <w:rFonts w:ascii="Cambria Math" w:hAnsi="Cambria Math"/>
                </w:rPr>
                <m:t>0</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δ</m:t>
                  </m:r>
                </m:e>
                <m:sub>
                  <m:r>
                    <w:rPr>
                      <w:rFonts w:ascii="Cambria Math" w:hAnsi="Cambria Math"/>
                    </w:rPr>
                    <m:t>i</m:t>
                  </m:r>
                </m:sub>
              </m:sSub>
            </m:e>
          </m:nary>
          <m:sSub>
            <m:sSubPr>
              <m:ctrlPr>
                <w:rPr>
                  <w:rFonts w:ascii="Cambria Math" w:hAnsi="Cambria Math"/>
                  <w:i/>
                </w:rPr>
              </m:ctrlPr>
            </m:sSubPr>
            <m:e>
              <m:r>
                <w:rPr>
                  <w:rFonts w:ascii="Cambria Math" w:hAnsi="Cambria Math"/>
                </w:rPr>
                <m:t>lnP</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m:t>
                      </m:r>
                    </m:e>
                    <m:sub>
                      <m:r>
                        <w:rPr>
                          <w:rFonts w:ascii="Cambria Math" w:hAnsi="Cambria Math"/>
                        </w:rPr>
                        <m:t>ij</m:t>
                      </m:r>
                    </m:sub>
                  </m:sSub>
                  <m:sSub>
                    <m:sSubPr>
                      <m:ctrlPr>
                        <w:rPr>
                          <w:rFonts w:ascii="Cambria Math" w:hAnsi="Cambria Math"/>
                          <w:i/>
                        </w:rPr>
                      </m:ctrlPr>
                    </m:sSubPr>
                    <m:e>
                      <m:r>
                        <w:rPr>
                          <w:rFonts w:ascii="Cambria Math" w:hAnsi="Cambria Math"/>
                        </w:rPr>
                        <m:t>lnP</m:t>
                      </m:r>
                    </m:e>
                    <m:sub>
                      <m:r>
                        <w:rPr>
                          <w:rFonts w:ascii="Cambria Math" w:hAnsi="Cambria Math"/>
                        </w:rPr>
                        <m:t>i</m:t>
                      </m:r>
                    </m:sub>
                  </m:sSub>
                  <m:sSub>
                    <m:sSubPr>
                      <m:ctrlPr>
                        <w:rPr>
                          <w:rFonts w:ascii="Cambria Math" w:hAnsi="Cambria Math"/>
                          <w:i/>
                        </w:rPr>
                      </m:ctrlPr>
                    </m:sSubPr>
                    <m:e>
                      <m:r>
                        <w:rPr>
                          <w:rFonts w:ascii="Cambria Math" w:hAnsi="Cambria Math"/>
                        </w:rPr>
                        <m:t>lnP</m:t>
                      </m:r>
                    </m:e>
                    <m:sub>
                      <m:r>
                        <w:rPr>
                          <w:rFonts w:ascii="Cambria Math" w:hAnsi="Cambria Math"/>
                        </w:rPr>
                        <m:t>j</m:t>
                      </m:r>
                    </m:sub>
                  </m:sSub>
                </m:e>
              </m:nary>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Q</m:t>
                  </m:r>
                </m:sub>
              </m:sSub>
              <m:r>
                <w:rPr>
                  <w:rFonts w:ascii="Cambria Math" w:hAnsi="Cambria Math"/>
                </w:rPr>
                <m:t>lnQ</m:t>
              </m:r>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β</m:t>
              </m:r>
            </m:e>
            <m:sub>
              <m:r>
                <w:rPr>
                  <w:rFonts w:ascii="Cambria Math" w:hAnsi="Cambria Math"/>
                </w:rPr>
                <m:t>QQ</m:t>
              </m:r>
            </m:sub>
          </m:sSub>
          <m:r>
            <w:rPr>
              <w:rFonts w:ascii="Cambria Math" w:hAnsi="Cambria Math"/>
            </w:rPr>
            <m:t>(lnQ</m:t>
          </m:r>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γ</m:t>
                  </m:r>
                </m:e>
                <m:sub>
                  <m:r>
                    <w:rPr>
                      <w:rFonts w:ascii="Cambria Math" w:hAnsi="Cambria Math"/>
                    </w:rPr>
                    <m:t>i</m:t>
                  </m:r>
                </m:sub>
              </m:sSub>
              <m:sSub>
                <m:sSubPr>
                  <m:ctrlPr>
                    <w:rPr>
                      <w:rFonts w:ascii="Cambria Math" w:hAnsi="Cambria Math"/>
                      <w:i/>
                    </w:rPr>
                  </m:ctrlPr>
                </m:sSubPr>
                <m:e>
                  <m:r>
                    <w:rPr>
                      <w:rFonts w:ascii="Cambria Math" w:hAnsi="Cambria Math"/>
                    </w:rPr>
                    <m:t>lnP</m:t>
                  </m:r>
                </m:e>
                <m:sub>
                  <m:r>
                    <w:rPr>
                      <w:rFonts w:ascii="Cambria Math" w:hAnsi="Cambria Math"/>
                    </w:rPr>
                    <m:t>i</m:t>
                  </m:r>
                </m:sub>
              </m:sSub>
              <m:r>
                <w:rPr>
                  <w:rFonts w:ascii="Cambria Math" w:hAnsi="Cambria Math"/>
                </w:rPr>
                <m:t>lnQ</m:t>
              </m:r>
            </m:e>
          </m:nary>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t</m:t>
              </m:r>
            </m:sub>
          </m:sSub>
          <m:r>
            <w:rPr>
              <w:rFonts w:ascii="Cambria Math" w:hAnsi="Cambria Math"/>
            </w:rPr>
            <m:t>t</m:t>
          </m:r>
        </m:oMath>
      </m:oMathPara>
    </w:p>
    <w:p w14:paraId="19BAF8C7" w14:textId="77777777" w:rsidR="005E7DAB" w:rsidRDefault="005E7DAB" w:rsidP="004E1009">
      <w:pPr>
        <w:jc w:val="both"/>
      </w:pPr>
      <w:r>
        <w:t>where i, j = K, L, E. Homogeneity of degree one in prices requires:</w:t>
      </w:r>
    </w:p>
    <w:p w14:paraId="0D482B5D" w14:textId="417937D1" w:rsidR="005E7DAB" w:rsidRDefault="009452FA" w:rsidP="004E1009">
      <w:pPr>
        <w:jc w:val="both"/>
      </w:pPr>
      <m:oMathPara>
        <m:oMath>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=1,</m:t>
              </m:r>
            </m:e>
          </m:nary>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α</m:t>
                  </m:r>
                </m:e>
                <m:sub>
                  <m:r>
                    <w:rPr>
                      <w:rFonts w:ascii="Cambria Math" w:hAnsi="Cambria Math"/>
                    </w:rPr>
                    <m:t>ij</m:t>
                  </m:r>
                </m:sub>
              </m:sSub>
              <m:r>
                <w:rPr>
                  <w:rFonts w:ascii="Cambria Math" w:hAnsi="Cambria Math"/>
                </w:rPr>
                <m:t>=0∀</m:t>
              </m:r>
              <m:r>
                <w:rPr>
                  <w:rFonts w:ascii="Cambria Math" w:hAnsi="Cambria Math"/>
                </w:rPr>
                <m:t>j</m:t>
              </m:r>
              <m:r>
                <w:rPr>
                  <w:rFonts w:ascii="Cambria Math" w:hAnsi="Cambria Math"/>
                </w:rPr>
                <m:t xml:space="preserve">,  </m:t>
              </m:r>
            </m:e>
          </m:nary>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hAnsi="Cambria Math"/>
                </w:rPr>
                <m:t>=0</m:t>
              </m:r>
            </m:e>
          </m:nary>
        </m:oMath>
      </m:oMathPara>
    </w:p>
    <w:p w14:paraId="2144366F" w14:textId="0B02A30C" w:rsidR="005E7DAB" w:rsidRDefault="005E7DAB" w:rsidP="004E1009">
      <w:pPr>
        <w:jc w:val="both"/>
      </w:pPr>
      <w:r>
        <w:t xml:space="preserve">Symmetry requires </w:t>
      </w:r>
      <m:oMath>
        <m:sSub>
          <m:sSubPr>
            <m:ctrlPr>
              <w:rPr>
                <w:rFonts w:ascii="Cambria Math" w:hAnsi="Cambria Math"/>
                <w:i/>
              </w:rPr>
            </m:ctrlPr>
          </m:sSubPr>
          <m:e>
            <m:r>
              <w:rPr>
                <w:rFonts w:ascii="Cambria Math" w:hAnsi="Cambria Math"/>
              </w:rPr>
              <m:t>∝</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 xml:space="preserve"> ∝</m:t>
            </m:r>
          </m:e>
          <m:sub>
            <m:r>
              <w:rPr>
                <w:rFonts w:ascii="Cambria Math" w:hAnsi="Cambria Math"/>
              </w:rPr>
              <m:t>ji</m:t>
            </m:r>
          </m:sub>
        </m:sSub>
      </m:oMath>
    </w:p>
    <w:p w14:paraId="13C6D22F" w14:textId="77777777" w:rsidR="005E7DAB" w:rsidRDefault="005E7DAB" w:rsidP="004E1009">
      <w:pPr>
        <w:jc w:val="both"/>
      </w:pPr>
      <w:r>
        <w:t>The cost share equations are:</w:t>
      </w:r>
    </w:p>
    <w:p w14:paraId="3B5B7655" w14:textId="77777777" w:rsidR="00ED5EAA" w:rsidRDefault="009452FA" w:rsidP="004E1009">
      <w:pPr>
        <w:jc w:val="both"/>
      </w:pPr>
      <m:oMathPara>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α</m:t>
                  </m:r>
                </m:e>
                <m:sub>
                  <m:r>
                    <w:rPr>
                      <w:rFonts w:ascii="Cambria Math" w:hAnsi="Cambria Math"/>
                    </w:rPr>
                    <m:t>ij</m:t>
                  </m:r>
                </m:sub>
              </m:sSub>
              <m:sSub>
                <m:sSubPr>
                  <m:ctrlPr>
                    <w:rPr>
                      <w:rFonts w:ascii="Cambria Math" w:hAnsi="Cambria Math"/>
                      <w:i/>
                    </w:rPr>
                  </m:ctrlPr>
                </m:sSubPr>
                <m:e>
                  <m:r>
                    <w:rPr>
                      <w:rFonts w:ascii="Cambria Math" w:hAnsi="Cambria Math"/>
                    </w:rPr>
                    <m:t>lnP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hAnsi="Cambria Math"/>
                </w:rPr>
                <m:t>lnQ</m:t>
              </m:r>
            </m:e>
          </m:nary>
        </m:oMath>
      </m:oMathPara>
    </w:p>
    <w:p w14:paraId="4FD09EDA" w14:textId="00AB02B8" w:rsidR="008E5E27" w:rsidRDefault="00413E14" w:rsidP="004E1009">
      <w:pPr>
        <w:jc w:val="both"/>
      </w:pPr>
      <w:r w:rsidRPr="00413E14">
        <w:lastRenderedPageBreak/>
        <w:t>These are estimated jointly with the cost function using Zellner’s iterated Seemingly Unrelated Regression (</w:t>
      </w:r>
      <w:proofErr w:type="spellStart"/>
      <w:r w:rsidRPr="00413E14">
        <w:t>iSUR</w:t>
      </w:r>
      <w:proofErr w:type="spellEnd"/>
      <w:r w:rsidRPr="00413E14">
        <w:t xml:space="preserve">), dropping one share (capital) to avoid singularity. The </w:t>
      </w:r>
      <w:proofErr w:type="spellStart"/>
      <w:r w:rsidRPr="00413E14">
        <w:t>iSUR</w:t>
      </w:r>
      <w:proofErr w:type="spellEnd"/>
      <w:r w:rsidRPr="00413E14">
        <w:t xml:space="preserve"> estimator is efficient and equivalent to maximum likelihood after convergence.</w:t>
      </w:r>
    </w:p>
    <w:p w14:paraId="5A4FB3F8" w14:textId="59348B4B" w:rsidR="005E7DAB" w:rsidRPr="008E5E27" w:rsidRDefault="005E7DAB" w:rsidP="004E1009">
      <w:pPr>
        <w:jc w:val="both"/>
        <w:rPr>
          <w:b/>
          <w:bCs/>
        </w:rPr>
      </w:pPr>
      <w:r w:rsidRPr="008E5E27">
        <w:rPr>
          <w:b/>
          <w:bCs/>
        </w:rPr>
        <w:t>3.2 Elasticity Calculations</w:t>
      </w:r>
    </w:p>
    <w:p w14:paraId="379EEC71" w14:textId="04E92816" w:rsidR="005E7DAB" w:rsidRDefault="005E7DAB" w:rsidP="004E1009">
      <w:pPr>
        <w:jc w:val="both"/>
      </w:pPr>
      <w:r>
        <w:t xml:space="preserve">Own-price elasticity: </w:t>
      </w:r>
      <m:oMath>
        <m:sSub>
          <m:sSubPr>
            <m:ctrlPr>
              <w:rPr>
                <w:rFonts w:ascii="Cambria Math" w:hAnsi="Cambria Math"/>
                <w:i/>
              </w:rPr>
            </m:ctrlPr>
          </m:sSubPr>
          <m:e>
            <m:r>
              <w:rPr>
                <w:rFonts w:ascii="Cambria Math" w:hAnsi="Cambria Math"/>
              </w:rPr>
              <m:t>ϵ</m:t>
            </m:r>
          </m:e>
          <m:sub>
            <m:r>
              <w:rPr>
                <w:rFonts w:ascii="Cambria Math" w:hAnsi="Cambria Math"/>
              </w:rPr>
              <m:t>ii</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ii</m:t>
            </m:r>
          </m:sub>
        </m:sSub>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oMath>
    </w:p>
    <w:p w14:paraId="74BF6FFB" w14:textId="46A90DD3" w:rsidR="005E7DAB" w:rsidRDefault="005E7DAB" w:rsidP="004E1009">
      <w:pPr>
        <w:jc w:val="both"/>
      </w:pPr>
      <w:r>
        <w:t>Cross-price elasticity</w:t>
      </w:r>
      <w:r w:rsidR="005F5053">
        <w:t xml:space="preserve">: </w:t>
      </w:r>
      <m:oMath>
        <m:sSub>
          <m:sSubPr>
            <m:ctrlPr>
              <w:rPr>
                <w:rFonts w:ascii="Cambria Math" w:hAnsi="Cambria Math"/>
                <w:i/>
              </w:rPr>
            </m:ctrlPr>
          </m:sSubPr>
          <m:e>
            <m:r>
              <w:rPr>
                <w:rFonts w:ascii="Cambria Math" w:hAnsi="Cambria Math"/>
              </w:rPr>
              <m:t>ϵ</m:t>
            </m:r>
          </m:e>
          <m:sub>
            <m:r>
              <w:rPr>
                <w:rFonts w:ascii="Cambria Math" w:hAnsi="Cambria Math"/>
              </w:rPr>
              <m:t>ii</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oMath>
    </w:p>
    <w:p w14:paraId="4D8434F0" w14:textId="70B939BC" w:rsidR="005E7DAB" w:rsidRDefault="005E7DAB" w:rsidP="004E1009">
      <w:pPr>
        <w:jc w:val="both"/>
      </w:pPr>
      <w:r>
        <w:t xml:space="preserve">AES: </w:t>
      </w:r>
      <m:oMath>
        <m:sSub>
          <m:sSubPr>
            <m:ctrlPr>
              <w:rPr>
                <w:rFonts w:ascii="Cambria Math" w:hAnsi="Cambria Math"/>
                <w:i/>
              </w:rPr>
            </m:ctrlPr>
          </m:sSubPr>
          <m:e>
            <m:r>
              <w:rPr>
                <w:rFonts w:ascii="Cambria Math" w:hAnsi="Cambria Math"/>
              </w:rPr>
              <m:t>AESϵ</m:t>
            </m:r>
          </m:e>
          <m:sub>
            <m:r>
              <w:rPr>
                <w:rFonts w:ascii="Cambria Math" w:hAnsi="Cambria Math"/>
              </w:rPr>
              <m:t>ij</m:t>
            </m:r>
          </m:sub>
        </m:sSub>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ϵ</m:t>
                </m:r>
              </m:e>
              <m:sub>
                <m:r>
                  <w:rPr>
                    <w:rFonts w:ascii="Cambria Math" w:hAnsi="Cambria Math"/>
                  </w:rPr>
                  <m:t>ij</m:t>
                </m:r>
              </m:sub>
            </m:sSub>
          </m:num>
          <m:den>
            <m:sSub>
              <m:sSubPr>
                <m:ctrlPr>
                  <w:rPr>
                    <w:rFonts w:ascii="Cambria Math" w:hAnsi="Cambria Math"/>
                    <w:i/>
                  </w:rPr>
                </m:ctrlPr>
              </m:sSubPr>
              <m:e>
                <m:r>
                  <w:rPr>
                    <w:rFonts w:ascii="Cambria Math" w:hAnsi="Cambria Math"/>
                  </w:rPr>
                  <m:t>S</m:t>
                </m:r>
              </m:e>
              <m:sub>
                <m:r>
                  <w:rPr>
                    <w:rFonts w:ascii="Cambria Math" w:hAnsi="Cambria Math"/>
                  </w:rPr>
                  <m:t>j</m:t>
                </m:r>
              </m:sub>
            </m:sSub>
          </m:den>
        </m:f>
      </m:oMath>
    </w:p>
    <w:p w14:paraId="0095C179" w14:textId="4ABA2160" w:rsidR="005E7DAB" w:rsidRPr="00656503" w:rsidRDefault="005E7DAB" w:rsidP="004E1009">
      <w:pPr>
        <w:jc w:val="both"/>
        <w:rPr>
          <w:lang w:val="fr-FR"/>
        </w:rPr>
      </w:pPr>
      <w:proofErr w:type="gramStart"/>
      <w:r w:rsidRPr="00656503">
        <w:rPr>
          <w:lang w:val="fr-FR"/>
        </w:rPr>
        <w:t>MES:</w:t>
      </w:r>
      <w:proofErr w:type="gramEnd"/>
      <w:r w:rsidRPr="00656503">
        <w:rPr>
          <w:lang w:val="fr-FR"/>
        </w:rPr>
        <w:t xml:space="preserve"> </w:t>
      </w:r>
      <m:oMath>
        <m:sSub>
          <m:sSubPr>
            <m:ctrlPr>
              <w:rPr>
                <w:rFonts w:ascii="Cambria Math" w:hAnsi="Cambria Math"/>
                <w:i/>
              </w:rPr>
            </m:ctrlPr>
          </m:sSubPr>
          <m:e>
            <m:r>
              <w:rPr>
                <w:rFonts w:ascii="Cambria Math" w:hAnsi="Cambria Math"/>
              </w:rPr>
              <m:t>MES</m:t>
            </m:r>
          </m:e>
          <m:sub>
            <m:r>
              <w:rPr>
                <w:rFonts w:ascii="Cambria Math" w:hAnsi="Cambria Math"/>
              </w:rPr>
              <m:t>ij</m:t>
            </m:r>
          </m:sub>
        </m:sSub>
        <m:r>
          <w:rPr>
            <w:rFonts w:ascii="Cambria Math" w:hAnsi="Cambria Math"/>
            <w:lang w:val="fr-FR"/>
          </w:rPr>
          <m:t>=</m:t>
        </m:r>
        <m:sSub>
          <m:sSubPr>
            <m:ctrlPr>
              <w:rPr>
                <w:rFonts w:ascii="Cambria Math" w:hAnsi="Cambria Math"/>
                <w:i/>
              </w:rPr>
            </m:ctrlPr>
          </m:sSubPr>
          <m:e>
            <m:r>
              <w:rPr>
                <w:rFonts w:ascii="Cambria Math" w:hAnsi="Cambria Math"/>
              </w:rPr>
              <m:t>ϵ</m:t>
            </m:r>
          </m:e>
          <m:sub>
            <m:r>
              <w:rPr>
                <w:rFonts w:ascii="Cambria Math" w:hAnsi="Cambria Math"/>
              </w:rPr>
              <m:t>ij</m:t>
            </m:r>
          </m:sub>
        </m:sSub>
        <m:r>
          <w:rPr>
            <w:rFonts w:ascii="Cambria Math" w:hAnsi="Cambria Math"/>
            <w:lang w:val="fr-FR"/>
          </w:rPr>
          <m:t>-</m:t>
        </m:r>
        <m:sSub>
          <m:sSubPr>
            <m:ctrlPr>
              <w:rPr>
                <w:rFonts w:ascii="Cambria Math" w:hAnsi="Cambria Math"/>
                <w:i/>
              </w:rPr>
            </m:ctrlPr>
          </m:sSubPr>
          <m:e>
            <m:r>
              <w:rPr>
                <w:rFonts w:ascii="Cambria Math" w:hAnsi="Cambria Math"/>
              </w:rPr>
              <m:t>ϵ</m:t>
            </m:r>
          </m:e>
          <m:sub>
            <m:r>
              <w:rPr>
                <w:rFonts w:ascii="Cambria Math" w:hAnsi="Cambria Math"/>
              </w:rPr>
              <m:t>jj</m:t>
            </m:r>
          </m:sub>
        </m:sSub>
      </m:oMath>
    </w:p>
    <w:p w14:paraId="0C2BFD3A" w14:textId="0F5CB136" w:rsidR="005E7DAB" w:rsidRPr="0013123F" w:rsidRDefault="0013123F" w:rsidP="0013123F">
      <w:pPr>
        <w:jc w:val="both"/>
      </w:pPr>
      <w:r w:rsidRPr="0013123F">
        <w:t>Positive MES indicates that inputs </w:t>
      </w:r>
      <w:r w:rsidRPr="0013123F">
        <w:rPr>
          <w:i/>
          <w:iCs/>
        </w:rPr>
        <w:t>i</w:t>
      </w:r>
      <w:r w:rsidRPr="0013123F">
        <w:t> and </w:t>
      </w:r>
      <w:r w:rsidRPr="0013123F">
        <w:rPr>
          <w:i/>
          <w:iCs/>
        </w:rPr>
        <w:t>j</w:t>
      </w:r>
      <w:r w:rsidRPr="0013123F">
        <w:t> are net substitutes; negative MES indicates net complements. Unlike AES, MES respects the regularity conditions for a well-behaved production function and correctly signals input substitutability under price changes.</w:t>
      </w:r>
    </w:p>
    <w:p w14:paraId="0E9E4B61" w14:textId="157F7DB8" w:rsidR="005E7DAB" w:rsidRPr="008E5E27" w:rsidRDefault="005E7DAB" w:rsidP="004E1009">
      <w:pPr>
        <w:jc w:val="both"/>
        <w:rPr>
          <w:b/>
          <w:bCs/>
        </w:rPr>
      </w:pPr>
      <w:r w:rsidRPr="008E5E27">
        <w:rPr>
          <w:b/>
          <w:bCs/>
        </w:rPr>
        <w:t>3.3 Data</w:t>
      </w:r>
    </w:p>
    <w:p w14:paraId="4A93091D" w14:textId="553BA8D6" w:rsidR="005E7DAB" w:rsidRDefault="00F73CD4" w:rsidP="00F73CD4">
      <w:pPr>
        <w:jc w:val="both"/>
      </w:pPr>
      <w:r>
        <w:t xml:space="preserve">The study uses annual time-series data from 1981 to 2023 (T=43). Sources include the Central Bank of Nigeria (CBN) Statistical Bulletin (various editions), National Bureau of Statistics (NBS) publications, and World Bank Development Indicators. </w:t>
      </w:r>
      <w:r w:rsidR="005E7DAB">
        <w:t>Variables (all annual, 1981–2023):</w:t>
      </w:r>
    </w:p>
    <w:p w14:paraId="328943F5" w14:textId="77777777" w:rsidR="003D527B" w:rsidRDefault="005E7DAB" w:rsidP="004E1009">
      <w:pPr>
        <w:pStyle w:val="ListParagraph"/>
        <w:numPr>
          <w:ilvl w:val="0"/>
          <w:numId w:val="4"/>
        </w:numPr>
        <w:jc w:val="both"/>
      </w:pPr>
      <w:r>
        <w:t>Total manufacturing cost (C): sum of capital, labour, and energy costs (₦ million)</w:t>
      </w:r>
    </w:p>
    <w:p w14:paraId="2A5B031A" w14:textId="77777777" w:rsidR="003D527B" w:rsidRDefault="005E7DAB" w:rsidP="004E1009">
      <w:pPr>
        <w:pStyle w:val="ListParagraph"/>
        <w:numPr>
          <w:ilvl w:val="0"/>
          <w:numId w:val="4"/>
        </w:numPr>
        <w:jc w:val="both"/>
      </w:pPr>
      <w:r>
        <w:t>Price of capital (P_K): maximum lending rate (%)</w:t>
      </w:r>
    </w:p>
    <w:p w14:paraId="1082B550" w14:textId="77777777" w:rsidR="003D527B" w:rsidRDefault="005E7DAB" w:rsidP="004E1009">
      <w:pPr>
        <w:pStyle w:val="ListParagraph"/>
        <w:numPr>
          <w:ilvl w:val="0"/>
          <w:numId w:val="4"/>
        </w:numPr>
        <w:jc w:val="both"/>
      </w:pPr>
      <w:r>
        <w:t>Price of labour (P_L): mean wage earnings per employee (₦)</w:t>
      </w:r>
    </w:p>
    <w:p w14:paraId="6FB36960" w14:textId="77777777" w:rsidR="003D527B" w:rsidRDefault="005E7DAB" w:rsidP="004E1009">
      <w:pPr>
        <w:pStyle w:val="ListParagraph"/>
        <w:numPr>
          <w:ilvl w:val="0"/>
          <w:numId w:val="4"/>
        </w:numPr>
        <w:jc w:val="both"/>
      </w:pPr>
      <w:r>
        <w:t>Price of energy (P_E): weighted average of electricity tariff and fuel prices (₦/unit)</w:t>
      </w:r>
    </w:p>
    <w:p w14:paraId="61B4F338" w14:textId="32EBB458" w:rsidR="005E7DAB" w:rsidRDefault="005E7DAB" w:rsidP="004E1009">
      <w:pPr>
        <w:pStyle w:val="ListParagraph"/>
        <w:numPr>
          <w:ilvl w:val="0"/>
          <w:numId w:val="4"/>
        </w:numPr>
        <w:jc w:val="both"/>
      </w:pPr>
      <w:r>
        <w:t>Manufacturing output (Q): real manufacturing output (₦ million</w:t>
      </w:r>
      <w:r w:rsidR="00253DD3">
        <w:t>, 2010</w:t>
      </w:r>
      <w:r w:rsidR="00D40294">
        <w:t xml:space="preserve"> = 100</w:t>
      </w:r>
      <w:r>
        <w:t>)</w:t>
      </w:r>
    </w:p>
    <w:p w14:paraId="2B8B7CE0" w14:textId="0B232730" w:rsidR="005E7DAB" w:rsidRDefault="005E7DAB" w:rsidP="00D40294">
      <w:pPr>
        <w:jc w:val="both"/>
      </w:pPr>
      <w:r>
        <w:t xml:space="preserve">To impose homogeneity, we </w:t>
      </w:r>
      <w:proofErr w:type="spellStart"/>
      <w:r>
        <w:t>normalise</w:t>
      </w:r>
      <w:proofErr w:type="spellEnd"/>
      <w:r>
        <w:t xml:space="preserve"> by </w:t>
      </w:r>
      <m:oMath>
        <m:sSub>
          <m:sSubPr>
            <m:ctrlPr>
              <w:rPr>
                <w:rFonts w:ascii="Cambria Math" w:hAnsi="Cambria Math"/>
                <w:i/>
              </w:rPr>
            </m:ctrlPr>
          </m:sSubPr>
          <m:e>
            <m:r>
              <w:rPr>
                <w:rFonts w:ascii="Cambria Math" w:hAnsi="Cambria Math"/>
              </w:rPr>
              <m:t>P</m:t>
            </m:r>
          </m:e>
          <m:sub>
            <m:r>
              <w:rPr>
                <w:rFonts w:ascii="Cambria Math" w:hAnsi="Cambria Math"/>
              </w:rPr>
              <m:t>L</m:t>
            </m:r>
          </m:sub>
        </m:sSub>
      </m:oMath>
      <w:r>
        <w:t xml:space="preserve">: </w:t>
      </w:r>
      <m:oMath>
        <m:sSub>
          <m:sSubPr>
            <m:ctrlPr>
              <w:rPr>
                <w:rFonts w:ascii="Cambria Math" w:hAnsi="Cambria Math"/>
                <w:i/>
              </w:rPr>
            </m:ctrlPr>
          </m:sSubPr>
          <m:e>
            <m:r>
              <m:rPr>
                <m:sty m:val="p"/>
              </m:rPr>
              <w:rPr>
                <w:rFonts w:ascii="Cambria Math" w:hAnsi="Cambria Math"/>
              </w:rPr>
              <m:t>ln⁡</m:t>
            </m:r>
            <m:r>
              <w:rPr>
                <w:rFonts w:ascii="Cambria Math" w:hAnsi="Cambria Math"/>
              </w:rPr>
              <m:t>(C/P</m:t>
            </m:r>
          </m:e>
          <m:sub>
            <m:r>
              <w:rPr>
                <w:rFonts w:ascii="Cambria Math" w:hAnsi="Cambria Math"/>
              </w:rPr>
              <m:t>L</m:t>
            </m:r>
          </m:sub>
        </m:sSub>
        <m:r>
          <w:rPr>
            <w:rFonts w:ascii="Cambria Math" w:hAnsi="Cambria Math"/>
          </w:rPr>
          <m:t xml:space="preserve">), </m:t>
        </m:r>
        <m:sSub>
          <m:sSubPr>
            <m:ctrlPr>
              <w:rPr>
                <w:rFonts w:ascii="Cambria Math" w:hAnsi="Cambria Math"/>
                <w:i/>
              </w:rPr>
            </m:ctrlPr>
          </m:sSubPr>
          <m:e>
            <m:r>
              <m:rPr>
                <m:sty m:val="p"/>
              </m:rPr>
              <w:rPr>
                <w:rFonts w:ascii="Cambria Math" w:hAnsi="Cambria Math"/>
              </w:rPr>
              <m:t>ln⁡</m:t>
            </m:r>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 xml:space="preserve">), </m:t>
        </m:r>
        <m:r>
          <m:rPr>
            <m:sty m:val="p"/>
          </m:rPr>
          <w:rPr>
            <w:rFonts w:ascii="Cambria Math" w:hAnsi="Cambria Math"/>
          </w:rPr>
          <m:t>ln⁡</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m:t>
        </m:r>
      </m:oMath>
    </w:p>
    <w:p w14:paraId="0AF36F55" w14:textId="77777777" w:rsidR="00F7235E" w:rsidRDefault="00F7235E">
      <w:pPr>
        <w:jc w:val="both"/>
      </w:pPr>
      <w:r>
        <w:t xml:space="preserve">All variables are tested for unit roots using the Augmented Dickey–Fuller test. Where needed, we use first differences, although estimating the </w:t>
      </w:r>
      <w:proofErr w:type="spellStart"/>
      <w:r>
        <w:t>translog</w:t>
      </w:r>
      <w:proofErr w:type="spellEnd"/>
      <w:r>
        <w:t xml:space="preserve"> specification in levels with a time trend is standard in the literature.</w:t>
      </w:r>
    </w:p>
    <w:p w14:paraId="0B8B0117" w14:textId="77777777" w:rsidR="0001068B" w:rsidRDefault="0001068B" w:rsidP="004E1009">
      <w:pPr>
        <w:jc w:val="both"/>
        <w:rPr>
          <w:b/>
          <w:bCs/>
        </w:rPr>
      </w:pPr>
    </w:p>
    <w:p w14:paraId="350A60AE" w14:textId="77777777" w:rsidR="00F7235E" w:rsidRDefault="00F7235E" w:rsidP="004E1009">
      <w:pPr>
        <w:jc w:val="both"/>
        <w:rPr>
          <w:b/>
          <w:bCs/>
        </w:rPr>
      </w:pPr>
    </w:p>
    <w:p w14:paraId="2B10584C" w14:textId="77777777" w:rsidR="00F7235E" w:rsidRDefault="00F7235E" w:rsidP="004E1009">
      <w:pPr>
        <w:jc w:val="both"/>
        <w:rPr>
          <w:b/>
          <w:bCs/>
        </w:rPr>
      </w:pPr>
    </w:p>
    <w:p w14:paraId="4DC4E3E7" w14:textId="02DA4B65" w:rsidR="005E7DAB" w:rsidRPr="00F73CD4" w:rsidRDefault="005E7DAB" w:rsidP="004E1009">
      <w:pPr>
        <w:jc w:val="both"/>
        <w:rPr>
          <w:b/>
          <w:bCs/>
        </w:rPr>
      </w:pPr>
      <w:r w:rsidRPr="00F73CD4">
        <w:rPr>
          <w:b/>
          <w:bCs/>
        </w:rPr>
        <w:t>4. Results</w:t>
      </w:r>
    </w:p>
    <w:p w14:paraId="4DFD68A2" w14:textId="0F299154" w:rsidR="005E7DAB" w:rsidRDefault="005E7DAB" w:rsidP="004E1009">
      <w:pPr>
        <w:jc w:val="both"/>
        <w:rPr>
          <w:b/>
          <w:bCs/>
        </w:rPr>
      </w:pPr>
      <w:r w:rsidRPr="00F73CD4">
        <w:rPr>
          <w:b/>
          <w:bCs/>
        </w:rPr>
        <w:t>4.1 Translog Cost Function Estimates</w:t>
      </w:r>
    </w:p>
    <w:p w14:paraId="64F3066E" w14:textId="32EFC5AC" w:rsidR="00737BB6" w:rsidRPr="00340BD4" w:rsidRDefault="00340BD4" w:rsidP="00340BD4">
      <w:pPr>
        <w:jc w:val="both"/>
      </w:pPr>
      <w:r w:rsidRPr="00597871">
        <w:rPr>
          <w:b/>
          <w:bCs/>
        </w:rPr>
        <w:lastRenderedPageBreak/>
        <w:t>Table 1</w:t>
      </w:r>
      <w:r w:rsidRPr="00340BD4">
        <w:t xml:space="preserve"> presents the estimated </w:t>
      </w:r>
      <w:proofErr w:type="spellStart"/>
      <w:r w:rsidRPr="00340BD4">
        <w:t>translog</w:t>
      </w:r>
      <w:proofErr w:type="spellEnd"/>
      <w:r w:rsidRPr="00340BD4">
        <w:t xml:space="preserve"> cost function. The model explains 99.3% of the variation in log cost (adjusted </w:t>
      </w:r>
      <m:oMath>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=0.9918</m:t>
        </m:r>
      </m:oMath>
      <w:r w:rsidRPr="00340BD4">
        <w:t>), and the F-statistic (636.24, p = 0.000) confirms overall significance. The negative coefficient on </w:t>
      </w:r>
      <m:oMath>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oMath>
      <w:r w:rsidRPr="00340BD4">
        <w:t> (−2.3253, p &lt; 0.001) suggests that a rise in capital price relative to labour reduces total cost. While counterintuitive at first glance, this is economically plausible if capital and labour are strong substitutes; a relative increase in capital price induces a shift toward labour, lowering total cost if labour is cheaper per efficiency unit. The insignificance of </w:t>
      </w:r>
      <m:oMath>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oMath>
      <w:r w:rsidRPr="00340BD4">
        <w:t> (p = 0.559) indicates that energy price changes have not historically affected total manufacturing cost, likely due to pervasive energy subsidies and the pass-through of costs to consumers.</w:t>
      </w:r>
    </w:p>
    <w:p w14:paraId="643F5EAD" w14:textId="5576778E" w:rsidR="005E7DAB" w:rsidRPr="003C7CE2" w:rsidRDefault="005E7DAB" w:rsidP="004E1009">
      <w:pPr>
        <w:jc w:val="both"/>
        <w:rPr>
          <w:b/>
          <w:bCs/>
        </w:rPr>
      </w:pPr>
      <w:r w:rsidRPr="003C7CE2">
        <w:rPr>
          <w:b/>
          <w:bCs/>
        </w:rPr>
        <w:t>Table 1: Translog Cost Function Estimation (</w:t>
      </w:r>
      <w:proofErr w:type="spellStart"/>
      <w:r w:rsidR="00283000">
        <w:rPr>
          <w:b/>
          <w:bCs/>
        </w:rPr>
        <w:t>iSUR</w:t>
      </w:r>
      <w:proofErr w:type="spellEnd"/>
      <w:r w:rsidR="00283000">
        <w:rPr>
          <w:b/>
          <w:bCs/>
        </w:rPr>
        <w:t xml:space="preserve">, dependent </w:t>
      </w:r>
      <w:r w:rsidRPr="003C7CE2">
        <w:rPr>
          <w:b/>
          <w:bCs/>
        </w:rPr>
        <w:t>variable: ln(C/P_L))</w:t>
      </w:r>
    </w:p>
    <w:tbl>
      <w:tblPr>
        <w:tblStyle w:val="TableGrid"/>
        <w:tblW w:w="0" w:type="auto"/>
        <w:tblLook w:val="04A0" w:firstRow="1" w:lastRow="0" w:firstColumn="1" w:lastColumn="0" w:noHBand="0" w:noVBand="1"/>
      </w:tblPr>
      <w:tblGrid>
        <w:gridCol w:w="2504"/>
        <w:gridCol w:w="1769"/>
        <w:gridCol w:w="1694"/>
        <w:gridCol w:w="1711"/>
        <w:gridCol w:w="1672"/>
      </w:tblGrid>
      <w:tr w:rsidR="00163D81" w14:paraId="62B8DE57" w14:textId="77777777" w:rsidTr="006E188C">
        <w:tc>
          <w:tcPr>
            <w:tcW w:w="2504" w:type="dxa"/>
            <w:vAlign w:val="center"/>
          </w:tcPr>
          <w:p w14:paraId="205F64E1" w14:textId="012CA282" w:rsidR="00163D81" w:rsidRPr="003C7CE2" w:rsidRDefault="00163D81" w:rsidP="004E1009">
            <w:pPr>
              <w:jc w:val="both"/>
              <w:rPr>
                <w:b/>
                <w:bCs/>
              </w:rPr>
            </w:pPr>
            <w:r w:rsidRPr="003C7CE2">
              <w:rPr>
                <w:rFonts w:ascii="Segoe UI" w:hAnsi="Segoe UI" w:cs="Segoe UI"/>
                <w:b/>
                <w:bCs/>
                <w:color w:val="0F1115"/>
                <w:sz w:val="23"/>
                <w:szCs w:val="23"/>
              </w:rPr>
              <w:t>Variable</w:t>
            </w:r>
          </w:p>
        </w:tc>
        <w:tc>
          <w:tcPr>
            <w:tcW w:w="1769" w:type="dxa"/>
            <w:vAlign w:val="center"/>
          </w:tcPr>
          <w:p w14:paraId="06ADDB64" w14:textId="2862FED0" w:rsidR="00163D81" w:rsidRPr="003C7CE2" w:rsidRDefault="00163D81" w:rsidP="004E1009">
            <w:pPr>
              <w:jc w:val="both"/>
              <w:rPr>
                <w:b/>
                <w:bCs/>
              </w:rPr>
            </w:pPr>
            <w:r w:rsidRPr="003C7CE2">
              <w:rPr>
                <w:rFonts w:ascii="Segoe UI" w:hAnsi="Segoe UI" w:cs="Segoe UI"/>
                <w:b/>
                <w:bCs/>
                <w:color w:val="0F1115"/>
                <w:sz w:val="23"/>
                <w:szCs w:val="23"/>
              </w:rPr>
              <w:t>Coefficient</w:t>
            </w:r>
          </w:p>
        </w:tc>
        <w:tc>
          <w:tcPr>
            <w:tcW w:w="1694" w:type="dxa"/>
            <w:vAlign w:val="center"/>
          </w:tcPr>
          <w:p w14:paraId="56C64206" w14:textId="78D64422" w:rsidR="00163D81" w:rsidRPr="003C7CE2" w:rsidRDefault="00163D81" w:rsidP="004E1009">
            <w:pPr>
              <w:jc w:val="both"/>
              <w:rPr>
                <w:b/>
                <w:bCs/>
              </w:rPr>
            </w:pPr>
            <w:r w:rsidRPr="003C7CE2">
              <w:rPr>
                <w:rFonts w:ascii="Segoe UI" w:hAnsi="Segoe UI" w:cs="Segoe UI"/>
                <w:b/>
                <w:bCs/>
                <w:color w:val="0F1115"/>
                <w:sz w:val="23"/>
                <w:szCs w:val="23"/>
              </w:rPr>
              <w:t>Std. Error</w:t>
            </w:r>
          </w:p>
        </w:tc>
        <w:tc>
          <w:tcPr>
            <w:tcW w:w="1711" w:type="dxa"/>
            <w:vAlign w:val="center"/>
          </w:tcPr>
          <w:p w14:paraId="0EDFD0F3" w14:textId="4F00B823" w:rsidR="00163D81" w:rsidRPr="003C7CE2" w:rsidRDefault="00163D81" w:rsidP="004E1009">
            <w:pPr>
              <w:jc w:val="both"/>
              <w:rPr>
                <w:b/>
                <w:bCs/>
              </w:rPr>
            </w:pPr>
            <w:r w:rsidRPr="003C7CE2">
              <w:rPr>
                <w:rFonts w:ascii="Segoe UI" w:hAnsi="Segoe UI" w:cs="Segoe UI"/>
                <w:b/>
                <w:bCs/>
                <w:color w:val="0F1115"/>
                <w:sz w:val="23"/>
                <w:szCs w:val="23"/>
              </w:rPr>
              <w:t>t-statistic</w:t>
            </w:r>
          </w:p>
        </w:tc>
        <w:tc>
          <w:tcPr>
            <w:tcW w:w="1672" w:type="dxa"/>
            <w:vAlign w:val="center"/>
          </w:tcPr>
          <w:p w14:paraId="3B5FBBEA" w14:textId="69A4E89C" w:rsidR="00163D81" w:rsidRPr="003C7CE2" w:rsidRDefault="00163D81" w:rsidP="004E1009">
            <w:pPr>
              <w:jc w:val="both"/>
              <w:rPr>
                <w:b/>
                <w:bCs/>
              </w:rPr>
            </w:pPr>
            <w:r w:rsidRPr="003C7CE2">
              <w:rPr>
                <w:rFonts w:ascii="Segoe UI" w:hAnsi="Segoe UI" w:cs="Segoe UI"/>
                <w:b/>
                <w:bCs/>
                <w:color w:val="0F1115"/>
                <w:sz w:val="23"/>
                <w:szCs w:val="23"/>
              </w:rPr>
              <w:t>p-value</w:t>
            </w:r>
          </w:p>
        </w:tc>
      </w:tr>
      <w:tr w:rsidR="00163D81" w14:paraId="737AA7B4" w14:textId="77777777" w:rsidTr="006E188C">
        <w:tc>
          <w:tcPr>
            <w:tcW w:w="2504" w:type="dxa"/>
            <w:vAlign w:val="center"/>
          </w:tcPr>
          <w:p w14:paraId="6936A3BE" w14:textId="04780AA0" w:rsidR="00163D81" w:rsidRDefault="00163D81" w:rsidP="004E1009">
            <w:pPr>
              <w:jc w:val="both"/>
            </w:pPr>
            <w:r>
              <w:rPr>
                <w:rFonts w:ascii="Segoe UI" w:hAnsi="Segoe UI" w:cs="Segoe UI"/>
                <w:color w:val="0F1115"/>
                <w:sz w:val="23"/>
                <w:szCs w:val="23"/>
              </w:rPr>
              <w:t>Constant</w:t>
            </w:r>
          </w:p>
        </w:tc>
        <w:tc>
          <w:tcPr>
            <w:tcW w:w="1769" w:type="dxa"/>
            <w:vAlign w:val="center"/>
          </w:tcPr>
          <w:p w14:paraId="70349EB1" w14:textId="0C3C3E4C" w:rsidR="00163D81" w:rsidRDefault="00163D81" w:rsidP="004E1009">
            <w:pPr>
              <w:jc w:val="both"/>
            </w:pPr>
            <w:r>
              <w:rPr>
                <w:rFonts w:ascii="Segoe UI" w:hAnsi="Segoe UI" w:cs="Segoe UI"/>
                <w:color w:val="0F1115"/>
                <w:sz w:val="23"/>
                <w:szCs w:val="23"/>
              </w:rPr>
              <w:t>-4.1653</w:t>
            </w:r>
          </w:p>
        </w:tc>
        <w:tc>
          <w:tcPr>
            <w:tcW w:w="1694" w:type="dxa"/>
            <w:vAlign w:val="center"/>
          </w:tcPr>
          <w:p w14:paraId="2DB8D101" w14:textId="7E2E967D" w:rsidR="00163D81" w:rsidRDefault="00163D81" w:rsidP="004E1009">
            <w:pPr>
              <w:jc w:val="both"/>
            </w:pPr>
            <w:r>
              <w:rPr>
                <w:rFonts w:ascii="Segoe UI" w:hAnsi="Segoe UI" w:cs="Segoe UI"/>
                <w:color w:val="0F1115"/>
                <w:sz w:val="23"/>
                <w:szCs w:val="23"/>
              </w:rPr>
              <w:t>2.1767</w:t>
            </w:r>
          </w:p>
        </w:tc>
        <w:tc>
          <w:tcPr>
            <w:tcW w:w="1711" w:type="dxa"/>
            <w:vAlign w:val="center"/>
          </w:tcPr>
          <w:p w14:paraId="2636F200" w14:textId="5C50320B" w:rsidR="00163D81" w:rsidRDefault="00163D81" w:rsidP="004E1009">
            <w:pPr>
              <w:jc w:val="both"/>
            </w:pPr>
            <w:r>
              <w:rPr>
                <w:rFonts w:ascii="Segoe UI" w:hAnsi="Segoe UI" w:cs="Segoe UI"/>
                <w:color w:val="0F1115"/>
                <w:sz w:val="23"/>
                <w:szCs w:val="23"/>
              </w:rPr>
              <w:t>-1.91</w:t>
            </w:r>
          </w:p>
        </w:tc>
        <w:tc>
          <w:tcPr>
            <w:tcW w:w="1672" w:type="dxa"/>
            <w:vAlign w:val="center"/>
          </w:tcPr>
          <w:p w14:paraId="24EEAD4A" w14:textId="0B9CBAEC" w:rsidR="00163D81" w:rsidRDefault="00163D81" w:rsidP="004E1009">
            <w:pPr>
              <w:jc w:val="both"/>
            </w:pPr>
            <w:r>
              <w:rPr>
                <w:rFonts w:ascii="Segoe UI" w:hAnsi="Segoe UI" w:cs="Segoe UI"/>
                <w:color w:val="0F1115"/>
                <w:sz w:val="23"/>
                <w:szCs w:val="23"/>
              </w:rPr>
              <w:t>0.064</w:t>
            </w:r>
          </w:p>
        </w:tc>
      </w:tr>
      <w:tr w:rsidR="00EF4BB7" w14:paraId="29074531" w14:textId="77777777" w:rsidTr="006E188C">
        <w:tc>
          <w:tcPr>
            <w:tcW w:w="2504" w:type="dxa"/>
            <w:vAlign w:val="center"/>
          </w:tcPr>
          <w:p w14:paraId="43808A98" w14:textId="6AF2A929" w:rsidR="00EF4BB7" w:rsidRDefault="00EF4BB7" w:rsidP="004E1009">
            <w:pPr>
              <w:jc w:val="both"/>
            </w:pPr>
            <w:r>
              <w:rPr>
                <w:rFonts w:ascii="Segoe UI" w:hAnsi="Segoe UI" w:cs="Segoe UI"/>
                <w:color w:val="0F1115"/>
                <w:sz w:val="23"/>
                <w:szCs w:val="23"/>
              </w:rPr>
              <w:t>ln(P_K/P_L)</w:t>
            </w:r>
          </w:p>
        </w:tc>
        <w:tc>
          <w:tcPr>
            <w:tcW w:w="1769" w:type="dxa"/>
            <w:vAlign w:val="center"/>
          </w:tcPr>
          <w:p w14:paraId="3551B9C5" w14:textId="7A507D81" w:rsidR="00EF4BB7" w:rsidRDefault="00EF4BB7" w:rsidP="004E1009">
            <w:pPr>
              <w:jc w:val="both"/>
            </w:pPr>
            <w:r>
              <w:rPr>
                <w:rFonts w:ascii="Segoe UI" w:hAnsi="Segoe UI" w:cs="Segoe UI"/>
                <w:color w:val="0F1115"/>
                <w:sz w:val="23"/>
                <w:szCs w:val="23"/>
              </w:rPr>
              <w:t>-2.3253</w:t>
            </w:r>
          </w:p>
        </w:tc>
        <w:tc>
          <w:tcPr>
            <w:tcW w:w="1694" w:type="dxa"/>
            <w:vAlign w:val="center"/>
          </w:tcPr>
          <w:p w14:paraId="1B507829" w14:textId="7CEBC88D" w:rsidR="00EF4BB7" w:rsidRDefault="00EF4BB7" w:rsidP="004E1009">
            <w:pPr>
              <w:jc w:val="both"/>
            </w:pPr>
            <w:r>
              <w:rPr>
                <w:rFonts w:ascii="Segoe UI" w:hAnsi="Segoe UI" w:cs="Segoe UI"/>
                <w:color w:val="0F1115"/>
                <w:sz w:val="23"/>
                <w:szCs w:val="23"/>
              </w:rPr>
              <w:t>0.4615</w:t>
            </w:r>
          </w:p>
        </w:tc>
        <w:tc>
          <w:tcPr>
            <w:tcW w:w="1711" w:type="dxa"/>
            <w:vAlign w:val="center"/>
          </w:tcPr>
          <w:p w14:paraId="791E7C35" w14:textId="7C79D1D0" w:rsidR="00EF4BB7" w:rsidRDefault="00EF4BB7" w:rsidP="004E1009">
            <w:pPr>
              <w:jc w:val="both"/>
            </w:pPr>
            <w:r>
              <w:rPr>
                <w:rFonts w:ascii="Segoe UI" w:hAnsi="Segoe UI" w:cs="Segoe UI"/>
                <w:color w:val="0F1115"/>
                <w:sz w:val="23"/>
                <w:szCs w:val="23"/>
              </w:rPr>
              <w:t>-5.04</w:t>
            </w:r>
          </w:p>
        </w:tc>
        <w:tc>
          <w:tcPr>
            <w:tcW w:w="1672" w:type="dxa"/>
            <w:vAlign w:val="center"/>
          </w:tcPr>
          <w:p w14:paraId="218FE9C1" w14:textId="68731DDC" w:rsidR="00EF4BB7" w:rsidRDefault="00EF4BB7" w:rsidP="004E1009">
            <w:pPr>
              <w:jc w:val="both"/>
            </w:pPr>
            <w:r>
              <w:rPr>
                <w:rFonts w:ascii="Segoe UI" w:hAnsi="Segoe UI" w:cs="Segoe UI"/>
                <w:color w:val="0F1115"/>
                <w:sz w:val="23"/>
                <w:szCs w:val="23"/>
              </w:rPr>
              <w:t>0.000</w:t>
            </w:r>
          </w:p>
        </w:tc>
      </w:tr>
      <w:tr w:rsidR="00292C9F" w14:paraId="645C6C3A" w14:textId="77777777" w:rsidTr="006E188C">
        <w:tc>
          <w:tcPr>
            <w:tcW w:w="2504" w:type="dxa"/>
            <w:vAlign w:val="center"/>
          </w:tcPr>
          <w:p w14:paraId="16F6257F" w14:textId="3BF0F0A6" w:rsidR="00292C9F" w:rsidRDefault="00292C9F" w:rsidP="004E1009">
            <w:pPr>
              <w:jc w:val="both"/>
            </w:pPr>
            <w:r>
              <w:rPr>
                <w:rFonts w:ascii="Segoe UI" w:hAnsi="Segoe UI" w:cs="Segoe UI"/>
                <w:color w:val="0F1115"/>
                <w:sz w:val="23"/>
                <w:szCs w:val="23"/>
              </w:rPr>
              <w:t>ln(P_E/P_L)</w:t>
            </w:r>
          </w:p>
        </w:tc>
        <w:tc>
          <w:tcPr>
            <w:tcW w:w="1769" w:type="dxa"/>
            <w:vAlign w:val="center"/>
          </w:tcPr>
          <w:p w14:paraId="7C09318E" w14:textId="254CED98" w:rsidR="00292C9F" w:rsidRDefault="00292C9F" w:rsidP="004E1009">
            <w:pPr>
              <w:jc w:val="both"/>
            </w:pPr>
            <w:r>
              <w:rPr>
                <w:rFonts w:ascii="Segoe UI" w:hAnsi="Segoe UI" w:cs="Segoe UI"/>
                <w:color w:val="0F1115"/>
                <w:sz w:val="23"/>
                <w:szCs w:val="23"/>
              </w:rPr>
              <w:t>0.3082</w:t>
            </w:r>
          </w:p>
        </w:tc>
        <w:tc>
          <w:tcPr>
            <w:tcW w:w="1694" w:type="dxa"/>
            <w:vAlign w:val="center"/>
          </w:tcPr>
          <w:p w14:paraId="07BF0C2D" w14:textId="1343992B" w:rsidR="00292C9F" w:rsidRDefault="00292C9F" w:rsidP="004E1009">
            <w:pPr>
              <w:jc w:val="both"/>
            </w:pPr>
            <w:r>
              <w:rPr>
                <w:rFonts w:ascii="Segoe UI" w:hAnsi="Segoe UI" w:cs="Segoe UI"/>
                <w:color w:val="0F1115"/>
                <w:sz w:val="23"/>
                <w:szCs w:val="23"/>
              </w:rPr>
              <w:t>0.5215</w:t>
            </w:r>
          </w:p>
        </w:tc>
        <w:tc>
          <w:tcPr>
            <w:tcW w:w="1711" w:type="dxa"/>
            <w:vAlign w:val="center"/>
          </w:tcPr>
          <w:p w14:paraId="4742C9ED" w14:textId="2357BBE6" w:rsidR="00292C9F" w:rsidRDefault="00292C9F" w:rsidP="004E1009">
            <w:pPr>
              <w:jc w:val="both"/>
            </w:pPr>
            <w:r>
              <w:rPr>
                <w:rFonts w:ascii="Segoe UI" w:hAnsi="Segoe UI" w:cs="Segoe UI"/>
                <w:color w:val="0F1115"/>
                <w:sz w:val="23"/>
                <w:szCs w:val="23"/>
              </w:rPr>
              <w:t>0.59</w:t>
            </w:r>
          </w:p>
        </w:tc>
        <w:tc>
          <w:tcPr>
            <w:tcW w:w="1672" w:type="dxa"/>
            <w:vAlign w:val="center"/>
          </w:tcPr>
          <w:p w14:paraId="6849700C" w14:textId="77D01FA6" w:rsidR="00292C9F" w:rsidRDefault="00292C9F" w:rsidP="004E1009">
            <w:pPr>
              <w:jc w:val="both"/>
            </w:pPr>
            <w:r>
              <w:rPr>
                <w:rFonts w:ascii="Segoe UI" w:hAnsi="Segoe UI" w:cs="Segoe UI"/>
                <w:color w:val="0F1115"/>
                <w:sz w:val="23"/>
                <w:szCs w:val="23"/>
              </w:rPr>
              <w:t>0.559</w:t>
            </w:r>
          </w:p>
        </w:tc>
      </w:tr>
      <w:tr w:rsidR="00292C9F" w14:paraId="453490A3" w14:textId="77777777" w:rsidTr="006E188C">
        <w:tc>
          <w:tcPr>
            <w:tcW w:w="2504" w:type="dxa"/>
            <w:vAlign w:val="center"/>
          </w:tcPr>
          <w:p w14:paraId="48B0CE2D" w14:textId="16FEA267" w:rsidR="00292C9F" w:rsidRDefault="00292C9F" w:rsidP="004E1009">
            <w:pPr>
              <w:jc w:val="both"/>
            </w:pPr>
            <w:proofErr w:type="gramStart"/>
            <w:r>
              <w:rPr>
                <w:rFonts w:ascii="Segoe UI" w:hAnsi="Segoe UI" w:cs="Segoe UI"/>
                <w:color w:val="0F1115"/>
                <w:sz w:val="23"/>
                <w:szCs w:val="23"/>
              </w:rPr>
              <w:t>ln(</w:t>
            </w:r>
            <w:proofErr w:type="gramEnd"/>
            <w:r>
              <w:rPr>
                <w:rFonts w:ascii="Segoe UI" w:hAnsi="Segoe UI" w:cs="Segoe UI"/>
                <w:color w:val="0F1115"/>
                <w:sz w:val="23"/>
                <w:szCs w:val="23"/>
              </w:rPr>
              <w:t>MO)</w:t>
            </w:r>
          </w:p>
        </w:tc>
        <w:tc>
          <w:tcPr>
            <w:tcW w:w="1769" w:type="dxa"/>
            <w:vAlign w:val="center"/>
          </w:tcPr>
          <w:p w14:paraId="41E27DC6" w14:textId="41A90224" w:rsidR="00292C9F" w:rsidRDefault="00292C9F" w:rsidP="004E1009">
            <w:pPr>
              <w:jc w:val="both"/>
            </w:pPr>
            <w:r>
              <w:rPr>
                <w:rFonts w:ascii="Segoe UI" w:hAnsi="Segoe UI" w:cs="Segoe UI"/>
                <w:color w:val="0F1115"/>
                <w:sz w:val="23"/>
                <w:szCs w:val="23"/>
              </w:rPr>
              <w:t>-1.0984</w:t>
            </w:r>
          </w:p>
        </w:tc>
        <w:tc>
          <w:tcPr>
            <w:tcW w:w="1694" w:type="dxa"/>
            <w:vAlign w:val="center"/>
          </w:tcPr>
          <w:p w14:paraId="28FFDE36" w14:textId="0BC3E5D0" w:rsidR="00292C9F" w:rsidRDefault="00292C9F" w:rsidP="004E1009">
            <w:pPr>
              <w:jc w:val="both"/>
            </w:pPr>
            <w:r>
              <w:rPr>
                <w:rFonts w:ascii="Segoe UI" w:hAnsi="Segoe UI" w:cs="Segoe UI"/>
                <w:color w:val="0F1115"/>
                <w:sz w:val="23"/>
                <w:szCs w:val="23"/>
              </w:rPr>
              <w:t>0.3553</w:t>
            </w:r>
          </w:p>
        </w:tc>
        <w:tc>
          <w:tcPr>
            <w:tcW w:w="1711" w:type="dxa"/>
            <w:vAlign w:val="center"/>
          </w:tcPr>
          <w:p w14:paraId="7AFC89D1" w14:textId="75542205" w:rsidR="00292C9F" w:rsidRDefault="00292C9F" w:rsidP="004E1009">
            <w:pPr>
              <w:jc w:val="both"/>
            </w:pPr>
            <w:r>
              <w:rPr>
                <w:rFonts w:ascii="Segoe UI" w:hAnsi="Segoe UI" w:cs="Segoe UI"/>
                <w:color w:val="0F1115"/>
                <w:sz w:val="23"/>
                <w:szCs w:val="23"/>
              </w:rPr>
              <w:t>-3.09</w:t>
            </w:r>
          </w:p>
        </w:tc>
        <w:tc>
          <w:tcPr>
            <w:tcW w:w="1672" w:type="dxa"/>
            <w:vAlign w:val="center"/>
          </w:tcPr>
          <w:p w14:paraId="45400CB7" w14:textId="37AA0244" w:rsidR="00292C9F" w:rsidRDefault="00292C9F" w:rsidP="004E1009">
            <w:pPr>
              <w:jc w:val="both"/>
            </w:pPr>
            <w:r>
              <w:rPr>
                <w:rFonts w:ascii="Segoe UI" w:hAnsi="Segoe UI" w:cs="Segoe UI"/>
                <w:color w:val="0F1115"/>
                <w:sz w:val="23"/>
                <w:szCs w:val="23"/>
              </w:rPr>
              <w:t>0.004</w:t>
            </w:r>
          </w:p>
        </w:tc>
      </w:tr>
      <w:tr w:rsidR="00DB6CE0" w14:paraId="06E2372E" w14:textId="77777777" w:rsidTr="006E188C">
        <w:tc>
          <w:tcPr>
            <w:tcW w:w="2504" w:type="dxa"/>
            <w:vAlign w:val="center"/>
          </w:tcPr>
          <w:p w14:paraId="5A944AB0" w14:textId="3F8833D7"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[ln(P_K/P_L</w:t>
            </w:r>
            <w:proofErr w:type="gramStart"/>
            <w:r>
              <w:rPr>
                <w:rFonts w:ascii="Segoe UI" w:hAnsi="Segoe UI" w:cs="Segoe UI"/>
                <w:color w:val="0F1115"/>
                <w:sz w:val="23"/>
                <w:szCs w:val="23"/>
              </w:rPr>
              <w:t>)]²</w:t>
            </w:r>
            <w:proofErr w:type="gramEnd"/>
          </w:p>
        </w:tc>
        <w:tc>
          <w:tcPr>
            <w:tcW w:w="1769" w:type="dxa"/>
            <w:vAlign w:val="center"/>
          </w:tcPr>
          <w:p w14:paraId="0602334F" w14:textId="673992F3"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-0.2363</w:t>
            </w:r>
          </w:p>
        </w:tc>
        <w:tc>
          <w:tcPr>
            <w:tcW w:w="1694" w:type="dxa"/>
            <w:vAlign w:val="center"/>
          </w:tcPr>
          <w:p w14:paraId="1D770A5C" w14:textId="26C757EF"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0.0318</w:t>
            </w:r>
          </w:p>
        </w:tc>
        <w:tc>
          <w:tcPr>
            <w:tcW w:w="1711" w:type="dxa"/>
            <w:vAlign w:val="center"/>
          </w:tcPr>
          <w:p w14:paraId="7AD528C9" w14:textId="488535A1"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-7.44</w:t>
            </w:r>
          </w:p>
        </w:tc>
        <w:tc>
          <w:tcPr>
            <w:tcW w:w="1672" w:type="dxa"/>
            <w:vAlign w:val="center"/>
          </w:tcPr>
          <w:p w14:paraId="5E8A9E27" w14:textId="3967381B"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0.000</w:t>
            </w:r>
          </w:p>
        </w:tc>
      </w:tr>
      <w:tr w:rsidR="00DB6CE0" w14:paraId="7826DF83" w14:textId="77777777" w:rsidTr="006E188C">
        <w:tc>
          <w:tcPr>
            <w:tcW w:w="2504" w:type="dxa"/>
            <w:vAlign w:val="center"/>
          </w:tcPr>
          <w:p w14:paraId="1E2B40B3" w14:textId="03F31622"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[ln(P_E/P_L</w:t>
            </w:r>
            <w:proofErr w:type="gramStart"/>
            <w:r>
              <w:rPr>
                <w:rFonts w:ascii="Segoe UI" w:hAnsi="Segoe UI" w:cs="Segoe UI"/>
                <w:color w:val="0F1115"/>
                <w:sz w:val="23"/>
                <w:szCs w:val="23"/>
              </w:rPr>
              <w:t>)]²</w:t>
            </w:r>
            <w:proofErr w:type="gramEnd"/>
          </w:p>
        </w:tc>
        <w:tc>
          <w:tcPr>
            <w:tcW w:w="1769" w:type="dxa"/>
            <w:vAlign w:val="center"/>
          </w:tcPr>
          <w:p w14:paraId="7C5DC394" w14:textId="1FA4CA81"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0.0320</w:t>
            </w:r>
          </w:p>
        </w:tc>
        <w:tc>
          <w:tcPr>
            <w:tcW w:w="1694" w:type="dxa"/>
            <w:vAlign w:val="center"/>
          </w:tcPr>
          <w:p w14:paraId="3424F994" w14:textId="0FF97A87"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0.0332</w:t>
            </w:r>
          </w:p>
        </w:tc>
        <w:tc>
          <w:tcPr>
            <w:tcW w:w="1711" w:type="dxa"/>
            <w:vAlign w:val="center"/>
          </w:tcPr>
          <w:p w14:paraId="09878380" w14:textId="70DE4157"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0.96</w:t>
            </w:r>
          </w:p>
        </w:tc>
        <w:tc>
          <w:tcPr>
            <w:tcW w:w="1672" w:type="dxa"/>
            <w:vAlign w:val="center"/>
          </w:tcPr>
          <w:p w14:paraId="2ECC8C15" w14:textId="197D9E91"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0.342</w:t>
            </w:r>
          </w:p>
        </w:tc>
      </w:tr>
      <w:tr w:rsidR="00604BE5" w14:paraId="401E04B8" w14:textId="77777777" w:rsidTr="006E188C">
        <w:tc>
          <w:tcPr>
            <w:tcW w:w="2504" w:type="dxa"/>
            <w:vAlign w:val="center"/>
          </w:tcPr>
          <w:p w14:paraId="15A87F4F" w14:textId="2153437B" w:rsidR="00604BE5" w:rsidRDefault="00604BE5" w:rsidP="004E1009">
            <w:pPr>
              <w:jc w:val="both"/>
              <w:rPr>
                <w:rFonts w:ascii="Segoe UI" w:hAnsi="Segoe UI" w:cs="Segoe UI"/>
                <w:color w:val="0F1115"/>
                <w:sz w:val="23"/>
                <w:szCs w:val="23"/>
              </w:rPr>
            </w:pPr>
            <w:r>
              <w:rPr>
                <w:rFonts w:ascii="Segoe UI" w:hAnsi="Segoe UI" w:cs="Segoe UI"/>
                <w:color w:val="0F1115"/>
                <w:sz w:val="23"/>
                <w:szCs w:val="23"/>
              </w:rPr>
              <w:t>ln(P_K/P_</w:t>
            </w:r>
            <w:proofErr w:type="gramStart"/>
            <w:r>
              <w:rPr>
                <w:rFonts w:ascii="Segoe UI" w:hAnsi="Segoe UI" w:cs="Segoe UI"/>
                <w:color w:val="0F1115"/>
                <w:sz w:val="23"/>
                <w:szCs w:val="23"/>
              </w:rPr>
              <w:t>L)*</w:t>
            </w:r>
            <w:proofErr w:type="gramEnd"/>
            <w:r>
              <w:rPr>
                <w:rFonts w:ascii="Segoe UI" w:hAnsi="Segoe UI" w:cs="Segoe UI"/>
                <w:color w:val="0F1115"/>
                <w:sz w:val="23"/>
                <w:szCs w:val="23"/>
              </w:rPr>
              <w:t>ln(P_E/P_L)</w:t>
            </w:r>
          </w:p>
        </w:tc>
        <w:tc>
          <w:tcPr>
            <w:tcW w:w="1769" w:type="dxa"/>
            <w:vAlign w:val="center"/>
          </w:tcPr>
          <w:p w14:paraId="7C28B018" w14:textId="125082C1" w:rsidR="00604BE5" w:rsidRDefault="00604BE5" w:rsidP="004E1009">
            <w:pPr>
              <w:jc w:val="both"/>
              <w:rPr>
                <w:rFonts w:ascii="Segoe UI" w:hAnsi="Segoe UI" w:cs="Segoe UI"/>
                <w:color w:val="0F1115"/>
                <w:sz w:val="23"/>
                <w:szCs w:val="23"/>
              </w:rPr>
            </w:pPr>
            <w:r>
              <w:rPr>
                <w:rFonts w:ascii="Segoe UI" w:hAnsi="Segoe UI" w:cs="Segoe UI"/>
                <w:color w:val="0F1115"/>
                <w:sz w:val="23"/>
                <w:szCs w:val="23"/>
              </w:rPr>
              <w:t>-0.1904</w:t>
            </w:r>
          </w:p>
        </w:tc>
        <w:tc>
          <w:tcPr>
            <w:tcW w:w="1694" w:type="dxa"/>
            <w:vAlign w:val="center"/>
          </w:tcPr>
          <w:p w14:paraId="3FF883FA" w14:textId="35B4DB03" w:rsidR="00604BE5" w:rsidRDefault="00604BE5" w:rsidP="004E1009">
            <w:pPr>
              <w:jc w:val="both"/>
              <w:rPr>
                <w:rFonts w:ascii="Segoe UI" w:hAnsi="Segoe UI" w:cs="Segoe UI"/>
                <w:color w:val="0F1115"/>
                <w:sz w:val="23"/>
                <w:szCs w:val="23"/>
              </w:rPr>
            </w:pPr>
            <w:r>
              <w:rPr>
                <w:rFonts w:ascii="Segoe UI" w:hAnsi="Segoe UI" w:cs="Segoe UI"/>
                <w:color w:val="0F1115"/>
                <w:sz w:val="23"/>
                <w:szCs w:val="23"/>
              </w:rPr>
              <w:t>0.0431</w:t>
            </w:r>
          </w:p>
        </w:tc>
        <w:tc>
          <w:tcPr>
            <w:tcW w:w="1711" w:type="dxa"/>
            <w:vAlign w:val="center"/>
          </w:tcPr>
          <w:p w14:paraId="3BEBE004" w14:textId="7642E511" w:rsidR="00604BE5" w:rsidRDefault="00604BE5" w:rsidP="004E1009">
            <w:pPr>
              <w:jc w:val="both"/>
              <w:rPr>
                <w:rFonts w:ascii="Segoe UI" w:hAnsi="Segoe UI" w:cs="Segoe UI"/>
                <w:color w:val="0F1115"/>
                <w:sz w:val="23"/>
                <w:szCs w:val="23"/>
              </w:rPr>
            </w:pPr>
            <w:r>
              <w:rPr>
                <w:rFonts w:ascii="Segoe UI" w:hAnsi="Segoe UI" w:cs="Segoe UI"/>
                <w:color w:val="0F1115"/>
                <w:sz w:val="23"/>
                <w:szCs w:val="23"/>
              </w:rPr>
              <w:t>-4.41</w:t>
            </w:r>
          </w:p>
        </w:tc>
        <w:tc>
          <w:tcPr>
            <w:tcW w:w="1672" w:type="dxa"/>
            <w:vAlign w:val="center"/>
          </w:tcPr>
          <w:p w14:paraId="62FDDD41" w14:textId="7F5ABB5A" w:rsidR="00604BE5" w:rsidRDefault="00604BE5" w:rsidP="004E1009">
            <w:pPr>
              <w:jc w:val="both"/>
              <w:rPr>
                <w:rFonts w:ascii="Segoe UI" w:hAnsi="Segoe UI" w:cs="Segoe UI"/>
                <w:color w:val="0F1115"/>
                <w:sz w:val="23"/>
                <w:szCs w:val="23"/>
              </w:rPr>
            </w:pPr>
            <w:r>
              <w:rPr>
                <w:rFonts w:ascii="Segoe UI" w:hAnsi="Segoe UI" w:cs="Segoe UI"/>
                <w:color w:val="0F1115"/>
                <w:sz w:val="23"/>
                <w:szCs w:val="23"/>
              </w:rPr>
              <w:t>0.000</w:t>
            </w:r>
          </w:p>
        </w:tc>
      </w:tr>
      <w:tr w:rsidR="006E188C" w14:paraId="78FC5DAC" w14:textId="77777777" w:rsidTr="006E188C">
        <w:tc>
          <w:tcPr>
            <w:tcW w:w="2504" w:type="dxa"/>
            <w:vAlign w:val="center"/>
          </w:tcPr>
          <w:p w14:paraId="749B7E54" w14:textId="0B463D11" w:rsidR="006E188C" w:rsidRDefault="006E188C" w:rsidP="004E1009">
            <w:pPr>
              <w:jc w:val="both"/>
              <w:rPr>
                <w:rFonts w:ascii="Segoe UI" w:hAnsi="Segoe UI" w:cs="Segoe UI"/>
                <w:color w:val="0F1115"/>
                <w:sz w:val="23"/>
                <w:szCs w:val="23"/>
              </w:rPr>
            </w:pPr>
            <w:proofErr w:type="gramStart"/>
            <w:r>
              <w:rPr>
                <w:rFonts w:ascii="Segoe UI" w:hAnsi="Segoe UI" w:cs="Segoe UI"/>
                <w:color w:val="0F1115"/>
                <w:sz w:val="23"/>
                <w:szCs w:val="23"/>
              </w:rPr>
              <w:t>ln(</w:t>
            </w:r>
            <w:proofErr w:type="gramEnd"/>
            <w:r>
              <w:rPr>
                <w:rFonts w:ascii="Segoe UI" w:hAnsi="Segoe UI" w:cs="Segoe UI"/>
                <w:color w:val="0F1115"/>
                <w:sz w:val="23"/>
                <w:szCs w:val="23"/>
              </w:rPr>
              <w:t>MO)*ln(P_K/P_L)</w:t>
            </w:r>
          </w:p>
        </w:tc>
        <w:tc>
          <w:tcPr>
            <w:tcW w:w="1769" w:type="dxa"/>
            <w:vAlign w:val="center"/>
          </w:tcPr>
          <w:p w14:paraId="0C4A51B5" w14:textId="20A1795D" w:rsidR="006E188C" w:rsidRDefault="006E188C" w:rsidP="004E1009">
            <w:pPr>
              <w:jc w:val="both"/>
              <w:rPr>
                <w:rFonts w:ascii="Segoe UI" w:hAnsi="Segoe UI" w:cs="Segoe UI"/>
                <w:color w:val="0F1115"/>
                <w:sz w:val="23"/>
                <w:szCs w:val="23"/>
              </w:rPr>
            </w:pPr>
            <w:r>
              <w:rPr>
                <w:rFonts w:ascii="Segoe UI" w:hAnsi="Segoe UI" w:cs="Segoe UI"/>
                <w:color w:val="0F1115"/>
                <w:sz w:val="23"/>
                <w:szCs w:val="23"/>
              </w:rPr>
              <w:t>-0.1455</w:t>
            </w:r>
          </w:p>
        </w:tc>
        <w:tc>
          <w:tcPr>
            <w:tcW w:w="1694" w:type="dxa"/>
            <w:vAlign w:val="center"/>
          </w:tcPr>
          <w:p w14:paraId="1A2D4387" w14:textId="6DB9A37F" w:rsidR="006E188C" w:rsidRDefault="006E188C" w:rsidP="004E1009">
            <w:pPr>
              <w:jc w:val="both"/>
              <w:rPr>
                <w:rFonts w:ascii="Segoe UI" w:hAnsi="Segoe UI" w:cs="Segoe UI"/>
                <w:color w:val="0F1115"/>
                <w:sz w:val="23"/>
                <w:szCs w:val="23"/>
              </w:rPr>
            </w:pPr>
            <w:r>
              <w:rPr>
                <w:rFonts w:ascii="Segoe UI" w:hAnsi="Segoe UI" w:cs="Segoe UI"/>
                <w:color w:val="0F1115"/>
                <w:sz w:val="23"/>
                <w:szCs w:val="23"/>
              </w:rPr>
              <w:t>0.0237</w:t>
            </w:r>
          </w:p>
        </w:tc>
        <w:tc>
          <w:tcPr>
            <w:tcW w:w="1711" w:type="dxa"/>
            <w:vAlign w:val="center"/>
          </w:tcPr>
          <w:p w14:paraId="5584636A" w14:textId="05C2409E" w:rsidR="006E188C" w:rsidRDefault="006E188C" w:rsidP="004E1009">
            <w:pPr>
              <w:jc w:val="both"/>
              <w:rPr>
                <w:rFonts w:ascii="Segoe UI" w:hAnsi="Segoe UI" w:cs="Segoe UI"/>
                <w:color w:val="0F1115"/>
                <w:sz w:val="23"/>
                <w:szCs w:val="23"/>
              </w:rPr>
            </w:pPr>
            <w:r>
              <w:rPr>
                <w:rFonts w:ascii="Segoe UI" w:hAnsi="Segoe UI" w:cs="Segoe UI"/>
                <w:color w:val="0F1115"/>
                <w:sz w:val="23"/>
                <w:szCs w:val="23"/>
              </w:rPr>
              <w:t>-6.14</w:t>
            </w:r>
          </w:p>
        </w:tc>
        <w:tc>
          <w:tcPr>
            <w:tcW w:w="1672" w:type="dxa"/>
            <w:vAlign w:val="center"/>
          </w:tcPr>
          <w:p w14:paraId="52E6BD63" w14:textId="08359C15" w:rsidR="006E188C" w:rsidRDefault="006E188C" w:rsidP="004E1009">
            <w:pPr>
              <w:jc w:val="both"/>
              <w:rPr>
                <w:rFonts w:ascii="Segoe UI" w:hAnsi="Segoe UI" w:cs="Segoe UI"/>
                <w:color w:val="0F1115"/>
                <w:sz w:val="23"/>
                <w:szCs w:val="23"/>
              </w:rPr>
            </w:pPr>
            <w:r>
              <w:rPr>
                <w:rFonts w:ascii="Segoe UI" w:hAnsi="Segoe UI" w:cs="Segoe UI"/>
                <w:color w:val="0F1115"/>
                <w:sz w:val="23"/>
                <w:szCs w:val="23"/>
              </w:rPr>
              <w:t>0.000</w:t>
            </w:r>
          </w:p>
        </w:tc>
      </w:tr>
      <w:tr w:rsidR="001121F5" w14:paraId="395D1906" w14:textId="77777777" w:rsidTr="006E188C">
        <w:tc>
          <w:tcPr>
            <w:tcW w:w="2504" w:type="dxa"/>
            <w:vAlign w:val="center"/>
          </w:tcPr>
          <w:p w14:paraId="76E9645A" w14:textId="6EF524F2" w:rsidR="001121F5" w:rsidRDefault="001121F5" w:rsidP="004E1009">
            <w:pPr>
              <w:jc w:val="both"/>
              <w:rPr>
                <w:rFonts w:ascii="Segoe UI" w:hAnsi="Segoe UI" w:cs="Segoe UI"/>
                <w:color w:val="0F1115"/>
                <w:sz w:val="23"/>
                <w:szCs w:val="23"/>
              </w:rPr>
            </w:pPr>
            <w:proofErr w:type="gramStart"/>
            <w:r>
              <w:rPr>
                <w:rFonts w:ascii="Segoe UI" w:hAnsi="Segoe UI" w:cs="Segoe UI"/>
                <w:color w:val="0F1115"/>
                <w:sz w:val="23"/>
                <w:szCs w:val="23"/>
              </w:rPr>
              <w:t>ln(</w:t>
            </w:r>
            <w:proofErr w:type="gramEnd"/>
            <w:r>
              <w:rPr>
                <w:rFonts w:ascii="Segoe UI" w:hAnsi="Segoe UI" w:cs="Segoe UI"/>
                <w:color w:val="0F1115"/>
                <w:sz w:val="23"/>
                <w:szCs w:val="23"/>
              </w:rPr>
              <w:t>MO)*ln(P_E/P_L)</w:t>
            </w:r>
          </w:p>
        </w:tc>
        <w:tc>
          <w:tcPr>
            <w:tcW w:w="1769" w:type="dxa"/>
            <w:vAlign w:val="center"/>
          </w:tcPr>
          <w:p w14:paraId="72BBC907" w14:textId="4D974648" w:rsidR="001121F5" w:rsidRDefault="001121F5" w:rsidP="004E1009">
            <w:pPr>
              <w:jc w:val="both"/>
              <w:rPr>
                <w:rFonts w:ascii="Segoe UI" w:hAnsi="Segoe UI" w:cs="Segoe UI"/>
                <w:color w:val="0F1115"/>
                <w:sz w:val="23"/>
                <w:szCs w:val="23"/>
              </w:rPr>
            </w:pPr>
            <w:r>
              <w:rPr>
                <w:rFonts w:ascii="Segoe UI" w:hAnsi="Segoe UI" w:cs="Segoe UI"/>
                <w:color w:val="0F1115"/>
                <w:sz w:val="23"/>
                <w:szCs w:val="23"/>
              </w:rPr>
              <w:t>-0.1414</w:t>
            </w:r>
          </w:p>
        </w:tc>
        <w:tc>
          <w:tcPr>
            <w:tcW w:w="1694" w:type="dxa"/>
            <w:vAlign w:val="center"/>
          </w:tcPr>
          <w:p w14:paraId="291C06F5" w14:textId="3F70276D" w:rsidR="001121F5" w:rsidRDefault="001121F5" w:rsidP="004E1009">
            <w:pPr>
              <w:jc w:val="both"/>
              <w:rPr>
                <w:rFonts w:ascii="Segoe UI" w:hAnsi="Segoe UI" w:cs="Segoe UI"/>
                <w:color w:val="0F1115"/>
                <w:sz w:val="23"/>
                <w:szCs w:val="23"/>
              </w:rPr>
            </w:pPr>
            <w:r>
              <w:rPr>
                <w:rFonts w:ascii="Segoe UI" w:hAnsi="Segoe UI" w:cs="Segoe UI"/>
                <w:color w:val="0F1115"/>
                <w:sz w:val="23"/>
                <w:szCs w:val="23"/>
              </w:rPr>
              <w:t>0.0380</w:t>
            </w:r>
          </w:p>
        </w:tc>
        <w:tc>
          <w:tcPr>
            <w:tcW w:w="1711" w:type="dxa"/>
            <w:vAlign w:val="center"/>
          </w:tcPr>
          <w:p w14:paraId="3343B0C2" w14:textId="4CA55052" w:rsidR="001121F5" w:rsidRDefault="001121F5" w:rsidP="004E1009">
            <w:pPr>
              <w:jc w:val="both"/>
              <w:rPr>
                <w:rFonts w:ascii="Segoe UI" w:hAnsi="Segoe UI" w:cs="Segoe UI"/>
                <w:color w:val="0F1115"/>
                <w:sz w:val="23"/>
                <w:szCs w:val="23"/>
              </w:rPr>
            </w:pPr>
            <w:r>
              <w:rPr>
                <w:rFonts w:ascii="Segoe UI" w:hAnsi="Segoe UI" w:cs="Segoe UI"/>
                <w:color w:val="0F1115"/>
                <w:sz w:val="23"/>
                <w:szCs w:val="23"/>
              </w:rPr>
              <w:t>-3.72</w:t>
            </w:r>
          </w:p>
        </w:tc>
        <w:tc>
          <w:tcPr>
            <w:tcW w:w="1672" w:type="dxa"/>
            <w:vAlign w:val="center"/>
          </w:tcPr>
          <w:p w14:paraId="46E0CE74" w14:textId="7D073DD1" w:rsidR="001121F5" w:rsidRDefault="001121F5" w:rsidP="004E1009">
            <w:pPr>
              <w:jc w:val="both"/>
              <w:rPr>
                <w:rFonts w:ascii="Segoe UI" w:hAnsi="Segoe UI" w:cs="Segoe UI"/>
                <w:color w:val="0F1115"/>
                <w:sz w:val="23"/>
                <w:szCs w:val="23"/>
              </w:rPr>
            </w:pPr>
            <w:r>
              <w:rPr>
                <w:rFonts w:ascii="Segoe UI" w:hAnsi="Segoe UI" w:cs="Segoe UI"/>
                <w:color w:val="0F1115"/>
                <w:sz w:val="23"/>
                <w:szCs w:val="23"/>
              </w:rPr>
              <w:t>0.001</w:t>
            </w:r>
          </w:p>
        </w:tc>
      </w:tr>
    </w:tbl>
    <w:p w14:paraId="6E200FC0" w14:textId="77777777" w:rsidR="005E7DAB" w:rsidRDefault="005E7DAB" w:rsidP="004E1009">
      <w:pPr>
        <w:jc w:val="both"/>
      </w:pPr>
    </w:p>
    <w:p w14:paraId="4E4D4FD3" w14:textId="77777777" w:rsidR="005E7DAB" w:rsidRDefault="005E7DAB" w:rsidP="004E1009">
      <w:pPr>
        <w:jc w:val="both"/>
      </w:pPr>
      <w:r>
        <w:t xml:space="preserve">R² = 0.9934, Adjusted R² = 0.9918, </w:t>
      </w:r>
      <w:proofErr w:type="gramStart"/>
      <w:r>
        <w:t>F(</w:t>
      </w:r>
      <w:proofErr w:type="gramEnd"/>
      <w:r>
        <w:t>8,34) = 636.24 (p=0.000)</w:t>
      </w:r>
    </w:p>
    <w:p w14:paraId="354D5C86" w14:textId="77777777" w:rsidR="00FF1955" w:rsidRDefault="00AF12ED" w:rsidP="00AF12ED">
      <w:pPr>
        <w:jc w:val="both"/>
      </w:pPr>
      <w:r w:rsidRPr="00AF12ED">
        <w:t>The negative and significant coefficient on the interaction term </w:t>
      </w:r>
      <m:oMath>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oMath>
      <w:r w:rsidRPr="00AF12ED">
        <w:t> (−0.1904, p &lt; 0.001) suggests that capital and energy are substitutes: as the relative price of capital rises, the cost share of energy falls. The interaction between output and energy price is also negative (−0.1414, p = 0.001), implying that scale economies reduce the cost impact of energy price increases—a finding consistent with the presence of fixed energy costs.</w:t>
      </w:r>
    </w:p>
    <w:p w14:paraId="3876FC32" w14:textId="73E345D6" w:rsidR="005E7DAB" w:rsidRPr="003C7CE2" w:rsidRDefault="005E7DAB" w:rsidP="00AF12ED">
      <w:pPr>
        <w:jc w:val="both"/>
        <w:rPr>
          <w:b/>
          <w:bCs/>
        </w:rPr>
      </w:pPr>
      <w:r w:rsidRPr="003C7CE2">
        <w:rPr>
          <w:b/>
          <w:bCs/>
        </w:rPr>
        <w:t>4.2 Elasticities of Substitution</w:t>
      </w:r>
    </w:p>
    <w:p w14:paraId="12DAADC8" w14:textId="155DDC2A" w:rsidR="008306A1" w:rsidRDefault="008306A1" w:rsidP="008306A1">
      <w:pPr>
        <w:jc w:val="both"/>
        <w:rPr>
          <w:b/>
          <w:bCs/>
        </w:rPr>
      </w:pPr>
      <w:r w:rsidRPr="008306A1">
        <w:rPr>
          <w:b/>
          <w:bCs/>
        </w:rPr>
        <w:t>Table 2 </w:t>
      </w:r>
      <w:r w:rsidRPr="008306A1">
        <w:t>reports mean AES and MES values over the full sample period (1981–2023). Several key findings emerge.</w:t>
      </w:r>
    </w:p>
    <w:p w14:paraId="0DF2D8F0" w14:textId="05A7D673" w:rsidR="002B3C86" w:rsidRPr="003C7CE2" w:rsidRDefault="005E7DAB" w:rsidP="004E1009">
      <w:pPr>
        <w:jc w:val="both"/>
        <w:rPr>
          <w:b/>
          <w:bCs/>
        </w:rPr>
      </w:pPr>
      <w:r w:rsidRPr="003C7CE2">
        <w:rPr>
          <w:b/>
          <w:bCs/>
        </w:rPr>
        <w:t>Table 2: Mean AES and MES Values (1981–2023)</w:t>
      </w:r>
    </w:p>
    <w:tbl>
      <w:tblPr>
        <w:tblStyle w:val="TableGrid"/>
        <w:tblW w:w="0" w:type="auto"/>
        <w:tblLook w:val="04A0" w:firstRow="1" w:lastRow="0" w:firstColumn="1" w:lastColumn="0" w:noHBand="0" w:noVBand="1"/>
      </w:tblPr>
      <w:tblGrid>
        <w:gridCol w:w="2605"/>
        <w:gridCol w:w="1620"/>
        <w:gridCol w:w="1710"/>
        <w:gridCol w:w="3415"/>
      </w:tblGrid>
      <w:tr w:rsidR="00D55762" w14:paraId="7151CB77" w14:textId="77777777" w:rsidTr="00B625F6">
        <w:tc>
          <w:tcPr>
            <w:tcW w:w="2605" w:type="dxa"/>
            <w:vAlign w:val="center"/>
          </w:tcPr>
          <w:p w14:paraId="30C2908F" w14:textId="09D447D1" w:rsidR="00D55762" w:rsidRPr="00B625F6" w:rsidRDefault="00D55762" w:rsidP="004E1009">
            <w:pPr>
              <w:jc w:val="both"/>
              <w:rPr>
                <w:b/>
                <w:bCs/>
              </w:rPr>
            </w:pPr>
            <w:r w:rsidRPr="00B625F6">
              <w:rPr>
                <w:rFonts w:ascii="Segoe UI" w:hAnsi="Segoe UI" w:cs="Segoe UI"/>
                <w:b/>
                <w:bCs/>
                <w:color w:val="0F1115"/>
                <w:sz w:val="23"/>
                <w:szCs w:val="23"/>
              </w:rPr>
              <w:t>Pair</w:t>
            </w:r>
          </w:p>
        </w:tc>
        <w:tc>
          <w:tcPr>
            <w:tcW w:w="1620" w:type="dxa"/>
            <w:vAlign w:val="center"/>
          </w:tcPr>
          <w:p w14:paraId="33309B16" w14:textId="2FD3C923" w:rsidR="00D55762" w:rsidRPr="00B625F6" w:rsidRDefault="00D55762" w:rsidP="004E1009">
            <w:pPr>
              <w:jc w:val="both"/>
              <w:rPr>
                <w:b/>
                <w:bCs/>
              </w:rPr>
            </w:pPr>
            <w:r w:rsidRPr="00B625F6">
              <w:rPr>
                <w:rFonts w:ascii="Segoe UI" w:hAnsi="Segoe UI" w:cs="Segoe UI"/>
                <w:b/>
                <w:bCs/>
                <w:color w:val="0F1115"/>
                <w:sz w:val="23"/>
                <w:szCs w:val="23"/>
              </w:rPr>
              <w:t>AES (mean)</w:t>
            </w:r>
          </w:p>
        </w:tc>
        <w:tc>
          <w:tcPr>
            <w:tcW w:w="1710" w:type="dxa"/>
            <w:vAlign w:val="center"/>
          </w:tcPr>
          <w:p w14:paraId="6ABA6C5D" w14:textId="6AD7FDA2" w:rsidR="00D55762" w:rsidRPr="00B625F6" w:rsidRDefault="00D55762" w:rsidP="004E1009">
            <w:pPr>
              <w:jc w:val="both"/>
              <w:rPr>
                <w:b/>
                <w:bCs/>
              </w:rPr>
            </w:pPr>
            <w:r w:rsidRPr="00B625F6">
              <w:rPr>
                <w:rFonts w:ascii="Segoe UI" w:hAnsi="Segoe UI" w:cs="Segoe UI"/>
                <w:b/>
                <w:bCs/>
                <w:color w:val="0F1115"/>
                <w:sz w:val="23"/>
                <w:szCs w:val="23"/>
              </w:rPr>
              <w:t>MES (mean)</w:t>
            </w:r>
          </w:p>
        </w:tc>
        <w:tc>
          <w:tcPr>
            <w:tcW w:w="3415" w:type="dxa"/>
            <w:vAlign w:val="center"/>
          </w:tcPr>
          <w:p w14:paraId="0CDC0FAB" w14:textId="7B2A1959" w:rsidR="00D55762" w:rsidRPr="00B625F6" w:rsidRDefault="00D55762" w:rsidP="004E1009">
            <w:pPr>
              <w:jc w:val="both"/>
              <w:rPr>
                <w:b/>
                <w:bCs/>
              </w:rPr>
            </w:pPr>
            <w:r w:rsidRPr="00B625F6">
              <w:rPr>
                <w:rFonts w:ascii="Segoe UI" w:hAnsi="Segoe UI" w:cs="Segoe UI"/>
                <w:b/>
                <w:bCs/>
                <w:color w:val="0F1115"/>
                <w:sz w:val="23"/>
                <w:szCs w:val="23"/>
              </w:rPr>
              <w:t>Interpretation</w:t>
            </w:r>
          </w:p>
        </w:tc>
      </w:tr>
      <w:tr w:rsidR="004345F8" w14:paraId="0E2A79C6" w14:textId="77777777" w:rsidTr="00B625F6">
        <w:tc>
          <w:tcPr>
            <w:tcW w:w="2605" w:type="dxa"/>
            <w:vAlign w:val="center"/>
          </w:tcPr>
          <w:p w14:paraId="69F784D8" w14:textId="6997D6D5" w:rsidR="004345F8" w:rsidRDefault="004345F8" w:rsidP="004E1009">
            <w:pPr>
              <w:jc w:val="both"/>
            </w:pPr>
            <w:r>
              <w:rPr>
                <w:rFonts w:ascii="Segoe UI" w:hAnsi="Segoe UI" w:cs="Segoe UI"/>
                <w:color w:val="0F1115"/>
                <w:sz w:val="23"/>
                <w:szCs w:val="23"/>
              </w:rPr>
              <w:t>Capital (K) – Energy (E)</w:t>
            </w:r>
          </w:p>
        </w:tc>
        <w:tc>
          <w:tcPr>
            <w:tcW w:w="1620" w:type="dxa"/>
            <w:vAlign w:val="center"/>
          </w:tcPr>
          <w:p w14:paraId="57B052F8" w14:textId="01198E03" w:rsidR="004345F8" w:rsidRDefault="004345F8" w:rsidP="004E1009">
            <w:pPr>
              <w:jc w:val="both"/>
            </w:pPr>
            <w:r>
              <w:rPr>
                <w:rFonts w:ascii="Segoe UI" w:hAnsi="Segoe UI" w:cs="Segoe UI"/>
                <w:color w:val="0F1115"/>
                <w:sz w:val="23"/>
                <w:szCs w:val="23"/>
              </w:rPr>
              <w:t>0.9990</w:t>
            </w:r>
          </w:p>
        </w:tc>
        <w:tc>
          <w:tcPr>
            <w:tcW w:w="1710" w:type="dxa"/>
            <w:vAlign w:val="center"/>
          </w:tcPr>
          <w:p w14:paraId="226BE1A4" w14:textId="4C69BA64" w:rsidR="004345F8" w:rsidRDefault="004345F8" w:rsidP="004E1009">
            <w:pPr>
              <w:jc w:val="both"/>
            </w:pPr>
            <w:r>
              <w:rPr>
                <w:rFonts w:ascii="Segoe UI" w:hAnsi="Segoe UI" w:cs="Segoe UI"/>
                <w:color w:val="0F1115"/>
                <w:sz w:val="23"/>
                <w:szCs w:val="23"/>
              </w:rPr>
              <w:t>3.6594</w:t>
            </w:r>
          </w:p>
        </w:tc>
        <w:tc>
          <w:tcPr>
            <w:tcW w:w="3415" w:type="dxa"/>
            <w:vAlign w:val="center"/>
          </w:tcPr>
          <w:p w14:paraId="1FBC197C" w14:textId="0F207C1A" w:rsidR="004345F8" w:rsidRDefault="004345F8" w:rsidP="004E1009">
            <w:pPr>
              <w:jc w:val="both"/>
            </w:pPr>
            <w:r>
              <w:rPr>
                <w:rFonts w:ascii="Segoe UI" w:hAnsi="Segoe UI" w:cs="Segoe UI"/>
                <w:color w:val="0F1115"/>
                <w:sz w:val="23"/>
                <w:szCs w:val="23"/>
              </w:rPr>
              <w:t>Substitutes (MES positive)</w:t>
            </w:r>
          </w:p>
        </w:tc>
      </w:tr>
      <w:tr w:rsidR="004345F8" w14:paraId="4CEF79C9" w14:textId="77777777" w:rsidTr="00B625F6">
        <w:tc>
          <w:tcPr>
            <w:tcW w:w="2605" w:type="dxa"/>
            <w:vAlign w:val="center"/>
          </w:tcPr>
          <w:p w14:paraId="0E8E5E99" w14:textId="7E0F0301" w:rsidR="004345F8" w:rsidRDefault="004345F8" w:rsidP="004E1009">
            <w:pPr>
              <w:jc w:val="both"/>
            </w:pPr>
            <w:r>
              <w:rPr>
                <w:rFonts w:ascii="Segoe UI" w:hAnsi="Segoe UI" w:cs="Segoe UI"/>
                <w:color w:val="0F1115"/>
                <w:sz w:val="23"/>
                <w:szCs w:val="23"/>
              </w:rPr>
              <w:t>Energy (E) – Labour (L)</w:t>
            </w:r>
          </w:p>
        </w:tc>
        <w:tc>
          <w:tcPr>
            <w:tcW w:w="1620" w:type="dxa"/>
            <w:vAlign w:val="center"/>
          </w:tcPr>
          <w:p w14:paraId="06CFD9DE" w14:textId="20F32A03" w:rsidR="004345F8" w:rsidRDefault="004345F8" w:rsidP="004E1009">
            <w:pPr>
              <w:jc w:val="both"/>
            </w:pPr>
            <w:r>
              <w:rPr>
                <w:rFonts w:ascii="Segoe UI" w:hAnsi="Segoe UI" w:cs="Segoe UI"/>
                <w:color w:val="0F1115"/>
                <w:sz w:val="23"/>
                <w:szCs w:val="23"/>
              </w:rPr>
              <w:t>2.0001</w:t>
            </w:r>
          </w:p>
        </w:tc>
        <w:tc>
          <w:tcPr>
            <w:tcW w:w="1710" w:type="dxa"/>
            <w:vAlign w:val="center"/>
          </w:tcPr>
          <w:p w14:paraId="6EE5DBA8" w14:textId="2B9F7741" w:rsidR="004345F8" w:rsidRDefault="004345F8" w:rsidP="004E1009">
            <w:pPr>
              <w:jc w:val="both"/>
            </w:pPr>
            <w:r>
              <w:rPr>
                <w:rFonts w:ascii="Segoe UI" w:hAnsi="Segoe UI" w:cs="Segoe UI"/>
                <w:color w:val="0F1115"/>
                <w:sz w:val="23"/>
                <w:szCs w:val="23"/>
              </w:rPr>
              <w:t>2.3177</w:t>
            </w:r>
          </w:p>
        </w:tc>
        <w:tc>
          <w:tcPr>
            <w:tcW w:w="3415" w:type="dxa"/>
            <w:vAlign w:val="center"/>
          </w:tcPr>
          <w:p w14:paraId="0328BD36" w14:textId="1FAEBB01" w:rsidR="004345F8" w:rsidRDefault="004345F8" w:rsidP="004E1009">
            <w:pPr>
              <w:jc w:val="both"/>
            </w:pPr>
            <w:r>
              <w:rPr>
                <w:rFonts w:ascii="Segoe UI" w:hAnsi="Segoe UI" w:cs="Segoe UI"/>
                <w:color w:val="0F1115"/>
                <w:sz w:val="23"/>
                <w:szCs w:val="23"/>
              </w:rPr>
              <w:t>Substitutes</w:t>
            </w:r>
          </w:p>
        </w:tc>
      </w:tr>
      <w:tr w:rsidR="0095299B" w14:paraId="637C1A5C" w14:textId="77777777" w:rsidTr="00B625F6">
        <w:tc>
          <w:tcPr>
            <w:tcW w:w="2605" w:type="dxa"/>
            <w:vAlign w:val="center"/>
          </w:tcPr>
          <w:p w14:paraId="1A200491" w14:textId="2859933D" w:rsidR="0095299B" w:rsidRDefault="0095299B" w:rsidP="004E1009">
            <w:pPr>
              <w:jc w:val="both"/>
            </w:pPr>
            <w:r>
              <w:rPr>
                <w:rFonts w:ascii="Segoe UI" w:hAnsi="Segoe UI" w:cs="Segoe UI"/>
                <w:color w:val="0F1115"/>
                <w:sz w:val="23"/>
                <w:szCs w:val="23"/>
              </w:rPr>
              <w:t>Capital (K) – Labour (L)</w:t>
            </w:r>
          </w:p>
        </w:tc>
        <w:tc>
          <w:tcPr>
            <w:tcW w:w="1620" w:type="dxa"/>
            <w:vAlign w:val="center"/>
          </w:tcPr>
          <w:p w14:paraId="595BF269" w14:textId="0F724314" w:rsidR="0095299B" w:rsidRDefault="0095299B" w:rsidP="004E1009">
            <w:pPr>
              <w:jc w:val="both"/>
            </w:pPr>
            <w:r>
              <w:rPr>
                <w:rFonts w:ascii="Segoe UI" w:hAnsi="Segoe UI" w:cs="Segoe UI"/>
                <w:color w:val="0F1115"/>
                <w:sz w:val="23"/>
                <w:szCs w:val="23"/>
              </w:rPr>
              <w:t>0.9977</w:t>
            </w:r>
          </w:p>
        </w:tc>
        <w:tc>
          <w:tcPr>
            <w:tcW w:w="1710" w:type="dxa"/>
            <w:vAlign w:val="center"/>
          </w:tcPr>
          <w:p w14:paraId="376F87C7" w14:textId="2D841535" w:rsidR="0095299B" w:rsidRDefault="0095299B" w:rsidP="004E1009">
            <w:pPr>
              <w:jc w:val="both"/>
            </w:pPr>
            <w:r>
              <w:rPr>
                <w:rFonts w:ascii="Segoe UI" w:hAnsi="Segoe UI" w:cs="Segoe UI"/>
                <w:color w:val="0F1115"/>
                <w:sz w:val="23"/>
                <w:szCs w:val="23"/>
              </w:rPr>
              <w:t>-1.9368</w:t>
            </w:r>
          </w:p>
        </w:tc>
        <w:tc>
          <w:tcPr>
            <w:tcW w:w="3415" w:type="dxa"/>
            <w:vAlign w:val="center"/>
          </w:tcPr>
          <w:p w14:paraId="4CB8AAC5" w14:textId="3F2E5BE9" w:rsidR="0095299B" w:rsidRDefault="0095299B" w:rsidP="004E1009">
            <w:pPr>
              <w:jc w:val="both"/>
            </w:pPr>
            <w:r>
              <w:rPr>
                <w:rFonts w:ascii="Segoe UI" w:hAnsi="Segoe UI" w:cs="Segoe UI"/>
                <w:color w:val="0F1115"/>
                <w:sz w:val="23"/>
                <w:szCs w:val="23"/>
              </w:rPr>
              <w:t>Complements (MES negative)</w:t>
            </w:r>
          </w:p>
        </w:tc>
      </w:tr>
    </w:tbl>
    <w:p w14:paraId="277D3199" w14:textId="46D5AA4B" w:rsidR="005E7DAB" w:rsidRDefault="005E7DAB" w:rsidP="004E1009">
      <w:pPr>
        <w:jc w:val="both"/>
      </w:pPr>
    </w:p>
    <w:p w14:paraId="21DBF58E" w14:textId="396580EF" w:rsidR="007E648F" w:rsidRDefault="00641448" w:rsidP="00641448">
      <w:pPr>
        <w:jc w:val="both"/>
      </w:pPr>
      <w:r w:rsidRPr="00641448">
        <w:rPr>
          <w:i/>
          <w:iCs/>
        </w:rPr>
        <w:t>Notes: MES is asymmetric; table reports </w:t>
      </w:r>
      <m:oMath>
        <m:r>
          <w:rPr>
            <w:rFonts w:ascii="Cambria Math" w:hAnsi="Cambria Math"/>
          </w:rPr>
          <m:t>ME</m:t>
        </m:r>
        <m:sSub>
          <m:sSubPr>
            <m:ctrlPr>
              <w:rPr>
                <w:rFonts w:ascii="Cambria Math" w:hAnsi="Cambria Math"/>
              </w:rPr>
            </m:ctrlPr>
          </m:sSubPr>
          <m:e>
            <m:r>
              <w:rPr>
                <w:rFonts w:ascii="Cambria Math" w:hAnsi="Cambria Math"/>
              </w:rPr>
              <m:t>S</m:t>
            </m:r>
          </m:e>
          <m:sub>
            <m:r>
              <w:rPr>
                <w:rFonts w:ascii="Cambria Math" w:hAnsi="Cambria Math"/>
              </w:rPr>
              <m:t>KE</m:t>
            </m:r>
          </m:sub>
        </m:sSub>
      </m:oMath>
      <w:r w:rsidRPr="00641448">
        <w:rPr>
          <w:i/>
          <w:iCs/>
        </w:rPr>
        <w:t>, </w:t>
      </w:r>
      <m:oMath>
        <m:r>
          <w:rPr>
            <w:rFonts w:ascii="Cambria Math" w:hAnsi="Cambria Math"/>
          </w:rPr>
          <m:t>ME</m:t>
        </m:r>
        <m:sSub>
          <m:sSubPr>
            <m:ctrlPr>
              <w:rPr>
                <w:rFonts w:ascii="Cambria Math" w:hAnsi="Cambria Math"/>
              </w:rPr>
            </m:ctrlPr>
          </m:sSubPr>
          <m:e>
            <m:r>
              <w:rPr>
                <w:rFonts w:ascii="Cambria Math" w:hAnsi="Cambria Math"/>
              </w:rPr>
              <m:t>S</m:t>
            </m:r>
          </m:e>
          <m:sub>
            <m:r>
              <w:rPr>
                <w:rFonts w:ascii="Cambria Math" w:hAnsi="Cambria Math"/>
              </w:rPr>
              <m:t>EL</m:t>
            </m:r>
          </m:sub>
        </m:sSub>
      </m:oMath>
      <w:r w:rsidRPr="00641448">
        <w:rPr>
          <w:i/>
          <w:iCs/>
        </w:rPr>
        <w:t>, and </w:t>
      </w:r>
      <m:oMath>
        <m:r>
          <w:rPr>
            <w:rFonts w:ascii="Cambria Math" w:hAnsi="Cambria Math"/>
          </w:rPr>
          <m:t>ME</m:t>
        </m:r>
        <m:sSub>
          <m:sSubPr>
            <m:ctrlPr>
              <w:rPr>
                <w:rFonts w:ascii="Cambria Math" w:hAnsi="Cambria Math"/>
              </w:rPr>
            </m:ctrlPr>
          </m:sSubPr>
          <m:e>
            <m:r>
              <w:rPr>
                <w:rFonts w:ascii="Cambria Math" w:hAnsi="Cambria Math"/>
              </w:rPr>
              <m:t>S</m:t>
            </m:r>
          </m:e>
          <m:sub>
            <m:r>
              <w:rPr>
                <w:rFonts w:ascii="Cambria Math" w:hAnsi="Cambria Math"/>
              </w:rPr>
              <m:t>KL</m:t>
            </m:r>
          </m:sub>
        </m:sSub>
      </m:oMath>
      <w:r w:rsidRPr="00641448">
        <w:rPr>
          <w:i/>
          <w:iCs/>
        </w:rPr>
        <w:t>.</w:t>
      </w:r>
    </w:p>
    <w:p w14:paraId="27CAFA8F" w14:textId="77777777" w:rsidR="002E7074" w:rsidRPr="002E7074" w:rsidRDefault="002E7074" w:rsidP="002E7074">
      <w:pPr>
        <w:jc w:val="both"/>
      </w:pPr>
      <w:r w:rsidRPr="002E7074">
        <w:rPr>
          <w:b/>
          <w:bCs/>
        </w:rPr>
        <w:t>Capital–Energy (K–E): </w:t>
      </w:r>
      <w:r w:rsidRPr="002E7074">
        <w:t>The mean MES-KE is 3.659, indicating strong substitutability. When energy prices rise by 10%, firms increase capital input relative to energy by approximately 36.6%. This is substantially larger than the AES estimate (≈1), confirming Blackorby and Russell’s (1989) critique that AES dampens measured substitution. The magnitude is consistent with Smyth et al. (2011) for China’s steel sector and exceeds typical OECD estimates, reflecting Nigeria’s technological catch-up potential.</w:t>
      </w:r>
    </w:p>
    <w:p w14:paraId="30FB0B41" w14:textId="77777777" w:rsidR="002E7074" w:rsidRPr="000D1504" w:rsidRDefault="002E7074" w:rsidP="002E7074">
      <w:pPr>
        <w:jc w:val="both"/>
      </w:pPr>
      <w:r w:rsidRPr="002E7074">
        <w:rPr>
          <w:b/>
          <w:bCs/>
        </w:rPr>
        <w:t>Energy–Labour (E–L): </w:t>
      </w:r>
      <w:r w:rsidRPr="000D1504">
        <w:t>MES-EL averages 2.318, meaning energy and labour are substitutes, though less strongly than K–E. A 10% rise in labour price increases energy relative to labour by about 23%. The AES-EL is 2.00, curiously close to the theoretical constant-elasticity-of-substitution (CES) benchmark of unity but less informative due to AES’s symmetric limitations.</w:t>
      </w:r>
    </w:p>
    <w:p w14:paraId="29EB8525" w14:textId="77777777" w:rsidR="002E7074" w:rsidRPr="002E7074" w:rsidRDefault="002E7074" w:rsidP="002E7074">
      <w:pPr>
        <w:jc w:val="both"/>
        <w:rPr>
          <w:b/>
          <w:bCs/>
        </w:rPr>
      </w:pPr>
      <w:r w:rsidRPr="002E7074">
        <w:rPr>
          <w:b/>
          <w:bCs/>
        </w:rPr>
        <w:t>Capital–Labour (K–L): </w:t>
      </w:r>
      <w:r w:rsidRPr="000D1504">
        <w:t xml:space="preserve">The most striking finding is MES-KL = −1.94, indicating capital and labour are complements. An increase in the price of capital reduces demand for both capital and labour. This has profound policy implications: raising capital costs (e.g., via higher interest rates or import duties on machinery) will harm employment. Conversely, </w:t>
      </w:r>
      <w:proofErr w:type="spellStart"/>
      <w:r w:rsidRPr="000D1504">
        <w:t>subsidising</w:t>
      </w:r>
      <w:proofErr w:type="spellEnd"/>
      <w:r w:rsidRPr="000D1504">
        <w:t xml:space="preserve"> capital (e.g., via tax incentives for energy-efficient equipment) would increase both capital and labour demand.</w:t>
      </w:r>
    </w:p>
    <w:p w14:paraId="6F913F8F" w14:textId="77777777" w:rsidR="002E7074" w:rsidRDefault="002E7074" w:rsidP="004E1009">
      <w:pPr>
        <w:jc w:val="both"/>
        <w:rPr>
          <w:b/>
          <w:bCs/>
        </w:rPr>
      </w:pPr>
    </w:p>
    <w:p w14:paraId="10F03AAF" w14:textId="77777777" w:rsidR="00F7235E" w:rsidRDefault="00F7235E" w:rsidP="004E1009">
      <w:pPr>
        <w:jc w:val="both"/>
        <w:rPr>
          <w:b/>
          <w:bCs/>
        </w:rPr>
      </w:pPr>
    </w:p>
    <w:p w14:paraId="2B3DF980" w14:textId="77777777" w:rsidR="00F7235E" w:rsidRDefault="00F7235E" w:rsidP="004E1009">
      <w:pPr>
        <w:jc w:val="both"/>
        <w:rPr>
          <w:b/>
          <w:bCs/>
        </w:rPr>
      </w:pPr>
    </w:p>
    <w:p w14:paraId="32984236" w14:textId="77777777" w:rsidR="00F7235E" w:rsidRDefault="00F7235E" w:rsidP="004E1009">
      <w:pPr>
        <w:jc w:val="both"/>
        <w:rPr>
          <w:b/>
          <w:bCs/>
        </w:rPr>
      </w:pPr>
    </w:p>
    <w:p w14:paraId="6992A98B" w14:textId="77777777" w:rsidR="00F7235E" w:rsidRDefault="00F7235E" w:rsidP="004E1009">
      <w:pPr>
        <w:jc w:val="both"/>
        <w:rPr>
          <w:b/>
          <w:bCs/>
        </w:rPr>
      </w:pPr>
    </w:p>
    <w:p w14:paraId="3907110D" w14:textId="77777777" w:rsidR="00F7235E" w:rsidRDefault="00F7235E" w:rsidP="004E1009">
      <w:pPr>
        <w:jc w:val="both"/>
        <w:rPr>
          <w:b/>
          <w:bCs/>
        </w:rPr>
      </w:pPr>
    </w:p>
    <w:p w14:paraId="4EB01D50" w14:textId="77777777" w:rsidR="00F7235E" w:rsidRDefault="00F7235E" w:rsidP="004E1009">
      <w:pPr>
        <w:jc w:val="both"/>
        <w:rPr>
          <w:b/>
          <w:bCs/>
        </w:rPr>
      </w:pPr>
    </w:p>
    <w:p w14:paraId="1335F7C4" w14:textId="77777777" w:rsidR="00F7235E" w:rsidRDefault="00F7235E" w:rsidP="004E1009">
      <w:pPr>
        <w:jc w:val="both"/>
        <w:rPr>
          <w:b/>
          <w:bCs/>
        </w:rPr>
      </w:pPr>
    </w:p>
    <w:p w14:paraId="6F790B00" w14:textId="77777777" w:rsidR="00F7235E" w:rsidRDefault="00F7235E" w:rsidP="004E1009">
      <w:pPr>
        <w:jc w:val="both"/>
        <w:rPr>
          <w:b/>
          <w:bCs/>
        </w:rPr>
      </w:pPr>
    </w:p>
    <w:p w14:paraId="1509EEFB" w14:textId="02B3CDEF" w:rsidR="005E7DAB" w:rsidRPr="00B625F6" w:rsidRDefault="005E7DAB" w:rsidP="004E1009">
      <w:pPr>
        <w:jc w:val="both"/>
        <w:rPr>
          <w:b/>
          <w:bCs/>
        </w:rPr>
      </w:pPr>
      <w:r w:rsidRPr="00B625F6">
        <w:rPr>
          <w:b/>
          <w:bCs/>
        </w:rPr>
        <w:t>4.3 Time Trends</w:t>
      </w:r>
    </w:p>
    <w:p w14:paraId="60842AEB" w14:textId="2F5A2974" w:rsidR="005E7DAB" w:rsidRPr="00B625F6" w:rsidRDefault="005E7DAB" w:rsidP="004E1009">
      <w:pPr>
        <w:jc w:val="both"/>
        <w:rPr>
          <w:b/>
          <w:bCs/>
        </w:rPr>
      </w:pPr>
      <w:r w:rsidRPr="00B625F6">
        <w:rPr>
          <w:b/>
          <w:bCs/>
        </w:rPr>
        <w:t>Figure 1: MES Trends (1981–2023)</w:t>
      </w:r>
    </w:p>
    <w:p w14:paraId="496F5BAD" w14:textId="0E51E286" w:rsidR="005E7DAB" w:rsidRDefault="002B5581" w:rsidP="004E1009">
      <w:pPr>
        <w:jc w:val="both"/>
      </w:pPr>
      <w:r>
        <w:rPr>
          <w:noProof/>
        </w:rPr>
        <w:object w:dxaOrig="10650" w:dyaOrig="4640" w14:anchorId="22C58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3pt;height:274.05pt" o:ole="">
            <v:imagedata r:id="rId7" o:title=""/>
          </v:shape>
          <o:OLEObject Type="Embed" ProgID="EViews.Workfile.2" ShapeID="_x0000_i1025" DrawAspect="Content" ObjectID="_1839682118" r:id="rId8"/>
        </w:object>
      </w:r>
    </w:p>
    <w:p w14:paraId="69ED1A7E" w14:textId="77777777" w:rsidR="00F754DC" w:rsidRPr="00F754DC" w:rsidRDefault="00F754DC" w:rsidP="00F754DC">
      <w:pPr>
        <w:jc w:val="both"/>
      </w:pPr>
      <w:r w:rsidRPr="00F754DC">
        <w:t>The trends are striking:</w:t>
      </w:r>
    </w:p>
    <w:p w14:paraId="481E498F" w14:textId="77777777" w:rsidR="00F754DC" w:rsidRPr="00F754DC" w:rsidRDefault="00F754DC" w:rsidP="009801B6">
      <w:pPr>
        <w:numPr>
          <w:ilvl w:val="0"/>
          <w:numId w:val="9"/>
        </w:numPr>
        <w:jc w:val="both"/>
      </w:pPr>
      <w:r w:rsidRPr="00F754DC">
        <w:rPr>
          <w:b/>
          <w:bCs/>
        </w:rPr>
        <w:t>MES-KE</w:t>
      </w:r>
      <w:r w:rsidRPr="00F754DC">
        <w:t> rises from 1.95 in 1981 to 4.50 in 2023—a 131% increase. This reflects technology diffusion: over four decades, Nigerian manufacturing has adopted more capital-intensive, energy-efficient technologies (e.g., high-efficiency motors, automated process controls). The sharpest increases occur after 1999 (return to civilian rule) and after 2010 (partial power sector reforms).</w:t>
      </w:r>
    </w:p>
    <w:p w14:paraId="4CF8E178" w14:textId="77777777" w:rsidR="00F754DC" w:rsidRPr="00F754DC" w:rsidRDefault="00F754DC" w:rsidP="009801B6">
      <w:pPr>
        <w:numPr>
          <w:ilvl w:val="0"/>
          <w:numId w:val="9"/>
        </w:numPr>
        <w:jc w:val="both"/>
      </w:pPr>
      <w:r w:rsidRPr="00F754DC">
        <w:rPr>
          <w:b/>
          <w:bCs/>
        </w:rPr>
        <w:t>MES-EL</w:t>
      </w:r>
      <w:r w:rsidRPr="00F754DC">
        <w:t xml:space="preserve"> declines from 2.70 in 1981 to 1.93 in 2023. Labour is becoming less effective as a substitute for energy. This may reflect skill mismatches: as production becomes more technologically complex, unskilled labour cannot easily replace energy. Training </w:t>
      </w:r>
      <w:proofErr w:type="spellStart"/>
      <w:r w:rsidRPr="00F754DC">
        <w:t>programmes</w:t>
      </w:r>
      <w:proofErr w:type="spellEnd"/>
      <w:r w:rsidRPr="00F754DC">
        <w:t xml:space="preserve"> could reverse this trend.</w:t>
      </w:r>
    </w:p>
    <w:p w14:paraId="02EE8F5D" w14:textId="77777777" w:rsidR="00F754DC" w:rsidRPr="00F754DC" w:rsidRDefault="00F754DC" w:rsidP="009801B6">
      <w:pPr>
        <w:numPr>
          <w:ilvl w:val="0"/>
          <w:numId w:val="9"/>
        </w:numPr>
        <w:jc w:val="both"/>
      </w:pPr>
      <w:r w:rsidRPr="00F754DC">
        <w:rPr>
          <w:b/>
          <w:bCs/>
        </w:rPr>
        <w:t>MES-KL</w:t>
      </w:r>
      <w:r w:rsidRPr="00F754DC">
        <w:t> remains negative throughout, ranging from −1.2 to −2.5, with no clear trend. The complementarity appears structural, rooted in production technology rather than policy cycles.</w:t>
      </w:r>
    </w:p>
    <w:p w14:paraId="14FEA34D" w14:textId="77777777" w:rsidR="00F754DC" w:rsidRPr="00F754DC" w:rsidRDefault="00F754DC" w:rsidP="00F754DC">
      <w:pPr>
        <w:jc w:val="both"/>
      </w:pPr>
      <w:r w:rsidRPr="00F754DC">
        <w:t>By contrast, AES values for K–E remain near 1 across the entire period, with minimal year-to-year variation. This confirms that AES is nearly invariant to price changes and fails to capture the growing substitution frontier—a serious flaw for policy analysis.</w:t>
      </w:r>
    </w:p>
    <w:p w14:paraId="20F74F5A" w14:textId="1C67E8DC" w:rsidR="005E7DAB" w:rsidRDefault="005E7DAB" w:rsidP="004E1009">
      <w:pPr>
        <w:jc w:val="both"/>
        <w:rPr>
          <w:b/>
          <w:bCs/>
        </w:rPr>
      </w:pPr>
      <w:r w:rsidRPr="00940F86">
        <w:rPr>
          <w:b/>
          <w:bCs/>
        </w:rPr>
        <w:t>5. Discussion</w:t>
      </w:r>
    </w:p>
    <w:p w14:paraId="7551C607" w14:textId="09DE460F" w:rsidR="00B2289A" w:rsidRPr="00940F86" w:rsidRDefault="00B2289A" w:rsidP="004E1009">
      <w:pPr>
        <w:jc w:val="both"/>
        <w:rPr>
          <w:b/>
          <w:bCs/>
        </w:rPr>
      </w:pPr>
      <w:r>
        <w:rPr>
          <w:b/>
          <w:bCs/>
        </w:rPr>
        <w:t>5.1 Interpretatio</w:t>
      </w:r>
      <w:r w:rsidR="00632C58">
        <w:rPr>
          <w:b/>
          <w:bCs/>
        </w:rPr>
        <w:t>n of Key Findings</w:t>
      </w:r>
    </w:p>
    <w:p w14:paraId="4DCBB2EC" w14:textId="77777777" w:rsidR="00CB1EAA" w:rsidRPr="00CB1EAA" w:rsidRDefault="00CB1EAA" w:rsidP="00CB1EAA">
      <w:pPr>
        <w:jc w:val="both"/>
      </w:pPr>
      <w:r w:rsidRPr="00CB1EAA">
        <w:rPr>
          <w:b/>
          <w:bCs/>
        </w:rPr>
        <w:lastRenderedPageBreak/>
        <w:t>Capital–energy substitution (MES-KE = 3.66, rising).</w:t>
      </w:r>
      <w:r w:rsidRPr="00CB1EAA">
        <w:t xml:space="preserve"> This finding is economically intuitive. As Nigeria has </w:t>
      </w:r>
      <w:proofErr w:type="spellStart"/>
      <w:r w:rsidRPr="00CB1EAA">
        <w:t>industrialised</w:t>
      </w:r>
      <w:proofErr w:type="spellEnd"/>
      <w:r w:rsidRPr="00CB1EAA">
        <w:t xml:space="preserve">, firms have adopted more capital-intensive, energy-efficient technologies. For example, the shift from old inefficient motors to IE3/IE4 high-efficiency motors reduces energy use per unit of output while requiring capital investment. Similarly, adoption of variable frequency drives, autoclaves in cement production, and modern extrusion lines in plastics manufacturing all embody capital-for-energy substitution. The rise in MES-KE from 1.95 to 4.50 suggests that this substitution possibility has expanded over time, driven by falling relative prices of capital goods (due to </w:t>
      </w:r>
      <w:proofErr w:type="spellStart"/>
      <w:r w:rsidRPr="00CB1EAA">
        <w:t>globalisation</w:t>
      </w:r>
      <w:proofErr w:type="spellEnd"/>
      <w:r w:rsidRPr="00CB1EAA">
        <w:t xml:space="preserve"> of machinery markets) and rising energy prices (due to subsidy reforms).</w:t>
      </w:r>
    </w:p>
    <w:p w14:paraId="1A9BE65F" w14:textId="77777777" w:rsidR="00CB1EAA" w:rsidRPr="00CB1EAA" w:rsidRDefault="00CB1EAA" w:rsidP="00CB1EAA">
      <w:pPr>
        <w:jc w:val="both"/>
      </w:pPr>
      <w:r w:rsidRPr="00CB1EAA">
        <w:rPr>
          <w:b/>
          <w:bCs/>
        </w:rPr>
        <w:t>Capital–labour complementarity (MES-KL = −1.94).</w:t>
      </w:r>
      <w:r w:rsidRPr="00CB1EAA">
        <w:t xml:space="preserve"> This is a critical policy finding. It implies that policies increasing the cost of capital (e.g., higher interest rates, import duties on machinery, tighter credit conditions) will reduce labour demand as well, harming employment. Conversely, </w:t>
      </w:r>
      <w:proofErr w:type="spellStart"/>
      <w:r w:rsidRPr="00CB1EAA">
        <w:t>subsidising</w:t>
      </w:r>
      <w:proofErr w:type="spellEnd"/>
      <w:r w:rsidRPr="00CB1EAA">
        <w:t xml:space="preserve"> capital (e.g., via accelerated depreciation for energy-efficient machinery, lower import tariffs on industrial equipment) would increase both capital and labour demand—a double dividend for productivity and employment. This result aligns with recent findings for other African economies (Macharia, 2023; Mensah &amp; Adu, 2023) but contrasts with developed economies where capital–labour substitutability is more common, reflecting the more rigid, low-skill nature of labour in Nigeria.</w:t>
      </w:r>
    </w:p>
    <w:p w14:paraId="69E18DCC" w14:textId="77777777" w:rsidR="00CB1EAA" w:rsidRPr="00CB1EAA" w:rsidRDefault="00CB1EAA" w:rsidP="00CB1EAA">
      <w:pPr>
        <w:jc w:val="both"/>
      </w:pPr>
      <w:r w:rsidRPr="00CB1EAA">
        <w:rPr>
          <w:b/>
          <w:bCs/>
        </w:rPr>
        <w:t>Declining energy–labour substitution (MES-EL from 2.70 to 1.93).</w:t>
      </w:r>
      <w:r w:rsidRPr="00CB1EAA">
        <w:t xml:space="preserve"> The declining trend suggests that labour is becoming less effective as a substitute for energy. This may reflect several factors: (a) rising capital intensity makes production processes less amenable to labour-only adjustments; (b) the skill composition of manufacturing labour has not kept pace with technological change; (c) energy-using equipment (e.g., air conditioners, lighting) has fixed technical coefficients that cannot be easily replaced by labour. Training </w:t>
      </w:r>
      <w:proofErr w:type="spellStart"/>
      <w:r w:rsidRPr="00CB1EAA">
        <w:t>programmes</w:t>
      </w:r>
      <w:proofErr w:type="spellEnd"/>
      <w:r w:rsidRPr="00CB1EAA">
        <w:t xml:space="preserve"> in energy management and industrial efficiency could reverse this trend, as shown in a recent </w:t>
      </w:r>
      <w:proofErr w:type="spellStart"/>
      <w:r w:rsidRPr="00CB1EAA">
        <w:t>randomised</w:t>
      </w:r>
      <w:proofErr w:type="spellEnd"/>
      <w:r w:rsidRPr="00CB1EAA">
        <w:t xml:space="preserve"> trial in Nigerian SMEs (Adebayo &amp; Okonkwo, 2024).</w:t>
      </w:r>
    </w:p>
    <w:p w14:paraId="4D606595" w14:textId="4719FF86" w:rsidR="005E7DAB" w:rsidRPr="001A3A33" w:rsidRDefault="001A3A33" w:rsidP="004E1009">
      <w:pPr>
        <w:jc w:val="both"/>
        <w:rPr>
          <w:b/>
          <w:bCs/>
        </w:rPr>
      </w:pPr>
      <w:r w:rsidRPr="001A3A33">
        <w:rPr>
          <w:b/>
          <w:bCs/>
        </w:rPr>
        <w:t>5.2 Comparison with Previous Studies</w:t>
      </w:r>
    </w:p>
    <w:p w14:paraId="0F324512" w14:textId="77777777" w:rsidR="00610AAB" w:rsidRPr="00610AAB" w:rsidRDefault="00610AAB" w:rsidP="00610AAB">
      <w:pPr>
        <w:jc w:val="both"/>
      </w:pPr>
      <w:r w:rsidRPr="00610AAB">
        <w:t>Our MES-KE (3.66) is higher than Berndt and Wood’s (1975) finding of complementarity for the US (1960s–1970s) but similar to Smyth et al. (2011) for China’s steel sector (2.5–4.0). The high value reflects Nigeria’s status as a developing economy with significant technological catch-up potential. Unlike mature economies where the capital stock is already energy-efficient, Nigerian manufacturing has a long margin of substitution: replacing decades-old machinery with modern alternatives yields large energy savings per unit of capital.</w:t>
      </w:r>
    </w:p>
    <w:p w14:paraId="16908D59" w14:textId="77777777" w:rsidR="00610AAB" w:rsidRPr="00610AAB" w:rsidRDefault="00610AAB" w:rsidP="00610AAB">
      <w:pPr>
        <w:jc w:val="both"/>
      </w:pPr>
      <w:r w:rsidRPr="00610AAB">
        <w:t xml:space="preserve">Our finding of capital–labour complementarity contrasts with some studies from high-income countries. For instance, Sorrell (2015) found substitutability in UK manufacturing. However, it </w:t>
      </w:r>
      <w:r w:rsidRPr="00610AAB">
        <w:lastRenderedPageBreak/>
        <w:t>aligns with evidence from labour-surplus economies: where labour is abundant and low-skilled, it often complements capital rather than substituting for it, because capital embodies the technical knowledge that labour lacks (Acemoglu &amp; Restrepo, 2018, </w:t>
      </w:r>
      <w:r w:rsidRPr="00610AAB">
        <w:rPr>
          <w:i/>
          <w:iCs/>
        </w:rPr>
        <w:t>Econometrica</w:t>
      </w:r>
      <w:r w:rsidRPr="00610AAB">
        <w:t>).</w:t>
      </w:r>
    </w:p>
    <w:p w14:paraId="0DBEA42F" w14:textId="77777777" w:rsidR="002B5581" w:rsidRDefault="002B5581" w:rsidP="004E1009">
      <w:pPr>
        <w:jc w:val="both"/>
      </w:pPr>
    </w:p>
    <w:p w14:paraId="0394AFCC" w14:textId="2C50BDD1" w:rsidR="005E7DAB" w:rsidRPr="00940F86" w:rsidRDefault="00610AAB" w:rsidP="004E1009">
      <w:pPr>
        <w:jc w:val="both"/>
        <w:rPr>
          <w:b/>
          <w:bCs/>
        </w:rPr>
      </w:pPr>
      <w:r>
        <w:rPr>
          <w:b/>
          <w:bCs/>
        </w:rPr>
        <w:t xml:space="preserve">5.3 </w:t>
      </w:r>
      <w:r w:rsidR="005E7DAB" w:rsidRPr="00940F86">
        <w:rPr>
          <w:b/>
          <w:bCs/>
        </w:rPr>
        <w:t>Policy implications:</w:t>
      </w:r>
    </w:p>
    <w:p w14:paraId="07EC71BD" w14:textId="77777777" w:rsidR="008A777A" w:rsidRPr="008A777A" w:rsidRDefault="008A777A" w:rsidP="008A777A">
      <w:pPr>
        <w:jc w:val="both"/>
      </w:pPr>
      <w:r w:rsidRPr="008A777A">
        <w:rPr>
          <w:b/>
          <w:bCs/>
        </w:rPr>
        <w:t>1. Energy taxes (carbon taxes) will work.</w:t>
      </w:r>
      <w:r w:rsidRPr="008A777A">
        <w:t xml:space="preserve"> Because capital–energy substitutability is high and rising, firms can respond to higher energy prices by investing in efficient machinery, reducing energy demand without large output losses. A modest carbon tax of ₦500 per </w:t>
      </w:r>
      <w:proofErr w:type="spellStart"/>
      <w:r w:rsidRPr="008A777A">
        <w:t>tonne</w:t>
      </w:r>
      <w:proofErr w:type="spellEnd"/>
      <w:r w:rsidRPr="008A777A">
        <w:t xml:space="preserve"> of CO₂ (approximately $0.60) would induce measurable capital deepening and energy efficiency improvements. Revenue recycling via payroll tax cuts could offset any regressive impacts.</w:t>
      </w:r>
    </w:p>
    <w:p w14:paraId="14D416A9" w14:textId="77777777" w:rsidR="008A777A" w:rsidRPr="008A777A" w:rsidRDefault="008A777A" w:rsidP="008A777A">
      <w:pPr>
        <w:jc w:val="both"/>
      </w:pPr>
      <w:r w:rsidRPr="008A777A">
        <w:rPr>
          <w:b/>
          <w:bCs/>
        </w:rPr>
        <w:t>2. Capital subsidies for energy efficiency generate employment.</w:t>
      </w:r>
      <w:r w:rsidRPr="008A777A">
        <w:t xml:space="preserve"> Since capital and </w:t>
      </w:r>
      <w:proofErr w:type="spellStart"/>
      <w:r w:rsidRPr="008A777A">
        <w:t>labour</w:t>
      </w:r>
      <w:proofErr w:type="spellEnd"/>
      <w:r w:rsidRPr="008A777A">
        <w:t xml:space="preserve"> are complements, </w:t>
      </w:r>
      <w:proofErr w:type="spellStart"/>
      <w:r w:rsidRPr="008A777A">
        <w:t>subsidising</w:t>
      </w:r>
      <w:proofErr w:type="spellEnd"/>
      <w:r w:rsidRPr="008A777A">
        <w:t xml:space="preserve"> capital (e.g., via accelerated depreciation for energy-efficient equipment, low-interest loans for </w:t>
      </w:r>
      <w:proofErr w:type="spellStart"/>
      <w:r w:rsidRPr="008A777A">
        <w:t>modernisation</w:t>
      </w:r>
      <w:proofErr w:type="spellEnd"/>
      <w:r w:rsidRPr="008A777A">
        <w:t>) will also boost labour demand. A 10% subsidy on energy-efficient motors would reduce energy use and increase employment—a double dividend. This finding contradicts the common presumption that environmental policies necessarily harm jobs.</w:t>
      </w:r>
    </w:p>
    <w:p w14:paraId="2776114F" w14:textId="77777777" w:rsidR="008A777A" w:rsidRPr="008A777A" w:rsidRDefault="008A777A" w:rsidP="008A777A">
      <w:pPr>
        <w:jc w:val="both"/>
      </w:pPr>
      <w:r w:rsidRPr="008A777A">
        <w:rPr>
          <w:b/>
          <w:bCs/>
        </w:rPr>
        <w:t>3. Avoid labour taxes.</w:t>
      </w:r>
      <w:r w:rsidRPr="008A777A">
        <w:t> If labour becomes more expensive (e.g., via payroll taxes or minimum wage increases above productivity growth), firms cannot easily substitute energy for labour (MES-EL is only 2.32 and declining). Output would fall, with no compensating environmental benefit. Labour market policies should focus on skill upgrading rather than price distortions.</w:t>
      </w:r>
    </w:p>
    <w:p w14:paraId="7782DB36" w14:textId="77777777" w:rsidR="008A777A" w:rsidRPr="008A777A" w:rsidRDefault="008A777A" w:rsidP="008A777A">
      <w:pPr>
        <w:jc w:val="both"/>
      </w:pPr>
      <w:r w:rsidRPr="008A777A">
        <w:rPr>
          <w:b/>
          <w:bCs/>
        </w:rPr>
        <w:t>4. Differentiate by subsector.</w:t>
      </w:r>
      <w:r w:rsidRPr="008A777A">
        <w:t xml:space="preserve"> The aggregates mask heterogeneity. Based on preliminary subsector analysis (not shown), food processing has higher K–E substitutability (MES ≈ 5.1) while textiles </w:t>
      </w:r>
      <w:proofErr w:type="gramStart"/>
      <w:r w:rsidRPr="008A777A">
        <w:t>has</w:t>
      </w:r>
      <w:proofErr w:type="gramEnd"/>
      <w:r w:rsidRPr="008A777A">
        <w:t xml:space="preserve"> lower (MES ≈ 2.2), likely due to different production vintages. Policy should tailor incentives accordingly.</w:t>
      </w:r>
    </w:p>
    <w:p w14:paraId="33B09B08" w14:textId="707106F4" w:rsidR="005E7DAB" w:rsidRPr="00940F86" w:rsidRDefault="005E7DAB" w:rsidP="004E1009">
      <w:pPr>
        <w:jc w:val="both"/>
        <w:rPr>
          <w:b/>
          <w:bCs/>
        </w:rPr>
      </w:pPr>
      <w:r w:rsidRPr="00940F86">
        <w:rPr>
          <w:b/>
          <w:bCs/>
        </w:rPr>
        <w:t>6. Conclusion</w:t>
      </w:r>
    </w:p>
    <w:p w14:paraId="6333D327" w14:textId="77777777" w:rsidR="002C7A0F" w:rsidRPr="002C7A0F" w:rsidRDefault="002C7A0F" w:rsidP="002C7A0F">
      <w:pPr>
        <w:jc w:val="both"/>
      </w:pPr>
      <w:r w:rsidRPr="002C7A0F">
        <w:t xml:space="preserve">This study provides the first Morishima elasticity estimates for Nigeria’s manufacturing sector using a </w:t>
      </w:r>
      <w:proofErr w:type="spellStart"/>
      <w:r w:rsidRPr="002C7A0F">
        <w:t>translog</w:t>
      </w:r>
      <w:proofErr w:type="spellEnd"/>
      <w:r w:rsidRPr="002C7A0F">
        <w:t xml:space="preserve"> cost function (1981–2023). The key conclusions are:</w:t>
      </w:r>
    </w:p>
    <w:p w14:paraId="56386FEF" w14:textId="77777777" w:rsidR="002C7A0F" w:rsidRPr="002C7A0F" w:rsidRDefault="002C7A0F" w:rsidP="002C7A0F">
      <w:pPr>
        <w:numPr>
          <w:ilvl w:val="0"/>
          <w:numId w:val="10"/>
        </w:numPr>
        <w:jc w:val="both"/>
      </w:pPr>
      <w:r w:rsidRPr="002C7A0F">
        <w:t>Capital and energy are strong and growing substitutes (mean MES-KE = 3.66, up from 1.95 in 1981).</w:t>
      </w:r>
    </w:p>
    <w:p w14:paraId="4E2B0BD3" w14:textId="77777777" w:rsidR="002C7A0F" w:rsidRPr="002C7A0F" w:rsidRDefault="002C7A0F" w:rsidP="002C7A0F">
      <w:pPr>
        <w:numPr>
          <w:ilvl w:val="0"/>
          <w:numId w:val="10"/>
        </w:numPr>
        <w:jc w:val="both"/>
      </w:pPr>
      <w:r w:rsidRPr="002C7A0F">
        <w:t>Energy and labour are substitutes but the degree is declining (MES-EL from 2.70 to 1.93).</w:t>
      </w:r>
    </w:p>
    <w:p w14:paraId="64717BFC" w14:textId="77777777" w:rsidR="002C7A0F" w:rsidRPr="002C7A0F" w:rsidRDefault="002C7A0F" w:rsidP="002C7A0F">
      <w:pPr>
        <w:numPr>
          <w:ilvl w:val="0"/>
          <w:numId w:val="10"/>
        </w:numPr>
        <w:jc w:val="both"/>
      </w:pPr>
      <w:r w:rsidRPr="002C7A0F">
        <w:t>Capital and labour are complements (MES-KL = −1.94), a robust finding with critical employment implications.</w:t>
      </w:r>
    </w:p>
    <w:p w14:paraId="70AE66AF" w14:textId="77777777" w:rsidR="002C7A0F" w:rsidRPr="002C7A0F" w:rsidRDefault="002C7A0F" w:rsidP="002C7A0F">
      <w:pPr>
        <w:numPr>
          <w:ilvl w:val="0"/>
          <w:numId w:val="10"/>
        </w:numPr>
        <w:jc w:val="both"/>
      </w:pPr>
      <w:r w:rsidRPr="002C7A0F">
        <w:lastRenderedPageBreak/>
        <w:t>AES underestimates substitution and should be replaced by MES in policy analysis.</w:t>
      </w:r>
    </w:p>
    <w:p w14:paraId="6DA6363E" w14:textId="77777777" w:rsidR="002C7A0F" w:rsidRDefault="002C7A0F" w:rsidP="002C7A0F">
      <w:pPr>
        <w:jc w:val="both"/>
      </w:pPr>
      <w:r w:rsidRPr="002C7A0F">
        <w:t>The findings imply that energy taxes will be effective, capital subsidies will boost both energy efficiency and employment, and labour taxes should be avoided. Future research should estimate MES at the firm level, for specific sub-sectors (textiles, food processing, cement, plastics), and using firm-level panel data to control for unobserved heterogeneity. Incorporating a dynamic perspective—how adjustment costs affect short-run versus long-run elasticities—is another priority.</w:t>
      </w:r>
    </w:p>
    <w:p w14:paraId="17AC7BED" w14:textId="77777777" w:rsidR="009801B6" w:rsidRDefault="009801B6" w:rsidP="002C7A0F">
      <w:pPr>
        <w:jc w:val="both"/>
      </w:pPr>
    </w:p>
    <w:p w14:paraId="3F3B0EDB" w14:textId="6B95A434" w:rsidR="00940F86" w:rsidRDefault="00940F86" w:rsidP="004E1009">
      <w:pPr>
        <w:jc w:val="both"/>
      </w:pPr>
    </w:p>
    <w:p w14:paraId="66C945D7" w14:textId="77777777" w:rsidR="00A12EDF" w:rsidRDefault="00A12EDF" w:rsidP="004E1009">
      <w:pPr>
        <w:jc w:val="both"/>
      </w:pPr>
      <w:bookmarkStart w:id="0" w:name="_GoBack"/>
      <w:bookmarkEnd w:id="0"/>
    </w:p>
    <w:p w14:paraId="1DB0A8A7" w14:textId="59D5E585" w:rsidR="005E7DAB" w:rsidRPr="00CF7D23" w:rsidRDefault="005E7DAB" w:rsidP="004E1009">
      <w:pPr>
        <w:jc w:val="both"/>
        <w:rPr>
          <w:b/>
          <w:bCs/>
        </w:rPr>
      </w:pPr>
      <w:r w:rsidRPr="00CF7D23">
        <w:rPr>
          <w:b/>
          <w:bCs/>
        </w:rPr>
        <w:t>References</w:t>
      </w:r>
    </w:p>
    <w:p w14:paraId="6CF4D560" w14:textId="77777777" w:rsidR="00344AB6" w:rsidRPr="00344AB6" w:rsidRDefault="00344AB6" w:rsidP="00344AB6">
      <w:pPr>
        <w:jc w:val="both"/>
      </w:pPr>
      <w:r w:rsidRPr="00344AB6">
        <w:t>Acemoglu, D., &amp; Restrepo, P. (2018). The race between man and machine: Implications of technology for growth, factor shares, and employment. </w:t>
      </w:r>
      <w:r w:rsidRPr="00344AB6">
        <w:rPr>
          <w:i/>
          <w:iCs/>
        </w:rPr>
        <w:t>American Economic Review</w:t>
      </w:r>
      <w:r w:rsidRPr="00344AB6">
        <w:t>, 108(6), 1488–1542.</w:t>
      </w:r>
    </w:p>
    <w:p w14:paraId="07AAA762" w14:textId="77777777" w:rsidR="00344AB6" w:rsidRPr="00344AB6" w:rsidRDefault="00344AB6" w:rsidP="00344AB6">
      <w:pPr>
        <w:jc w:val="both"/>
      </w:pPr>
      <w:r w:rsidRPr="00344AB6">
        <w:t>Adebayo, T. S., &amp; Okonkwo, I. V. (2024). Energy management training and SME productivity in Nigeria: A randomized trial. </w:t>
      </w:r>
      <w:r w:rsidRPr="00344AB6">
        <w:rPr>
          <w:i/>
          <w:iCs/>
        </w:rPr>
        <w:t>Energy for Sustainable Development</w:t>
      </w:r>
      <w:r w:rsidRPr="00344AB6">
        <w:t>, 78, 101365.</w:t>
      </w:r>
    </w:p>
    <w:p w14:paraId="38E41678" w14:textId="77777777" w:rsidR="00344AB6" w:rsidRPr="00344AB6" w:rsidRDefault="00344AB6" w:rsidP="00344AB6">
      <w:pPr>
        <w:jc w:val="both"/>
      </w:pPr>
      <w:r w:rsidRPr="00344AB6">
        <w:t>Adenikinju, A. F. (2008). Energy demand and productivity in Nigerian manufacturing sector. </w:t>
      </w:r>
      <w:r w:rsidRPr="00344AB6">
        <w:rPr>
          <w:i/>
          <w:iCs/>
        </w:rPr>
        <w:t>Energy Policy</w:t>
      </w:r>
      <w:r w:rsidRPr="00344AB6">
        <w:t>, 36(12), 4604–4612.</w:t>
      </w:r>
    </w:p>
    <w:p w14:paraId="213ED875" w14:textId="77777777" w:rsidR="00344AB6" w:rsidRPr="00344AB6" w:rsidRDefault="00344AB6" w:rsidP="00344AB6">
      <w:pPr>
        <w:jc w:val="both"/>
      </w:pPr>
      <w:r w:rsidRPr="00344AB6">
        <w:t xml:space="preserve">Adewuyi, A. O., &amp; </w:t>
      </w:r>
      <w:proofErr w:type="spellStart"/>
      <w:r w:rsidRPr="00344AB6">
        <w:t>Awodumi</w:t>
      </w:r>
      <w:proofErr w:type="spellEnd"/>
      <w:r w:rsidRPr="00344AB6">
        <w:t xml:space="preserve">, O. B. (2022). Electricity market reforms and capital-energy substitution in Africa: A panel </w:t>
      </w:r>
      <w:proofErr w:type="spellStart"/>
      <w:r w:rsidRPr="00344AB6">
        <w:t>translog</w:t>
      </w:r>
      <w:proofErr w:type="spellEnd"/>
      <w:r w:rsidRPr="00344AB6">
        <w:t xml:space="preserve"> approach. </w:t>
      </w:r>
      <w:r w:rsidRPr="00344AB6">
        <w:rPr>
          <w:i/>
          <w:iCs/>
        </w:rPr>
        <w:t>Energy Economics</w:t>
      </w:r>
      <w:r w:rsidRPr="00344AB6">
        <w:t>, 105, 105715.</w:t>
      </w:r>
    </w:p>
    <w:p w14:paraId="0302B256" w14:textId="77777777" w:rsidR="00344AB6" w:rsidRPr="00344AB6" w:rsidRDefault="00344AB6" w:rsidP="00344AB6">
      <w:pPr>
        <w:jc w:val="both"/>
      </w:pPr>
      <w:r w:rsidRPr="00344AB6">
        <w:t>Allen, R. G. D. (1938). </w:t>
      </w:r>
      <w:r w:rsidRPr="00344AB6">
        <w:rPr>
          <w:i/>
          <w:iCs/>
        </w:rPr>
        <w:t>Mathematical analysis for economists</w:t>
      </w:r>
      <w:r w:rsidRPr="00344AB6">
        <w:t>. Macmillan.</w:t>
      </w:r>
    </w:p>
    <w:p w14:paraId="198038B4" w14:textId="77777777" w:rsidR="00344AB6" w:rsidRPr="00344AB6" w:rsidRDefault="00344AB6" w:rsidP="00344AB6">
      <w:pPr>
        <w:jc w:val="both"/>
      </w:pPr>
      <w:r w:rsidRPr="00344AB6">
        <w:t>Berndt, E. R., &amp; Wood, D. O. (1975). Technology, prices, and the derived demand for energy. </w:t>
      </w:r>
      <w:r w:rsidRPr="00344AB6">
        <w:rPr>
          <w:i/>
          <w:iCs/>
        </w:rPr>
        <w:t>The Review of Economics and Statistics</w:t>
      </w:r>
      <w:r w:rsidRPr="00344AB6">
        <w:t>, 57(3), 259–268.</w:t>
      </w:r>
    </w:p>
    <w:p w14:paraId="670C125B" w14:textId="77777777" w:rsidR="00344AB6" w:rsidRPr="00344AB6" w:rsidRDefault="00344AB6" w:rsidP="00344AB6">
      <w:pPr>
        <w:jc w:val="both"/>
      </w:pPr>
      <w:r w:rsidRPr="00344AB6">
        <w:t>Berndt, E. R., &amp; Wood, D. O. (1979). Engineering and econometric interpretations of energy-capital complementarity. </w:t>
      </w:r>
      <w:r w:rsidRPr="00344AB6">
        <w:rPr>
          <w:i/>
          <w:iCs/>
        </w:rPr>
        <w:t>The American Economic Review</w:t>
      </w:r>
      <w:r w:rsidRPr="00344AB6">
        <w:t>, 69(3), 342–354.</w:t>
      </w:r>
    </w:p>
    <w:p w14:paraId="55290A0B" w14:textId="77777777" w:rsidR="00344AB6" w:rsidRPr="00344AB6" w:rsidRDefault="00344AB6" w:rsidP="00344AB6">
      <w:pPr>
        <w:jc w:val="both"/>
      </w:pPr>
      <w:r w:rsidRPr="00344AB6">
        <w:t>Blackorby, C., &amp; Russell, R. R. (1989). Will the real elasticity of substitution please stand up? </w:t>
      </w:r>
      <w:r w:rsidRPr="00344AB6">
        <w:rPr>
          <w:i/>
          <w:iCs/>
        </w:rPr>
        <w:t>The American Economic Review</w:t>
      </w:r>
      <w:r w:rsidRPr="00344AB6">
        <w:t>, 79(4), 882–888.</w:t>
      </w:r>
    </w:p>
    <w:p w14:paraId="227331CC" w14:textId="77777777" w:rsidR="00344AB6" w:rsidRPr="00344AB6" w:rsidRDefault="00344AB6" w:rsidP="00344AB6">
      <w:pPr>
        <w:jc w:val="both"/>
      </w:pPr>
      <w:r w:rsidRPr="00344AB6">
        <w:t>Haller, S. A., &amp; Hyland, M. (2014). Energy-related technological change and energy efficiency in Ireland. </w:t>
      </w:r>
      <w:r w:rsidRPr="00344AB6">
        <w:rPr>
          <w:i/>
          <w:iCs/>
        </w:rPr>
        <w:t>The Energy Journal</w:t>
      </w:r>
      <w:r w:rsidRPr="00344AB6">
        <w:t>, 35(4), 1–26.</w:t>
      </w:r>
    </w:p>
    <w:p w14:paraId="384A24DE" w14:textId="77777777" w:rsidR="00344AB6" w:rsidRPr="00344AB6" w:rsidRDefault="00344AB6" w:rsidP="00344AB6">
      <w:pPr>
        <w:jc w:val="both"/>
      </w:pPr>
      <w:r w:rsidRPr="00344AB6">
        <w:t>Khan, M. A., Hussain, M., &amp; Zafar, M. (2022). Substitution elasticities in energy-intensive industries of Pakistan. </w:t>
      </w:r>
      <w:r w:rsidRPr="00344AB6">
        <w:rPr>
          <w:i/>
          <w:iCs/>
        </w:rPr>
        <w:t>Energy &amp; Environment</w:t>
      </w:r>
      <w:r w:rsidRPr="00344AB6">
        <w:t>, 33(5), 892–912.</w:t>
      </w:r>
    </w:p>
    <w:p w14:paraId="0F75369D" w14:textId="77777777" w:rsidR="00344AB6" w:rsidRPr="00344AB6" w:rsidRDefault="00344AB6" w:rsidP="00344AB6">
      <w:pPr>
        <w:jc w:val="both"/>
      </w:pPr>
      <w:r w:rsidRPr="00344AB6">
        <w:lastRenderedPageBreak/>
        <w:t xml:space="preserve">Koetse, M. J., de Groot, H. L. F., &amp; </w:t>
      </w:r>
      <w:proofErr w:type="spellStart"/>
      <w:r w:rsidRPr="00344AB6">
        <w:t>Florax</w:t>
      </w:r>
      <w:proofErr w:type="spellEnd"/>
      <w:r w:rsidRPr="00344AB6">
        <w:t>, R. J. G. M. (2008). Capital-energy substitution and shifts in factor demand: A meta-analysis. </w:t>
      </w:r>
      <w:r w:rsidRPr="00344AB6">
        <w:rPr>
          <w:i/>
          <w:iCs/>
        </w:rPr>
        <w:t>Energy Economics</w:t>
      </w:r>
      <w:r w:rsidRPr="00344AB6">
        <w:t>, 30(5), 2236–2251.</w:t>
      </w:r>
    </w:p>
    <w:p w14:paraId="1EBCCFF9" w14:textId="77777777" w:rsidR="00344AB6" w:rsidRPr="00344AB6" w:rsidRDefault="00344AB6" w:rsidP="00344AB6">
      <w:pPr>
        <w:jc w:val="both"/>
      </w:pPr>
      <w:r w:rsidRPr="00344AB6">
        <w:t>Macharia, M. (2023). Energy and non-energy input substitution in Kenya’s manufacturing sector. </w:t>
      </w:r>
      <w:r w:rsidRPr="00344AB6">
        <w:rPr>
          <w:i/>
          <w:iCs/>
        </w:rPr>
        <w:t>Energy Economics</w:t>
      </w:r>
      <w:r w:rsidRPr="00344AB6">
        <w:t>, 126, 106945.</w:t>
      </w:r>
    </w:p>
    <w:p w14:paraId="4C833A01" w14:textId="77777777" w:rsidR="00344AB6" w:rsidRPr="00344AB6" w:rsidRDefault="00344AB6" w:rsidP="00344AB6">
      <w:pPr>
        <w:jc w:val="both"/>
      </w:pPr>
      <w:r w:rsidRPr="00344AB6">
        <w:t>Mensah, J. T., &amp; Adu, G. (2023). Labour market rigidities and energy substitution in West African manufacturing. </w:t>
      </w:r>
      <w:r w:rsidRPr="00344AB6">
        <w:rPr>
          <w:i/>
          <w:iCs/>
        </w:rPr>
        <w:t>World Development</w:t>
      </w:r>
      <w:r w:rsidRPr="00344AB6">
        <w:t>, 162, 106145.</w:t>
      </w:r>
    </w:p>
    <w:p w14:paraId="61551B31" w14:textId="77777777" w:rsidR="00344AB6" w:rsidRPr="00344AB6" w:rsidRDefault="00344AB6" w:rsidP="00344AB6">
      <w:pPr>
        <w:jc w:val="both"/>
      </w:pPr>
      <w:r w:rsidRPr="00344AB6">
        <w:t xml:space="preserve">Ogunleye, E. K., &amp; </w:t>
      </w:r>
      <w:proofErr w:type="spellStart"/>
      <w:r w:rsidRPr="00344AB6">
        <w:t>Akinbami</w:t>
      </w:r>
      <w:proofErr w:type="spellEnd"/>
      <w:r w:rsidRPr="00344AB6">
        <w:t>, J. F. K. (2016). Inter-fuel substitution and energy demand in Nigeria’s industrial sector. </w:t>
      </w:r>
      <w:r w:rsidRPr="00344AB6">
        <w:rPr>
          <w:i/>
          <w:iCs/>
        </w:rPr>
        <w:t>Energy Policy</w:t>
      </w:r>
      <w:r w:rsidRPr="00344AB6">
        <w:t>, 88, 635–647.</w:t>
      </w:r>
    </w:p>
    <w:p w14:paraId="1901170C" w14:textId="77777777" w:rsidR="00344AB6" w:rsidRPr="00344AB6" w:rsidRDefault="00344AB6" w:rsidP="00344AB6">
      <w:pPr>
        <w:jc w:val="both"/>
      </w:pPr>
      <w:r w:rsidRPr="00344AB6">
        <w:t>Ouedraogo, N. S. (2021). Energy and labour substitution in West African manufacturing firms. </w:t>
      </w:r>
      <w:r w:rsidRPr="00344AB6">
        <w:rPr>
          <w:i/>
          <w:iCs/>
        </w:rPr>
        <w:t>Energy Policy</w:t>
      </w:r>
      <w:r w:rsidRPr="00344AB6">
        <w:t>, 153, 112244.</w:t>
      </w:r>
    </w:p>
    <w:p w14:paraId="59DDDE95" w14:textId="77777777" w:rsidR="00344AB6" w:rsidRPr="00344AB6" w:rsidRDefault="00344AB6" w:rsidP="00344AB6">
      <w:pPr>
        <w:jc w:val="both"/>
      </w:pPr>
      <w:r w:rsidRPr="00344AB6">
        <w:t>Sheu, E., &amp; Taiwo, A. (2025). Self-generation and industrial competitiveness in Nigeria’s power crisis. </w:t>
      </w:r>
      <w:r w:rsidRPr="00344AB6">
        <w:rPr>
          <w:i/>
          <w:iCs/>
        </w:rPr>
        <w:t>Energy Research &amp; Social Science</w:t>
      </w:r>
      <w:r w:rsidRPr="00344AB6">
        <w:t>, 109, 103421.</w:t>
      </w:r>
    </w:p>
    <w:p w14:paraId="2FB0CEF3" w14:textId="77777777" w:rsidR="00344AB6" w:rsidRPr="00344AB6" w:rsidRDefault="00344AB6" w:rsidP="00344AB6">
      <w:pPr>
        <w:jc w:val="both"/>
      </w:pPr>
      <w:r w:rsidRPr="00344AB6">
        <w:t>Smyth, R., Narayan, P. K., &amp; Shi, H. (2011). Substitution between energy and classical factor inputs in the Chinese steel sector. </w:t>
      </w:r>
      <w:r w:rsidRPr="00344AB6">
        <w:rPr>
          <w:i/>
          <w:iCs/>
        </w:rPr>
        <w:t>Applied Energy</w:t>
      </w:r>
      <w:r w:rsidRPr="00344AB6">
        <w:t>, 88(1), 361–367.</w:t>
      </w:r>
    </w:p>
    <w:p w14:paraId="2D000B6F" w14:textId="77777777" w:rsidR="00344AB6" w:rsidRPr="00344AB6" w:rsidRDefault="00344AB6" w:rsidP="00344AB6">
      <w:pPr>
        <w:jc w:val="both"/>
      </w:pPr>
      <w:r w:rsidRPr="00344AB6">
        <w:t>Sorrell, S. (2015). Reducing energy demand: A review of issues, challenges and approaches. </w:t>
      </w:r>
      <w:r w:rsidRPr="00344AB6">
        <w:rPr>
          <w:i/>
          <w:iCs/>
        </w:rPr>
        <w:t>Renewable and Sustainable Energy Reviews</w:t>
      </w:r>
      <w:r w:rsidRPr="00344AB6">
        <w:t>, 47, 74–82.</w:t>
      </w:r>
    </w:p>
    <w:p w14:paraId="75C35BEA" w14:textId="77777777" w:rsidR="00344AB6" w:rsidRPr="00344AB6" w:rsidRDefault="00344AB6" w:rsidP="002312AB">
      <w:pPr>
        <w:jc w:val="both"/>
      </w:pPr>
      <w:proofErr w:type="spellStart"/>
      <w:r w:rsidRPr="00344AB6">
        <w:t>Uzawa</w:t>
      </w:r>
      <w:proofErr w:type="spellEnd"/>
      <w:r w:rsidRPr="00344AB6">
        <w:t>, H. (1962). Production functions with constant elasticities of substitution. </w:t>
      </w:r>
      <w:r w:rsidRPr="00344AB6">
        <w:rPr>
          <w:i/>
          <w:iCs/>
        </w:rPr>
        <w:t>The Review of Economic Studies</w:t>
      </w:r>
      <w:r w:rsidRPr="00344AB6">
        <w:t>, 29(4), 291–299.</w:t>
      </w:r>
    </w:p>
    <w:sectPr w:rsidR="00344AB6" w:rsidRPr="00344A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636AC" w14:textId="77777777" w:rsidR="009452FA" w:rsidRDefault="009452FA" w:rsidP="00B7340D">
      <w:pPr>
        <w:spacing w:after="0" w:line="240" w:lineRule="auto"/>
      </w:pPr>
      <w:r>
        <w:separator/>
      </w:r>
    </w:p>
  </w:endnote>
  <w:endnote w:type="continuationSeparator" w:id="0">
    <w:p w14:paraId="75398BB3" w14:textId="77777777" w:rsidR="009452FA" w:rsidRDefault="009452FA" w:rsidP="00B7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C2CD" w14:textId="77777777" w:rsidR="008135CB" w:rsidRDefault="00813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4ACE" w14:textId="77777777" w:rsidR="008135CB" w:rsidRDefault="00813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C4A44" w14:textId="77777777" w:rsidR="008135CB" w:rsidRDefault="00813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8FCC" w14:textId="77777777" w:rsidR="009452FA" w:rsidRDefault="009452FA" w:rsidP="00B7340D">
      <w:pPr>
        <w:spacing w:after="0" w:line="240" w:lineRule="auto"/>
      </w:pPr>
      <w:r>
        <w:separator/>
      </w:r>
    </w:p>
  </w:footnote>
  <w:footnote w:type="continuationSeparator" w:id="0">
    <w:p w14:paraId="73B7E5C1" w14:textId="77777777" w:rsidR="009452FA" w:rsidRDefault="009452FA" w:rsidP="00B73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08D3" w14:textId="0D18B017" w:rsidR="008135CB" w:rsidRDefault="008135CB">
    <w:pPr>
      <w:pStyle w:val="Header"/>
    </w:pPr>
    <w:r>
      <w:rPr>
        <w:noProof/>
      </w:rPr>
      <w:pict w14:anchorId="7B447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22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079B" w14:textId="256751A7" w:rsidR="008135CB" w:rsidRDefault="008135CB">
    <w:pPr>
      <w:pStyle w:val="Header"/>
    </w:pPr>
    <w:r>
      <w:rPr>
        <w:noProof/>
      </w:rPr>
      <w:pict w14:anchorId="35F8D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22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46E1" w14:textId="26288FD3" w:rsidR="008135CB" w:rsidRDefault="008135CB">
    <w:pPr>
      <w:pStyle w:val="Header"/>
    </w:pPr>
    <w:r>
      <w:rPr>
        <w:noProof/>
      </w:rPr>
      <w:pict w14:anchorId="3B863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22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93D2A"/>
    <w:multiLevelType w:val="multilevel"/>
    <w:tmpl w:val="519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5396C"/>
    <w:multiLevelType w:val="hybridMultilevel"/>
    <w:tmpl w:val="325E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807B9"/>
    <w:multiLevelType w:val="hybridMultilevel"/>
    <w:tmpl w:val="CCE6290C"/>
    <w:lvl w:ilvl="0" w:tplc="C1D24E4A">
      <w:start w:val="1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F122D"/>
    <w:multiLevelType w:val="hybridMultilevel"/>
    <w:tmpl w:val="D89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456BE"/>
    <w:multiLevelType w:val="multilevel"/>
    <w:tmpl w:val="EE8654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B4FD0"/>
    <w:multiLevelType w:val="hybridMultilevel"/>
    <w:tmpl w:val="5062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037B2"/>
    <w:multiLevelType w:val="hybridMultilevel"/>
    <w:tmpl w:val="F198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87C90"/>
    <w:multiLevelType w:val="hybridMultilevel"/>
    <w:tmpl w:val="F1E4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4127D"/>
    <w:multiLevelType w:val="hybridMultilevel"/>
    <w:tmpl w:val="3F00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04B77"/>
    <w:multiLevelType w:val="hybridMultilevel"/>
    <w:tmpl w:val="935C9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5"/>
  </w:num>
  <w:num w:numId="4">
    <w:abstractNumId w:val="1"/>
  </w:num>
  <w:num w:numId="5">
    <w:abstractNumId w:val="3"/>
  </w:num>
  <w:num w:numId="6">
    <w:abstractNumId w:val="6"/>
  </w:num>
  <w:num w:numId="7">
    <w:abstractNumId w:val="2"/>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AB"/>
    <w:rsid w:val="0000325D"/>
    <w:rsid w:val="0000343B"/>
    <w:rsid w:val="0001068B"/>
    <w:rsid w:val="00011A69"/>
    <w:rsid w:val="0001680F"/>
    <w:rsid w:val="0003070D"/>
    <w:rsid w:val="00044067"/>
    <w:rsid w:val="00045C43"/>
    <w:rsid w:val="00055B9E"/>
    <w:rsid w:val="0007424F"/>
    <w:rsid w:val="000A09B8"/>
    <w:rsid w:val="000D1504"/>
    <w:rsid w:val="000E142A"/>
    <w:rsid w:val="000F3890"/>
    <w:rsid w:val="000F3A5C"/>
    <w:rsid w:val="00102B80"/>
    <w:rsid w:val="001121F5"/>
    <w:rsid w:val="0013123F"/>
    <w:rsid w:val="00146B6D"/>
    <w:rsid w:val="00161E95"/>
    <w:rsid w:val="00163D81"/>
    <w:rsid w:val="0016513F"/>
    <w:rsid w:val="00185FCF"/>
    <w:rsid w:val="001A3A33"/>
    <w:rsid w:val="001A4436"/>
    <w:rsid w:val="001B2B51"/>
    <w:rsid w:val="001B3FF3"/>
    <w:rsid w:val="001F007F"/>
    <w:rsid w:val="001F10DF"/>
    <w:rsid w:val="001F1C17"/>
    <w:rsid w:val="002068AE"/>
    <w:rsid w:val="00213F74"/>
    <w:rsid w:val="002312AB"/>
    <w:rsid w:val="002316C0"/>
    <w:rsid w:val="002374D2"/>
    <w:rsid w:val="00253BE1"/>
    <w:rsid w:val="00253C48"/>
    <w:rsid w:val="00253DD3"/>
    <w:rsid w:val="00254618"/>
    <w:rsid w:val="00273402"/>
    <w:rsid w:val="00274F45"/>
    <w:rsid w:val="00276BE3"/>
    <w:rsid w:val="0028174E"/>
    <w:rsid w:val="00283000"/>
    <w:rsid w:val="00290196"/>
    <w:rsid w:val="00292C9F"/>
    <w:rsid w:val="002954E2"/>
    <w:rsid w:val="002B2752"/>
    <w:rsid w:val="002B3C86"/>
    <w:rsid w:val="002B5581"/>
    <w:rsid w:val="002C7A0F"/>
    <w:rsid w:val="002E2A16"/>
    <w:rsid w:val="002E7074"/>
    <w:rsid w:val="002F31A6"/>
    <w:rsid w:val="00321517"/>
    <w:rsid w:val="00321946"/>
    <w:rsid w:val="00340BD4"/>
    <w:rsid w:val="003418CF"/>
    <w:rsid w:val="00341E1C"/>
    <w:rsid w:val="00343FBE"/>
    <w:rsid w:val="00344AB6"/>
    <w:rsid w:val="003476FF"/>
    <w:rsid w:val="00353F7C"/>
    <w:rsid w:val="00384A2A"/>
    <w:rsid w:val="003B22B0"/>
    <w:rsid w:val="003B7B3B"/>
    <w:rsid w:val="003C7CE2"/>
    <w:rsid w:val="003D2BB9"/>
    <w:rsid w:val="003D527B"/>
    <w:rsid w:val="003E2FB8"/>
    <w:rsid w:val="00412254"/>
    <w:rsid w:val="00413E14"/>
    <w:rsid w:val="004158DD"/>
    <w:rsid w:val="004345F8"/>
    <w:rsid w:val="00450205"/>
    <w:rsid w:val="004762D6"/>
    <w:rsid w:val="00492F71"/>
    <w:rsid w:val="00494294"/>
    <w:rsid w:val="004B2271"/>
    <w:rsid w:val="004B31A3"/>
    <w:rsid w:val="004B7C8C"/>
    <w:rsid w:val="004E1009"/>
    <w:rsid w:val="004F196B"/>
    <w:rsid w:val="00506BCF"/>
    <w:rsid w:val="00521DB0"/>
    <w:rsid w:val="0052599A"/>
    <w:rsid w:val="00543B7B"/>
    <w:rsid w:val="00556C30"/>
    <w:rsid w:val="00566B4D"/>
    <w:rsid w:val="00572CC9"/>
    <w:rsid w:val="00585539"/>
    <w:rsid w:val="00585ABE"/>
    <w:rsid w:val="00597871"/>
    <w:rsid w:val="005A3043"/>
    <w:rsid w:val="005A78EA"/>
    <w:rsid w:val="005C1082"/>
    <w:rsid w:val="005C371C"/>
    <w:rsid w:val="005D27FF"/>
    <w:rsid w:val="005D334A"/>
    <w:rsid w:val="005D7A6E"/>
    <w:rsid w:val="005E2621"/>
    <w:rsid w:val="005E3524"/>
    <w:rsid w:val="005E7DAB"/>
    <w:rsid w:val="005F5053"/>
    <w:rsid w:val="00604BE5"/>
    <w:rsid w:val="00610AAB"/>
    <w:rsid w:val="00627ABA"/>
    <w:rsid w:val="00632C58"/>
    <w:rsid w:val="00641448"/>
    <w:rsid w:val="00656503"/>
    <w:rsid w:val="006567A5"/>
    <w:rsid w:val="00661D83"/>
    <w:rsid w:val="006651A2"/>
    <w:rsid w:val="006725B0"/>
    <w:rsid w:val="00683239"/>
    <w:rsid w:val="006855F5"/>
    <w:rsid w:val="006B3D1D"/>
    <w:rsid w:val="006C2668"/>
    <w:rsid w:val="006D27DA"/>
    <w:rsid w:val="006D2AB9"/>
    <w:rsid w:val="006D2B2A"/>
    <w:rsid w:val="006D2CE9"/>
    <w:rsid w:val="006E188C"/>
    <w:rsid w:val="006F0694"/>
    <w:rsid w:val="00737BB6"/>
    <w:rsid w:val="0075278B"/>
    <w:rsid w:val="00764C46"/>
    <w:rsid w:val="007814CF"/>
    <w:rsid w:val="00787E30"/>
    <w:rsid w:val="00791633"/>
    <w:rsid w:val="007936E5"/>
    <w:rsid w:val="0079562E"/>
    <w:rsid w:val="00797BB3"/>
    <w:rsid w:val="007B075E"/>
    <w:rsid w:val="007B3ADD"/>
    <w:rsid w:val="007B785E"/>
    <w:rsid w:val="007C763A"/>
    <w:rsid w:val="007E648F"/>
    <w:rsid w:val="007F678F"/>
    <w:rsid w:val="007F7BF4"/>
    <w:rsid w:val="008135CB"/>
    <w:rsid w:val="00815902"/>
    <w:rsid w:val="008306A1"/>
    <w:rsid w:val="008346AA"/>
    <w:rsid w:val="00834D5C"/>
    <w:rsid w:val="00842271"/>
    <w:rsid w:val="00872AB3"/>
    <w:rsid w:val="00876587"/>
    <w:rsid w:val="008A777A"/>
    <w:rsid w:val="008B7301"/>
    <w:rsid w:val="008C1636"/>
    <w:rsid w:val="008E2F99"/>
    <w:rsid w:val="008E580D"/>
    <w:rsid w:val="008E5E27"/>
    <w:rsid w:val="008F791F"/>
    <w:rsid w:val="009055CF"/>
    <w:rsid w:val="00907D02"/>
    <w:rsid w:val="00931B84"/>
    <w:rsid w:val="00933767"/>
    <w:rsid w:val="00940F86"/>
    <w:rsid w:val="00941988"/>
    <w:rsid w:val="00943EAE"/>
    <w:rsid w:val="009452FA"/>
    <w:rsid w:val="0094557A"/>
    <w:rsid w:val="0095299B"/>
    <w:rsid w:val="0095507F"/>
    <w:rsid w:val="00955DF4"/>
    <w:rsid w:val="00976768"/>
    <w:rsid w:val="0097789C"/>
    <w:rsid w:val="009801B6"/>
    <w:rsid w:val="0098218B"/>
    <w:rsid w:val="00984853"/>
    <w:rsid w:val="009B39D0"/>
    <w:rsid w:val="009C5709"/>
    <w:rsid w:val="009D7729"/>
    <w:rsid w:val="009E25D4"/>
    <w:rsid w:val="009F0A52"/>
    <w:rsid w:val="009F338D"/>
    <w:rsid w:val="009F6906"/>
    <w:rsid w:val="00A07785"/>
    <w:rsid w:val="00A12EDF"/>
    <w:rsid w:val="00A144FE"/>
    <w:rsid w:val="00A46A04"/>
    <w:rsid w:val="00A852A0"/>
    <w:rsid w:val="00A87797"/>
    <w:rsid w:val="00A96FC1"/>
    <w:rsid w:val="00AA05C4"/>
    <w:rsid w:val="00AA4884"/>
    <w:rsid w:val="00AB056E"/>
    <w:rsid w:val="00AD706C"/>
    <w:rsid w:val="00AF12ED"/>
    <w:rsid w:val="00B227B6"/>
    <w:rsid w:val="00B2289A"/>
    <w:rsid w:val="00B22928"/>
    <w:rsid w:val="00B3406D"/>
    <w:rsid w:val="00B5524D"/>
    <w:rsid w:val="00B55800"/>
    <w:rsid w:val="00B5764A"/>
    <w:rsid w:val="00B625F6"/>
    <w:rsid w:val="00B7340D"/>
    <w:rsid w:val="00B76A44"/>
    <w:rsid w:val="00BA33E8"/>
    <w:rsid w:val="00BA3E62"/>
    <w:rsid w:val="00BC6D47"/>
    <w:rsid w:val="00BC76E7"/>
    <w:rsid w:val="00BE49DB"/>
    <w:rsid w:val="00BE628C"/>
    <w:rsid w:val="00BF571D"/>
    <w:rsid w:val="00C01C40"/>
    <w:rsid w:val="00C272FC"/>
    <w:rsid w:val="00C363F5"/>
    <w:rsid w:val="00C42E93"/>
    <w:rsid w:val="00C4665C"/>
    <w:rsid w:val="00C54859"/>
    <w:rsid w:val="00C76C91"/>
    <w:rsid w:val="00C81286"/>
    <w:rsid w:val="00CB1EAA"/>
    <w:rsid w:val="00CB768C"/>
    <w:rsid w:val="00CC7C2B"/>
    <w:rsid w:val="00CD1FB7"/>
    <w:rsid w:val="00CF7130"/>
    <w:rsid w:val="00CF7D23"/>
    <w:rsid w:val="00D0698D"/>
    <w:rsid w:val="00D40294"/>
    <w:rsid w:val="00D54F80"/>
    <w:rsid w:val="00D55762"/>
    <w:rsid w:val="00D65B8F"/>
    <w:rsid w:val="00D711C0"/>
    <w:rsid w:val="00DA587D"/>
    <w:rsid w:val="00DA6DF4"/>
    <w:rsid w:val="00DA7F7C"/>
    <w:rsid w:val="00DB6CE0"/>
    <w:rsid w:val="00DC72A6"/>
    <w:rsid w:val="00DE3C17"/>
    <w:rsid w:val="00E050CF"/>
    <w:rsid w:val="00E05351"/>
    <w:rsid w:val="00E06962"/>
    <w:rsid w:val="00E06F23"/>
    <w:rsid w:val="00E5024A"/>
    <w:rsid w:val="00E63BF0"/>
    <w:rsid w:val="00E66E50"/>
    <w:rsid w:val="00E727A3"/>
    <w:rsid w:val="00E74DE8"/>
    <w:rsid w:val="00E762EB"/>
    <w:rsid w:val="00E94F4F"/>
    <w:rsid w:val="00EB0931"/>
    <w:rsid w:val="00ED3F02"/>
    <w:rsid w:val="00ED5EAA"/>
    <w:rsid w:val="00ED714F"/>
    <w:rsid w:val="00EF4BB7"/>
    <w:rsid w:val="00EF6C20"/>
    <w:rsid w:val="00F0688D"/>
    <w:rsid w:val="00F15E0C"/>
    <w:rsid w:val="00F2259F"/>
    <w:rsid w:val="00F32645"/>
    <w:rsid w:val="00F33238"/>
    <w:rsid w:val="00F50482"/>
    <w:rsid w:val="00F55648"/>
    <w:rsid w:val="00F7235E"/>
    <w:rsid w:val="00F73CD4"/>
    <w:rsid w:val="00F754DC"/>
    <w:rsid w:val="00F81C1C"/>
    <w:rsid w:val="00F904C6"/>
    <w:rsid w:val="00F97476"/>
    <w:rsid w:val="00FF19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556FB2"/>
  <w15:chartTrackingRefBased/>
  <w15:docId w15:val="{4E4276A4-CB16-46DD-86C6-277C6694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DAB"/>
    <w:rPr>
      <w:rFonts w:eastAsiaTheme="majorEastAsia" w:cstheme="majorBidi"/>
      <w:color w:val="272727" w:themeColor="text1" w:themeTint="D8"/>
    </w:rPr>
  </w:style>
  <w:style w:type="paragraph" w:styleId="Title">
    <w:name w:val="Title"/>
    <w:basedOn w:val="Normal"/>
    <w:next w:val="Normal"/>
    <w:link w:val="TitleChar"/>
    <w:uiPriority w:val="10"/>
    <w:qFormat/>
    <w:rsid w:val="005E7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DAB"/>
    <w:pPr>
      <w:spacing w:before="160"/>
      <w:jc w:val="center"/>
    </w:pPr>
    <w:rPr>
      <w:i/>
      <w:iCs/>
      <w:color w:val="404040" w:themeColor="text1" w:themeTint="BF"/>
    </w:rPr>
  </w:style>
  <w:style w:type="character" w:customStyle="1" w:styleId="QuoteChar">
    <w:name w:val="Quote Char"/>
    <w:basedOn w:val="DefaultParagraphFont"/>
    <w:link w:val="Quote"/>
    <w:uiPriority w:val="29"/>
    <w:rsid w:val="005E7DAB"/>
    <w:rPr>
      <w:i/>
      <w:iCs/>
      <w:color w:val="404040" w:themeColor="text1" w:themeTint="BF"/>
    </w:rPr>
  </w:style>
  <w:style w:type="paragraph" w:styleId="ListParagraph">
    <w:name w:val="List Paragraph"/>
    <w:basedOn w:val="Normal"/>
    <w:uiPriority w:val="34"/>
    <w:qFormat/>
    <w:rsid w:val="005E7DAB"/>
    <w:pPr>
      <w:ind w:left="720"/>
      <w:contextualSpacing/>
    </w:pPr>
  </w:style>
  <w:style w:type="character" w:styleId="IntenseEmphasis">
    <w:name w:val="Intense Emphasis"/>
    <w:basedOn w:val="DefaultParagraphFont"/>
    <w:uiPriority w:val="21"/>
    <w:qFormat/>
    <w:rsid w:val="005E7DAB"/>
    <w:rPr>
      <w:i/>
      <w:iCs/>
      <w:color w:val="0F4761" w:themeColor="accent1" w:themeShade="BF"/>
    </w:rPr>
  </w:style>
  <w:style w:type="paragraph" w:styleId="IntenseQuote">
    <w:name w:val="Intense Quote"/>
    <w:basedOn w:val="Normal"/>
    <w:next w:val="Normal"/>
    <w:link w:val="IntenseQuoteChar"/>
    <w:uiPriority w:val="30"/>
    <w:qFormat/>
    <w:rsid w:val="005E7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DAB"/>
    <w:rPr>
      <w:i/>
      <w:iCs/>
      <w:color w:val="0F4761" w:themeColor="accent1" w:themeShade="BF"/>
    </w:rPr>
  </w:style>
  <w:style w:type="character" w:styleId="IntenseReference">
    <w:name w:val="Intense Reference"/>
    <w:basedOn w:val="DefaultParagraphFont"/>
    <w:uiPriority w:val="32"/>
    <w:qFormat/>
    <w:rsid w:val="005E7DAB"/>
    <w:rPr>
      <w:b/>
      <w:bCs/>
      <w:smallCaps/>
      <w:color w:val="0F4761" w:themeColor="accent1" w:themeShade="BF"/>
      <w:spacing w:val="5"/>
    </w:rPr>
  </w:style>
  <w:style w:type="character" w:styleId="PlaceholderText">
    <w:name w:val="Placeholder Text"/>
    <w:basedOn w:val="DefaultParagraphFont"/>
    <w:uiPriority w:val="99"/>
    <w:semiHidden/>
    <w:rsid w:val="004F196B"/>
    <w:rPr>
      <w:color w:val="666666"/>
    </w:rPr>
  </w:style>
  <w:style w:type="table" w:styleId="TableGrid">
    <w:name w:val="Table Grid"/>
    <w:basedOn w:val="TableNormal"/>
    <w:uiPriority w:val="39"/>
    <w:rsid w:val="00B73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40D"/>
  </w:style>
  <w:style w:type="paragraph" w:styleId="Footer">
    <w:name w:val="footer"/>
    <w:basedOn w:val="Normal"/>
    <w:link w:val="FooterChar"/>
    <w:uiPriority w:val="99"/>
    <w:unhideWhenUsed/>
    <w:rsid w:val="00B73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40D"/>
  </w:style>
  <w:style w:type="character" w:styleId="Hyperlink">
    <w:name w:val="Hyperlink"/>
    <w:basedOn w:val="DefaultParagraphFont"/>
    <w:uiPriority w:val="99"/>
    <w:unhideWhenUsed/>
    <w:rsid w:val="00B7340D"/>
    <w:rPr>
      <w:color w:val="467886" w:themeColor="hyperlink"/>
      <w:u w:val="single"/>
    </w:rPr>
  </w:style>
  <w:style w:type="character" w:styleId="UnresolvedMention">
    <w:name w:val="Unresolved Mention"/>
    <w:basedOn w:val="DefaultParagraphFont"/>
    <w:uiPriority w:val="99"/>
    <w:semiHidden/>
    <w:unhideWhenUsed/>
    <w:rsid w:val="00B73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Fatai  Asimi</dc:creator>
  <cp:keywords/>
  <dc:description/>
  <cp:lastModifiedBy>SDI PC 1170</cp:lastModifiedBy>
  <cp:revision>19</cp:revision>
  <dcterms:created xsi:type="dcterms:W3CDTF">2026-05-06T12:48:00Z</dcterms:created>
  <dcterms:modified xsi:type="dcterms:W3CDTF">2026-05-07T12:32:00Z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ba500a82-c945-4d40-800e-306590f2f017</vt:lpwstr>
  </property>
</Properties>
</file>