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261B1" w14:textId="5B8AA6A7" w:rsidR="00BD40C4" w:rsidRPr="00651295" w:rsidRDefault="00BD40C4" w:rsidP="007D2771">
      <w:pPr>
        <w:tabs>
          <w:tab w:val="left" w:pos="284"/>
        </w:tabs>
        <w:spacing w:line="240" w:lineRule="auto"/>
        <w:jc w:val="both"/>
        <w:rPr>
          <w:rFonts w:ascii="Verdana" w:hAnsi="Verdana" w:cs="Times New Roman"/>
          <w:bCs/>
          <w:sz w:val="22"/>
          <w:szCs w:val="22"/>
        </w:rPr>
      </w:pPr>
      <w:r w:rsidRPr="00651295">
        <w:rPr>
          <w:rFonts w:ascii="Verdana" w:hAnsi="Verdana" w:cs="Times New Roman"/>
          <w:sz w:val="22"/>
          <w:szCs w:val="22"/>
        </w:rPr>
        <w:t>A Comparative Performance Evaluation of Standalone and Hybrid Forecasting Models for Cashew Nut Price Prediction in Andhra Pradesh</w:t>
      </w:r>
    </w:p>
    <w:p w14:paraId="60FBD43F" w14:textId="7B859C5D" w:rsidR="006F483E" w:rsidRDefault="006F483E" w:rsidP="006F483E">
      <w:pPr>
        <w:tabs>
          <w:tab w:val="left" w:pos="284"/>
        </w:tabs>
        <w:spacing w:after="0" w:line="240" w:lineRule="auto"/>
        <w:jc w:val="center"/>
        <w:rPr>
          <w:rFonts w:ascii="Times New Roman" w:hAnsi="Times New Roman" w:cs="Times New Roman"/>
          <w:bCs/>
          <w:sz w:val="18"/>
          <w:szCs w:val="18"/>
          <w:lang w:val="en-US"/>
        </w:rPr>
      </w:pPr>
    </w:p>
    <w:p w14:paraId="4FCCA80D" w14:textId="7957D5C2" w:rsidR="005A6763" w:rsidRDefault="005A6763" w:rsidP="006F483E">
      <w:pPr>
        <w:tabs>
          <w:tab w:val="left" w:pos="284"/>
        </w:tabs>
        <w:spacing w:after="0" w:line="240" w:lineRule="auto"/>
        <w:jc w:val="center"/>
        <w:rPr>
          <w:rFonts w:ascii="Times New Roman" w:hAnsi="Times New Roman" w:cs="Times New Roman"/>
          <w:bCs/>
          <w:sz w:val="20"/>
          <w:szCs w:val="20"/>
          <w:lang w:val="en-US"/>
        </w:rPr>
      </w:pPr>
    </w:p>
    <w:p w14:paraId="39B067EA" w14:textId="77777777" w:rsidR="005A6763" w:rsidRPr="006F483E" w:rsidRDefault="005A6763" w:rsidP="006F483E">
      <w:pPr>
        <w:tabs>
          <w:tab w:val="left" w:pos="284"/>
        </w:tabs>
        <w:spacing w:after="0" w:line="240" w:lineRule="auto"/>
        <w:jc w:val="center"/>
        <w:rPr>
          <w:rFonts w:ascii="Times New Roman" w:hAnsi="Times New Roman" w:cs="Times New Roman"/>
          <w:bCs/>
          <w:sz w:val="20"/>
          <w:szCs w:val="20"/>
          <w:lang w:val="en-US"/>
        </w:rPr>
      </w:pPr>
      <w:bookmarkStart w:id="0" w:name="_GoBack"/>
      <w:bookmarkEnd w:id="0"/>
    </w:p>
    <w:p w14:paraId="74C9D4E2" w14:textId="353F0B28" w:rsidR="00F65D83" w:rsidRDefault="00F65D83" w:rsidP="00413E6F">
      <w:pPr>
        <w:pStyle w:val="NormalWeb"/>
        <w:jc w:val="both"/>
      </w:pPr>
      <w:r>
        <w:rPr>
          <w:rStyle w:val="Strong"/>
          <w:rFonts w:eastAsiaTheme="majorEastAsia"/>
        </w:rPr>
        <w:t>Abstract:</w:t>
      </w:r>
      <w:r w:rsidR="003575AA">
        <w:t xml:space="preserve"> </w:t>
      </w:r>
      <w:r w:rsidRPr="003575AA">
        <w:rPr>
          <w:sz w:val="22"/>
          <w:szCs w:val="22"/>
        </w:rPr>
        <w:t>Cashew nut (</w:t>
      </w:r>
      <w:r w:rsidRPr="003575AA">
        <w:rPr>
          <w:rStyle w:val="whitespace-normal"/>
          <w:rFonts w:eastAsiaTheme="majorEastAsia"/>
          <w:sz w:val="22"/>
          <w:szCs w:val="22"/>
        </w:rPr>
        <w:t>Anacardium occidentale L.</w:t>
      </w:r>
      <w:r w:rsidRPr="003575AA">
        <w:rPr>
          <w:sz w:val="22"/>
          <w:szCs w:val="22"/>
        </w:rPr>
        <w:t xml:space="preserve">) is a key plantation and export crop contributing to the agricultural economy of </w:t>
      </w:r>
      <w:r w:rsidRPr="003575AA">
        <w:rPr>
          <w:rStyle w:val="whitespace-normal"/>
          <w:rFonts w:eastAsiaTheme="majorEastAsia"/>
          <w:sz w:val="22"/>
          <w:szCs w:val="22"/>
        </w:rPr>
        <w:t>Andhra Pradesh</w:t>
      </w:r>
      <w:r w:rsidRPr="003575AA">
        <w:rPr>
          <w:sz w:val="22"/>
          <w:szCs w:val="22"/>
        </w:rPr>
        <w:t xml:space="preserve">. This study evaluates standalone (ARIMA, SVR) and hybrid (ARIMA–SVR) models for forecasting monthly cashew nut prices using data (2010–2025) from </w:t>
      </w:r>
      <w:hyperlink r:id="rId8" w:tgtFrame="_new" w:history="1">
        <w:r w:rsidRPr="003575AA">
          <w:rPr>
            <w:rStyle w:val="Hyperlink"/>
            <w:rFonts w:eastAsiaTheme="majorEastAsia"/>
            <w:sz w:val="22"/>
            <w:szCs w:val="22"/>
          </w:rPr>
          <w:t>AGMARKNET</w:t>
        </w:r>
      </w:hyperlink>
      <w:r w:rsidRPr="003575AA">
        <w:rPr>
          <w:sz w:val="22"/>
          <w:szCs w:val="22"/>
        </w:rPr>
        <w:t xml:space="preserve"> and </w:t>
      </w:r>
      <w:hyperlink r:id="rId9" w:tgtFrame="_new" w:history="1">
        <w:r w:rsidRPr="003575AA">
          <w:rPr>
            <w:rStyle w:val="Hyperlink"/>
            <w:rFonts w:eastAsiaTheme="majorEastAsia"/>
            <w:sz w:val="22"/>
            <w:szCs w:val="22"/>
          </w:rPr>
          <w:t>Indiastat</w:t>
        </w:r>
      </w:hyperlink>
      <w:r w:rsidRPr="003575AA">
        <w:rPr>
          <w:sz w:val="22"/>
          <w:szCs w:val="22"/>
        </w:rPr>
        <w:t>. The dataset was split into 94% training and 6% testing sets. Model performance was assessed using RMSE and MAPE. The hybrid ARIMA–SVR model outperformed standalone models with the lowest RMSE (255.32) and MAPE (0.0</w:t>
      </w:r>
      <w:r w:rsidR="00413E6F" w:rsidRPr="003575AA">
        <w:rPr>
          <w:sz w:val="22"/>
          <w:szCs w:val="22"/>
        </w:rPr>
        <w:t>1</w:t>
      </w:r>
      <w:r w:rsidRPr="003575AA">
        <w:rPr>
          <w:sz w:val="22"/>
          <w:szCs w:val="22"/>
        </w:rPr>
        <w:t>), supported by diagnostic tests (Box–Pierce, BDS, Diebold–Mariano). Forecasts indicate a marginal decline in prices during 2026, confirming the hybrid model’s superior predictive capability.</w:t>
      </w:r>
    </w:p>
    <w:p w14:paraId="49A06F1E" w14:textId="4DF016EE" w:rsidR="00E862EF" w:rsidRPr="00651295" w:rsidRDefault="00F65D83" w:rsidP="00A2630D">
      <w:pPr>
        <w:tabs>
          <w:tab w:val="left" w:pos="284"/>
        </w:tabs>
        <w:jc w:val="both"/>
        <w:rPr>
          <w:rFonts w:ascii="Times New Roman" w:hAnsi="Times New Roman" w:cs="Times New Roman"/>
          <w:i/>
          <w:iCs/>
          <w:sz w:val="18"/>
          <w:szCs w:val="18"/>
          <w:lang w:val="en-US"/>
        </w:rPr>
      </w:pPr>
      <w:r w:rsidRPr="00651295">
        <w:rPr>
          <w:rFonts w:ascii="Times New Roman" w:hAnsi="Times New Roman" w:cs="Times New Roman"/>
          <w:i/>
          <w:iCs/>
          <w:sz w:val="18"/>
          <w:szCs w:val="18"/>
          <w:lang w:val="en-US"/>
        </w:rPr>
        <w:t>Key Words:</w:t>
      </w:r>
      <w:r w:rsidR="00E862EF" w:rsidRPr="00651295">
        <w:rPr>
          <w:rFonts w:ascii="Times New Roman" w:hAnsi="Times New Roman" w:cs="Times New Roman"/>
          <w:i/>
          <w:iCs/>
          <w:sz w:val="18"/>
          <w:szCs w:val="18"/>
          <w:lang w:val="en-US"/>
        </w:rPr>
        <w:t xml:space="preserve"> ARIMA; SVR; ARIMA-SVR; RMSE;</w:t>
      </w:r>
      <w:r w:rsidR="005C6033" w:rsidRPr="00651295">
        <w:rPr>
          <w:rFonts w:ascii="Times New Roman" w:hAnsi="Times New Roman" w:cs="Times New Roman"/>
          <w:i/>
          <w:iCs/>
          <w:sz w:val="18"/>
          <w:szCs w:val="18"/>
          <w:lang w:val="en-US"/>
        </w:rPr>
        <w:t xml:space="preserve"> </w:t>
      </w:r>
      <w:r w:rsidRPr="00651295">
        <w:rPr>
          <w:rFonts w:ascii="Times New Roman" w:hAnsi="Times New Roman" w:cs="Times New Roman"/>
          <w:i/>
          <w:iCs/>
          <w:sz w:val="18"/>
          <w:szCs w:val="18"/>
          <w:lang w:val="en-US"/>
        </w:rPr>
        <w:t>MAPE and F</w:t>
      </w:r>
      <w:r w:rsidR="00E862EF" w:rsidRPr="00651295">
        <w:rPr>
          <w:rFonts w:ascii="Times New Roman" w:hAnsi="Times New Roman" w:cs="Times New Roman"/>
          <w:i/>
          <w:iCs/>
          <w:sz w:val="18"/>
          <w:szCs w:val="18"/>
          <w:lang w:val="en-US"/>
        </w:rPr>
        <w:t>orecasting</w:t>
      </w:r>
    </w:p>
    <w:p w14:paraId="17338F08" w14:textId="37F3886B" w:rsidR="00E862EF" w:rsidRPr="003575AA" w:rsidRDefault="00651295" w:rsidP="003575AA">
      <w:pPr>
        <w:pStyle w:val="ListParagraph"/>
        <w:numPr>
          <w:ilvl w:val="0"/>
          <w:numId w:val="13"/>
        </w:numPr>
        <w:tabs>
          <w:tab w:val="left" w:pos="284"/>
        </w:tabs>
        <w:jc w:val="both"/>
        <w:rPr>
          <w:rFonts w:ascii="Times New Roman" w:hAnsi="Times New Roman" w:cs="Times New Roman"/>
          <w:iCs/>
          <w:lang w:val="en-US"/>
        </w:rPr>
      </w:pPr>
      <w:r>
        <w:rPr>
          <w:rFonts w:ascii="Times New Roman" w:hAnsi="Times New Roman" w:cs="Times New Roman"/>
          <w:iCs/>
          <w:lang w:val="en-US"/>
        </w:rPr>
        <w:t>Introduction</w:t>
      </w:r>
      <w:r w:rsidR="00A76F9D" w:rsidRPr="003575AA">
        <w:rPr>
          <w:rFonts w:ascii="Times New Roman" w:hAnsi="Times New Roman" w:cs="Times New Roman"/>
          <w:iCs/>
          <w:lang w:val="en-US"/>
        </w:rPr>
        <w:t xml:space="preserve"> </w:t>
      </w:r>
    </w:p>
    <w:p w14:paraId="75A2AB38" w14:textId="25C012CB" w:rsidR="00A76F9D" w:rsidRPr="00A76F9D" w:rsidRDefault="00A76F9D" w:rsidP="007D2771">
      <w:pPr>
        <w:spacing w:after="0" w:line="360" w:lineRule="auto"/>
        <w:jc w:val="both"/>
        <w:rPr>
          <w:rFonts w:ascii="Times New Roman" w:eastAsia="Times New Roman" w:hAnsi="Times New Roman" w:cs="Times New Roman"/>
          <w:kern w:val="0"/>
          <w:lang w:eastAsia="en-IN"/>
          <w14:ligatures w14:val="none"/>
        </w:rPr>
      </w:pPr>
      <w:r>
        <w:rPr>
          <w:rFonts w:ascii="Times New Roman" w:eastAsia="Times New Roman" w:hAnsi="Times New Roman" w:cs="Times New Roman"/>
          <w:kern w:val="0"/>
          <w:lang w:eastAsia="en-IN"/>
          <w14:ligatures w14:val="none"/>
        </w:rPr>
        <w:t>C</w:t>
      </w:r>
      <w:r w:rsidRPr="00A76F9D">
        <w:rPr>
          <w:rFonts w:ascii="Times New Roman" w:eastAsia="Times New Roman" w:hAnsi="Times New Roman" w:cs="Times New Roman"/>
          <w:kern w:val="0"/>
          <w:lang w:eastAsia="en-IN"/>
          <w14:ligatures w14:val="none"/>
        </w:rPr>
        <w:t>ashew nut (Anacardium occidentale L.), a member of the Anacardiaceae family, is a prominent plantation crop widely cultivated in India and often referred to as the “Gold Mine of Wasteland” due to its adaptability to marginal and degraded soils and its role in soil conservation. India is among the leading global producers, with cashew cultivated over approximately 12.05 lakh hectares and an annual production of about 8.02 lakh tonnes. Major producing states include Odisha, Andhra Pradesh, Maharashtra, Karnataka, Kerala, Tamil Nadu, and West Bengal, with India also occupying a significant position in global cashew kernel exports (APEDA, 2024; PIB, 2026).</w:t>
      </w:r>
    </w:p>
    <w:p w14:paraId="7C8F680B" w14:textId="77777777" w:rsidR="00A76F9D" w:rsidRPr="00A76F9D" w:rsidRDefault="00A76F9D" w:rsidP="007D2771">
      <w:pPr>
        <w:spacing w:after="0" w:line="360" w:lineRule="auto"/>
        <w:jc w:val="both"/>
        <w:rPr>
          <w:rFonts w:ascii="Times New Roman" w:eastAsia="Times New Roman" w:hAnsi="Times New Roman" w:cs="Times New Roman"/>
          <w:kern w:val="0"/>
          <w:lang w:eastAsia="en-IN"/>
          <w14:ligatures w14:val="none"/>
        </w:rPr>
      </w:pPr>
      <w:r w:rsidRPr="00A76F9D">
        <w:rPr>
          <w:rFonts w:ascii="Times New Roman" w:eastAsia="Times New Roman" w:hAnsi="Times New Roman" w:cs="Times New Roman"/>
          <w:kern w:val="0"/>
          <w:lang w:eastAsia="en-IN"/>
          <w14:ligatures w14:val="none"/>
        </w:rPr>
        <w:t>Andhra Pradesh contributes nearly 1.4 lakh tonnes, accounting for about 17.43% of national production, supported by institutions such as the AICRP on Cashew, Cashew Research Station (Bapatla), and KVK Venkataramannagudem. Palasa in Srikakulam district is a major cashew processing hub in the country (MoCI, 2025).</w:t>
      </w:r>
    </w:p>
    <w:p w14:paraId="249772FF" w14:textId="77777777" w:rsidR="00A76F9D" w:rsidRPr="00A76F9D" w:rsidRDefault="00A76F9D" w:rsidP="007D2771">
      <w:pPr>
        <w:spacing w:after="0" w:line="360" w:lineRule="auto"/>
        <w:jc w:val="both"/>
        <w:rPr>
          <w:rFonts w:ascii="Times New Roman" w:eastAsia="Times New Roman" w:hAnsi="Times New Roman" w:cs="Times New Roman"/>
          <w:kern w:val="0"/>
          <w:lang w:eastAsia="en-IN"/>
          <w14:ligatures w14:val="none"/>
        </w:rPr>
      </w:pPr>
      <w:r w:rsidRPr="00A76F9D">
        <w:rPr>
          <w:rFonts w:ascii="Times New Roman" w:eastAsia="Times New Roman" w:hAnsi="Times New Roman" w:cs="Times New Roman"/>
          <w:kern w:val="0"/>
          <w:lang w:eastAsia="en-IN"/>
          <w14:ligatures w14:val="none"/>
        </w:rPr>
        <w:t>Despite its economic importance, cashew nut prices are highly volatile due to fluctuations in production, export demand, seasonal arrivals, and global market conditions, thereby affecting farmers, traders, and processors. Accurate price forecasting is therefore essential for effective market planning and risk management.</w:t>
      </w:r>
    </w:p>
    <w:p w14:paraId="612363FF" w14:textId="77777777" w:rsidR="00A76F9D" w:rsidRDefault="00A76F9D" w:rsidP="007D2771">
      <w:pPr>
        <w:spacing w:after="0" w:line="360" w:lineRule="auto"/>
        <w:jc w:val="both"/>
        <w:rPr>
          <w:rFonts w:ascii="Times New Roman" w:eastAsia="Times New Roman" w:hAnsi="Times New Roman" w:cs="Times New Roman"/>
          <w:kern w:val="0"/>
          <w:lang w:eastAsia="en-IN"/>
          <w14:ligatures w14:val="none"/>
        </w:rPr>
      </w:pPr>
      <w:r w:rsidRPr="00A76F9D">
        <w:rPr>
          <w:rFonts w:ascii="Times New Roman" w:eastAsia="Times New Roman" w:hAnsi="Times New Roman" w:cs="Times New Roman"/>
          <w:kern w:val="0"/>
          <w:lang w:eastAsia="en-IN"/>
          <w14:ligatures w14:val="none"/>
        </w:rPr>
        <w:t xml:space="preserve">Traditional models such as Autoregressive Integrated Moving Average (ARIMA) effectively capture linear patterns in time series data, while Support Vector Regression (SVR) is capable of modelling nonlinear relationships. However, both approaches have inherent limitations when used independently. Recent studies indicate that hybrid ARIMA–SVR models can enhance forecasting accuracy by integrating linear and nonlinear components, although applications in cashew price forecasting remain limited, particularly in Andhra Pradesh. </w:t>
      </w:r>
      <w:r w:rsidRPr="00A76F9D">
        <w:rPr>
          <w:rFonts w:ascii="Times New Roman" w:eastAsia="Times New Roman" w:hAnsi="Times New Roman" w:cs="Times New Roman"/>
          <w:kern w:val="0"/>
          <w:lang w:eastAsia="en-IN"/>
          <w14:ligatures w14:val="none"/>
        </w:rPr>
        <w:lastRenderedPageBreak/>
        <w:t>Hence, this study aims to compare standalone and hybrid ARIMA–SVR models to identify a more robust and reliable forecasting approach for supporting market decision-making.</w:t>
      </w:r>
    </w:p>
    <w:p w14:paraId="42038EF4" w14:textId="342DD768" w:rsidR="005A61AE" w:rsidRPr="003575AA" w:rsidRDefault="003575AA" w:rsidP="007D2771">
      <w:pPr>
        <w:spacing w:after="0" w:line="360" w:lineRule="auto"/>
        <w:ind w:firstLine="720"/>
        <w:jc w:val="both"/>
        <w:rPr>
          <w:rFonts w:ascii="Times New Roman" w:hAnsi="Times New Roman" w:cs="Times New Roman"/>
        </w:rPr>
      </w:pPr>
      <w:r w:rsidRPr="003575AA">
        <w:rPr>
          <w:rFonts w:ascii="Times New Roman" w:hAnsi="Times New Roman" w:cs="Times New Roman"/>
        </w:rPr>
        <w:t>A considerable volume of empirical studies has affirmed the suitability of ARIMA models for agricultural price forecasting, whereas hybrid methodologies such as ARIMA–SVR and ARIMA–ANN have been shown to yield superior forecasting accuracy by effectively modelling both linear structures and nonlinear complexities inherent in time series data.</w:t>
      </w:r>
      <w:r w:rsidR="00A574D8">
        <w:rPr>
          <w:rFonts w:ascii="Times New Roman" w:hAnsi="Times New Roman" w:cs="Times New Roman"/>
        </w:rPr>
        <w:t xml:space="preserve"> </w:t>
      </w:r>
      <w:r w:rsidR="005A61AE" w:rsidRPr="003575AA">
        <w:rPr>
          <w:rStyle w:val="whitespace-normal"/>
          <w:rFonts w:ascii="Times New Roman" w:hAnsi="Times New Roman" w:cs="Times New Roman"/>
        </w:rPr>
        <w:t>Phadte and Kolambkar</w:t>
      </w:r>
      <w:r w:rsidR="005A61AE" w:rsidRPr="003575AA">
        <w:rPr>
          <w:rFonts w:ascii="Times New Roman" w:hAnsi="Times New Roman" w:cs="Times New Roman"/>
        </w:rPr>
        <w:t xml:space="preserve"> (2024) analysed cashew nut arrivals and prices and reported declining arrivals with increasing prices over time. The study also observed lower price variability and persistence in prices due to the influenc</w:t>
      </w:r>
      <w:r w:rsidR="00A574D8">
        <w:rPr>
          <w:rFonts w:ascii="Times New Roman" w:hAnsi="Times New Roman" w:cs="Times New Roman"/>
        </w:rPr>
        <w:t xml:space="preserve">e of lagged prices; </w:t>
      </w:r>
      <w:r w:rsidR="005A61AE" w:rsidRPr="003575AA">
        <w:rPr>
          <w:rStyle w:val="whitespace-normal"/>
          <w:rFonts w:ascii="Times New Roman" w:hAnsi="Times New Roman" w:cs="Times New Roman"/>
        </w:rPr>
        <w:t>Jadhav</w:t>
      </w:r>
      <w:r w:rsidR="005A61AE" w:rsidRPr="003575AA">
        <w:rPr>
          <w:rFonts w:ascii="Times New Roman" w:hAnsi="Times New Roman" w:cs="Times New Roman"/>
        </w:rPr>
        <w:t xml:space="preserve"> et al. (2017) applied ARIMA models to forecast paddy, ragi, and maize prices in Karnataka and confirmed the effectiveness of ARIMA through lower forecasting errors.</w:t>
      </w:r>
      <w:r w:rsidR="00A574D8">
        <w:rPr>
          <w:rFonts w:ascii="Times New Roman" w:hAnsi="Times New Roman" w:cs="Times New Roman"/>
        </w:rPr>
        <w:t xml:space="preserve"> </w:t>
      </w:r>
      <w:r w:rsidR="005A61AE" w:rsidRPr="003575AA">
        <w:rPr>
          <w:rStyle w:val="whitespace-normal"/>
          <w:rFonts w:ascii="Times New Roman" w:hAnsi="Times New Roman" w:cs="Times New Roman"/>
        </w:rPr>
        <w:t>Mulla Areef</w:t>
      </w:r>
      <w:r w:rsidR="005A61AE" w:rsidRPr="003575AA">
        <w:rPr>
          <w:rFonts w:ascii="Times New Roman" w:hAnsi="Times New Roman" w:cs="Times New Roman"/>
        </w:rPr>
        <w:t xml:space="preserve"> et al. (2020) used ARIMA techniques to forecast onion prices in the Kurnool market and identified the ARIMA (1,1,1) model as the most suitable forecasting model.</w:t>
      </w:r>
      <w:r w:rsidR="00A574D8">
        <w:rPr>
          <w:rFonts w:ascii="Times New Roman" w:hAnsi="Times New Roman" w:cs="Times New Roman"/>
        </w:rPr>
        <w:t xml:space="preserve">  </w:t>
      </w:r>
      <w:r w:rsidR="005A61AE" w:rsidRPr="003575AA">
        <w:rPr>
          <w:rStyle w:val="whitespace-normal"/>
          <w:rFonts w:ascii="Times New Roman" w:hAnsi="Times New Roman" w:cs="Times New Roman"/>
        </w:rPr>
        <w:t>Cheng</w:t>
      </w:r>
      <w:r w:rsidR="005A61AE" w:rsidRPr="003575AA">
        <w:rPr>
          <w:rFonts w:ascii="Times New Roman" w:hAnsi="Times New Roman" w:cs="Times New Roman"/>
        </w:rPr>
        <w:t xml:space="preserve"> and </w:t>
      </w:r>
      <w:r w:rsidR="005A61AE" w:rsidRPr="003575AA">
        <w:rPr>
          <w:rStyle w:val="whitespace-normal"/>
          <w:rFonts w:ascii="Times New Roman" w:hAnsi="Times New Roman" w:cs="Times New Roman"/>
        </w:rPr>
        <w:t>Huang</w:t>
      </w:r>
      <w:r w:rsidR="005A61AE" w:rsidRPr="003575AA">
        <w:rPr>
          <w:rFonts w:ascii="Times New Roman" w:hAnsi="Times New Roman" w:cs="Times New Roman"/>
        </w:rPr>
        <w:t xml:space="preserve"> (2025) developed a hybrid SVM–ARMA framework and demonstrated improved forecasting accuracy and risk assessment in crop price prediction.</w:t>
      </w:r>
      <w:r w:rsidR="00A574D8">
        <w:rPr>
          <w:rFonts w:ascii="Times New Roman" w:hAnsi="Times New Roman" w:cs="Times New Roman"/>
        </w:rPr>
        <w:t xml:space="preserve">  </w:t>
      </w:r>
      <w:r w:rsidR="005A61AE" w:rsidRPr="003575AA">
        <w:rPr>
          <w:rStyle w:val="whitespace-normal"/>
          <w:rFonts w:ascii="Times New Roman" w:hAnsi="Times New Roman" w:cs="Times New Roman"/>
        </w:rPr>
        <w:t>Rubio</w:t>
      </w:r>
      <w:r w:rsidR="005A61AE" w:rsidRPr="003575AA">
        <w:rPr>
          <w:rFonts w:ascii="Times New Roman" w:hAnsi="Times New Roman" w:cs="Times New Roman"/>
        </w:rPr>
        <w:t xml:space="preserve"> and </w:t>
      </w:r>
      <w:r w:rsidR="005A61AE" w:rsidRPr="003575AA">
        <w:rPr>
          <w:rStyle w:val="whitespace-normal"/>
          <w:rFonts w:ascii="Times New Roman" w:hAnsi="Times New Roman" w:cs="Times New Roman"/>
        </w:rPr>
        <w:t>Alba</w:t>
      </w:r>
      <w:r w:rsidR="005A61AE" w:rsidRPr="003575AA">
        <w:rPr>
          <w:rFonts w:ascii="Times New Roman" w:hAnsi="Times New Roman" w:cs="Times New Roman"/>
        </w:rPr>
        <w:t xml:space="preserve"> (2022) proposed a hybrid ARIMA–SVR model and highlighted its superiority in capturing linear and nonlinear patterns in time series forecasting.</w:t>
      </w:r>
      <w:r w:rsidR="00A574D8">
        <w:rPr>
          <w:rFonts w:ascii="Times New Roman" w:hAnsi="Times New Roman" w:cs="Times New Roman"/>
        </w:rPr>
        <w:t xml:space="preserve">  </w:t>
      </w:r>
      <w:r w:rsidR="005A61AE" w:rsidRPr="003575AA">
        <w:rPr>
          <w:rStyle w:val="whitespace-normal"/>
          <w:rFonts w:ascii="Times New Roman" w:hAnsi="Times New Roman" w:cs="Times New Roman"/>
        </w:rPr>
        <w:t>Sahu</w:t>
      </w:r>
      <w:r w:rsidR="005A61AE" w:rsidRPr="003575AA">
        <w:rPr>
          <w:rFonts w:ascii="Times New Roman" w:hAnsi="Times New Roman" w:cs="Times New Roman"/>
        </w:rPr>
        <w:t xml:space="preserve"> et al. (2026) compared ARIMA and ARIMA–ANN hybrid models for groundnut forecasting and concluded that conventional ARIMA models were sufficiently effective.</w:t>
      </w:r>
      <w:r w:rsidR="00A574D8">
        <w:rPr>
          <w:rFonts w:ascii="Times New Roman" w:hAnsi="Times New Roman" w:cs="Times New Roman"/>
        </w:rPr>
        <w:t xml:space="preserve">  </w:t>
      </w:r>
      <w:r w:rsidR="005A61AE" w:rsidRPr="003575AA">
        <w:rPr>
          <w:rStyle w:val="whitespace-normal"/>
          <w:rFonts w:ascii="Times New Roman" w:hAnsi="Times New Roman" w:cs="Times New Roman"/>
        </w:rPr>
        <w:t>Shaik Shameem</w:t>
      </w:r>
      <w:r w:rsidR="005A61AE" w:rsidRPr="003575AA">
        <w:rPr>
          <w:rFonts w:ascii="Times New Roman" w:hAnsi="Times New Roman" w:cs="Times New Roman"/>
        </w:rPr>
        <w:t xml:space="preserve"> et al. (2025) compared ARIMA with machine learning models and found that hybrid ARIMA–SVR models provided better forecasting accuracy for sesamum prices.</w:t>
      </w:r>
    </w:p>
    <w:p w14:paraId="01751DC3" w14:textId="286E0840" w:rsidR="00A27E70" w:rsidRPr="00A574D8" w:rsidRDefault="00A27E70" w:rsidP="00A574D8">
      <w:pPr>
        <w:pStyle w:val="Heading2"/>
        <w:numPr>
          <w:ilvl w:val="0"/>
          <w:numId w:val="13"/>
        </w:numPr>
        <w:rPr>
          <w:rFonts w:ascii="Times New Roman" w:hAnsi="Times New Roman" w:cs="Times New Roman"/>
          <w:color w:val="auto"/>
          <w:sz w:val="24"/>
          <w:szCs w:val="24"/>
        </w:rPr>
      </w:pPr>
      <w:r w:rsidRPr="00A574D8">
        <w:rPr>
          <w:rStyle w:val="Strong"/>
          <w:rFonts w:ascii="Times New Roman" w:hAnsi="Times New Roman" w:cs="Times New Roman"/>
          <w:b w:val="0"/>
          <w:bCs w:val="0"/>
          <w:color w:val="auto"/>
          <w:sz w:val="24"/>
          <w:szCs w:val="24"/>
        </w:rPr>
        <w:t>M</w:t>
      </w:r>
      <w:r w:rsidR="00651295">
        <w:rPr>
          <w:rStyle w:val="Strong"/>
          <w:rFonts w:ascii="Times New Roman" w:hAnsi="Times New Roman" w:cs="Times New Roman"/>
          <w:b w:val="0"/>
          <w:bCs w:val="0"/>
          <w:color w:val="auto"/>
          <w:sz w:val="24"/>
          <w:szCs w:val="24"/>
        </w:rPr>
        <w:t>ethodology</w:t>
      </w:r>
    </w:p>
    <w:p w14:paraId="05037AB7" w14:textId="149C7EFB" w:rsidR="00A27E70" w:rsidRDefault="00A27E70" w:rsidP="007D2771">
      <w:pPr>
        <w:pStyle w:val="NormalWeb"/>
        <w:spacing w:before="0" w:beforeAutospacing="0" w:after="0" w:afterAutospacing="0" w:line="360" w:lineRule="auto"/>
        <w:jc w:val="both"/>
      </w:pPr>
      <w:r>
        <w:t xml:space="preserve">The present study is based on cashew nut markets in Andhra Pradesh and covers a period of 16 years, from 2010 to 2025. The study utilizes monthly wholesale price data (Rs./quintal) collected from secondary sources, namely </w:t>
      </w:r>
      <w:r w:rsidR="00D03E20">
        <w:t xml:space="preserve">agmarknet.gov.in </w:t>
      </w:r>
      <w:r>
        <w:t>and Indiastat</w:t>
      </w:r>
      <w:r w:rsidR="00D03E20">
        <w:t>.com</w:t>
      </w:r>
      <w:r>
        <w:t>. In total, 192 monthly observations were compiled for the analysis.</w:t>
      </w:r>
    </w:p>
    <w:p w14:paraId="71876CC9" w14:textId="77777777" w:rsidR="00A27E70" w:rsidRDefault="00A27E70" w:rsidP="007D2771">
      <w:pPr>
        <w:pStyle w:val="NormalWeb"/>
        <w:spacing w:before="0" w:beforeAutospacing="0" w:after="0" w:afterAutospacing="0" w:line="360" w:lineRule="auto"/>
        <w:jc w:val="both"/>
      </w:pPr>
      <w:r>
        <w:t>For model development and validation, the dataset was divided into training and testing sets. Out of the total observations, 180 data points (approximately 94%) were used for model training, while the remaining 12 observations (approximately 6%) were reserved as the test dataset.</w:t>
      </w:r>
    </w:p>
    <w:p w14:paraId="7FDFC786" w14:textId="6E59D6F0" w:rsidR="00E862EF" w:rsidRPr="001A0F61" w:rsidRDefault="00A27E70" w:rsidP="007D2771">
      <w:pPr>
        <w:pStyle w:val="NormalWeb"/>
        <w:spacing w:before="0" w:beforeAutospacing="0" w:after="0" w:afterAutospacing="0" w:line="360" w:lineRule="auto"/>
        <w:jc w:val="both"/>
      </w:pPr>
      <w:r>
        <w:t>The training dataset was used to estimate model parameters and develop the forecasting models, whereas the test dataset was used to evaluate the predictive performance of the models by comparing the actual and forecasted values. This approach ensures an objective assessment of model accuracy and generalization capability.</w:t>
      </w:r>
    </w:p>
    <w:p w14:paraId="4C4F1B57" w14:textId="61244693" w:rsidR="00A27E70" w:rsidRPr="00A27E70" w:rsidRDefault="00A574D8" w:rsidP="007D2771">
      <w:pPr>
        <w:pStyle w:val="Heading2"/>
        <w:spacing w:before="0" w:after="0" w:line="360" w:lineRule="auto"/>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lastRenderedPageBreak/>
        <w:t>2</w:t>
      </w:r>
      <w:r w:rsidR="00A27E70" w:rsidRPr="00A27E70">
        <w:rPr>
          <w:rStyle w:val="Strong"/>
          <w:rFonts w:ascii="Times New Roman" w:hAnsi="Times New Roman" w:cs="Times New Roman"/>
          <w:b w:val="0"/>
          <w:bCs w:val="0"/>
          <w:color w:val="auto"/>
          <w:sz w:val="24"/>
          <w:szCs w:val="24"/>
        </w:rPr>
        <w:t>.1 Auto</w:t>
      </w:r>
      <w:r w:rsidR="00A27E70">
        <w:rPr>
          <w:rStyle w:val="Strong"/>
          <w:rFonts w:ascii="Times New Roman" w:hAnsi="Times New Roman" w:cs="Times New Roman"/>
          <w:b w:val="0"/>
          <w:bCs w:val="0"/>
          <w:color w:val="auto"/>
          <w:sz w:val="24"/>
          <w:szCs w:val="24"/>
        </w:rPr>
        <w:t xml:space="preserve"> </w:t>
      </w:r>
      <w:r w:rsidR="00A27E70" w:rsidRPr="00A27E70">
        <w:rPr>
          <w:rStyle w:val="Strong"/>
          <w:rFonts w:ascii="Times New Roman" w:hAnsi="Times New Roman" w:cs="Times New Roman"/>
          <w:b w:val="0"/>
          <w:bCs w:val="0"/>
          <w:color w:val="auto"/>
          <w:sz w:val="24"/>
          <w:szCs w:val="24"/>
        </w:rPr>
        <w:t>Regressive Integrated Moving Average (ARIMA)</w:t>
      </w:r>
    </w:p>
    <w:p w14:paraId="11D8AB2E" w14:textId="31969CB4" w:rsidR="00A27E70" w:rsidRDefault="00A27E70" w:rsidP="007D2771">
      <w:pPr>
        <w:pStyle w:val="NormalWeb"/>
        <w:spacing w:before="0" w:beforeAutospacing="0" w:after="0" w:afterAutospacing="0" w:line="360" w:lineRule="auto"/>
        <w:jc w:val="both"/>
      </w:pPr>
      <w:r>
        <w:t>The methodological framework of the ARIMA model is based on the approach proposed by Jadhav et al. (2017). ARIMA is a widely used statistical technique for analysing and forecasting univariate time series data. It is particularly effective in modelling linear patterns and capturing the underlying structure of historical data.</w:t>
      </w:r>
    </w:p>
    <w:p w14:paraId="402BBDA1" w14:textId="68952ACF" w:rsidR="00A27E70" w:rsidRDefault="00A27E70" w:rsidP="007D2771">
      <w:pPr>
        <w:pStyle w:val="NormalWeb"/>
        <w:spacing w:before="0" w:beforeAutospacing="0" w:after="0" w:afterAutospacing="0" w:line="360" w:lineRule="auto"/>
        <w:jc w:val="both"/>
      </w:pPr>
      <w:r>
        <w:t>The ARIMA model comprises three components, namely Auto</w:t>
      </w:r>
      <w:r w:rsidR="008A62C3">
        <w:t xml:space="preserve"> </w:t>
      </w:r>
      <w:r>
        <w:t xml:space="preserve">Regressive (AR), Integrated (I), and Moving Average (MA). The </w:t>
      </w:r>
      <w:r w:rsidRPr="00A27E70">
        <w:rPr>
          <w:rStyle w:val="Strong"/>
          <w:rFonts w:eastAsiaTheme="majorEastAsia"/>
          <w:b w:val="0"/>
        </w:rPr>
        <w:t>Auto Regressive (AR) component</w:t>
      </w:r>
      <w:r>
        <w:t xml:space="preserve"> explains the dependence of the current observation on its past values. </w:t>
      </w:r>
      <w:r w:rsidRPr="00A27E70">
        <w:t>The</w:t>
      </w:r>
      <w:r w:rsidRPr="00A27E70">
        <w:rPr>
          <w:b/>
        </w:rPr>
        <w:t xml:space="preserve"> </w:t>
      </w:r>
      <w:r w:rsidRPr="00A27E70">
        <w:rPr>
          <w:rStyle w:val="Strong"/>
          <w:rFonts w:eastAsiaTheme="majorEastAsia"/>
          <w:b w:val="0"/>
        </w:rPr>
        <w:t>Integrated (I) component</w:t>
      </w:r>
      <w:r>
        <w:t xml:space="preserve"> involves differencing the series to achieve stationarity, which is essential for reliable time series modelling. </w:t>
      </w:r>
      <w:r w:rsidRPr="007D2771">
        <w:t>The</w:t>
      </w:r>
      <w:r w:rsidRPr="00A27E70">
        <w:rPr>
          <w:b/>
        </w:rPr>
        <w:t xml:space="preserve"> </w:t>
      </w:r>
      <w:r w:rsidRPr="00A27E70">
        <w:rPr>
          <w:rStyle w:val="Strong"/>
          <w:rFonts w:eastAsiaTheme="majorEastAsia"/>
          <w:b w:val="0"/>
        </w:rPr>
        <w:t>MA component</w:t>
      </w:r>
      <w:r>
        <w:t xml:space="preserve"> represents the relationship between the current observation and past error terms generated from previous forecasts.</w:t>
      </w:r>
    </w:p>
    <w:p w14:paraId="6916B2FC" w14:textId="7012CFEA" w:rsidR="00A27E70" w:rsidRDefault="00A27E70" w:rsidP="007D2771">
      <w:pPr>
        <w:pStyle w:val="NormalWeb"/>
        <w:spacing w:before="0" w:beforeAutospacing="0" w:after="0" w:afterAutospacing="0" w:line="360" w:lineRule="auto"/>
        <w:jc w:val="both"/>
      </w:pPr>
      <w:r>
        <w:t xml:space="preserve">The ARIMA model is expressed as ARIMA (p, d, q), where </w:t>
      </w:r>
      <w:r>
        <w:rPr>
          <w:rStyle w:val="Emphasis"/>
          <w:rFonts w:eastAsiaTheme="majorEastAsia"/>
        </w:rPr>
        <w:t>p</w:t>
      </w:r>
      <w:r>
        <w:t xml:space="preserve"> denotes the order of the autoregressive terms, </w:t>
      </w:r>
      <w:r>
        <w:rPr>
          <w:rStyle w:val="Emphasis"/>
          <w:rFonts w:eastAsiaTheme="majorEastAsia"/>
        </w:rPr>
        <w:t>d</w:t>
      </w:r>
      <w:r>
        <w:t xml:space="preserve"> represents the degree of differencing required to achieve </w:t>
      </w:r>
      <w:r w:rsidR="007D2771">
        <w:t>stationary</w:t>
      </w:r>
      <w:r>
        <w:t xml:space="preserve">, and </w:t>
      </w:r>
      <w:r>
        <w:rPr>
          <w:rStyle w:val="Emphasis"/>
          <w:rFonts w:eastAsiaTheme="majorEastAsia"/>
        </w:rPr>
        <w:t>q</w:t>
      </w:r>
      <w:r>
        <w:t xml:space="preserve"> indicates the order of the moving average terms.</w:t>
      </w:r>
    </w:p>
    <w:p w14:paraId="26DD6429" w14:textId="77777777" w:rsidR="00A27E70" w:rsidRDefault="00A27E70" w:rsidP="007D2771">
      <w:pPr>
        <w:pStyle w:val="NormalWeb"/>
        <w:spacing w:before="0" w:beforeAutospacing="0" w:after="0" w:afterAutospacing="0"/>
      </w:pPr>
      <w:r>
        <w:t>Mathematically, the ARIMA model is represented as:</w:t>
      </w:r>
    </w:p>
    <w:p w14:paraId="23317279" w14:textId="77777777" w:rsidR="00A27E70" w:rsidRDefault="00230893" w:rsidP="00A574D8">
      <w:pPr>
        <w:jc w:val="center"/>
        <w:rPr>
          <w:rFonts w:ascii="Arial" w:hAnsi="Arial" w:cs="Arial"/>
          <w:sz w:val="20"/>
          <w:szCs w:val="20"/>
          <w:lang w:val="en-US"/>
        </w:rPr>
      </w:pPr>
      <w:r w:rsidRPr="00230893">
        <w:rPr>
          <w:rFonts w:ascii="Arial" w:hAnsi="Arial" w:cs="Arial"/>
          <w:position w:val="-14"/>
          <w:sz w:val="20"/>
          <w:szCs w:val="20"/>
          <w:lang w:val="en-US"/>
        </w:rPr>
        <w:object w:dxaOrig="6680" w:dyaOrig="380" w14:anchorId="148B6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4.35pt;height:19.25pt" o:ole="">
            <v:imagedata r:id="rId10" o:title=""/>
          </v:shape>
          <o:OLEObject Type="Embed" ProgID="Equation.3" ShapeID="_x0000_i1025" DrawAspect="Content" ObjectID="_1840463196" r:id="rId11"/>
        </w:object>
      </w:r>
    </w:p>
    <w:p w14:paraId="2CA1DEE5" w14:textId="05455F84" w:rsidR="00230893" w:rsidRDefault="00230893" w:rsidP="007D2771">
      <w:pPr>
        <w:jc w:val="both"/>
      </w:pPr>
      <w:r w:rsidRPr="00C1471E">
        <w:rPr>
          <w:rFonts w:ascii="Times New Roman" w:hAnsi="Times New Roman" w:cs="Times New Roman"/>
          <w:sz w:val="20"/>
          <w:szCs w:val="20"/>
          <w:lang w:val="en-US"/>
        </w:rPr>
        <w:t xml:space="preserve">Where </w:t>
      </w:r>
      <w:r w:rsidRPr="00C1471E">
        <w:rPr>
          <w:rFonts w:ascii="Times New Roman" w:hAnsi="Times New Roman" w:cs="Times New Roman"/>
          <w:position w:val="-12"/>
          <w:sz w:val="20"/>
          <w:szCs w:val="20"/>
          <w:lang w:val="en-US"/>
        </w:rPr>
        <w:object w:dxaOrig="260" w:dyaOrig="360" w14:anchorId="039A03BF">
          <v:shape id="_x0000_i1026" type="#_x0000_t75" style="width:12.85pt;height:18.55pt" o:ole="">
            <v:imagedata r:id="rId12" o:title=""/>
          </v:shape>
          <o:OLEObject Type="Embed" ProgID="Equation.3" ShapeID="_x0000_i1026" DrawAspect="Content" ObjectID="_1840463197" r:id="rId13"/>
        </w:object>
      </w:r>
      <w:r w:rsidRPr="00C1471E">
        <w:rPr>
          <w:rFonts w:ascii="Times New Roman" w:hAnsi="Times New Roman" w:cs="Times New Roman"/>
          <w:sz w:val="20"/>
          <w:szCs w:val="20"/>
          <w:lang w:val="en-US"/>
        </w:rPr>
        <w:t xml:space="preserve">denotes the observed value at time </w:t>
      </w:r>
      <w:r w:rsidRPr="00C1471E">
        <w:rPr>
          <w:rFonts w:ascii="Times New Roman" w:hAnsi="Times New Roman" w:cs="Times New Roman"/>
          <w:position w:val="-6"/>
          <w:sz w:val="20"/>
          <w:szCs w:val="20"/>
          <w:lang w:val="en-US"/>
        </w:rPr>
        <w:object w:dxaOrig="139" w:dyaOrig="240" w14:anchorId="2A9AD623">
          <v:shape id="_x0000_i1027" type="#_x0000_t75" style="width:6.4pt;height:12.85pt" o:ole="">
            <v:imagedata r:id="rId14" o:title=""/>
          </v:shape>
          <o:OLEObject Type="Embed" ProgID="Equation.3" ShapeID="_x0000_i1027" DrawAspect="Content" ObjectID="_1840463198" r:id="rId15"/>
        </w:object>
      </w:r>
      <w:r w:rsidRPr="00C1471E">
        <w:rPr>
          <w:rFonts w:ascii="Times New Roman" w:hAnsi="Times New Roman" w:cs="Times New Roman"/>
          <w:sz w:val="20"/>
          <w:szCs w:val="20"/>
          <w:lang w:val="en-US"/>
        </w:rPr>
        <w:t xml:space="preserve">, </w:t>
      </w:r>
      <w:r w:rsidRPr="00C1471E">
        <w:rPr>
          <w:rFonts w:ascii="Times New Roman" w:hAnsi="Times New Roman" w:cs="Times New Roman"/>
          <w:position w:val="-10"/>
          <w:sz w:val="20"/>
          <w:szCs w:val="20"/>
          <w:lang w:val="en-US"/>
        </w:rPr>
        <w:object w:dxaOrig="200" w:dyaOrig="320" w14:anchorId="440C6FC1">
          <v:shape id="_x0000_i1028" type="#_x0000_t75" style="width:10pt;height:15.7pt" o:ole="">
            <v:imagedata r:id="rId16" o:title=""/>
          </v:shape>
          <o:OLEObject Type="Embed" ProgID="Equation.3" ShapeID="_x0000_i1028" DrawAspect="Content" ObjectID="_1840463199" r:id="rId17"/>
        </w:object>
      </w:r>
      <w:r w:rsidRPr="00C1471E">
        <w:rPr>
          <w:rFonts w:ascii="Times New Roman" w:hAnsi="Times New Roman" w:cs="Times New Roman"/>
          <w:sz w:val="20"/>
          <w:szCs w:val="20"/>
          <w:lang w:val="en-US"/>
        </w:rPr>
        <w:t xml:space="preserve">and </w:t>
      </w:r>
      <w:r w:rsidRPr="00C1471E">
        <w:rPr>
          <w:rFonts w:ascii="Times New Roman" w:hAnsi="Times New Roman" w:cs="Times New Roman"/>
          <w:position w:val="-6"/>
          <w:sz w:val="20"/>
          <w:szCs w:val="20"/>
          <w:lang w:val="en-US"/>
        </w:rPr>
        <w:object w:dxaOrig="200" w:dyaOrig="279" w14:anchorId="2EE90871">
          <v:shape id="_x0000_i1029" type="#_x0000_t75" style="width:10pt;height:14.25pt" o:ole="">
            <v:imagedata r:id="rId18" o:title=""/>
          </v:shape>
          <o:OLEObject Type="Embed" ProgID="Equation.3" ShapeID="_x0000_i1029" DrawAspect="Content" ObjectID="_1840463200" r:id="rId19"/>
        </w:object>
      </w:r>
      <w:r w:rsidRPr="00C1471E">
        <w:rPr>
          <w:rFonts w:ascii="Times New Roman" w:hAnsi="Times New Roman" w:cs="Times New Roman"/>
        </w:rPr>
        <w:t xml:space="preserve">are the parameters of the autoregressive and moving average components respectively, and </w:t>
      </w:r>
      <w:r w:rsidR="004105EB" w:rsidRPr="00C1471E">
        <w:rPr>
          <w:rFonts w:ascii="Times New Roman" w:hAnsi="Times New Roman" w:cs="Times New Roman"/>
          <w:position w:val="-12"/>
        </w:rPr>
        <w:object w:dxaOrig="240" w:dyaOrig="360" w14:anchorId="7D19B4C1">
          <v:shape id="_x0000_i1030" type="#_x0000_t75" style="width:12.85pt;height:18.55pt" o:ole="">
            <v:imagedata r:id="rId20" o:title=""/>
          </v:shape>
          <o:OLEObject Type="Embed" ProgID="Equation.3" ShapeID="_x0000_i1030" DrawAspect="Content" ObjectID="_1840463201" r:id="rId21"/>
        </w:object>
      </w:r>
      <w:r w:rsidRPr="00C1471E">
        <w:rPr>
          <w:rStyle w:val="vlist-s"/>
          <w:rFonts w:ascii="Times New Roman" w:hAnsi="Times New Roman" w:cs="Times New Roman"/>
        </w:rPr>
        <w:t>​</w:t>
      </w:r>
      <w:r w:rsidRPr="00C1471E">
        <w:rPr>
          <w:rFonts w:ascii="Times New Roman" w:hAnsi="Times New Roman" w:cs="Times New Roman"/>
        </w:rPr>
        <w:t xml:space="preserve"> represents the white noise error term</w:t>
      </w:r>
      <w:r>
        <w:t>.</w:t>
      </w:r>
    </w:p>
    <w:p w14:paraId="6C23DA25" w14:textId="6B734DA4" w:rsidR="004105EB" w:rsidRPr="004105EB" w:rsidRDefault="00A574D8" w:rsidP="007D2771">
      <w:pPr>
        <w:pStyle w:val="Heading2"/>
        <w:spacing w:before="0" w:after="0" w:line="360" w:lineRule="auto"/>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2</w:t>
      </w:r>
      <w:r w:rsidR="004105EB" w:rsidRPr="004105EB">
        <w:rPr>
          <w:rStyle w:val="Strong"/>
          <w:rFonts w:ascii="Times New Roman" w:hAnsi="Times New Roman" w:cs="Times New Roman"/>
          <w:b w:val="0"/>
          <w:bCs w:val="0"/>
          <w:color w:val="auto"/>
          <w:sz w:val="24"/>
          <w:szCs w:val="24"/>
        </w:rPr>
        <w:t>.2 Support Vector Regression (SVR)</w:t>
      </w:r>
    </w:p>
    <w:p w14:paraId="36749F4C" w14:textId="730AD3B6" w:rsidR="004105EB" w:rsidRDefault="00C1471E" w:rsidP="007D2771">
      <w:pPr>
        <w:pStyle w:val="NormalWeb"/>
        <w:spacing w:before="0" w:beforeAutospacing="0" w:after="0" w:afterAutospacing="0" w:line="360" w:lineRule="auto"/>
        <w:jc w:val="both"/>
      </w:pPr>
      <w:r>
        <w:t>SVR</w:t>
      </w:r>
      <w:r w:rsidR="004105EB">
        <w:t xml:space="preserve"> is a supervised machine learning technique widely used for regression and predictive modelling. It is an extension of Support Vector Machines (SVM) and is capable of handling both linear and nonlinear relationships in data effectively. Unlike conventional regression techniques that minimize the overall prediction error, SVR aims to estimate a function that approximates the observed data within a specified tolerance margin, known as the ε-insensitive zone.</w:t>
      </w:r>
    </w:p>
    <w:p w14:paraId="331008FE" w14:textId="77777777" w:rsidR="004105EB" w:rsidRDefault="004105EB" w:rsidP="007D2771">
      <w:pPr>
        <w:pStyle w:val="NormalWeb"/>
        <w:spacing w:before="0" w:beforeAutospacing="0" w:after="0" w:afterAutospacing="0"/>
      </w:pPr>
      <w:r>
        <w:t>The general regression function is expressed as:</w:t>
      </w:r>
    </w:p>
    <w:p w14:paraId="50A1A088" w14:textId="77777777" w:rsidR="004105EB" w:rsidRDefault="004105EB" w:rsidP="00D03E20">
      <w:pPr>
        <w:pStyle w:val="NormalWeb"/>
        <w:spacing w:before="0" w:beforeAutospacing="0" w:after="0" w:afterAutospacing="0"/>
        <w:jc w:val="center"/>
      </w:pPr>
      <w:r w:rsidRPr="004105EB">
        <w:rPr>
          <w:position w:val="-14"/>
        </w:rPr>
        <w:object w:dxaOrig="3900" w:dyaOrig="380" w14:anchorId="639874CB">
          <v:shape id="_x0000_i1031" type="#_x0000_t75" style="width:195.35pt;height:19.25pt" o:ole="">
            <v:imagedata r:id="rId22" o:title=""/>
          </v:shape>
          <o:OLEObject Type="Embed" ProgID="Equation.3" ShapeID="_x0000_i1031" DrawAspect="Content" ObjectID="_1840463202" r:id="rId23"/>
        </w:object>
      </w:r>
    </w:p>
    <w:p w14:paraId="0BDEB514" w14:textId="15D2E15F" w:rsidR="004105EB" w:rsidRPr="00C1471E" w:rsidRDefault="008F788E" w:rsidP="009E5981">
      <w:pPr>
        <w:rPr>
          <w:rFonts w:ascii="Times New Roman" w:hAnsi="Times New Roman" w:cs="Times New Roman"/>
        </w:rPr>
      </w:pPr>
      <w:r w:rsidRPr="00C1471E">
        <w:rPr>
          <w:rFonts w:ascii="Times New Roman" w:hAnsi="Times New Roman" w:cs="Times New Roman"/>
        </w:rPr>
        <w:t>The objective of SVR is to minimize the structural risk, which includes both the empirical error beyond the ε-tolerance and the complexity of the model. This can be represented as:</w:t>
      </w:r>
    </w:p>
    <w:p w14:paraId="79D569B3" w14:textId="2F0AE5D5" w:rsidR="004105EB" w:rsidRDefault="00E7770F" w:rsidP="00D03E20">
      <w:pPr>
        <w:tabs>
          <w:tab w:val="left" w:pos="1707"/>
        </w:tabs>
        <w:jc w:val="center"/>
      </w:pPr>
      <w:r w:rsidRPr="008F788E">
        <w:rPr>
          <w:position w:val="-30"/>
        </w:rPr>
        <w:object w:dxaOrig="3560" w:dyaOrig="700" w14:anchorId="26C604D5">
          <v:shape id="_x0000_i1032" type="#_x0000_t75" style="width:177.5pt;height:34.95pt" o:ole="">
            <v:imagedata r:id="rId24" o:title=""/>
          </v:shape>
          <o:OLEObject Type="Embed" ProgID="Equation.3" ShapeID="_x0000_i1032" DrawAspect="Content" ObjectID="_1840463203" r:id="rId25"/>
        </w:object>
      </w:r>
    </w:p>
    <w:p w14:paraId="279EE3F3" w14:textId="3BD505A7" w:rsidR="00E7770F" w:rsidRDefault="00E7770F" w:rsidP="00E7770F">
      <w:pPr>
        <w:tabs>
          <w:tab w:val="left" w:pos="1707"/>
        </w:tabs>
        <w:jc w:val="both"/>
      </w:pPr>
      <w:r w:rsidRPr="00E7770F">
        <w:rPr>
          <w:rFonts w:ascii="Times New Roman" w:hAnsi="Times New Roman" w:cs="Times New Roman"/>
        </w:rPr>
        <w:t>SVR operates by transforming the original input space into a higher-dimensional feature space using a nonlinear mapping function. In this transformed space, an optimal regression hyperplane is constructed to best fit the data while maintaining generalization capability</w:t>
      </w:r>
      <w:r>
        <w:t>.</w:t>
      </w:r>
    </w:p>
    <w:p w14:paraId="51B5EF1D" w14:textId="310BC147" w:rsidR="00E7770F" w:rsidRPr="00C1471E" w:rsidRDefault="00E7770F" w:rsidP="00E7770F">
      <w:pPr>
        <w:tabs>
          <w:tab w:val="left" w:pos="1707"/>
        </w:tabs>
        <w:jc w:val="both"/>
        <w:rPr>
          <w:rFonts w:ascii="Times New Roman" w:hAnsi="Times New Roman" w:cs="Times New Roman"/>
        </w:rPr>
      </w:pPr>
      <w:r w:rsidRPr="00C1471E">
        <w:rPr>
          <w:rFonts w:ascii="Times New Roman" w:hAnsi="Times New Roman" w:cs="Times New Roman"/>
        </w:rPr>
        <w:lastRenderedPageBreak/>
        <w:t xml:space="preserve">Given a data set </w:t>
      </w:r>
      <w:r w:rsidRPr="00C1471E">
        <w:rPr>
          <w:rFonts w:ascii="Times New Roman" w:hAnsi="Times New Roman" w:cs="Times New Roman"/>
          <w:position w:val="-12"/>
        </w:rPr>
        <w:object w:dxaOrig="1480" w:dyaOrig="400" w14:anchorId="545323AF">
          <v:shape id="_x0000_i1033" type="#_x0000_t75" style="width:74.15pt;height:19.95pt" o:ole="">
            <v:imagedata r:id="rId26" o:title=""/>
          </v:shape>
          <o:OLEObject Type="Embed" ProgID="Equation.3" ShapeID="_x0000_i1033" DrawAspect="Content" ObjectID="_1840463204" r:id="rId27"/>
        </w:object>
      </w:r>
      <w:r w:rsidRPr="00C1471E">
        <w:rPr>
          <w:rFonts w:ascii="Times New Roman" w:hAnsi="Times New Roman" w:cs="Times New Roman"/>
        </w:rPr>
        <w:t xml:space="preserve">where </w:t>
      </w:r>
      <w:r w:rsidRPr="00C1471E">
        <w:rPr>
          <w:rFonts w:ascii="Times New Roman" w:hAnsi="Times New Roman" w:cs="Times New Roman"/>
          <w:position w:val="-12"/>
        </w:rPr>
        <w:object w:dxaOrig="760" w:dyaOrig="380" w14:anchorId="3D2176D2">
          <v:shape id="_x0000_i1034" type="#_x0000_t75" style="width:38.5pt;height:19.25pt" o:ole="">
            <v:imagedata r:id="rId28" o:title=""/>
          </v:shape>
          <o:OLEObject Type="Embed" ProgID="Equation.3" ShapeID="_x0000_i1034" DrawAspect="Content" ObjectID="_1840463205" r:id="rId29"/>
        </w:object>
      </w:r>
      <w:r w:rsidRPr="00C1471E">
        <w:rPr>
          <w:rFonts w:ascii="Times New Roman" w:hAnsi="Times New Roman" w:cs="Times New Roman"/>
        </w:rPr>
        <w:t xml:space="preserve"> denotes the input variables and </w:t>
      </w:r>
      <w:r w:rsidR="00E61525" w:rsidRPr="00C1471E">
        <w:rPr>
          <w:rFonts w:ascii="Times New Roman" w:hAnsi="Times New Roman" w:cs="Times New Roman"/>
          <w:position w:val="-12"/>
        </w:rPr>
        <w:object w:dxaOrig="260" w:dyaOrig="360" w14:anchorId="2B0299A9">
          <v:shape id="_x0000_i1035" type="#_x0000_t75" style="width:12.85pt;height:18.55pt" o:ole="">
            <v:imagedata r:id="rId30" o:title=""/>
          </v:shape>
          <o:OLEObject Type="Embed" ProgID="Equation.3" ShapeID="_x0000_i1035" DrawAspect="Content" ObjectID="_1840463206" r:id="rId31"/>
        </w:object>
      </w:r>
      <w:r w:rsidRPr="00C1471E">
        <w:rPr>
          <w:rStyle w:val="vlist-s"/>
          <w:rFonts w:ascii="Times New Roman" w:hAnsi="Times New Roman" w:cs="Times New Roman"/>
        </w:rPr>
        <w:t>​</w:t>
      </w:r>
      <w:r w:rsidRPr="00C1471E">
        <w:rPr>
          <w:rFonts w:ascii="Times New Roman" w:hAnsi="Times New Roman" w:cs="Times New Roman"/>
        </w:rPr>
        <w:t xml:space="preserve"> represents the corresponding output variable, the SVR model is defined as:</w:t>
      </w:r>
    </w:p>
    <w:p w14:paraId="16AEBE22" w14:textId="370CAF26" w:rsidR="00191D3C" w:rsidRPr="00C1471E" w:rsidRDefault="00E61525" w:rsidP="00E61525">
      <w:pPr>
        <w:tabs>
          <w:tab w:val="left" w:pos="2347"/>
        </w:tabs>
        <w:jc w:val="both"/>
        <w:rPr>
          <w:rFonts w:ascii="Times New Roman" w:hAnsi="Times New Roman" w:cs="Times New Roman"/>
        </w:rPr>
      </w:pPr>
      <w:r w:rsidRPr="00C1471E">
        <w:rPr>
          <w:rFonts w:ascii="Times New Roman" w:hAnsi="Times New Roman" w:cs="Times New Roman"/>
        </w:rPr>
        <w:tab/>
      </w:r>
      <w:r w:rsidRPr="00C1471E">
        <w:rPr>
          <w:rFonts w:ascii="Times New Roman" w:hAnsi="Times New Roman" w:cs="Times New Roman"/>
          <w:position w:val="-10"/>
        </w:rPr>
        <w:object w:dxaOrig="1860" w:dyaOrig="360" w14:anchorId="7CA80CBC">
          <v:shape id="_x0000_i1036" type="#_x0000_t75" style="width:93.4pt;height:18.55pt" o:ole="">
            <v:imagedata r:id="rId32" o:title=""/>
          </v:shape>
          <o:OLEObject Type="Embed" ProgID="Equation.3" ShapeID="_x0000_i1036" DrawAspect="Content" ObjectID="_1840463207" r:id="rId33"/>
        </w:object>
      </w:r>
    </w:p>
    <w:p w14:paraId="607B5952" w14:textId="5F2B1241" w:rsidR="00E61525" w:rsidRPr="00C1471E" w:rsidRDefault="00E61525" w:rsidP="00E61525">
      <w:pPr>
        <w:tabs>
          <w:tab w:val="left" w:pos="2347"/>
        </w:tabs>
        <w:jc w:val="both"/>
        <w:rPr>
          <w:rFonts w:ascii="Times New Roman" w:hAnsi="Times New Roman" w:cs="Times New Roman"/>
        </w:rPr>
      </w:pPr>
      <w:r w:rsidRPr="00C1471E">
        <w:rPr>
          <w:rFonts w:ascii="Times New Roman" w:hAnsi="Times New Roman" w:cs="Times New Roman"/>
        </w:rPr>
        <w:t xml:space="preserve">where </w:t>
      </w:r>
      <w:r w:rsidRPr="00C1471E">
        <w:rPr>
          <w:rStyle w:val="katex-mathml"/>
          <w:rFonts w:ascii="Times New Roman" w:hAnsi="Times New Roman" w:cs="Times New Roman"/>
        </w:rPr>
        <w:t>W</w:t>
      </w:r>
      <w:r w:rsidRPr="00C1471E">
        <w:rPr>
          <w:rFonts w:ascii="Times New Roman" w:hAnsi="Times New Roman" w:cs="Times New Roman"/>
        </w:rPr>
        <w:t xml:space="preserve"> is the weight vector, </w:t>
      </w:r>
      <w:r w:rsidRPr="00C1471E">
        <w:rPr>
          <w:rStyle w:val="katex-mathml"/>
          <w:rFonts w:ascii="Times New Roman" w:hAnsi="Times New Roman" w:cs="Times New Roman"/>
        </w:rPr>
        <w:t>b</w:t>
      </w:r>
      <w:r w:rsidRPr="00C1471E">
        <w:rPr>
          <w:rFonts w:ascii="Times New Roman" w:hAnsi="Times New Roman" w:cs="Times New Roman"/>
        </w:rPr>
        <w:t xml:space="preserve"> is the bias term, and </w:t>
      </w:r>
      <w:r w:rsidRPr="00C1471E">
        <w:rPr>
          <w:rFonts w:ascii="Times New Roman" w:hAnsi="Times New Roman" w:cs="Times New Roman"/>
          <w:position w:val="-10"/>
        </w:rPr>
        <w:object w:dxaOrig="499" w:dyaOrig="320" w14:anchorId="12682DD2">
          <v:shape id="_x0000_i1037" type="#_x0000_t75" style="width:24.95pt;height:15.7pt" o:ole="">
            <v:imagedata r:id="rId34" o:title=""/>
          </v:shape>
          <o:OLEObject Type="Embed" ProgID="Equation.3" ShapeID="_x0000_i1037" DrawAspect="Content" ObjectID="_1840463208" r:id="rId35"/>
        </w:object>
      </w:r>
      <w:r w:rsidRPr="00C1471E">
        <w:rPr>
          <w:rFonts w:ascii="Times New Roman" w:hAnsi="Times New Roman" w:cs="Times New Roman"/>
        </w:rPr>
        <w:t xml:space="preserve"> denotes the nonlinear kernel-induced transformation function.</w:t>
      </w:r>
    </w:p>
    <w:p w14:paraId="0B44E307" w14:textId="7A48FA51" w:rsidR="004105EB" w:rsidRPr="00E61525" w:rsidRDefault="00A574D8" w:rsidP="004105EB">
      <w:pPr>
        <w:pStyle w:val="Heading2"/>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2</w:t>
      </w:r>
      <w:r w:rsidR="004105EB" w:rsidRPr="00E61525">
        <w:rPr>
          <w:rStyle w:val="Strong"/>
          <w:rFonts w:ascii="Times New Roman" w:hAnsi="Times New Roman" w:cs="Times New Roman"/>
          <w:b w:val="0"/>
          <w:bCs w:val="0"/>
          <w:color w:val="auto"/>
          <w:sz w:val="24"/>
          <w:szCs w:val="24"/>
        </w:rPr>
        <w:t>.3 Hybrid ARIMA–SVR Approach</w:t>
      </w:r>
    </w:p>
    <w:p w14:paraId="6CC645B4" w14:textId="77777777" w:rsidR="004105EB" w:rsidRDefault="004105EB" w:rsidP="007D2771">
      <w:pPr>
        <w:pStyle w:val="NormalWeb"/>
        <w:spacing w:before="0" w:beforeAutospacing="0" w:after="0" w:afterAutospacing="0" w:line="360" w:lineRule="auto"/>
        <w:jc w:val="both"/>
      </w:pPr>
      <w:r>
        <w:t>The hybrid ARIMA–SVR model is developed by integrating the strengths of both statistical and machine learning approaches to improve forecasting accuracy. In this framework, the ARIMA model is first employed to capture the linear structure present in the time series data.</w:t>
      </w:r>
    </w:p>
    <w:p w14:paraId="0D6CF325" w14:textId="49273D95" w:rsidR="004105EB" w:rsidRDefault="004105EB" w:rsidP="007D2771">
      <w:pPr>
        <w:pStyle w:val="NormalWeb"/>
        <w:spacing w:before="0" w:beforeAutospacing="0" w:after="0" w:afterAutospacing="0" w:line="360" w:lineRule="auto"/>
        <w:jc w:val="both"/>
      </w:pPr>
      <w:r>
        <w:t xml:space="preserve">The residuals obtained from the ARIMA model, which typically contain nonlinear and complex patterns not captured by the linear component, are subsequently </w:t>
      </w:r>
      <w:r w:rsidR="00E61525">
        <w:t>modelled</w:t>
      </w:r>
      <w:r>
        <w:t xml:space="preserve"> using SVR. This decomposition-based hybridization enables the model to effectively capture both linear and nonlinear dynamics inherent in the data.</w:t>
      </w:r>
    </w:p>
    <w:p w14:paraId="27B8835F" w14:textId="77777777" w:rsidR="004105EB" w:rsidRDefault="004105EB" w:rsidP="007D2771">
      <w:pPr>
        <w:pStyle w:val="NormalWeb"/>
        <w:spacing w:before="0" w:beforeAutospacing="0" w:after="0" w:afterAutospacing="0" w:line="360" w:lineRule="auto"/>
        <w:jc w:val="both"/>
      </w:pPr>
      <w:r>
        <w:t>By combining ARIMA and SVR, the hybrid approach enhances forecasting performance by reducing prediction errors and improving the robustness and reliability of forecasts compared to individual modelling techniques.</w:t>
      </w:r>
    </w:p>
    <w:p w14:paraId="776C9038" w14:textId="16B0662D" w:rsidR="00E61525" w:rsidRPr="00E61525" w:rsidRDefault="00A574D8" w:rsidP="007D2771">
      <w:pPr>
        <w:pStyle w:val="Heading2"/>
        <w:spacing w:before="0" w:after="0" w:line="360" w:lineRule="auto"/>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2</w:t>
      </w:r>
      <w:r w:rsidR="00E61525" w:rsidRPr="00E61525">
        <w:rPr>
          <w:rStyle w:val="Strong"/>
          <w:rFonts w:ascii="Times New Roman" w:hAnsi="Times New Roman" w:cs="Times New Roman"/>
          <w:b w:val="0"/>
          <w:bCs w:val="0"/>
          <w:color w:val="auto"/>
          <w:sz w:val="24"/>
          <w:szCs w:val="24"/>
        </w:rPr>
        <w:t>.4 Statistical Tests</w:t>
      </w:r>
    </w:p>
    <w:p w14:paraId="1AE59E25" w14:textId="788BC1EF" w:rsidR="00E61525" w:rsidRPr="00E61525" w:rsidRDefault="00A574D8" w:rsidP="007D2771">
      <w:pPr>
        <w:pStyle w:val="Heading3"/>
        <w:spacing w:before="0" w:after="0" w:line="360" w:lineRule="auto"/>
        <w:rPr>
          <w:rFonts w:ascii="Times New Roman" w:hAnsi="Times New Roman" w:cs="Times New Roman"/>
          <w:color w:val="auto"/>
          <w:sz w:val="24"/>
          <w:szCs w:val="24"/>
        </w:rPr>
      </w:pPr>
      <w:r>
        <w:rPr>
          <w:rStyle w:val="Strong"/>
          <w:rFonts w:ascii="Times New Roman" w:hAnsi="Times New Roman" w:cs="Times New Roman"/>
          <w:b w:val="0"/>
          <w:bCs w:val="0"/>
          <w:color w:val="auto"/>
          <w:sz w:val="24"/>
          <w:szCs w:val="24"/>
        </w:rPr>
        <w:t>2</w:t>
      </w:r>
      <w:r w:rsidR="00E61525" w:rsidRPr="00E61525">
        <w:rPr>
          <w:rStyle w:val="Strong"/>
          <w:rFonts w:ascii="Times New Roman" w:hAnsi="Times New Roman" w:cs="Times New Roman"/>
          <w:b w:val="0"/>
          <w:bCs w:val="0"/>
          <w:color w:val="auto"/>
          <w:sz w:val="24"/>
          <w:szCs w:val="24"/>
        </w:rPr>
        <w:t>.4.1 Box–Pierce Test</w:t>
      </w:r>
    </w:p>
    <w:p w14:paraId="306BA993" w14:textId="1E6395C7" w:rsidR="00E61525" w:rsidRDefault="00E61525" w:rsidP="007D2771">
      <w:pPr>
        <w:pStyle w:val="NormalWeb"/>
        <w:spacing w:before="0" w:beforeAutospacing="0" w:after="0" w:afterAutospacing="0" w:line="360" w:lineRule="auto"/>
        <w:jc w:val="both"/>
      </w:pPr>
      <w:r>
        <w:t>The Box–Pierce test was employed to examine the presence of autocorrelation in the residuals of the fitted models. This test assesses whether the residual series behaves as white noise, which is an essential assumption for an adequately fitted time series model. A non-significant test result indicates the absence of autocorrelation and confirms the adequacy of the model</w:t>
      </w:r>
    </w:p>
    <w:p w14:paraId="2D5528DF" w14:textId="77777777" w:rsidR="00E61525" w:rsidRPr="00E61525" w:rsidRDefault="00E61525" w:rsidP="007D2771">
      <w:pPr>
        <w:pStyle w:val="Heading3"/>
        <w:spacing w:before="0" w:after="0" w:line="360" w:lineRule="auto"/>
        <w:rPr>
          <w:rFonts w:ascii="Times New Roman" w:hAnsi="Times New Roman" w:cs="Times New Roman"/>
          <w:color w:val="auto"/>
          <w:sz w:val="24"/>
          <w:szCs w:val="24"/>
        </w:rPr>
      </w:pPr>
      <w:r w:rsidRPr="00E61525">
        <w:rPr>
          <w:rStyle w:val="Strong"/>
          <w:rFonts w:ascii="Times New Roman" w:hAnsi="Times New Roman" w:cs="Times New Roman"/>
          <w:b w:val="0"/>
          <w:bCs w:val="0"/>
          <w:color w:val="auto"/>
          <w:sz w:val="24"/>
          <w:szCs w:val="24"/>
        </w:rPr>
        <w:t>2.4.2 Brock–Dechert–Scheinkman (BDS) Test</w:t>
      </w:r>
    </w:p>
    <w:p w14:paraId="138646EB" w14:textId="75DC3AED" w:rsidR="004E1A3D" w:rsidRPr="004E1A3D" w:rsidRDefault="004E1A3D" w:rsidP="007D2771">
      <w:pPr>
        <w:pStyle w:val="NormalWeb"/>
        <w:spacing w:before="0" w:beforeAutospacing="0" w:after="0" w:afterAutospacing="0" w:line="360" w:lineRule="auto"/>
        <w:jc w:val="both"/>
      </w:pPr>
      <w:r w:rsidRPr="004E1A3D">
        <w:t xml:space="preserve">The </w:t>
      </w:r>
      <w:r w:rsidRPr="004E1A3D">
        <w:rPr>
          <w:rStyle w:val="Strong"/>
          <w:rFonts w:eastAsiaTheme="majorEastAsia"/>
          <w:b w:val="0"/>
        </w:rPr>
        <w:t>BDS test</w:t>
      </w:r>
      <w:r w:rsidRPr="004E1A3D">
        <w:t xml:space="preserve"> is employed to detect the presence of </w:t>
      </w:r>
      <w:r w:rsidRPr="004E1A3D">
        <w:rPr>
          <w:rStyle w:val="Strong"/>
          <w:rFonts w:eastAsiaTheme="majorEastAsia"/>
          <w:b w:val="0"/>
        </w:rPr>
        <w:t>nonlinearity and dependence structures</w:t>
      </w:r>
      <w:r w:rsidRPr="004E1A3D">
        <w:t xml:space="preserve"> in time series data. It evaluates whether the residuals of a fitted model are </w:t>
      </w:r>
      <w:r w:rsidRPr="004E1A3D">
        <w:rPr>
          <w:rStyle w:val="Strong"/>
          <w:rFonts w:eastAsiaTheme="majorEastAsia"/>
          <w:b w:val="0"/>
        </w:rPr>
        <w:t>independently and identically distributed (i.i.d.)</w:t>
      </w:r>
      <w:r w:rsidRPr="004E1A3D">
        <w:rPr>
          <w:b/>
        </w:rPr>
        <w:t>.</w:t>
      </w:r>
      <w:r w:rsidRPr="004E1A3D">
        <w:t xml:space="preserve"> A statistically significant BDS statistic indicates rejection of the i.i.d. assumption, thereby confirming the presence of nonlinear dynamics or residual dependence in the series. This outcome provides empirical justification for the application of advanced nonlinear forecasting techniques such as </w:t>
      </w:r>
      <w:r w:rsidRPr="004E1A3D">
        <w:rPr>
          <w:rStyle w:val="Strong"/>
          <w:rFonts w:eastAsiaTheme="majorEastAsia"/>
          <w:b w:val="0"/>
        </w:rPr>
        <w:t>SVR, ANN, Extreme Learning Machine (ELM), and Random Forest Regression</w:t>
      </w:r>
      <w:r w:rsidRPr="004E1A3D">
        <w:t>, which are better suited to capture complex data structures</w:t>
      </w:r>
      <w:r>
        <w:t xml:space="preserve"> (Brock et al. (1996))</w:t>
      </w:r>
    </w:p>
    <w:p w14:paraId="17F73B54" w14:textId="2DF61530" w:rsidR="00E61525" w:rsidRPr="00292FE1" w:rsidRDefault="00A574D8" w:rsidP="00C1471E">
      <w:pPr>
        <w:pStyle w:val="Heading2"/>
        <w:spacing w:before="0" w:after="0" w:line="360" w:lineRule="auto"/>
        <w:rPr>
          <w:rFonts w:ascii="Times New Roman" w:hAnsi="Times New Roman" w:cs="Times New Roman"/>
          <w:sz w:val="24"/>
          <w:szCs w:val="24"/>
        </w:rPr>
      </w:pPr>
      <w:r>
        <w:rPr>
          <w:rStyle w:val="Strong"/>
          <w:rFonts w:ascii="Times New Roman" w:hAnsi="Times New Roman" w:cs="Times New Roman"/>
          <w:b w:val="0"/>
          <w:bCs w:val="0"/>
          <w:color w:val="auto"/>
          <w:sz w:val="24"/>
          <w:szCs w:val="24"/>
        </w:rPr>
        <w:lastRenderedPageBreak/>
        <w:t>2.5</w:t>
      </w:r>
      <w:r w:rsidR="00E61525" w:rsidRPr="00292FE1">
        <w:rPr>
          <w:rStyle w:val="Strong"/>
          <w:rFonts w:ascii="Times New Roman" w:hAnsi="Times New Roman" w:cs="Times New Roman"/>
          <w:b w:val="0"/>
          <w:bCs w:val="0"/>
          <w:color w:val="auto"/>
          <w:sz w:val="24"/>
          <w:szCs w:val="24"/>
        </w:rPr>
        <w:t xml:space="preserve"> Performance Evaluation Metrics</w:t>
      </w:r>
    </w:p>
    <w:p w14:paraId="02ABD0AC" w14:textId="77777777" w:rsidR="00E61525" w:rsidRDefault="00E61525" w:rsidP="00C1471E">
      <w:pPr>
        <w:pStyle w:val="NormalWeb"/>
        <w:spacing w:before="0" w:beforeAutospacing="0" w:after="0" w:afterAutospacing="0" w:line="360" w:lineRule="auto"/>
        <w:jc w:val="both"/>
      </w:pPr>
      <w:r>
        <w:t>The forecasting performance of the models was evaluated using standard statistical accuracy measures. The models with lower error values were considered to possess superior forecasting performance.</w:t>
      </w:r>
    </w:p>
    <w:p w14:paraId="14711115" w14:textId="77777777" w:rsidR="00E61525" w:rsidRPr="00A75AA4" w:rsidRDefault="00E61525" w:rsidP="00C1471E">
      <w:pPr>
        <w:pStyle w:val="Heading3"/>
        <w:spacing w:before="0" w:after="0" w:line="360" w:lineRule="auto"/>
        <w:rPr>
          <w:rFonts w:ascii="Times New Roman" w:hAnsi="Times New Roman" w:cs="Times New Roman"/>
          <w:color w:val="auto"/>
          <w:sz w:val="24"/>
          <w:szCs w:val="24"/>
        </w:rPr>
      </w:pPr>
      <w:r w:rsidRPr="00A75AA4">
        <w:rPr>
          <w:rStyle w:val="Strong"/>
          <w:rFonts w:ascii="Times New Roman" w:hAnsi="Times New Roman" w:cs="Times New Roman"/>
          <w:b w:val="0"/>
          <w:bCs w:val="0"/>
          <w:color w:val="auto"/>
          <w:sz w:val="24"/>
          <w:szCs w:val="24"/>
        </w:rPr>
        <w:t>2.5.1 Root Mean Square Error (RMSE)</w:t>
      </w:r>
    </w:p>
    <w:p w14:paraId="50A907C1" w14:textId="08E6B6BF" w:rsidR="00E61525" w:rsidRDefault="00C1471E" w:rsidP="00C1471E">
      <w:pPr>
        <w:pStyle w:val="NormalWeb"/>
        <w:spacing w:before="0" w:beforeAutospacing="0" w:after="0" w:afterAutospacing="0" w:line="360" w:lineRule="auto"/>
        <w:jc w:val="both"/>
      </w:pPr>
      <w:r>
        <w:t>RMSE</w:t>
      </w:r>
      <w:r w:rsidR="00E61525">
        <w:t xml:space="preserve"> measures the square root of the average squared deviations between the observed and forecasted values. It provides an estimate of the magnitude of prediction errors and is widely used to assess forecasting accuracy.</w:t>
      </w:r>
    </w:p>
    <w:p w14:paraId="056E9E5B" w14:textId="77777777" w:rsidR="00292FE1" w:rsidRDefault="00292FE1" w:rsidP="00CF3BE8">
      <w:pPr>
        <w:pStyle w:val="NormalWeb"/>
        <w:jc w:val="center"/>
      </w:pPr>
      <w:r w:rsidRPr="00292FE1">
        <w:rPr>
          <w:position w:val="-26"/>
        </w:rPr>
        <w:object w:dxaOrig="2360" w:dyaOrig="1040" w14:anchorId="09A62B88">
          <v:shape id="_x0000_i1038" type="#_x0000_t75" style="width:118.35pt;height:52.05pt" o:ole="">
            <v:imagedata r:id="rId36" o:title=""/>
          </v:shape>
          <o:OLEObject Type="Embed" ProgID="Equation.3" ShapeID="_x0000_i1038" DrawAspect="Content" ObjectID="_1840463209" r:id="rId37"/>
        </w:object>
      </w:r>
    </w:p>
    <w:p w14:paraId="3F63DDC3" w14:textId="77777777" w:rsidR="00CF3BE8" w:rsidRPr="00CF3BE8" w:rsidRDefault="00CF3BE8" w:rsidP="00C1471E">
      <w:pPr>
        <w:spacing w:after="0" w:line="240" w:lineRule="auto"/>
        <w:rPr>
          <w:rFonts w:ascii="Times New Roman" w:eastAsia="Times New Roman" w:hAnsi="Times New Roman" w:cs="Times New Roman"/>
          <w:kern w:val="0"/>
          <w:lang w:eastAsia="en-IN"/>
          <w14:ligatures w14:val="none"/>
        </w:rPr>
      </w:pPr>
      <w:r w:rsidRPr="00CF3BE8">
        <w:rPr>
          <w:rFonts w:ascii="Times New Roman" w:eastAsia="Times New Roman" w:hAnsi="Times New Roman" w:cs="Times New Roman"/>
          <w:kern w:val="0"/>
          <w:lang w:eastAsia="en-IN"/>
          <w14:ligatures w14:val="none"/>
        </w:rPr>
        <w:t>where:</w:t>
      </w:r>
    </w:p>
    <w:p w14:paraId="2D9F1824" w14:textId="62EE5345" w:rsidR="00CF3BE8" w:rsidRPr="00CF3BE8" w:rsidRDefault="00D76766" w:rsidP="00C1471E">
      <w:pPr>
        <w:spacing w:after="0" w:line="240" w:lineRule="auto"/>
        <w:rPr>
          <w:rFonts w:ascii="Times New Roman" w:eastAsia="Times New Roman" w:hAnsi="Times New Roman" w:cs="Times New Roman"/>
          <w:kern w:val="0"/>
          <w:lang w:eastAsia="en-IN"/>
          <w14:ligatures w14:val="none"/>
        </w:rPr>
      </w:pPr>
      <w:r w:rsidRPr="00CF3BE8">
        <w:rPr>
          <w:rFonts w:ascii="Times New Roman" w:eastAsia="Times New Roman" w:hAnsi="Times New Roman" w:cs="Times New Roman"/>
          <w:kern w:val="0"/>
          <w:position w:val="-12"/>
          <w:lang w:eastAsia="en-IN"/>
          <w14:ligatures w14:val="none"/>
        </w:rPr>
        <w:object w:dxaOrig="260" w:dyaOrig="360" w14:anchorId="6F83DD9D">
          <v:shape id="_x0000_i1039" type="#_x0000_t75" style="width:12.85pt;height:18.55pt" o:ole="">
            <v:imagedata r:id="rId38" o:title=""/>
          </v:shape>
          <o:OLEObject Type="Embed" ProgID="Equation.3" ShapeID="_x0000_i1039" DrawAspect="Content" ObjectID="_1840463210" r:id="rId39"/>
        </w:object>
      </w:r>
      <w:r w:rsidR="00CF3BE8" w:rsidRPr="00CF3BE8">
        <w:rPr>
          <w:rFonts w:ascii="Times New Roman" w:eastAsia="Times New Roman" w:hAnsi="Times New Roman" w:cs="Times New Roman"/>
          <w:kern w:val="0"/>
          <w:lang w:eastAsia="en-IN"/>
          <w14:ligatures w14:val="none"/>
        </w:rPr>
        <w:t>​</w:t>
      </w:r>
      <w:r>
        <w:rPr>
          <w:rFonts w:ascii="Times New Roman" w:eastAsia="Times New Roman" w:hAnsi="Times New Roman" w:cs="Times New Roman"/>
          <w:kern w:val="0"/>
          <w:lang w:eastAsia="en-IN"/>
          <w14:ligatures w14:val="none"/>
        </w:rPr>
        <w:t xml:space="preserve"> = actual observed value; </w:t>
      </w:r>
      <w:r w:rsidRPr="00CF3BE8">
        <w:rPr>
          <w:rFonts w:ascii="Times New Roman" w:eastAsia="Times New Roman" w:hAnsi="Times New Roman" w:cs="Times New Roman"/>
          <w:kern w:val="0"/>
          <w:position w:val="-12"/>
          <w:lang w:eastAsia="en-IN"/>
          <w14:ligatures w14:val="none"/>
        </w:rPr>
        <w:object w:dxaOrig="260" w:dyaOrig="360" w14:anchorId="223C4EBC">
          <v:shape id="_x0000_i1040" type="#_x0000_t75" style="width:12.85pt;height:18.55pt" o:ole="">
            <v:imagedata r:id="rId40" o:title=""/>
          </v:shape>
          <o:OLEObject Type="Embed" ProgID="Equation.3" ShapeID="_x0000_i1040" DrawAspect="Content" ObjectID="_1840463211" r:id="rId41"/>
        </w:object>
      </w:r>
      <w:r w:rsidR="00CF3BE8" w:rsidRPr="00CF3BE8">
        <w:rPr>
          <w:rFonts w:ascii="Times New Roman" w:eastAsia="Times New Roman" w:hAnsi="Times New Roman" w:cs="Times New Roman"/>
          <w:kern w:val="0"/>
          <w:lang w:eastAsia="en-IN"/>
          <w14:ligatures w14:val="none"/>
        </w:rPr>
        <w:t xml:space="preserve">​ = predicted value </w:t>
      </w:r>
      <w:r>
        <w:rPr>
          <w:rFonts w:ascii="Times New Roman" w:eastAsia="Times New Roman" w:hAnsi="Times New Roman" w:cs="Times New Roman"/>
          <w:kern w:val="0"/>
          <w:lang w:eastAsia="en-IN"/>
          <w14:ligatures w14:val="none"/>
        </w:rPr>
        <w:t xml:space="preserve"> and </w:t>
      </w:r>
      <w:r w:rsidR="00CF3BE8" w:rsidRPr="00CF3BE8">
        <w:rPr>
          <w:rFonts w:ascii="Times New Roman" w:eastAsia="Times New Roman" w:hAnsi="Times New Roman" w:cs="Times New Roman"/>
          <w:kern w:val="0"/>
          <w:lang w:eastAsia="en-IN"/>
          <w14:ligatures w14:val="none"/>
        </w:rPr>
        <w:t xml:space="preserve">N = total number of observations </w:t>
      </w:r>
    </w:p>
    <w:p w14:paraId="5E109E1F" w14:textId="16BED55F" w:rsidR="00CF3BE8" w:rsidRDefault="00CF3BE8" w:rsidP="00C1471E">
      <w:pPr>
        <w:spacing w:after="0" w:line="240" w:lineRule="auto"/>
        <w:rPr>
          <w:rFonts w:ascii="Times New Roman" w:eastAsia="Times New Roman" w:hAnsi="Times New Roman" w:cs="Times New Roman"/>
          <w:kern w:val="0"/>
          <w:lang w:eastAsia="en-IN"/>
          <w14:ligatures w14:val="none"/>
        </w:rPr>
      </w:pPr>
      <w:r w:rsidRPr="00CF3BE8">
        <w:rPr>
          <w:rFonts w:ascii="Times New Roman" w:eastAsia="Times New Roman" w:hAnsi="Times New Roman" w:cs="Times New Roman"/>
          <w:kern w:val="0"/>
          <w:lang w:eastAsia="en-IN"/>
          <w14:ligatures w14:val="none"/>
        </w:rPr>
        <w:t>A lower RMSE value indicates better model performance.</w:t>
      </w:r>
    </w:p>
    <w:p w14:paraId="14C541F2" w14:textId="77777777" w:rsidR="00651295" w:rsidRPr="00D76766" w:rsidRDefault="00651295" w:rsidP="00C1471E">
      <w:pPr>
        <w:spacing w:after="0" w:line="240" w:lineRule="auto"/>
        <w:rPr>
          <w:rFonts w:ascii="Times New Roman" w:eastAsia="Times New Roman" w:hAnsi="Times New Roman" w:cs="Times New Roman"/>
          <w:kern w:val="0"/>
          <w:lang w:eastAsia="en-IN"/>
          <w14:ligatures w14:val="none"/>
        </w:rPr>
      </w:pPr>
    </w:p>
    <w:p w14:paraId="45A9826D" w14:textId="77777777" w:rsidR="00E61525" w:rsidRPr="00292FE1" w:rsidRDefault="00E61525" w:rsidP="00C1471E">
      <w:pPr>
        <w:pStyle w:val="Heading3"/>
        <w:spacing w:before="0" w:after="0" w:line="360" w:lineRule="auto"/>
        <w:rPr>
          <w:rFonts w:ascii="Times New Roman" w:hAnsi="Times New Roman" w:cs="Times New Roman"/>
          <w:color w:val="auto"/>
          <w:sz w:val="24"/>
          <w:szCs w:val="24"/>
        </w:rPr>
      </w:pPr>
      <w:r w:rsidRPr="00292FE1">
        <w:rPr>
          <w:rStyle w:val="Strong"/>
          <w:rFonts w:ascii="Times New Roman" w:hAnsi="Times New Roman" w:cs="Times New Roman"/>
          <w:b w:val="0"/>
          <w:bCs w:val="0"/>
          <w:color w:val="auto"/>
          <w:sz w:val="24"/>
          <w:szCs w:val="24"/>
        </w:rPr>
        <w:t>2.5.2 Mean Absolute Percentage Error (MAPE)</w:t>
      </w:r>
    </w:p>
    <w:p w14:paraId="12FD5E20" w14:textId="29AE0D90" w:rsidR="00E61525" w:rsidRDefault="00C1471E" w:rsidP="00C1471E">
      <w:pPr>
        <w:pStyle w:val="NormalWeb"/>
        <w:spacing w:before="0" w:beforeAutospacing="0" w:after="0" w:afterAutospacing="0" w:line="360" w:lineRule="auto"/>
        <w:jc w:val="both"/>
      </w:pPr>
      <w:r>
        <w:t xml:space="preserve"> MAPE </w:t>
      </w:r>
      <w:r w:rsidR="00E61525">
        <w:t>measures forecasting accuracy in percentage terms by computing the average absolute deviation between actual and predicted values relative to the actual observations.</w:t>
      </w:r>
    </w:p>
    <w:p w14:paraId="6068B5F9" w14:textId="383FE2E4" w:rsidR="00292FE1" w:rsidRDefault="00292FE1" w:rsidP="00C1471E">
      <w:pPr>
        <w:pStyle w:val="NormalWeb"/>
        <w:spacing w:before="0" w:beforeAutospacing="0" w:after="0" w:afterAutospacing="0" w:line="360" w:lineRule="auto"/>
        <w:jc w:val="center"/>
      </w:pPr>
      <w:r w:rsidRPr="00292FE1">
        <w:rPr>
          <w:position w:val="-10"/>
        </w:rPr>
        <w:object w:dxaOrig="180" w:dyaOrig="340" w14:anchorId="2C19EBBF">
          <v:shape id="_x0000_i1041" type="#_x0000_t75" style="width:9.25pt;height:17.8pt" o:ole="">
            <v:imagedata r:id="rId42" o:title=""/>
          </v:shape>
          <o:OLEObject Type="Embed" ProgID="Equation.3" ShapeID="_x0000_i1041" DrawAspect="Content" ObjectID="_1840463212" r:id="rId43"/>
        </w:object>
      </w:r>
      <w:r>
        <w:t>MAPE=</w:t>
      </w:r>
      <w:r w:rsidRPr="00292FE1">
        <w:rPr>
          <w:position w:val="-32"/>
        </w:rPr>
        <w:object w:dxaOrig="1400" w:dyaOrig="760" w14:anchorId="05F01561">
          <v:shape id="_x0000_i1042" type="#_x0000_t75" style="width:69.85pt;height:38.5pt" o:ole="">
            <v:imagedata r:id="rId44" o:title=""/>
          </v:shape>
          <o:OLEObject Type="Embed" ProgID="Equation.3" ShapeID="_x0000_i1042" DrawAspect="Content" ObjectID="_1840463213" r:id="rId45"/>
        </w:object>
      </w:r>
    </w:p>
    <w:p w14:paraId="4D01B3F8" w14:textId="06237031" w:rsidR="00292FE1" w:rsidRDefault="00292FE1" w:rsidP="00C1471E">
      <w:pPr>
        <w:pStyle w:val="NormalWeb"/>
        <w:spacing w:before="0" w:beforeAutospacing="0" w:after="0" w:afterAutospacing="0" w:line="360" w:lineRule="auto"/>
        <w:jc w:val="both"/>
      </w:pPr>
      <w:r>
        <w:t xml:space="preserve">Where </w:t>
      </w:r>
      <w:r w:rsidR="00AD08CA">
        <w:t xml:space="preserve"> </w:t>
      </w:r>
      <w:r w:rsidR="00AD08CA" w:rsidRPr="00AD08CA">
        <w:rPr>
          <w:position w:val="-12"/>
        </w:rPr>
        <w:object w:dxaOrig="279" w:dyaOrig="360" w14:anchorId="44059B3C">
          <v:shape id="_x0000_i1043" type="#_x0000_t75" style="width:14.25pt;height:18.55pt" o:ole="">
            <v:imagedata r:id="rId46" o:title=""/>
          </v:shape>
          <o:OLEObject Type="Embed" ProgID="Equation.3" ShapeID="_x0000_i1043" DrawAspect="Content" ObjectID="_1840463214" r:id="rId47"/>
        </w:object>
      </w:r>
      <w:r w:rsidR="00AD08CA">
        <w:t xml:space="preserve">and </w:t>
      </w:r>
      <w:r w:rsidR="00CF3BE8" w:rsidRPr="00AD08CA">
        <w:rPr>
          <w:position w:val="-12"/>
        </w:rPr>
        <w:object w:dxaOrig="260" w:dyaOrig="360" w14:anchorId="31ED87DD">
          <v:shape id="_x0000_i1044" type="#_x0000_t75" style="width:12.85pt;height:18.55pt" o:ole="">
            <v:imagedata r:id="rId48" o:title=""/>
          </v:shape>
          <o:OLEObject Type="Embed" ProgID="Equation.3" ShapeID="_x0000_i1044" DrawAspect="Content" ObjectID="_1840463215" r:id="rId49"/>
        </w:object>
      </w:r>
      <w:r w:rsidR="00AD08CA">
        <w:t xml:space="preserve">denote actual and </w:t>
      </w:r>
      <w:r w:rsidR="00D76766">
        <w:t>predicted values and N be the total number of observations</w:t>
      </w:r>
    </w:p>
    <w:p w14:paraId="7E136B36" w14:textId="77777777" w:rsidR="00D76766" w:rsidRPr="00D76766" w:rsidRDefault="00D76766" w:rsidP="00C1471E">
      <w:pPr>
        <w:spacing w:after="0" w:line="360" w:lineRule="auto"/>
        <w:rPr>
          <w:rFonts w:ascii="Times New Roman" w:eastAsia="Times New Roman" w:hAnsi="Times New Roman" w:cs="Times New Roman"/>
          <w:kern w:val="0"/>
          <w:lang w:eastAsia="en-IN"/>
          <w14:ligatures w14:val="none"/>
        </w:rPr>
      </w:pPr>
      <w:r w:rsidRPr="00D76766">
        <w:rPr>
          <w:rFonts w:ascii="Times New Roman" w:eastAsia="Times New Roman" w:hAnsi="Times New Roman" w:cs="Times New Roman"/>
          <w:kern w:val="0"/>
          <w:lang w:eastAsia="en-IN"/>
          <w14:ligatures w14:val="none"/>
        </w:rPr>
        <w:t>A lower MAPE value indicates higher forecasting accuracy and improved model efficiency.</w:t>
      </w:r>
    </w:p>
    <w:p w14:paraId="50231D9A" w14:textId="32802E91" w:rsidR="00E61525" w:rsidRDefault="00651295" w:rsidP="00C1471E">
      <w:pPr>
        <w:pStyle w:val="NormalWeb"/>
        <w:numPr>
          <w:ilvl w:val="0"/>
          <w:numId w:val="13"/>
        </w:numPr>
        <w:spacing w:before="0" w:beforeAutospacing="0" w:after="0" w:afterAutospacing="0" w:line="360" w:lineRule="auto"/>
        <w:jc w:val="both"/>
      </w:pPr>
      <w:r>
        <w:t>Results and Discussion</w:t>
      </w:r>
    </w:p>
    <w:p w14:paraId="25043100" w14:textId="77777777" w:rsidR="003F3480" w:rsidRDefault="00CC4BA6" w:rsidP="00C1471E">
      <w:pPr>
        <w:spacing w:after="0" w:line="360" w:lineRule="auto"/>
        <w:jc w:val="both"/>
        <w:rPr>
          <w:rFonts w:ascii="Times New Roman" w:eastAsia="Times New Roman" w:hAnsi="Times New Roman" w:cs="Times New Roman"/>
          <w:kern w:val="0"/>
          <w:lang w:eastAsia="en-IN"/>
          <w14:ligatures w14:val="none"/>
        </w:rPr>
      </w:pPr>
      <w:r w:rsidRPr="00CC4BA6">
        <w:rPr>
          <w:rFonts w:ascii="Times New Roman" w:eastAsia="Times New Roman" w:hAnsi="Times New Roman" w:cs="Times New Roman"/>
          <w:kern w:val="0"/>
          <w:lang w:eastAsia="en-IN"/>
          <w14:ligatures w14:val="none"/>
        </w:rPr>
        <w:t xml:space="preserve">The wholesale monthly prices of cashew nut in Andhra Pradesh (Table 1) exhibit a mean of ₹13,020.63 and a median of ₹12,258.37, indicating a </w:t>
      </w:r>
      <w:r w:rsidRPr="00CC4BA6">
        <w:rPr>
          <w:rFonts w:ascii="Times New Roman" w:eastAsia="Times New Roman" w:hAnsi="Times New Roman" w:cs="Times New Roman"/>
          <w:bCs/>
          <w:kern w:val="0"/>
          <w:lang w:eastAsia="en-IN"/>
          <w14:ligatures w14:val="none"/>
        </w:rPr>
        <w:t>positively skewed distribution</w:t>
      </w:r>
      <w:r w:rsidRPr="00CC4BA6">
        <w:rPr>
          <w:rFonts w:ascii="Times New Roman" w:eastAsia="Times New Roman" w:hAnsi="Times New Roman" w:cs="Times New Roman"/>
          <w:kern w:val="0"/>
          <w:lang w:eastAsia="en-IN"/>
          <w14:ligatures w14:val="none"/>
        </w:rPr>
        <w:t xml:space="preserve"> (skewness = 1.50). The mode of ₹10,000, being lower than both the mean and median, further confirms the presence of intermittent higher price realizations during the study period.</w:t>
      </w:r>
      <w:r>
        <w:rPr>
          <w:rFonts w:ascii="Times New Roman" w:eastAsia="Times New Roman" w:hAnsi="Times New Roman" w:cs="Times New Roman"/>
          <w:kern w:val="0"/>
          <w:lang w:eastAsia="en-IN"/>
          <w14:ligatures w14:val="none"/>
        </w:rPr>
        <w:t xml:space="preserve"> </w:t>
      </w:r>
      <w:r w:rsidRPr="00CC4BA6">
        <w:rPr>
          <w:rFonts w:ascii="Times New Roman" w:eastAsia="Times New Roman" w:hAnsi="Times New Roman" w:cs="Times New Roman"/>
          <w:kern w:val="0"/>
          <w:lang w:eastAsia="en-IN"/>
          <w14:ligatures w14:val="none"/>
        </w:rPr>
        <w:t xml:space="preserve">The standard deviation (₹3,533.87) and coefficient of variation (27.14%) reflect </w:t>
      </w:r>
      <w:r w:rsidRPr="00CC4BA6">
        <w:rPr>
          <w:rFonts w:ascii="Times New Roman" w:eastAsia="Times New Roman" w:hAnsi="Times New Roman" w:cs="Times New Roman"/>
          <w:bCs/>
          <w:kern w:val="0"/>
          <w:lang w:eastAsia="en-IN"/>
          <w14:ligatures w14:val="none"/>
        </w:rPr>
        <w:t>moderate variability</w:t>
      </w:r>
      <w:r w:rsidRPr="00CC4BA6">
        <w:rPr>
          <w:rFonts w:ascii="Times New Roman" w:eastAsia="Times New Roman" w:hAnsi="Times New Roman" w:cs="Times New Roman"/>
          <w:kern w:val="0"/>
          <w:lang w:eastAsia="en-IN"/>
          <w14:ligatures w14:val="none"/>
        </w:rPr>
        <w:t xml:space="preserve"> in prices over time. The observed price range (₹8,500–₹25,519) highlights considerable fluctuations in the market. The interquartile range of ₹3,229.64 (₹13,969.64–₹10,740) further indicates a moderate spread within the central 50 per cent of the distribution.</w:t>
      </w:r>
      <w:r>
        <w:rPr>
          <w:rFonts w:ascii="Times New Roman" w:eastAsia="Times New Roman" w:hAnsi="Times New Roman" w:cs="Times New Roman"/>
          <w:kern w:val="0"/>
          <w:lang w:eastAsia="en-IN"/>
          <w14:ligatures w14:val="none"/>
        </w:rPr>
        <w:t xml:space="preserve"> </w:t>
      </w:r>
      <w:r w:rsidRPr="00CC4BA6">
        <w:rPr>
          <w:rFonts w:ascii="Times New Roman" w:eastAsia="Times New Roman" w:hAnsi="Times New Roman" w:cs="Times New Roman"/>
          <w:kern w:val="0"/>
          <w:lang w:eastAsia="en-IN"/>
          <w14:ligatures w14:val="none"/>
        </w:rPr>
        <w:t xml:space="preserve">The kurtosis value of 2.21 suggests a </w:t>
      </w:r>
      <w:r w:rsidRPr="00CC4BA6">
        <w:rPr>
          <w:rFonts w:ascii="Times New Roman" w:eastAsia="Times New Roman" w:hAnsi="Times New Roman" w:cs="Times New Roman"/>
          <w:bCs/>
          <w:kern w:val="0"/>
          <w:lang w:eastAsia="en-IN"/>
          <w14:ligatures w14:val="none"/>
        </w:rPr>
        <w:t>platykurtic distribution</w:t>
      </w:r>
      <w:r w:rsidRPr="00CC4BA6">
        <w:rPr>
          <w:rFonts w:ascii="Times New Roman" w:eastAsia="Times New Roman" w:hAnsi="Times New Roman" w:cs="Times New Roman"/>
          <w:kern w:val="0"/>
          <w:lang w:eastAsia="en-IN"/>
          <w14:ligatures w14:val="none"/>
        </w:rPr>
        <w:t xml:space="preserve">, implying a relatively flatter distribution with fewer extreme observations compared to a normal distribution. Overall, the </w:t>
      </w:r>
      <w:r w:rsidRPr="00CC4BA6">
        <w:rPr>
          <w:rFonts w:ascii="Times New Roman" w:eastAsia="Times New Roman" w:hAnsi="Times New Roman" w:cs="Times New Roman"/>
          <w:kern w:val="0"/>
          <w:lang w:eastAsia="en-IN"/>
          <w14:ligatures w14:val="none"/>
        </w:rPr>
        <w:lastRenderedPageBreak/>
        <w:t>results indicate that cashew nut prices are moderately volatile with episodic upward price spikes, reflecting underlying market instability during the study period.</w:t>
      </w:r>
    </w:p>
    <w:p w14:paraId="67450A29" w14:textId="2CD8A591" w:rsidR="00CC4BA6" w:rsidRPr="003F3480" w:rsidRDefault="00CC4BA6" w:rsidP="00A75AA4">
      <w:pPr>
        <w:spacing w:after="0" w:line="360" w:lineRule="auto"/>
        <w:jc w:val="both"/>
        <w:rPr>
          <w:rFonts w:ascii="Times New Roman" w:eastAsia="Times New Roman" w:hAnsi="Times New Roman" w:cs="Times New Roman"/>
          <w:kern w:val="0"/>
          <w:lang w:eastAsia="en-IN"/>
          <w14:ligatures w14:val="none"/>
        </w:rPr>
      </w:pPr>
      <w:r>
        <w:rPr>
          <w:rFonts w:ascii="Times New Roman" w:hAnsi="Times New Roman" w:cs="Times New Roman"/>
        </w:rPr>
        <w:t>Table 1: Summary statistics of cashew nut of monthly prices of Andhra Pradesh</w:t>
      </w:r>
    </w:p>
    <w:tbl>
      <w:tblPr>
        <w:tblStyle w:val="TableGrid"/>
        <w:tblW w:w="0" w:type="auto"/>
        <w:jc w:val="center"/>
        <w:tblLook w:val="04A0" w:firstRow="1" w:lastRow="0" w:firstColumn="1" w:lastColumn="0" w:noHBand="0" w:noVBand="1"/>
      </w:tblPr>
      <w:tblGrid>
        <w:gridCol w:w="1383"/>
        <w:gridCol w:w="1236"/>
      </w:tblGrid>
      <w:tr w:rsidR="00CC4BA6" w14:paraId="5029FC11" w14:textId="77777777" w:rsidTr="007A1B0B">
        <w:trPr>
          <w:trHeight w:val="562"/>
          <w:jc w:val="center"/>
        </w:trPr>
        <w:tc>
          <w:tcPr>
            <w:tcW w:w="1383" w:type="dxa"/>
          </w:tcPr>
          <w:p w14:paraId="5EA3C765"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Statistic</w:t>
            </w:r>
          </w:p>
        </w:tc>
        <w:tc>
          <w:tcPr>
            <w:tcW w:w="1236" w:type="dxa"/>
          </w:tcPr>
          <w:p w14:paraId="4C255B3C"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 xml:space="preserve"> Value </w:t>
            </w:r>
          </w:p>
        </w:tc>
      </w:tr>
      <w:tr w:rsidR="00CC4BA6" w14:paraId="0EC8AEDA" w14:textId="77777777" w:rsidTr="007A1B0B">
        <w:trPr>
          <w:jc w:val="center"/>
        </w:trPr>
        <w:tc>
          <w:tcPr>
            <w:tcW w:w="1383" w:type="dxa"/>
          </w:tcPr>
          <w:p w14:paraId="75B7E7E6" w14:textId="77777777" w:rsidR="00CC4BA6" w:rsidRPr="00A75AA4" w:rsidRDefault="00CC4BA6" w:rsidP="003F3480">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 xml:space="preserve">Mean </w:t>
            </w:r>
          </w:p>
        </w:tc>
        <w:tc>
          <w:tcPr>
            <w:tcW w:w="1236" w:type="dxa"/>
          </w:tcPr>
          <w:p w14:paraId="2B484696"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13020.63</w:t>
            </w:r>
          </w:p>
        </w:tc>
      </w:tr>
      <w:tr w:rsidR="00CC4BA6" w14:paraId="4678FA8A" w14:textId="77777777" w:rsidTr="007A1B0B">
        <w:trPr>
          <w:jc w:val="center"/>
        </w:trPr>
        <w:tc>
          <w:tcPr>
            <w:tcW w:w="1383" w:type="dxa"/>
          </w:tcPr>
          <w:p w14:paraId="43E8AA2D" w14:textId="77777777" w:rsidR="00CC4BA6" w:rsidRPr="00A75AA4" w:rsidRDefault="00CC4BA6" w:rsidP="003F3480">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Median</w:t>
            </w:r>
          </w:p>
        </w:tc>
        <w:tc>
          <w:tcPr>
            <w:tcW w:w="1236" w:type="dxa"/>
          </w:tcPr>
          <w:p w14:paraId="4FD5570A"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12258.37</w:t>
            </w:r>
          </w:p>
        </w:tc>
      </w:tr>
      <w:tr w:rsidR="00CC4BA6" w14:paraId="6C68EA63" w14:textId="77777777" w:rsidTr="007A1B0B">
        <w:trPr>
          <w:jc w:val="center"/>
        </w:trPr>
        <w:tc>
          <w:tcPr>
            <w:tcW w:w="1383" w:type="dxa"/>
          </w:tcPr>
          <w:p w14:paraId="2A306D28" w14:textId="77777777" w:rsidR="00CC4BA6" w:rsidRPr="00A75AA4" w:rsidRDefault="00CC4BA6" w:rsidP="003F3480">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Mode</w:t>
            </w:r>
          </w:p>
        </w:tc>
        <w:tc>
          <w:tcPr>
            <w:tcW w:w="1236" w:type="dxa"/>
          </w:tcPr>
          <w:p w14:paraId="1ED85606"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10000</w:t>
            </w:r>
          </w:p>
        </w:tc>
      </w:tr>
      <w:tr w:rsidR="00CC4BA6" w14:paraId="34B30493" w14:textId="77777777" w:rsidTr="007A1B0B">
        <w:trPr>
          <w:jc w:val="center"/>
        </w:trPr>
        <w:tc>
          <w:tcPr>
            <w:tcW w:w="1383" w:type="dxa"/>
          </w:tcPr>
          <w:p w14:paraId="0FF4B960" w14:textId="77777777" w:rsidR="00CC4BA6" w:rsidRPr="00A75AA4" w:rsidRDefault="00CC4BA6" w:rsidP="003F3480">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S.D.</w:t>
            </w:r>
          </w:p>
        </w:tc>
        <w:tc>
          <w:tcPr>
            <w:tcW w:w="1236" w:type="dxa"/>
          </w:tcPr>
          <w:p w14:paraId="3A785072"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3533.87</w:t>
            </w:r>
          </w:p>
        </w:tc>
      </w:tr>
      <w:tr w:rsidR="00CC4BA6" w14:paraId="0DD43E45" w14:textId="77777777" w:rsidTr="007A1B0B">
        <w:trPr>
          <w:jc w:val="center"/>
        </w:trPr>
        <w:tc>
          <w:tcPr>
            <w:tcW w:w="1383" w:type="dxa"/>
          </w:tcPr>
          <w:p w14:paraId="52C3491A" w14:textId="77777777" w:rsidR="00CC4BA6" w:rsidRPr="00A75AA4" w:rsidRDefault="00CC4BA6" w:rsidP="003F3480">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Skewness</w:t>
            </w:r>
          </w:p>
        </w:tc>
        <w:tc>
          <w:tcPr>
            <w:tcW w:w="1236" w:type="dxa"/>
          </w:tcPr>
          <w:p w14:paraId="28D85226"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1.5</w:t>
            </w:r>
          </w:p>
        </w:tc>
      </w:tr>
      <w:tr w:rsidR="00CC4BA6" w14:paraId="4C39108F" w14:textId="77777777" w:rsidTr="007A1B0B">
        <w:trPr>
          <w:jc w:val="center"/>
        </w:trPr>
        <w:tc>
          <w:tcPr>
            <w:tcW w:w="1383" w:type="dxa"/>
          </w:tcPr>
          <w:p w14:paraId="226594F7" w14:textId="77777777" w:rsidR="00CC4BA6" w:rsidRPr="00A75AA4" w:rsidRDefault="00CC4BA6" w:rsidP="003F3480">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Kurtosis</w:t>
            </w:r>
          </w:p>
        </w:tc>
        <w:tc>
          <w:tcPr>
            <w:tcW w:w="1236" w:type="dxa"/>
          </w:tcPr>
          <w:p w14:paraId="2E108E8A"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2.21</w:t>
            </w:r>
          </w:p>
        </w:tc>
      </w:tr>
      <w:tr w:rsidR="00CC4BA6" w14:paraId="0494452C" w14:textId="77777777" w:rsidTr="007A1B0B">
        <w:trPr>
          <w:jc w:val="center"/>
        </w:trPr>
        <w:tc>
          <w:tcPr>
            <w:tcW w:w="1383" w:type="dxa"/>
          </w:tcPr>
          <w:p w14:paraId="443D2247" w14:textId="77777777" w:rsidR="00CC4BA6" w:rsidRPr="00A75AA4" w:rsidRDefault="00CC4BA6" w:rsidP="003F3480">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Minimum</w:t>
            </w:r>
          </w:p>
        </w:tc>
        <w:tc>
          <w:tcPr>
            <w:tcW w:w="1236" w:type="dxa"/>
          </w:tcPr>
          <w:p w14:paraId="7858DFF2"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8500</w:t>
            </w:r>
          </w:p>
        </w:tc>
      </w:tr>
      <w:tr w:rsidR="00CC4BA6" w14:paraId="62E253CE" w14:textId="77777777" w:rsidTr="007A1B0B">
        <w:trPr>
          <w:jc w:val="center"/>
        </w:trPr>
        <w:tc>
          <w:tcPr>
            <w:tcW w:w="1383" w:type="dxa"/>
          </w:tcPr>
          <w:p w14:paraId="472E5F02" w14:textId="77777777" w:rsidR="00CC4BA6" w:rsidRPr="00A75AA4" w:rsidRDefault="00CC4BA6" w:rsidP="003F3480">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Maximum</w:t>
            </w:r>
          </w:p>
        </w:tc>
        <w:tc>
          <w:tcPr>
            <w:tcW w:w="1236" w:type="dxa"/>
          </w:tcPr>
          <w:p w14:paraId="58FFA824"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25519</w:t>
            </w:r>
          </w:p>
        </w:tc>
      </w:tr>
      <w:tr w:rsidR="00CC4BA6" w14:paraId="3AF71911" w14:textId="77777777" w:rsidTr="007A1B0B">
        <w:trPr>
          <w:jc w:val="center"/>
        </w:trPr>
        <w:tc>
          <w:tcPr>
            <w:tcW w:w="1383" w:type="dxa"/>
          </w:tcPr>
          <w:p w14:paraId="1FB5E0CD" w14:textId="77777777" w:rsidR="00CC4BA6" w:rsidRPr="00A75AA4" w:rsidRDefault="00CC4BA6" w:rsidP="003F3480">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1</w:t>
            </w:r>
            <w:r w:rsidRPr="00A75AA4">
              <w:rPr>
                <w:rFonts w:ascii="Times New Roman" w:hAnsi="Times New Roman" w:cs="Times New Roman"/>
                <w:sz w:val="22"/>
                <w:szCs w:val="22"/>
                <w:vertAlign w:val="superscript"/>
              </w:rPr>
              <w:t>st</w:t>
            </w:r>
            <w:r w:rsidRPr="00A75AA4">
              <w:rPr>
                <w:rFonts w:ascii="Times New Roman" w:hAnsi="Times New Roman" w:cs="Times New Roman"/>
                <w:sz w:val="22"/>
                <w:szCs w:val="22"/>
              </w:rPr>
              <w:t xml:space="preserve"> quartile</w:t>
            </w:r>
          </w:p>
        </w:tc>
        <w:tc>
          <w:tcPr>
            <w:tcW w:w="1236" w:type="dxa"/>
          </w:tcPr>
          <w:p w14:paraId="1F7DDF95"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10740</w:t>
            </w:r>
          </w:p>
        </w:tc>
      </w:tr>
      <w:tr w:rsidR="00CC4BA6" w14:paraId="7B92FFC2" w14:textId="77777777" w:rsidTr="007A1B0B">
        <w:trPr>
          <w:jc w:val="center"/>
        </w:trPr>
        <w:tc>
          <w:tcPr>
            <w:tcW w:w="1383" w:type="dxa"/>
          </w:tcPr>
          <w:p w14:paraId="34897506" w14:textId="77777777" w:rsidR="00CC4BA6" w:rsidRPr="00A75AA4" w:rsidRDefault="00CC4BA6" w:rsidP="003F3480">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3</w:t>
            </w:r>
            <w:r w:rsidRPr="00A75AA4">
              <w:rPr>
                <w:rFonts w:ascii="Times New Roman" w:hAnsi="Times New Roman" w:cs="Times New Roman"/>
                <w:sz w:val="22"/>
                <w:szCs w:val="22"/>
                <w:vertAlign w:val="superscript"/>
              </w:rPr>
              <w:t>rd</w:t>
            </w:r>
            <w:r w:rsidRPr="00A75AA4">
              <w:rPr>
                <w:rFonts w:ascii="Times New Roman" w:hAnsi="Times New Roman" w:cs="Times New Roman"/>
                <w:sz w:val="22"/>
                <w:szCs w:val="22"/>
              </w:rPr>
              <w:t xml:space="preserve"> quartile</w:t>
            </w:r>
          </w:p>
        </w:tc>
        <w:tc>
          <w:tcPr>
            <w:tcW w:w="1236" w:type="dxa"/>
          </w:tcPr>
          <w:p w14:paraId="185B2479"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13969.64</w:t>
            </w:r>
          </w:p>
        </w:tc>
      </w:tr>
      <w:tr w:rsidR="00CC4BA6" w14:paraId="77BCDF30" w14:textId="77777777" w:rsidTr="007A1B0B">
        <w:trPr>
          <w:jc w:val="center"/>
        </w:trPr>
        <w:tc>
          <w:tcPr>
            <w:tcW w:w="1383" w:type="dxa"/>
          </w:tcPr>
          <w:p w14:paraId="516AB275"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 xml:space="preserve">C.V </w:t>
            </w:r>
          </w:p>
        </w:tc>
        <w:tc>
          <w:tcPr>
            <w:tcW w:w="1236" w:type="dxa"/>
          </w:tcPr>
          <w:p w14:paraId="054D0B73" w14:textId="77777777" w:rsidR="00CC4BA6" w:rsidRPr="00A75AA4" w:rsidRDefault="00CC4BA6" w:rsidP="007A1B0B">
            <w:pPr>
              <w:tabs>
                <w:tab w:val="left" w:pos="284"/>
              </w:tabs>
              <w:jc w:val="both"/>
              <w:rPr>
                <w:rFonts w:ascii="Times New Roman" w:hAnsi="Times New Roman" w:cs="Times New Roman"/>
                <w:sz w:val="22"/>
                <w:szCs w:val="22"/>
              </w:rPr>
            </w:pPr>
            <w:r w:rsidRPr="00A75AA4">
              <w:rPr>
                <w:rFonts w:ascii="Times New Roman" w:hAnsi="Times New Roman" w:cs="Times New Roman"/>
                <w:sz w:val="22"/>
                <w:szCs w:val="22"/>
              </w:rPr>
              <w:t>27.14%</w:t>
            </w:r>
          </w:p>
        </w:tc>
      </w:tr>
    </w:tbl>
    <w:p w14:paraId="4190B18B" w14:textId="77777777" w:rsidR="009112AD" w:rsidRPr="009112AD" w:rsidRDefault="009112AD" w:rsidP="00C1471E">
      <w:pPr>
        <w:spacing w:after="0" w:line="360" w:lineRule="auto"/>
        <w:jc w:val="both"/>
        <w:rPr>
          <w:rFonts w:ascii="Times New Roman" w:eastAsia="Times New Roman" w:hAnsi="Times New Roman" w:cs="Times New Roman"/>
          <w:kern w:val="0"/>
          <w:lang w:eastAsia="en-IN"/>
          <w14:ligatures w14:val="none"/>
        </w:rPr>
      </w:pPr>
      <w:r w:rsidRPr="009112AD">
        <w:rPr>
          <w:rFonts w:ascii="Times New Roman" w:eastAsia="Times New Roman" w:hAnsi="Times New Roman" w:cs="Times New Roman"/>
          <w:kern w:val="0"/>
          <w:lang w:eastAsia="en-IN"/>
          <w14:ligatures w14:val="none"/>
        </w:rPr>
        <w:t xml:space="preserve">In this study, multiple modelling approaches were employed to better capture the underlying structure of cashew nut price data and enhance forecasting accuracy. The analysis commenced with an ARIMA model, where the </w:t>
      </w:r>
      <w:r w:rsidRPr="009112AD">
        <w:rPr>
          <w:rFonts w:ascii="Courier New" w:eastAsia="Times New Roman" w:hAnsi="Courier New" w:cs="Courier New"/>
          <w:kern w:val="0"/>
          <w:sz w:val="20"/>
          <w:szCs w:val="20"/>
          <w:lang w:eastAsia="en-IN"/>
          <w14:ligatures w14:val="none"/>
        </w:rPr>
        <w:t>auto.arima()</w:t>
      </w:r>
      <w:r w:rsidRPr="009112AD">
        <w:rPr>
          <w:rFonts w:ascii="Times New Roman" w:eastAsia="Times New Roman" w:hAnsi="Times New Roman" w:cs="Times New Roman"/>
          <w:kern w:val="0"/>
          <w:lang w:eastAsia="en-IN"/>
          <w14:ligatures w14:val="none"/>
        </w:rPr>
        <w:t xml:space="preserve"> function in R identified ARIMA (0,1,5) as the optimal specification based on the minimum Akaike Information Criterion (AIC). Diagnostic evaluation using the Box–Pierce test indicated that the residuals were free from autocorrelation, suggesting that the model adequately captured the linear dependence structure of the series. However, the BDS test provided evidence of non-linearity in the residuals, implying that the ARIMA model alone was insufficient to fully represent the underlying data-generating process.</w:t>
      </w:r>
    </w:p>
    <w:p w14:paraId="66F7F7F6" w14:textId="710A48C5" w:rsidR="009112AD" w:rsidRPr="009112AD" w:rsidRDefault="009112AD" w:rsidP="00C1471E">
      <w:pPr>
        <w:spacing w:after="0" w:line="360" w:lineRule="auto"/>
        <w:jc w:val="both"/>
        <w:rPr>
          <w:rFonts w:ascii="Times New Roman" w:eastAsia="Times New Roman" w:hAnsi="Times New Roman" w:cs="Times New Roman"/>
          <w:kern w:val="0"/>
          <w:lang w:eastAsia="en-IN"/>
          <w14:ligatures w14:val="none"/>
        </w:rPr>
      </w:pPr>
      <w:r w:rsidRPr="009112AD">
        <w:rPr>
          <w:rFonts w:ascii="Times New Roman" w:eastAsia="Times New Roman" w:hAnsi="Times New Roman" w:cs="Times New Roman"/>
          <w:kern w:val="0"/>
          <w:lang w:eastAsia="en-IN"/>
          <w14:ligatures w14:val="none"/>
        </w:rPr>
        <w:t xml:space="preserve">To address this limitation, a </w:t>
      </w:r>
      <w:r w:rsidR="00C1471E">
        <w:rPr>
          <w:rFonts w:ascii="Times New Roman" w:eastAsia="Times New Roman" w:hAnsi="Times New Roman" w:cs="Times New Roman"/>
          <w:kern w:val="0"/>
          <w:lang w:eastAsia="en-IN"/>
          <w14:ligatures w14:val="none"/>
        </w:rPr>
        <w:t>SVR</w:t>
      </w:r>
      <w:r w:rsidRPr="009112AD">
        <w:rPr>
          <w:rFonts w:ascii="Times New Roman" w:eastAsia="Times New Roman" w:hAnsi="Times New Roman" w:cs="Times New Roman"/>
          <w:kern w:val="0"/>
          <w:lang w:eastAsia="en-IN"/>
          <w14:ligatures w14:val="none"/>
        </w:rPr>
        <w:t xml:space="preserve"> model was developed. The model was optimized with a cost parameter of 7, gamma of 0.6, and epsilon of 0.01. These </w:t>
      </w:r>
      <w:r w:rsidR="003067B4" w:rsidRPr="009112AD">
        <w:rPr>
          <w:rFonts w:ascii="Times New Roman" w:eastAsia="Times New Roman" w:hAnsi="Times New Roman" w:cs="Times New Roman"/>
          <w:kern w:val="0"/>
          <w:lang w:eastAsia="en-IN"/>
          <w14:ligatures w14:val="none"/>
        </w:rPr>
        <w:t>hyper parameters</w:t>
      </w:r>
      <w:r w:rsidRPr="009112AD">
        <w:rPr>
          <w:rFonts w:ascii="Times New Roman" w:eastAsia="Times New Roman" w:hAnsi="Times New Roman" w:cs="Times New Roman"/>
          <w:kern w:val="0"/>
          <w:lang w:eastAsia="en-IN"/>
          <w14:ligatures w14:val="none"/>
        </w:rPr>
        <w:t xml:space="preserve"> were selected to achieve an appropriate balance between model flexibility and generalization performance, thereby improving predictive accuracy while mitigating the risk of </w:t>
      </w:r>
      <w:r w:rsidR="003067B4" w:rsidRPr="009112AD">
        <w:rPr>
          <w:rFonts w:ascii="Times New Roman" w:eastAsia="Times New Roman" w:hAnsi="Times New Roman" w:cs="Times New Roman"/>
          <w:kern w:val="0"/>
          <w:lang w:eastAsia="en-IN"/>
          <w14:ligatures w14:val="none"/>
        </w:rPr>
        <w:t>over fitting</w:t>
      </w:r>
      <w:r w:rsidRPr="009112AD">
        <w:rPr>
          <w:rFonts w:ascii="Times New Roman" w:eastAsia="Times New Roman" w:hAnsi="Times New Roman" w:cs="Times New Roman"/>
          <w:kern w:val="0"/>
          <w:lang w:eastAsia="en-IN"/>
          <w14:ligatures w14:val="none"/>
        </w:rPr>
        <w:t>.</w:t>
      </w:r>
    </w:p>
    <w:p w14:paraId="51F089BC" w14:textId="77777777" w:rsidR="009112AD" w:rsidRPr="009112AD" w:rsidRDefault="009112AD" w:rsidP="00C1471E">
      <w:pPr>
        <w:spacing w:after="0" w:line="360" w:lineRule="auto"/>
        <w:jc w:val="both"/>
        <w:rPr>
          <w:rFonts w:ascii="Times New Roman" w:eastAsia="Times New Roman" w:hAnsi="Times New Roman" w:cs="Times New Roman"/>
          <w:kern w:val="0"/>
          <w:lang w:eastAsia="en-IN"/>
          <w14:ligatures w14:val="none"/>
        </w:rPr>
      </w:pPr>
      <w:r w:rsidRPr="009112AD">
        <w:rPr>
          <w:rFonts w:ascii="Times New Roman" w:eastAsia="Times New Roman" w:hAnsi="Times New Roman" w:cs="Times New Roman"/>
          <w:kern w:val="0"/>
          <w:lang w:eastAsia="en-IN"/>
          <w14:ligatures w14:val="none"/>
        </w:rPr>
        <w:t>Subsequently, a hybrid ARIMA–SVR model was constructed to integrate the linear modelling capabilities of ARIMA with the non-linear learning strengths of SVR. This hybrid framework was designed to more effectively capture both linear and non-linear components of the time series.</w:t>
      </w:r>
    </w:p>
    <w:p w14:paraId="13E0C452" w14:textId="77777777" w:rsidR="009112AD" w:rsidRPr="009112AD" w:rsidRDefault="009112AD" w:rsidP="00C1471E">
      <w:pPr>
        <w:spacing w:after="0" w:line="360" w:lineRule="auto"/>
        <w:jc w:val="both"/>
        <w:rPr>
          <w:rFonts w:ascii="Times New Roman" w:eastAsia="Times New Roman" w:hAnsi="Times New Roman" w:cs="Times New Roman"/>
          <w:kern w:val="0"/>
          <w:lang w:eastAsia="en-IN"/>
          <w14:ligatures w14:val="none"/>
        </w:rPr>
      </w:pPr>
      <w:r w:rsidRPr="009112AD">
        <w:rPr>
          <w:rFonts w:ascii="Times New Roman" w:eastAsia="Times New Roman" w:hAnsi="Times New Roman" w:cs="Times New Roman"/>
          <w:kern w:val="0"/>
          <w:lang w:eastAsia="en-IN"/>
          <w14:ligatures w14:val="none"/>
        </w:rPr>
        <w:t>Model performance was assessed using RMSE and MAPE, as summarized in Table 2. The SVR model demonstrated the highest predictive accuracy, achieving the lowest test RMSE (24.0945) and MAPE (0.0016), thereby indicating strong capability in modelling non-linear patterns in the data. In comparison, the ARIMA (0,1,5) model exhibited substantially higher forecast errors, with a test RMSE of 2536.298 and MAPE of 0.1628. The hybrid ARIMA–</w:t>
      </w:r>
      <w:r w:rsidRPr="009112AD">
        <w:rPr>
          <w:rFonts w:ascii="Times New Roman" w:eastAsia="Times New Roman" w:hAnsi="Times New Roman" w:cs="Times New Roman"/>
          <w:kern w:val="0"/>
          <w:lang w:eastAsia="en-IN"/>
          <w14:ligatures w14:val="none"/>
        </w:rPr>
        <w:lastRenderedPageBreak/>
        <w:t>SVR model improved upon the ARIMA model, yielding reduced error values (RMSE = 255.3224; MAPE = 0.0059), although its predictive performance remained inferior to that of the SVR model.</w:t>
      </w:r>
    </w:p>
    <w:p w14:paraId="30D83B28" w14:textId="77777777" w:rsidR="009112AD" w:rsidRPr="009112AD" w:rsidRDefault="009112AD" w:rsidP="00C1471E">
      <w:pPr>
        <w:spacing w:after="0" w:line="360" w:lineRule="auto"/>
        <w:jc w:val="both"/>
        <w:rPr>
          <w:rFonts w:ascii="Times New Roman" w:eastAsia="Times New Roman" w:hAnsi="Times New Roman" w:cs="Times New Roman"/>
          <w:kern w:val="0"/>
          <w:lang w:eastAsia="en-IN"/>
          <w14:ligatures w14:val="none"/>
        </w:rPr>
      </w:pPr>
      <w:r w:rsidRPr="009112AD">
        <w:rPr>
          <w:rFonts w:ascii="Times New Roman" w:eastAsia="Times New Roman" w:hAnsi="Times New Roman" w:cs="Times New Roman"/>
          <w:kern w:val="0"/>
          <w:lang w:eastAsia="en-IN"/>
          <w14:ligatures w14:val="none"/>
        </w:rPr>
        <w:t>Residual diagnostic analysis, presented in Table 3, provided additional insights into model adequacy. The Box–Pierce test results indicated that the residuals from the SVR model were statistically significant (p = 2.24 × 10⁻⁸), suggesting the presence of autocorrelation and indicating that the model did not fully capture temporal dependencies in the series. In contrast, both the ARIMA (0,1,5) model (p = 0.7457) and the hybrid ARIMA–SVR model (p = 0.7551) produced non-significant results, confirming that their residuals were free from serial correlation.</w:t>
      </w:r>
    </w:p>
    <w:p w14:paraId="72623E4D" w14:textId="77777777" w:rsidR="009112AD" w:rsidRPr="009112AD" w:rsidRDefault="009112AD" w:rsidP="00C1471E">
      <w:pPr>
        <w:spacing w:after="0" w:line="360" w:lineRule="auto"/>
        <w:jc w:val="both"/>
        <w:rPr>
          <w:rFonts w:ascii="Times New Roman" w:eastAsia="Times New Roman" w:hAnsi="Times New Roman" w:cs="Times New Roman"/>
          <w:kern w:val="0"/>
          <w:lang w:eastAsia="en-IN"/>
          <w14:ligatures w14:val="none"/>
        </w:rPr>
      </w:pPr>
      <w:r w:rsidRPr="009112AD">
        <w:rPr>
          <w:rFonts w:ascii="Times New Roman" w:eastAsia="Times New Roman" w:hAnsi="Times New Roman" w:cs="Times New Roman"/>
          <w:kern w:val="0"/>
          <w:lang w:eastAsia="en-IN"/>
          <w14:ligatures w14:val="none"/>
        </w:rPr>
        <w:t>Overall, the findings indicate a trade-off between predictive accuracy and statistical adequacy. While the SVR model yields superior forecasting accuracy in terms of error metrics, the hybrid ARIMA–SVR model demonstrates more robust residual behaviour. These results suggest that the hybrid framework provides a more balanced and reliable approach for forecasting cashew nut prices in Andhra Pradesh.</w:t>
      </w:r>
    </w:p>
    <w:p w14:paraId="126C0B31" w14:textId="77777777" w:rsidR="00CC4BA6" w:rsidRPr="003B1B71" w:rsidRDefault="00CC4BA6" w:rsidP="00CC4BA6">
      <w:pPr>
        <w:tabs>
          <w:tab w:val="left" w:pos="284"/>
        </w:tabs>
        <w:spacing w:line="240" w:lineRule="auto"/>
        <w:jc w:val="both"/>
        <w:rPr>
          <w:rFonts w:ascii="Times New Roman" w:hAnsi="Times New Roman" w:cs="Times New Roman"/>
        </w:rPr>
      </w:pPr>
      <w:r>
        <w:rPr>
          <w:rFonts w:ascii="Times New Roman" w:hAnsi="Times New Roman" w:cs="Times New Roman"/>
        </w:rPr>
        <w:t>Table-2: Model selection criteria’s of cashew nut in Andhra Pradesh</w:t>
      </w:r>
    </w:p>
    <w:tbl>
      <w:tblPr>
        <w:tblStyle w:val="TableGrid"/>
        <w:tblpPr w:leftFromText="180" w:rightFromText="180" w:vertAnchor="text" w:horzAnchor="margin" w:tblpY="132"/>
        <w:tblW w:w="5070" w:type="pct"/>
        <w:tblLayout w:type="fixed"/>
        <w:tblLook w:val="04A0" w:firstRow="1" w:lastRow="0" w:firstColumn="1" w:lastColumn="0" w:noHBand="0" w:noVBand="1"/>
      </w:tblPr>
      <w:tblGrid>
        <w:gridCol w:w="2890"/>
        <w:gridCol w:w="1653"/>
        <w:gridCol w:w="1863"/>
        <w:gridCol w:w="1614"/>
        <w:gridCol w:w="1351"/>
      </w:tblGrid>
      <w:tr w:rsidR="00CC4BA6" w:rsidRPr="003B1B71" w14:paraId="5CDC63C7" w14:textId="77777777" w:rsidTr="007A1B0B">
        <w:trPr>
          <w:trHeight w:val="201"/>
        </w:trPr>
        <w:tc>
          <w:tcPr>
            <w:tcW w:w="1542" w:type="pct"/>
            <w:vMerge w:val="restart"/>
            <w:vAlign w:val="center"/>
          </w:tcPr>
          <w:p w14:paraId="55F614EA" w14:textId="77777777" w:rsidR="00CC4BA6" w:rsidRPr="00C1471E" w:rsidRDefault="00CC4BA6" w:rsidP="007A1B0B">
            <w:pPr>
              <w:tabs>
                <w:tab w:val="left" w:pos="720"/>
              </w:tabs>
              <w:spacing w:before="60" w:after="60"/>
              <w:ind w:left="-120"/>
              <w:jc w:val="center"/>
              <w:rPr>
                <w:rFonts w:ascii="Times New Roman" w:hAnsi="Times New Roman" w:cs="Times New Roman"/>
                <w:b/>
                <w:sz w:val="22"/>
                <w:szCs w:val="22"/>
              </w:rPr>
            </w:pPr>
            <w:r w:rsidRPr="00C1471E">
              <w:rPr>
                <w:rFonts w:ascii="Times New Roman" w:hAnsi="Times New Roman" w:cs="Times New Roman"/>
                <w:b/>
                <w:sz w:val="22"/>
                <w:szCs w:val="22"/>
              </w:rPr>
              <w:t>Models</w:t>
            </w:r>
          </w:p>
        </w:tc>
        <w:tc>
          <w:tcPr>
            <w:tcW w:w="1876" w:type="pct"/>
            <w:gridSpan w:val="2"/>
            <w:vAlign w:val="center"/>
          </w:tcPr>
          <w:p w14:paraId="5C8D4519" w14:textId="77777777" w:rsidR="00CC4BA6" w:rsidRPr="00C1471E" w:rsidRDefault="00CC4BA6" w:rsidP="007A1B0B">
            <w:pPr>
              <w:tabs>
                <w:tab w:val="left" w:pos="720"/>
              </w:tabs>
              <w:spacing w:before="60" w:after="60"/>
              <w:jc w:val="center"/>
              <w:rPr>
                <w:rFonts w:ascii="Times New Roman" w:hAnsi="Times New Roman" w:cs="Times New Roman"/>
                <w:b/>
                <w:sz w:val="22"/>
                <w:szCs w:val="22"/>
              </w:rPr>
            </w:pPr>
            <w:r w:rsidRPr="00C1471E">
              <w:rPr>
                <w:rFonts w:ascii="Times New Roman" w:hAnsi="Times New Roman" w:cs="Times New Roman"/>
                <w:b/>
                <w:sz w:val="22"/>
                <w:szCs w:val="22"/>
              </w:rPr>
              <w:t>RMSE</w:t>
            </w:r>
          </w:p>
        </w:tc>
        <w:tc>
          <w:tcPr>
            <w:tcW w:w="1582" w:type="pct"/>
            <w:gridSpan w:val="2"/>
            <w:vAlign w:val="center"/>
          </w:tcPr>
          <w:p w14:paraId="32A0C618" w14:textId="77777777" w:rsidR="00CC4BA6" w:rsidRPr="00C1471E" w:rsidRDefault="00CC4BA6" w:rsidP="007A1B0B">
            <w:pPr>
              <w:tabs>
                <w:tab w:val="left" w:pos="720"/>
              </w:tabs>
              <w:spacing w:before="60" w:after="60"/>
              <w:jc w:val="center"/>
              <w:rPr>
                <w:rFonts w:ascii="Times New Roman" w:hAnsi="Times New Roman" w:cs="Times New Roman"/>
                <w:b/>
                <w:sz w:val="22"/>
                <w:szCs w:val="22"/>
              </w:rPr>
            </w:pPr>
            <w:r w:rsidRPr="00C1471E">
              <w:rPr>
                <w:rFonts w:ascii="Times New Roman" w:hAnsi="Times New Roman" w:cs="Times New Roman"/>
                <w:b/>
                <w:sz w:val="22"/>
                <w:szCs w:val="22"/>
              </w:rPr>
              <w:t>MAPE</w:t>
            </w:r>
          </w:p>
        </w:tc>
      </w:tr>
      <w:tr w:rsidR="00CC4BA6" w:rsidRPr="003B1B71" w14:paraId="1693ECEE" w14:textId="77777777" w:rsidTr="007A1B0B">
        <w:trPr>
          <w:trHeight w:val="200"/>
        </w:trPr>
        <w:tc>
          <w:tcPr>
            <w:tcW w:w="1542" w:type="pct"/>
            <w:vMerge/>
            <w:vAlign w:val="center"/>
          </w:tcPr>
          <w:p w14:paraId="0DECBA10" w14:textId="77777777" w:rsidR="00CC4BA6" w:rsidRPr="00C1471E" w:rsidRDefault="00CC4BA6" w:rsidP="007A1B0B">
            <w:pPr>
              <w:tabs>
                <w:tab w:val="left" w:pos="720"/>
              </w:tabs>
              <w:spacing w:before="60" w:after="60"/>
              <w:jc w:val="center"/>
              <w:rPr>
                <w:rFonts w:ascii="Times New Roman" w:hAnsi="Times New Roman" w:cs="Times New Roman"/>
                <w:b/>
                <w:sz w:val="22"/>
                <w:szCs w:val="22"/>
              </w:rPr>
            </w:pPr>
          </w:p>
        </w:tc>
        <w:tc>
          <w:tcPr>
            <w:tcW w:w="882" w:type="pct"/>
            <w:vAlign w:val="center"/>
          </w:tcPr>
          <w:p w14:paraId="4DAAB973" w14:textId="77777777" w:rsidR="00CC4BA6" w:rsidRPr="00C1471E" w:rsidRDefault="00CC4BA6" w:rsidP="007A1B0B">
            <w:pPr>
              <w:tabs>
                <w:tab w:val="left" w:pos="720"/>
              </w:tabs>
              <w:spacing w:before="60" w:after="60"/>
              <w:jc w:val="center"/>
              <w:rPr>
                <w:rFonts w:ascii="Times New Roman" w:hAnsi="Times New Roman" w:cs="Times New Roman"/>
                <w:b/>
                <w:sz w:val="22"/>
                <w:szCs w:val="22"/>
              </w:rPr>
            </w:pPr>
            <w:r w:rsidRPr="00C1471E">
              <w:rPr>
                <w:rFonts w:ascii="Times New Roman" w:hAnsi="Times New Roman" w:cs="Times New Roman"/>
                <w:b/>
                <w:sz w:val="22"/>
                <w:szCs w:val="22"/>
              </w:rPr>
              <w:t>Train</w:t>
            </w:r>
          </w:p>
        </w:tc>
        <w:tc>
          <w:tcPr>
            <w:tcW w:w="994" w:type="pct"/>
            <w:vAlign w:val="center"/>
          </w:tcPr>
          <w:p w14:paraId="29994F1D" w14:textId="77777777" w:rsidR="00CC4BA6" w:rsidRPr="00C1471E" w:rsidRDefault="00CC4BA6" w:rsidP="007A1B0B">
            <w:pPr>
              <w:tabs>
                <w:tab w:val="left" w:pos="720"/>
              </w:tabs>
              <w:spacing w:before="60" w:after="60"/>
              <w:jc w:val="center"/>
              <w:rPr>
                <w:rFonts w:ascii="Times New Roman" w:hAnsi="Times New Roman" w:cs="Times New Roman"/>
                <w:b/>
                <w:sz w:val="22"/>
                <w:szCs w:val="22"/>
              </w:rPr>
            </w:pPr>
            <w:r w:rsidRPr="00C1471E">
              <w:rPr>
                <w:rFonts w:ascii="Times New Roman" w:hAnsi="Times New Roman" w:cs="Times New Roman"/>
                <w:b/>
                <w:sz w:val="22"/>
                <w:szCs w:val="22"/>
              </w:rPr>
              <w:t>Test</w:t>
            </w:r>
          </w:p>
        </w:tc>
        <w:tc>
          <w:tcPr>
            <w:tcW w:w="861" w:type="pct"/>
            <w:vAlign w:val="center"/>
          </w:tcPr>
          <w:p w14:paraId="797CD94F" w14:textId="77777777" w:rsidR="00CC4BA6" w:rsidRPr="00C1471E" w:rsidRDefault="00CC4BA6" w:rsidP="007A1B0B">
            <w:pPr>
              <w:tabs>
                <w:tab w:val="left" w:pos="720"/>
              </w:tabs>
              <w:spacing w:before="60" w:after="60"/>
              <w:jc w:val="center"/>
              <w:rPr>
                <w:rFonts w:ascii="Times New Roman" w:hAnsi="Times New Roman" w:cs="Times New Roman"/>
                <w:b/>
                <w:sz w:val="22"/>
                <w:szCs w:val="22"/>
              </w:rPr>
            </w:pPr>
            <w:r w:rsidRPr="00C1471E">
              <w:rPr>
                <w:rFonts w:ascii="Times New Roman" w:hAnsi="Times New Roman" w:cs="Times New Roman"/>
                <w:b/>
                <w:sz w:val="22"/>
                <w:szCs w:val="22"/>
              </w:rPr>
              <w:t>Train</w:t>
            </w:r>
          </w:p>
        </w:tc>
        <w:tc>
          <w:tcPr>
            <w:tcW w:w="721" w:type="pct"/>
            <w:vAlign w:val="center"/>
          </w:tcPr>
          <w:p w14:paraId="45A99A5E" w14:textId="77777777" w:rsidR="00CC4BA6" w:rsidRPr="00C1471E" w:rsidRDefault="00CC4BA6" w:rsidP="007A1B0B">
            <w:pPr>
              <w:tabs>
                <w:tab w:val="left" w:pos="720"/>
              </w:tabs>
              <w:spacing w:before="60" w:after="60"/>
              <w:jc w:val="center"/>
              <w:rPr>
                <w:rFonts w:ascii="Times New Roman" w:hAnsi="Times New Roman" w:cs="Times New Roman"/>
                <w:b/>
                <w:sz w:val="22"/>
                <w:szCs w:val="22"/>
              </w:rPr>
            </w:pPr>
            <w:r w:rsidRPr="00C1471E">
              <w:rPr>
                <w:rFonts w:ascii="Times New Roman" w:hAnsi="Times New Roman" w:cs="Times New Roman"/>
                <w:b/>
                <w:sz w:val="22"/>
                <w:szCs w:val="22"/>
              </w:rPr>
              <w:t>Test</w:t>
            </w:r>
          </w:p>
        </w:tc>
      </w:tr>
      <w:tr w:rsidR="00CC4BA6" w:rsidRPr="003B1B71" w14:paraId="3E284081" w14:textId="77777777" w:rsidTr="007A1B0B">
        <w:trPr>
          <w:trHeight w:val="434"/>
        </w:trPr>
        <w:tc>
          <w:tcPr>
            <w:tcW w:w="1542" w:type="pct"/>
            <w:vAlign w:val="center"/>
          </w:tcPr>
          <w:p w14:paraId="43F525B3" w14:textId="77777777" w:rsidR="00CC4BA6" w:rsidRPr="00C1471E" w:rsidRDefault="00CC4BA6" w:rsidP="007A1B0B">
            <w:pPr>
              <w:tabs>
                <w:tab w:val="left" w:pos="720"/>
              </w:tabs>
              <w:spacing w:before="60" w:after="60"/>
              <w:jc w:val="center"/>
              <w:rPr>
                <w:rFonts w:ascii="Times New Roman" w:hAnsi="Times New Roman" w:cs="Times New Roman"/>
                <w:sz w:val="22"/>
                <w:szCs w:val="22"/>
              </w:rPr>
            </w:pPr>
            <w:r w:rsidRPr="00C1471E">
              <w:rPr>
                <w:rFonts w:ascii="Times New Roman" w:eastAsia="Times New Roman" w:hAnsi="Times New Roman" w:cs="Times New Roman"/>
                <w:color w:val="000000"/>
                <w:kern w:val="0"/>
                <w:sz w:val="22"/>
                <w:szCs w:val="22"/>
                <w:lang w:eastAsia="en-IN"/>
                <w14:ligatures w14:val="none"/>
              </w:rPr>
              <w:t xml:space="preserve">ARIMA </w:t>
            </w:r>
            <w:r w:rsidRPr="00C1471E">
              <w:rPr>
                <w:rFonts w:ascii="Times New Roman" w:hAnsi="Times New Roman" w:cs="Times New Roman"/>
                <w:sz w:val="22"/>
                <w:szCs w:val="22"/>
              </w:rPr>
              <w:t>(0,1,5)</w:t>
            </w:r>
          </w:p>
        </w:tc>
        <w:tc>
          <w:tcPr>
            <w:tcW w:w="882" w:type="pct"/>
            <w:vAlign w:val="center"/>
          </w:tcPr>
          <w:p w14:paraId="2EB4298E" w14:textId="77777777" w:rsidR="00CC4BA6" w:rsidRPr="00C1471E" w:rsidRDefault="00CC4BA6" w:rsidP="007A1B0B">
            <w:pPr>
              <w:tabs>
                <w:tab w:val="left" w:pos="720"/>
              </w:tabs>
              <w:spacing w:before="60" w:after="60"/>
              <w:jc w:val="center"/>
              <w:rPr>
                <w:rFonts w:ascii="Times New Roman" w:hAnsi="Times New Roman" w:cs="Times New Roman"/>
                <w:sz w:val="22"/>
                <w:szCs w:val="22"/>
              </w:rPr>
            </w:pPr>
            <w:r w:rsidRPr="00C1471E">
              <w:rPr>
                <w:rFonts w:ascii="Times New Roman" w:hAnsi="Times New Roman" w:cs="Times New Roman"/>
                <w:sz w:val="22"/>
                <w:szCs w:val="22"/>
              </w:rPr>
              <w:t>1874.449</w:t>
            </w:r>
          </w:p>
        </w:tc>
        <w:tc>
          <w:tcPr>
            <w:tcW w:w="994" w:type="pct"/>
            <w:vAlign w:val="center"/>
          </w:tcPr>
          <w:p w14:paraId="50AB0B25" w14:textId="77777777" w:rsidR="00CC4BA6" w:rsidRPr="00C1471E" w:rsidRDefault="00CC4BA6" w:rsidP="007A1B0B">
            <w:pPr>
              <w:tabs>
                <w:tab w:val="left" w:pos="720"/>
              </w:tabs>
              <w:spacing w:before="60" w:after="60"/>
              <w:jc w:val="center"/>
              <w:rPr>
                <w:rFonts w:ascii="Times New Roman" w:hAnsi="Times New Roman" w:cs="Times New Roman"/>
                <w:sz w:val="22"/>
                <w:szCs w:val="22"/>
              </w:rPr>
            </w:pPr>
            <w:r w:rsidRPr="00C1471E">
              <w:rPr>
                <w:rFonts w:ascii="Times New Roman" w:hAnsi="Times New Roman" w:cs="Times New Roman"/>
                <w:sz w:val="22"/>
                <w:szCs w:val="22"/>
              </w:rPr>
              <w:t>2536.298</w:t>
            </w:r>
          </w:p>
        </w:tc>
        <w:tc>
          <w:tcPr>
            <w:tcW w:w="861" w:type="pct"/>
            <w:vAlign w:val="center"/>
          </w:tcPr>
          <w:p w14:paraId="4CD76D1F" w14:textId="77777777" w:rsidR="00CC4BA6" w:rsidRPr="00C1471E" w:rsidRDefault="00CC4BA6" w:rsidP="007A1B0B">
            <w:pPr>
              <w:tabs>
                <w:tab w:val="left" w:pos="720"/>
              </w:tabs>
              <w:spacing w:before="60" w:after="60"/>
              <w:jc w:val="center"/>
              <w:rPr>
                <w:rFonts w:ascii="Times New Roman" w:hAnsi="Times New Roman" w:cs="Times New Roman"/>
                <w:sz w:val="22"/>
                <w:szCs w:val="22"/>
              </w:rPr>
            </w:pPr>
            <w:r w:rsidRPr="00C1471E">
              <w:rPr>
                <w:rFonts w:ascii="Times New Roman" w:hAnsi="Times New Roman" w:cs="Times New Roman"/>
                <w:sz w:val="22"/>
                <w:szCs w:val="22"/>
              </w:rPr>
              <w:t>0.0836</w:t>
            </w:r>
          </w:p>
        </w:tc>
        <w:tc>
          <w:tcPr>
            <w:tcW w:w="721" w:type="pct"/>
            <w:vAlign w:val="center"/>
          </w:tcPr>
          <w:p w14:paraId="7F822090" w14:textId="77777777" w:rsidR="00CC4BA6" w:rsidRPr="00C1471E" w:rsidRDefault="00CC4BA6" w:rsidP="007A1B0B">
            <w:pPr>
              <w:tabs>
                <w:tab w:val="left" w:pos="720"/>
              </w:tabs>
              <w:spacing w:before="60" w:after="60"/>
              <w:jc w:val="center"/>
              <w:rPr>
                <w:rFonts w:ascii="Times New Roman" w:hAnsi="Times New Roman" w:cs="Times New Roman"/>
                <w:sz w:val="22"/>
                <w:szCs w:val="22"/>
              </w:rPr>
            </w:pPr>
            <w:r w:rsidRPr="00C1471E">
              <w:rPr>
                <w:rFonts w:ascii="Times New Roman" w:hAnsi="Times New Roman" w:cs="Times New Roman"/>
                <w:sz w:val="22"/>
                <w:szCs w:val="22"/>
              </w:rPr>
              <w:t>0.1628</w:t>
            </w:r>
          </w:p>
        </w:tc>
      </w:tr>
      <w:tr w:rsidR="00CC4BA6" w:rsidRPr="003B1B71" w14:paraId="181870D8" w14:textId="77777777" w:rsidTr="007A1B0B">
        <w:trPr>
          <w:trHeight w:val="338"/>
        </w:trPr>
        <w:tc>
          <w:tcPr>
            <w:tcW w:w="1542" w:type="pct"/>
            <w:vAlign w:val="center"/>
          </w:tcPr>
          <w:p w14:paraId="293F6902" w14:textId="77777777" w:rsidR="00CC4BA6" w:rsidRPr="00C1471E" w:rsidRDefault="00CC4BA6" w:rsidP="007A1B0B">
            <w:pPr>
              <w:tabs>
                <w:tab w:val="left" w:pos="720"/>
              </w:tabs>
              <w:spacing w:before="60" w:after="60"/>
              <w:jc w:val="center"/>
              <w:rPr>
                <w:rFonts w:ascii="Times New Roman" w:hAnsi="Times New Roman" w:cs="Times New Roman"/>
                <w:b/>
                <w:bCs/>
                <w:sz w:val="22"/>
                <w:szCs w:val="22"/>
              </w:rPr>
            </w:pPr>
            <w:r w:rsidRPr="00C1471E">
              <w:rPr>
                <w:rFonts w:ascii="Times New Roman" w:hAnsi="Times New Roman" w:cs="Times New Roman"/>
                <w:b/>
                <w:bCs/>
                <w:sz w:val="22"/>
                <w:szCs w:val="22"/>
              </w:rPr>
              <w:t>SVR</w:t>
            </w:r>
          </w:p>
        </w:tc>
        <w:tc>
          <w:tcPr>
            <w:tcW w:w="882" w:type="pct"/>
            <w:vAlign w:val="center"/>
          </w:tcPr>
          <w:p w14:paraId="00AC4AE5" w14:textId="77777777" w:rsidR="00CC4BA6" w:rsidRPr="00C1471E" w:rsidRDefault="00CC4BA6" w:rsidP="007A1B0B">
            <w:pPr>
              <w:tabs>
                <w:tab w:val="left" w:pos="720"/>
              </w:tabs>
              <w:spacing w:before="60" w:after="60"/>
              <w:jc w:val="center"/>
              <w:rPr>
                <w:rFonts w:ascii="Times New Roman" w:hAnsi="Times New Roman" w:cs="Times New Roman"/>
                <w:b/>
                <w:bCs/>
                <w:sz w:val="22"/>
                <w:szCs w:val="22"/>
              </w:rPr>
            </w:pPr>
            <w:r w:rsidRPr="00C1471E">
              <w:rPr>
                <w:rFonts w:ascii="Times New Roman" w:hAnsi="Times New Roman" w:cs="Times New Roman"/>
                <w:b/>
                <w:bCs/>
                <w:sz w:val="22"/>
                <w:szCs w:val="22"/>
              </w:rPr>
              <w:t>25.6482</w:t>
            </w:r>
          </w:p>
        </w:tc>
        <w:tc>
          <w:tcPr>
            <w:tcW w:w="994" w:type="pct"/>
            <w:vAlign w:val="center"/>
          </w:tcPr>
          <w:p w14:paraId="6CC1EC82" w14:textId="77777777" w:rsidR="00CC4BA6" w:rsidRPr="00C1471E" w:rsidRDefault="00CC4BA6" w:rsidP="007A1B0B">
            <w:pPr>
              <w:tabs>
                <w:tab w:val="left" w:pos="720"/>
              </w:tabs>
              <w:spacing w:before="60" w:after="60"/>
              <w:jc w:val="center"/>
              <w:rPr>
                <w:rFonts w:ascii="Times New Roman" w:hAnsi="Times New Roman" w:cs="Times New Roman"/>
                <w:b/>
                <w:bCs/>
                <w:sz w:val="22"/>
                <w:szCs w:val="22"/>
              </w:rPr>
            </w:pPr>
            <w:r w:rsidRPr="00C1471E">
              <w:rPr>
                <w:rFonts w:ascii="Times New Roman" w:hAnsi="Times New Roman" w:cs="Times New Roman"/>
                <w:b/>
                <w:bCs/>
                <w:sz w:val="22"/>
                <w:szCs w:val="22"/>
              </w:rPr>
              <w:t>24.0945</w:t>
            </w:r>
          </w:p>
        </w:tc>
        <w:tc>
          <w:tcPr>
            <w:tcW w:w="861" w:type="pct"/>
            <w:vAlign w:val="center"/>
          </w:tcPr>
          <w:p w14:paraId="669B35B4" w14:textId="77777777" w:rsidR="00CC4BA6" w:rsidRPr="00C1471E" w:rsidRDefault="00CC4BA6" w:rsidP="007A1B0B">
            <w:pPr>
              <w:tabs>
                <w:tab w:val="left" w:pos="720"/>
              </w:tabs>
              <w:spacing w:before="60" w:after="60"/>
              <w:jc w:val="center"/>
              <w:rPr>
                <w:rFonts w:ascii="Times New Roman" w:hAnsi="Times New Roman" w:cs="Times New Roman"/>
                <w:b/>
                <w:bCs/>
                <w:sz w:val="22"/>
                <w:szCs w:val="22"/>
              </w:rPr>
            </w:pPr>
            <w:r w:rsidRPr="00C1471E">
              <w:rPr>
                <w:rFonts w:ascii="Times New Roman" w:hAnsi="Times New Roman" w:cs="Times New Roman"/>
                <w:b/>
                <w:bCs/>
                <w:sz w:val="22"/>
                <w:szCs w:val="22"/>
              </w:rPr>
              <w:t>0.0019</w:t>
            </w:r>
          </w:p>
        </w:tc>
        <w:tc>
          <w:tcPr>
            <w:tcW w:w="721" w:type="pct"/>
            <w:vAlign w:val="center"/>
          </w:tcPr>
          <w:p w14:paraId="6B683725" w14:textId="77777777" w:rsidR="00CC4BA6" w:rsidRPr="00C1471E" w:rsidRDefault="00CC4BA6" w:rsidP="007A1B0B">
            <w:pPr>
              <w:tabs>
                <w:tab w:val="left" w:pos="720"/>
              </w:tabs>
              <w:spacing w:before="60" w:after="60"/>
              <w:jc w:val="center"/>
              <w:rPr>
                <w:rFonts w:ascii="Times New Roman" w:hAnsi="Times New Roman" w:cs="Times New Roman"/>
                <w:b/>
                <w:bCs/>
                <w:sz w:val="22"/>
                <w:szCs w:val="22"/>
              </w:rPr>
            </w:pPr>
            <w:r w:rsidRPr="00C1471E">
              <w:rPr>
                <w:rFonts w:ascii="Times New Roman" w:hAnsi="Times New Roman" w:cs="Times New Roman"/>
                <w:b/>
                <w:bCs/>
                <w:sz w:val="22"/>
                <w:szCs w:val="22"/>
              </w:rPr>
              <w:t>0.0016</w:t>
            </w:r>
          </w:p>
        </w:tc>
      </w:tr>
      <w:tr w:rsidR="00CC4BA6" w:rsidRPr="003B1B71" w14:paraId="7AC0D169" w14:textId="77777777" w:rsidTr="007A1B0B">
        <w:trPr>
          <w:trHeight w:val="63"/>
        </w:trPr>
        <w:tc>
          <w:tcPr>
            <w:tcW w:w="1542" w:type="pct"/>
            <w:vAlign w:val="center"/>
          </w:tcPr>
          <w:p w14:paraId="7CADBF3E" w14:textId="77777777" w:rsidR="00CC4BA6" w:rsidRPr="00C1471E" w:rsidRDefault="00CC4BA6" w:rsidP="007A1B0B">
            <w:pPr>
              <w:tabs>
                <w:tab w:val="left" w:pos="720"/>
              </w:tabs>
              <w:spacing w:before="60" w:after="60"/>
              <w:jc w:val="center"/>
              <w:rPr>
                <w:rFonts w:ascii="Times New Roman" w:hAnsi="Times New Roman" w:cs="Times New Roman"/>
                <w:b/>
                <w:bCs/>
                <w:sz w:val="22"/>
                <w:szCs w:val="22"/>
              </w:rPr>
            </w:pPr>
            <w:r w:rsidRPr="00C1471E">
              <w:rPr>
                <w:rFonts w:ascii="Times New Roman" w:hAnsi="Times New Roman" w:cs="Times New Roman"/>
                <w:b/>
                <w:bCs/>
                <w:sz w:val="22"/>
                <w:szCs w:val="22"/>
              </w:rPr>
              <w:t>ARIMA+SVR</w:t>
            </w:r>
          </w:p>
        </w:tc>
        <w:tc>
          <w:tcPr>
            <w:tcW w:w="882" w:type="pct"/>
            <w:vAlign w:val="center"/>
          </w:tcPr>
          <w:p w14:paraId="308EB73E" w14:textId="77777777" w:rsidR="00CC4BA6" w:rsidRPr="00C1471E" w:rsidRDefault="00CC4BA6" w:rsidP="007A1B0B">
            <w:pPr>
              <w:tabs>
                <w:tab w:val="left" w:pos="720"/>
              </w:tabs>
              <w:spacing w:before="60" w:after="60"/>
              <w:jc w:val="center"/>
              <w:rPr>
                <w:rFonts w:ascii="Times New Roman" w:hAnsi="Times New Roman" w:cs="Times New Roman"/>
                <w:b/>
                <w:bCs/>
                <w:sz w:val="22"/>
                <w:szCs w:val="22"/>
              </w:rPr>
            </w:pPr>
            <w:r w:rsidRPr="00C1471E">
              <w:rPr>
                <w:rFonts w:ascii="Times New Roman" w:hAnsi="Times New Roman" w:cs="Times New Roman"/>
                <w:b/>
                <w:bCs/>
                <w:sz w:val="22"/>
                <w:szCs w:val="22"/>
              </w:rPr>
              <w:t>15.1996</w:t>
            </w:r>
          </w:p>
        </w:tc>
        <w:tc>
          <w:tcPr>
            <w:tcW w:w="994" w:type="pct"/>
            <w:vAlign w:val="center"/>
          </w:tcPr>
          <w:p w14:paraId="6E1899D1" w14:textId="77777777" w:rsidR="00CC4BA6" w:rsidRPr="00C1471E" w:rsidRDefault="00CC4BA6" w:rsidP="007A1B0B">
            <w:pPr>
              <w:tabs>
                <w:tab w:val="left" w:pos="720"/>
              </w:tabs>
              <w:spacing w:before="60" w:after="60"/>
              <w:jc w:val="center"/>
              <w:rPr>
                <w:rFonts w:ascii="Times New Roman" w:hAnsi="Times New Roman" w:cs="Times New Roman"/>
                <w:b/>
                <w:bCs/>
                <w:sz w:val="22"/>
                <w:szCs w:val="22"/>
              </w:rPr>
            </w:pPr>
            <w:r w:rsidRPr="00C1471E">
              <w:rPr>
                <w:rFonts w:ascii="Times New Roman" w:hAnsi="Times New Roman" w:cs="Times New Roman"/>
                <w:b/>
                <w:bCs/>
                <w:sz w:val="22"/>
                <w:szCs w:val="22"/>
              </w:rPr>
              <w:t>255.3224</w:t>
            </w:r>
          </w:p>
        </w:tc>
        <w:tc>
          <w:tcPr>
            <w:tcW w:w="861" w:type="pct"/>
            <w:vAlign w:val="center"/>
          </w:tcPr>
          <w:p w14:paraId="40D1CE07" w14:textId="77777777" w:rsidR="00CC4BA6" w:rsidRPr="00C1471E" w:rsidRDefault="00CC4BA6" w:rsidP="007A1B0B">
            <w:pPr>
              <w:tabs>
                <w:tab w:val="left" w:pos="720"/>
              </w:tabs>
              <w:spacing w:before="60" w:after="60"/>
              <w:jc w:val="center"/>
              <w:rPr>
                <w:rFonts w:ascii="Times New Roman" w:hAnsi="Times New Roman" w:cs="Times New Roman"/>
                <w:b/>
                <w:bCs/>
                <w:sz w:val="22"/>
                <w:szCs w:val="22"/>
              </w:rPr>
            </w:pPr>
            <w:r w:rsidRPr="00C1471E">
              <w:rPr>
                <w:rFonts w:ascii="Times New Roman" w:hAnsi="Times New Roman" w:cs="Times New Roman"/>
                <w:b/>
                <w:bCs/>
                <w:sz w:val="22"/>
                <w:szCs w:val="22"/>
              </w:rPr>
              <w:t>0.0011</w:t>
            </w:r>
          </w:p>
        </w:tc>
        <w:tc>
          <w:tcPr>
            <w:tcW w:w="721" w:type="pct"/>
            <w:vAlign w:val="center"/>
          </w:tcPr>
          <w:p w14:paraId="4BD9B9FC" w14:textId="77777777" w:rsidR="00CC4BA6" w:rsidRPr="00C1471E" w:rsidRDefault="00CC4BA6" w:rsidP="007A1B0B">
            <w:pPr>
              <w:tabs>
                <w:tab w:val="left" w:pos="720"/>
              </w:tabs>
              <w:spacing w:before="60" w:after="60"/>
              <w:jc w:val="center"/>
              <w:rPr>
                <w:rFonts w:ascii="Times New Roman" w:hAnsi="Times New Roman" w:cs="Times New Roman"/>
                <w:b/>
                <w:bCs/>
                <w:sz w:val="22"/>
                <w:szCs w:val="22"/>
              </w:rPr>
            </w:pPr>
            <w:r w:rsidRPr="00C1471E">
              <w:rPr>
                <w:rFonts w:ascii="Times New Roman" w:hAnsi="Times New Roman" w:cs="Times New Roman"/>
                <w:b/>
                <w:bCs/>
                <w:sz w:val="22"/>
                <w:szCs w:val="22"/>
              </w:rPr>
              <w:t>0.0059</w:t>
            </w:r>
          </w:p>
        </w:tc>
      </w:tr>
    </w:tbl>
    <w:p w14:paraId="522E9351" w14:textId="77777777" w:rsidR="00CC4BA6" w:rsidRDefault="00CC4BA6" w:rsidP="00CC4BA6">
      <w:pPr>
        <w:tabs>
          <w:tab w:val="left" w:pos="284"/>
        </w:tabs>
        <w:jc w:val="both"/>
        <w:rPr>
          <w:rFonts w:ascii="Times New Roman" w:hAnsi="Times New Roman" w:cs="Times New Roman"/>
        </w:rPr>
      </w:pPr>
    </w:p>
    <w:p w14:paraId="410A7CC5" w14:textId="6ED76CFF" w:rsidR="00CC4BA6" w:rsidRDefault="00CC4BA6" w:rsidP="00C1471E">
      <w:pPr>
        <w:tabs>
          <w:tab w:val="left" w:pos="284"/>
        </w:tabs>
        <w:spacing w:after="0" w:line="360" w:lineRule="auto"/>
        <w:jc w:val="both"/>
        <w:rPr>
          <w:rFonts w:ascii="Times New Roman" w:hAnsi="Times New Roman" w:cs="Times New Roman"/>
        </w:rPr>
      </w:pPr>
      <w:r w:rsidRPr="003B1B71">
        <w:rPr>
          <w:rFonts w:ascii="Times New Roman" w:hAnsi="Times New Roman" w:cs="Times New Roman"/>
        </w:rPr>
        <w:t>Table 3: Box-Pierce Test for autocorrelation</w:t>
      </w:r>
      <w:r w:rsidR="00C1471E">
        <w:rPr>
          <w:rFonts w:ascii="Times New Roman" w:hAnsi="Times New Roman" w:cs="Times New Roman"/>
        </w:rPr>
        <w:t xml:space="preserve"> of cashew nut in Andhra Pradesh</w:t>
      </w:r>
    </w:p>
    <w:tbl>
      <w:tblPr>
        <w:tblStyle w:val="TableGrid"/>
        <w:tblpPr w:leftFromText="180" w:rightFromText="180" w:vertAnchor="page" w:horzAnchor="margin" w:tblpY="12048"/>
        <w:tblW w:w="5110" w:type="pct"/>
        <w:tblLook w:val="04A0" w:firstRow="1" w:lastRow="0" w:firstColumn="1" w:lastColumn="0" w:noHBand="0" w:noVBand="1"/>
      </w:tblPr>
      <w:tblGrid>
        <w:gridCol w:w="2720"/>
        <w:gridCol w:w="2652"/>
        <w:gridCol w:w="2152"/>
        <w:gridCol w:w="1921"/>
      </w:tblGrid>
      <w:tr w:rsidR="008A62C3" w:rsidRPr="003B1B71" w14:paraId="5BA49711" w14:textId="77777777" w:rsidTr="008A62C3">
        <w:trPr>
          <w:trHeight w:val="20"/>
        </w:trPr>
        <w:tc>
          <w:tcPr>
            <w:tcW w:w="1440" w:type="pct"/>
            <w:vAlign w:val="center"/>
            <w:hideMark/>
          </w:tcPr>
          <w:p w14:paraId="4ACE2BD1" w14:textId="77777777" w:rsidR="008A62C3" w:rsidRPr="00C1471E" w:rsidRDefault="008A62C3" w:rsidP="008A62C3">
            <w:pPr>
              <w:tabs>
                <w:tab w:val="left" w:pos="720"/>
              </w:tabs>
              <w:spacing w:line="360" w:lineRule="auto"/>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Residual Data</w:t>
            </w:r>
          </w:p>
        </w:tc>
        <w:tc>
          <w:tcPr>
            <w:tcW w:w="1404" w:type="pct"/>
            <w:vAlign w:val="center"/>
            <w:hideMark/>
          </w:tcPr>
          <w:p w14:paraId="6273C106" w14:textId="77777777" w:rsidR="008A62C3" w:rsidRPr="00C1471E" w:rsidRDefault="008A62C3" w:rsidP="008A62C3">
            <w:pPr>
              <w:tabs>
                <w:tab w:val="left" w:pos="720"/>
              </w:tabs>
              <w:spacing w:line="360" w:lineRule="auto"/>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Chi-square (χ²)</w:t>
            </w:r>
          </w:p>
        </w:tc>
        <w:tc>
          <w:tcPr>
            <w:tcW w:w="1139" w:type="pct"/>
            <w:vAlign w:val="center"/>
            <w:hideMark/>
          </w:tcPr>
          <w:p w14:paraId="0DC0E3B1" w14:textId="77777777" w:rsidR="008A62C3" w:rsidRPr="00C1471E" w:rsidRDefault="008A62C3" w:rsidP="008A62C3">
            <w:pPr>
              <w:tabs>
                <w:tab w:val="left" w:pos="720"/>
              </w:tabs>
              <w:spacing w:line="360" w:lineRule="auto"/>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Degree of freedom</w:t>
            </w:r>
          </w:p>
        </w:tc>
        <w:tc>
          <w:tcPr>
            <w:tcW w:w="1017" w:type="pct"/>
            <w:vAlign w:val="center"/>
            <w:hideMark/>
          </w:tcPr>
          <w:p w14:paraId="3BEBAEFB" w14:textId="77777777" w:rsidR="008A62C3" w:rsidRPr="00C1471E" w:rsidRDefault="008A62C3" w:rsidP="008A62C3">
            <w:pPr>
              <w:tabs>
                <w:tab w:val="left" w:pos="720"/>
              </w:tabs>
              <w:spacing w:line="360" w:lineRule="auto"/>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p-value</w:t>
            </w:r>
          </w:p>
        </w:tc>
      </w:tr>
      <w:tr w:rsidR="008A62C3" w:rsidRPr="003B1B71" w14:paraId="66E9F7F8" w14:textId="77777777" w:rsidTr="008A62C3">
        <w:trPr>
          <w:trHeight w:val="20"/>
        </w:trPr>
        <w:tc>
          <w:tcPr>
            <w:tcW w:w="1440" w:type="pct"/>
            <w:vAlign w:val="center"/>
            <w:hideMark/>
          </w:tcPr>
          <w:p w14:paraId="544456BE" w14:textId="77777777" w:rsidR="008A62C3" w:rsidRPr="00C1471E" w:rsidRDefault="008A62C3" w:rsidP="008A62C3">
            <w:pPr>
              <w:tabs>
                <w:tab w:val="left" w:pos="720"/>
              </w:tabs>
              <w:spacing w:line="360" w:lineRule="auto"/>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 xml:space="preserve">ARIMA </w:t>
            </w:r>
            <w:r w:rsidRPr="00C1471E">
              <w:rPr>
                <w:rFonts w:ascii="Times New Roman" w:hAnsi="Times New Roman" w:cs="Times New Roman"/>
                <w:sz w:val="22"/>
                <w:szCs w:val="22"/>
              </w:rPr>
              <w:t xml:space="preserve">(0,1,5) </w:t>
            </w:r>
          </w:p>
        </w:tc>
        <w:tc>
          <w:tcPr>
            <w:tcW w:w="1404" w:type="pct"/>
            <w:vAlign w:val="center"/>
          </w:tcPr>
          <w:p w14:paraId="5CC0A29E" w14:textId="77777777" w:rsidR="008A62C3" w:rsidRPr="00C1471E" w:rsidRDefault="008A62C3" w:rsidP="008A62C3">
            <w:pPr>
              <w:tabs>
                <w:tab w:val="left" w:pos="720"/>
              </w:tabs>
              <w:spacing w:line="360" w:lineRule="auto"/>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sz w:val="22"/>
                <w:szCs w:val="22"/>
              </w:rPr>
              <w:t>0.10516</w:t>
            </w:r>
          </w:p>
        </w:tc>
        <w:tc>
          <w:tcPr>
            <w:tcW w:w="1139" w:type="pct"/>
            <w:vAlign w:val="center"/>
          </w:tcPr>
          <w:p w14:paraId="652B814E" w14:textId="77777777" w:rsidR="008A62C3" w:rsidRPr="00C1471E" w:rsidRDefault="008A62C3" w:rsidP="008A62C3">
            <w:pPr>
              <w:tabs>
                <w:tab w:val="left" w:pos="720"/>
              </w:tabs>
              <w:spacing w:line="360" w:lineRule="auto"/>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sz w:val="22"/>
                <w:szCs w:val="22"/>
              </w:rPr>
              <w:t>1</w:t>
            </w:r>
          </w:p>
        </w:tc>
        <w:tc>
          <w:tcPr>
            <w:tcW w:w="1017" w:type="pct"/>
            <w:vAlign w:val="center"/>
          </w:tcPr>
          <w:p w14:paraId="510C7B7B" w14:textId="77777777" w:rsidR="008A62C3" w:rsidRPr="00C1471E" w:rsidRDefault="008A62C3" w:rsidP="008A62C3">
            <w:pPr>
              <w:tabs>
                <w:tab w:val="left" w:pos="720"/>
              </w:tabs>
              <w:spacing w:line="360" w:lineRule="auto"/>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sz w:val="22"/>
                <w:szCs w:val="22"/>
              </w:rPr>
              <w:t>0.7457</w:t>
            </w:r>
          </w:p>
        </w:tc>
      </w:tr>
      <w:tr w:rsidR="008A62C3" w:rsidRPr="003B1B71" w14:paraId="6B36157F" w14:textId="77777777" w:rsidTr="008A62C3">
        <w:trPr>
          <w:trHeight w:val="20"/>
        </w:trPr>
        <w:tc>
          <w:tcPr>
            <w:tcW w:w="1440" w:type="pct"/>
            <w:vAlign w:val="center"/>
            <w:hideMark/>
          </w:tcPr>
          <w:p w14:paraId="38DAE094" w14:textId="77777777" w:rsidR="008A62C3" w:rsidRPr="00C1471E" w:rsidRDefault="008A62C3" w:rsidP="008A62C3">
            <w:pPr>
              <w:tabs>
                <w:tab w:val="left" w:pos="720"/>
              </w:tabs>
              <w:spacing w:line="360" w:lineRule="auto"/>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 xml:space="preserve">SVR </w:t>
            </w:r>
          </w:p>
        </w:tc>
        <w:tc>
          <w:tcPr>
            <w:tcW w:w="1404" w:type="pct"/>
            <w:vAlign w:val="center"/>
          </w:tcPr>
          <w:p w14:paraId="3FE64E6E" w14:textId="77777777" w:rsidR="008A62C3" w:rsidRPr="00C1471E" w:rsidRDefault="008A62C3" w:rsidP="008A62C3">
            <w:pPr>
              <w:tabs>
                <w:tab w:val="left" w:pos="720"/>
              </w:tabs>
              <w:spacing w:line="360" w:lineRule="auto"/>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31.275</w:t>
            </w:r>
          </w:p>
        </w:tc>
        <w:tc>
          <w:tcPr>
            <w:tcW w:w="1139" w:type="pct"/>
            <w:vAlign w:val="center"/>
          </w:tcPr>
          <w:p w14:paraId="015BA270" w14:textId="77777777" w:rsidR="008A62C3" w:rsidRPr="00C1471E" w:rsidRDefault="008A62C3" w:rsidP="008A62C3">
            <w:pPr>
              <w:tabs>
                <w:tab w:val="left" w:pos="720"/>
              </w:tabs>
              <w:spacing w:line="360" w:lineRule="auto"/>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1</w:t>
            </w:r>
          </w:p>
        </w:tc>
        <w:tc>
          <w:tcPr>
            <w:tcW w:w="1017" w:type="pct"/>
            <w:vAlign w:val="center"/>
          </w:tcPr>
          <w:p w14:paraId="33735950" w14:textId="77777777" w:rsidR="008A62C3" w:rsidRPr="00C1471E" w:rsidRDefault="008A62C3" w:rsidP="008A62C3">
            <w:pPr>
              <w:tabs>
                <w:tab w:val="left" w:pos="720"/>
              </w:tabs>
              <w:spacing w:line="360" w:lineRule="auto"/>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2.24</w:t>
            </w:r>
            <w:r w:rsidRPr="00C1471E">
              <w:rPr>
                <w:rFonts w:ascii="Times New Roman" w:hAnsi="Times New Roman" w:cs="Times New Roman"/>
                <w:b/>
                <w:bCs/>
                <w:sz w:val="22"/>
                <w:szCs w:val="22"/>
              </w:rPr>
              <w:t>×10</w:t>
            </w:r>
            <w:r w:rsidRPr="00C1471E">
              <w:rPr>
                <w:rFonts w:ascii="Times New Roman" w:hAnsi="Times New Roman" w:cs="Times New Roman"/>
                <w:b/>
                <w:bCs/>
                <w:sz w:val="22"/>
                <w:szCs w:val="22"/>
                <w:vertAlign w:val="superscript"/>
              </w:rPr>
              <w:t xml:space="preserve">-8 </w:t>
            </w:r>
            <w:r w:rsidRPr="00C1471E">
              <w:rPr>
                <w:rFonts w:ascii="Times New Roman" w:hAnsi="Times New Roman" w:cs="Times New Roman"/>
                <w:b/>
                <w:bCs/>
                <w:sz w:val="22"/>
                <w:szCs w:val="22"/>
              </w:rPr>
              <w:t>**</w:t>
            </w:r>
          </w:p>
        </w:tc>
      </w:tr>
      <w:tr w:rsidR="008A62C3" w:rsidRPr="003B1B71" w14:paraId="13BB7406" w14:textId="77777777" w:rsidTr="008A62C3">
        <w:trPr>
          <w:trHeight w:val="20"/>
        </w:trPr>
        <w:tc>
          <w:tcPr>
            <w:tcW w:w="1440" w:type="pct"/>
            <w:vAlign w:val="center"/>
            <w:hideMark/>
          </w:tcPr>
          <w:p w14:paraId="14E3A0C3" w14:textId="77777777" w:rsidR="008A62C3" w:rsidRPr="00C1471E" w:rsidRDefault="008A62C3" w:rsidP="008A62C3">
            <w:pPr>
              <w:tabs>
                <w:tab w:val="left" w:pos="720"/>
              </w:tabs>
              <w:spacing w:line="360" w:lineRule="auto"/>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 xml:space="preserve">ARIMA+SVR </w:t>
            </w:r>
          </w:p>
        </w:tc>
        <w:tc>
          <w:tcPr>
            <w:tcW w:w="1404" w:type="pct"/>
            <w:vAlign w:val="center"/>
          </w:tcPr>
          <w:p w14:paraId="7B9B1F32" w14:textId="77777777" w:rsidR="008A62C3" w:rsidRPr="00C1471E" w:rsidRDefault="008A62C3" w:rsidP="008A62C3">
            <w:pPr>
              <w:tabs>
                <w:tab w:val="left" w:pos="720"/>
              </w:tabs>
              <w:spacing w:line="360" w:lineRule="auto"/>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0.097309</w:t>
            </w:r>
          </w:p>
        </w:tc>
        <w:tc>
          <w:tcPr>
            <w:tcW w:w="1139" w:type="pct"/>
            <w:vAlign w:val="center"/>
          </w:tcPr>
          <w:p w14:paraId="0908B083" w14:textId="77777777" w:rsidR="008A62C3" w:rsidRPr="00C1471E" w:rsidRDefault="008A62C3" w:rsidP="008A62C3">
            <w:pPr>
              <w:tabs>
                <w:tab w:val="left" w:pos="720"/>
              </w:tabs>
              <w:spacing w:line="360" w:lineRule="auto"/>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1</w:t>
            </w:r>
          </w:p>
        </w:tc>
        <w:tc>
          <w:tcPr>
            <w:tcW w:w="1017" w:type="pct"/>
            <w:vAlign w:val="center"/>
          </w:tcPr>
          <w:p w14:paraId="2D684212" w14:textId="77777777" w:rsidR="008A62C3" w:rsidRPr="00C1471E" w:rsidRDefault="008A62C3" w:rsidP="008A62C3">
            <w:pPr>
              <w:tabs>
                <w:tab w:val="left" w:pos="720"/>
              </w:tabs>
              <w:spacing w:line="360" w:lineRule="auto"/>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0.7551</w:t>
            </w:r>
          </w:p>
        </w:tc>
      </w:tr>
    </w:tbl>
    <w:p w14:paraId="080200DE" w14:textId="77777777" w:rsidR="008A62C3" w:rsidRDefault="008A62C3" w:rsidP="00C1471E">
      <w:pPr>
        <w:tabs>
          <w:tab w:val="left" w:pos="284"/>
        </w:tabs>
        <w:spacing w:after="0" w:line="360" w:lineRule="auto"/>
        <w:jc w:val="both"/>
        <w:rPr>
          <w:rFonts w:ascii="Times New Roman" w:hAnsi="Times New Roman" w:cs="Times New Roman"/>
        </w:rPr>
      </w:pPr>
    </w:p>
    <w:p w14:paraId="4BBE0772" w14:textId="39A848EA" w:rsidR="00CC4BA6" w:rsidRDefault="00CC4BA6" w:rsidP="00C1471E">
      <w:pPr>
        <w:tabs>
          <w:tab w:val="left" w:pos="284"/>
        </w:tabs>
        <w:spacing w:after="0" w:line="360" w:lineRule="auto"/>
        <w:jc w:val="both"/>
        <w:rPr>
          <w:rFonts w:ascii="Times New Roman" w:hAnsi="Times New Roman" w:cs="Times New Roman"/>
        </w:rPr>
      </w:pPr>
      <w:r w:rsidRPr="003B1B71">
        <w:rPr>
          <w:rFonts w:ascii="Times New Roman" w:hAnsi="Times New Roman" w:cs="Times New Roman"/>
        </w:rPr>
        <w:t>The Box–Pierce test results presented in Table 3 revealed that the SVR model had a highly significant p-value (2.24 × 10⁻⁸), indicating the presence of significant autocorrelation in the residuals and suggesting that the model failed to capture all temporal dependencies in the series. In contrast, the ARIMA (0,1,5) and hybrid ARIMA</w:t>
      </w:r>
      <w:r>
        <w:rPr>
          <w:rFonts w:ascii="Times New Roman" w:hAnsi="Times New Roman" w:cs="Times New Roman"/>
        </w:rPr>
        <w:t>-</w:t>
      </w:r>
      <w:r w:rsidRPr="003B1B71">
        <w:rPr>
          <w:rFonts w:ascii="Times New Roman" w:hAnsi="Times New Roman" w:cs="Times New Roman"/>
        </w:rPr>
        <w:t>SVR models produced non-</w:t>
      </w:r>
      <w:r w:rsidRPr="003B1B71">
        <w:rPr>
          <w:rFonts w:ascii="Times New Roman" w:hAnsi="Times New Roman" w:cs="Times New Roman"/>
        </w:rPr>
        <w:lastRenderedPageBreak/>
        <w:t>significant p-values of 0.7457 and 0.7551, respectively, indicating the absence of significant autocorrelation in their residuals.</w:t>
      </w:r>
    </w:p>
    <w:p w14:paraId="54308D0F" w14:textId="77777777" w:rsidR="00CC4BA6" w:rsidRPr="00A66A28" w:rsidRDefault="00CC4BA6" w:rsidP="00C1471E">
      <w:pPr>
        <w:tabs>
          <w:tab w:val="left" w:pos="720"/>
        </w:tabs>
        <w:spacing w:after="0" w:line="240" w:lineRule="auto"/>
        <w:ind w:left="1440" w:hanging="1440"/>
        <w:jc w:val="both"/>
        <w:rPr>
          <w:rFonts w:ascii="Times New Roman" w:hAnsi="Times New Roman" w:cs="Times New Roman"/>
          <w:b/>
          <w:bCs/>
          <w:color w:val="000000" w:themeColor="text1"/>
          <w:sz w:val="22"/>
          <w:szCs w:val="22"/>
        </w:rPr>
      </w:pPr>
      <w:r>
        <w:rPr>
          <w:rFonts w:ascii="Times New Roman" w:hAnsi="Times New Roman" w:cs="Times New Roman"/>
        </w:rPr>
        <w:t xml:space="preserve">Table 4: </w:t>
      </w:r>
      <w:r w:rsidRPr="00A66A28">
        <w:rPr>
          <w:rFonts w:ascii="Times New Roman" w:hAnsi="Times New Roman" w:cs="Times New Roman"/>
          <w:color w:val="000000" w:themeColor="text1"/>
        </w:rPr>
        <w:t>BDS test results on residuals of ARIMA (0,1,5) model for Cashew nut prices</w:t>
      </w:r>
    </w:p>
    <w:tbl>
      <w:tblPr>
        <w:tblStyle w:val="TableGrid"/>
        <w:tblW w:w="5000" w:type="pct"/>
        <w:jc w:val="center"/>
        <w:tblLook w:val="04A0" w:firstRow="1" w:lastRow="0" w:firstColumn="1" w:lastColumn="0" w:noHBand="0" w:noVBand="1"/>
      </w:tblPr>
      <w:tblGrid>
        <w:gridCol w:w="1771"/>
        <w:gridCol w:w="1939"/>
        <w:gridCol w:w="1939"/>
        <w:gridCol w:w="1900"/>
        <w:gridCol w:w="1693"/>
      </w:tblGrid>
      <w:tr w:rsidR="00CC4BA6" w:rsidRPr="00DB6353" w14:paraId="660809C3" w14:textId="77777777" w:rsidTr="007A1B0B">
        <w:trPr>
          <w:trHeight w:val="545"/>
          <w:jc w:val="center"/>
        </w:trPr>
        <w:tc>
          <w:tcPr>
            <w:tcW w:w="958" w:type="pct"/>
            <w:vMerge w:val="restart"/>
            <w:vAlign w:val="center"/>
            <w:hideMark/>
          </w:tcPr>
          <w:p w14:paraId="65A060D3" w14:textId="77777777" w:rsidR="00CC4BA6" w:rsidRPr="00DB6353" w:rsidRDefault="00CC4BA6" w:rsidP="00C1471E">
            <w:pPr>
              <w:tabs>
                <w:tab w:val="left" w:pos="720"/>
              </w:tabs>
              <w:jc w:val="center"/>
              <w:rPr>
                <w:rFonts w:ascii="Times New Roman" w:hAnsi="Times New Roman" w:cs="Times New Roman"/>
                <w:b/>
                <w:bCs/>
                <w:sz w:val="22"/>
                <w:szCs w:val="22"/>
              </w:rPr>
            </w:pPr>
            <w:r w:rsidRPr="00DB6353">
              <w:rPr>
                <w:rFonts w:ascii="Times New Roman" w:hAnsi="Times New Roman" w:cs="Times New Roman"/>
                <w:b/>
                <w:bCs/>
                <w:sz w:val="22"/>
                <w:szCs w:val="22"/>
              </w:rPr>
              <w:t>Embedding Dimension</w:t>
            </w:r>
          </w:p>
        </w:tc>
        <w:tc>
          <w:tcPr>
            <w:tcW w:w="4042" w:type="pct"/>
            <w:gridSpan w:val="4"/>
            <w:vAlign w:val="center"/>
          </w:tcPr>
          <w:p w14:paraId="54AF5977" w14:textId="77777777" w:rsidR="00CC4BA6" w:rsidRPr="00DB6353" w:rsidRDefault="00CC4BA6" w:rsidP="00C1471E">
            <w:pPr>
              <w:tabs>
                <w:tab w:val="left" w:pos="720"/>
              </w:tabs>
              <w:jc w:val="center"/>
              <w:rPr>
                <w:rFonts w:ascii="Times New Roman" w:hAnsi="Times New Roman" w:cs="Times New Roman"/>
                <w:b/>
                <w:bCs/>
                <w:sz w:val="22"/>
                <w:szCs w:val="22"/>
              </w:rPr>
            </w:pPr>
            <w:r w:rsidRPr="00DB6353">
              <w:rPr>
                <w:rFonts w:ascii="Times New Roman" w:hAnsi="Times New Roman" w:cs="Times New Roman"/>
                <w:b/>
                <w:bCs/>
                <w:sz w:val="22"/>
                <w:szCs w:val="22"/>
              </w:rPr>
              <w:t>Epsilon</w:t>
            </w:r>
          </w:p>
        </w:tc>
      </w:tr>
      <w:tr w:rsidR="00CC4BA6" w:rsidRPr="00DB6353" w14:paraId="256D19BE" w14:textId="77777777" w:rsidTr="007A1B0B">
        <w:trPr>
          <w:trHeight w:val="411"/>
          <w:jc w:val="center"/>
        </w:trPr>
        <w:tc>
          <w:tcPr>
            <w:tcW w:w="958" w:type="pct"/>
            <w:vMerge/>
            <w:vAlign w:val="center"/>
          </w:tcPr>
          <w:p w14:paraId="5D6B6E61" w14:textId="77777777" w:rsidR="00CC4BA6" w:rsidRPr="00DB6353" w:rsidRDefault="00CC4BA6" w:rsidP="00C1471E">
            <w:pPr>
              <w:tabs>
                <w:tab w:val="left" w:pos="720"/>
              </w:tabs>
              <w:jc w:val="center"/>
              <w:rPr>
                <w:rFonts w:ascii="Times New Roman" w:hAnsi="Times New Roman" w:cs="Times New Roman"/>
                <w:b/>
                <w:bCs/>
                <w:sz w:val="22"/>
                <w:szCs w:val="22"/>
              </w:rPr>
            </w:pPr>
          </w:p>
        </w:tc>
        <w:tc>
          <w:tcPr>
            <w:tcW w:w="1049" w:type="pct"/>
            <w:vAlign w:val="center"/>
          </w:tcPr>
          <w:p w14:paraId="7D7678B2" w14:textId="77777777" w:rsidR="00CC4BA6" w:rsidRPr="00C1471E" w:rsidRDefault="00CC4BA6" w:rsidP="00C1471E">
            <w:pPr>
              <w:tabs>
                <w:tab w:val="left" w:pos="720"/>
              </w:tabs>
              <w:jc w:val="center"/>
              <w:rPr>
                <w:rFonts w:ascii="Times New Roman" w:hAnsi="Times New Roman" w:cs="Times New Roman"/>
                <w:b/>
                <w:bCs/>
                <w:sz w:val="22"/>
                <w:szCs w:val="22"/>
              </w:rPr>
            </w:pPr>
            <w:r w:rsidRPr="00C1471E">
              <w:rPr>
                <w:rFonts w:ascii="Times New Roman" w:hAnsi="Times New Roman" w:cs="Times New Roman"/>
                <w:sz w:val="22"/>
                <w:szCs w:val="22"/>
              </w:rPr>
              <w:t>939.84</w:t>
            </w:r>
          </w:p>
        </w:tc>
        <w:tc>
          <w:tcPr>
            <w:tcW w:w="1049" w:type="pct"/>
            <w:vAlign w:val="center"/>
          </w:tcPr>
          <w:p w14:paraId="45012F5D" w14:textId="77777777" w:rsidR="00CC4BA6" w:rsidRPr="00C1471E" w:rsidRDefault="00CC4BA6" w:rsidP="00C1471E">
            <w:pPr>
              <w:tabs>
                <w:tab w:val="left" w:pos="720"/>
              </w:tabs>
              <w:jc w:val="center"/>
              <w:rPr>
                <w:rFonts w:ascii="Times New Roman" w:hAnsi="Times New Roman" w:cs="Times New Roman"/>
                <w:b/>
                <w:bCs/>
                <w:sz w:val="22"/>
                <w:szCs w:val="22"/>
              </w:rPr>
            </w:pPr>
            <w:r w:rsidRPr="00C1471E">
              <w:rPr>
                <w:rFonts w:ascii="Times New Roman" w:hAnsi="Times New Roman" w:cs="Times New Roman"/>
                <w:sz w:val="22"/>
                <w:szCs w:val="22"/>
              </w:rPr>
              <w:t>1879.67</w:t>
            </w:r>
          </w:p>
        </w:tc>
        <w:tc>
          <w:tcPr>
            <w:tcW w:w="1028" w:type="pct"/>
            <w:vAlign w:val="center"/>
          </w:tcPr>
          <w:p w14:paraId="5982CF70" w14:textId="77777777" w:rsidR="00CC4BA6" w:rsidRPr="00C1471E" w:rsidRDefault="00CC4BA6" w:rsidP="00C1471E">
            <w:pPr>
              <w:tabs>
                <w:tab w:val="left" w:pos="720"/>
              </w:tabs>
              <w:jc w:val="center"/>
              <w:rPr>
                <w:rFonts w:ascii="Times New Roman" w:hAnsi="Times New Roman" w:cs="Times New Roman"/>
                <w:b/>
                <w:bCs/>
                <w:sz w:val="22"/>
                <w:szCs w:val="22"/>
              </w:rPr>
            </w:pPr>
            <w:r w:rsidRPr="00C1471E">
              <w:rPr>
                <w:rFonts w:ascii="Times New Roman" w:hAnsi="Times New Roman" w:cs="Times New Roman"/>
                <w:sz w:val="22"/>
                <w:szCs w:val="22"/>
              </w:rPr>
              <w:t>2819.51</w:t>
            </w:r>
          </w:p>
        </w:tc>
        <w:tc>
          <w:tcPr>
            <w:tcW w:w="916" w:type="pct"/>
            <w:vAlign w:val="center"/>
          </w:tcPr>
          <w:p w14:paraId="0A5CCE90" w14:textId="77777777" w:rsidR="00CC4BA6" w:rsidRPr="00C1471E" w:rsidRDefault="00CC4BA6" w:rsidP="00C1471E">
            <w:pPr>
              <w:tabs>
                <w:tab w:val="left" w:pos="720"/>
              </w:tabs>
              <w:jc w:val="center"/>
              <w:rPr>
                <w:rFonts w:ascii="Times New Roman" w:hAnsi="Times New Roman" w:cs="Times New Roman"/>
                <w:b/>
                <w:bCs/>
                <w:sz w:val="22"/>
                <w:szCs w:val="22"/>
              </w:rPr>
            </w:pPr>
            <w:r w:rsidRPr="00C1471E">
              <w:rPr>
                <w:rFonts w:ascii="Times New Roman" w:hAnsi="Times New Roman" w:cs="Times New Roman"/>
                <w:sz w:val="22"/>
                <w:szCs w:val="22"/>
              </w:rPr>
              <w:t>3759.35</w:t>
            </w:r>
          </w:p>
        </w:tc>
      </w:tr>
      <w:tr w:rsidR="00CC4BA6" w:rsidRPr="00DB6353" w14:paraId="1AC6915D" w14:textId="77777777" w:rsidTr="007A1B0B">
        <w:trPr>
          <w:trHeight w:val="700"/>
          <w:jc w:val="center"/>
        </w:trPr>
        <w:tc>
          <w:tcPr>
            <w:tcW w:w="958" w:type="pct"/>
            <w:vAlign w:val="center"/>
            <w:hideMark/>
          </w:tcPr>
          <w:p w14:paraId="65816709" w14:textId="77777777" w:rsidR="00CC4BA6" w:rsidRPr="00DB6353" w:rsidRDefault="00CC4BA6" w:rsidP="00C1471E">
            <w:pPr>
              <w:tabs>
                <w:tab w:val="left" w:pos="720"/>
              </w:tabs>
              <w:jc w:val="center"/>
              <w:rPr>
                <w:rFonts w:ascii="Times New Roman" w:hAnsi="Times New Roman" w:cs="Times New Roman"/>
                <w:sz w:val="22"/>
                <w:szCs w:val="22"/>
              </w:rPr>
            </w:pPr>
            <w:r w:rsidRPr="00DB6353">
              <w:rPr>
                <w:rFonts w:ascii="Times New Roman" w:hAnsi="Times New Roman" w:cs="Times New Roman"/>
                <w:b/>
                <w:bCs/>
                <w:sz w:val="22"/>
                <w:szCs w:val="22"/>
              </w:rPr>
              <w:t>2</w:t>
            </w:r>
          </w:p>
        </w:tc>
        <w:tc>
          <w:tcPr>
            <w:tcW w:w="1049" w:type="pct"/>
            <w:vAlign w:val="center"/>
            <w:hideMark/>
          </w:tcPr>
          <w:p w14:paraId="305ABC62"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W= 4.6070**,</w:t>
            </w:r>
          </w:p>
          <w:p w14:paraId="23F9B599"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p = 0.0000</w:t>
            </w:r>
          </w:p>
        </w:tc>
        <w:tc>
          <w:tcPr>
            <w:tcW w:w="1049" w:type="pct"/>
            <w:vAlign w:val="center"/>
            <w:hideMark/>
          </w:tcPr>
          <w:p w14:paraId="3DB878B0"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W= 5.5121**,</w:t>
            </w:r>
          </w:p>
          <w:p w14:paraId="68FAC410"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p = 0.0000</w:t>
            </w:r>
          </w:p>
        </w:tc>
        <w:tc>
          <w:tcPr>
            <w:tcW w:w="1028" w:type="pct"/>
            <w:vAlign w:val="center"/>
            <w:hideMark/>
          </w:tcPr>
          <w:p w14:paraId="774088A1"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W= 4.2766**,</w:t>
            </w:r>
          </w:p>
          <w:p w14:paraId="01C67B22"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 xml:space="preserve">p = 0.0000       </w:t>
            </w:r>
          </w:p>
        </w:tc>
        <w:tc>
          <w:tcPr>
            <w:tcW w:w="916" w:type="pct"/>
            <w:vAlign w:val="center"/>
            <w:hideMark/>
          </w:tcPr>
          <w:p w14:paraId="366E7762"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W= 3.8035**,</w:t>
            </w:r>
          </w:p>
          <w:p w14:paraId="46E6AEA4"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p = 0.0001</w:t>
            </w:r>
          </w:p>
        </w:tc>
      </w:tr>
      <w:tr w:rsidR="00CC4BA6" w:rsidRPr="00DB6353" w14:paraId="70B28222" w14:textId="77777777" w:rsidTr="007A1B0B">
        <w:trPr>
          <w:jc w:val="center"/>
        </w:trPr>
        <w:tc>
          <w:tcPr>
            <w:tcW w:w="958" w:type="pct"/>
            <w:vAlign w:val="center"/>
            <w:hideMark/>
          </w:tcPr>
          <w:p w14:paraId="4EC350B6" w14:textId="77777777" w:rsidR="00CC4BA6" w:rsidRPr="00DB6353" w:rsidRDefault="00CC4BA6" w:rsidP="00C1471E">
            <w:pPr>
              <w:tabs>
                <w:tab w:val="left" w:pos="720"/>
              </w:tabs>
              <w:jc w:val="center"/>
              <w:rPr>
                <w:rFonts w:ascii="Times New Roman" w:hAnsi="Times New Roman" w:cs="Times New Roman"/>
                <w:sz w:val="22"/>
                <w:szCs w:val="22"/>
              </w:rPr>
            </w:pPr>
            <w:r w:rsidRPr="00DB6353">
              <w:rPr>
                <w:rFonts w:ascii="Times New Roman" w:hAnsi="Times New Roman" w:cs="Times New Roman"/>
                <w:b/>
                <w:bCs/>
                <w:sz w:val="22"/>
                <w:szCs w:val="22"/>
              </w:rPr>
              <w:t>3</w:t>
            </w:r>
          </w:p>
        </w:tc>
        <w:tc>
          <w:tcPr>
            <w:tcW w:w="1049" w:type="pct"/>
            <w:vAlign w:val="center"/>
            <w:hideMark/>
          </w:tcPr>
          <w:p w14:paraId="35FC2B3D"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W= 5.2639**,</w:t>
            </w:r>
          </w:p>
          <w:p w14:paraId="261383D3"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 xml:space="preserve">p = 0.0000       </w:t>
            </w:r>
          </w:p>
        </w:tc>
        <w:tc>
          <w:tcPr>
            <w:tcW w:w="1049" w:type="pct"/>
            <w:vAlign w:val="center"/>
            <w:hideMark/>
          </w:tcPr>
          <w:p w14:paraId="55B50620"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W= 6.2311**,</w:t>
            </w:r>
          </w:p>
          <w:p w14:paraId="1CB8D69D"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p = 0.0000</w:t>
            </w:r>
          </w:p>
        </w:tc>
        <w:tc>
          <w:tcPr>
            <w:tcW w:w="1028" w:type="pct"/>
            <w:vAlign w:val="center"/>
            <w:hideMark/>
          </w:tcPr>
          <w:p w14:paraId="7A0E0878" w14:textId="77777777" w:rsidR="00CC4BA6" w:rsidRPr="00C1471E" w:rsidRDefault="00CC4BA6" w:rsidP="00C1471E">
            <w:pPr>
              <w:tabs>
                <w:tab w:val="left" w:pos="720"/>
              </w:tabs>
              <w:rPr>
                <w:rFonts w:ascii="Times New Roman" w:hAnsi="Times New Roman" w:cs="Times New Roman"/>
                <w:sz w:val="22"/>
                <w:szCs w:val="22"/>
              </w:rPr>
            </w:pPr>
            <w:r w:rsidRPr="00C1471E">
              <w:rPr>
                <w:rFonts w:ascii="Times New Roman" w:hAnsi="Times New Roman" w:cs="Times New Roman"/>
                <w:sz w:val="22"/>
                <w:szCs w:val="22"/>
              </w:rPr>
              <w:t xml:space="preserve">      W= 4.999**,</w:t>
            </w:r>
          </w:p>
          <w:p w14:paraId="0767CFB8"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 xml:space="preserve">p = 0.0000       </w:t>
            </w:r>
          </w:p>
        </w:tc>
        <w:tc>
          <w:tcPr>
            <w:tcW w:w="916" w:type="pct"/>
            <w:vAlign w:val="center"/>
            <w:hideMark/>
          </w:tcPr>
          <w:p w14:paraId="34987D84"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W= 4.0926**,</w:t>
            </w:r>
          </w:p>
          <w:p w14:paraId="59140938" w14:textId="77777777" w:rsidR="00CC4BA6" w:rsidRPr="00C1471E" w:rsidRDefault="00CC4BA6" w:rsidP="00C1471E">
            <w:pPr>
              <w:tabs>
                <w:tab w:val="left" w:pos="720"/>
              </w:tabs>
              <w:jc w:val="center"/>
              <w:rPr>
                <w:rFonts w:ascii="Times New Roman" w:hAnsi="Times New Roman" w:cs="Times New Roman"/>
                <w:sz w:val="22"/>
                <w:szCs w:val="22"/>
              </w:rPr>
            </w:pPr>
            <w:r w:rsidRPr="00C1471E">
              <w:rPr>
                <w:rFonts w:ascii="Times New Roman" w:hAnsi="Times New Roman" w:cs="Times New Roman"/>
                <w:sz w:val="22"/>
                <w:szCs w:val="22"/>
              </w:rPr>
              <w:t>p = 0.0000</w:t>
            </w:r>
          </w:p>
        </w:tc>
      </w:tr>
    </w:tbl>
    <w:p w14:paraId="0B37358F" w14:textId="77777777" w:rsidR="00CC4BA6" w:rsidRDefault="00CC4BA6" w:rsidP="00C1471E">
      <w:pPr>
        <w:tabs>
          <w:tab w:val="left" w:pos="284"/>
        </w:tabs>
        <w:spacing w:after="0" w:line="240" w:lineRule="auto"/>
        <w:jc w:val="both"/>
        <w:rPr>
          <w:rFonts w:ascii="Times New Roman" w:hAnsi="Times New Roman" w:cs="Times New Roman"/>
          <w:sz w:val="22"/>
          <w:szCs w:val="22"/>
        </w:rPr>
      </w:pPr>
      <w:r w:rsidRPr="00DB6353">
        <w:rPr>
          <w:rFonts w:ascii="Times New Roman" w:hAnsi="Times New Roman" w:cs="Times New Roman"/>
          <w:sz w:val="22"/>
          <w:szCs w:val="22"/>
        </w:rPr>
        <w:t>**:Significant at the 1% level (p &lt; 0.01)</w:t>
      </w:r>
    </w:p>
    <w:p w14:paraId="444E86B2" w14:textId="77777777" w:rsidR="00C1471E" w:rsidRDefault="00C1471E" w:rsidP="00CC4BA6">
      <w:pPr>
        <w:rPr>
          <w:rFonts w:ascii="Times New Roman" w:hAnsi="Times New Roman" w:cs="Times New Roman"/>
        </w:rPr>
      </w:pPr>
    </w:p>
    <w:p w14:paraId="25B720AE" w14:textId="77777777" w:rsidR="00CC4BA6" w:rsidRDefault="00CC4BA6" w:rsidP="00CC4BA6">
      <w:pPr>
        <w:rPr>
          <w:rFonts w:ascii="Times New Roman" w:hAnsi="Times New Roman" w:cs="Times New Roman"/>
        </w:rPr>
      </w:pPr>
      <w:r>
        <w:rPr>
          <w:rFonts w:ascii="Times New Roman" w:hAnsi="Times New Roman" w:cs="Times New Roman"/>
        </w:rPr>
        <w:t xml:space="preserve">Table 5: </w:t>
      </w:r>
      <w:r w:rsidRPr="00A66A28">
        <w:rPr>
          <w:rFonts w:ascii="Times New Roman" w:hAnsi="Times New Roman" w:cs="Times New Roman"/>
        </w:rPr>
        <w:t xml:space="preserve">BDS test results on residuals of SVR model for </w:t>
      </w:r>
      <w:r>
        <w:rPr>
          <w:rFonts w:ascii="Times New Roman" w:hAnsi="Times New Roman" w:cs="Times New Roman"/>
        </w:rPr>
        <w:t>Cashew nut</w:t>
      </w:r>
      <w:r w:rsidRPr="00A66A28">
        <w:rPr>
          <w:rFonts w:ascii="Times New Roman" w:hAnsi="Times New Roman" w:cs="Times New Roman"/>
        </w:rPr>
        <w:t xml:space="preserve"> prices</w:t>
      </w:r>
    </w:p>
    <w:tbl>
      <w:tblPr>
        <w:tblStyle w:val="TableGrid"/>
        <w:tblW w:w="5000" w:type="pct"/>
        <w:tblLook w:val="04A0" w:firstRow="1" w:lastRow="0" w:firstColumn="1" w:lastColumn="0" w:noHBand="0" w:noVBand="1"/>
      </w:tblPr>
      <w:tblGrid>
        <w:gridCol w:w="1715"/>
        <w:gridCol w:w="2152"/>
        <w:gridCol w:w="2004"/>
        <w:gridCol w:w="1689"/>
        <w:gridCol w:w="1682"/>
      </w:tblGrid>
      <w:tr w:rsidR="00CC4BA6" w:rsidRPr="00DB6353" w14:paraId="182085AD" w14:textId="77777777" w:rsidTr="007A1B0B">
        <w:trPr>
          <w:trHeight w:val="327"/>
        </w:trPr>
        <w:tc>
          <w:tcPr>
            <w:tcW w:w="928" w:type="pct"/>
            <w:vMerge w:val="restart"/>
            <w:vAlign w:val="center"/>
            <w:hideMark/>
          </w:tcPr>
          <w:p w14:paraId="7D6D89E6" w14:textId="77777777" w:rsidR="00CC4BA6" w:rsidRPr="00DB6353" w:rsidRDefault="00CC4BA6" w:rsidP="007A1B0B">
            <w:pPr>
              <w:tabs>
                <w:tab w:val="left" w:pos="720"/>
              </w:tabs>
              <w:spacing w:after="140"/>
              <w:ind w:firstLine="22"/>
              <w:jc w:val="center"/>
              <w:rPr>
                <w:rFonts w:ascii="Times New Roman" w:hAnsi="Times New Roman" w:cs="Times New Roman"/>
                <w:b/>
                <w:bCs/>
                <w:sz w:val="22"/>
                <w:szCs w:val="22"/>
              </w:rPr>
            </w:pPr>
            <w:r w:rsidRPr="00DB6353">
              <w:rPr>
                <w:rFonts w:ascii="Times New Roman" w:hAnsi="Times New Roman" w:cs="Times New Roman"/>
                <w:b/>
                <w:bCs/>
                <w:sz w:val="22"/>
                <w:szCs w:val="22"/>
              </w:rPr>
              <w:t>Embedding Dimension</w:t>
            </w:r>
          </w:p>
        </w:tc>
        <w:tc>
          <w:tcPr>
            <w:tcW w:w="4072" w:type="pct"/>
            <w:gridSpan w:val="4"/>
            <w:vAlign w:val="center"/>
          </w:tcPr>
          <w:p w14:paraId="6E5042D3" w14:textId="77777777" w:rsidR="00CC4BA6" w:rsidRPr="00DB6353" w:rsidRDefault="00CC4BA6" w:rsidP="007A1B0B">
            <w:pPr>
              <w:tabs>
                <w:tab w:val="left" w:pos="720"/>
              </w:tabs>
              <w:spacing w:after="140"/>
              <w:jc w:val="center"/>
              <w:rPr>
                <w:rFonts w:ascii="Times New Roman" w:hAnsi="Times New Roman" w:cs="Times New Roman"/>
                <w:b/>
                <w:bCs/>
                <w:sz w:val="22"/>
                <w:szCs w:val="22"/>
              </w:rPr>
            </w:pPr>
            <w:r w:rsidRPr="00DB6353">
              <w:rPr>
                <w:rFonts w:ascii="Times New Roman" w:hAnsi="Times New Roman" w:cs="Times New Roman"/>
                <w:b/>
                <w:bCs/>
                <w:sz w:val="22"/>
                <w:szCs w:val="22"/>
              </w:rPr>
              <w:t>Epsilon</w:t>
            </w:r>
          </w:p>
        </w:tc>
      </w:tr>
      <w:tr w:rsidR="00CC4BA6" w:rsidRPr="00DB6353" w14:paraId="24A10100" w14:textId="77777777" w:rsidTr="007A1B0B">
        <w:trPr>
          <w:trHeight w:val="377"/>
        </w:trPr>
        <w:tc>
          <w:tcPr>
            <w:tcW w:w="928" w:type="pct"/>
            <w:vMerge/>
            <w:vAlign w:val="center"/>
          </w:tcPr>
          <w:p w14:paraId="32B4FC6A" w14:textId="77777777" w:rsidR="00CC4BA6" w:rsidRPr="00DB6353" w:rsidRDefault="00CC4BA6" w:rsidP="007A1B0B">
            <w:pPr>
              <w:tabs>
                <w:tab w:val="left" w:pos="720"/>
              </w:tabs>
              <w:spacing w:after="140"/>
              <w:ind w:firstLine="720"/>
              <w:rPr>
                <w:rFonts w:ascii="Times New Roman" w:hAnsi="Times New Roman" w:cs="Times New Roman"/>
                <w:b/>
                <w:bCs/>
                <w:sz w:val="22"/>
                <w:szCs w:val="22"/>
              </w:rPr>
            </w:pPr>
          </w:p>
        </w:tc>
        <w:tc>
          <w:tcPr>
            <w:tcW w:w="1164" w:type="pct"/>
            <w:vAlign w:val="center"/>
          </w:tcPr>
          <w:p w14:paraId="64443BAF" w14:textId="77777777" w:rsidR="00CC4BA6" w:rsidRPr="00DB6353" w:rsidRDefault="00CC4BA6" w:rsidP="007A1B0B">
            <w:pPr>
              <w:tabs>
                <w:tab w:val="left" w:pos="720"/>
              </w:tabs>
              <w:spacing w:after="140"/>
              <w:jc w:val="center"/>
              <w:rPr>
                <w:rFonts w:ascii="Times New Roman" w:hAnsi="Times New Roman" w:cs="Times New Roman"/>
                <w:b/>
                <w:bCs/>
                <w:sz w:val="22"/>
                <w:szCs w:val="22"/>
              </w:rPr>
            </w:pPr>
            <w:r>
              <w:rPr>
                <w:rFonts w:ascii="Times New Roman" w:hAnsi="Times New Roman" w:cs="Times New Roman"/>
                <w:b/>
                <w:bCs/>
                <w:sz w:val="22"/>
                <w:szCs w:val="22"/>
              </w:rPr>
              <w:t>12.813</w:t>
            </w:r>
          </w:p>
        </w:tc>
        <w:tc>
          <w:tcPr>
            <w:tcW w:w="1084" w:type="pct"/>
            <w:vAlign w:val="center"/>
          </w:tcPr>
          <w:p w14:paraId="28B285DD" w14:textId="77777777" w:rsidR="00CC4BA6" w:rsidRPr="00DB6353" w:rsidRDefault="00CC4BA6" w:rsidP="007A1B0B">
            <w:pPr>
              <w:tabs>
                <w:tab w:val="left" w:pos="720"/>
              </w:tabs>
              <w:spacing w:after="140"/>
              <w:jc w:val="center"/>
              <w:rPr>
                <w:rFonts w:ascii="Times New Roman" w:hAnsi="Times New Roman" w:cs="Times New Roman"/>
                <w:b/>
                <w:bCs/>
                <w:sz w:val="22"/>
                <w:szCs w:val="22"/>
              </w:rPr>
            </w:pPr>
            <w:r>
              <w:rPr>
                <w:rFonts w:ascii="Times New Roman" w:hAnsi="Times New Roman" w:cs="Times New Roman"/>
                <w:b/>
                <w:bCs/>
                <w:sz w:val="22"/>
                <w:szCs w:val="22"/>
              </w:rPr>
              <w:t>25.626</w:t>
            </w:r>
          </w:p>
        </w:tc>
        <w:tc>
          <w:tcPr>
            <w:tcW w:w="914" w:type="pct"/>
            <w:vAlign w:val="center"/>
          </w:tcPr>
          <w:p w14:paraId="63C6283B" w14:textId="77777777" w:rsidR="00CC4BA6" w:rsidRPr="00DB6353" w:rsidRDefault="00CC4BA6" w:rsidP="007A1B0B">
            <w:pPr>
              <w:tabs>
                <w:tab w:val="left" w:pos="720"/>
              </w:tabs>
              <w:spacing w:after="140"/>
              <w:jc w:val="center"/>
              <w:rPr>
                <w:rFonts w:ascii="Times New Roman" w:hAnsi="Times New Roman" w:cs="Times New Roman"/>
                <w:b/>
                <w:bCs/>
                <w:sz w:val="22"/>
                <w:szCs w:val="22"/>
              </w:rPr>
            </w:pPr>
            <w:r>
              <w:rPr>
                <w:rFonts w:ascii="Times New Roman" w:hAnsi="Times New Roman" w:cs="Times New Roman"/>
                <w:b/>
                <w:bCs/>
                <w:sz w:val="22"/>
                <w:szCs w:val="22"/>
              </w:rPr>
              <w:t>38.439</w:t>
            </w:r>
          </w:p>
        </w:tc>
        <w:tc>
          <w:tcPr>
            <w:tcW w:w="910" w:type="pct"/>
            <w:vAlign w:val="center"/>
          </w:tcPr>
          <w:p w14:paraId="44023B12" w14:textId="77777777" w:rsidR="00CC4BA6" w:rsidRPr="00DB6353" w:rsidRDefault="00CC4BA6" w:rsidP="007A1B0B">
            <w:pPr>
              <w:tabs>
                <w:tab w:val="left" w:pos="720"/>
              </w:tabs>
              <w:spacing w:after="140"/>
              <w:jc w:val="center"/>
              <w:rPr>
                <w:rFonts w:ascii="Times New Roman" w:hAnsi="Times New Roman" w:cs="Times New Roman"/>
                <w:b/>
                <w:bCs/>
                <w:sz w:val="22"/>
                <w:szCs w:val="22"/>
              </w:rPr>
            </w:pPr>
            <w:r>
              <w:rPr>
                <w:rFonts w:ascii="Times New Roman" w:hAnsi="Times New Roman" w:cs="Times New Roman"/>
                <w:b/>
                <w:bCs/>
                <w:sz w:val="22"/>
                <w:szCs w:val="22"/>
              </w:rPr>
              <w:t>51.253</w:t>
            </w:r>
          </w:p>
        </w:tc>
      </w:tr>
      <w:tr w:rsidR="00CC4BA6" w:rsidRPr="00DB6353" w14:paraId="4EB34A9F" w14:textId="77777777" w:rsidTr="007A1B0B">
        <w:tc>
          <w:tcPr>
            <w:tcW w:w="928" w:type="pct"/>
            <w:vAlign w:val="center"/>
            <w:hideMark/>
          </w:tcPr>
          <w:p w14:paraId="4FB02036" w14:textId="77777777" w:rsidR="00CC4BA6" w:rsidRPr="004D5F22" w:rsidRDefault="00CC4BA6" w:rsidP="007A1B0B">
            <w:pPr>
              <w:tabs>
                <w:tab w:val="left" w:pos="720"/>
              </w:tabs>
              <w:spacing w:after="140"/>
              <w:ind w:firstLine="22"/>
              <w:jc w:val="center"/>
              <w:rPr>
                <w:rFonts w:ascii="Times New Roman" w:hAnsi="Times New Roman" w:cs="Times New Roman"/>
                <w:sz w:val="22"/>
                <w:szCs w:val="22"/>
              </w:rPr>
            </w:pPr>
            <w:r w:rsidRPr="004D5F22">
              <w:rPr>
                <w:rFonts w:ascii="Times New Roman" w:hAnsi="Times New Roman" w:cs="Times New Roman"/>
                <w:bCs/>
                <w:sz w:val="22"/>
                <w:szCs w:val="22"/>
              </w:rPr>
              <w:t>2</w:t>
            </w:r>
          </w:p>
        </w:tc>
        <w:tc>
          <w:tcPr>
            <w:tcW w:w="1164" w:type="pct"/>
            <w:vAlign w:val="center"/>
            <w:hideMark/>
          </w:tcPr>
          <w:p w14:paraId="32D08ED6"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 xml:space="preserve">W= </w:t>
            </w:r>
            <w:r>
              <w:rPr>
                <w:rFonts w:ascii="Times New Roman" w:hAnsi="Times New Roman" w:cs="Times New Roman"/>
                <w:sz w:val="22"/>
                <w:szCs w:val="22"/>
              </w:rPr>
              <w:t>35.978</w:t>
            </w:r>
            <w:r w:rsidRPr="00DB6353">
              <w:rPr>
                <w:rFonts w:ascii="Times New Roman" w:hAnsi="Times New Roman" w:cs="Times New Roman"/>
                <w:sz w:val="22"/>
                <w:szCs w:val="22"/>
              </w:rPr>
              <w:t>**,</w:t>
            </w:r>
          </w:p>
          <w:p w14:paraId="06046BB5"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c>
          <w:tcPr>
            <w:tcW w:w="1084" w:type="pct"/>
            <w:vAlign w:val="center"/>
            <w:hideMark/>
          </w:tcPr>
          <w:p w14:paraId="72A4A890"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 xml:space="preserve">W= </w:t>
            </w:r>
            <w:r>
              <w:rPr>
                <w:rFonts w:ascii="Times New Roman" w:hAnsi="Times New Roman" w:cs="Times New Roman"/>
                <w:sz w:val="22"/>
                <w:szCs w:val="22"/>
              </w:rPr>
              <w:t>15.4632</w:t>
            </w:r>
            <w:r w:rsidRPr="00DB6353">
              <w:rPr>
                <w:rFonts w:ascii="Times New Roman" w:hAnsi="Times New Roman" w:cs="Times New Roman"/>
                <w:sz w:val="22"/>
                <w:szCs w:val="22"/>
              </w:rPr>
              <w:t>**,</w:t>
            </w:r>
          </w:p>
          <w:p w14:paraId="31E383CA"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c>
          <w:tcPr>
            <w:tcW w:w="914" w:type="pct"/>
            <w:vAlign w:val="center"/>
            <w:hideMark/>
          </w:tcPr>
          <w:p w14:paraId="0043B062"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 xml:space="preserve">W= </w:t>
            </w:r>
            <w:r>
              <w:rPr>
                <w:rFonts w:ascii="Times New Roman" w:hAnsi="Times New Roman" w:cs="Times New Roman"/>
                <w:sz w:val="22"/>
                <w:szCs w:val="22"/>
              </w:rPr>
              <w:t>11.1282</w:t>
            </w:r>
            <w:r w:rsidRPr="00DB6353">
              <w:rPr>
                <w:rFonts w:ascii="Times New Roman" w:hAnsi="Times New Roman" w:cs="Times New Roman"/>
                <w:sz w:val="22"/>
                <w:szCs w:val="22"/>
              </w:rPr>
              <w:t>**,</w:t>
            </w:r>
          </w:p>
          <w:p w14:paraId="3FD24477"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c>
          <w:tcPr>
            <w:tcW w:w="910" w:type="pct"/>
            <w:vAlign w:val="center"/>
            <w:hideMark/>
          </w:tcPr>
          <w:p w14:paraId="00997129"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 xml:space="preserve">W= </w:t>
            </w:r>
            <w:r>
              <w:rPr>
                <w:rFonts w:ascii="Times New Roman" w:hAnsi="Times New Roman" w:cs="Times New Roman"/>
                <w:sz w:val="22"/>
                <w:szCs w:val="22"/>
              </w:rPr>
              <w:t>9.2837</w:t>
            </w:r>
            <w:r w:rsidRPr="00DB6353">
              <w:rPr>
                <w:rFonts w:ascii="Times New Roman" w:hAnsi="Times New Roman" w:cs="Times New Roman"/>
                <w:sz w:val="22"/>
                <w:szCs w:val="22"/>
              </w:rPr>
              <w:t>**,</w:t>
            </w:r>
          </w:p>
          <w:p w14:paraId="1996F149"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r>
      <w:tr w:rsidR="00CC4BA6" w:rsidRPr="00DB6353" w14:paraId="471EE667" w14:textId="77777777" w:rsidTr="007A1B0B">
        <w:tc>
          <w:tcPr>
            <w:tcW w:w="928" w:type="pct"/>
            <w:vAlign w:val="center"/>
            <w:hideMark/>
          </w:tcPr>
          <w:p w14:paraId="4F429794" w14:textId="77777777" w:rsidR="00CC4BA6" w:rsidRPr="004D5F22" w:rsidRDefault="00CC4BA6" w:rsidP="007A1B0B">
            <w:pPr>
              <w:tabs>
                <w:tab w:val="left" w:pos="720"/>
              </w:tabs>
              <w:spacing w:after="140"/>
              <w:ind w:firstLine="22"/>
              <w:jc w:val="center"/>
              <w:rPr>
                <w:rFonts w:ascii="Times New Roman" w:hAnsi="Times New Roman" w:cs="Times New Roman"/>
                <w:sz w:val="22"/>
                <w:szCs w:val="22"/>
              </w:rPr>
            </w:pPr>
            <w:r w:rsidRPr="004D5F22">
              <w:rPr>
                <w:rFonts w:ascii="Times New Roman" w:hAnsi="Times New Roman" w:cs="Times New Roman"/>
                <w:bCs/>
                <w:sz w:val="22"/>
                <w:szCs w:val="22"/>
              </w:rPr>
              <w:t>5</w:t>
            </w:r>
          </w:p>
        </w:tc>
        <w:tc>
          <w:tcPr>
            <w:tcW w:w="1164" w:type="pct"/>
            <w:vAlign w:val="center"/>
            <w:hideMark/>
          </w:tcPr>
          <w:p w14:paraId="48BDFAE2"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 xml:space="preserve">W= </w:t>
            </w:r>
            <w:r>
              <w:rPr>
                <w:rFonts w:ascii="Times New Roman" w:hAnsi="Times New Roman" w:cs="Times New Roman"/>
                <w:sz w:val="22"/>
                <w:szCs w:val="22"/>
              </w:rPr>
              <w:t>52.1343</w:t>
            </w:r>
            <w:r w:rsidRPr="00DB6353">
              <w:rPr>
                <w:rFonts w:ascii="Times New Roman" w:hAnsi="Times New Roman" w:cs="Times New Roman"/>
                <w:sz w:val="22"/>
                <w:szCs w:val="22"/>
              </w:rPr>
              <w:t>**,</w:t>
            </w:r>
          </w:p>
          <w:p w14:paraId="3B4E7C14"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c>
          <w:tcPr>
            <w:tcW w:w="1084" w:type="pct"/>
            <w:vAlign w:val="center"/>
            <w:hideMark/>
          </w:tcPr>
          <w:p w14:paraId="4CFAEC26"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W=</w:t>
            </w:r>
            <w:r>
              <w:rPr>
                <w:rFonts w:ascii="Times New Roman" w:hAnsi="Times New Roman" w:cs="Times New Roman"/>
                <w:sz w:val="22"/>
                <w:szCs w:val="22"/>
              </w:rPr>
              <w:t>13.0969</w:t>
            </w:r>
            <w:r w:rsidRPr="00DB6353">
              <w:rPr>
                <w:rFonts w:ascii="Times New Roman" w:hAnsi="Times New Roman" w:cs="Times New Roman"/>
                <w:sz w:val="22"/>
                <w:szCs w:val="22"/>
              </w:rPr>
              <w:t>**,</w:t>
            </w:r>
          </w:p>
          <w:p w14:paraId="51424253"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c>
          <w:tcPr>
            <w:tcW w:w="914" w:type="pct"/>
            <w:vAlign w:val="center"/>
            <w:hideMark/>
          </w:tcPr>
          <w:p w14:paraId="75F73FCB"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 xml:space="preserve">W= </w:t>
            </w:r>
            <w:r>
              <w:rPr>
                <w:rFonts w:ascii="Times New Roman" w:hAnsi="Times New Roman" w:cs="Times New Roman"/>
                <w:sz w:val="22"/>
                <w:szCs w:val="22"/>
              </w:rPr>
              <w:t>10.2981</w:t>
            </w:r>
            <w:r w:rsidRPr="00DB6353">
              <w:rPr>
                <w:rFonts w:ascii="Times New Roman" w:hAnsi="Times New Roman" w:cs="Times New Roman"/>
                <w:sz w:val="22"/>
                <w:szCs w:val="22"/>
              </w:rPr>
              <w:t>**,</w:t>
            </w:r>
          </w:p>
          <w:p w14:paraId="29574030"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c>
          <w:tcPr>
            <w:tcW w:w="910" w:type="pct"/>
            <w:vAlign w:val="center"/>
            <w:hideMark/>
          </w:tcPr>
          <w:p w14:paraId="13464B6E"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 xml:space="preserve">W= </w:t>
            </w:r>
            <w:r>
              <w:rPr>
                <w:rFonts w:ascii="Times New Roman" w:hAnsi="Times New Roman" w:cs="Times New Roman"/>
                <w:sz w:val="22"/>
                <w:szCs w:val="22"/>
              </w:rPr>
              <w:t>7.2266</w:t>
            </w:r>
            <w:r w:rsidRPr="00DB6353">
              <w:rPr>
                <w:rFonts w:ascii="Times New Roman" w:hAnsi="Times New Roman" w:cs="Times New Roman"/>
                <w:sz w:val="22"/>
                <w:szCs w:val="22"/>
              </w:rPr>
              <w:t>**,</w:t>
            </w:r>
          </w:p>
          <w:p w14:paraId="0AC87436"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r>
      <w:tr w:rsidR="00CC4BA6" w:rsidRPr="00DB6353" w14:paraId="4042CEF8" w14:textId="77777777" w:rsidTr="007A1B0B">
        <w:tc>
          <w:tcPr>
            <w:tcW w:w="928" w:type="pct"/>
            <w:vAlign w:val="center"/>
            <w:hideMark/>
          </w:tcPr>
          <w:p w14:paraId="0779CC65" w14:textId="77777777" w:rsidR="00CC4BA6" w:rsidRPr="004D5F22" w:rsidRDefault="00CC4BA6" w:rsidP="007A1B0B">
            <w:pPr>
              <w:tabs>
                <w:tab w:val="left" w:pos="720"/>
              </w:tabs>
              <w:spacing w:after="140"/>
              <w:ind w:firstLine="22"/>
              <w:jc w:val="center"/>
              <w:rPr>
                <w:rFonts w:ascii="Times New Roman" w:hAnsi="Times New Roman" w:cs="Times New Roman"/>
                <w:sz w:val="22"/>
                <w:szCs w:val="22"/>
              </w:rPr>
            </w:pPr>
            <w:r w:rsidRPr="004D5F22">
              <w:rPr>
                <w:rFonts w:ascii="Times New Roman" w:hAnsi="Times New Roman" w:cs="Times New Roman"/>
                <w:bCs/>
                <w:sz w:val="22"/>
                <w:szCs w:val="22"/>
              </w:rPr>
              <w:t>10</w:t>
            </w:r>
          </w:p>
        </w:tc>
        <w:tc>
          <w:tcPr>
            <w:tcW w:w="1164" w:type="pct"/>
            <w:vAlign w:val="center"/>
            <w:hideMark/>
          </w:tcPr>
          <w:p w14:paraId="66A30366"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W=</w:t>
            </w:r>
            <w:r>
              <w:rPr>
                <w:rFonts w:ascii="Times New Roman" w:hAnsi="Times New Roman" w:cs="Times New Roman"/>
                <w:sz w:val="22"/>
                <w:szCs w:val="22"/>
              </w:rPr>
              <w:t>3.2017</w:t>
            </w:r>
            <w:r w:rsidRPr="00DB6353">
              <w:rPr>
                <w:rFonts w:ascii="Times New Roman" w:hAnsi="Times New Roman" w:cs="Times New Roman"/>
                <w:sz w:val="22"/>
                <w:szCs w:val="22"/>
              </w:rPr>
              <w:t>**,</w:t>
            </w:r>
          </w:p>
          <w:p w14:paraId="16C64F8D"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c>
          <w:tcPr>
            <w:tcW w:w="1084" w:type="pct"/>
            <w:vAlign w:val="center"/>
            <w:hideMark/>
          </w:tcPr>
          <w:p w14:paraId="50E6927D"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W=40.385**,</w:t>
            </w:r>
          </w:p>
          <w:p w14:paraId="388E9D14"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c>
          <w:tcPr>
            <w:tcW w:w="914" w:type="pct"/>
            <w:vAlign w:val="center"/>
            <w:hideMark/>
          </w:tcPr>
          <w:p w14:paraId="522CCFAC"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 xml:space="preserve">W= </w:t>
            </w:r>
            <w:r>
              <w:rPr>
                <w:rFonts w:ascii="Times New Roman" w:hAnsi="Times New Roman" w:cs="Times New Roman"/>
                <w:sz w:val="22"/>
                <w:szCs w:val="22"/>
              </w:rPr>
              <w:t>9.1105</w:t>
            </w:r>
            <w:r w:rsidRPr="00DB6353">
              <w:rPr>
                <w:rFonts w:ascii="Times New Roman" w:hAnsi="Times New Roman" w:cs="Times New Roman"/>
                <w:sz w:val="22"/>
                <w:szCs w:val="22"/>
              </w:rPr>
              <w:t>**,</w:t>
            </w:r>
          </w:p>
          <w:p w14:paraId="1C27D74C"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c>
          <w:tcPr>
            <w:tcW w:w="910" w:type="pct"/>
            <w:vAlign w:val="center"/>
            <w:hideMark/>
          </w:tcPr>
          <w:p w14:paraId="3F7B41F8"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 xml:space="preserve">W= </w:t>
            </w:r>
            <w:r>
              <w:rPr>
                <w:rFonts w:ascii="Times New Roman" w:hAnsi="Times New Roman" w:cs="Times New Roman"/>
                <w:sz w:val="22"/>
                <w:szCs w:val="22"/>
              </w:rPr>
              <w:t>5.6364</w:t>
            </w:r>
            <w:r w:rsidRPr="00DB6353">
              <w:rPr>
                <w:rFonts w:ascii="Times New Roman" w:hAnsi="Times New Roman" w:cs="Times New Roman"/>
                <w:sz w:val="22"/>
                <w:szCs w:val="22"/>
              </w:rPr>
              <w:t>**,</w:t>
            </w:r>
          </w:p>
          <w:p w14:paraId="769EAC3E" w14:textId="77777777" w:rsidR="00CC4BA6" w:rsidRPr="00DB6353" w:rsidRDefault="00CC4BA6" w:rsidP="004D5F22">
            <w:pPr>
              <w:tabs>
                <w:tab w:val="left" w:pos="720"/>
              </w:tabs>
              <w:jc w:val="center"/>
              <w:rPr>
                <w:rFonts w:ascii="Times New Roman" w:hAnsi="Times New Roman" w:cs="Times New Roman"/>
                <w:sz w:val="22"/>
                <w:szCs w:val="22"/>
              </w:rPr>
            </w:pPr>
            <w:r w:rsidRPr="00DB6353">
              <w:rPr>
                <w:rFonts w:ascii="Times New Roman" w:hAnsi="Times New Roman" w:cs="Times New Roman"/>
                <w:sz w:val="22"/>
                <w:szCs w:val="22"/>
              </w:rPr>
              <w:t>p = 0.000</w:t>
            </w:r>
          </w:p>
        </w:tc>
      </w:tr>
    </w:tbl>
    <w:p w14:paraId="5E0AD117" w14:textId="09F4928D" w:rsidR="00CC4BA6" w:rsidRPr="004D5F22" w:rsidRDefault="00CC4BA6" w:rsidP="00CC4BA6">
      <w:pPr>
        <w:rPr>
          <w:rFonts w:ascii="Times New Roman" w:hAnsi="Times New Roman" w:cs="Times New Roman"/>
          <w:sz w:val="18"/>
          <w:szCs w:val="18"/>
        </w:rPr>
      </w:pPr>
      <w:r w:rsidRPr="004D5F22">
        <w:rPr>
          <w:rFonts w:ascii="Times New Roman" w:hAnsi="Times New Roman" w:cs="Times New Roman"/>
          <w:sz w:val="18"/>
          <w:szCs w:val="18"/>
        </w:rPr>
        <w:t>*</w:t>
      </w:r>
      <w:r w:rsidR="008A62C3" w:rsidRPr="004D5F22">
        <w:rPr>
          <w:rFonts w:ascii="Times New Roman" w:hAnsi="Times New Roman" w:cs="Times New Roman"/>
          <w:sz w:val="18"/>
          <w:szCs w:val="18"/>
        </w:rPr>
        <w:t>*</w:t>
      </w:r>
      <w:r w:rsidR="008A62C3" w:rsidRPr="00DB6353">
        <w:rPr>
          <w:rFonts w:ascii="Times New Roman" w:hAnsi="Times New Roman" w:cs="Times New Roman"/>
          <w:sz w:val="22"/>
          <w:szCs w:val="22"/>
        </w:rPr>
        <w:t>:</w:t>
      </w:r>
      <w:r w:rsidR="008A62C3" w:rsidRPr="004D5F22">
        <w:rPr>
          <w:rFonts w:ascii="Times New Roman" w:hAnsi="Times New Roman" w:cs="Times New Roman"/>
          <w:sz w:val="18"/>
          <w:szCs w:val="18"/>
        </w:rPr>
        <w:t xml:space="preserve"> Significant</w:t>
      </w:r>
      <w:r w:rsidRPr="004D5F22">
        <w:rPr>
          <w:rFonts w:ascii="Times New Roman" w:hAnsi="Times New Roman" w:cs="Times New Roman"/>
          <w:sz w:val="18"/>
          <w:szCs w:val="18"/>
        </w:rPr>
        <w:t xml:space="preserve"> at the 1% level (p &lt; 0.01)</w:t>
      </w:r>
    </w:p>
    <w:p w14:paraId="1F1B4D6E" w14:textId="77777777" w:rsidR="00CC4BA6" w:rsidRPr="004C2C6E" w:rsidRDefault="00CC4BA6" w:rsidP="00CC4BA6">
      <w:pPr>
        <w:tabs>
          <w:tab w:val="left" w:pos="720"/>
        </w:tabs>
        <w:spacing w:after="140" w:line="240" w:lineRule="auto"/>
        <w:ind w:left="1440" w:hanging="1440"/>
        <w:jc w:val="both"/>
        <w:rPr>
          <w:rFonts w:ascii="Times New Roman" w:hAnsi="Times New Roman" w:cs="Times New Roman"/>
          <w:b/>
          <w:bCs/>
          <w:sz w:val="22"/>
          <w:szCs w:val="22"/>
        </w:rPr>
      </w:pPr>
      <w:r>
        <w:rPr>
          <w:rFonts w:ascii="Times New Roman" w:hAnsi="Times New Roman" w:cs="Times New Roman"/>
          <w:sz w:val="22"/>
          <w:szCs w:val="22"/>
        </w:rPr>
        <w:t xml:space="preserve">Table 6: </w:t>
      </w:r>
      <w:r w:rsidRPr="004C2C6E">
        <w:rPr>
          <w:rFonts w:ascii="Times New Roman" w:hAnsi="Times New Roman" w:cs="Times New Roman"/>
        </w:rPr>
        <w:t>BDS test results on residuals of ARIMA+SVR model for Banana prices</w:t>
      </w:r>
    </w:p>
    <w:tbl>
      <w:tblPr>
        <w:tblStyle w:val="TableGrid"/>
        <w:tblW w:w="8784" w:type="dxa"/>
        <w:tblLook w:val="04A0" w:firstRow="1" w:lastRow="0" w:firstColumn="1" w:lastColumn="0" w:noHBand="0" w:noVBand="1"/>
      </w:tblPr>
      <w:tblGrid>
        <w:gridCol w:w="1552"/>
        <w:gridCol w:w="1978"/>
        <w:gridCol w:w="1994"/>
        <w:gridCol w:w="1701"/>
        <w:gridCol w:w="1559"/>
      </w:tblGrid>
      <w:tr w:rsidR="00CC4BA6" w:rsidRPr="00DB6353" w14:paraId="55C26461" w14:textId="77777777" w:rsidTr="007A1B0B">
        <w:trPr>
          <w:trHeight w:val="418"/>
        </w:trPr>
        <w:tc>
          <w:tcPr>
            <w:tcW w:w="1552" w:type="dxa"/>
            <w:vMerge w:val="restart"/>
            <w:hideMark/>
          </w:tcPr>
          <w:p w14:paraId="75763D57" w14:textId="77777777" w:rsidR="00CC4BA6" w:rsidRPr="00DB6353" w:rsidRDefault="00CC4BA6" w:rsidP="007A1B0B">
            <w:pPr>
              <w:tabs>
                <w:tab w:val="left" w:pos="720"/>
              </w:tabs>
              <w:spacing w:before="80" w:after="80"/>
              <w:jc w:val="center"/>
              <w:rPr>
                <w:rFonts w:ascii="Times New Roman" w:hAnsi="Times New Roman" w:cs="Times New Roman"/>
                <w:b/>
                <w:bCs/>
                <w:sz w:val="22"/>
                <w:szCs w:val="22"/>
              </w:rPr>
            </w:pPr>
            <w:r w:rsidRPr="00DB6353">
              <w:rPr>
                <w:rFonts w:ascii="Times New Roman" w:hAnsi="Times New Roman" w:cs="Times New Roman"/>
                <w:b/>
                <w:bCs/>
                <w:sz w:val="22"/>
                <w:szCs w:val="22"/>
              </w:rPr>
              <w:t>Embedding Dimension</w:t>
            </w:r>
          </w:p>
        </w:tc>
        <w:tc>
          <w:tcPr>
            <w:tcW w:w="7232" w:type="dxa"/>
            <w:gridSpan w:val="4"/>
          </w:tcPr>
          <w:p w14:paraId="541C1E47" w14:textId="77777777" w:rsidR="00CC4BA6" w:rsidRPr="00DB6353" w:rsidRDefault="00CC4BA6" w:rsidP="007A1B0B">
            <w:pPr>
              <w:tabs>
                <w:tab w:val="left" w:pos="720"/>
              </w:tabs>
              <w:spacing w:before="80" w:after="80"/>
              <w:ind w:firstLine="40"/>
              <w:jc w:val="center"/>
              <w:rPr>
                <w:rFonts w:ascii="Times New Roman" w:hAnsi="Times New Roman" w:cs="Times New Roman"/>
                <w:b/>
                <w:bCs/>
                <w:sz w:val="22"/>
                <w:szCs w:val="22"/>
              </w:rPr>
            </w:pPr>
            <w:r w:rsidRPr="00DB6353">
              <w:rPr>
                <w:rFonts w:ascii="Times New Roman" w:hAnsi="Times New Roman" w:cs="Times New Roman"/>
                <w:b/>
                <w:bCs/>
                <w:sz w:val="22"/>
                <w:szCs w:val="22"/>
              </w:rPr>
              <w:t>Epsilon</w:t>
            </w:r>
          </w:p>
        </w:tc>
      </w:tr>
      <w:tr w:rsidR="00CC4BA6" w:rsidRPr="00DB6353" w14:paraId="26BBE49D" w14:textId="77777777" w:rsidTr="007A1B0B">
        <w:trPr>
          <w:trHeight w:val="321"/>
        </w:trPr>
        <w:tc>
          <w:tcPr>
            <w:tcW w:w="1552" w:type="dxa"/>
            <w:vMerge/>
          </w:tcPr>
          <w:p w14:paraId="1D91CE3C" w14:textId="77777777" w:rsidR="00CC4BA6" w:rsidRPr="00DB6353" w:rsidRDefault="00CC4BA6" w:rsidP="007A1B0B">
            <w:pPr>
              <w:tabs>
                <w:tab w:val="left" w:pos="720"/>
              </w:tabs>
              <w:spacing w:before="80" w:after="80"/>
              <w:jc w:val="center"/>
              <w:rPr>
                <w:rFonts w:ascii="Times New Roman" w:hAnsi="Times New Roman" w:cs="Times New Roman"/>
                <w:b/>
                <w:bCs/>
                <w:sz w:val="22"/>
                <w:szCs w:val="22"/>
              </w:rPr>
            </w:pPr>
          </w:p>
        </w:tc>
        <w:tc>
          <w:tcPr>
            <w:tcW w:w="1978" w:type="dxa"/>
          </w:tcPr>
          <w:p w14:paraId="7DA183F9" w14:textId="77777777" w:rsidR="00CC4BA6" w:rsidRPr="00DB6353" w:rsidRDefault="00CC4BA6" w:rsidP="001A0F61">
            <w:pPr>
              <w:tabs>
                <w:tab w:val="left" w:pos="720"/>
              </w:tabs>
              <w:ind w:firstLine="40"/>
              <w:jc w:val="center"/>
              <w:rPr>
                <w:rFonts w:ascii="Times New Roman" w:hAnsi="Times New Roman" w:cs="Times New Roman"/>
                <w:b/>
                <w:bCs/>
                <w:sz w:val="22"/>
                <w:szCs w:val="22"/>
              </w:rPr>
            </w:pPr>
            <w:r>
              <w:rPr>
                <w:rFonts w:ascii="Times New Roman" w:hAnsi="Times New Roman" w:cs="Times New Roman"/>
                <w:b/>
                <w:bCs/>
                <w:sz w:val="22"/>
                <w:szCs w:val="22"/>
              </w:rPr>
              <w:t>7.124</w:t>
            </w:r>
          </w:p>
        </w:tc>
        <w:tc>
          <w:tcPr>
            <w:tcW w:w="1994" w:type="dxa"/>
          </w:tcPr>
          <w:p w14:paraId="3850DFCB" w14:textId="77777777" w:rsidR="00CC4BA6" w:rsidRPr="00DB6353" w:rsidRDefault="00CC4BA6" w:rsidP="001A0F61">
            <w:pPr>
              <w:tabs>
                <w:tab w:val="left" w:pos="720"/>
              </w:tabs>
              <w:ind w:firstLine="40"/>
              <w:jc w:val="center"/>
              <w:rPr>
                <w:rFonts w:ascii="Times New Roman" w:hAnsi="Times New Roman" w:cs="Times New Roman"/>
                <w:b/>
                <w:bCs/>
                <w:sz w:val="22"/>
                <w:szCs w:val="22"/>
              </w:rPr>
            </w:pPr>
            <w:r>
              <w:rPr>
                <w:rFonts w:ascii="Times New Roman" w:hAnsi="Times New Roman" w:cs="Times New Roman"/>
                <w:b/>
                <w:bCs/>
                <w:sz w:val="22"/>
                <w:szCs w:val="22"/>
              </w:rPr>
              <w:t>14.247</w:t>
            </w:r>
          </w:p>
        </w:tc>
        <w:tc>
          <w:tcPr>
            <w:tcW w:w="1701" w:type="dxa"/>
          </w:tcPr>
          <w:p w14:paraId="11A63DA6" w14:textId="77777777" w:rsidR="00CC4BA6" w:rsidRPr="00DB6353" w:rsidRDefault="00CC4BA6" w:rsidP="001A0F61">
            <w:pPr>
              <w:tabs>
                <w:tab w:val="left" w:pos="720"/>
              </w:tabs>
              <w:ind w:firstLine="40"/>
              <w:jc w:val="center"/>
              <w:rPr>
                <w:rFonts w:ascii="Times New Roman" w:hAnsi="Times New Roman" w:cs="Times New Roman"/>
                <w:b/>
                <w:bCs/>
                <w:sz w:val="22"/>
                <w:szCs w:val="22"/>
              </w:rPr>
            </w:pPr>
            <w:r>
              <w:rPr>
                <w:rFonts w:ascii="Times New Roman" w:hAnsi="Times New Roman" w:cs="Times New Roman"/>
                <w:b/>
                <w:bCs/>
                <w:sz w:val="22"/>
                <w:szCs w:val="22"/>
              </w:rPr>
              <w:t>21.371</w:t>
            </w:r>
          </w:p>
        </w:tc>
        <w:tc>
          <w:tcPr>
            <w:tcW w:w="1559" w:type="dxa"/>
          </w:tcPr>
          <w:p w14:paraId="3197C70C" w14:textId="77777777" w:rsidR="00CC4BA6" w:rsidRPr="00DB6353" w:rsidRDefault="00CC4BA6" w:rsidP="001A0F61">
            <w:pPr>
              <w:tabs>
                <w:tab w:val="left" w:pos="720"/>
              </w:tabs>
              <w:ind w:firstLine="40"/>
              <w:jc w:val="center"/>
              <w:rPr>
                <w:rFonts w:ascii="Times New Roman" w:hAnsi="Times New Roman" w:cs="Times New Roman"/>
                <w:b/>
                <w:bCs/>
                <w:sz w:val="22"/>
                <w:szCs w:val="22"/>
              </w:rPr>
            </w:pPr>
            <w:r>
              <w:rPr>
                <w:rFonts w:ascii="Times New Roman" w:hAnsi="Times New Roman" w:cs="Times New Roman"/>
                <w:b/>
                <w:bCs/>
                <w:sz w:val="22"/>
                <w:szCs w:val="22"/>
              </w:rPr>
              <w:t>28.494</w:t>
            </w:r>
          </w:p>
        </w:tc>
      </w:tr>
      <w:tr w:rsidR="00CC4BA6" w:rsidRPr="00DB6353" w14:paraId="5FA87BB4" w14:textId="77777777" w:rsidTr="007A1B0B">
        <w:tc>
          <w:tcPr>
            <w:tcW w:w="1552" w:type="dxa"/>
            <w:hideMark/>
          </w:tcPr>
          <w:p w14:paraId="113E18EE" w14:textId="77777777" w:rsidR="00CC4BA6" w:rsidRPr="00DB6353" w:rsidRDefault="00CC4BA6" w:rsidP="007A1B0B">
            <w:pPr>
              <w:tabs>
                <w:tab w:val="left" w:pos="720"/>
              </w:tabs>
              <w:spacing w:before="80" w:after="80"/>
              <w:jc w:val="center"/>
              <w:rPr>
                <w:rFonts w:ascii="Times New Roman" w:hAnsi="Times New Roman" w:cs="Times New Roman"/>
                <w:sz w:val="22"/>
                <w:szCs w:val="22"/>
              </w:rPr>
            </w:pPr>
            <w:r w:rsidRPr="00DB6353">
              <w:rPr>
                <w:rFonts w:ascii="Times New Roman" w:hAnsi="Times New Roman" w:cs="Times New Roman"/>
                <w:b/>
                <w:bCs/>
                <w:sz w:val="22"/>
                <w:szCs w:val="22"/>
              </w:rPr>
              <w:t>2</w:t>
            </w:r>
          </w:p>
        </w:tc>
        <w:tc>
          <w:tcPr>
            <w:tcW w:w="1978" w:type="dxa"/>
            <w:hideMark/>
          </w:tcPr>
          <w:p w14:paraId="164F174A"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 xml:space="preserve">W= -1.2327, </w:t>
            </w:r>
          </w:p>
          <w:p w14:paraId="733D2787" w14:textId="77777777" w:rsidR="00CC4BA6" w:rsidRPr="001A0F61" w:rsidRDefault="00CC4BA6" w:rsidP="001A0F61">
            <w:pPr>
              <w:tabs>
                <w:tab w:val="left" w:pos="720"/>
              </w:tabs>
              <w:ind w:firstLine="40"/>
              <w:jc w:val="center"/>
              <w:rPr>
                <w:rFonts w:ascii="Times New Roman" w:hAnsi="Times New Roman" w:cs="Times New Roman"/>
                <w:sz w:val="22"/>
                <w:szCs w:val="22"/>
                <w:vertAlign w:val="superscript"/>
              </w:rPr>
            </w:pPr>
            <w:r w:rsidRPr="001A0F61">
              <w:rPr>
                <w:rFonts w:ascii="Times New Roman" w:hAnsi="Times New Roman" w:cs="Times New Roman"/>
                <w:sz w:val="22"/>
                <w:szCs w:val="22"/>
              </w:rPr>
              <w:t>p = 0.2177</w:t>
            </w:r>
          </w:p>
        </w:tc>
        <w:tc>
          <w:tcPr>
            <w:tcW w:w="1994" w:type="dxa"/>
          </w:tcPr>
          <w:p w14:paraId="0C226859"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-1.2858,</w:t>
            </w:r>
          </w:p>
          <w:p w14:paraId="1F09CD04"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0.1985</w:t>
            </w:r>
          </w:p>
        </w:tc>
        <w:tc>
          <w:tcPr>
            <w:tcW w:w="1701" w:type="dxa"/>
          </w:tcPr>
          <w:p w14:paraId="560ACC26"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1.0989,</w:t>
            </w:r>
          </w:p>
          <w:p w14:paraId="7746A265"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0.2718</w:t>
            </w:r>
          </w:p>
        </w:tc>
        <w:tc>
          <w:tcPr>
            <w:tcW w:w="1559" w:type="dxa"/>
          </w:tcPr>
          <w:p w14:paraId="6BD0FFAA"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0.0194,</w:t>
            </w:r>
          </w:p>
          <w:p w14:paraId="4BED0A14"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0.9846</w:t>
            </w:r>
          </w:p>
        </w:tc>
      </w:tr>
      <w:tr w:rsidR="00CC4BA6" w:rsidRPr="00DB6353" w14:paraId="2787822A" w14:textId="77777777" w:rsidTr="007A1B0B">
        <w:tc>
          <w:tcPr>
            <w:tcW w:w="1552" w:type="dxa"/>
            <w:hideMark/>
          </w:tcPr>
          <w:p w14:paraId="5D9E8B72" w14:textId="77777777" w:rsidR="00CC4BA6" w:rsidRPr="00DB6353" w:rsidRDefault="00CC4BA6" w:rsidP="007A1B0B">
            <w:pPr>
              <w:tabs>
                <w:tab w:val="left" w:pos="720"/>
              </w:tabs>
              <w:spacing w:before="80" w:after="80"/>
              <w:jc w:val="center"/>
              <w:rPr>
                <w:rFonts w:ascii="Times New Roman" w:hAnsi="Times New Roman" w:cs="Times New Roman"/>
                <w:sz w:val="22"/>
                <w:szCs w:val="22"/>
              </w:rPr>
            </w:pPr>
            <w:r w:rsidRPr="00DB6353">
              <w:rPr>
                <w:rFonts w:ascii="Times New Roman" w:hAnsi="Times New Roman" w:cs="Times New Roman"/>
                <w:b/>
                <w:bCs/>
                <w:sz w:val="22"/>
                <w:szCs w:val="22"/>
              </w:rPr>
              <w:t>3</w:t>
            </w:r>
          </w:p>
        </w:tc>
        <w:tc>
          <w:tcPr>
            <w:tcW w:w="1978" w:type="dxa"/>
          </w:tcPr>
          <w:p w14:paraId="26587333"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-0.8813,</w:t>
            </w:r>
          </w:p>
          <w:p w14:paraId="2A483CC0"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0.3781</w:t>
            </w:r>
          </w:p>
        </w:tc>
        <w:tc>
          <w:tcPr>
            <w:tcW w:w="1994" w:type="dxa"/>
          </w:tcPr>
          <w:p w14:paraId="304F67B2"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0.0471,</w:t>
            </w:r>
          </w:p>
          <w:p w14:paraId="7149D840"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0.9625</w:t>
            </w:r>
          </w:p>
        </w:tc>
        <w:tc>
          <w:tcPr>
            <w:tcW w:w="1701" w:type="dxa"/>
          </w:tcPr>
          <w:p w14:paraId="38F9FF1E"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2.3788*,</w:t>
            </w:r>
          </w:p>
          <w:p w14:paraId="69BD0314"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0.01737</w:t>
            </w:r>
          </w:p>
        </w:tc>
        <w:tc>
          <w:tcPr>
            <w:tcW w:w="1559" w:type="dxa"/>
          </w:tcPr>
          <w:p w14:paraId="132C06A9"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1.0149,</w:t>
            </w:r>
          </w:p>
          <w:p w14:paraId="1B08468E"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0.3101</w:t>
            </w:r>
          </w:p>
        </w:tc>
      </w:tr>
      <w:tr w:rsidR="00CC4BA6" w:rsidRPr="00DB6353" w14:paraId="27DF7559" w14:textId="77777777" w:rsidTr="007A1B0B">
        <w:tc>
          <w:tcPr>
            <w:tcW w:w="1552" w:type="dxa"/>
            <w:hideMark/>
          </w:tcPr>
          <w:p w14:paraId="1499512A" w14:textId="77777777" w:rsidR="00CC4BA6" w:rsidRPr="00DB6353" w:rsidRDefault="00CC4BA6" w:rsidP="007A1B0B">
            <w:pPr>
              <w:tabs>
                <w:tab w:val="left" w:pos="720"/>
              </w:tabs>
              <w:spacing w:before="80" w:after="80"/>
              <w:jc w:val="center"/>
              <w:rPr>
                <w:rFonts w:ascii="Times New Roman" w:hAnsi="Times New Roman" w:cs="Times New Roman"/>
                <w:sz w:val="22"/>
                <w:szCs w:val="22"/>
              </w:rPr>
            </w:pPr>
            <w:r w:rsidRPr="00DB6353">
              <w:rPr>
                <w:rFonts w:ascii="Times New Roman" w:hAnsi="Times New Roman" w:cs="Times New Roman"/>
                <w:b/>
                <w:bCs/>
                <w:sz w:val="22"/>
                <w:szCs w:val="22"/>
              </w:rPr>
              <w:t>4</w:t>
            </w:r>
          </w:p>
        </w:tc>
        <w:tc>
          <w:tcPr>
            <w:tcW w:w="1978" w:type="dxa"/>
          </w:tcPr>
          <w:p w14:paraId="58CB6BCF"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-0.4289,</w:t>
            </w:r>
          </w:p>
          <w:p w14:paraId="0EF3BCD8" w14:textId="77777777" w:rsidR="00CC4BA6" w:rsidRPr="001A0F61" w:rsidRDefault="00CC4BA6" w:rsidP="001A0F61">
            <w:pPr>
              <w:tabs>
                <w:tab w:val="left" w:pos="720"/>
              </w:tabs>
              <w:ind w:firstLine="40"/>
              <w:jc w:val="center"/>
              <w:rPr>
                <w:rFonts w:ascii="Times New Roman" w:hAnsi="Times New Roman" w:cs="Times New Roman"/>
                <w:sz w:val="22"/>
                <w:szCs w:val="22"/>
                <w:vertAlign w:val="superscript"/>
              </w:rPr>
            </w:pPr>
            <w:r w:rsidRPr="001A0F61">
              <w:rPr>
                <w:rFonts w:ascii="Times New Roman" w:hAnsi="Times New Roman" w:cs="Times New Roman"/>
                <w:sz w:val="22"/>
                <w:szCs w:val="22"/>
              </w:rPr>
              <w:t>p = 0.668</w:t>
            </w:r>
          </w:p>
        </w:tc>
        <w:tc>
          <w:tcPr>
            <w:tcW w:w="1994" w:type="dxa"/>
          </w:tcPr>
          <w:p w14:paraId="37A05960"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0.6072,</w:t>
            </w:r>
          </w:p>
          <w:p w14:paraId="1D91867A" w14:textId="77777777" w:rsidR="00CC4BA6" w:rsidRPr="001A0F61" w:rsidRDefault="00CC4BA6" w:rsidP="001A0F61">
            <w:pPr>
              <w:tabs>
                <w:tab w:val="left" w:pos="720"/>
              </w:tabs>
              <w:ind w:firstLine="40"/>
              <w:jc w:val="center"/>
              <w:rPr>
                <w:rFonts w:ascii="Times New Roman" w:hAnsi="Times New Roman" w:cs="Times New Roman"/>
                <w:sz w:val="22"/>
                <w:szCs w:val="22"/>
                <w:vertAlign w:val="superscript"/>
              </w:rPr>
            </w:pPr>
            <w:r w:rsidRPr="001A0F61">
              <w:rPr>
                <w:rFonts w:ascii="Times New Roman" w:hAnsi="Times New Roman" w:cs="Times New Roman"/>
                <w:sz w:val="22"/>
                <w:szCs w:val="22"/>
              </w:rPr>
              <w:t>p = 0.5437</w:t>
            </w:r>
          </w:p>
        </w:tc>
        <w:tc>
          <w:tcPr>
            <w:tcW w:w="1701" w:type="dxa"/>
          </w:tcPr>
          <w:p w14:paraId="72E0BE8C"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2.5995**,</w:t>
            </w:r>
          </w:p>
          <w:p w14:paraId="32FB04F6"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0.009336</w:t>
            </w:r>
          </w:p>
        </w:tc>
        <w:tc>
          <w:tcPr>
            <w:tcW w:w="1559" w:type="dxa"/>
          </w:tcPr>
          <w:p w14:paraId="62FA0DD5"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1.4643,</w:t>
            </w:r>
          </w:p>
          <w:p w14:paraId="2DF1949F"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0.1431</w:t>
            </w:r>
          </w:p>
        </w:tc>
      </w:tr>
      <w:tr w:rsidR="00CC4BA6" w:rsidRPr="00DB6353" w14:paraId="01957350" w14:textId="77777777" w:rsidTr="007A1B0B">
        <w:tc>
          <w:tcPr>
            <w:tcW w:w="1552" w:type="dxa"/>
            <w:hideMark/>
          </w:tcPr>
          <w:p w14:paraId="42A5AC27" w14:textId="77777777" w:rsidR="00CC4BA6" w:rsidRPr="00DB6353" w:rsidRDefault="00CC4BA6" w:rsidP="007A1B0B">
            <w:pPr>
              <w:tabs>
                <w:tab w:val="left" w:pos="720"/>
              </w:tabs>
              <w:spacing w:before="80" w:after="80"/>
              <w:jc w:val="center"/>
              <w:rPr>
                <w:rFonts w:ascii="Times New Roman" w:hAnsi="Times New Roman" w:cs="Times New Roman"/>
                <w:sz w:val="22"/>
                <w:szCs w:val="22"/>
              </w:rPr>
            </w:pPr>
            <w:r w:rsidRPr="00DB6353">
              <w:rPr>
                <w:rFonts w:ascii="Times New Roman" w:hAnsi="Times New Roman" w:cs="Times New Roman"/>
                <w:b/>
                <w:bCs/>
                <w:sz w:val="22"/>
                <w:szCs w:val="22"/>
              </w:rPr>
              <w:t>5</w:t>
            </w:r>
          </w:p>
        </w:tc>
        <w:tc>
          <w:tcPr>
            <w:tcW w:w="1978" w:type="dxa"/>
          </w:tcPr>
          <w:p w14:paraId="68CA1F52"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0.4156,</w:t>
            </w:r>
          </w:p>
          <w:p w14:paraId="2D206DBF" w14:textId="77777777" w:rsidR="00CC4BA6" w:rsidRPr="001A0F61" w:rsidRDefault="00CC4BA6" w:rsidP="001A0F61">
            <w:pPr>
              <w:tabs>
                <w:tab w:val="left" w:pos="720"/>
              </w:tabs>
              <w:ind w:firstLine="40"/>
              <w:jc w:val="center"/>
              <w:rPr>
                <w:rFonts w:ascii="Times New Roman" w:hAnsi="Times New Roman" w:cs="Times New Roman"/>
                <w:sz w:val="22"/>
                <w:szCs w:val="22"/>
                <w:vertAlign w:val="superscript"/>
              </w:rPr>
            </w:pPr>
            <w:r w:rsidRPr="001A0F61">
              <w:rPr>
                <w:rFonts w:ascii="Times New Roman" w:hAnsi="Times New Roman" w:cs="Times New Roman"/>
                <w:sz w:val="22"/>
                <w:szCs w:val="22"/>
              </w:rPr>
              <w:t>p = 0.1725</w:t>
            </w:r>
          </w:p>
        </w:tc>
        <w:tc>
          <w:tcPr>
            <w:tcW w:w="1994" w:type="dxa"/>
          </w:tcPr>
          <w:p w14:paraId="501F13E0"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0.1326,</w:t>
            </w:r>
          </w:p>
          <w:p w14:paraId="534A49E5" w14:textId="77777777" w:rsidR="00CC4BA6" w:rsidRPr="001A0F61" w:rsidRDefault="00CC4BA6" w:rsidP="001A0F61">
            <w:pPr>
              <w:tabs>
                <w:tab w:val="left" w:pos="720"/>
              </w:tabs>
              <w:ind w:firstLine="40"/>
              <w:jc w:val="center"/>
              <w:rPr>
                <w:rFonts w:ascii="Times New Roman" w:hAnsi="Times New Roman" w:cs="Times New Roman"/>
                <w:sz w:val="22"/>
                <w:szCs w:val="22"/>
                <w:vertAlign w:val="superscript"/>
              </w:rPr>
            </w:pPr>
            <w:r w:rsidRPr="001A0F61">
              <w:rPr>
                <w:rFonts w:ascii="Times New Roman" w:hAnsi="Times New Roman" w:cs="Times New Roman"/>
                <w:sz w:val="22"/>
                <w:szCs w:val="22"/>
              </w:rPr>
              <w:t>p = 0.8945</w:t>
            </w:r>
          </w:p>
        </w:tc>
        <w:tc>
          <w:tcPr>
            <w:tcW w:w="1701" w:type="dxa"/>
          </w:tcPr>
          <w:p w14:paraId="6401C801"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2.9756**,</w:t>
            </w:r>
          </w:p>
          <w:p w14:paraId="3362CB32"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0.002924</w:t>
            </w:r>
          </w:p>
        </w:tc>
        <w:tc>
          <w:tcPr>
            <w:tcW w:w="1559" w:type="dxa"/>
          </w:tcPr>
          <w:p w14:paraId="701A082A"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1.6006,</w:t>
            </w:r>
          </w:p>
          <w:p w14:paraId="31B82CA5"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0.1095</w:t>
            </w:r>
          </w:p>
        </w:tc>
      </w:tr>
      <w:tr w:rsidR="00CC4BA6" w:rsidRPr="00DB6353" w14:paraId="787116EC" w14:textId="77777777" w:rsidTr="007A1B0B">
        <w:tc>
          <w:tcPr>
            <w:tcW w:w="1552" w:type="dxa"/>
            <w:hideMark/>
          </w:tcPr>
          <w:p w14:paraId="5D756E78" w14:textId="77777777" w:rsidR="00CC4BA6" w:rsidRPr="00DB6353" w:rsidRDefault="00CC4BA6" w:rsidP="007A1B0B">
            <w:pPr>
              <w:tabs>
                <w:tab w:val="left" w:pos="720"/>
              </w:tabs>
              <w:spacing w:before="80" w:after="80"/>
              <w:jc w:val="center"/>
              <w:rPr>
                <w:rFonts w:ascii="Times New Roman" w:hAnsi="Times New Roman" w:cs="Times New Roman"/>
                <w:sz w:val="22"/>
                <w:szCs w:val="22"/>
              </w:rPr>
            </w:pPr>
            <w:r w:rsidRPr="00DB6353">
              <w:rPr>
                <w:rFonts w:ascii="Times New Roman" w:hAnsi="Times New Roman" w:cs="Times New Roman"/>
                <w:b/>
                <w:bCs/>
                <w:sz w:val="22"/>
                <w:szCs w:val="22"/>
              </w:rPr>
              <w:t>6</w:t>
            </w:r>
          </w:p>
        </w:tc>
        <w:tc>
          <w:tcPr>
            <w:tcW w:w="1978" w:type="dxa"/>
          </w:tcPr>
          <w:p w14:paraId="7D1BEA73"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1.3643*,</w:t>
            </w:r>
          </w:p>
          <w:p w14:paraId="32FE48EC" w14:textId="77777777" w:rsidR="00CC4BA6" w:rsidRPr="001A0F61" w:rsidRDefault="00CC4BA6" w:rsidP="001A0F61">
            <w:pPr>
              <w:tabs>
                <w:tab w:val="left" w:pos="720"/>
              </w:tabs>
              <w:ind w:firstLine="40"/>
              <w:jc w:val="center"/>
              <w:rPr>
                <w:rFonts w:ascii="Times New Roman" w:hAnsi="Times New Roman" w:cs="Times New Roman"/>
                <w:sz w:val="22"/>
                <w:szCs w:val="22"/>
                <w:vertAlign w:val="superscript"/>
              </w:rPr>
            </w:pPr>
            <w:r w:rsidRPr="001A0F61">
              <w:rPr>
                <w:rFonts w:ascii="Times New Roman" w:hAnsi="Times New Roman" w:cs="Times New Roman"/>
                <w:sz w:val="22"/>
                <w:szCs w:val="22"/>
              </w:rPr>
              <w:t>p = 0.04059</w:t>
            </w:r>
          </w:p>
        </w:tc>
        <w:tc>
          <w:tcPr>
            <w:tcW w:w="1994" w:type="dxa"/>
          </w:tcPr>
          <w:p w14:paraId="6040450C"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-0.676,</w:t>
            </w:r>
          </w:p>
          <w:p w14:paraId="1CA5C9DC" w14:textId="77777777" w:rsidR="00CC4BA6" w:rsidRPr="001A0F61" w:rsidRDefault="00CC4BA6" w:rsidP="001A0F61">
            <w:pPr>
              <w:tabs>
                <w:tab w:val="left" w:pos="720"/>
              </w:tabs>
              <w:ind w:firstLine="40"/>
              <w:jc w:val="center"/>
              <w:rPr>
                <w:rFonts w:ascii="Times New Roman" w:hAnsi="Times New Roman" w:cs="Times New Roman"/>
                <w:sz w:val="22"/>
                <w:szCs w:val="22"/>
                <w:vertAlign w:val="superscript"/>
              </w:rPr>
            </w:pPr>
            <w:r w:rsidRPr="001A0F61">
              <w:rPr>
                <w:rFonts w:ascii="Times New Roman" w:hAnsi="Times New Roman" w:cs="Times New Roman"/>
                <w:sz w:val="22"/>
                <w:szCs w:val="22"/>
              </w:rPr>
              <w:t>p = 0.499</w:t>
            </w:r>
          </w:p>
        </w:tc>
        <w:tc>
          <w:tcPr>
            <w:tcW w:w="1701" w:type="dxa"/>
          </w:tcPr>
          <w:p w14:paraId="1F3DB100"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2.9931**,</w:t>
            </w:r>
          </w:p>
          <w:p w14:paraId="1CBC09B2"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0.002761</w:t>
            </w:r>
          </w:p>
        </w:tc>
        <w:tc>
          <w:tcPr>
            <w:tcW w:w="1559" w:type="dxa"/>
          </w:tcPr>
          <w:p w14:paraId="74CCAA15"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1.4155,</w:t>
            </w:r>
          </w:p>
          <w:p w14:paraId="6AA5DF36"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0.1569</w:t>
            </w:r>
          </w:p>
        </w:tc>
      </w:tr>
      <w:tr w:rsidR="00CC4BA6" w:rsidRPr="00DB6353" w14:paraId="33C16C86" w14:textId="77777777" w:rsidTr="007A1B0B">
        <w:tc>
          <w:tcPr>
            <w:tcW w:w="1552" w:type="dxa"/>
            <w:hideMark/>
          </w:tcPr>
          <w:p w14:paraId="258942B0" w14:textId="77777777" w:rsidR="00CC4BA6" w:rsidRPr="00DB6353" w:rsidRDefault="00CC4BA6" w:rsidP="007A1B0B">
            <w:pPr>
              <w:tabs>
                <w:tab w:val="left" w:pos="720"/>
              </w:tabs>
              <w:spacing w:before="80" w:after="80"/>
              <w:jc w:val="center"/>
              <w:rPr>
                <w:rFonts w:ascii="Times New Roman" w:hAnsi="Times New Roman" w:cs="Times New Roman"/>
                <w:sz w:val="22"/>
                <w:szCs w:val="22"/>
              </w:rPr>
            </w:pPr>
            <w:r w:rsidRPr="00DB6353">
              <w:rPr>
                <w:rFonts w:ascii="Times New Roman" w:hAnsi="Times New Roman" w:cs="Times New Roman"/>
                <w:b/>
                <w:bCs/>
                <w:sz w:val="22"/>
                <w:szCs w:val="22"/>
              </w:rPr>
              <w:t>7</w:t>
            </w:r>
          </w:p>
        </w:tc>
        <w:tc>
          <w:tcPr>
            <w:tcW w:w="1978" w:type="dxa"/>
          </w:tcPr>
          <w:p w14:paraId="1DD02372"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2.0477*,</w:t>
            </w:r>
          </w:p>
          <w:p w14:paraId="54EC8728"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0.04059</w:t>
            </w:r>
          </w:p>
        </w:tc>
        <w:tc>
          <w:tcPr>
            <w:tcW w:w="1994" w:type="dxa"/>
          </w:tcPr>
          <w:p w14:paraId="1109F2F5"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-1.4307,</w:t>
            </w:r>
          </w:p>
          <w:p w14:paraId="45BA6A49"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0.1525</w:t>
            </w:r>
          </w:p>
        </w:tc>
        <w:tc>
          <w:tcPr>
            <w:tcW w:w="1701" w:type="dxa"/>
          </w:tcPr>
          <w:p w14:paraId="1B8C3EB9"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2.9012**,</w:t>
            </w:r>
          </w:p>
          <w:p w14:paraId="6E4F0EA1"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0.003718</w:t>
            </w:r>
          </w:p>
        </w:tc>
        <w:tc>
          <w:tcPr>
            <w:tcW w:w="1559" w:type="dxa"/>
          </w:tcPr>
          <w:p w14:paraId="69F12501"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1.2278,</w:t>
            </w:r>
          </w:p>
          <w:p w14:paraId="63259491"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0.2195</w:t>
            </w:r>
          </w:p>
        </w:tc>
      </w:tr>
      <w:tr w:rsidR="00CC4BA6" w:rsidRPr="00DB6353" w14:paraId="6AE3B99D" w14:textId="77777777" w:rsidTr="007A1B0B">
        <w:tc>
          <w:tcPr>
            <w:tcW w:w="1552" w:type="dxa"/>
            <w:hideMark/>
          </w:tcPr>
          <w:p w14:paraId="1E6D0F19" w14:textId="77777777" w:rsidR="00CC4BA6" w:rsidRPr="00DB6353" w:rsidRDefault="00CC4BA6" w:rsidP="007A1B0B">
            <w:pPr>
              <w:tabs>
                <w:tab w:val="left" w:pos="720"/>
              </w:tabs>
              <w:spacing w:before="80" w:after="80"/>
              <w:jc w:val="center"/>
              <w:rPr>
                <w:rFonts w:ascii="Times New Roman" w:hAnsi="Times New Roman" w:cs="Times New Roman"/>
                <w:sz w:val="22"/>
                <w:szCs w:val="22"/>
              </w:rPr>
            </w:pPr>
            <w:r w:rsidRPr="00DB6353">
              <w:rPr>
                <w:rFonts w:ascii="Times New Roman" w:hAnsi="Times New Roman" w:cs="Times New Roman"/>
                <w:b/>
                <w:bCs/>
                <w:sz w:val="22"/>
                <w:szCs w:val="22"/>
              </w:rPr>
              <w:t>8</w:t>
            </w:r>
          </w:p>
        </w:tc>
        <w:tc>
          <w:tcPr>
            <w:tcW w:w="1978" w:type="dxa"/>
          </w:tcPr>
          <w:p w14:paraId="58E8F152"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2.6477**,</w:t>
            </w:r>
          </w:p>
          <w:p w14:paraId="7B7EBC50"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0.008103</w:t>
            </w:r>
          </w:p>
        </w:tc>
        <w:tc>
          <w:tcPr>
            <w:tcW w:w="1994" w:type="dxa"/>
          </w:tcPr>
          <w:p w14:paraId="480B4DFC"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 xml:space="preserve">W= -1.8655, </w:t>
            </w:r>
          </w:p>
          <w:p w14:paraId="74BB9F39"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0.06211</w:t>
            </w:r>
          </w:p>
        </w:tc>
        <w:tc>
          <w:tcPr>
            <w:tcW w:w="1701" w:type="dxa"/>
          </w:tcPr>
          <w:p w14:paraId="5CD85660"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2.8025**,</w:t>
            </w:r>
          </w:p>
          <w:p w14:paraId="727686B3"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0.00507</w:t>
            </w:r>
          </w:p>
        </w:tc>
        <w:tc>
          <w:tcPr>
            <w:tcW w:w="1559" w:type="dxa"/>
          </w:tcPr>
          <w:p w14:paraId="481A7B76"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0.9242,</w:t>
            </w:r>
          </w:p>
          <w:p w14:paraId="3AFF3010"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0.3554</w:t>
            </w:r>
          </w:p>
        </w:tc>
      </w:tr>
      <w:tr w:rsidR="00CC4BA6" w:rsidRPr="00DB6353" w14:paraId="79404F26" w14:textId="77777777" w:rsidTr="007A1B0B">
        <w:tc>
          <w:tcPr>
            <w:tcW w:w="1552" w:type="dxa"/>
            <w:hideMark/>
          </w:tcPr>
          <w:p w14:paraId="3D54BA24" w14:textId="77777777" w:rsidR="00CC4BA6" w:rsidRPr="00DB6353" w:rsidRDefault="00CC4BA6" w:rsidP="007A1B0B">
            <w:pPr>
              <w:tabs>
                <w:tab w:val="left" w:pos="720"/>
              </w:tabs>
              <w:spacing w:before="80" w:after="80"/>
              <w:jc w:val="center"/>
              <w:rPr>
                <w:rFonts w:ascii="Times New Roman" w:hAnsi="Times New Roman" w:cs="Times New Roman"/>
                <w:sz w:val="22"/>
                <w:szCs w:val="22"/>
              </w:rPr>
            </w:pPr>
            <w:r w:rsidRPr="00DB6353">
              <w:rPr>
                <w:rFonts w:ascii="Times New Roman" w:hAnsi="Times New Roman" w:cs="Times New Roman"/>
                <w:b/>
                <w:bCs/>
                <w:sz w:val="22"/>
                <w:szCs w:val="22"/>
              </w:rPr>
              <w:t>9</w:t>
            </w:r>
          </w:p>
        </w:tc>
        <w:tc>
          <w:tcPr>
            <w:tcW w:w="1978" w:type="dxa"/>
          </w:tcPr>
          <w:p w14:paraId="7675C586"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3.0649**,</w:t>
            </w:r>
          </w:p>
          <w:p w14:paraId="1F27ACB4"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0.002178</w:t>
            </w:r>
          </w:p>
        </w:tc>
        <w:tc>
          <w:tcPr>
            <w:tcW w:w="1994" w:type="dxa"/>
          </w:tcPr>
          <w:p w14:paraId="50193501"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-1.7192,</w:t>
            </w:r>
          </w:p>
          <w:p w14:paraId="7213495E"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0.08558</w:t>
            </w:r>
          </w:p>
        </w:tc>
        <w:tc>
          <w:tcPr>
            <w:tcW w:w="1701" w:type="dxa"/>
          </w:tcPr>
          <w:p w14:paraId="68F28B77"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2.7359**,</w:t>
            </w:r>
          </w:p>
          <w:p w14:paraId="3BDD38DC"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0.006221</w:t>
            </w:r>
          </w:p>
        </w:tc>
        <w:tc>
          <w:tcPr>
            <w:tcW w:w="1559" w:type="dxa"/>
          </w:tcPr>
          <w:p w14:paraId="30DB2797"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0.898,</w:t>
            </w:r>
          </w:p>
          <w:p w14:paraId="628A9343"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0.3692</w:t>
            </w:r>
          </w:p>
        </w:tc>
      </w:tr>
      <w:tr w:rsidR="00CC4BA6" w:rsidRPr="00DB6353" w14:paraId="5AAFFDB2" w14:textId="77777777" w:rsidTr="007A1B0B">
        <w:tc>
          <w:tcPr>
            <w:tcW w:w="1552" w:type="dxa"/>
            <w:hideMark/>
          </w:tcPr>
          <w:p w14:paraId="33294E88" w14:textId="77777777" w:rsidR="00CC4BA6" w:rsidRPr="00DB6353" w:rsidRDefault="00CC4BA6" w:rsidP="007A1B0B">
            <w:pPr>
              <w:tabs>
                <w:tab w:val="left" w:pos="720"/>
              </w:tabs>
              <w:spacing w:before="80" w:after="80"/>
              <w:jc w:val="center"/>
              <w:rPr>
                <w:rFonts w:ascii="Times New Roman" w:hAnsi="Times New Roman" w:cs="Times New Roman"/>
                <w:sz w:val="22"/>
                <w:szCs w:val="22"/>
              </w:rPr>
            </w:pPr>
            <w:r w:rsidRPr="00DB6353">
              <w:rPr>
                <w:rFonts w:ascii="Times New Roman" w:hAnsi="Times New Roman" w:cs="Times New Roman"/>
                <w:b/>
                <w:bCs/>
                <w:sz w:val="22"/>
                <w:szCs w:val="22"/>
              </w:rPr>
              <w:t>10</w:t>
            </w:r>
          </w:p>
        </w:tc>
        <w:tc>
          <w:tcPr>
            <w:tcW w:w="1978" w:type="dxa"/>
          </w:tcPr>
          <w:p w14:paraId="52B67645"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6.3992**,</w:t>
            </w:r>
          </w:p>
          <w:p w14:paraId="3CE41E1E" w14:textId="77777777" w:rsidR="00CC4BA6" w:rsidRPr="001A0F61" w:rsidRDefault="00CC4BA6" w:rsidP="001A0F61">
            <w:pPr>
              <w:tabs>
                <w:tab w:val="left" w:pos="720"/>
              </w:tabs>
              <w:ind w:firstLine="40"/>
              <w:jc w:val="center"/>
              <w:rPr>
                <w:rFonts w:ascii="Times New Roman" w:hAnsi="Times New Roman" w:cs="Times New Roman"/>
                <w:sz w:val="22"/>
                <w:szCs w:val="22"/>
                <w:vertAlign w:val="superscript"/>
              </w:rPr>
            </w:pPr>
            <w:r w:rsidRPr="001A0F61">
              <w:rPr>
                <w:rFonts w:ascii="Times New Roman" w:hAnsi="Times New Roman" w:cs="Times New Roman"/>
                <w:sz w:val="22"/>
                <w:szCs w:val="22"/>
              </w:rPr>
              <w:t>p = 1.562×10</w:t>
            </w:r>
            <w:r w:rsidRPr="001A0F61">
              <w:rPr>
                <w:rFonts w:ascii="Times New Roman" w:hAnsi="Times New Roman" w:cs="Times New Roman"/>
                <w:sz w:val="22"/>
                <w:szCs w:val="22"/>
                <w:vertAlign w:val="superscript"/>
              </w:rPr>
              <w:t>-10</w:t>
            </w:r>
          </w:p>
        </w:tc>
        <w:tc>
          <w:tcPr>
            <w:tcW w:w="1994" w:type="dxa"/>
          </w:tcPr>
          <w:p w14:paraId="166431B4"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-1.1099.</w:t>
            </w:r>
          </w:p>
          <w:p w14:paraId="1CD380D6"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0.2671</w:t>
            </w:r>
          </w:p>
        </w:tc>
        <w:tc>
          <w:tcPr>
            <w:tcW w:w="1701" w:type="dxa"/>
          </w:tcPr>
          <w:p w14:paraId="79025F4A"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2.469*,</w:t>
            </w:r>
          </w:p>
          <w:p w14:paraId="6B0E9A02"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0.01355</w:t>
            </w:r>
          </w:p>
        </w:tc>
        <w:tc>
          <w:tcPr>
            <w:tcW w:w="1559" w:type="dxa"/>
          </w:tcPr>
          <w:p w14:paraId="2A372FCC"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W= 0.9082,</w:t>
            </w:r>
          </w:p>
          <w:p w14:paraId="22315C55" w14:textId="77777777" w:rsidR="00CC4BA6" w:rsidRPr="001A0F61" w:rsidRDefault="00CC4BA6" w:rsidP="001A0F61">
            <w:pPr>
              <w:tabs>
                <w:tab w:val="left" w:pos="720"/>
              </w:tabs>
              <w:ind w:firstLine="40"/>
              <w:jc w:val="center"/>
              <w:rPr>
                <w:rFonts w:ascii="Times New Roman" w:hAnsi="Times New Roman" w:cs="Times New Roman"/>
                <w:sz w:val="22"/>
                <w:szCs w:val="22"/>
              </w:rPr>
            </w:pPr>
            <w:r w:rsidRPr="001A0F61">
              <w:rPr>
                <w:rFonts w:ascii="Times New Roman" w:hAnsi="Times New Roman" w:cs="Times New Roman"/>
                <w:sz w:val="22"/>
                <w:szCs w:val="22"/>
              </w:rPr>
              <w:t>p = 0.3638</w:t>
            </w:r>
          </w:p>
        </w:tc>
      </w:tr>
    </w:tbl>
    <w:p w14:paraId="2CA4872F" w14:textId="47DB11F3" w:rsidR="00CC4BA6" w:rsidRDefault="00CC4BA6" w:rsidP="00CC4BA6">
      <w:pPr>
        <w:tabs>
          <w:tab w:val="left" w:pos="720"/>
        </w:tabs>
        <w:spacing w:after="140" w:line="360" w:lineRule="auto"/>
        <w:jc w:val="both"/>
        <w:rPr>
          <w:rFonts w:ascii="Times New Roman" w:hAnsi="Times New Roman" w:cs="Times New Roman"/>
          <w:sz w:val="22"/>
          <w:szCs w:val="22"/>
        </w:rPr>
      </w:pPr>
      <w:r w:rsidRPr="00DB6353">
        <w:rPr>
          <w:rFonts w:ascii="Times New Roman" w:hAnsi="Times New Roman" w:cs="Times New Roman"/>
          <w:sz w:val="22"/>
          <w:szCs w:val="22"/>
        </w:rPr>
        <w:t>*</w:t>
      </w:r>
      <w:r w:rsidR="008A62C3" w:rsidRPr="00DB6353">
        <w:rPr>
          <w:rFonts w:ascii="Times New Roman" w:hAnsi="Times New Roman" w:cs="Times New Roman"/>
          <w:sz w:val="22"/>
          <w:szCs w:val="22"/>
        </w:rPr>
        <w:t>*: Significant</w:t>
      </w:r>
      <w:r w:rsidRPr="00DB6353">
        <w:rPr>
          <w:rFonts w:ascii="Times New Roman" w:hAnsi="Times New Roman" w:cs="Times New Roman"/>
          <w:sz w:val="22"/>
          <w:szCs w:val="22"/>
        </w:rPr>
        <w:t xml:space="preserve"> at the 1% level (p &lt; 0.01), </w:t>
      </w:r>
      <w:r w:rsidR="008A62C3" w:rsidRPr="00DB6353">
        <w:rPr>
          <w:rFonts w:ascii="Times New Roman" w:hAnsi="Times New Roman" w:cs="Times New Roman"/>
          <w:sz w:val="22"/>
          <w:szCs w:val="22"/>
        </w:rPr>
        <w:t>*: Significant</w:t>
      </w:r>
      <w:r w:rsidRPr="00DB6353">
        <w:rPr>
          <w:rFonts w:ascii="Times New Roman" w:hAnsi="Times New Roman" w:cs="Times New Roman"/>
          <w:sz w:val="22"/>
          <w:szCs w:val="22"/>
        </w:rPr>
        <w:t xml:space="preserve"> at the 5% level (p &lt; 0.05)</w:t>
      </w:r>
    </w:p>
    <w:p w14:paraId="75C73355" w14:textId="2ACE1107" w:rsidR="00E306D7" w:rsidRPr="003A1341" w:rsidRDefault="00E306D7" w:rsidP="00C1471E">
      <w:pPr>
        <w:spacing w:after="0" w:line="360" w:lineRule="auto"/>
        <w:jc w:val="both"/>
        <w:rPr>
          <w:rFonts w:ascii="Times New Roman" w:eastAsia="Times New Roman" w:hAnsi="Times New Roman" w:cs="Times New Roman"/>
          <w:kern w:val="0"/>
          <w:lang w:eastAsia="en-IN"/>
          <w14:ligatures w14:val="none"/>
        </w:rPr>
      </w:pPr>
      <w:r w:rsidRPr="003A1341">
        <w:rPr>
          <w:rFonts w:ascii="Times New Roman" w:eastAsia="Times New Roman" w:hAnsi="Times New Roman" w:cs="Times New Roman"/>
          <w:kern w:val="0"/>
          <w:lang w:eastAsia="en-IN"/>
          <w14:ligatures w14:val="none"/>
        </w:rPr>
        <w:lastRenderedPageBreak/>
        <w:t>The diagnostic evaluation using the BDS test (Tables 4–6) provides a comprehensive assessment of the adequacy of the fitted models in capturing the underlying structure of the cashew nut price series. The ARIMA (0,1,5) model exhibits statistically significant BDS statistics across all embedding dimensions and epsilon values, indicating strong nonlinear dependence in the residuals. This confirms that, although the model adequately c</w:t>
      </w:r>
      <w:r w:rsidR="007A1B0B" w:rsidRPr="003A1341">
        <w:rPr>
          <w:rFonts w:ascii="Times New Roman" w:eastAsia="Times New Roman" w:hAnsi="Times New Roman" w:cs="Times New Roman"/>
          <w:kern w:val="0"/>
          <w:lang w:eastAsia="en-IN"/>
          <w14:ligatures w14:val="none"/>
        </w:rPr>
        <w:t>aptures linearity in the residuals</w:t>
      </w:r>
      <w:r w:rsidRPr="003A1341">
        <w:rPr>
          <w:rFonts w:ascii="Times New Roman" w:eastAsia="Times New Roman" w:hAnsi="Times New Roman" w:cs="Times New Roman"/>
          <w:kern w:val="0"/>
          <w:lang w:eastAsia="en-IN"/>
          <w14:ligatures w14:val="none"/>
        </w:rPr>
        <w:t>, it fails to account for nonlinear dynamics present in the series.</w:t>
      </w:r>
    </w:p>
    <w:p w14:paraId="76094700" w14:textId="77777777" w:rsidR="00E306D7" w:rsidRPr="003A1341" w:rsidRDefault="00E306D7" w:rsidP="00C1471E">
      <w:pPr>
        <w:spacing w:after="0" w:line="360" w:lineRule="auto"/>
        <w:jc w:val="both"/>
        <w:rPr>
          <w:rFonts w:ascii="Times New Roman" w:eastAsia="Times New Roman" w:hAnsi="Times New Roman" w:cs="Times New Roman"/>
          <w:kern w:val="0"/>
          <w:lang w:eastAsia="en-IN"/>
          <w14:ligatures w14:val="none"/>
        </w:rPr>
      </w:pPr>
      <w:r w:rsidRPr="003A1341">
        <w:rPr>
          <w:rFonts w:ascii="Times New Roman" w:eastAsia="Times New Roman" w:hAnsi="Times New Roman" w:cs="Times New Roman"/>
          <w:kern w:val="0"/>
          <w:lang w:eastAsia="en-IN"/>
          <w14:ligatures w14:val="none"/>
        </w:rPr>
        <w:t>Similarly, the SVR model, despite achieving the lowest forecasting errors in terms of RMSE and MAPE, also produces statistically significant BDS statistics across all parameter combinations. This indicates that the residuals retain systematic nonlinear structure, suggesting that the model captures predictive relationships effectively but does not fully eliminate dependence in the error process.</w:t>
      </w:r>
    </w:p>
    <w:p w14:paraId="5CF5C641" w14:textId="6397387D" w:rsidR="00E306D7" w:rsidRPr="003A1341" w:rsidRDefault="00E306D7" w:rsidP="00C1471E">
      <w:pPr>
        <w:spacing w:after="0" w:line="360" w:lineRule="auto"/>
        <w:jc w:val="both"/>
        <w:rPr>
          <w:rFonts w:ascii="Times New Roman" w:eastAsia="Times New Roman" w:hAnsi="Times New Roman" w:cs="Times New Roman"/>
          <w:kern w:val="0"/>
          <w:lang w:eastAsia="en-IN"/>
          <w14:ligatures w14:val="none"/>
        </w:rPr>
      </w:pPr>
      <w:r w:rsidRPr="003A1341">
        <w:rPr>
          <w:rFonts w:ascii="Times New Roman" w:eastAsia="Times New Roman" w:hAnsi="Times New Roman" w:cs="Times New Roman"/>
          <w:kern w:val="0"/>
          <w:lang w:eastAsia="en-IN"/>
          <w14:ligatures w14:val="none"/>
        </w:rPr>
        <w:t xml:space="preserve">In contrast, the hybrid ARIMA–SVR model demonstrates comparatively improved residual </w:t>
      </w:r>
      <w:r w:rsidR="007D2771" w:rsidRPr="003A1341">
        <w:rPr>
          <w:rFonts w:ascii="Times New Roman" w:eastAsia="Times New Roman" w:hAnsi="Times New Roman" w:cs="Times New Roman"/>
          <w:kern w:val="0"/>
          <w:lang w:eastAsia="en-IN"/>
          <w14:ligatures w14:val="none"/>
        </w:rPr>
        <w:t>behaviour</w:t>
      </w:r>
      <w:r w:rsidRPr="003A1341">
        <w:rPr>
          <w:rFonts w:ascii="Times New Roman" w:eastAsia="Times New Roman" w:hAnsi="Times New Roman" w:cs="Times New Roman"/>
          <w:kern w:val="0"/>
          <w:lang w:eastAsia="en-IN"/>
          <w14:ligatures w14:val="none"/>
        </w:rPr>
        <w:t>. The BDS statistics are largely insignificant at higher epsilon values and across several embedding dimensions, indicating that the residuals approximate white noise more closely than those of the individual models. Although a few isolated significant results are observed, these are not consistent across all configurations, suggesting that nonlinear dependence has been substantially reduced. This improvement reflects the ability of the hybrid framework to jointly capture both linear (ARIMA) and nonlinear (SVR) structures in the data.</w:t>
      </w:r>
    </w:p>
    <w:p w14:paraId="5BC3A42C" w14:textId="77777777" w:rsidR="00E306D7" w:rsidRPr="003A1341" w:rsidRDefault="00E306D7" w:rsidP="00C1471E">
      <w:pPr>
        <w:spacing w:after="0" w:line="360" w:lineRule="auto"/>
        <w:jc w:val="both"/>
        <w:rPr>
          <w:rFonts w:ascii="Times New Roman" w:eastAsia="Times New Roman" w:hAnsi="Times New Roman" w:cs="Times New Roman"/>
          <w:kern w:val="0"/>
          <w:lang w:eastAsia="en-IN"/>
          <w14:ligatures w14:val="none"/>
        </w:rPr>
      </w:pPr>
      <w:r w:rsidRPr="003A1341">
        <w:rPr>
          <w:rFonts w:ascii="Times New Roman" w:eastAsia="Times New Roman" w:hAnsi="Times New Roman" w:cs="Times New Roman"/>
          <w:kern w:val="0"/>
          <w:lang w:eastAsia="en-IN"/>
          <w14:ligatures w14:val="none"/>
        </w:rPr>
        <w:t>When considered alongside forecasting accuracy results (Table 2), a clear trade-off emerges between predictive precision and statistical adequacy. The SVR model provides the best point forecast accuracy, as evidenced by the lowest RMSE and MAPE values. However, its inability to produce white-noise residuals limits its statistical reliability for inference and robust time-series representation. The ARIMA model, while statistically well-specified in terms of residual independence, exhibits substantially higher forecasting errors, indicating limited predictive capability for complex nonlinear patterns.</w:t>
      </w:r>
    </w:p>
    <w:p w14:paraId="7B7E0FC9" w14:textId="46AD4BB2" w:rsidR="00E306D7" w:rsidRPr="003A1341" w:rsidRDefault="00E306D7" w:rsidP="00C1471E">
      <w:pPr>
        <w:spacing w:after="0" w:line="360" w:lineRule="auto"/>
        <w:jc w:val="both"/>
        <w:rPr>
          <w:rFonts w:ascii="Times New Roman" w:eastAsia="Times New Roman" w:hAnsi="Times New Roman" w:cs="Times New Roman"/>
          <w:kern w:val="0"/>
          <w:lang w:eastAsia="en-IN"/>
          <w14:ligatures w14:val="none"/>
        </w:rPr>
      </w:pPr>
      <w:r w:rsidRPr="003A1341">
        <w:rPr>
          <w:rFonts w:ascii="Times New Roman" w:eastAsia="Times New Roman" w:hAnsi="Times New Roman" w:cs="Times New Roman"/>
          <w:kern w:val="0"/>
          <w:lang w:eastAsia="en-IN"/>
          <w14:ligatures w14:val="none"/>
        </w:rPr>
        <w:t>The hybrid ARIMA–SVR model offers a balanced compromise between these two extremes. Although its forecast errors are higher than those of the SVR model, it significantly improves upon the ARIMA model while simultaneously achieving better residual diagnostics. The Box–Pierce test results (Table 3) further support this conclusion, confirming the absence of autocorrelation in the hybrid model residuals. Additionally, the actual versus predicted comparison for 2025 (Table 7) demonstrates strong alignment between observed and fitted values, with only minor deviations during periods of market fluctuation.</w:t>
      </w:r>
      <w:r w:rsidR="005D6BDD">
        <w:rPr>
          <w:rFonts w:ascii="Times New Roman" w:eastAsia="Times New Roman" w:hAnsi="Times New Roman" w:cs="Times New Roman"/>
          <w:kern w:val="0"/>
          <w:lang w:eastAsia="en-IN"/>
          <w14:ligatures w14:val="none"/>
        </w:rPr>
        <w:t xml:space="preserve"> The actual and predicted </w:t>
      </w:r>
      <w:r w:rsidR="00D03E20">
        <w:rPr>
          <w:rFonts w:ascii="Times New Roman" w:eastAsia="Times New Roman" w:hAnsi="Times New Roman" w:cs="Times New Roman"/>
          <w:kern w:val="0"/>
          <w:lang w:eastAsia="en-IN"/>
          <w14:ligatures w14:val="none"/>
        </w:rPr>
        <w:t xml:space="preserve">values </w:t>
      </w:r>
      <w:r w:rsidR="005D6BDD">
        <w:rPr>
          <w:rFonts w:ascii="Times New Roman" w:eastAsia="Times New Roman" w:hAnsi="Times New Roman" w:cs="Times New Roman"/>
          <w:kern w:val="0"/>
          <w:lang w:eastAsia="en-IN"/>
          <w14:ligatures w14:val="none"/>
        </w:rPr>
        <w:t>are illustrated in Fig.1.</w:t>
      </w:r>
    </w:p>
    <w:p w14:paraId="329A169E" w14:textId="15BF4E8A" w:rsidR="00CC4BA6" w:rsidRDefault="00E306D7" w:rsidP="00C1471E">
      <w:pPr>
        <w:spacing w:after="0" w:line="360" w:lineRule="auto"/>
        <w:jc w:val="both"/>
        <w:rPr>
          <w:rFonts w:ascii="Times New Roman" w:eastAsia="Times New Roman" w:hAnsi="Times New Roman" w:cs="Times New Roman"/>
          <w:kern w:val="0"/>
          <w:lang w:eastAsia="en-IN"/>
          <w14:ligatures w14:val="none"/>
        </w:rPr>
      </w:pPr>
      <w:r w:rsidRPr="003A1341">
        <w:rPr>
          <w:rFonts w:ascii="Times New Roman" w:eastAsia="Times New Roman" w:hAnsi="Times New Roman" w:cs="Times New Roman"/>
          <w:kern w:val="0"/>
          <w:lang w:eastAsia="en-IN"/>
          <w14:ligatures w14:val="none"/>
        </w:rPr>
        <w:lastRenderedPageBreak/>
        <w:t xml:space="preserve">Finally, the out-of-sample forecasts for January to June 2026 </w:t>
      </w:r>
      <w:r w:rsidR="002442E4" w:rsidRPr="003A1341">
        <w:rPr>
          <w:rFonts w:ascii="Times New Roman" w:eastAsia="Times New Roman" w:hAnsi="Times New Roman" w:cs="Times New Roman"/>
          <w:kern w:val="0"/>
          <w:lang w:eastAsia="en-IN"/>
          <w14:ligatures w14:val="none"/>
        </w:rPr>
        <w:t>(</w:t>
      </w:r>
      <w:r w:rsidR="002442E4" w:rsidRPr="003A1341">
        <w:rPr>
          <w:rFonts w:ascii="Times New Roman" w:hAnsi="Times New Roman" w:cs="Times New Roman"/>
        </w:rPr>
        <w:t>Rs. 12902.8, 12885.47, 12867.8, 12849.83, 12831.57, and 12813.1 per quintal</w:t>
      </w:r>
      <w:r w:rsidR="002442E4" w:rsidRPr="003A1341">
        <w:rPr>
          <w:rFonts w:ascii="Times New Roman" w:eastAsia="Times New Roman" w:hAnsi="Times New Roman" w:cs="Times New Roman"/>
          <w:kern w:val="0"/>
          <w:lang w:eastAsia="en-IN"/>
          <w14:ligatures w14:val="none"/>
        </w:rPr>
        <w:t xml:space="preserve">) </w:t>
      </w:r>
      <w:r w:rsidRPr="003A1341">
        <w:rPr>
          <w:rFonts w:ascii="Times New Roman" w:eastAsia="Times New Roman" w:hAnsi="Times New Roman" w:cs="Times New Roman"/>
          <w:kern w:val="0"/>
          <w:lang w:eastAsia="en-IN"/>
          <w14:ligatures w14:val="none"/>
        </w:rPr>
        <w:t>indicate a marginal declining trend in cashew nut prices, suggesting a gradual downward adjustment over the forecast horizon</w:t>
      </w:r>
      <w:r w:rsidR="00F1345E" w:rsidRPr="003A1341">
        <w:rPr>
          <w:rFonts w:ascii="Times New Roman" w:eastAsia="Times New Roman" w:hAnsi="Times New Roman" w:cs="Times New Roman"/>
          <w:kern w:val="0"/>
          <w:lang w:eastAsia="en-IN"/>
          <w14:ligatures w14:val="none"/>
        </w:rPr>
        <w:t>.</w:t>
      </w:r>
    </w:p>
    <w:p w14:paraId="3593CD7B" w14:textId="7A9BC502" w:rsidR="00151286" w:rsidRPr="00151286" w:rsidRDefault="00CC4BA6" w:rsidP="00904F64">
      <w:pPr>
        <w:spacing w:after="0" w:line="360" w:lineRule="auto"/>
        <w:jc w:val="both"/>
        <w:rPr>
          <w:rFonts w:ascii="Times New Roman" w:eastAsia="Times New Roman" w:hAnsi="Times New Roman" w:cs="Times New Roman"/>
          <w:kern w:val="0"/>
          <w:lang w:eastAsia="en-IN"/>
          <w14:ligatures w14:val="none"/>
        </w:rPr>
      </w:pPr>
      <w:r w:rsidRPr="00151286">
        <w:rPr>
          <w:rFonts w:ascii="Times New Roman" w:hAnsi="Times New Roman" w:cs="Times New Roman"/>
          <w:lang w:val="en-US"/>
        </w:rPr>
        <w:t>Table 7:</w:t>
      </w:r>
      <w:r w:rsidRPr="00151286">
        <w:rPr>
          <w:rFonts w:ascii="Times New Roman" w:eastAsia="Times New Roman" w:hAnsi="Times New Roman" w:cs="Times New Roman"/>
          <w:kern w:val="0"/>
          <w:lang w:eastAsia="en-IN"/>
          <w14:ligatures w14:val="none"/>
        </w:rPr>
        <w:t xml:space="preserve"> </w:t>
      </w:r>
      <w:r w:rsidR="00904F64">
        <w:rPr>
          <w:rFonts w:ascii="Times New Roman" w:eastAsia="Times New Roman" w:hAnsi="Times New Roman" w:cs="Times New Roman"/>
          <w:kern w:val="0"/>
          <w:lang w:eastAsia="en-IN"/>
          <w14:ligatures w14:val="none"/>
        </w:rPr>
        <w:t xml:space="preserve">A </w:t>
      </w:r>
      <w:r w:rsidR="00151286" w:rsidRPr="00151286">
        <w:rPr>
          <w:rFonts w:ascii="Times New Roman" w:hAnsi="Times New Roman" w:cs="Times New Roman"/>
        </w:rPr>
        <w:t>Compar</w:t>
      </w:r>
      <w:r w:rsidR="00904F64">
        <w:rPr>
          <w:rFonts w:ascii="Times New Roman" w:hAnsi="Times New Roman" w:cs="Times New Roman"/>
        </w:rPr>
        <w:t xml:space="preserve">ative analysis </w:t>
      </w:r>
      <w:r w:rsidR="00151286" w:rsidRPr="00151286">
        <w:rPr>
          <w:rFonts w:ascii="Times New Roman" w:hAnsi="Times New Roman" w:cs="Times New Roman"/>
        </w:rPr>
        <w:t xml:space="preserve">of </w:t>
      </w:r>
      <w:r w:rsidR="00904F64">
        <w:rPr>
          <w:rFonts w:ascii="Times New Roman" w:hAnsi="Times New Roman" w:cs="Times New Roman"/>
        </w:rPr>
        <w:t>a</w:t>
      </w:r>
      <w:r w:rsidR="00151286" w:rsidRPr="00151286">
        <w:rPr>
          <w:rFonts w:ascii="Times New Roman" w:hAnsi="Times New Roman" w:cs="Times New Roman"/>
        </w:rPr>
        <w:t xml:space="preserve">ctual and </w:t>
      </w:r>
      <w:r w:rsidR="00D03E20">
        <w:rPr>
          <w:rFonts w:ascii="Times New Roman" w:hAnsi="Times New Roman" w:cs="Times New Roman"/>
        </w:rPr>
        <w:t xml:space="preserve">predicted </w:t>
      </w:r>
      <w:r w:rsidR="008A62C3">
        <w:rPr>
          <w:rFonts w:ascii="Times New Roman" w:hAnsi="Times New Roman" w:cs="Times New Roman"/>
        </w:rPr>
        <w:t xml:space="preserve"> c</w:t>
      </w:r>
      <w:r w:rsidR="00151286" w:rsidRPr="00151286">
        <w:rPr>
          <w:rFonts w:ascii="Times New Roman" w:hAnsi="Times New Roman" w:cs="Times New Roman"/>
        </w:rPr>
        <w:t xml:space="preserve">ashew </w:t>
      </w:r>
      <w:r w:rsidR="008A62C3">
        <w:rPr>
          <w:rFonts w:ascii="Times New Roman" w:hAnsi="Times New Roman" w:cs="Times New Roman"/>
        </w:rPr>
        <w:t>n</w:t>
      </w:r>
      <w:r w:rsidR="00151286" w:rsidRPr="00151286">
        <w:rPr>
          <w:rFonts w:ascii="Times New Roman" w:hAnsi="Times New Roman" w:cs="Times New Roman"/>
        </w:rPr>
        <w:t xml:space="preserve">ut </w:t>
      </w:r>
      <w:r w:rsidR="008A62C3">
        <w:rPr>
          <w:rFonts w:ascii="Times New Roman" w:hAnsi="Times New Roman" w:cs="Times New Roman"/>
        </w:rPr>
        <w:t>p</w:t>
      </w:r>
      <w:r w:rsidR="00151286" w:rsidRPr="00151286">
        <w:rPr>
          <w:rFonts w:ascii="Times New Roman" w:hAnsi="Times New Roman" w:cs="Times New Roman"/>
        </w:rPr>
        <w:t>rices in Andhra Pradesh for 2025 Using the ARIMA–SVR Model (Validation)</w:t>
      </w:r>
    </w:p>
    <w:tbl>
      <w:tblPr>
        <w:tblStyle w:val="TableGrid"/>
        <w:tblW w:w="5000" w:type="pct"/>
        <w:tblLook w:val="04A0" w:firstRow="1" w:lastRow="0" w:firstColumn="1" w:lastColumn="0" w:noHBand="0" w:noVBand="1"/>
      </w:tblPr>
      <w:tblGrid>
        <w:gridCol w:w="3783"/>
        <w:gridCol w:w="2795"/>
        <w:gridCol w:w="2664"/>
      </w:tblGrid>
      <w:tr w:rsidR="00CC4BA6" w:rsidRPr="00C1471E" w14:paraId="0438C4E6" w14:textId="77777777" w:rsidTr="007A1B0B">
        <w:trPr>
          <w:trHeight w:val="300"/>
        </w:trPr>
        <w:tc>
          <w:tcPr>
            <w:tcW w:w="2047" w:type="pct"/>
            <w:noWrap/>
            <w:vAlign w:val="center"/>
          </w:tcPr>
          <w:p w14:paraId="4A1CECA7" w14:textId="77777777" w:rsidR="00CC4BA6" w:rsidRPr="00C1471E" w:rsidRDefault="00CC4BA6" w:rsidP="00C1471E">
            <w:pPr>
              <w:tabs>
                <w:tab w:val="left" w:pos="720"/>
              </w:tabs>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Year 2025</w:t>
            </w:r>
          </w:p>
        </w:tc>
        <w:tc>
          <w:tcPr>
            <w:tcW w:w="1512" w:type="pct"/>
            <w:noWrap/>
            <w:vAlign w:val="center"/>
          </w:tcPr>
          <w:p w14:paraId="52AF95B0" w14:textId="77777777" w:rsidR="00CC4BA6" w:rsidRPr="00C1471E" w:rsidRDefault="00CC4BA6" w:rsidP="00C1471E">
            <w:pPr>
              <w:tabs>
                <w:tab w:val="left" w:pos="720"/>
              </w:tabs>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Actual</w:t>
            </w:r>
          </w:p>
        </w:tc>
        <w:tc>
          <w:tcPr>
            <w:tcW w:w="1441" w:type="pct"/>
            <w:noWrap/>
            <w:vAlign w:val="center"/>
          </w:tcPr>
          <w:p w14:paraId="350E64AB" w14:textId="77777777" w:rsidR="00CC4BA6" w:rsidRPr="00C1471E" w:rsidRDefault="00CC4BA6" w:rsidP="00C1471E">
            <w:pPr>
              <w:tabs>
                <w:tab w:val="left" w:pos="720"/>
              </w:tabs>
              <w:jc w:val="center"/>
              <w:rPr>
                <w:rFonts w:ascii="Times New Roman" w:eastAsia="Times New Roman" w:hAnsi="Times New Roman" w:cs="Times New Roman"/>
                <w:b/>
                <w:bCs/>
                <w:color w:val="000000"/>
                <w:kern w:val="0"/>
                <w:sz w:val="22"/>
                <w:szCs w:val="22"/>
                <w:lang w:eastAsia="en-IN"/>
                <w14:ligatures w14:val="none"/>
              </w:rPr>
            </w:pPr>
            <w:r w:rsidRPr="00C1471E">
              <w:rPr>
                <w:rFonts w:ascii="Times New Roman" w:eastAsia="Times New Roman" w:hAnsi="Times New Roman" w:cs="Times New Roman"/>
                <w:b/>
                <w:bCs/>
                <w:color w:val="000000"/>
                <w:kern w:val="0"/>
                <w:sz w:val="22"/>
                <w:szCs w:val="22"/>
                <w:lang w:eastAsia="en-IN"/>
                <w14:ligatures w14:val="none"/>
              </w:rPr>
              <w:t>Predicted</w:t>
            </w:r>
          </w:p>
        </w:tc>
      </w:tr>
      <w:tr w:rsidR="00CC4BA6" w:rsidRPr="00C1471E" w14:paraId="154CA2F7" w14:textId="77777777" w:rsidTr="007A1B0B">
        <w:trPr>
          <w:trHeight w:val="300"/>
        </w:trPr>
        <w:tc>
          <w:tcPr>
            <w:tcW w:w="2047" w:type="pct"/>
            <w:noWrap/>
            <w:vAlign w:val="center"/>
            <w:hideMark/>
          </w:tcPr>
          <w:p w14:paraId="10E657B1"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January</w:t>
            </w:r>
          </w:p>
        </w:tc>
        <w:tc>
          <w:tcPr>
            <w:tcW w:w="1512" w:type="pct"/>
            <w:noWrap/>
            <w:vAlign w:val="bottom"/>
          </w:tcPr>
          <w:p w14:paraId="6FBED440"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11750</w:t>
            </w:r>
          </w:p>
        </w:tc>
        <w:tc>
          <w:tcPr>
            <w:tcW w:w="1441" w:type="pct"/>
            <w:noWrap/>
            <w:vAlign w:val="bottom"/>
          </w:tcPr>
          <w:p w14:paraId="06E188E0"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11768.95</w:t>
            </w:r>
          </w:p>
        </w:tc>
      </w:tr>
      <w:tr w:rsidR="00CC4BA6" w:rsidRPr="00C1471E" w14:paraId="6ACA15F7" w14:textId="77777777" w:rsidTr="007A1B0B">
        <w:trPr>
          <w:trHeight w:val="300"/>
        </w:trPr>
        <w:tc>
          <w:tcPr>
            <w:tcW w:w="2047" w:type="pct"/>
            <w:noWrap/>
            <w:vAlign w:val="center"/>
            <w:hideMark/>
          </w:tcPr>
          <w:p w14:paraId="381489F0"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February</w:t>
            </w:r>
          </w:p>
        </w:tc>
        <w:tc>
          <w:tcPr>
            <w:tcW w:w="1512" w:type="pct"/>
            <w:noWrap/>
            <w:vAlign w:val="bottom"/>
          </w:tcPr>
          <w:p w14:paraId="06FC9C79"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10000</w:t>
            </w:r>
          </w:p>
        </w:tc>
        <w:tc>
          <w:tcPr>
            <w:tcW w:w="1441" w:type="pct"/>
            <w:noWrap/>
            <w:vAlign w:val="bottom"/>
          </w:tcPr>
          <w:p w14:paraId="240B9118"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9990.82</w:t>
            </w:r>
          </w:p>
        </w:tc>
      </w:tr>
      <w:tr w:rsidR="00CC4BA6" w:rsidRPr="00C1471E" w14:paraId="72FEEC36" w14:textId="77777777" w:rsidTr="007A1B0B">
        <w:trPr>
          <w:trHeight w:val="300"/>
        </w:trPr>
        <w:tc>
          <w:tcPr>
            <w:tcW w:w="2047" w:type="pct"/>
            <w:noWrap/>
            <w:vAlign w:val="center"/>
            <w:hideMark/>
          </w:tcPr>
          <w:p w14:paraId="65B9932C"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March</w:t>
            </w:r>
          </w:p>
        </w:tc>
        <w:tc>
          <w:tcPr>
            <w:tcW w:w="1512" w:type="pct"/>
            <w:noWrap/>
            <w:vAlign w:val="bottom"/>
          </w:tcPr>
          <w:p w14:paraId="1B4FF526"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12200</w:t>
            </w:r>
          </w:p>
        </w:tc>
        <w:tc>
          <w:tcPr>
            <w:tcW w:w="1441" w:type="pct"/>
            <w:noWrap/>
            <w:vAlign w:val="bottom"/>
          </w:tcPr>
          <w:p w14:paraId="657C7770"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12195.22</w:t>
            </w:r>
          </w:p>
        </w:tc>
      </w:tr>
      <w:tr w:rsidR="00CC4BA6" w:rsidRPr="00C1471E" w14:paraId="3D0D5F3C" w14:textId="77777777" w:rsidTr="007A1B0B">
        <w:trPr>
          <w:trHeight w:val="300"/>
        </w:trPr>
        <w:tc>
          <w:tcPr>
            <w:tcW w:w="2047" w:type="pct"/>
            <w:noWrap/>
            <w:vAlign w:val="center"/>
            <w:hideMark/>
          </w:tcPr>
          <w:p w14:paraId="38B8BC5E"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April</w:t>
            </w:r>
          </w:p>
        </w:tc>
        <w:tc>
          <w:tcPr>
            <w:tcW w:w="1512" w:type="pct"/>
            <w:noWrap/>
            <w:vAlign w:val="bottom"/>
          </w:tcPr>
          <w:p w14:paraId="221F3971"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14500</w:t>
            </w:r>
          </w:p>
        </w:tc>
        <w:tc>
          <w:tcPr>
            <w:tcW w:w="1441" w:type="pct"/>
            <w:noWrap/>
            <w:vAlign w:val="bottom"/>
          </w:tcPr>
          <w:p w14:paraId="22EB6EFB"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14424.01</w:t>
            </w:r>
          </w:p>
        </w:tc>
      </w:tr>
      <w:tr w:rsidR="00CC4BA6" w:rsidRPr="00C1471E" w14:paraId="4F4CEEB3" w14:textId="77777777" w:rsidTr="007A1B0B">
        <w:trPr>
          <w:trHeight w:val="300"/>
        </w:trPr>
        <w:tc>
          <w:tcPr>
            <w:tcW w:w="2047" w:type="pct"/>
            <w:noWrap/>
            <w:vAlign w:val="center"/>
            <w:hideMark/>
          </w:tcPr>
          <w:p w14:paraId="450B68A6"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May</w:t>
            </w:r>
          </w:p>
        </w:tc>
        <w:tc>
          <w:tcPr>
            <w:tcW w:w="1512" w:type="pct"/>
            <w:noWrap/>
            <w:vAlign w:val="bottom"/>
          </w:tcPr>
          <w:p w14:paraId="61BA78B3"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12500</w:t>
            </w:r>
          </w:p>
        </w:tc>
        <w:tc>
          <w:tcPr>
            <w:tcW w:w="1441" w:type="pct"/>
            <w:noWrap/>
            <w:vAlign w:val="bottom"/>
          </w:tcPr>
          <w:p w14:paraId="49B56768"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12483.04</w:t>
            </w:r>
          </w:p>
        </w:tc>
      </w:tr>
      <w:tr w:rsidR="00CC4BA6" w:rsidRPr="00C1471E" w14:paraId="45CA3A66" w14:textId="77777777" w:rsidTr="007A1B0B">
        <w:trPr>
          <w:trHeight w:val="300"/>
        </w:trPr>
        <w:tc>
          <w:tcPr>
            <w:tcW w:w="2047" w:type="pct"/>
            <w:noWrap/>
            <w:vAlign w:val="center"/>
            <w:hideMark/>
          </w:tcPr>
          <w:p w14:paraId="556E34C6"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June</w:t>
            </w:r>
          </w:p>
        </w:tc>
        <w:tc>
          <w:tcPr>
            <w:tcW w:w="1512" w:type="pct"/>
            <w:noWrap/>
            <w:vAlign w:val="bottom"/>
          </w:tcPr>
          <w:p w14:paraId="7FEB7168"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12000</w:t>
            </w:r>
          </w:p>
        </w:tc>
        <w:tc>
          <w:tcPr>
            <w:tcW w:w="1441" w:type="pct"/>
            <w:noWrap/>
            <w:vAlign w:val="bottom"/>
          </w:tcPr>
          <w:p w14:paraId="066AAF0D"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11999.52</w:t>
            </w:r>
          </w:p>
        </w:tc>
      </w:tr>
      <w:tr w:rsidR="00CC4BA6" w:rsidRPr="00C1471E" w14:paraId="6960DC2F" w14:textId="77777777" w:rsidTr="007A1B0B">
        <w:trPr>
          <w:trHeight w:val="300"/>
        </w:trPr>
        <w:tc>
          <w:tcPr>
            <w:tcW w:w="2047" w:type="pct"/>
            <w:noWrap/>
            <w:vAlign w:val="center"/>
            <w:hideMark/>
          </w:tcPr>
          <w:p w14:paraId="7A2F2920"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July</w:t>
            </w:r>
          </w:p>
        </w:tc>
        <w:tc>
          <w:tcPr>
            <w:tcW w:w="1512" w:type="pct"/>
            <w:noWrap/>
            <w:vAlign w:val="bottom"/>
          </w:tcPr>
          <w:p w14:paraId="7E49BB2A"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12350</w:t>
            </w:r>
          </w:p>
        </w:tc>
        <w:tc>
          <w:tcPr>
            <w:tcW w:w="1441" w:type="pct"/>
            <w:noWrap/>
            <w:vAlign w:val="bottom"/>
          </w:tcPr>
          <w:p w14:paraId="6D9E34EA"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12336.86</w:t>
            </w:r>
          </w:p>
        </w:tc>
      </w:tr>
      <w:tr w:rsidR="00CC4BA6" w:rsidRPr="00C1471E" w14:paraId="5A588CBE" w14:textId="77777777" w:rsidTr="007A1B0B">
        <w:trPr>
          <w:trHeight w:val="300"/>
        </w:trPr>
        <w:tc>
          <w:tcPr>
            <w:tcW w:w="2047" w:type="pct"/>
            <w:noWrap/>
            <w:vAlign w:val="center"/>
            <w:hideMark/>
          </w:tcPr>
          <w:p w14:paraId="43EBD58F"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August</w:t>
            </w:r>
          </w:p>
        </w:tc>
        <w:tc>
          <w:tcPr>
            <w:tcW w:w="1512" w:type="pct"/>
            <w:noWrap/>
            <w:vAlign w:val="bottom"/>
          </w:tcPr>
          <w:p w14:paraId="496CAAA9"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14250</w:t>
            </w:r>
          </w:p>
        </w:tc>
        <w:tc>
          <w:tcPr>
            <w:tcW w:w="1441" w:type="pct"/>
            <w:noWrap/>
            <w:vAlign w:val="bottom"/>
          </w:tcPr>
          <w:p w14:paraId="68DBFBD2"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14236.54</w:t>
            </w:r>
          </w:p>
        </w:tc>
      </w:tr>
      <w:tr w:rsidR="00CC4BA6" w:rsidRPr="00C1471E" w14:paraId="4E8C67D5" w14:textId="77777777" w:rsidTr="007A1B0B">
        <w:trPr>
          <w:trHeight w:val="300"/>
        </w:trPr>
        <w:tc>
          <w:tcPr>
            <w:tcW w:w="2047" w:type="pct"/>
            <w:noWrap/>
            <w:vAlign w:val="center"/>
            <w:hideMark/>
          </w:tcPr>
          <w:p w14:paraId="121C2C9E"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September</w:t>
            </w:r>
          </w:p>
        </w:tc>
        <w:tc>
          <w:tcPr>
            <w:tcW w:w="1512" w:type="pct"/>
            <w:vAlign w:val="bottom"/>
          </w:tcPr>
          <w:p w14:paraId="5DE869D6"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13000</w:t>
            </w:r>
          </w:p>
        </w:tc>
        <w:tc>
          <w:tcPr>
            <w:tcW w:w="1441" w:type="pct"/>
            <w:noWrap/>
            <w:vAlign w:val="bottom"/>
          </w:tcPr>
          <w:p w14:paraId="383118AD"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12985.15</w:t>
            </w:r>
          </w:p>
        </w:tc>
      </w:tr>
      <w:tr w:rsidR="00CC4BA6" w:rsidRPr="00C1471E" w14:paraId="105FF4D8" w14:textId="77777777" w:rsidTr="007A1B0B">
        <w:trPr>
          <w:trHeight w:val="300"/>
        </w:trPr>
        <w:tc>
          <w:tcPr>
            <w:tcW w:w="2047" w:type="pct"/>
            <w:noWrap/>
            <w:vAlign w:val="center"/>
            <w:hideMark/>
          </w:tcPr>
          <w:p w14:paraId="7B783F0D"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October</w:t>
            </w:r>
          </w:p>
        </w:tc>
        <w:tc>
          <w:tcPr>
            <w:tcW w:w="1512" w:type="pct"/>
            <w:vAlign w:val="bottom"/>
          </w:tcPr>
          <w:p w14:paraId="4F17CC69"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15500</w:t>
            </w:r>
          </w:p>
        </w:tc>
        <w:tc>
          <w:tcPr>
            <w:tcW w:w="1441" w:type="pct"/>
            <w:noWrap/>
            <w:vAlign w:val="bottom"/>
          </w:tcPr>
          <w:p w14:paraId="5F09A731"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14619.82</w:t>
            </w:r>
          </w:p>
        </w:tc>
      </w:tr>
      <w:tr w:rsidR="00CC4BA6" w:rsidRPr="00C1471E" w14:paraId="33CD28DA" w14:textId="77777777" w:rsidTr="007A1B0B">
        <w:trPr>
          <w:trHeight w:val="300"/>
        </w:trPr>
        <w:tc>
          <w:tcPr>
            <w:tcW w:w="2047" w:type="pct"/>
            <w:noWrap/>
            <w:vAlign w:val="center"/>
            <w:hideMark/>
          </w:tcPr>
          <w:p w14:paraId="4C40C77A"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November</w:t>
            </w:r>
          </w:p>
        </w:tc>
        <w:tc>
          <w:tcPr>
            <w:tcW w:w="1512" w:type="pct"/>
            <w:vAlign w:val="bottom"/>
          </w:tcPr>
          <w:p w14:paraId="6C317852"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14250</w:t>
            </w:r>
          </w:p>
        </w:tc>
        <w:tc>
          <w:tcPr>
            <w:tcW w:w="1441" w:type="pct"/>
            <w:noWrap/>
            <w:vAlign w:val="bottom"/>
          </w:tcPr>
          <w:p w14:paraId="40E1DC4C"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14236.54</w:t>
            </w:r>
          </w:p>
        </w:tc>
      </w:tr>
      <w:tr w:rsidR="00CC4BA6" w:rsidRPr="00C1471E" w14:paraId="7159AFA1" w14:textId="77777777" w:rsidTr="007A1B0B">
        <w:trPr>
          <w:trHeight w:val="300"/>
        </w:trPr>
        <w:tc>
          <w:tcPr>
            <w:tcW w:w="2047" w:type="pct"/>
            <w:noWrap/>
            <w:vAlign w:val="center"/>
            <w:hideMark/>
          </w:tcPr>
          <w:p w14:paraId="60A4F37B"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eastAsia="Times New Roman" w:hAnsi="Times New Roman" w:cs="Times New Roman"/>
                <w:color w:val="000000"/>
                <w:kern w:val="0"/>
                <w:sz w:val="22"/>
                <w:szCs w:val="22"/>
                <w:lang w:eastAsia="en-IN"/>
                <w14:ligatures w14:val="none"/>
              </w:rPr>
              <w:t>December</w:t>
            </w:r>
          </w:p>
        </w:tc>
        <w:tc>
          <w:tcPr>
            <w:tcW w:w="1512" w:type="pct"/>
            <w:vAlign w:val="bottom"/>
          </w:tcPr>
          <w:p w14:paraId="331DB00B"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12936</w:t>
            </w:r>
          </w:p>
        </w:tc>
        <w:tc>
          <w:tcPr>
            <w:tcW w:w="1441" w:type="pct"/>
            <w:noWrap/>
            <w:vAlign w:val="bottom"/>
          </w:tcPr>
          <w:p w14:paraId="14F7613A" w14:textId="77777777" w:rsidR="00CC4BA6" w:rsidRPr="00C1471E" w:rsidRDefault="00CC4BA6" w:rsidP="00C1471E">
            <w:pPr>
              <w:tabs>
                <w:tab w:val="left" w:pos="720"/>
              </w:tabs>
              <w:jc w:val="center"/>
              <w:rPr>
                <w:rFonts w:ascii="Times New Roman" w:eastAsia="Times New Roman" w:hAnsi="Times New Roman" w:cs="Times New Roman"/>
                <w:color w:val="000000"/>
                <w:kern w:val="0"/>
                <w:sz w:val="22"/>
                <w:szCs w:val="22"/>
                <w:lang w:eastAsia="en-IN"/>
                <w14:ligatures w14:val="none"/>
              </w:rPr>
            </w:pPr>
            <w:r w:rsidRPr="00C1471E">
              <w:rPr>
                <w:rFonts w:ascii="Times New Roman" w:hAnsi="Times New Roman" w:cs="Times New Roman"/>
                <w:color w:val="000000"/>
                <w:sz w:val="22"/>
                <w:szCs w:val="22"/>
              </w:rPr>
              <w:t>12919.77</w:t>
            </w:r>
          </w:p>
        </w:tc>
      </w:tr>
    </w:tbl>
    <w:p w14:paraId="18B3B138" w14:textId="77777777" w:rsidR="00CC4BA6" w:rsidRDefault="00CC4BA6" w:rsidP="00CC4BA6">
      <w:pPr>
        <w:tabs>
          <w:tab w:val="left" w:pos="284"/>
        </w:tabs>
        <w:jc w:val="center"/>
        <w:rPr>
          <w:rFonts w:ascii="Times New Roman" w:hAnsi="Times New Roman" w:cs="Times New Roman"/>
        </w:rPr>
      </w:pPr>
    </w:p>
    <w:p w14:paraId="3591A975" w14:textId="77777777" w:rsidR="00CC4BA6" w:rsidRPr="003B1B71" w:rsidRDefault="00CC4BA6" w:rsidP="00CC4BA6">
      <w:pPr>
        <w:rPr>
          <w:rFonts w:ascii="Times New Roman" w:hAnsi="Times New Roman" w:cs="Times New Roman"/>
        </w:rPr>
      </w:pPr>
      <w:r>
        <w:rPr>
          <w:noProof/>
          <w:lang w:eastAsia="en-IN"/>
        </w:rPr>
        <w:drawing>
          <wp:inline distT="0" distB="0" distL="0" distR="0" wp14:anchorId="599C3F76" wp14:editId="5A3B7F69">
            <wp:extent cx="5731510" cy="2595282"/>
            <wp:effectExtent l="0" t="0" r="2540" b="14605"/>
            <wp:docPr id="1051545539" name="Chart 1">
              <a:extLst xmlns:a="http://schemas.openxmlformats.org/drawingml/2006/main">
                <a:ext uri="{FF2B5EF4-FFF2-40B4-BE49-F238E27FC236}">
                  <a16:creationId xmlns:a16="http://schemas.microsoft.com/office/drawing/2014/main" id="{69255DD5-DFA0-297B-4567-4CEB540232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3D6DF34D" w14:textId="38A7009C" w:rsidR="00C1471E" w:rsidRPr="003B1B71" w:rsidRDefault="00C1471E" w:rsidP="00C1471E">
      <w:pPr>
        <w:tabs>
          <w:tab w:val="left" w:pos="284"/>
        </w:tabs>
        <w:jc w:val="center"/>
        <w:rPr>
          <w:rFonts w:ascii="Times New Roman" w:hAnsi="Times New Roman" w:cs="Times New Roman"/>
        </w:rPr>
      </w:pPr>
      <w:r w:rsidRPr="003B1B71">
        <w:rPr>
          <w:rFonts w:ascii="Times New Roman" w:hAnsi="Times New Roman" w:cs="Times New Roman"/>
        </w:rPr>
        <w:t>Fig</w:t>
      </w:r>
      <w:r>
        <w:rPr>
          <w:rFonts w:ascii="Times New Roman" w:hAnsi="Times New Roman" w:cs="Times New Roman"/>
        </w:rPr>
        <w:t>.</w:t>
      </w:r>
      <w:r w:rsidRPr="003B1B71">
        <w:rPr>
          <w:rFonts w:ascii="Times New Roman" w:hAnsi="Times New Roman" w:cs="Times New Roman"/>
        </w:rPr>
        <w:t>1</w:t>
      </w:r>
      <w:r>
        <w:rPr>
          <w:rFonts w:ascii="Times New Roman" w:hAnsi="Times New Roman" w:cs="Times New Roman"/>
        </w:rPr>
        <w:t>:</w:t>
      </w:r>
      <w:r w:rsidRPr="003B1B71">
        <w:rPr>
          <w:rFonts w:ascii="Times New Roman" w:hAnsi="Times New Roman" w:cs="Times New Roman"/>
        </w:rPr>
        <w:t xml:space="preserve"> Actual and predicted prices of Cashew nut in Andhra Pradesh</w:t>
      </w:r>
    </w:p>
    <w:p w14:paraId="301EAF5E" w14:textId="77777777" w:rsidR="00CC4BA6" w:rsidRDefault="00CC4BA6" w:rsidP="00151286">
      <w:pPr>
        <w:spacing w:after="0" w:line="360" w:lineRule="auto"/>
        <w:rPr>
          <w:rFonts w:ascii="Times New Roman" w:hAnsi="Times New Roman" w:cs="Times New Roman"/>
          <w:b/>
          <w:bCs/>
        </w:rPr>
      </w:pPr>
      <w:r w:rsidRPr="003B1B71">
        <w:rPr>
          <w:rFonts w:ascii="Times New Roman" w:hAnsi="Times New Roman" w:cs="Times New Roman"/>
          <w:b/>
          <w:bCs/>
        </w:rPr>
        <w:t>Conclusion</w:t>
      </w:r>
    </w:p>
    <w:p w14:paraId="2E388FF8" w14:textId="77777777" w:rsidR="007D2771" w:rsidRPr="007D2771" w:rsidRDefault="007D2771" w:rsidP="00151286">
      <w:pPr>
        <w:spacing w:after="0" w:line="360" w:lineRule="auto"/>
        <w:jc w:val="both"/>
        <w:rPr>
          <w:rFonts w:ascii="Times New Roman" w:eastAsia="Times New Roman" w:hAnsi="Times New Roman" w:cs="Times New Roman"/>
          <w:kern w:val="0"/>
          <w:lang w:eastAsia="en-IN"/>
          <w14:ligatures w14:val="none"/>
        </w:rPr>
      </w:pPr>
      <w:r w:rsidRPr="007D2771">
        <w:rPr>
          <w:rFonts w:ascii="Times New Roman" w:eastAsia="Times New Roman" w:hAnsi="Times New Roman" w:cs="Times New Roman"/>
          <w:kern w:val="0"/>
          <w:lang w:eastAsia="en-IN"/>
          <w14:ligatures w14:val="none"/>
        </w:rPr>
        <w:t xml:space="preserve">This study investigated the performance of ARIMA, SVR, and a hybrid ARIMA+SVR model for forecasting cashew nut prices in Andhra Pradesh. The findings demonstrate that integrating linear and nonlinear modelling techniques improves the ability to capture complex price dynamics. The hybrid ARIMA+SVR model consistently outperformed the standalone </w:t>
      </w:r>
      <w:r w:rsidRPr="007D2771">
        <w:rPr>
          <w:rFonts w:ascii="Times New Roman" w:eastAsia="Times New Roman" w:hAnsi="Times New Roman" w:cs="Times New Roman"/>
          <w:kern w:val="0"/>
          <w:lang w:eastAsia="en-IN"/>
          <w14:ligatures w14:val="none"/>
        </w:rPr>
        <w:lastRenderedPageBreak/>
        <w:t>ARIMA model by achieving lower forecasting errors and providing a more accurate representation of both trend and nonlinear fluctuations in the data.</w:t>
      </w:r>
    </w:p>
    <w:p w14:paraId="4AF7EEB1" w14:textId="77777777" w:rsidR="007D2771" w:rsidRPr="007D2771" w:rsidRDefault="007D2771" w:rsidP="00151286">
      <w:pPr>
        <w:spacing w:after="0" w:line="360" w:lineRule="auto"/>
        <w:jc w:val="both"/>
        <w:rPr>
          <w:rFonts w:ascii="Times New Roman" w:eastAsia="Times New Roman" w:hAnsi="Times New Roman" w:cs="Times New Roman"/>
          <w:kern w:val="0"/>
          <w:lang w:eastAsia="en-IN"/>
          <w14:ligatures w14:val="none"/>
        </w:rPr>
      </w:pPr>
      <w:r w:rsidRPr="007D2771">
        <w:rPr>
          <w:rFonts w:ascii="Times New Roman" w:eastAsia="Times New Roman" w:hAnsi="Times New Roman" w:cs="Times New Roman"/>
          <w:kern w:val="0"/>
          <w:lang w:eastAsia="en-IN"/>
          <w14:ligatures w14:val="none"/>
        </w:rPr>
        <w:t>Although the SVR model showed strong predictive performance in terms of error metrics, residual diagnostic tests indicated the presence of autocorrelation, suggesting incomplete capture of temporal dependencies. In contrast, the hybrid ARIMA+SVR model produced residuals consistent with white-noise behaviour, indicating improved statistical adequacy and better model specification.</w:t>
      </w:r>
    </w:p>
    <w:p w14:paraId="248CCEB9" w14:textId="77777777" w:rsidR="007D2771" w:rsidRPr="007D2771" w:rsidRDefault="007D2771" w:rsidP="00151286">
      <w:pPr>
        <w:spacing w:after="0" w:line="360" w:lineRule="auto"/>
        <w:jc w:val="both"/>
        <w:rPr>
          <w:rFonts w:ascii="Times New Roman" w:eastAsia="Times New Roman" w:hAnsi="Times New Roman" w:cs="Times New Roman"/>
          <w:kern w:val="0"/>
          <w:lang w:eastAsia="en-IN"/>
          <w14:ligatures w14:val="none"/>
        </w:rPr>
      </w:pPr>
      <w:r w:rsidRPr="007D2771">
        <w:rPr>
          <w:rFonts w:ascii="Times New Roman" w:eastAsia="Times New Roman" w:hAnsi="Times New Roman" w:cs="Times New Roman"/>
          <w:kern w:val="0"/>
          <w:lang w:eastAsia="en-IN"/>
          <w14:ligatures w14:val="none"/>
        </w:rPr>
        <w:t>Further validation using Box–Pierce and BDS tests supported the robustness of the hybrid approach, showing reduced serial dependence and improved capability in capturing both linear and nonlinear structures in the series. Overall, the results highlight the superiority of hybrid forecasting frameworks for agricultural commodity price prediction. The ARIMA+SVR model provides a reliable and effective tool for enhancing forecast accuracy and supporting informed decision-making in market planning and price risk management for stakeholders in the cashew sector.</w:t>
      </w:r>
    </w:p>
    <w:p w14:paraId="19439E1D" w14:textId="77777777" w:rsidR="00E018DE" w:rsidRPr="00A60C65" w:rsidRDefault="00E018DE" w:rsidP="00151286">
      <w:pPr>
        <w:spacing w:after="0" w:line="360" w:lineRule="auto"/>
        <w:rPr>
          <w:rFonts w:ascii="Times New Roman" w:hAnsi="Times New Roman" w:cs="Times New Roman"/>
          <w:b/>
          <w:bCs/>
          <w:lang w:val="en-US"/>
        </w:rPr>
      </w:pPr>
      <w:r w:rsidRPr="003B1B71">
        <w:rPr>
          <w:rFonts w:ascii="Times New Roman" w:hAnsi="Times New Roman" w:cs="Times New Roman"/>
          <w:b/>
          <w:bCs/>
          <w:lang w:val="en-US"/>
        </w:rPr>
        <w:t>REFERENCES</w:t>
      </w:r>
    </w:p>
    <w:p w14:paraId="5179876B" w14:textId="3E4CECE3" w:rsidR="00C33DDA" w:rsidRDefault="00E018DE" w:rsidP="00FE1F0D">
      <w:pPr>
        <w:spacing w:after="0" w:line="360" w:lineRule="auto"/>
        <w:ind w:left="284" w:hanging="284"/>
        <w:jc w:val="both"/>
        <w:rPr>
          <w:rFonts w:ascii="Times New Roman" w:hAnsi="Times New Roman" w:cs="Times New Roman"/>
          <w:sz w:val="22"/>
          <w:szCs w:val="22"/>
        </w:rPr>
      </w:pPr>
      <w:r w:rsidRPr="009C314F">
        <w:rPr>
          <w:rFonts w:ascii="Times New Roman" w:hAnsi="Times New Roman" w:cs="Times New Roman"/>
          <w:sz w:val="22"/>
          <w:szCs w:val="22"/>
        </w:rPr>
        <w:t>Areef, M., Rajeswari, S., Vani, N. and Naidu, G. M. 2020. Price behaviour and forecasting of</w:t>
      </w:r>
      <w:r w:rsidR="009C314F" w:rsidRPr="009C314F">
        <w:rPr>
          <w:rFonts w:ascii="Times New Roman" w:hAnsi="Times New Roman" w:cs="Times New Roman"/>
          <w:sz w:val="22"/>
          <w:szCs w:val="22"/>
        </w:rPr>
        <w:t xml:space="preserve"> </w:t>
      </w:r>
      <w:r w:rsidRPr="009C314F">
        <w:rPr>
          <w:rFonts w:ascii="Times New Roman" w:hAnsi="Times New Roman" w:cs="Times New Roman"/>
          <w:sz w:val="22"/>
          <w:szCs w:val="22"/>
        </w:rPr>
        <w:t xml:space="preserve">onion prices in Kurnool market, Andhra Pradesh state. </w:t>
      </w:r>
      <w:r w:rsidRPr="009C314F">
        <w:rPr>
          <w:rFonts w:ascii="Times New Roman" w:hAnsi="Times New Roman" w:cs="Times New Roman"/>
          <w:i/>
          <w:iCs/>
          <w:sz w:val="22"/>
          <w:szCs w:val="22"/>
        </w:rPr>
        <w:t>Economic Affairs</w:t>
      </w:r>
      <w:r w:rsidRPr="009C314F">
        <w:rPr>
          <w:rFonts w:ascii="Times New Roman" w:hAnsi="Times New Roman" w:cs="Times New Roman"/>
          <w:sz w:val="22"/>
          <w:szCs w:val="22"/>
        </w:rPr>
        <w:t>, 65(1): 43–50.</w:t>
      </w:r>
    </w:p>
    <w:p w14:paraId="1C0536CC" w14:textId="538E51DE" w:rsidR="001870E5" w:rsidRDefault="009C314F" w:rsidP="00FE1F0D">
      <w:pPr>
        <w:spacing w:after="0" w:line="360" w:lineRule="auto"/>
        <w:ind w:left="284" w:hanging="284"/>
        <w:jc w:val="both"/>
        <w:rPr>
          <w:rFonts w:ascii="Times New Roman" w:hAnsi="Times New Roman" w:cs="Times New Roman"/>
          <w:sz w:val="22"/>
          <w:szCs w:val="22"/>
        </w:rPr>
      </w:pPr>
      <w:r w:rsidRPr="009C314F">
        <w:rPr>
          <w:rFonts w:ascii="Times New Roman" w:hAnsi="Times New Roman" w:cs="Times New Roman"/>
          <w:sz w:val="22"/>
          <w:szCs w:val="22"/>
        </w:rPr>
        <w:t>Brock,</w:t>
      </w:r>
      <w:r w:rsidR="00AF63D8">
        <w:rPr>
          <w:rFonts w:ascii="Times New Roman" w:hAnsi="Times New Roman" w:cs="Times New Roman"/>
          <w:sz w:val="22"/>
          <w:szCs w:val="22"/>
        </w:rPr>
        <w:t xml:space="preserve"> </w:t>
      </w:r>
      <w:r w:rsidRPr="009C314F">
        <w:rPr>
          <w:rFonts w:ascii="Times New Roman" w:hAnsi="Times New Roman" w:cs="Times New Roman"/>
          <w:sz w:val="22"/>
          <w:szCs w:val="22"/>
        </w:rPr>
        <w:t>W</w:t>
      </w:r>
      <w:r w:rsidR="00AF63D8">
        <w:rPr>
          <w:rFonts w:ascii="Times New Roman" w:hAnsi="Times New Roman" w:cs="Times New Roman"/>
          <w:sz w:val="22"/>
          <w:szCs w:val="22"/>
        </w:rPr>
        <w:t xml:space="preserve">. </w:t>
      </w:r>
      <w:r w:rsidRPr="009C314F">
        <w:rPr>
          <w:rFonts w:ascii="Times New Roman" w:hAnsi="Times New Roman" w:cs="Times New Roman"/>
          <w:sz w:val="22"/>
          <w:szCs w:val="22"/>
        </w:rPr>
        <w:t>A.,</w:t>
      </w:r>
      <w:r w:rsidR="00AF63D8">
        <w:rPr>
          <w:rFonts w:ascii="Times New Roman" w:hAnsi="Times New Roman" w:cs="Times New Roman"/>
          <w:sz w:val="22"/>
          <w:szCs w:val="22"/>
        </w:rPr>
        <w:t xml:space="preserve"> </w:t>
      </w:r>
      <w:r w:rsidRPr="009C314F">
        <w:rPr>
          <w:rFonts w:ascii="Times New Roman" w:hAnsi="Times New Roman" w:cs="Times New Roman"/>
          <w:sz w:val="22"/>
          <w:szCs w:val="22"/>
        </w:rPr>
        <w:t>Dechert, W. D.,</w:t>
      </w:r>
      <w:r w:rsidR="00AF63D8">
        <w:rPr>
          <w:rFonts w:ascii="Times New Roman" w:hAnsi="Times New Roman" w:cs="Times New Roman"/>
          <w:sz w:val="22"/>
          <w:szCs w:val="22"/>
        </w:rPr>
        <w:t xml:space="preserve"> </w:t>
      </w:r>
      <w:r w:rsidR="001870E5" w:rsidRPr="009C314F">
        <w:rPr>
          <w:rFonts w:ascii="Times New Roman" w:hAnsi="Times New Roman" w:cs="Times New Roman"/>
          <w:sz w:val="22"/>
          <w:szCs w:val="22"/>
        </w:rPr>
        <w:t>Sc</w:t>
      </w:r>
      <w:r w:rsidRPr="009C314F">
        <w:rPr>
          <w:rFonts w:ascii="Times New Roman" w:hAnsi="Times New Roman" w:cs="Times New Roman"/>
          <w:sz w:val="22"/>
          <w:szCs w:val="22"/>
        </w:rPr>
        <w:t>heinkman, J. A., &amp; LeBaron, B. 1996</w:t>
      </w:r>
      <w:r w:rsidR="001870E5" w:rsidRPr="009C314F">
        <w:rPr>
          <w:rFonts w:ascii="Times New Roman" w:hAnsi="Times New Roman" w:cs="Times New Roman"/>
          <w:sz w:val="22"/>
          <w:szCs w:val="22"/>
        </w:rPr>
        <w:t xml:space="preserve">. </w:t>
      </w:r>
      <w:r w:rsidRPr="00AF63D8">
        <w:rPr>
          <w:rStyle w:val="Emphasis"/>
          <w:rFonts w:ascii="Times New Roman" w:hAnsi="Times New Roman" w:cs="Times New Roman"/>
          <w:i w:val="0"/>
          <w:iCs w:val="0"/>
          <w:sz w:val="22"/>
          <w:szCs w:val="22"/>
        </w:rPr>
        <w:t>A Test for independence</w:t>
      </w:r>
      <w:r w:rsidR="00C33DDA">
        <w:rPr>
          <w:rStyle w:val="Emphasis"/>
          <w:rFonts w:ascii="Times New Roman" w:hAnsi="Times New Roman" w:cs="Times New Roman"/>
          <w:i w:val="0"/>
          <w:iCs w:val="0"/>
          <w:sz w:val="22"/>
          <w:szCs w:val="22"/>
        </w:rPr>
        <w:t xml:space="preserve"> </w:t>
      </w:r>
      <w:r w:rsidR="001870E5" w:rsidRPr="00AF63D8">
        <w:rPr>
          <w:rStyle w:val="Emphasis"/>
          <w:rFonts w:ascii="Times New Roman" w:hAnsi="Times New Roman" w:cs="Times New Roman"/>
          <w:i w:val="0"/>
          <w:iCs w:val="0"/>
          <w:sz w:val="22"/>
          <w:szCs w:val="22"/>
        </w:rPr>
        <w:t>Based</w:t>
      </w:r>
      <w:r w:rsidR="00C33DDA">
        <w:rPr>
          <w:rStyle w:val="Emphasis"/>
          <w:rFonts w:ascii="Times New Roman" w:hAnsi="Times New Roman" w:cs="Times New Roman"/>
          <w:i w:val="0"/>
          <w:iCs w:val="0"/>
          <w:sz w:val="22"/>
          <w:szCs w:val="22"/>
        </w:rPr>
        <w:t xml:space="preserve"> </w:t>
      </w:r>
      <w:r w:rsidR="001870E5" w:rsidRPr="00AF63D8">
        <w:rPr>
          <w:rStyle w:val="Emphasis"/>
          <w:rFonts w:ascii="Times New Roman" w:hAnsi="Times New Roman" w:cs="Times New Roman"/>
          <w:i w:val="0"/>
          <w:iCs w:val="0"/>
          <w:sz w:val="22"/>
          <w:szCs w:val="22"/>
        </w:rPr>
        <w:t>on the Correlation Dimension</w:t>
      </w:r>
      <w:r w:rsidR="001870E5" w:rsidRPr="00AF63D8">
        <w:rPr>
          <w:rFonts w:ascii="Times New Roman" w:hAnsi="Times New Roman" w:cs="Times New Roman"/>
          <w:i/>
          <w:iCs/>
          <w:sz w:val="22"/>
          <w:szCs w:val="22"/>
        </w:rPr>
        <w:t>.</w:t>
      </w:r>
      <w:r w:rsidR="001870E5" w:rsidRPr="009C314F">
        <w:rPr>
          <w:rFonts w:ascii="Times New Roman" w:hAnsi="Times New Roman" w:cs="Times New Roman"/>
          <w:sz w:val="22"/>
          <w:szCs w:val="22"/>
        </w:rPr>
        <w:t xml:space="preserve"> </w:t>
      </w:r>
      <w:r w:rsidR="001870E5" w:rsidRPr="00AF63D8">
        <w:rPr>
          <w:rFonts w:ascii="Times New Roman" w:hAnsi="Times New Roman" w:cs="Times New Roman"/>
          <w:i/>
          <w:iCs/>
          <w:sz w:val="22"/>
          <w:szCs w:val="22"/>
        </w:rPr>
        <w:t>Economi</w:t>
      </w:r>
      <w:r w:rsidRPr="00AF63D8">
        <w:rPr>
          <w:rFonts w:ascii="Times New Roman" w:hAnsi="Times New Roman" w:cs="Times New Roman"/>
          <w:i/>
          <w:iCs/>
          <w:sz w:val="22"/>
          <w:szCs w:val="22"/>
        </w:rPr>
        <w:t>cs Working Paper,</w:t>
      </w:r>
      <w:r w:rsidRPr="009C314F">
        <w:rPr>
          <w:rFonts w:ascii="Times New Roman" w:hAnsi="Times New Roman" w:cs="Times New Roman"/>
          <w:sz w:val="22"/>
          <w:szCs w:val="22"/>
        </w:rPr>
        <w:t xml:space="preserve"> University of </w:t>
      </w:r>
      <w:r w:rsidR="001870E5" w:rsidRPr="009C314F">
        <w:rPr>
          <w:rFonts w:ascii="Times New Roman" w:hAnsi="Times New Roman" w:cs="Times New Roman"/>
          <w:sz w:val="22"/>
          <w:szCs w:val="22"/>
        </w:rPr>
        <w:t>Wisconsin–Madison</w:t>
      </w:r>
    </w:p>
    <w:p w14:paraId="0B488BC4" w14:textId="77777777" w:rsidR="00C33DDA" w:rsidRDefault="00E018DE" w:rsidP="00FE1F0D">
      <w:pPr>
        <w:spacing w:after="0" w:line="360" w:lineRule="auto"/>
        <w:ind w:left="284" w:hanging="284"/>
        <w:jc w:val="both"/>
        <w:rPr>
          <w:rFonts w:ascii="Times New Roman" w:hAnsi="Times New Roman" w:cs="Times New Roman"/>
          <w:i/>
          <w:iCs/>
          <w:sz w:val="22"/>
          <w:szCs w:val="22"/>
        </w:rPr>
      </w:pPr>
      <w:r w:rsidRPr="009C314F">
        <w:rPr>
          <w:rFonts w:ascii="Times New Roman" w:hAnsi="Times New Roman" w:cs="Times New Roman"/>
          <w:sz w:val="22"/>
          <w:szCs w:val="22"/>
        </w:rPr>
        <w:t>Cheng, H. and Huang, A. 2025. SVM-based agricultural crop price prediction model</w:t>
      </w:r>
      <w:r w:rsidRPr="009C314F">
        <w:rPr>
          <w:rFonts w:ascii="Times New Roman" w:hAnsi="Times New Roman" w:cs="Times New Roman"/>
          <w:i/>
          <w:iCs/>
          <w:sz w:val="22"/>
          <w:szCs w:val="22"/>
        </w:rPr>
        <w:t>.</w:t>
      </w:r>
      <w:r w:rsidRPr="009C314F">
        <w:rPr>
          <w:rFonts w:ascii="Times New Roman" w:hAnsi="Times New Roman" w:cs="Times New Roman"/>
          <w:sz w:val="22"/>
          <w:szCs w:val="22"/>
        </w:rPr>
        <w:t xml:space="preserve"> </w:t>
      </w:r>
      <w:r w:rsidRPr="009C314F">
        <w:rPr>
          <w:rFonts w:ascii="Times New Roman" w:hAnsi="Times New Roman" w:cs="Times New Roman"/>
          <w:i/>
          <w:iCs/>
          <w:sz w:val="22"/>
          <w:szCs w:val="22"/>
        </w:rPr>
        <w:t>IAENG</w:t>
      </w:r>
      <w:r w:rsidR="009C314F" w:rsidRPr="009C314F">
        <w:rPr>
          <w:rFonts w:ascii="Times New Roman" w:hAnsi="Times New Roman" w:cs="Times New Roman"/>
          <w:i/>
          <w:iCs/>
          <w:sz w:val="22"/>
          <w:szCs w:val="22"/>
        </w:rPr>
        <w:t xml:space="preserve"> </w:t>
      </w:r>
      <w:r w:rsidR="00AF63D8">
        <w:rPr>
          <w:rFonts w:ascii="Times New Roman" w:hAnsi="Times New Roman" w:cs="Times New Roman"/>
          <w:i/>
          <w:iCs/>
          <w:sz w:val="22"/>
          <w:szCs w:val="22"/>
        </w:rPr>
        <w:t xml:space="preserve">     </w:t>
      </w:r>
      <w:r w:rsidRPr="009C314F">
        <w:rPr>
          <w:rFonts w:ascii="Times New Roman" w:hAnsi="Times New Roman" w:cs="Times New Roman"/>
          <w:i/>
          <w:iCs/>
          <w:sz w:val="22"/>
          <w:szCs w:val="22"/>
        </w:rPr>
        <w:t>International Journal of Computer Science</w:t>
      </w:r>
      <w:r w:rsidRPr="009C314F">
        <w:rPr>
          <w:rFonts w:ascii="Times New Roman" w:hAnsi="Times New Roman" w:cs="Times New Roman"/>
          <w:sz w:val="22"/>
          <w:szCs w:val="22"/>
        </w:rPr>
        <w:t>. 52(2): 307–316.</w:t>
      </w:r>
    </w:p>
    <w:p w14:paraId="135ED13B" w14:textId="13E31FD3" w:rsidR="00E018DE" w:rsidRPr="00C33DDA" w:rsidRDefault="00E018DE" w:rsidP="00FE1F0D">
      <w:pPr>
        <w:spacing w:after="0" w:line="360" w:lineRule="auto"/>
        <w:ind w:left="284" w:hanging="284"/>
        <w:jc w:val="both"/>
        <w:rPr>
          <w:rFonts w:ascii="Times New Roman" w:hAnsi="Times New Roman" w:cs="Times New Roman"/>
          <w:i/>
          <w:iCs/>
          <w:sz w:val="22"/>
          <w:szCs w:val="22"/>
        </w:rPr>
      </w:pPr>
      <w:r w:rsidRPr="009C314F">
        <w:rPr>
          <w:rFonts w:ascii="Times New Roman" w:eastAsia="Times New Roman" w:hAnsi="Times New Roman" w:cs="Times New Roman"/>
          <w:kern w:val="0"/>
          <w:sz w:val="22"/>
          <w:szCs w:val="22"/>
          <w:lang w:eastAsia="en-IN"/>
          <w14:ligatures w14:val="none"/>
        </w:rPr>
        <w:t>Jadhav V, Reddy B V and Gaddi G M. 2017. Application of ARIMA model for forecasting</w:t>
      </w:r>
      <w:r w:rsidR="00C33DDA">
        <w:rPr>
          <w:rFonts w:ascii="Times New Roman" w:eastAsia="Times New Roman" w:hAnsi="Times New Roman" w:cs="Times New Roman"/>
          <w:kern w:val="0"/>
          <w:sz w:val="22"/>
          <w:szCs w:val="22"/>
          <w:lang w:eastAsia="en-IN"/>
          <w14:ligatures w14:val="none"/>
        </w:rPr>
        <w:t xml:space="preserve"> </w:t>
      </w:r>
      <w:r w:rsidRPr="009C314F">
        <w:rPr>
          <w:rFonts w:ascii="Times New Roman" w:eastAsia="Times New Roman" w:hAnsi="Times New Roman" w:cs="Times New Roman"/>
          <w:kern w:val="0"/>
          <w:sz w:val="22"/>
          <w:szCs w:val="22"/>
          <w:lang w:eastAsia="en-IN"/>
          <w14:ligatures w14:val="none"/>
        </w:rPr>
        <w:t xml:space="preserve">agricultural prices. </w:t>
      </w:r>
      <w:r w:rsidRPr="009C314F">
        <w:rPr>
          <w:rFonts w:ascii="Times New Roman" w:eastAsia="Times New Roman" w:hAnsi="Times New Roman" w:cs="Times New Roman"/>
          <w:i/>
          <w:iCs/>
          <w:kern w:val="0"/>
          <w:sz w:val="22"/>
          <w:szCs w:val="22"/>
          <w:lang w:eastAsia="en-IN"/>
          <w14:ligatures w14:val="none"/>
        </w:rPr>
        <w:t>Journal of Agricultural Science and Technology</w:t>
      </w:r>
      <w:r w:rsidRPr="009C314F">
        <w:rPr>
          <w:rFonts w:ascii="Times New Roman" w:eastAsia="Times New Roman" w:hAnsi="Times New Roman" w:cs="Times New Roman"/>
          <w:kern w:val="0"/>
          <w:sz w:val="22"/>
          <w:szCs w:val="22"/>
          <w:lang w:eastAsia="en-IN"/>
          <w14:ligatures w14:val="none"/>
        </w:rPr>
        <w:t xml:space="preserve"> </w:t>
      </w:r>
      <w:r w:rsidRPr="009C314F">
        <w:rPr>
          <w:rFonts w:ascii="Times New Roman" w:eastAsia="Times New Roman" w:hAnsi="Times New Roman" w:cs="Times New Roman"/>
          <w:b/>
          <w:bCs/>
          <w:kern w:val="0"/>
          <w:sz w:val="22"/>
          <w:szCs w:val="22"/>
          <w:lang w:eastAsia="en-IN"/>
          <w14:ligatures w14:val="none"/>
        </w:rPr>
        <w:t>19</w:t>
      </w:r>
      <w:r w:rsidRPr="009C314F">
        <w:rPr>
          <w:rFonts w:ascii="Times New Roman" w:eastAsia="Times New Roman" w:hAnsi="Times New Roman" w:cs="Times New Roman"/>
          <w:kern w:val="0"/>
          <w:sz w:val="22"/>
          <w:szCs w:val="22"/>
          <w:lang w:eastAsia="en-IN"/>
          <w14:ligatures w14:val="none"/>
        </w:rPr>
        <w:t>(5): 981–992.</w:t>
      </w:r>
    </w:p>
    <w:p w14:paraId="0A932E60" w14:textId="77777777" w:rsidR="00C33DDA" w:rsidRDefault="00E018DE" w:rsidP="00FE1F0D">
      <w:pPr>
        <w:spacing w:after="0" w:line="360" w:lineRule="auto"/>
        <w:ind w:left="284" w:hanging="284"/>
        <w:jc w:val="both"/>
        <w:rPr>
          <w:rFonts w:ascii="Times New Roman" w:eastAsia="Times New Roman" w:hAnsi="Times New Roman" w:cs="Times New Roman"/>
          <w:kern w:val="0"/>
          <w:sz w:val="22"/>
          <w:szCs w:val="22"/>
          <w:lang w:eastAsia="en-IN"/>
          <w14:ligatures w14:val="none"/>
        </w:rPr>
      </w:pPr>
      <w:r w:rsidRPr="009C314F">
        <w:rPr>
          <w:rFonts w:ascii="Times New Roman" w:eastAsia="Times New Roman" w:hAnsi="Times New Roman" w:cs="Times New Roman"/>
          <w:kern w:val="0"/>
          <w:sz w:val="22"/>
          <w:szCs w:val="22"/>
          <w:lang w:eastAsia="en-IN"/>
          <w14:ligatures w14:val="none"/>
        </w:rPr>
        <w:t>Phadte, P. V. and Kolambkar, R. A. 2024. Trend analysis of arrivals and prices of cashew</w:t>
      </w:r>
      <w:r w:rsidR="00C33DDA">
        <w:rPr>
          <w:rFonts w:ascii="Times New Roman" w:eastAsia="Times New Roman" w:hAnsi="Times New Roman" w:cs="Times New Roman"/>
          <w:kern w:val="0"/>
          <w:sz w:val="22"/>
          <w:szCs w:val="22"/>
          <w:lang w:eastAsia="en-IN"/>
          <w14:ligatures w14:val="none"/>
        </w:rPr>
        <w:t xml:space="preserve"> </w:t>
      </w:r>
      <w:r w:rsidRPr="009C314F">
        <w:rPr>
          <w:rFonts w:ascii="Times New Roman" w:eastAsia="Times New Roman" w:hAnsi="Times New Roman" w:cs="Times New Roman"/>
          <w:kern w:val="0"/>
          <w:sz w:val="22"/>
          <w:szCs w:val="22"/>
          <w:lang w:eastAsia="en-IN"/>
          <w14:ligatures w14:val="none"/>
        </w:rPr>
        <w:t>nut in Go</w:t>
      </w:r>
      <w:r w:rsidR="00C33DDA">
        <w:rPr>
          <w:rFonts w:ascii="Times New Roman" w:eastAsia="Times New Roman" w:hAnsi="Times New Roman" w:cs="Times New Roman"/>
          <w:kern w:val="0"/>
          <w:sz w:val="22"/>
          <w:szCs w:val="22"/>
          <w:lang w:eastAsia="en-IN"/>
          <w14:ligatures w14:val="none"/>
        </w:rPr>
        <w:t xml:space="preserve">a </w:t>
      </w:r>
      <w:r w:rsidRPr="009C314F">
        <w:rPr>
          <w:rFonts w:ascii="Times New Roman" w:eastAsia="Times New Roman" w:hAnsi="Times New Roman" w:cs="Times New Roman"/>
          <w:kern w:val="0"/>
          <w:sz w:val="22"/>
          <w:szCs w:val="22"/>
          <w:lang w:eastAsia="en-IN"/>
          <w14:ligatures w14:val="none"/>
        </w:rPr>
        <w:t xml:space="preserve">state. </w:t>
      </w:r>
      <w:r w:rsidRPr="009C314F">
        <w:rPr>
          <w:rFonts w:ascii="Times New Roman" w:eastAsia="Times New Roman" w:hAnsi="Times New Roman" w:cs="Times New Roman"/>
          <w:i/>
          <w:iCs/>
          <w:kern w:val="0"/>
          <w:sz w:val="22"/>
          <w:szCs w:val="22"/>
          <w:lang w:eastAsia="en-IN"/>
          <w14:ligatures w14:val="none"/>
        </w:rPr>
        <w:t>Annals of Biology</w:t>
      </w:r>
      <w:r w:rsidRPr="009C314F">
        <w:rPr>
          <w:rFonts w:ascii="Times New Roman" w:eastAsia="Times New Roman" w:hAnsi="Times New Roman" w:cs="Times New Roman"/>
          <w:kern w:val="0"/>
          <w:sz w:val="22"/>
          <w:szCs w:val="22"/>
          <w:lang w:eastAsia="en-IN"/>
          <w14:ligatures w14:val="none"/>
        </w:rPr>
        <w:t>, 40(2): 366–370.</w:t>
      </w:r>
    </w:p>
    <w:p w14:paraId="1FD6DB18" w14:textId="77777777" w:rsidR="00C33DDA" w:rsidRDefault="00E018DE" w:rsidP="00FE1F0D">
      <w:pPr>
        <w:spacing w:after="0" w:line="360" w:lineRule="auto"/>
        <w:ind w:left="284" w:hanging="284"/>
        <w:jc w:val="both"/>
        <w:rPr>
          <w:rFonts w:ascii="Times New Roman" w:eastAsia="Times New Roman" w:hAnsi="Times New Roman" w:cs="Times New Roman"/>
          <w:kern w:val="0"/>
          <w:sz w:val="22"/>
          <w:szCs w:val="22"/>
          <w:lang w:eastAsia="en-IN"/>
          <w14:ligatures w14:val="none"/>
        </w:rPr>
      </w:pPr>
      <w:r w:rsidRPr="009C314F">
        <w:rPr>
          <w:rFonts w:ascii="Times New Roman" w:hAnsi="Times New Roman" w:cs="Times New Roman"/>
          <w:sz w:val="22"/>
          <w:szCs w:val="22"/>
        </w:rPr>
        <w:t xml:space="preserve">Rubio, L., &amp; Alba, K. (2022). Forecasting selected Colombian shares using a hybrid ARIMA-SVR model. </w:t>
      </w:r>
      <w:r w:rsidRPr="009C314F">
        <w:rPr>
          <w:rFonts w:ascii="Times New Roman" w:hAnsi="Times New Roman" w:cs="Times New Roman"/>
          <w:i/>
          <w:iCs/>
          <w:sz w:val="22"/>
          <w:szCs w:val="22"/>
        </w:rPr>
        <w:t>Mathematics</w:t>
      </w:r>
      <w:r w:rsidRPr="009C314F">
        <w:rPr>
          <w:rFonts w:ascii="Times New Roman" w:hAnsi="Times New Roman" w:cs="Times New Roman"/>
          <w:sz w:val="22"/>
          <w:szCs w:val="22"/>
        </w:rPr>
        <w:t>, 10(13), 2181.</w:t>
      </w:r>
    </w:p>
    <w:p w14:paraId="3F102235" w14:textId="77777777" w:rsidR="00C33DDA" w:rsidRDefault="00E018DE" w:rsidP="00FE1F0D">
      <w:pPr>
        <w:spacing w:after="0" w:line="360" w:lineRule="auto"/>
        <w:ind w:left="284" w:hanging="284"/>
        <w:jc w:val="both"/>
        <w:rPr>
          <w:rFonts w:ascii="Times New Roman" w:eastAsia="Times New Roman" w:hAnsi="Times New Roman" w:cs="Times New Roman"/>
          <w:kern w:val="0"/>
          <w:sz w:val="22"/>
          <w:szCs w:val="22"/>
          <w:lang w:eastAsia="en-IN"/>
          <w14:ligatures w14:val="none"/>
        </w:rPr>
      </w:pPr>
      <w:r w:rsidRPr="009C314F">
        <w:rPr>
          <w:rFonts w:ascii="Times New Roman" w:hAnsi="Times New Roman" w:cs="Times New Roman"/>
          <w:color w:val="000000" w:themeColor="text1"/>
          <w:sz w:val="22"/>
          <w:szCs w:val="22"/>
        </w:rPr>
        <w:t>Sahu, P., Singh, S. and Sonkar, S. 2026. Comparative evaluation of ARIMA and ARIMA–ANN</w:t>
      </w:r>
      <w:r w:rsidR="00C33DDA">
        <w:rPr>
          <w:rFonts w:ascii="Times New Roman" w:hAnsi="Times New Roman" w:cs="Times New Roman"/>
          <w:color w:val="000000" w:themeColor="text1"/>
          <w:sz w:val="22"/>
          <w:szCs w:val="22"/>
        </w:rPr>
        <w:t xml:space="preserve"> </w:t>
      </w:r>
      <w:r w:rsidRPr="009C314F">
        <w:rPr>
          <w:rFonts w:ascii="Times New Roman" w:hAnsi="Times New Roman" w:cs="Times New Roman"/>
          <w:color w:val="000000" w:themeColor="text1"/>
          <w:sz w:val="22"/>
          <w:szCs w:val="22"/>
        </w:rPr>
        <w:t>hybrid</w:t>
      </w:r>
      <w:r w:rsidR="00C33DDA">
        <w:rPr>
          <w:rFonts w:ascii="Times New Roman" w:hAnsi="Times New Roman" w:cs="Times New Roman"/>
          <w:color w:val="000000" w:themeColor="text1"/>
          <w:sz w:val="22"/>
          <w:szCs w:val="22"/>
        </w:rPr>
        <w:t xml:space="preserve"> </w:t>
      </w:r>
      <w:r w:rsidRPr="009C314F">
        <w:rPr>
          <w:rFonts w:ascii="Times New Roman" w:hAnsi="Times New Roman" w:cs="Times New Roman"/>
          <w:color w:val="000000" w:themeColor="text1"/>
          <w:sz w:val="22"/>
          <w:szCs w:val="22"/>
        </w:rPr>
        <w:t xml:space="preserve">models for forecasting groundnut area, production and productivity in Surguja district, Chhattisgarh, India. </w:t>
      </w:r>
      <w:r w:rsidRPr="009C314F">
        <w:rPr>
          <w:rFonts w:ascii="Times New Roman" w:hAnsi="Times New Roman" w:cs="Times New Roman"/>
          <w:i/>
          <w:iCs/>
          <w:color w:val="000000" w:themeColor="text1"/>
          <w:sz w:val="22"/>
          <w:szCs w:val="22"/>
        </w:rPr>
        <w:t>Journal of Experimental Agriculture International</w:t>
      </w:r>
      <w:r w:rsidRPr="009C314F">
        <w:rPr>
          <w:rFonts w:ascii="Times New Roman" w:hAnsi="Times New Roman" w:cs="Times New Roman"/>
          <w:color w:val="000000" w:themeColor="text1"/>
          <w:sz w:val="22"/>
          <w:szCs w:val="22"/>
        </w:rPr>
        <w:t>. 48(3):22–33.</w:t>
      </w:r>
    </w:p>
    <w:p w14:paraId="6EBBEB6F" w14:textId="13DA76E6" w:rsidR="00E018DE" w:rsidRPr="00C33DDA" w:rsidRDefault="00E018DE" w:rsidP="00FE1F0D">
      <w:pPr>
        <w:spacing w:after="0" w:line="360" w:lineRule="auto"/>
        <w:ind w:left="284" w:hanging="284"/>
        <w:jc w:val="both"/>
        <w:rPr>
          <w:rFonts w:ascii="Times New Roman" w:eastAsia="Times New Roman" w:hAnsi="Times New Roman" w:cs="Times New Roman"/>
          <w:kern w:val="0"/>
          <w:sz w:val="22"/>
          <w:szCs w:val="22"/>
          <w:lang w:eastAsia="en-IN"/>
          <w14:ligatures w14:val="none"/>
        </w:rPr>
      </w:pPr>
      <w:r w:rsidRPr="009C314F">
        <w:rPr>
          <w:rFonts w:ascii="Times New Roman" w:hAnsi="Times New Roman" w:cs="Times New Roman"/>
          <w:color w:val="000000" w:themeColor="text1"/>
          <w:sz w:val="22"/>
          <w:szCs w:val="22"/>
        </w:rPr>
        <w:t>Shameem, Shaik, Lavanya Kumari. P, Ramana Murthy. B, and Vani. N. 2025. A Synergistic</w:t>
      </w:r>
      <w:r w:rsidR="009C314F" w:rsidRPr="009C314F">
        <w:rPr>
          <w:rFonts w:ascii="Times New Roman" w:hAnsi="Times New Roman" w:cs="Times New Roman"/>
          <w:color w:val="000000" w:themeColor="text1"/>
          <w:sz w:val="22"/>
          <w:szCs w:val="22"/>
        </w:rPr>
        <w:t xml:space="preserve"> </w:t>
      </w:r>
      <w:r w:rsidRPr="009C314F">
        <w:rPr>
          <w:rFonts w:ascii="Times New Roman" w:hAnsi="Times New Roman" w:cs="Times New Roman"/>
          <w:color w:val="000000" w:themeColor="text1"/>
          <w:sz w:val="22"/>
          <w:szCs w:val="22"/>
        </w:rPr>
        <w:t>Approach to Forecasting Sesamum Prices in Andhra Pradesh: Hybrid, Machine</w:t>
      </w:r>
      <w:r w:rsidR="009C314F" w:rsidRPr="009C314F">
        <w:rPr>
          <w:rFonts w:ascii="Times New Roman" w:hAnsi="Times New Roman" w:cs="Times New Roman"/>
          <w:color w:val="000000" w:themeColor="text1"/>
          <w:sz w:val="22"/>
          <w:szCs w:val="22"/>
        </w:rPr>
        <w:t xml:space="preserve"> </w:t>
      </w:r>
      <w:r w:rsidRPr="009C314F">
        <w:rPr>
          <w:rFonts w:ascii="Times New Roman" w:hAnsi="Times New Roman" w:cs="Times New Roman"/>
          <w:color w:val="000000" w:themeColor="text1"/>
          <w:sz w:val="22"/>
          <w:szCs w:val="22"/>
        </w:rPr>
        <w:t xml:space="preserve">Learning and Wavelet Decomposition Models. </w:t>
      </w:r>
      <w:r w:rsidRPr="009C314F">
        <w:rPr>
          <w:rFonts w:ascii="Times New Roman" w:hAnsi="Times New Roman" w:cs="Times New Roman"/>
          <w:i/>
          <w:iCs/>
          <w:color w:val="000000" w:themeColor="text1"/>
          <w:sz w:val="22"/>
          <w:szCs w:val="22"/>
        </w:rPr>
        <w:t>Journal of Scientific Research and</w:t>
      </w:r>
      <w:r w:rsidR="009C314F" w:rsidRPr="009C314F">
        <w:rPr>
          <w:rFonts w:ascii="Times New Roman" w:hAnsi="Times New Roman" w:cs="Times New Roman"/>
          <w:i/>
          <w:iCs/>
          <w:color w:val="000000" w:themeColor="text1"/>
          <w:sz w:val="22"/>
          <w:szCs w:val="22"/>
        </w:rPr>
        <w:t xml:space="preserve"> </w:t>
      </w:r>
      <w:r w:rsidRPr="009C314F">
        <w:rPr>
          <w:rFonts w:ascii="Times New Roman" w:hAnsi="Times New Roman" w:cs="Times New Roman"/>
          <w:i/>
          <w:iCs/>
          <w:color w:val="000000" w:themeColor="text1"/>
          <w:sz w:val="22"/>
          <w:szCs w:val="22"/>
        </w:rPr>
        <w:t xml:space="preserve">Reports. </w:t>
      </w:r>
      <w:r w:rsidRPr="009C314F">
        <w:rPr>
          <w:rFonts w:ascii="Times New Roman" w:hAnsi="Times New Roman" w:cs="Times New Roman"/>
          <w:color w:val="000000" w:themeColor="text1"/>
          <w:sz w:val="22"/>
          <w:szCs w:val="22"/>
        </w:rPr>
        <w:t>31 (6):1033-43.</w:t>
      </w:r>
    </w:p>
    <w:sectPr w:rsidR="00E018DE" w:rsidRPr="00C33DDA" w:rsidSect="00E018DE">
      <w:headerReference w:type="even" r:id="rId51"/>
      <w:headerReference w:type="default" r:id="rId52"/>
      <w:footerReference w:type="even" r:id="rId53"/>
      <w:footerReference w:type="default" r:id="rId54"/>
      <w:headerReference w:type="first" r:id="rId55"/>
      <w:footerReference w:type="first" r:id="rId5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F7607" w14:textId="77777777" w:rsidR="007B70C9" w:rsidRDefault="007B70C9" w:rsidP="001E4F4B">
      <w:pPr>
        <w:spacing w:after="0" w:line="240" w:lineRule="auto"/>
      </w:pPr>
      <w:r>
        <w:separator/>
      </w:r>
    </w:p>
  </w:endnote>
  <w:endnote w:type="continuationSeparator" w:id="0">
    <w:p w14:paraId="0FC81AE5" w14:textId="77777777" w:rsidR="007B70C9" w:rsidRDefault="007B70C9" w:rsidP="001E4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BE665" w14:textId="77777777" w:rsidR="0054157D" w:rsidRDefault="00541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B26083" w14:textId="77777777" w:rsidR="0054157D" w:rsidRDefault="00541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5A32F" w14:textId="77777777" w:rsidR="0054157D" w:rsidRDefault="00541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2044" w14:textId="77777777" w:rsidR="007B70C9" w:rsidRDefault="007B70C9" w:rsidP="001E4F4B">
      <w:pPr>
        <w:spacing w:after="0" w:line="240" w:lineRule="auto"/>
      </w:pPr>
      <w:r>
        <w:separator/>
      </w:r>
    </w:p>
  </w:footnote>
  <w:footnote w:type="continuationSeparator" w:id="0">
    <w:p w14:paraId="1249883E" w14:textId="77777777" w:rsidR="007B70C9" w:rsidRDefault="007B70C9" w:rsidP="001E4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37DF3" w14:textId="1614E873" w:rsidR="0054157D" w:rsidRDefault="0054157D">
    <w:pPr>
      <w:pStyle w:val="Header"/>
    </w:pPr>
    <w:r>
      <w:rPr>
        <w:noProof/>
      </w:rPr>
      <w:pict w14:anchorId="609A2F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4789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AD04" w14:textId="1AA0755D" w:rsidR="001E4F4B" w:rsidRDefault="0054157D">
    <w:pPr>
      <w:pStyle w:val="Header"/>
      <w:jc w:val="right"/>
    </w:pPr>
    <w:r>
      <w:rPr>
        <w:noProof/>
      </w:rPr>
      <w:pict w14:anchorId="6905B2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47892"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845925235"/>
        <w:docPartObj>
          <w:docPartGallery w:val="Page Numbers (Top of Page)"/>
          <w:docPartUnique/>
        </w:docPartObj>
      </w:sdtPr>
      <w:sdtEndPr>
        <w:rPr>
          <w:noProof/>
        </w:rPr>
      </w:sdtEndPr>
      <w:sdtContent>
        <w:r w:rsidR="001E4F4B">
          <w:fldChar w:fldCharType="begin"/>
        </w:r>
        <w:r w:rsidR="001E4F4B">
          <w:instrText xml:space="preserve"> PAGE   \* MERGEFORMAT </w:instrText>
        </w:r>
        <w:r w:rsidR="001E4F4B">
          <w:fldChar w:fldCharType="separate"/>
        </w:r>
        <w:r w:rsidR="001E4F4B">
          <w:rPr>
            <w:noProof/>
          </w:rPr>
          <w:t>2</w:t>
        </w:r>
        <w:r w:rsidR="001E4F4B">
          <w:rPr>
            <w:noProof/>
          </w:rPr>
          <w:fldChar w:fldCharType="end"/>
        </w:r>
      </w:sdtContent>
    </w:sdt>
  </w:p>
  <w:p w14:paraId="41A11551" w14:textId="77777777" w:rsidR="001E4F4B" w:rsidRDefault="001E4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2007E" w14:textId="41BAF407" w:rsidR="0054157D" w:rsidRDefault="0054157D">
    <w:pPr>
      <w:pStyle w:val="Header"/>
    </w:pPr>
    <w:r>
      <w:rPr>
        <w:noProof/>
      </w:rPr>
      <w:pict w14:anchorId="24C8AD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4789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04EDE"/>
    <w:multiLevelType w:val="multilevel"/>
    <w:tmpl w:val="E51C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C075A4"/>
    <w:multiLevelType w:val="multilevel"/>
    <w:tmpl w:val="CFAA370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742199E"/>
    <w:multiLevelType w:val="hybridMultilevel"/>
    <w:tmpl w:val="0B2A88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C3E30FB"/>
    <w:multiLevelType w:val="multilevel"/>
    <w:tmpl w:val="8D68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3E75EC"/>
    <w:multiLevelType w:val="multilevel"/>
    <w:tmpl w:val="835C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97C72"/>
    <w:multiLevelType w:val="multilevel"/>
    <w:tmpl w:val="D252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446D00"/>
    <w:multiLevelType w:val="multilevel"/>
    <w:tmpl w:val="EB781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B93F7B"/>
    <w:multiLevelType w:val="hybridMultilevel"/>
    <w:tmpl w:val="C68690B2"/>
    <w:lvl w:ilvl="0" w:tplc="4009000F">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49869E5"/>
    <w:multiLevelType w:val="multilevel"/>
    <w:tmpl w:val="A308EA3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8BD6B21"/>
    <w:multiLevelType w:val="multilevel"/>
    <w:tmpl w:val="3700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676AF3"/>
    <w:multiLevelType w:val="multilevel"/>
    <w:tmpl w:val="006CA0DA"/>
    <w:lvl w:ilvl="0">
      <w:start w:val="1"/>
      <w:numFmt w:val="decimal"/>
      <w:lvlText w:val="%1."/>
      <w:lvlJc w:val="left"/>
      <w:pPr>
        <w:ind w:left="644" w:hanging="360"/>
      </w:pPr>
      <w:rPr>
        <w:rFonts w:hint="default"/>
      </w:rPr>
    </w:lvl>
    <w:lvl w:ilvl="1">
      <w:start w:val="4"/>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7A1299"/>
    <w:multiLevelType w:val="hybridMultilevel"/>
    <w:tmpl w:val="892E420A"/>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9B31657"/>
    <w:multiLevelType w:val="hybridMultilevel"/>
    <w:tmpl w:val="32BA873A"/>
    <w:lvl w:ilvl="0" w:tplc="03F6606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7CF04954"/>
    <w:multiLevelType w:val="multilevel"/>
    <w:tmpl w:val="C5FE2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B02C17"/>
    <w:multiLevelType w:val="hybridMultilevel"/>
    <w:tmpl w:val="0994F49E"/>
    <w:lvl w:ilvl="0" w:tplc="763420FE">
      <w:start w:val="3"/>
      <w:numFmt w:val="bullet"/>
      <w:lvlText w:val=""/>
      <w:lvlJc w:val="left"/>
      <w:pPr>
        <w:ind w:left="720" w:hanging="360"/>
      </w:pPr>
      <w:rPr>
        <w:rFonts w:ascii="Symbol" w:eastAsiaTheme="minorHAnsi"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5"/>
  </w:num>
  <w:num w:numId="4">
    <w:abstractNumId w:val="1"/>
  </w:num>
  <w:num w:numId="5">
    <w:abstractNumId w:val="11"/>
  </w:num>
  <w:num w:numId="6">
    <w:abstractNumId w:val="12"/>
  </w:num>
  <w:num w:numId="7">
    <w:abstractNumId w:val="8"/>
  </w:num>
  <w:num w:numId="8">
    <w:abstractNumId w:val="14"/>
  </w:num>
  <w:num w:numId="9">
    <w:abstractNumId w:val="13"/>
  </w:num>
  <w:num w:numId="10">
    <w:abstractNumId w:val="3"/>
  </w:num>
  <w:num w:numId="11">
    <w:abstractNumId w:val="0"/>
  </w:num>
  <w:num w:numId="12">
    <w:abstractNumId w:val="9"/>
  </w:num>
  <w:num w:numId="13">
    <w:abstractNumId w:val="2"/>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1CD"/>
    <w:rsid w:val="00003FDD"/>
    <w:rsid w:val="0001124E"/>
    <w:rsid w:val="00044C48"/>
    <w:rsid w:val="00110844"/>
    <w:rsid w:val="00114F45"/>
    <w:rsid w:val="00125005"/>
    <w:rsid w:val="00151286"/>
    <w:rsid w:val="001722DF"/>
    <w:rsid w:val="001870E5"/>
    <w:rsid w:val="00191D3C"/>
    <w:rsid w:val="00195322"/>
    <w:rsid w:val="001A0F61"/>
    <w:rsid w:val="001E4F4B"/>
    <w:rsid w:val="002101DF"/>
    <w:rsid w:val="00230893"/>
    <w:rsid w:val="002442E4"/>
    <w:rsid w:val="00292FE1"/>
    <w:rsid w:val="003067B4"/>
    <w:rsid w:val="00317E46"/>
    <w:rsid w:val="003575AA"/>
    <w:rsid w:val="00394FCE"/>
    <w:rsid w:val="003A1341"/>
    <w:rsid w:val="003C7A38"/>
    <w:rsid w:val="003E3324"/>
    <w:rsid w:val="003F3480"/>
    <w:rsid w:val="004105EB"/>
    <w:rsid w:val="00413E6F"/>
    <w:rsid w:val="00456EE4"/>
    <w:rsid w:val="0047768A"/>
    <w:rsid w:val="004C27E4"/>
    <w:rsid w:val="004C2D70"/>
    <w:rsid w:val="004D5F22"/>
    <w:rsid w:val="004E1A3D"/>
    <w:rsid w:val="0054157D"/>
    <w:rsid w:val="0056071F"/>
    <w:rsid w:val="005643B4"/>
    <w:rsid w:val="005A0C9A"/>
    <w:rsid w:val="005A61AE"/>
    <w:rsid w:val="005A6763"/>
    <w:rsid w:val="005C6033"/>
    <w:rsid w:val="005D6BDD"/>
    <w:rsid w:val="00633529"/>
    <w:rsid w:val="00651295"/>
    <w:rsid w:val="006F42D1"/>
    <w:rsid w:val="006F483E"/>
    <w:rsid w:val="007214FF"/>
    <w:rsid w:val="00737F86"/>
    <w:rsid w:val="00776CDB"/>
    <w:rsid w:val="007A1B0B"/>
    <w:rsid w:val="007B1ACB"/>
    <w:rsid w:val="007B70C9"/>
    <w:rsid w:val="007D2771"/>
    <w:rsid w:val="008138C4"/>
    <w:rsid w:val="008446BF"/>
    <w:rsid w:val="008635BC"/>
    <w:rsid w:val="00864993"/>
    <w:rsid w:val="008A46B5"/>
    <w:rsid w:val="008A62C3"/>
    <w:rsid w:val="008D69F8"/>
    <w:rsid w:val="008E26E3"/>
    <w:rsid w:val="008F788E"/>
    <w:rsid w:val="00900B52"/>
    <w:rsid w:val="00904F64"/>
    <w:rsid w:val="009112AD"/>
    <w:rsid w:val="00914E22"/>
    <w:rsid w:val="009A5A9F"/>
    <w:rsid w:val="009C314F"/>
    <w:rsid w:val="009E33A3"/>
    <w:rsid w:val="009E5981"/>
    <w:rsid w:val="00A2630D"/>
    <w:rsid w:val="00A27E70"/>
    <w:rsid w:val="00A574D8"/>
    <w:rsid w:val="00A75AA4"/>
    <w:rsid w:val="00A76F9D"/>
    <w:rsid w:val="00AA5D70"/>
    <w:rsid w:val="00AD08CA"/>
    <w:rsid w:val="00AF41CD"/>
    <w:rsid w:val="00AF63D8"/>
    <w:rsid w:val="00B358C5"/>
    <w:rsid w:val="00B46820"/>
    <w:rsid w:val="00BB2909"/>
    <w:rsid w:val="00BD40C4"/>
    <w:rsid w:val="00BE3F9A"/>
    <w:rsid w:val="00C03B19"/>
    <w:rsid w:val="00C1471E"/>
    <w:rsid w:val="00C32954"/>
    <w:rsid w:val="00C33DDA"/>
    <w:rsid w:val="00C81AB4"/>
    <w:rsid w:val="00C82840"/>
    <w:rsid w:val="00CB6704"/>
    <w:rsid w:val="00CC4BA6"/>
    <w:rsid w:val="00CD67A1"/>
    <w:rsid w:val="00CF3BE8"/>
    <w:rsid w:val="00D03E20"/>
    <w:rsid w:val="00D40B65"/>
    <w:rsid w:val="00D55AF2"/>
    <w:rsid w:val="00D6228C"/>
    <w:rsid w:val="00D76766"/>
    <w:rsid w:val="00DB7C06"/>
    <w:rsid w:val="00DC071A"/>
    <w:rsid w:val="00E018DE"/>
    <w:rsid w:val="00E23CA0"/>
    <w:rsid w:val="00E24129"/>
    <w:rsid w:val="00E306D7"/>
    <w:rsid w:val="00E52A38"/>
    <w:rsid w:val="00E5623B"/>
    <w:rsid w:val="00E61525"/>
    <w:rsid w:val="00E7770F"/>
    <w:rsid w:val="00E84087"/>
    <w:rsid w:val="00E862EF"/>
    <w:rsid w:val="00E9247D"/>
    <w:rsid w:val="00EB63FA"/>
    <w:rsid w:val="00EE5E66"/>
    <w:rsid w:val="00EF7D56"/>
    <w:rsid w:val="00F1345E"/>
    <w:rsid w:val="00F22421"/>
    <w:rsid w:val="00F65D83"/>
    <w:rsid w:val="00F73082"/>
    <w:rsid w:val="00F80C2E"/>
    <w:rsid w:val="00FC7180"/>
    <w:rsid w:val="00FE1F0D"/>
    <w:rsid w:val="00FE2A5D"/>
    <w:rsid w:val="00FF251D"/>
    <w:rsid w:val="00FF5C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48F3DC"/>
  <w15:docId w15:val="{DEAF618E-22C1-4178-83C3-9273A642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42D1"/>
  </w:style>
  <w:style w:type="paragraph" w:styleId="Heading1">
    <w:name w:val="heading 1"/>
    <w:basedOn w:val="Normal"/>
    <w:next w:val="Normal"/>
    <w:link w:val="Heading1Char"/>
    <w:uiPriority w:val="9"/>
    <w:qFormat/>
    <w:rsid w:val="00AF41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1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1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1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1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1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1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1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1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CD"/>
    <w:rPr>
      <w:rFonts w:eastAsiaTheme="majorEastAsia" w:cstheme="majorBidi"/>
      <w:color w:val="272727" w:themeColor="text1" w:themeTint="D8"/>
    </w:rPr>
  </w:style>
  <w:style w:type="paragraph" w:styleId="Title">
    <w:name w:val="Title"/>
    <w:basedOn w:val="Normal"/>
    <w:next w:val="Normal"/>
    <w:link w:val="TitleChar"/>
    <w:uiPriority w:val="10"/>
    <w:qFormat/>
    <w:rsid w:val="00AF4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CD"/>
    <w:pPr>
      <w:spacing w:before="160"/>
      <w:jc w:val="center"/>
    </w:pPr>
    <w:rPr>
      <w:i/>
      <w:iCs/>
      <w:color w:val="404040" w:themeColor="text1" w:themeTint="BF"/>
    </w:rPr>
  </w:style>
  <w:style w:type="character" w:customStyle="1" w:styleId="QuoteChar">
    <w:name w:val="Quote Char"/>
    <w:basedOn w:val="DefaultParagraphFont"/>
    <w:link w:val="Quote"/>
    <w:uiPriority w:val="29"/>
    <w:rsid w:val="00AF41CD"/>
    <w:rPr>
      <w:i/>
      <w:iCs/>
      <w:color w:val="404040" w:themeColor="text1" w:themeTint="BF"/>
    </w:rPr>
  </w:style>
  <w:style w:type="paragraph" w:styleId="ListParagraph">
    <w:name w:val="List Paragraph"/>
    <w:basedOn w:val="Normal"/>
    <w:uiPriority w:val="34"/>
    <w:qFormat/>
    <w:rsid w:val="00AF41CD"/>
    <w:pPr>
      <w:ind w:left="720"/>
      <w:contextualSpacing/>
    </w:pPr>
  </w:style>
  <w:style w:type="character" w:styleId="IntenseEmphasis">
    <w:name w:val="Intense Emphasis"/>
    <w:basedOn w:val="DefaultParagraphFont"/>
    <w:uiPriority w:val="21"/>
    <w:qFormat/>
    <w:rsid w:val="00AF41CD"/>
    <w:rPr>
      <w:i/>
      <w:iCs/>
      <w:color w:val="2F5496" w:themeColor="accent1" w:themeShade="BF"/>
    </w:rPr>
  </w:style>
  <w:style w:type="paragraph" w:styleId="IntenseQuote">
    <w:name w:val="Intense Quote"/>
    <w:basedOn w:val="Normal"/>
    <w:next w:val="Normal"/>
    <w:link w:val="IntenseQuoteChar"/>
    <w:uiPriority w:val="30"/>
    <w:qFormat/>
    <w:rsid w:val="00AF41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1CD"/>
    <w:rPr>
      <w:i/>
      <w:iCs/>
      <w:color w:val="2F5496" w:themeColor="accent1" w:themeShade="BF"/>
    </w:rPr>
  </w:style>
  <w:style w:type="character" w:styleId="IntenseReference">
    <w:name w:val="Intense Reference"/>
    <w:basedOn w:val="DefaultParagraphFont"/>
    <w:uiPriority w:val="32"/>
    <w:qFormat/>
    <w:rsid w:val="00AF41CD"/>
    <w:rPr>
      <w:b/>
      <w:bCs/>
      <w:smallCaps/>
      <w:color w:val="2F5496" w:themeColor="accent1" w:themeShade="BF"/>
      <w:spacing w:val="5"/>
    </w:rPr>
  </w:style>
  <w:style w:type="character" w:styleId="Hyperlink">
    <w:name w:val="Hyperlink"/>
    <w:basedOn w:val="DefaultParagraphFont"/>
    <w:uiPriority w:val="99"/>
    <w:unhideWhenUsed/>
    <w:rsid w:val="00003FDD"/>
    <w:rPr>
      <w:color w:val="0563C1" w:themeColor="hyperlink"/>
      <w:u w:val="single"/>
    </w:rPr>
  </w:style>
  <w:style w:type="character" w:customStyle="1" w:styleId="UnresolvedMention1">
    <w:name w:val="Unresolved Mention1"/>
    <w:basedOn w:val="DefaultParagraphFont"/>
    <w:uiPriority w:val="99"/>
    <w:semiHidden/>
    <w:unhideWhenUsed/>
    <w:rsid w:val="00003FDD"/>
    <w:rPr>
      <w:color w:val="605E5C"/>
      <w:shd w:val="clear" w:color="auto" w:fill="E1DFDD"/>
    </w:rPr>
  </w:style>
  <w:style w:type="paragraph" w:styleId="NormalWeb">
    <w:name w:val="Normal (Web)"/>
    <w:basedOn w:val="Normal"/>
    <w:uiPriority w:val="99"/>
    <w:unhideWhenUsed/>
    <w:rsid w:val="00A2630D"/>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table" w:customStyle="1" w:styleId="GridTable2-Accent11">
    <w:name w:val="Grid Table 2 - Accent 11"/>
    <w:basedOn w:val="TableNormal"/>
    <w:uiPriority w:val="47"/>
    <w:rsid w:val="00E5623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FC7180"/>
    <w:pPr>
      <w:spacing w:after="0" w:line="240" w:lineRule="auto"/>
    </w:pPr>
    <w:rPr>
      <w:lang w:bidi="te-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65D83"/>
    <w:rPr>
      <w:b/>
      <w:bCs/>
    </w:rPr>
  </w:style>
  <w:style w:type="character" w:customStyle="1" w:styleId="whitespace-normal">
    <w:name w:val="whitespace-normal"/>
    <w:basedOn w:val="DefaultParagraphFont"/>
    <w:rsid w:val="00F65D83"/>
  </w:style>
  <w:style w:type="paragraph" w:styleId="z-TopofForm">
    <w:name w:val="HTML Top of Form"/>
    <w:basedOn w:val="Normal"/>
    <w:next w:val="Normal"/>
    <w:link w:val="z-TopofFormChar"/>
    <w:hidden/>
    <w:uiPriority w:val="99"/>
    <w:semiHidden/>
    <w:unhideWhenUsed/>
    <w:rsid w:val="00F65D83"/>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F65D83"/>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F65D83"/>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z-BottomofForm">
    <w:name w:val="HTML Bottom of Form"/>
    <w:basedOn w:val="Normal"/>
    <w:next w:val="Normal"/>
    <w:link w:val="z-BottomofFormChar"/>
    <w:hidden/>
    <w:uiPriority w:val="99"/>
    <w:semiHidden/>
    <w:unhideWhenUsed/>
    <w:rsid w:val="00F65D83"/>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F65D83"/>
    <w:rPr>
      <w:rFonts w:ascii="Arial" w:eastAsia="Times New Roman" w:hAnsi="Arial" w:cs="Arial"/>
      <w:vanish/>
      <w:kern w:val="0"/>
      <w:sz w:val="16"/>
      <w:szCs w:val="16"/>
      <w:lang w:eastAsia="en-IN"/>
      <w14:ligatures w14:val="none"/>
    </w:rPr>
  </w:style>
  <w:style w:type="paragraph" w:styleId="BalloonText">
    <w:name w:val="Balloon Text"/>
    <w:basedOn w:val="Normal"/>
    <w:link w:val="BalloonTextChar"/>
    <w:uiPriority w:val="99"/>
    <w:semiHidden/>
    <w:unhideWhenUsed/>
    <w:rsid w:val="00A76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6F9D"/>
    <w:rPr>
      <w:rFonts w:ascii="Tahoma" w:hAnsi="Tahoma" w:cs="Tahoma"/>
      <w:sz w:val="16"/>
      <w:szCs w:val="16"/>
    </w:rPr>
  </w:style>
  <w:style w:type="character" w:styleId="Emphasis">
    <w:name w:val="Emphasis"/>
    <w:basedOn w:val="DefaultParagraphFont"/>
    <w:uiPriority w:val="20"/>
    <w:qFormat/>
    <w:rsid w:val="00A27E70"/>
    <w:rPr>
      <w:i/>
      <w:iCs/>
    </w:rPr>
  </w:style>
  <w:style w:type="character" w:customStyle="1" w:styleId="katex-mathml">
    <w:name w:val="katex-mathml"/>
    <w:basedOn w:val="DefaultParagraphFont"/>
    <w:rsid w:val="00A27E70"/>
  </w:style>
  <w:style w:type="character" w:customStyle="1" w:styleId="mord">
    <w:name w:val="mord"/>
    <w:basedOn w:val="DefaultParagraphFont"/>
    <w:rsid w:val="00A27E70"/>
  </w:style>
  <w:style w:type="character" w:customStyle="1" w:styleId="vlist-s">
    <w:name w:val="vlist-s"/>
    <w:basedOn w:val="DefaultParagraphFont"/>
    <w:rsid w:val="00A27E70"/>
  </w:style>
  <w:style w:type="character" w:customStyle="1" w:styleId="mrel">
    <w:name w:val="mrel"/>
    <w:basedOn w:val="DefaultParagraphFont"/>
    <w:rsid w:val="00A27E70"/>
  </w:style>
  <w:style w:type="character" w:customStyle="1" w:styleId="mbin">
    <w:name w:val="mbin"/>
    <w:basedOn w:val="DefaultParagraphFont"/>
    <w:rsid w:val="00A27E70"/>
  </w:style>
  <w:style w:type="character" w:customStyle="1" w:styleId="minner">
    <w:name w:val="minner"/>
    <w:basedOn w:val="DefaultParagraphFont"/>
    <w:rsid w:val="00A27E70"/>
  </w:style>
  <w:style w:type="character" w:customStyle="1" w:styleId="mopen">
    <w:name w:val="mopen"/>
    <w:basedOn w:val="DefaultParagraphFont"/>
    <w:rsid w:val="004105EB"/>
  </w:style>
  <w:style w:type="character" w:customStyle="1" w:styleId="mclose">
    <w:name w:val="mclose"/>
    <w:basedOn w:val="DefaultParagraphFont"/>
    <w:rsid w:val="004105EB"/>
  </w:style>
  <w:style w:type="character" w:customStyle="1" w:styleId="mop">
    <w:name w:val="mop"/>
    <w:basedOn w:val="DefaultParagraphFont"/>
    <w:rsid w:val="004105EB"/>
  </w:style>
  <w:style w:type="character" w:customStyle="1" w:styleId="mpunct">
    <w:name w:val="mpunct"/>
    <w:basedOn w:val="DefaultParagraphFont"/>
    <w:rsid w:val="004105EB"/>
  </w:style>
  <w:style w:type="character" w:styleId="HTMLCode">
    <w:name w:val="HTML Code"/>
    <w:basedOn w:val="DefaultParagraphFont"/>
    <w:uiPriority w:val="99"/>
    <w:semiHidden/>
    <w:unhideWhenUsed/>
    <w:rsid w:val="00FF5CE6"/>
    <w:rPr>
      <w:rFonts w:ascii="Courier New" w:eastAsia="Times New Roman" w:hAnsi="Courier New" w:cs="Courier New"/>
      <w:sz w:val="20"/>
      <w:szCs w:val="20"/>
    </w:rPr>
  </w:style>
  <w:style w:type="paragraph" w:styleId="Header">
    <w:name w:val="header"/>
    <w:basedOn w:val="Normal"/>
    <w:link w:val="HeaderChar"/>
    <w:uiPriority w:val="99"/>
    <w:unhideWhenUsed/>
    <w:rsid w:val="001E4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4F4B"/>
  </w:style>
  <w:style w:type="paragraph" w:styleId="Footer">
    <w:name w:val="footer"/>
    <w:basedOn w:val="Normal"/>
    <w:link w:val="FooterChar"/>
    <w:uiPriority w:val="99"/>
    <w:unhideWhenUsed/>
    <w:rsid w:val="001E4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4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917317">
      <w:bodyDiv w:val="1"/>
      <w:marLeft w:val="0"/>
      <w:marRight w:val="0"/>
      <w:marTop w:val="0"/>
      <w:marBottom w:val="0"/>
      <w:divBdr>
        <w:top w:val="none" w:sz="0" w:space="0" w:color="auto"/>
        <w:left w:val="none" w:sz="0" w:space="0" w:color="auto"/>
        <w:bottom w:val="none" w:sz="0" w:space="0" w:color="auto"/>
        <w:right w:val="none" w:sz="0" w:space="0" w:color="auto"/>
      </w:divBdr>
    </w:div>
    <w:div w:id="121582540">
      <w:bodyDiv w:val="1"/>
      <w:marLeft w:val="0"/>
      <w:marRight w:val="0"/>
      <w:marTop w:val="0"/>
      <w:marBottom w:val="0"/>
      <w:divBdr>
        <w:top w:val="none" w:sz="0" w:space="0" w:color="auto"/>
        <w:left w:val="none" w:sz="0" w:space="0" w:color="auto"/>
        <w:bottom w:val="none" w:sz="0" w:space="0" w:color="auto"/>
        <w:right w:val="none" w:sz="0" w:space="0" w:color="auto"/>
      </w:divBdr>
    </w:div>
    <w:div w:id="131482285">
      <w:bodyDiv w:val="1"/>
      <w:marLeft w:val="0"/>
      <w:marRight w:val="0"/>
      <w:marTop w:val="0"/>
      <w:marBottom w:val="0"/>
      <w:divBdr>
        <w:top w:val="none" w:sz="0" w:space="0" w:color="auto"/>
        <w:left w:val="none" w:sz="0" w:space="0" w:color="auto"/>
        <w:bottom w:val="none" w:sz="0" w:space="0" w:color="auto"/>
        <w:right w:val="none" w:sz="0" w:space="0" w:color="auto"/>
      </w:divBdr>
    </w:div>
    <w:div w:id="206527074">
      <w:bodyDiv w:val="1"/>
      <w:marLeft w:val="0"/>
      <w:marRight w:val="0"/>
      <w:marTop w:val="0"/>
      <w:marBottom w:val="0"/>
      <w:divBdr>
        <w:top w:val="none" w:sz="0" w:space="0" w:color="auto"/>
        <w:left w:val="none" w:sz="0" w:space="0" w:color="auto"/>
        <w:bottom w:val="none" w:sz="0" w:space="0" w:color="auto"/>
        <w:right w:val="none" w:sz="0" w:space="0" w:color="auto"/>
      </w:divBdr>
      <w:divsChild>
        <w:div w:id="536047806">
          <w:marLeft w:val="0"/>
          <w:marRight w:val="0"/>
          <w:marTop w:val="0"/>
          <w:marBottom w:val="0"/>
          <w:divBdr>
            <w:top w:val="none" w:sz="0" w:space="0" w:color="auto"/>
            <w:left w:val="none" w:sz="0" w:space="0" w:color="auto"/>
            <w:bottom w:val="none" w:sz="0" w:space="0" w:color="auto"/>
            <w:right w:val="none" w:sz="0" w:space="0" w:color="auto"/>
          </w:divBdr>
          <w:divsChild>
            <w:div w:id="36128470">
              <w:marLeft w:val="0"/>
              <w:marRight w:val="0"/>
              <w:marTop w:val="0"/>
              <w:marBottom w:val="0"/>
              <w:divBdr>
                <w:top w:val="none" w:sz="0" w:space="0" w:color="auto"/>
                <w:left w:val="none" w:sz="0" w:space="0" w:color="auto"/>
                <w:bottom w:val="none" w:sz="0" w:space="0" w:color="auto"/>
                <w:right w:val="none" w:sz="0" w:space="0" w:color="auto"/>
              </w:divBdr>
              <w:divsChild>
                <w:div w:id="1906799210">
                  <w:marLeft w:val="0"/>
                  <w:marRight w:val="0"/>
                  <w:marTop w:val="0"/>
                  <w:marBottom w:val="0"/>
                  <w:divBdr>
                    <w:top w:val="none" w:sz="0" w:space="0" w:color="auto"/>
                    <w:left w:val="none" w:sz="0" w:space="0" w:color="auto"/>
                    <w:bottom w:val="none" w:sz="0" w:space="0" w:color="auto"/>
                    <w:right w:val="none" w:sz="0" w:space="0" w:color="auto"/>
                  </w:divBdr>
                  <w:divsChild>
                    <w:div w:id="580062352">
                      <w:marLeft w:val="0"/>
                      <w:marRight w:val="0"/>
                      <w:marTop w:val="0"/>
                      <w:marBottom w:val="0"/>
                      <w:divBdr>
                        <w:top w:val="none" w:sz="0" w:space="0" w:color="auto"/>
                        <w:left w:val="none" w:sz="0" w:space="0" w:color="auto"/>
                        <w:bottom w:val="none" w:sz="0" w:space="0" w:color="auto"/>
                        <w:right w:val="none" w:sz="0" w:space="0" w:color="auto"/>
                      </w:divBdr>
                      <w:divsChild>
                        <w:div w:id="1103458256">
                          <w:marLeft w:val="0"/>
                          <w:marRight w:val="0"/>
                          <w:marTop w:val="0"/>
                          <w:marBottom w:val="0"/>
                          <w:divBdr>
                            <w:top w:val="none" w:sz="0" w:space="0" w:color="auto"/>
                            <w:left w:val="none" w:sz="0" w:space="0" w:color="auto"/>
                            <w:bottom w:val="none" w:sz="0" w:space="0" w:color="auto"/>
                            <w:right w:val="none" w:sz="0" w:space="0" w:color="auto"/>
                          </w:divBdr>
                          <w:divsChild>
                            <w:div w:id="573664369">
                              <w:marLeft w:val="0"/>
                              <w:marRight w:val="0"/>
                              <w:marTop w:val="0"/>
                              <w:marBottom w:val="0"/>
                              <w:divBdr>
                                <w:top w:val="none" w:sz="0" w:space="0" w:color="auto"/>
                                <w:left w:val="none" w:sz="0" w:space="0" w:color="auto"/>
                                <w:bottom w:val="none" w:sz="0" w:space="0" w:color="auto"/>
                                <w:right w:val="none" w:sz="0" w:space="0" w:color="auto"/>
                              </w:divBdr>
                              <w:divsChild>
                                <w:div w:id="1497844809">
                                  <w:marLeft w:val="0"/>
                                  <w:marRight w:val="0"/>
                                  <w:marTop w:val="0"/>
                                  <w:marBottom w:val="0"/>
                                  <w:divBdr>
                                    <w:top w:val="none" w:sz="0" w:space="0" w:color="auto"/>
                                    <w:left w:val="none" w:sz="0" w:space="0" w:color="auto"/>
                                    <w:bottom w:val="none" w:sz="0" w:space="0" w:color="auto"/>
                                    <w:right w:val="none" w:sz="0" w:space="0" w:color="auto"/>
                                  </w:divBdr>
                                  <w:divsChild>
                                    <w:div w:id="319576553">
                                      <w:marLeft w:val="0"/>
                                      <w:marRight w:val="0"/>
                                      <w:marTop w:val="0"/>
                                      <w:marBottom w:val="0"/>
                                      <w:divBdr>
                                        <w:top w:val="none" w:sz="0" w:space="0" w:color="auto"/>
                                        <w:left w:val="none" w:sz="0" w:space="0" w:color="auto"/>
                                        <w:bottom w:val="none" w:sz="0" w:space="0" w:color="auto"/>
                                        <w:right w:val="none" w:sz="0" w:space="0" w:color="auto"/>
                                      </w:divBdr>
                                      <w:divsChild>
                                        <w:div w:id="1998151277">
                                          <w:marLeft w:val="0"/>
                                          <w:marRight w:val="0"/>
                                          <w:marTop w:val="0"/>
                                          <w:marBottom w:val="0"/>
                                          <w:divBdr>
                                            <w:top w:val="none" w:sz="0" w:space="0" w:color="auto"/>
                                            <w:left w:val="none" w:sz="0" w:space="0" w:color="auto"/>
                                            <w:bottom w:val="none" w:sz="0" w:space="0" w:color="auto"/>
                                            <w:right w:val="none" w:sz="0" w:space="0" w:color="auto"/>
                                          </w:divBdr>
                                          <w:divsChild>
                                            <w:div w:id="4884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1009382">
          <w:marLeft w:val="0"/>
          <w:marRight w:val="0"/>
          <w:marTop w:val="0"/>
          <w:marBottom w:val="0"/>
          <w:divBdr>
            <w:top w:val="none" w:sz="0" w:space="0" w:color="auto"/>
            <w:left w:val="none" w:sz="0" w:space="0" w:color="auto"/>
            <w:bottom w:val="none" w:sz="0" w:space="0" w:color="auto"/>
            <w:right w:val="none" w:sz="0" w:space="0" w:color="auto"/>
          </w:divBdr>
          <w:divsChild>
            <w:div w:id="185752197">
              <w:marLeft w:val="0"/>
              <w:marRight w:val="0"/>
              <w:marTop w:val="0"/>
              <w:marBottom w:val="0"/>
              <w:divBdr>
                <w:top w:val="none" w:sz="0" w:space="0" w:color="auto"/>
                <w:left w:val="none" w:sz="0" w:space="0" w:color="auto"/>
                <w:bottom w:val="none" w:sz="0" w:space="0" w:color="auto"/>
                <w:right w:val="none" w:sz="0" w:space="0" w:color="auto"/>
              </w:divBdr>
              <w:divsChild>
                <w:div w:id="1494176417">
                  <w:marLeft w:val="0"/>
                  <w:marRight w:val="0"/>
                  <w:marTop w:val="0"/>
                  <w:marBottom w:val="0"/>
                  <w:divBdr>
                    <w:top w:val="none" w:sz="0" w:space="0" w:color="auto"/>
                    <w:left w:val="none" w:sz="0" w:space="0" w:color="auto"/>
                    <w:bottom w:val="none" w:sz="0" w:space="0" w:color="auto"/>
                    <w:right w:val="none" w:sz="0" w:space="0" w:color="auto"/>
                  </w:divBdr>
                  <w:divsChild>
                    <w:div w:id="938753174">
                      <w:marLeft w:val="0"/>
                      <w:marRight w:val="0"/>
                      <w:marTop w:val="0"/>
                      <w:marBottom w:val="0"/>
                      <w:divBdr>
                        <w:top w:val="none" w:sz="0" w:space="0" w:color="auto"/>
                        <w:left w:val="none" w:sz="0" w:space="0" w:color="auto"/>
                        <w:bottom w:val="none" w:sz="0" w:space="0" w:color="auto"/>
                        <w:right w:val="none" w:sz="0" w:space="0" w:color="auto"/>
                      </w:divBdr>
                      <w:divsChild>
                        <w:div w:id="1717856635">
                          <w:marLeft w:val="0"/>
                          <w:marRight w:val="0"/>
                          <w:marTop w:val="0"/>
                          <w:marBottom w:val="0"/>
                          <w:divBdr>
                            <w:top w:val="none" w:sz="0" w:space="0" w:color="auto"/>
                            <w:left w:val="none" w:sz="0" w:space="0" w:color="auto"/>
                            <w:bottom w:val="none" w:sz="0" w:space="0" w:color="auto"/>
                            <w:right w:val="none" w:sz="0" w:space="0" w:color="auto"/>
                          </w:divBdr>
                          <w:divsChild>
                            <w:div w:id="1015418874">
                              <w:marLeft w:val="0"/>
                              <w:marRight w:val="0"/>
                              <w:marTop w:val="0"/>
                              <w:marBottom w:val="0"/>
                              <w:divBdr>
                                <w:top w:val="none" w:sz="0" w:space="0" w:color="auto"/>
                                <w:left w:val="none" w:sz="0" w:space="0" w:color="auto"/>
                                <w:bottom w:val="none" w:sz="0" w:space="0" w:color="auto"/>
                                <w:right w:val="none" w:sz="0" w:space="0" w:color="auto"/>
                              </w:divBdr>
                              <w:divsChild>
                                <w:div w:id="2100641688">
                                  <w:marLeft w:val="0"/>
                                  <w:marRight w:val="0"/>
                                  <w:marTop w:val="0"/>
                                  <w:marBottom w:val="0"/>
                                  <w:divBdr>
                                    <w:top w:val="none" w:sz="0" w:space="0" w:color="auto"/>
                                    <w:left w:val="none" w:sz="0" w:space="0" w:color="auto"/>
                                    <w:bottom w:val="none" w:sz="0" w:space="0" w:color="auto"/>
                                    <w:right w:val="none" w:sz="0" w:space="0" w:color="auto"/>
                                  </w:divBdr>
                                  <w:divsChild>
                                    <w:div w:id="1579484854">
                                      <w:marLeft w:val="0"/>
                                      <w:marRight w:val="0"/>
                                      <w:marTop w:val="0"/>
                                      <w:marBottom w:val="0"/>
                                      <w:divBdr>
                                        <w:top w:val="none" w:sz="0" w:space="0" w:color="auto"/>
                                        <w:left w:val="none" w:sz="0" w:space="0" w:color="auto"/>
                                        <w:bottom w:val="none" w:sz="0" w:space="0" w:color="auto"/>
                                        <w:right w:val="none" w:sz="0" w:space="0" w:color="auto"/>
                                      </w:divBdr>
                                      <w:divsChild>
                                        <w:div w:id="516504152">
                                          <w:marLeft w:val="0"/>
                                          <w:marRight w:val="0"/>
                                          <w:marTop w:val="0"/>
                                          <w:marBottom w:val="0"/>
                                          <w:divBdr>
                                            <w:top w:val="none" w:sz="0" w:space="0" w:color="auto"/>
                                            <w:left w:val="none" w:sz="0" w:space="0" w:color="auto"/>
                                            <w:bottom w:val="none" w:sz="0" w:space="0" w:color="auto"/>
                                            <w:right w:val="none" w:sz="0" w:space="0" w:color="auto"/>
                                          </w:divBdr>
                                          <w:divsChild>
                                            <w:div w:id="1031105514">
                                              <w:marLeft w:val="0"/>
                                              <w:marRight w:val="0"/>
                                              <w:marTop w:val="0"/>
                                              <w:marBottom w:val="0"/>
                                              <w:divBdr>
                                                <w:top w:val="none" w:sz="0" w:space="0" w:color="auto"/>
                                                <w:left w:val="none" w:sz="0" w:space="0" w:color="auto"/>
                                                <w:bottom w:val="none" w:sz="0" w:space="0" w:color="auto"/>
                                                <w:right w:val="none" w:sz="0" w:space="0" w:color="auto"/>
                                              </w:divBdr>
                                              <w:divsChild>
                                                <w:div w:id="1072049941">
                                                  <w:marLeft w:val="0"/>
                                                  <w:marRight w:val="0"/>
                                                  <w:marTop w:val="0"/>
                                                  <w:marBottom w:val="0"/>
                                                  <w:divBdr>
                                                    <w:top w:val="none" w:sz="0" w:space="0" w:color="auto"/>
                                                    <w:left w:val="none" w:sz="0" w:space="0" w:color="auto"/>
                                                    <w:bottom w:val="none" w:sz="0" w:space="0" w:color="auto"/>
                                                    <w:right w:val="none" w:sz="0" w:space="0" w:color="auto"/>
                                                  </w:divBdr>
                                                  <w:divsChild>
                                                    <w:div w:id="11071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843559">
      <w:bodyDiv w:val="1"/>
      <w:marLeft w:val="0"/>
      <w:marRight w:val="0"/>
      <w:marTop w:val="0"/>
      <w:marBottom w:val="0"/>
      <w:divBdr>
        <w:top w:val="none" w:sz="0" w:space="0" w:color="auto"/>
        <w:left w:val="none" w:sz="0" w:space="0" w:color="auto"/>
        <w:bottom w:val="none" w:sz="0" w:space="0" w:color="auto"/>
        <w:right w:val="none" w:sz="0" w:space="0" w:color="auto"/>
      </w:divBdr>
    </w:div>
    <w:div w:id="370501585">
      <w:bodyDiv w:val="1"/>
      <w:marLeft w:val="0"/>
      <w:marRight w:val="0"/>
      <w:marTop w:val="0"/>
      <w:marBottom w:val="0"/>
      <w:divBdr>
        <w:top w:val="none" w:sz="0" w:space="0" w:color="auto"/>
        <w:left w:val="none" w:sz="0" w:space="0" w:color="auto"/>
        <w:bottom w:val="none" w:sz="0" w:space="0" w:color="auto"/>
        <w:right w:val="none" w:sz="0" w:space="0" w:color="auto"/>
      </w:divBdr>
    </w:div>
    <w:div w:id="430473005">
      <w:bodyDiv w:val="1"/>
      <w:marLeft w:val="0"/>
      <w:marRight w:val="0"/>
      <w:marTop w:val="0"/>
      <w:marBottom w:val="0"/>
      <w:divBdr>
        <w:top w:val="none" w:sz="0" w:space="0" w:color="auto"/>
        <w:left w:val="none" w:sz="0" w:space="0" w:color="auto"/>
        <w:bottom w:val="none" w:sz="0" w:space="0" w:color="auto"/>
        <w:right w:val="none" w:sz="0" w:space="0" w:color="auto"/>
      </w:divBdr>
      <w:divsChild>
        <w:div w:id="1154420190">
          <w:marLeft w:val="0"/>
          <w:marRight w:val="0"/>
          <w:marTop w:val="0"/>
          <w:marBottom w:val="0"/>
          <w:divBdr>
            <w:top w:val="none" w:sz="0" w:space="0" w:color="auto"/>
            <w:left w:val="none" w:sz="0" w:space="0" w:color="auto"/>
            <w:bottom w:val="none" w:sz="0" w:space="0" w:color="auto"/>
            <w:right w:val="none" w:sz="0" w:space="0" w:color="auto"/>
          </w:divBdr>
          <w:divsChild>
            <w:div w:id="1776512877">
              <w:marLeft w:val="0"/>
              <w:marRight w:val="0"/>
              <w:marTop w:val="0"/>
              <w:marBottom w:val="0"/>
              <w:divBdr>
                <w:top w:val="none" w:sz="0" w:space="0" w:color="auto"/>
                <w:left w:val="none" w:sz="0" w:space="0" w:color="auto"/>
                <w:bottom w:val="none" w:sz="0" w:space="0" w:color="auto"/>
                <w:right w:val="none" w:sz="0" w:space="0" w:color="auto"/>
              </w:divBdr>
              <w:divsChild>
                <w:div w:id="610090962">
                  <w:marLeft w:val="0"/>
                  <w:marRight w:val="0"/>
                  <w:marTop w:val="0"/>
                  <w:marBottom w:val="0"/>
                  <w:divBdr>
                    <w:top w:val="none" w:sz="0" w:space="0" w:color="auto"/>
                    <w:left w:val="none" w:sz="0" w:space="0" w:color="auto"/>
                    <w:bottom w:val="none" w:sz="0" w:space="0" w:color="auto"/>
                    <w:right w:val="none" w:sz="0" w:space="0" w:color="auto"/>
                  </w:divBdr>
                  <w:divsChild>
                    <w:div w:id="849874389">
                      <w:marLeft w:val="0"/>
                      <w:marRight w:val="0"/>
                      <w:marTop w:val="0"/>
                      <w:marBottom w:val="0"/>
                      <w:divBdr>
                        <w:top w:val="none" w:sz="0" w:space="0" w:color="auto"/>
                        <w:left w:val="none" w:sz="0" w:space="0" w:color="auto"/>
                        <w:bottom w:val="none" w:sz="0" w:space="0" w:color="auto"/>
                        <w:right w:val="none" w:sz="0" w:space="0" w:color="auto"/>
                      </w:divBdr>
                      <w:divsChild>
                        <w:div w:id="380593577">
                          <w:marLeft w:val="0"/>
                          <w:marRight w:val="0"/>
                          <w:marTop w:val="0"/>
                          <w:marBottom w:val="0"/>
                          <w:divBdr>
                            <w:top w:val="none" w:sz="0" w:space="0" w:color="auto"/>
                            <w:left w:val="none" w:sz="0" w:space="0" w:color="auto"/>
                            <w:bottom w:val="none" w:sz="0" w:space="0" w:color="auto"/>
                            <w:right w:val="none" w:sz="0" w:space="0" w:color="auto"/>
                          </w:divBdr>
                          <w:divsChild>
                            <w:div w:id="1152797989">
                              <w:marLeft w:val="0"/>
                              <w:marRight w:val="0"/>
                              <w:marTop w:val="0"/>
                              <w:marBottom w:val="0"/>
                              <w:divBdr>
                                <w:top w:val="none" w:sz="0" w:space="0" w:color="auto"/>
                                <w:left w:val="none" w:sz="0" w:space="0" w:color="auto"/>
                                <w:bottom w:val="none" w:sz="0" w:space="0" w:color="auto"/>
                                <w:right w:val="none" w:sz="0" w:space="0" w:color="auto"/>
                              </w:divBdr>
                              <w:divsChild>
                                <w:div w:id="62609092">
                                  <w:marLeft w:val="0"/>
                                  <w:marRight w:val="0"/>
                                  <w:marTop w:val="0"/>
                                  <w:marBottom w:val="0"/>
                                  <w:divBdr>
                                    <w:top w:val="none" w:sz="0" w:space="0" w:color="auto"/>
                                    <w:left w:val="none" w:sz="0" w:space="0" w:color="auto"/>
                                    <w:bottom w:val="none" w:sz="0" w:space="0" w:color="auto"/>
                                    <w:right w:val="none" w:sz="0" w:space="0" w:color="auto"/>
                                  </w:divBdr>
                                  <w:divsChild>
                                    <w:div w:id="169214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4259904">
      <w:bodyDiv w:val="1"/>
      <w:marLeft w:val="0"/>
      <w:marRight w:val="0"/>
      <w:marTop w:val="0"/>
      <w:marBottom w:val="0"/>
      <w:divBdr>
        <w:top w:val="none" w:sz="0" w:space="0" w:color="auto"/>
        <w:left w:val="none" w:sz="0" w:space="0" w:color="auto"/>
        <w:bottom w:val="none" w:sz="0" w:space="0" w:color="auto"/>
        <w:right w:val="none" w:sz="0" w:space="0" w:color="auto"/>
      </w:divBdr>
    </w:div>
    <w:div w:id="709964590">
      <w:bodyDiv w:val="1"/>
      <w:marLeft w:val="0"/>
      <w:marRight w:val="0"/>
      <w:marTop w:val="0"/>
      <w:marBottom w:val="0"/>
      <w:divBdr>
        <w:top w:val="none" w:sz="0" w:space="0" w:color="auto"/>
        <w:left w:val="none" w:sz="0" w:space="0" w:color="auto"/>
        <w:bottom w:val="none" w:sz="0" w:space="0" w:color="auto"/>
        <w:right w:val="none" w:sz="0" w:space="0" w:color="auto"/>
      </w:divBdr>
    </w:div>
    <w:div w:id="816266870">
      <w:bodyDiv w:val="1"/>
      <w:marLeft w:val="0"/>
      <w:marRight w:val="0"/>
      <w:marTop w:val="0"/>
      <w:marBottom w:val="0"/>
      <w:divBdr>
        <w:top w:val="none" w:sz="0" w:space="0" w:color="auto"/>
        <w:left w:val="none" w:sz="0" w:space="0" w:color="auto"/>
        <w:bottom w:val="none" w:sz="0" w:space="0" w:color="auto"/>
        <w:right w:val="none" w:sz="0" w:space="0" w:color="auto"/>
      </w:divBdr>
    </w:div>
    <w:div w:id="1027491170">
      <w:bodyDiv w:val="1"/>
      <w:marLeft w:val="0"/>
      <w:marRight w:val="0"/>
      <w:marTop w:val="0"/>
      <w:marBottom w:val="0"/>
      <w:divBdr>
        <w:top w:val="none" w:sz="0" w:space="0" w:color="auto"/>
        <w:left w:val="none" w:sz="0" w:space="0" w:color="auto"/>
        <w:bottom w:val="none" w:sz="0" w:space="0" w:color="auto"/>
        <w:right w:val="none" w:sz="0" w:space="0" w:color="auto"/>
      </w:divBdr>
    </w:div>
    <w:div w:id="1214463049">
      <w:bodyDiv w:val="1"/>
      <w:marLeft w:val="0"/>
      <w:marRight w:val="0"/>
      <w:marTop w:val="0"/>
      <w:marBottom w:val="0"/>
      <w:divBdr>
        <w:top w:val="none" w:sz="0" w:space="0" w:color="auto"/>
        <w:left w:val="none" w:sz="0" w:space="0" w:color="auto"/>
        <w:bottom w:val="none" w:sz="0" w:space="0" w:color="auto"/>
        <w:right w:val="none" w:sz="0" w:space="0" w:color="auto"/>
      </w:divBdr>
    </w:div>
    <w:div w:id="1674070711">
      <w:bodyDiv w:val="1"/>
      <w:marLeft w:val="0"/>
      <w:marRight w:val="0"/>
      <w:marTop w:val="0"/>
      <w:marBottom w:val="0"/>
      <w:divBdr>
        <w:top w:val="none" w:sz="0" w:space="0" w:color="auto"/>
        <w:left w:val="none" w:sz="0" w:space="0" w:color="auto"/>
        <w:bottom w:val="none" w:sz="0" w:space="0" w:color="auto"/>
        <w:right w:val="none" w:sz="0" w:space="0" w:color="auto"/>
      </w:divBdr>
    </w:div>
    <w:div w:id="1737976680">
      <w:bodyDiv w:val="1"/>
      <w:marLeft w:val="0"/>
      <w:marRight w:val="0"/>
      <w:marTop w:val="0"/>
      <w:marBottom w:val="0"/>
      <w:divBdr>
        <w:top w:val="none" w:sz="0" w:space="0" w:color="auto"/>
        <w:left w:val="none" w:sz="0" w:space="0" w:color="auto"/>
        <w:bottom w:val="none" w:sz="0" w:space="0" w:color="auto"/>
        <w:right w:val="none" w:sz="0" w:space="0" w:color="auto"/>
      </w:divBdr>
    </w:div>
    <w:div w:id="1885293342">
      <w:bodyDiv w:val="1"/>
      <w:marLeft w:val="0"/>
      <w:marRight w:val="0"/>
      <w:marTop w:val="0"/>
      <w:marBottom w:val="0"/>
      <w:divBdr>
        <w:top w:val="none" w:sz="0" w:space="0" w:color="auto"/>
        <w:left w:val="none" w:sz="0" w:space="0" w:color="auto"/>
        <w:bottom w:val="none" w:sz="0" w:space="0" w:color="auto"/>
        <w:right w:val="none" w:sz="0" w:space="0" w:color="auto"/>
      </w:divBdr>
    </w:div>
    <w:div w:id="1920089533">
      <w:bodyDiv w:val="1"/>
      <w:marLeft w:val="0"/>
      <w:marRight w:val="0"/>
      <w:marTop w:val="0"/>
      <w:marBottom w:val="0"/>
      <w:divBdr>
        <w:top w:val="none" w:sz="0" w:space="0" w:color="auto"/>
        <w:left w:val="none" w:sz="0" w:space="0" w:color="auto"/>
        <w:bottom w:val="none" w:sz="0" w:space="0" w:color="auto"/>
        <w:right w:val="none" w:sz="0" w:space="0" w:color="auto"/>
      </w:divBdr>
      <w:divsChild>
        <w:div w:id="901991138">
          <w:marLeft w:val="0"/>
          <w:marRight w:val="0"/>
          <w:marTop w:val="0"/>
          <w:marBottom w:val="0"/>
          <w:divBdr>
            <w:top w:val="none" w:sz="0" w:space="0" w:color="auto"/>
            <w:left w:val="none" w:sz="0" w:space="0" w:color="auto"/>
            <w:bottom w:val="none" w:sz="0" w:space="0" w:color="auto"/>
            <w:right w:val="none" w:sz="0" w:space="0" w:color="auto"/>
          </w:divBdr>
          <w:divsChild>
            <w:div w:id="127944857">
              <w:marLeft w:val="0"/>
              <w:marRight w:val="0"/>
              <w:marTop w:val="0"/>
              <w:marBottom w:val="0"/>
              <w:divBdr>
                <w:top w:val="none" w:sz="0" w:space="0" w:color="auto"/>
                <w:left w:val="none" w:sz="0" w:space="0" w:color="auto"/>
                <w:bottom w:val="none" w:sz="0" w:space="0" w:color="auto"/>
                <w:right w:val="none" w:sz="0" w:space="0" w:color="auto"/>
              </w:divBdr>
              <w:divsChild>
                <w:div w:id="2039310467">
                  <w:marLeft w:val="0"/>
                  <w:marRight w:val="0"/>
                  <w:marTop w:val="0"/>
                  <w:marBottom w:val="0"/>
                  <w:divBdr>
                    <w:top w:val="none" w:sz="0" w:space="0" w:color="auto"/>
                    <w:left w:val="none" w:sz="0" w:space="0" w:color="auto"/>
                    <w:bottom w:val="none" w:sz="0" w:space="0" w:color="auto"/>
                    <w:right w:val="none" w:sz="0" w:space="0" w:color="auto"/>
                  </w:divBdr>
                  <w:divsChild>
                    <w:div w:id="2033721800">
                      <w:marLeft w:val="0"/>
                      <w:marRight w:val="0"/>
                      <w:marTop w:val="0"/>
                      <w:marBottom w:val="0"/>
                      <w:divBdr>
                        <w:top w:val="none" w:sz="0" w:space="0" w:color="auto"/>
                        <w:left w:val="none" w:sz="0" w:space="0" w:color="auto"/>
                        <w:bottom w:val="none" w:sz="0" w:space="0" w:color="auto"/>
                        <w:right w:val="none" w:sz="0" w:space="0" w:color="auto"/>
                      </w:divBdr>
                      <w:divsChild>
                        <w:div w:id="808673183">
                          <w:marLeft w:val="0"/>
                          <w:marRight w:val="0"/>
                          <w:marTop w:val="0"/>
                          <w:marBottom w:val="0"/>
                          <w:divBdr>
                            <w:top w:val="none" w:sz="0" w:space="0" w:color="auto"/>
                            <w:left w:val="none" w:sz="0" w:space="0" w:color="auto"/>
                            <w:bottom w:val="none" w:sz="0" w:space="0" w:color="auto"/>
                            <w:right w:val="none" w:sz="0" w:space="0" w:color="auto"/>
                          </w:divBdr>
                          <w:divsChild>
                            <w:div w:id="925040818">
                              <w:marLeft w:val="0"/>
                              <w:marRight w:val="0"/>
                              <w:marTop w:val="0"/>
                              <w:marBottom w:val="0"/>
                              <w:divBdr>
                                <w:top w:val="none" w:sz="0" w:space="0" w:color="auto"/>
                                <w:left w:val="none" w:sz="0" w:space="0" w:color="auto"/>
                                <w:bottom w:val="none" w:sz="0" w:space="0" w:color="auto"/>
                                <w:right w:val="none" w:sz="0" w:space="0" w:color="auto"/>
                              </w:divBdr>
                              <w:divsChild>
                                <w:div w:id="1334989287">
                                  <w:marLeft w:val="0"/>
                                  <w:marRight w:val="0"/>
                                  <w:marTop w:val="0"/>
                                  <w:marBottom w:val="0"/>
                                  <w:divBdr>
                                    <w:top w:val="none" w:sz="0" w:space="0" w:color="auto"/>
                                    <w:left w:val="none" w:sz="0" w:space="0" w:color="auto"/>
                                    <w:bottom w:val="none" w:sz="0" w:space="0" w:color="auto"/>
                                    <w:right w:val="none" w:sz="0" w:space="0" w:color="auto"/>
                                  </w:divBdr>
                                  <w:divsChild>
                                    <w:div w:id="256596223">
                                      <w:marLeft w:val="0"/>
                                      <w:marRight w:val="0"/>
                                      <w:marTop w:val="0"/>
                                      <w:marBottom w:val="0"/>
                                      <w:divBdr>
                                        <w:top w:val="none" w:sz="0" w:space="0" w:color="auto"/>
                                        <w:left w:val="none" w:sz="0" w:space="0" w:color="auto"/>
                                        <w:bottom w:val="none" w:sz="0" w:space="0" w:color="auto"/>
                                        <w:right w:val="none" w:sz="0" w:space="0" w:color="auto"/>
                                      </w:divBdr>
                                      <w:divsChild>
                                        <w:div w:id="1976910786">
                                          <w:marLeft w:val="0"/>
                                          <w:marRight w:val="0"/>
                                          <w:marTop w:val="0"/>
                                          <w:marBottom w:val="0"/>
                                          <w:divBdr>
                                            <w:top w:val="none" w:sz="0" w:space="0" w:color="auto"/>
                                            <w:left w:val="none" w:sz="0" w:space="0" w:color="auto"/>
                                            <w:bottom w:val="none" w:sz="0" w:space="0" w:color="auto"/>
                                            <w:right w:val="none" w:sz="0" w:space="0" w:color="auto"/>
                                          </w:divBdr>
                                          <w:divsChild>
                                            <w:div w:id="101188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5500401">
          <w:marLeft w:val="0"/>
          <w:marRight w:val="0"/>
          <w:marTop w:val="0"/>
          <w:marBottom w:val="0"/>
          <w:divBdr>
            <w:top w:val="none" w:sz="0" w:space="0" w:color="auto"/>
            <w:left w:val="none" w:sz="0" w:space="0" w:color="auto"/>
            <w:bottom w:val="none" w:sz="0" w:space="0" w:color="auto"/>
            <w:right w:val="none" w:sz="0" w:space="0" w:color="auto"/>
          </w:divBdr>
          <w:divsChild>
            <w:div w:id="1570918653">
              <w:marLeft w:val="0"/>
              <w:marRight w:val="0"/>
              <w:marTop w:val="0"/>
              <w:marBottom w:val="0"/>
              <w:divBdr>
                <w:top w:val="none" w:sz="0" w:space="0" w:color="auto"/>
                <w:left w:val="none" w:sz="0" w:space="0" w:color="auto"/>
                <w:bottom w:val="none" w:sz="0" w:space="0" w:color="auto"/>
                <w:right w:val="none" w:sz="0" w:space="0" w:color="auto"/>
              </w:divBdr>
              <w:divsChild>
                <w:div w:id="114100924">
                  <w:marLeft w:val="0"/>
                  <w:marRight w:val="0"/>
                  <w:marTop w:val="0"/>
                  <w:marBottom w:val="0"/>
                  <w:divBdr>
                    <w:top w:val="none" w:sz="0" w:space="0" w:color="auto"/>
                    <w:left w:val="none" w:sz="0" w:space="0" w:color="auto"/>
                    <w:bottom w:val="none" w:sz="0" w:space="0" w:color="auto"/>
                    <w:right w:val="none" w:sz="0" w:space="0" w:color="auto"/>
                  </w:divBdr>
                  <w:divsChild>
                    <w:div w:id="1721634830">
                      <w:marLeft w:val="0"/>
                      <w:marRight w:val="0"/>
                      <w:marTop w:val="0"/>
                      <w:marBottom w:val="0"/>
                      <w:divBdr>
                        <w:top w:val="none" w:sz="0" w:space="0" w:color="auto"/>
                        <w:left w:val="none" w:sz="0" w:space="0" w:color="auto"/>
                        <w:bottom w:val="none" w:sz="0" w:space="0" w:color="auto"/>
                        <w:right w:val="none" w:sz="0" w:space="0" w:color="auto"/>
                      </w:divBdr>
                      <w:divsChild>
                        <w:div w:id="836268326">
                          <w:marLeft w:val="0"/>
                          <w:marRight w:val="0"/>
                          <w:marTop w:val="0"/>
                          <w:marBottom w:val="0"/>
                          <w:divBdr>
                            <w:top w:val="none" w:sz="0" w:space="0" w:color="auto"/>
                            <w:left w:val="none" w:sz="0" w:space="0" w:color="auto"/>
                            <w:bottom w:val="none" w:sz="0" w:space="0" w:color="auto"/>
                            <w:right w:val="none" w:sz="0" w:space="0" w:color="auto"/>
                          </w:divBdr>
                          <w:divsChild>
                            <w:div w:id="922907527">
                              <w:marLeft w:val="0"/>
                              <w:marRight w:val="0"/>
                              <w:marTop w:val="0"/>
                              <w:marBottom w:val="0"/>
                              <w:divBdr>
                                <w:top w:val="none" w:sz="0" w:space="0" w:color="auto"/>
                                <w:left w:val="none" w:sz="0" w:space="0" w:color="auto"/>
                                <w:bottom w:val="none" w:sz="0" w:space="0" w:color="auto"/>
                                <w:right w:val="none" w:sz="0" w:space="0" w:color="auto"/>
                              </w:divBdr>
                              <w:divsChild>
                                <w:div w:id="1340690943">
                                  <w:marLeft w:val="0"/>
                                  <w:marRight w:val="0"/>
                                  <w:marTop w:val="0"/>
                                  <w:marBottom w:val="0"/>
                                  <w:divBdr>
                                    <w:top w:val="none" w:sz="0" w:space="0" w:color="auto"/>
                                    <w:left w:val="none" w:sz="0" w:space="0" w:color="auto"/>
                                    <w:bottom w:val="none" w:sz="0" w:space="0" w:color="auto"/>
                                    <w:right w:val="none" w:sz="0" w:space="0" w:color="auto"/>
                                  </w:divBdr>
                                  <w:divsChild>
                                    <w:div w:id="221216759">
                                      <w:marLeft w:val="0"/>
                                      <w:marRight w:val="0"/>
                                      <w:marTop w:val="0"/>
                                      <w:marBottom w:val="0"/>
                                      <w:divBdr>
                                        <w:top w:val="none" w:sz="0" w:space="0" w:color="auto"/>
                                        <w:left w:val="none" w:sz="0" w:space="0" w:color="auto"/>
                                        <w:bottom w:val="none" w:sz="0" w:space="0" w:color="auto"/>
                                        <w:right w:val="none" w:sz="0" w:space="0" w:color="auto"/>
                                      </w:divBdr>
                                      <w:divsChild>
                                        <w:div w:id="2128230621">
                                          <w:marLeft w:val="0"/>
                                          <w:marRight w:val="0"/>
                                          <w:marTop w:val="0"/>
                                          <w:marBottom w:val="0"/>
                                          <w:divBdr>
                                            <w:top w:val="none" w:sz="0" w:space="0" w:color="auto"/>
                                            <w:left w:val="none" w:sz="0" w:space="0" w:color="auto"/>
                                            <w:bottom w:val="none" w:sz="0" w:space="0" w:color="auto"/>
                                            <w:right w:val="none" w:sz="0" w:space="0" w:color="auto"/>
                                          </w:divBdr>
                                          <w:divsChild>
                                            <w:div w:id="133566371">
                                              <w:marLeft w:val="0"/>
                                              <w:marRight w:val="0"/>
                                              <w:marTop w:val="0"/>
                                              <w:marBottom w:val="0"/>
                                              <w:divBdr>
                                                <w:top w:val="none" w:sz="0" w:space="0" w:color="auto"/>
                                                <w:left w:val="none" w:sz="0" w:space="0" w:color="auto"/>
                                                <w:bottom w:val="none" w:sz="0" w:space="0" w:color="auto"/>
                                                <w:right w:val="none" w:sz="0" w:space="0" w:color="auto"/>
                                              </w:divBdr>
                                              <w:divsChild>
                                                <w:div w:id="879174518">
                                                  <w:marLeft w:val="0"/>
                                                  <w:marRight w:val="0"/>
                                                  <w:marTop w:val="0"/>
                                                  <w:marBottom w:val="0"/>
                                                  <w:divBdr>
                                                    <w:top w:val="none" w:sz="0" w:space="0" w:color="auto"/>
                                                    <w:left w:val="none" w:sz="0" w:space="0" w:color="auto"/>
                                                    <w:bottom w:val="none" w:sz="0" w:space="0" w:color="auto"/>
                                                    <w:right w:val="none" w:sz="0" w:space="0" w:color="auto"/>
                                                  </w:divBdr>
                                                  <w:divsChild>
                                                    <w:div w:id="133741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752088">
      <w:bodyDiv w:val="1"/>
      <w:marLeft w:val="0"/>
      <w:marRight w:val="0"/>
      <w:marTop w:val="0"/>
      <w:marBottom w:val="0"/>
      <w:divBdr>
        <w:top w:val="none" w:sz="0" w:space="0" w:color="auto"/>
        <w:left w:val="none" w:sz="0" w:space="0" w:color="auto"/>
        <w:bottom w:val="none" w:sz="0" w:space="0" w:color="auto"/>
        <w:right w:val="none" w:sz="0" w:space="0" w:color="auto"/>
      </w:divBdr>
    </w:div>
    <w:div w:id="1961180453">
      <w:bodyDiv w:val="1"/>
      <w:marLeft w:val="0"/>
      <w:marRight w:val="0"/>
      <w:marTop w:val="0"/>
      <w:marBottom w:val="0"/>
      <w:divBdr>
        <w:top w:val="none" w:sz="0" w:space="0" w:color="auto"/>
        <w:left w:val="none" w:sz="0" w:space="0" w:color="auto"/>
        <w:bottom w:val="none" w:sz="0" w:space="0" w:color="auto"/>
        <w:right w:val="none" w:sz="0" w:space="0" w:color="auto"/>
      </w:divBdr>
    </w:div>
    <w:div w:id="196897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chart" Target="charts/chart1.xm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s://www.indiastat.com?utm_source=chatgpt.com"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wmf"/><Relationship Id="rId56" Type="http://schemas.openxmlformats.org/officeDocument/2006/relationships/footer" Target="footer3.xml"/><Relationship Id="rId8" Type="http://schemas.openxmlformats.org/officeDocument/2006/relationships/hyperlink" Target="https://agmarknet.gov.in?utm_source=chatgpt.com"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20.bin"/><Relationship Id="rId57" Type="http://schemas.openxmlformats.org/officeDocument/2006/relationships/fontTable" Target="fontTable.xml"/><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Desktop\Thesis\cashewnut\Models\Best%20Model\actual_pred_ARIMA+SV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'[actual_pred_ARIMA+SVR.xlsx]Sheet1'!$C$1</c:f>
              <c:strCache>
                <c:ptCount val="1"/>
                <c:pt idx="0">
                  <c:v>actual</c:v>
                </c:pt>
              </c:strCache>
            </c:strRef>
          </c:tx>
          <c:spPr>
            <a:ln w="15875" cap="rnd">
              <a:solidFill>
                <a:srgbClr val="0070C0"/>
              </a:solidFill>
              <a:round/>
            </a:ln>
            <a:effectLst/>
          </c:spPr>
          <c:marker>
            <c:symbol val="none"/>
          </c:marker>
          <c:cat>
            <c:multiLvlStrRef>
              <c:f>'[actual_pred_ARIMA+SVR.xlsx]Sheet1'!$A$2:$B$205</c:f>
              <c:multiLvlStrCache>
                <c:ptCount val="204"/>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pt idx="36">
                    <c:v>January</c:v>
                  </c:pt>
                  <c:pt idx="37">
                    <c:v>February</c:v>
                  </c:pt>
                  <c:pt idx="38">
                    <c:v>March</c:v>
                  </c:pt>
                  <c:pt idx="39">
                    <c:v>April</c:v>
                  </c:pt>
                  <c:pt idx="40">
                    <c:v>May</c:v>
                  </c:pt>
                  <c:pt idx="41">
                    <c:v>June</c:v>
                  </c:pt>
                  <c:pt idx="42">
                    <c:v>July</c:v>
                  </c:pt>
                  <c:pt idx="43">
                    <c:v>August</c:v>
                  </c:pt>
                  <c:pt idx="44">
                    <c:v>September</c:v>
                  </c:pt>
                  <c:pt idx="45">
                    <c:v>October</c:v>
                  </c:pt>
                  <c:pt idx="46">
                    <c:v>November</c:v>
                  </c:pt>
                  <c:pt idx="47">
                    <c:v>December</c:v>
                  </c:pt>
                  <c:pt idx="48">
                    <c:v>January</c:v>
                  </c:pt>
                  <c:pt idx="49">
                    <c:v>February</c:v>
                  </c:pt>
                  <c:pt idx="50">
                    <c:v>March</c:v>
                  </c:pt>
                  <c:pt idx="51">
                    <c:v>April</c:v>
                  </c:pt>
                  <c:pt idx="52">
                    <c:v>May</c:v>
                  </c:pt>
                  <c:pt idx="53">
                    <c:v>June</c:v>
                  </c:pt>
                  <c:pt idx="54">
                    <c:v>July</c:v>
                  </c:pt>
                  <c:pt idx="55">
                    <c:v>August</c:v>
                  </c:pt>
                  <c:pt idx="56">
                    <c:v>September</c:v>
                  </c:pt>
                  <c:pt idx="57">
                    <c:v>October</c:v>
                  </c:pt>
                  <c:pt idx="58">
                    <c:v>November</c:v>
                  </c:pt>
                  <c:pt idx="59">
                    <c:v>December</c:v>
                  </c:pt>
                  <c:pt idx="60">
                    <c:v>January</c:v>
                  </c:pt>
                  <c:pt idx="61">
                    <c:v>February</c:v>
                  </c:pt>
                  <c:pt idx="62">
                    <c:v>March</c:v>
                  </c:pt>
                  <c:pt idx="63">
                    <c:v>April</c:v>
                  </c:pt>
                  <c:pt idx="64">
                    <c:v>May</c:v>
                  </c:pt>
                  <c:pt idx="65">
                    <c:v>June</c:v>
                  </c:pt>
                  <c:pt idx="66">
                    <c:v>July</c:v>
                  </c:pt>
                  <c:pt idx="67">
                    <c:v>August</c:v>
                  </c:pt>
                  <c:pt idx="68">
                    <c:v>September</c:v>
                  </c:pt>
                  <c:pt idx="69">
                    <c:v>October</c:v>
                  </c:pt>
                  <c:pt idx="70">
                    <c:v>November</c:v>
                  </c:pt>
                  <c:pt idx="71">
                    <c:v>December</c:v>
                  </c:pt>
                  <c:pt idx="72">
                    <c:v>January</c:v>
                  </c:pt>
                  <c:pt idx="73">
                    <c:v>February</c:v>
                  </c:pt>
                  <c:pt idx="74">
                    <c:v>March</c:v>
                  </c:pt>
                  <c:pt idx="75">
                    <c:v>April</c:v>
                  </c:pt>
                  <c:pt idx="76">
                    <c:v>May</c:v>
                  </c:pt>
                  <c:pt idx="77">
                    <c:v>June</c:v>
                  </c:pt>
                  <c:pt idx="78">
                    <c:v>July</c:v>
                  </c:pt>
                  <c:pt idx="79">
                    <c:v>August</c:v>
                  </c:pt>
                  <c:pt idx="80">
                    <c:v>September</c:v>
                  </c:pt>
                  <c:pt idx="81">
                    <c:v>October</c:v>
                  </c:pt>
                  <c:pt idx="82">
                    <c:v>November</c:v>
                  </c:pt>
                  <c:pt idx="83">
                    <c:v>December</c:v>
                  </c:pt>
                  <c:pt idx="84">
                    <c:v>January</c:v>
                  </c:pt>
                  <c:pt idx="85">
                    <c:v>February</c:v>
                  </c:pt>
                  <c:pt idx="86">
                    <c:v>March</c:v>
                  </c:pt>
                  <c:pt idx="87">
                    <c:v>April</c:v>
                  </c:pt>
                  <c:pt idx="88">
                    <c:v>May</c:v>
                  </c:pt>
                  <c:pt idx="89">
                    <c:v>June</c:v>
                  </c:pt>
                  <c:pt idx="90">
                    <c:v>July</c:v>
                  </c:pt>
                  <c:pt idx="91">
                    <c:v>August</c:v>
                  </c:pt>
                  <c:pt idx="92">
                    <c:v>September</c:v>
                  </c:pt>
                  <c:pt idx="93">
                    <c:v>October</c:v>
                  </c:pt>
                  <c:pt idx="94">
                    <c:v>November</c:v>
                  </c:pt>
                  <c:pt idx="95">
                    <c:v>December</c:v>
                  </c:pt>
                  <c:pt idx="96">
                    <c:v>January</c:v>
                  </c:pt>
                  <c:pt idx="97">
                    <c:v>February</c:v>
                  </c:pt>
                  <c:pt idx="98">
                    <c:v>March</c:v>
                  </c:pt>
                  <c:pt idx="99">
                    <c:v>April</c:v>
                  </c:pt>
                  <c:pt idx="100">
                    <c:v>May</c:v>
                  </c:pt>
                  <c:pt idx="101">
                    <c:v>June</c:v>
                  </c:pt>
                  <c:pt idx="102">
                    <c:v>July</c:v>
                  </c:pt>
                  <c:pt idx="103">
                    <c:v>August</c:v>
                  </c:pt>
                  <c:pt idx="104">
                    <c:v>September</c:v>
                  </c:pt>
                  <c:pt idx="105">
                    <c:v>October</c:v>
                  </c:pt>
                  <c:pt idx="106">
                    <c:v>November</c:v>
                  </c:pt>
                  <c:pt idx="107">
                    <c:v>December</c:v>
                  </c:pt>
                  <c:pt idx="108">
                    <c:v>January</c:v>
                  </c:pt>
                  <c:pt idx="109">
                    <c:v>February</c:v>
                  </c:pt>
                  <c:pt idx="110">
                    <c:v>March</c:v>
                  </c:pt>
                  <c:pt idx="111">
                    <c:v>April</c:v>
                  </c:pt>
                  <c:pt idx="112">
                    <c:v>May</c:v>
                  </c:pt>
                  <c:pt idx="113">
                    <c:v>June</c:v>
                  </c:pt>
                  <c:pt idx="114">
                    <c:v>July</c:v>
                  </c:pt>
                  <c:pt idx="115">
                    <c:v>August</c:v>
                  </c:pt>
                  <c:pt idx="116">
                    <c:v>September</c:v>
                  </c:pt>
                  <c:pt idx="117">
                    <c:v>October</c:v>
                  </c:pt>
                  <c:pt idx="118">
                    <c:v>November</c:v>
                  </c:pt>
                  <c:pt idx="119">
                    <c:v>December</c:v>
                  </c:pt>
                  <c:pt idx="120">
                    <c:v>January</c:v>
                  </c:pt>
                  <c:pt idx="121">
                    <c:v>February</c:v>
                  </c:pt>
                  <c:pt idx="122">
                    <c:v>March</c:v>
                  </c:pt>
                  <c:pt idx="123">
                    <c:v>April</c:v>
                  </c:pt>
                  <c:pt idx="124">
                    <c:v>May</c:v>
                  </c:pt>
                  <c:pt idx="125">
                    <c:v>June</c:v>
                  </c:pt>
                  <c:pt idx="126">
                    <c:v>July</c:v>
                  </c:pt>
                  <c:pt idx="127">
                    <c:v>August</c:v>
                  </c:pt>
                  <c:pt idx="128">
                    <c:v>September</c:v>
                  </c:pt>
                  <c:pt idx="129">
                    <c:v>October</c:v>
                  </c:pt>
                  <c:pt idx="130">
                    <c:v>November</c:v>
                  </c:pt>
                  <c:pt idx="131">
                    <c:v>December</c:v>
                  </c:pt>
                  <c:pt idx="132">
                    <c:v>January</c:v>
                  </c:pt>
                  <c:pt idx="133">
                    <c:v>February</c:v>
                  </c:pt>
                  <c:pt idx="134">
                    <c:v>March</c:v>
                  </c:pt>
                  <c:pt idx="135">
                    <c:v>April</c:v>
                  </c:pt>
                  <c:pt idx="136">
                    <c:v>May</c:v>
                  </c:pt>
                  <c:pt idx="137">
                    <c:v>June</c:v>
                  </c:pt>
                  <c:pt idx="138">
                    <c:v>July</c:v>
                  </c:pt>
                  <c:pt idx="139">
                    <c:v>August</c:v>
                  </c:pt>
                  <c:pt idx="140">
                    <c:v>September</c:v>
                  </c:pt>
                  <c:pt idx="141">
                    <c:v>October</c:v>
                  </c:pt>
                  <c:pt idx="142">
                    <c:v>November</c:v>
                  </c:pt>
                  <c:pt idx="143">
                    <c:v>December</c:v>
                  </c:pt>
                  <c:pt idx="144">
                    <c:v>January</c:v>
                  </c:pt>
                  <c:pt idx="145">
                    <c:v>February</c:v>
                  </c:pt>
                  <c:pt idx="146">
                    <c:v>March</c:v>
                  </c:pt>
                  <c:pt idx="147">
                    <c:v>April</c:v>
                  </c:pt>
                  <c:pt idx="148">
                    <c:v>May</c:v>
                  </c:pt>
                  <c:pt idx="149">
                    <c:v>June</c:v>
                  </c:pt>
                  <c:pt idx="150">
                    <c:v>July</c:v>
                  </c:pt>
                  <c:pt idx="151">
                    <c:v>August</c:v>
                  </c:pt>
                  <c:pt idx="152">
                    <c:v>September</c:v>
                  </c:pt>
                  <c:pt idx="153">
                    <c:v>October</c:v>
                  </c:pt>
                  <c:pt idx="154">
                    <c:v>November</c:v>
                  </c:pt>
                  <c:pt idx="155">
                    <c:v>December</c:v>
                  </c:pt>
                  <c:pt idx="156">
                    <c:v>January</c:v>
                  </c:pt>
                  <c:pt idx="157">
                    <c:v>February</c:v>
                  </c:pt>
                  <c:pt idx="158">
                    <c:v>March</c:v>
                  </c:pt>
                  <c:pt idx="159">
                    <c:v>April</c:v>
                  </c:pt>
                  <c:pt idx="160">
                    <c:v>May</c:v>
                  </c:pt>
                  <c:pt idx="161">
                    <c:v>June</c:v>
                  </c:pt>
                  <c:pt idx="162">
                    <c:v>July</c:v>
                  </c:pt>
                  <c:pt idx="163">
                    <c:v>August</c:v>
                  </c:pt>
                  <c:pt idx="164">
                    <c:v>September</c:v>
                  </c:pt>
                  <c:pt idx="165">
                    <c:v>October</c:v>
                  </c:pt>
                  <c:pt idx="166">
                    <c:v>November</c:v>
                  </c:pt>
                  <c:pt idx="167">
                    <c:v>December</c:v>
                  </c:pt>
                  <c:pt idx="168">
                    <c:v>January</c:v>
                  </c:pt>
                  <c:pt idx="169">
                    <c:v>February</c:v>
                  </c:pt>
                  <c:pt idx="170">
                    <c:v>March</c:v>
                  </c:pt>
                  <c:pt idx="171">
                    <c:v>April</c:v>
                  </c:pt>
                  <c:pt idx="172">
                    <c:v>May</c:v>
                  </c:pt>
                  <c:pt idx="173">
                    <c:v>June</c:v>
                  </c:pt>
                  <c:pt idx="174">
                    <c:v>July</c:v>
                  </c:pt>
                  <c:pt idx="175">
                    <c:v>August</c:v>
                  </c:pt>
                  <c:pt idx="176">
                    <c:v>September</c:v>
                  </c:pt>
                  <c:pt idx="177">
                    <c:v>October</c:v>
                  </c:pt>
                  <c:pt idx="178">
                    <c:v>November</c:v>
                  </c:pt>
                  <c:pt idx="179">
                    <c:v>December</c:v>
                  </c:pt>
                  <c:pt idx="180">
                    <c:v>January</c:v>
                  </c:pt>
                  <c:pt idx="181">
                    <c:v>February</c:v>
                  </c:pt>
                  <c:pt idx="182">
                    <c:v>March</c:v>
                  </c:pt>
                  <c:pt idx="183">
                    <c:v>April</c:v>
                  </c:pt>
                  <c:pt idx="184">
                    <c:v>May</c:v>
                  </c:pt>
                  <c:pt idx="185">
                    <c:v>June</c:v>
                  </c:pt>
                  <c:pt idx="186">
                    <c:v>July</c:v>
                  </c:pt>
                  <c:pt idx="187">
                    <c:v>August</c:v>
                  </c:pt>
                  <c:pt idx="188">
                    <c:v>September</c:v>
                  </c:pt>
                  <c:pt idx="189">
                    <c:v>October</c:v>
                  </c:pt>
                  <c:pt idx="190">
                    <c:v>November</c:v>
                  </c:pt>
                  <c:pt idx="191">
                    <c:v>December</c:v>
                  </c:pt>
                  <c:pt idx="192">
                    <c:v>January</c:v>
                  </c:pt>
                  <c:pt idx="193">
                    <c:v>February</c:v>
                  </c:pt>
                  <c:pt idx="194">
                    <c:v>March</c:v>
                  </c:pt>
                  <c:pt idx="195">
                    <c:v>April</c:v>
                  </c:pt>
                  <c:pt idx="196">
                    <c:v>May</c:v>
                  </c:pt>
                  <c:pt idx="197">
                    <c:v>June</c:v>
                  </c:pt>
                  <c:pt idx="198">
                    <c:v>July</c:v>
                  </c:pt>
                  <c:pt idx="199">
                    <c:v>August</c:v>
                  </c:pt>
                  <c:pt idx="200">
                    <c:v>September</c:v>
                  </c:pt>
                  <c:pt idx="201">
                    <c:v>October</c:v>
                  </c:pt>
                  <c:pt idx="202">
                    <c:v>November</c:v>
                  </c:pt>
                  <c:pt idx="203">
                    <c:v>December</c:v>
                  </c:pt>
                </c:lvl>
                <c:lvl>
                  <c:pt idx="0">
                    <c:v>2010</c:v>
                  </c:pt>
                  <c:pt idx="12">
                    <c:v>2011</c:v>
                  </c:pt>
                  <c:pt idx="24">
                    <c:v>2012</c:v>
                  </c:pt>
                  <c:pt idx="36">
                    <c:v>2013</c:v>
                  </c:pt>
                  <c:pt idx="48">
                    <c:v>2014</c:v>
                  </c:pt>
                  <c:pt idx="60">
                    <c:v>2015</c:v>
                  </c:pt>
                  <c:pt idx="72">
                    <c:v>2016</c:v>
                  </c:pt>
                  <c:pt idx="84">
                    <c:v>2017</c:v>
                  </c:pt>
                  <c:pt idx="96">
                    <c:v>2018</c:v>
                  </c:pt>
                  <c:pt idx="108">
                    <c:v>2019</c:v>
                  </c:pt>
                  <c:pt idx="120">
                    <c:v>2020</c:v>
                  </c:pt>
                  <c:pt idx="132">
                    <c:v>2021</c:v>
                  </c:pt>
                  <c:pt idx="144">
                    <c:v>2022</c:v>
                  </c:pt>
                  <c:pt idx="156">
                    <c:v>2023</c:v>
                  </c:pt>
                  <c:pt idx="168">
                    <c:v>2024</c:v>
                  </c:pt>
                  <c:pt idx="180">
                    <c:v>2025</c:v>
                  </c:pt>
                  <c:pt idx="192">
                    <c:v>2026</c:v>
                  </c:pt>
                </c:lvl>
              </c:multiLvlStrCache>
            </c:multiLvlStrRef>
          </c:cat>
          <c:val>
            <c:numRef>
              <c:f>'[actual_pred_ARIMA+SVR.xlsx]Sheet1'!$C$2:$C$205</c:f>
              <c:numCache>
                <c:formatCode>0</c:formatCode>
                <c:ptCount val="204"/>
                <c:pt idx="0">
                  <c:v>10810.46</c:v>
                </c:pt>
                <c:pt idx="1">
                  <c:v>10949.77</c:v>
                </c:pt>
                <c:pt idx="2">
                  <c:v>10312.5</c:v>
                </c:pt>
                <c:pt idx="3">
                  <c:v>9199.24</c:v>
                </c:pt>
                <c:pt idx="4">
                  <c:v>9565.9699999999993</c:v>
                </c:pt>
                <c:pt idx="5">
                  <c:v>9498.26</c:v>
                </c:pt>
                <c:pt idx="6">
                  <c:v>8834.82</c:v>
                </c:pt>
                <c:pt idx="7">
                  <c:v>9697.35</c:v>
                </c:pt>
                <c:pt idx="8">
                  <c:v>11384.33</c:v>
                </c:pt>
                <c:pt idx="9">
                  <c:v>11269.68</c:v>
                </c:pt>
                <c:pt idx="10">
                  <c:v>12024.44</c:v>
                </c:pt>
                <c:pt idx="11">
                  <c:v>9254.5300000000007</c:v>
                </c:pt>
                <c:pt idx="12">
                  <c:v>12196.2</c:v>
                </c:pt>
                <c:pt idx="13">
                  <c:v>12178.43</c:v>
                </c:pt>
                <c:pt idx="14">
                  <c:v>12215.33</c:v>
                </c:pt>
                <c:pt idx="15">
                  <c:v>12216.73</c:v>
                </c:pt>
                <c:pt idx="16">
                  <c:v>11308.28</c:v>
                </c:pt>
                <c:pt idx="17">
                  <c:v>11441.25</c:v>
                </c:pt>
                <c:pt idx="18">
                  <c:v>11221.92</c:v>
                </c:pt>
                <c:pt idx="19">
                  <c:v>11762.84</c:v>
                </c:pt>
                <c:pt idx="20">
                  <c:v>12475.45</c:v>
                </c:pt>
                <c:pt idx="21">
                  <c:v>12639.05</c:v>
                </c:pt>
                <c:pt idx="22">
                  <c:v>12446.41</c:v>
                </c:pt>
                <c:pt idx="23">
                  <c:v>12479.95</c:v>
                </c:pt>
                <c:pt idx="24">
                  <c:v>12573.2</c:v>
                </c:pt>
                <c:pt idx="25">
                  <c:v>12426.9</c:v>
                </c:pt>
                <c:pt idx="26">
                  <c:v>12154.36</c:v>
                </c:pt>
                <c:pt idx="27">
                  <c:v>10833.81</c:v>
                </c:pt>
                <c:pt idx="28">
                  <c:v>11609.89</c:v>
                </c:pt>
                <c:pt idx="29">
                  <c:v>12827.41</c:v>
                </c:pt>
                <c:pt idx="30">
                  <c:v>12862.1</c:v>
                </c:pt>
                <c:pt idx="31">
                  <c:v>13319.98</c:v>
                </c:pt>
                <c:pt idx="32">
                  <c:v>13620.19</c:v>
                </c:pt>
                <c:pt idx="33">
                  <c:v>13304.51</c:v>
                </c:pt>
                <c:pt idx="34">
                  <c:v>13327.08</c:v>
                </c:pt>
                <c:pt idx="35">
                  <c:v>13647.26</c:v>
                </c:pt>
                <c:pt idx="36">
                  <c:v>13738.2</c:v>
                </c:pt>
                <c:pt idx="37">
                  <c:v>13529.8</c:v>
                </c:pt>
                <c:pt idx="38">
                  <c:v>13692.2</c:v>
                </c:pt>
                <c:pt idx="39">
                  <c:v>12168.28</c:v>
                </c:pt>
                <c:pt idx="40">
                  <c:v>11920.07</c:v>
                </c:pt>
                <c:pt idx="41">
                  <c:v>12176.28</c:v>
                </c:pt>
                <c:pt idx="42">
                  <c:v>12565.83</c:v>
                </c:pt>
                <c:pt idx="43">
                  <c:v>13489.67</c:v>
                </c:pt>
                <c:pt idx="44">
                  <c:v>14286.53</c:v>
                </c:pt>
                <c:pt idx="45">
                  <c:v>17073.919999999998</c:v>
                </c:pt>
                <c:pt idx="46">
                  <c:v>15550.16</c:v>
                </c:pt>
                <c:pt idx="47">
                  <c:v>15356.93</c:v>
                </c:pt>
                <c:pt idx="48">
                  <c:v>16145.56</c:v>
                </c:pt>
                <c:pt idx="49">
                  <c:v>16240.71</c:v>
                </c:pt>
                <c:pt idx="50">
                  <c:v>15687.85</c:v>
                </c:pt>
                <c:pt idx="51">
                  <c:v>14402.96</c:v>
                </c:pt>
                <c:pt idx="52">
                  <c:v>12208.99</c:v>
                </c:pt>
                <c:pt idx="53">
                  <c:v>15271.41</c:v>
                </c:pt>
                <c:pt idx="54">
                  <c:v>13007.28</c:v>
                </c:pt>
                <c:pt idx="55">
                  <c:v>13959.52</c:v>
                </c:pt>
                <c:pt idx="56">
                  <c:v>14819.05</c:v>
                </c:pt>
                <c:pt idx="57">
                  <c:v>17742.849999999999</c:v>
                </c:pt>
                <c:pt idx="58">
                  <c:v>17234.87</c:v>
                </c:pt>
                <c:pt idx="59">
                  <c:v>17174.349999999999</c:v>
                </c:pt>
                <c:pt idx="60">
                  <c:v>15383.41</c:v>
                </c:pt>
                <c:pt idx="61">
                  <c:v>17604.79</c:v>
                </c:pt>
                <c:pt idx="62">
                  <c:v>18045.97</c:v>
                </c:pt>
                <c:pt idx="63">
                  <c:v>15011.18</c:v>
                </c:pt>
                <c:pt idx="64">
                  <c:v>15006.03</c:v>
                </c:pt>
                <c:pt idx="65">
                  <c:v>16464.13</c:v>
                </c:pt>
                <c:pt idx="66">
                  <c:v>16558.46</c:v>
                </c:pt>
                <c:pt idx="67">
                  <c:v>17772.89</c:v>
                </c:pt>
                <c:pt idx="68">
                  <c:v>17606.46</c:v>
                </c:pt>
                <c:pt idx="69">
                  <c:v>18463.5</c:v>
                </c:pt>
                <c:pt idx="70">
                  <c:v>17810.169999999998</c:v>
                </c:pt>
                <c:pt idx="71">
                  <c:v>17407.41</c:v>
                </c:pt>
                <c:pt idx="72">
                  <c:v>17764.830000000002</c:v>
                </c:pt>
                <c:pt idx="73">
                  <c:v>13610.23</c:v>
                </c:pt>
                <c:pt idx="74">
                  <c:v>9802.15</c:v>
                </c:pt>
                <c:pt idx="75">
                  <c:v>9712.35</c:v>
                </c:pt>
                <c:pt idx="76">
                  <c:v>9864.86</c:v>
                </c:pt>
                <c:pt idx="77">
                  <c:v>19501.87</c:v>
                </c:pt>
                <c:pt idx="78">
                  <c:v>19998.32</c:v>
                </c:pt>
                <c:pt idx="79">
                  <c:v>21234.11</c:v>
                </c:pt>
                <c:pt idx="80">
                  <c:v>21850.55</c:v>
                </c:pt>
                <c:pt idx="81">
                  <c:v>20519.599999999999</c:v>
                </c:pt>
                <c:pt idx="82">
                  <c:v>21144.68</c:v>
                </c:pt>
                <c:pt idx="83">
                  <c:v>20985.61</c:v>
                </c:pt>
                <c:pt idx="84">
                  <c:v>22940.6</c:v>
                </c:pt>
                <c:pt idx="85">
                  <c:v>23161.98</c:v>
                </c:pt>
                <c:pt idx="86">
                  <c:v>13654.57</c:v>
                </c:pt>
                <c:pt idx="87">
                  <c:v>11640.22</c:v>
                </c:pt>
                <c:pt idx="88">
                  <c:v>15553.04</c:v>
                </c:pt>
                <c:pt idx="89">
                  <c:v>18877.86</c:v>
                </c:pt>
                <c:pt idx="90">
                  <c:v>12343.4</c:v>
                </c:pt>
                <c:pt idx="91">
                  <c:v>25323.39</c:v>
                </c:pt>
                <c:pt idx="92">
                  <c:v>24010.89</c:v>
                </c:pt>
                <c:pt idx="93">
                  <c:v>24144.639999999999</c:v>
                </c:pt>
                <c:pt idx="94">
                  <c:v>25518.75</c:v>
                </c:pt>
                <c:pt idx="95">
                  <c:v>23651.51</c:v>
                </c:pt>
                <c:pt idx="96">
                  <c:v>13184.97</c:v>
                </c:pt>
                <c:pt idx="97">
                  <c:v>13027.98</c:v>
                </c:pt>
                <c:pt idx="98">
                  <c:v>12765.69</c:v>
                </c:pt>
                <c:pt idx="99">
                  <c:v>14375</c:v>
                </c:pt>
                <c:pt idx="100">
                  <c:v>12500</c:v>
                </c:pt>
                <c:pt idx="101">
                  <c:v>12500</c:v>
                </c:pt>
                <c:pt idx="102">
                  <c:v>12500</c:v>
                </c:pt>
                <c:pt idx="103">
                  <c:v>14000</c:v>
                </c:pt>
                <c:pt idx="104">
                  <c:v>13000</c:v>
                </c:pt>
                <c:pt idx="105">
                  <c:v>13000</c:v>
                </c:pt>
                <c:pt idx="106">
                  <c:v>11000</c:v>
                </c:pt>
                <c:pt idx="107">
                  <c:v>11000</c:v>
                </c:pt>
                <c:pt idx="108">
                  <c:v>11000</c:v>
                </c:pt>
                <c:pt idx="109">
                  <c:v>10560</c:v>
                </c:pt>
                <c:pt idx="110">
                  <c:v>10000</c:v>
                </c:pt>
                <c:pt idx="111">
                  <c:v>10000</c:v>
                </c:pt>
                <c:pt idx="112">
                  <c:v>12500</c:v>
                </c:pt>
                <c:pt idx="113">
                  <c:v>12500</c:v>
                </c:pt>
                <c:pt idx="114">
                  <c:v>12500</c:v>
                </c:pt>
                <c:pt idx="115">
                  <c:v>13125</c:v>
                </c:pt>
                <c:pt idx="116">
                  <c:v>13125</c:v>
                </c:pt>
                <c:pt idx="117">
                  <c:v>13125</c:v>
                </c:pt>
                <c:pt idx="118">
                  <c:v>12500</c:v>
                </c:pt>
                <c:pt idx="119">
                  <c:v>12500</c:v>
                </c:pt>
                <c:pt idx="120">
                  <c:v>13750</c:v>
                </c:pt>
                <c:pt idx="121">
                  <c:v>13750</c:v>
                </c:pt>
                <c:pt idx="122">
                  <c:v>13125</c:v>
                </c:pt>
                <c:pt idx="123">
                  <c:v>11820.454545454546</c:v>
                </c:pt>
                <c:pt idx="124">
                  <c:v>12300</c:v>
                </c:pt>
                <c:pt idx="125">
                  <c:v>11000</c:v>
                </c:pt>
                <c:pt idx="126">
                  <c:v>11000</c:v>
                </c:pt>
                <c:pt idx="127">
                  <c:v>11300</c:v>
                </c:pt>
                <c:pt idx="128">
                  <c:v>11000</c:v>
                </c:pt>
                <c:pt idx="129">
                  <c:v>11000</c:v>
                </c:pt>
                <c:pt idx="130">
                  <c:v>11800</c:v>
                </c:pt>
                <c:pt idx="131">
                  <c:v>10000</c:v>
                </c:pt>
                <c:pt idx="132">
                  <c:v>11000</c:v>
                </c:pt>
                <c:pt idx="133">
                  <c:v>10000</c:v>
                </c:pt>
                <c:pt idx="134">
                  <c:v>10500</c:v>
                </c:pt>
                <c:pt idx="135">
                  <c:v>10000</c:v>
                </c:pt>
                <c:pt idx="136">
                  <c:v>9500</c:v>
                </c:pt>
                <c:pt idx="137">
                  <c:v>9500</c:v>
                </c:pt>
                <c:pt idx="138">
                  <c:v>8700</c:v>
                </c:pt>
                <c:pt idx="139">
                  <c:v>8500</c:v>
                </c:pt>
                <c:pt idx="140">
                  <c:v>9000</c:v>
                </c:pt>
                <c:pt idx="141">
                  <c:v>11500</c:v>
                </c:pt>
                <c:pt idx="142">
                  <c:v>11500</c:v>
                </c:pt>
                <c:pt idx="143">
                  <c:v>11500</c:v>
                </c:pt>
                <c:pt idx="144">
                  <c:v>11000</c:v>
                </c:pt>
                <c:pt idx="145">
                  <c:v>10000</c:v>
                </c:pt>
                <c:pt idx="146">
                  <c:v>10000</c:v>
                </c:pt>
                <c:pt idx="147">
                  <c:v>10000</c:v>
                </c:pt>
                <c:pt idx="148">
                  <c:v>11500</c:v>
                </c:pt>
                <c:pt idx="149">
                  <c:v>10000</c:v>
                </c:pt>
                <c:pt idx="150">
                  <c:v>10000</c:v>
                </c:pt>
                <c:pt idx="151">
                  <c:v>9300</c:v>
                </c:pt>
                <c:pt idx="152">
                  <c:v>10000</c:v>
                </c:pt>
                <c:pt idx="153">
                  <c:v>10000</c:v>
                </c:pt>
                <c:pt idx="154">
                  <c:v>10000</c:v>
                </c:pt>
                <c:pt idx="155">
                  <c:v>9100</c:v>
                </c:pt>
                <c:pt idx="156">
                  <c:v>9000</c:v>
                </c:pt>
                <c:pt idx="157">
                  <c:v>9425</c:v>
                </c:pt>
                <c:pt idx="158">
                  <c:v>10040</c:v>
                </c:pt>
                <c:pt idx="159">
                  <c:v>11375</c:v>
                </c:pt>
                <c:pt idx="160">
                  <c:v>10463</c:v>
                </c:pt>
                <c:pt idx="161">
                  <c:v>9300</c:v>
                </c:pt>
                <c:pt idx="162">
                  <c:v>9050</c:v>
                </c:pt>
                <c:pt idx="163">
                  <c:v>9375</c:v>
                </c:pt>
                <c:pt idx="164">
                  <c:v>9460</c:v>
                </c:pt>
                <c:pt idx="165">
                  <c:v>9550</c:v>
                </c:pt>
                <c:pt idx="166">
                  <c:v>9788</c:v>
                </c:pt>
                <c:pt idx="167">
                  <c:v>9740</c:v>
                </c:pt>
                <c:pt idx="168">
                  <c:v>9000</c:v>
                </c:pt>
                <c:pt idx="169">
                  <c:v>8500</c:v>
                </c:pt>
                <c:pt idx="170">
                  <c:v>8960</c:v>
                </c:pt>
                <c:pt idx="171">
                  <c:v>10300</c:v>
                </c:pt>
                <c:pt idx="172">
                  <c:v>10860</c:v>
                </c:pt>
                <c:pt idx="173">
                  <c:v>10800</c:v>
                </c:pt>
                <c:pt idx="174">
                  <c:v>10916.67</c:v>
                </c:pt>
                <c:pt idx="175">
                  <c:v>11250</c:v>
                </c:pt>
                <c:pt idx="176">
                  <c:v>12333.33</c:v>
                </c:pt>
                <c:pt idx="177">
                  <c:v>12000</c:v>
                </c:pt>
                <c:pt idx="178">
                  <c:v>12000</c:v>
                </c:pt>
                <c:pt idx="179">
                  <c:v>11727.27</c:v>
                </c:pt>
                <c:pt idx="180">
                  <c:v>11750</c:v>
                </c:pt>
                <c:pt idx="181">
                  <c:v>10000</c:v>
                </c:pt>
                <c:pt idx="182">
                  <c:v>12200</c:v>
                </c:pt>
                <c:pt idx="183">
                  <c:v>14500</c:v>
                </c:pt>
                <c:pt idx="184">
                  <c:v>12500</c:v>
                </c:pt>
                <c:pt idx="185">
                  <c:v>12000</c:v>
                </c:pt>
                <c:pt idx="186">
                  <c:v>12350</c:v>
                </c:pt>
                <c:pt idx="187">
                  <c:v>14250</c:v>
                </c:pt>
                <c:pt idx="188">
                  <c:v>13000</c:v>
                </c:pt>
                <c:pt idx="189">
                  <c:v>15500</c:v>
                </c:pt>
                <c:pt idx="190">
                  <c:v>14250</c:v>
                </c:pt>
                <c:pt idx="191">
                  <c:v>12936.363636363636</c:v>
                </c:pt>
              </c:numCache>
            </c:numRef>
          </c:val>
          <c:smooth val="0"/>
          <c:extLst>
            <c:ext xmlns:c16="http://schemas.microsoft.com/office/drawing/2014/chart" uri="{C3380CC4-5D6E-409C-BE32-E72D297353CC}">
              <c16:uniqueId val="{00000000-D9EE-4C7B-84E5-7D0F30C743BF}"/>
            </c:ext>
          </c:extLst>
        </c:ser>
        <c:ser>
          <c:idx val="1"/>
          <c:order val="1"/>
          <c:tx>
            <c:strRef>
              <c:f>'[actual_pred_ARIMA+SVR.xlsx]Sheet1'!$D$1</c:f>
              <c:strCache>
                <c:ptCount val="1"/>
                <c:pt idx="0">
                  <c:v>pred</c:v>
                </c:pt>
              </c:strCache>
            </c:strRef>
          </c:tx>
          <c:spPr>
            <a:ln w="15875" cap="rnd">
              <a:solidFill>
                <a:srgbClr val="FF0000"/>
              </a:solidFill>
              <a:prstDash val="sysDash"/>
              <a:round/>
            </a:ln>
            <a:effectLst/>
          </c:spPr>
          <c:marker>
            <c:symbol val="none"/>
          </c:marker>
          <c:dPt>
            <c:idx val="199"/>
            <c:bubble3D val="0"/>
            <c:extLst>
              <c:ext xmlns:c16="http://schemas.microsoft.com/office/drawing/2014/chart" uri="{C3380CC4-5D6E-409C-BE32-E72D297353CC}">
                <c16:uniqueId val="{00000002-D9EE-4C7B-84E5-7D0F30C743BF}"/>
              </c:ext>
            </c:extLst>
          </c:dPt>
          <c:cat>
            <c:multiLvlStrRef>
              <c:f>'[actual_pred_ARIMA+SVR.xlsx]Sheet1'!$A$2:$B$205</c:f>
              <c:multiLvlStrCache>
                <c:ptCount val="204"/>
                <c:lvl>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pt idx="12">
                    <c:v>January</c:v>
                  </c:pt>
                  <c:pt idx="13">
                    <c:v>February</c:v>
                  </c:pt>
                  <c:pt idx="14">
                    <c:v>March</c:v>
                  </c:pt>
                  <c:pt idx="15">
                    <c:v>April</c:v>
                  </c:pt>
                  <c:pt idx="16">
                    <c:v>May</c:v>
                  </c:pt>
                  <c:pt idx="17">
                    <c:v>June</c:v>
                  </c:pt>
                  <c:pt idx="18">
                    <c:v>July</c:v>
                  </c:pt>
                  <c:pt idx="19">
                    <c:v>August</c:v>
                  </c:pt>
                  <c:pt idx="20">
                    <c:v>September</c:v>
                  </c:pt>
                  <c:pt idx="21">
                    <c:v>October</c:v>
                  </c:pt>
                  <c:pt idx="22">
                    <c:v>November</c:v>
                  </c:pt>
                  <c:pt idx="23">
                    <c:v>December</c:v>
                  </c:pt>
                  <c:pt idx="24">
                    <c:v>January</c:v>
                  </c:pt>
                  <c:pt idx="25">
                    <c:v>February</c:v>
                  </c:pt>
                  <c:pt idx="26">
                    <c:v>March</c:v>
                  </c:pt>
                  <c:pt idx="27">
                    <c:v>April</c:v>
                  </c:pt>
                  <c:pt idx="28">
                    <c:v>May</c:v>
                  </c:pt>
                  <c:pt idx="29">
                    <c:v>June</c:v>
                  </c:pt>
                  <c:pt idx="30">
                    <c:v>July</c:v>
                  </c:pt>
                  <c:pt idx="31">
                    <c:v>August</c:v>
                  </c:pt>
                  <c:pt idx="32">
                    <c:v>September</c:v>
                  </c:pt>
                  <c:pt idx="33">
                    <c:v>October</c:v>
                  </c:pt>
                  <c:pt idx="34">
                    <c:v>November</c:v>
                  </c:pt>
                  <c:pt idx="35">
                    <c:v>December</c:v>
                  </c:pt>
                  <c:pt idx="36">
                    <c:v>January</c:v>
                  </c:pt>
                  <c:pt idx="37">
                    <c:v>February</c:v>
                  </c:pt>
                  <c:pt idx="38">
                    <c:v>March</c:v>
                  </c:pt>
                  <c:pt idx="39">
                    <c:v>April</c:v>
                  </c:pt>
                  <c:pt idx="40">
                    <c:v>May</c:v>
                  </c:pt>
                  <c:pt idx="41">
                    <c:v>June</c:v>
                  </c:pt>
                  <c:pt idx="42">
                    <c:v>July</c:v>
                  </c:pt>
                  <c:pt idx="43">
                    <c:v>August</c:v>
                  </c:pt>
                  <c:pt idx="44">
                    <c:v>September</c:v>
                  </c:pt>
                  <c:pt idx="45">
                    <c:v>October</c:v>
                  </c:pt>
                  <c:pt idx="46">
                    <c:v>November</c:v>
                  </c:pt>
                  <c:pt idx="47">
                    <c:v>December</c:v>
                  </c:pt>
                  <c:pt idx="48">
                    <c:v>January</c:v>
                  </c:pt>
                  <c:pt idx="49">
                    <c:v>February</c:v>
                  </c:pt>
                  <c:pt idx="50">
                    <c:v>March</c:v>
                  </c:pt>
                  <c:pt idx="51">
                    <c:v>April</c:v>
                  </c:pt>
                  <c:pt idx="52">
                    <c:v>May</c:v>
                  </c:pt>
                  <c:pt idx="53">
                    <c:v>June</c:v>
                  </c:pt>
                  <c:pt idx="54">
                    <c:v>July</c:v>
                  </c:pt>
                  <c:pt idx="55">
                    <c:v>August</c:v>
                  </c:pt>
                  <c:pt idx="56">
                    <c:v>September</c:v>
                  </c:pt>
                  <c:pt idx="57">
                    <c:v>October</c:v>
                  </c:pt>
                  <c:pt idx="58">
                    <c:v>November</c:v>
                  </c:pt>
                  <c:pt idx="59">
                    <c:v>December</c:v>
                  </c:pt>
                  <c:pt idx="60">
                    <c:v>January</c:v>
                  </c:pt>
                  <c:pt idx="61">
                    <c:v>February</c:v>
                  </c:pt>
                  <c:pt idx="62">
                    <c:v>March</c:v>
                  </c:pt>
                  <c:pt idx="63">
                    <c:v>April</c:v>
                  </c:pt>
                  <c:pt idx="64">
                    <c:v>May</c:v>
                  </c:pt>
                  <c:pt idx="65">
                    <c:v>June</c:v>
                  </c:pt>
                  <c:pt idx="66">
                    <c:v>July</c:v>
                  </c:pt>
                  <c:pt idx="67">
                    <c:v>August</c:v>
                  </c:pt>
                  <c:pt idx="68">
                    <c:v>September</c:v>
                  </c:pt>
                  <c:pt idx="69">
                    <c:v>October</c:v>
                  </c:pt>
                  <c:pt idx="70">
                    <c:v>November</c:v>
                  </c:pt>
                  <c:pt idx="71">
                    <c:v>December</c:v>
                  </c:pt>
                  <c:pt idx="72">
                    <c:v>January</c:v>
                  </c:pt>
                  <c:pt idx="73">
                    <c:v>February</c:v>
                  </c:pt>
                  <c:pt idx="74">
                    <c:v>March</c:v>
                  </c:pt>
                  <c:pt idx="75">
                    <c:v>April</c:v>
                  </c:pt>
                  <c:pt idx="76">
                    <c:v>May</c:v>
                  </c:pt>
                  <c:pt idx="77">
                    <c:v>June</c:v>
                  </c:pt>
                  <c:pt idx="78">
                    <c:v>July</c:v>
                  </c:pt>
                  <c:pt idx="79">
                    <c:v>August</c:v>
                  </c:pt>
                  <c:pt idx="80">
                    <c:v>September</c:v>
                  </c:pt>
                  <c:pt idx="81">
                    <c:v>October</c:v>
                  </c:pt>
                  <c:pt idx="82">
                    <c:v>November</c:v>
                  </c:pt>
                  <c:pt idx="83">
                    <c:v>December</c:v>
                  </c:pt>
                  <c:pt idx="84">
                    <c:v>January</c:v>
                  </c:pt>
                  <c:pt idx="85">
                    <c:v>February</c:v>
                  </c:pt>
                  <c:pt idx="86">
                    <c:v>March</c:v>
                  </c:pt>
                  <c:pt idx="87">
                    <c:v>April</c:v>
                  </c:pt>
                  <c:pt idx="88">
                    <c:v>May</c:v>
                  </c:pt>
                  <c:pt idx="89">
                    <c:v>June</c:v>
                  </c:pt>
                  <c:pt idx="90">
                    <c:v>July</c:v>
                  </c:pt>
                  <c:pt idx="91">
                    <c:v>August</c:v>
                  </c:pt>
                  <c:pt idx="92">
                    <c:v>September</c:v>
                  </c:pt>
                  <c:pt idx="93">
                    <c:v>October</c:v>
                  </c:pt>
                  <c:pt idx="94">
                    <c:v>November</c:v>
                  </c:pt>
                  <c:pt idx="95">
                    <c:v>December</c:v>
                  </c:pt>
                  <c:pt idx="96">
                    <c:v>January</c:v>
                  </c:pt>
                  <c:pt idx="97">
                    <c:v>February</c:v>
                  </c:pt>
                  <c:pt idx="98">
                    <c:v>March</c:v>
                  </c:pt>
                  <c:pt idx="99">
                    <c:v>April</c:v>
                  </c:pt>
                  <c:pt idx="100">
                    <c:v>May</c:v>
                  </c:pt>
                  <c:pt idx="101">
                    <c:v>June</c:v>
                  </c:pt>
                  <c:pt idx="102">
                    <c:v>July</c:v>
                  </c:pt>
                  <c:pt idx="103">
                    <c:v>August</c:v>
                  </c:pt>
                  <c:pt idx="104">
                    <c:v>September</c:v>
                  </c:pt>
                  <c:pt idx="105">
                    <c:v>October</c:v>
                  </c:pt>
                  <c:pt idx="106">
                    <c:v>November</c:v>
                  </c:pt>
                  <c:pt idx="107">
                    <c:v>December</c:v>
                  </c:pt>
                  <c:pt idx="108">
                    <c:v>January</c:v>
                  </c:pt>
                  <c:pt idx="109">
                    <c:v>February</c:v>
                  </c:pt>
                  <c:pt idx="110">
                    <c:v>March</c:v>
                  </c:pt>
                  <c:pt idx="111">
                    <c:v>April</c:v>
                  </c:pt>
                  <c:pt idx="112">
                    <c:v>May</c:v>
                  </c:pt>
                  <c:pt idx="113">
                    <c:v>June</c:v>
                  </c:pt>
                  <c:pt idx="114">
                    <c:v>July</c:v>
                  </c:pt>
                  <c:pt idx="115">
                    <c:v>August</c:v>
                  </c:pt>
                  <c:pt idx="116">
                    <c:v>September</c:v>
                  </c:pt>
                  <c:pt idx="117">
                    <c:v>October</c:v>
                  </c:pt>
                  <c:pt idx="118">
                    <c:v>November</c:v>
                  </c:pt>
                  <c:pt idx="119">
                    <c:v>December</c:v>
                  </c:pt>
                  <c:pt idx="120">
                    <c:v>January</c:v>
                  </c:pt>
                  <c:pt idx="121">
                    <c:v>February</c:v>
                  </c:pt>
                  <c:pt idx="122">
                    <c:v>March</c:v>
                  </c:pt>
                  <c:pt idx="123">
                    <c:v>April</c:v>
                  </c:pt>
                  <c:pt idx="124">
                    <c:v>May</c:v>
                  </c:pt>
                  <c:pt idx="125">
                    <c:v>June</c:v>
                  </c:pt>
                  <c:pt idx="126">
                    <c:v>July</c:v>
                  </c:pt>
                  <c:pt idx="127">
                    <c:v>August</c:v>
                  </c:pt>
                  <c:pt idx="128">
                    <c:v>September</c:v>
                  </c:pt>
                  <c:pt idx="129">
                    <c:v>October</c:v>
                  </c:pt>
                  <c:pt idx="130">
                    <c:v>November</c:v>
                  </c:pt>
                  <c:pt idx="131">
                    <c:v>December</c:v>
                  </c:pt>
                  <c:pt idx="132">
                    <c:v>January</c:v>
                  </c:pt>
                  <c:pt idx="133">
                    <c:v>February</c:v>
                  </c:pt>
                  <c:pt idx="134">
                    <c:v>March</c:v>
                  </c:pt>
                  <c:pt idx="135">
                    <c:v>April</c:v>
                  </c:pt>
                  <c:pt idx="136">
                    <c:v>May</c:v>
                  </c:pt>
                  <c:pt idx="137">
                    <c:v>June</c:v>
                  </c:pt>
                  <c:pt idx="138">
                    <c:v>July</c:v>
                  </c:pt>
                  <c:pt idx="139">
                    <c:v>August</c:v>
                  </c:pt>
                  <c:pt idx="140">
                    <c:v>September</c:v>
                  </c:pt>
                  <c:pt idx="141">
                    <c:v>October</c:v>
                  </c:pt>
                  <c:pt idx="142">
                    <c:v>November</c:v>
                  </c:pt>
                  <c:pt idx="143">
                    <c:v>December</c:v>
                  </c:pt>
                  <c:pt idx="144">
                    <c:v>January</c:v>
                  </c:pt>
                  <c:pt idx="145">
                    <c:v>February</c:v>
                  </c:pt>
                  <c:pt idx="146">
                    <c:v>March</c:v>
                  </c:pt>
                  <c:pt idx="147">
                    <c:v>April</c:v>
                  </c:pt>
                  <c:pt idx="148">
                    <c:v>May</c:v>
                  </c:pt>
                  <c:pt idx="149">
                    <c:v>June</c:v>
                  </c:pt>
                  <c:pt idx="150">
                    <c:v>July</c:v>
                  </c:pt>
                  <c:pt idx="151">
                    <c:v>August</c:v>
                  </c:pt>
                  <c:pt idx="152">
                    <c:v>September</c:v>
                  </c:pt>
                  <c:pt idx="153">
                    <c:v>October</c:v>
                  </c:pt>
                  <c:pt idx="154">
                    <c:v>November</c:v>
                  </c:pt>
                  <c:pt idx="155">
                    <c:v>December</c:v>
                  </c:pt>
                  <c:pt idx="156">
                    <c:v>January</c:v>
                  </c:pt>
                  <c:pt idx="157">
                    <c:v>February</c:v>
                  </c:pt>
                  <c:pt idx="158">
                    <c:v>March</c:v>
                  </c:pt>
                  <c:pt idx="159">
                    <c:v>April</c:v>
                  </c:pt>
                  <c:pt idx="160">
                    <c:v>May</c:v>
                  </c:pt>
                  <c:pt idx="161">
                    <c:v>June</c:v>
                  </c:pt>
                  <c:pt idx="162">
                    <c:v>July</c:v>
                  </c:pt>
                  <c:pt idx="163">
                    <c:v>August</c:v>
                  </c:pt>
                  <c:pt idx="164">
                    <c:v>September</c:v>
                  </c:pt>
                  <c:pt idx="165">
                    <c:v>October</c:v>
                  </c:pt>
                  <c:pt idx="166">
                    <c:v>November</c:v>
                  </c:pt>
                  <c:pt idx="167">
                    <c:v>December</c:v>
                  </c:pt>
                  <c:pt idx="168">
                    <c:v>January</c:v>
                  </c:pt>
                  <c:pt idx="169">
                    <c:v>February</c:v>
                  </c:pt>
                  <c:pt idx="170">
                    <c:v>March</c:v>
                  </c:pt>
                  <c:pt idx="171">
                    <c:v>April</c:v>
                  </c:pt>
                  <c:pt idx="172">
                    <c:v>May</c:v>
                  </c:pt>
                  <c:pt idx="173">
                    <c:v>June</c:v>
                  </c:pt>
                  <c:pt idx="174">
                    <c:v>July</c:v>
                  </c:pt>
                  <c:pt idx="175">
                    <c:v>August</c:v>
                  </c:pt>
                  <c:pt idx="176">
                    <c:v>September</c:v>
                  </c:pt>
                  <c:pt idx="177">
                    <c:v>October</c:v>
                  </c:pt>
                  <c:pt idx="178">
                    <c:v>November</c:v>
                  </c:pt>
                  <c:pt idx="179">
                    <c:v>December</c:v>
                  </c:pt>
                  <c:pt idx="180">
                    <c:v>January</c:v>
                  </c:pt>
                  <c:pt idx="181">
                    <c:v>February</c:v>
                  </c:pt>
                  <c:pt idx="182">
                    <c:v>March</c:v>
                  </c:pt>
                  <c:pt idx="183">
                    <c:v>April</c:v>
                  </c:pt>
                  <c:pt idx="184">
                    <c:v>May</c:v>
                  </c:pt>
                  <c:pt idx="185">
                    <c:v>June</c:v>
                  </c:pt>
                  <c:pt idx="186">
                    <c:v>July</c:v>
                  </c:pt>
                  <c:pt idx="187">
                    <c:v>August</c:v>
                  </c:pt>
                  <c:pt idx="188">
                    <c:v>September</c:v>
                  </c:pt>
                  <c:pt idx="189">
                    <c:v>October</c:v>
                  </c:pt>
                  <c:pt idx="190">
                    <c:v>November</c:v>
                  </c:pt>
                  <c:pt idx="191">
                    <c:v>December</c:v>
                  </c:pt>
                  <c:pt idx="192">
                    <c:v>January</c:v>
                  </c:pt>
                  <c:pt idx="193">
                    <c:v>February</c:v>
                  </c:pt>
                  <c:pt idx="194">
                    <c:v>March</c:v>
                  </c:pt>
                  <c:pt idx="195">
                    <c:v>April</c:v>
                  </c:pt>
                  <c:pt idx="196">
                    <c:v>May</c:v>
                  </c:pt>
                  <c:pt idx="197">
                    <c:v>June</c:v>
                  </c:pt>
                  <c:pt idx="198">
                    <c:v>July</c:v>
                  </c:pt>
                  <c:pt idx="199">
                    <c:v>August</c:v>
                  </c:pt>
                  <c:pt idx="200">
                    <c:v>September</c:v>
                  </c:pt>
                  <c:pt idx="201">
                    <c:v>October</c:v>
                  </c:pt>
                  <c:pt idx="202">
                    <c:v>November</c:v>
                  </c:pt>
                  <c:pt idx="203">
                    <c:v>December</c:v>
                  </c:pt>
                </c:lvl>
                <c:lvl>
                  <c:pt idx="0">
                    <c:v>2010</c:v>
                  </c:pt>
                  <c:pt idx="12">
                    <c:v>2011</c:v>
                  </c:pt>
                  <c:pt idx="24">
                    <c:v>2012</c:v>
                  </c:pt>
                  <c:pt idx="36">
                    <c:v>2013</c:v>
                  </c:pt>
                  <c:pt idx="48">
                    <c:v>2014</c:v>
                  </c:pt>
                  <c:pt idx="60">
                    <c:v>2015</c:v>
                  </c:pt>
                  <c:pt idx="72">
                    <c:v>2016</c:v>
                  </c:pt>
                  <c:pt idx="84">
                    <c:v>2017</c:v>
                  </c:pt>
                  <c:pt idx="96">
                    <c:v>2018</c:v>
                  </c:pt>
                  <c:pt idx="108">
                    <c:v>2019</c:v>
                  </c:pt>
                  <c:pt idx="120">
                    <c:v>2020</c:v>
                  </c:pt>
                  <c:pt idx="132">
                    <c:v>2021</c:v>
                  </c:pt>
                  <c:pt idx="144">
                    <c:v>2022</c:v>
                  </c:pt>
                  <c:pt idx="156">
                    <c:v>2023</c:v>
                  </c:pt>
                  <c:pt idx="168">
                    <c:v>2024</c:v>
                  </c:pt>
                  <c:pt idx="180">
                    <c:v>2025</c:v>
                  </c:pt>
                  <c:pt idx="192">
                    <c:v>2026</c:v>
                  </c:pt>
                </c:lvl>
              </c:multiLvlStrCache>
            </c:multiLvlStrRef>
          </c:cat>
          <c:val>
            <c:numRef>
              <c:f>'[actual_pred_ARIMA+SVR.xlsx]Sheet1'!$D$2:$D$205</c:f>
              <c:numCache>
                <c:formatCode>General</c:formatCode>
                <c:ptCount val="204"/>
                <c:pt idx="0">
                  <c:v>10826.9640110534</c:v>
                </c:pt>
                <c:pt idx="1">
                  <c:v>10967.784992578599</c:v>
                </c:pt>
                <c:pt idx="2">
                  <c:v>10314.6846503078</c:v>
                </c:pt>
                <c:pt idx="3">
                  <c:v>9186.6862824249401</c:v>
                </c:pt>
                <c:pt idx="4">
                  <c:v>9584.3063855088494</c:v>
                </c:pt>
                <c:pt idx="5">
                  <c:v>9511.6287346898407</c:v>
                </c:pt>
                <c:pt idx="6">
                  <c:v>8832.8545141397008</c:v>
                </c:pt>
                <c:pt idx="7">
                  <c:v>9714.90485824606</c:v>
                </c:pt>
                <c:pt idx="8">
                  <c:v>11374.841513326999</c:v>
                </c:pt>
                <c:pt idx="9">
                  <c:v>11287.9036315759</c:v>
                </c:pt>
                <c:pt idx="10">
                  <c:v>12033.735704565401</c:v>
                </c:pt>
                <c:pt idx="11">
                  <c:v>9257.1165238975591</c:v>
                </c:pt>
                <c:pt idx="12">
                  <c:v>12211.582685412301</c:v>
                </c:pt>
                <c:pt idx="13">
                  <c:v>12195.476586012801</c:v>
                </c:pt>
                <c:pt idx="14">
                  <c:v>12234.2438039648</c:v>
                </c:pt>
                <c:pt idx="15">
                  <c:v>12235.325056683399</c:v>
                </c:pt>
                <c:pt idx="16">
                  <c:v>11294.5235855562</c:v>
                </c:pt>
                <c:pt idx="17">
                  <c:v>11455.402605298699</c:v>
                </c:pt>
                <c:pt idx="18">
                  <c:v>11237.670376508</c:v>
                </c:pt>
                <c:pt idx="19">
                  <c:v>11778.8770882957</c:v>
                </c:pt>
                <c:pt idx="20">
                  <c:v>12484.3737536553</c:v>
                </c:pt>
                <c:pt idx="21">
                  <c:v>12657.4402315116</c:v>
                </c:pt>
                <c:pt idx="22">
                  <c:v>12464.9180437498</c:v>
                </c:pt>
                <c:pt idx="23">
                  <c:v>12498.5788344956</c:v>
                </c:pt>
                <c:pt idx="24">
                  <c:v>12592.0222375101</c:v>
                </c:pt>
                <c:pt idx="25">
                  <c:v>12445.4937803841</c:v>
                </c:pt>
                <c:pt idx="26">
                  <c:v>12168.7605350705</c:v>
                </c:pt>
                <c:pt idx="27">
                  <c:v>10819.101948349</c:v>
                </c:pt>
                <c:pt idx="28">
                  <c:v>11625.9809710109</c:v>
                </c:pt>
                <c:pt idx="29">
                  <c:v>12823.161683398301</c:v>
                </c:pt>
                <c:pt idx="30">
                  <c:v>12881.0180655152</c:v>
                </c:pt>
                <c:pt idx="31">
                  <c:v>13336.269592430999</c:v>
                </c:pt>
                <c:pt idx="32">
                  <c:v>13639.149510848199</c:v>
                </c:pt>
                <c:pt idx="33">
                  <c:v>13322.102980269499</c:v>
                </c:pt>
                <c:pt idx="34">
                  <c:v>13345.423105722901</c:v>
                </c:pt>
                <c:pt idx="35">
                  <c:v>13664.586895822</c:v>
                </c:pt>
                <c:pt idx="36">
                  <c:v>13756.773823113201</c:v>
                </c:pt>
                <c:pt idx="37">
                  <c:v>13547.1400690623</c:v>
                </c:pt>
                <c:pt idx="38">
                  <c:v>13711.149792243999</c:v>
                </c:pt>
                <c:pt idx="39">
                  <c:v>12152.680071708401</c:v>
                </c:pt>
                <c:pt idx="40">
                  <c:v>11931.1115901707</c:v>
                </c:pt>
                <c:pt idx="41">
                  <c:v>12194.7478177139</c:v>
                </c:pt>
                <c:pt idx="42">
                  <c:v>12584.788688819201</c:v>
                </c:pt>
                <c:pt idx="43">
                  <c:v>13496.5162269145</c:v>
                </c:pt>
                <c:pt idx="44">
                  <c:v>14301.102150332301</c:v>
                </c:pt>
                <c:pt idx="45">
                  <c:v>17093.3047013496</c:v>
                </c:pt>
                <c:pt idx="46">
                  <c:v>15548.583260993</c:v>
                </c:pt>
                <c:pt idx="47">
                  <c:v>15375.847618010501</c:v>
                </c:pt>
                <c:pt idx="48">
                  <c:v>16139.868777293899</c:v>
                </c:pt>
                <c:pt idx="49">
                  <c:v>16255.780845625601</c:v>
                </c:pt>
                <c:pt idx="50">
                  <c:v>15706.2825962888</c:v>
                </c:pt>
                <c:pt idx="51">
                  <c:v>14389.8499676831</c:v>
                </c:pt>
                <c:pt idx="52">
                  <c:v>12193.7062252252</c:v>
                </c:pt>
                <c:pt idx="53">
                  <c:v>15290.0994198232</c:v>
                </c:pt>
                <c:pt idx="54">
                  <c:v>12988.064299731899</c:v>
                </c:pt>
                <c:pt idx="55">
                  <c:v>13971.2316644435</c:v>
                </c:pt>
                <c:pt idx="56">
                  <c:v>14835.674436347501</c:v>
                </c:pt>
                <c:pt idx="57">
                  <c:v>17750.590010586799</c:v>
                </c:pt>
                <c:pt idx="58">
                  <c:v>17249.3546438257</c:v>
                </c:pt>
                <c:pt idx="59">
                  <c:v>17191.629094247099</c:v>
                </c:pt>
                <c:pt idx="60">
                  <c:v>15369.0957575638</c:v>
                </c:pt>
                <c:pt idx="61">
                  <c:v>17599.408787652799</c:v>
                </c:pt>
                <c:pt idx="62">
                  <c:v>18036.1074240054</c:v>
                </c:pt>
                <c:pt idx="63">
                  <c:v>15004.606531117901</c:v>
                </c:pt>
                <c:pt idx="64">
                  <c:v>15020.596282648001</c:v>
                </c:pt>
                <c:pt idx="65">
                  <c:v>16465.309183952999</c:v>
                </c:pt>
                <c:pt idx="66">
                  <c:v>16572.060931343702</c:v>
                </c:pt>
                <c:pt idx="67">
                  <c:v>17755.976426923298</c:v>
                </c:pt>
                <c:pt idx="68">
                  <c:v>17617.928171896499</c:v>
                </c:pt>
                <c:pt idx="69">
                  <c:v>18463.807549061901</c:v>
                </c:pt>
                <c:pt idx="70">
                  <c:v>17826.618095554699</c:v>
                </c:pt>
                <c:pt idx="71">
                  <c:v>17424.130544865398</c:v>
                </c:pt>
                <c:pt idx="72">
                  <c:v>17775.4819012556</c:v>
                </c:pt>
                <c:pt idx="73">
                  <c:v>13607.3404599683</c:v>
                </c:pt>
                <c:pt idx="74">
                  <c:v>9782.1842575116698</c:v>
                </c:pt>
                <c:pt idx="75">
                  <c:v>9696.2129881171095</c:v>
                </c:pt>
                <c:pt idx="76">
                  <c:v>9857.34564799484</c:v>
                </c:pt>
                <c:pt idx="77">
                  <c:v>19483.136608390199</c:v>
                </c:pt>
                <c:pt idx="78">
                  <c:v>20014.546658020899</c:v>
                </c:pt>
                <c:pt idx="79">
                  <c:v>21227.590653302199</c:v>
                </c:pt>
                <c:pt idx="80">
                  <c:v>21842.204991289102</c:v>
                </c:pt>
                <c:pt idx="81">
                  <c:v>20525.494803205002</c:v>
                </c:pt>
                <c:pt idx="82">
                  <c:v>21163.963822366299</c:v>
                </c:pt>
                <c:pt idx="83">
                  <c:v>21000.188811468899</c:v>
                </c:pt>
                <c:pt idx="84">
                  <c:v>22957.520282272701</c:v>
                </c:pt>
                <c:pt idx="85">
                  <c:v>23152.172899544399</c:v>
                </c:pt>
                <c:pt idx="86">
                  <c:v>13702.830428176099</c:v>
                </c:pt>
                <c:pt idx="87">
                  <c:v>11632.9763394238</c:v>
                </c:pt>
                <c:pt idx="88">
                  <c:v>15569.1143573115</c:v>
                </c:pt>
                <c:pt idx="89">
                  <c:v>18843.4846412919</c:v>
                </c:pt>
                <c:pt idx="90">
                  <c:v>12362.279440541601</c:v>
                </c:pt>
                <c:pt idx="91">
                  <c:v>25304.695625406599</c:v>
                </c:pt>
                <c:pt idx="92">
                  <c:v>24021.9466285692</c:v>
                </c:pt>
                <c:pt idx="93">
                  <c:v>24125.6609618658</c:v>
                </c:pt>
                <c:pt idx="94">
                  <c:v>25537.6413312855</c:v>
                </c:pt>
                <c:pt idx="95">
                  <c:v>23631.5071534204</c:v>
                </c:pt>
                <c:pt idx="96">
                  <c:v>13166.3364493349</c:v>
                </c:pt>
                <c:pt idx="97">
                  <c:v>13008.957628304899</c:v>
                </c:pt>
                <c:pt idx="98">
                  <c:v>12754.592937798699</c:v>
                </c:pt>
                <c:pt idx="99">
                  <c:v>14376.3656335506</c:v>
                </c:pt>
                <c:pt idx="100">
                  <c:v>12516.456341725199</c:v>
                </c:pt>
                <c:pt idx="101">
                  <c:v>12496.5809897298</c:v>
                </c:pt>
                <c:pt idx="102">
                  <c:v>12486.4864380944</c:v>
                </c:pt>
                <c:pt idx="103">
                  <c:v>14017.8946245725</c:v>
                </c:pt>
                <c:pt idx="104">
                  <c:v>12985.360562882999</c:v>
                </c:pt>
                <c:pt idx="105">
                  <c:v>12986.9592503885</c:v>
                </c:pt>
                <c:pt idx="106">
                  <c:v>11019.387978980199</c:v>
                </c:pt>
                <c:pt idx="107">
                  <c:v>10988.994902967999</c:v>
                </c:pt>
                <c:pt idx="108">
                  <c:v>11000.3744007844</c:v>
                </c:pt>
                <c:pt idx="109">
                  <c:v>10542.7539193879</c:v>
                </c:pt>
                <c:pt idx="110">
                  <c:v>9980.9362021228808</c:v>
                </c:pt>
                <c:pt idx="111">
                  <c:v>9983.4436438551893</c:v>
                </c:pt>
                <c:pt idx="112">
                  <c:v>12483.805797355801</c:v>
                </c:pt>
                <c:pt idx="113">
                  <c:v>12511.1228070506</c:v>
                </c:pt>
                <c:pt idx="114">
                  <c:v>12507.990223833</c:v>
                </c:pt>
                <c:pt idx="115">
                  <c:v>13143.7049829482</c:v>
                </c:pt>
                <c:pt idx="116">
                  <c:v>13136.613347087599</c:v>
                </c:pt>
                <c:pt idx="117">
                  <c:v>13143.956446313699</c:v>
                </c:pt>
                <c:pt idx="118">
                  <c:v>12500.034543600201</c:v>
                </c:pt>
                <c:pt idx="119">
                  <c:v>12512.984219526201</c:v>
                </c:pt>
                <c:pt idx="120">
                  <c:v>13748.6165451302</c:v>
                </c:pt>
                <c:pt idx="121">
                  <c:v>13767.6836946612</c:v>
                </c:pt>
                <c:pt idx="122">
                  <c:v>13131.679596874799</c:v>
                </c:pt>
                <c:pt idx="123">
                  <c:v>11801.917810619099</c:v>
                </c:pt>
                <c:pt idx="124">
                  <c:v>12318.6248135229</c:v>
                </c:pt>
                <c:pt idx="125">
                  <c:v>10985.8489480428</c:v>
                </c:pt>
                <c:pt idx="126">
                  <c:v>11009.3978717727</c:v>
                </c:pt>
                <c:pt idx="127">
                  <c:v>11314.567218000901</c:v>
                </c:pt>
                <c:pt idx="128">
                  <c:v>10995.9405083534</c:v>
                </c:pt>
                <c:pt idx="129">
                  <c:v>11011.979660471799</c:v>
                </c:pt>
                <c:pt idx="130">
                  <c:v>11818.955682407201</c:v>
                </c:pt>
                <c:pt idx="131">
                  <c:v>9980.9986672910109</c:v>
                </c:pt>
                <c:pt idx="132">
                  <c:v>11016.870991182501</c:v>
                </c:pt>
                <c:pt idx="133">
                  <c:v>9983.1614112402003</c:v>
                </c:pt>
                <c:pt idx="134">
                  <c:v>10517.953368700701</c:v>
                </c:pt>
                <c:pt idx="135">
                  <c:v>10000.4782236068</c:v>
                </c:pt>
                <c:pt idx="136">
                  <c:v>9486.7257109707607</c:v>
                </c:pt>
                <c:pt idx="137">
                  <c:v>9511.7330506097096</c:v>
                </c:pt>
                <c:pt idx="138">
                  <c:v>8682.4517821835798</c:v>
                </c:pt>
                <c:pt idx="139">
                  <c:v>8501.8513671631008</c:v>
                </c:pt>
                <c:pt idx="140">
                  <c:v>9015.5339200978906</c:v>
                </c:pt>
                <c:pt idx="141">
                  <c:v>11481.3055820068</c:v>
                </c:pt>
                <c:pt idx="142">
                  <c:v>11518.205015293201</c:v>
                </c:pt>
                <c:pt idx="143">
                  <c:v>11514.796010836601</c:v>
                </c:pt>
                <c:pt idx="144">
                  <c:v>11005.8148306888</c:v>
                </c:pt>
                <c:pt idx="145">
                  <c:v>9991.6869332598508</c:v>
                </c:pt>
                <c:pt idx="146">
                  <c:v>10018.8244671507</c:v>
                </c:pt>
                <c:pt idx="147">
                  <c:v>10014.7464146742</c:v>
                </c:pt>
                <c:pt idx="148">
                  <c:v>11491.9414816807</c:v>
                </c:pt>
                <c:pt idx="149">
                  <c:v>9981.7166691036691</c:v>
                </c:pt>
                <c:pt idx="150">
                  <c:v>10010.049563676101</c:v>
                </c:pt>
                <c:pt idx="151">
                  <c:v>9297.2417760750104</c:v>
                </c:pt>
                <c:pt idx="152">
                  <c:v>10018.377330343899</c:v>
                </c:pt>
                <c:pt idx="153">
                  <c:v>10018.527104356001</c:v>
                </c:pt>
                <c:pt idx="154">
                  <c:v>10009.140276063699</c:v>
                </c:pt>
                <c:pt idx="155">
                  <c:v>9090.0082192930404</c:v>
                </c:pt>
                <c:pt idx="156">
                  <c:v>9005.7071581515593</c:v>
                </c:pt>
                <c:pt idx="157">
                  <c:v>9443.9491102750198</c:v>
                </c:pt>
                <c:pt idx="158">
                  <c:v>10057.5895031208</c:v>
                </c:pt>
                <c:pt idx="159">
                  <c:v>11370.568611074101</c:v>
                </c:pt>
                <c:pt idx="160">
                  <c:v>10457.3979232481</c:v>
                </c:pt>
                <c:pt idx="161">
                  <c:v>9285.7555290119308</c:v>
                </c:pt>
                <c:pt idx="162">
                  <c:v>9058.7366405960893</c:v>
                </c:pt>
                <c:pt idx="163">
                  <c:v>9393.7974035745192</c:v>
                </c:pt>
                <c:pt idx="164">
                  <c:v>9478.7090144969607</c:v>
                </c:pt>
                <c:pt idx="165">
                  <c:v>9563.3482828430206</c:v>
                </c:pt>
                <c:pt idx="166">
                  <c:v>9803.4264601938103</c:v>
                </c:pt>
                <c:pt idx="167">
                  <c:v>9754.0374627311194</c:v>
                </c:pt>
                <c:pt idx="168">
                  <c:v>8998.67685438222</c:v>
                </c:pt>
                <c:pt idx="169">
                  <c:v>8501.6494525622093</c:v>
                </c:pt>
                <c:pt idx="170">
                  <c:v>8978.5729925646301</c:v>
                </c:pt>
                <c:pt idx="171">
                  <c:v>10298.201443907201</c:v>
                </c:pt>
                <c:pt idx="172">
                  <c:v>10875.385910916501</c:v>
                </c:pt>
                <c:pt idx="173">
                  <c:v>10816.7230819987</c:v>
                </c:pt>
                <c:pt idx="174">
                  <c:v>10935.1524455256</c:v>
                </c:pt>
                <c:pt idx="175">
                  <c:v>11267.232810527201</c:v>
                </c:pt>
                <c:pt idx="176">
                  <c:v>12319.340828742501</c:v>
                </c:pt>
                <c:pt idx="177">
                  <c:v>12018.6198845616</c:v>
                </c:pt>
                <c:pt idx="178">
                  <c:v>12018.958627218601</c:v>
                </c:pt>
                <c:pt idx="179">
                  <c:v>11744.1923074964</c:v>
                </c:pt>
                <c:pt idx="180">
                  <c:v>11768.95356</c:v>
                </c:pt>
                <c:pt idx="181">
                  <c:v>9990.8197110000001</c:v>
                </c:pt>
                <c:pt idx="182">
                  <c:v>12195.22457</c:v>
                </c:pt>
                <c:pt idx="183">
                  <c:v>14424.00877</c:v>
                </c:pt>
                <c:pt idx="184">
                  <c:v>12483.040499999999</c:v>
                </c:pt>
                <c:pt idx="185">
                  <c:v>11999.52204</c:v>
                </c:pt>
                <c:pt idx="186">
                  <c:v>12336.863450000001</c:v>
                </c:pt>
                <c:pt idx="187">
                  <c:v>14236.544540000001</c:v>
                </c:pt>
                <c:pt idx="188">
                  <c:v>12985.14567</c:v>
                </c:pt>
                <c:pt idx="189">
                  <c:v>14619.821019999999</c:v>
                </c:pt>
                <c:pt idx="190">
                  <c:v>14236.544540000001</c:v>
                </c:pt>
                <c:pt idx="191">
                  <c:v>12919.7736</c:v>
                </c:pt>
                <c:pt idx="192">
                  <c:v>12902.80154</c:v>
                </c:pt>
                <c:pt idx="193">
                  <c:v>12885.46939</c:v>
                </c:pt>
                <c:pt idx="194">
                  <c:v>12867.80178</c:v>
                </c:pt>
                <c:pt idx="195">
                  <c:v>12849.825940000001</c:v>
                </c:pt>
                <c:pt idx="196">
                  <c:v>12831.57156</c:v>
                </c:pt>
                <c:pt idx="197">
                  <c:v>12813.070530000001</c:v>
                </c:pt>
                <c:pt idx="198">
                  <c:v>12794.356739999999</c:v>
                </c:pt>
                <c:pt idx="199">
                  <c:v>12775.465770000001</c:v>
                </c:pt>
                <c:pt idx="200">
                  <c:v>12756.43453</c:v>
                </c:pt>
                <c:pt idx="201">
                  <c:v>12737.30097</c:v>
                </c:pt>
                <c:pt idx="202">
                  <c:v>12718.10362</c:v>
                </c:pt>
                <c:pt idx="203">
                  <c:v>12698.881289999999</c:v>
                </c:pt>
              </c:numCache>
            </c:numRef>
          </c:val>
          <c:smooth val="0"/>
          <c:extLst>
            <c:ext xmlns:c16="http://schemas.microsoft.com/office/drawing/2014/chart" uri="{C3380CC4-5D6E-409C-BE32-E72D297353CC}">
              <c16:uniqueId val="{00000003-D9EE-4C7B-84E5-7D0F30C743BF}"/>
            </c:ext>
          </c:extLst>
        </c:ser>
        <c:dLbls>
          <c:showLegendKey val="0"/>
          <c:showVal val="0"/>
          <c:showCatName val="0"/>
          <c:showSerName val="0"/>
          <c:showPercent val="0"/>
          <c:showBubbleSize val="0"/>
        </c:dLbls>
        <c:smooth val="0"/>
        <c:axId val="212859520"/>
        <c:axId val="232850176"/>
      </c:lineChart>
      <c:catAx>
        <c:axId val="2128595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Time (Years/Months)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2850176"/>
        <c:crosses val="autoZero"/>
        <c:auto val="1"/>
        <c:lblAlgn val="ctr"/>
        <c:lblOffset val="100"/>
        <c:noMultiLvlLbl val="0"/>
      </c:catAx>
      <c:valAx>
        <c:axId val="232850176"/>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b="1">
                    <a:latin typeface="Times New Roman" panose="02020603050405020304" pitchFamily="18" charset="0"/>
                    <a:cs typeface="Times New Roman" panose="02020603050405020304" pitchFamily="18" charset="0"/>
                  </a:rPr>
                  <a:t>Prices (Rs. /qtl)</a:t>
                </a:r>
              </a:p>
            </c:rich>
          </c:tx>
          <c:overlay val="0"/>
          <c:spPr>
            <a:noFill/>
            <a:ln>
              <a:noFill/>
            </a:ln>
            <a:effectLst/>
          </c:sp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28595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900"/>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93418-B3FC-44AB-84B9-37D6BADE2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541</TotalTime>
  <Pages>11</Pages>
  <Words>3796</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Sowmya Chowduru</dc:creator>
  <cp:lastModifiedBy>SDI 1084</cp:lastModifiedBy>
  <cp:revision>58</cp:revision>
  <cp:lastPrinted>2026-05-13T12:16:00Z</cp:lastPrinted>
  <dcterms:created xsi:type="dcterms:W3CDTF">2026-05-11T11:11:00Z</dcterms:created>
  <dcterms:modified xsi:type="dcterms:W3CDTF">2026-05-16T13:30:00Z</dcterms:modified>
</cp:coreProperties>
</file>