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D9889" w14:textId="77777777" w:rsidR="00AA5D61" w:rsidRDefault="00AA5D61" w:rsidP="00E46CFC">
      <w:pPr>
        <w:spacing w:after="0" w:line="240" w:lineRule="auto"/>
        <w:jc w:val="center"/>
        <w:rPr>
          <w:rFonts w:ascii="Times New Roman" w:eastAsia="Times New Roman" w:hAnsi="Times New Roman" w:cs="Times New Roman"/>
          <w:b/>
          <w:bCs/>
          <w:kern w:val="0"/>
          <w:sz w:val="28"/>
          <w:szCs w:val="28"/>
          <w:lang w:eastAsia="en-IN"/>
          <w14:ligatures w14:val="none"/>
        </w:rPr>
      </w:pPr>
      <w:r w:rsidRPr="00AA5D61">
        <w:rPr>
          <w:rFonts w:ascii="Times New Roman" w:eastAsia="Times New Roman" w:hAnsi="Times New Roman" w:cs="Times New Roman"/>
          <w:b/>
          <w:bCs/>
          <w:kern w:val="0"/>
          <w:sz w:val="28"/>
          <w:szCs w:val="28"/>
          <w:lang w:eastAsia="en-IN"/>
          <w14:ligatures w14:val="none"/>
        </w:rPr>
        <w:t xml:space="preserve">Review Article </w:t>
      </w:r>
    </w:p>
    <w:p w14:paraId="1B77107B" w14:textId="77777777" w:rsidR="005F58FC" w:rsidRDefault="005F58FC" w:rsidP="00E46CFC">
      <w:pPr>
        <w:spacing w:after="0" w:line="240" w:lineRule="auto"/>
        <w:jc w:val="center"/>
        <w:rPr>
          <w:rFonts w:ascii="Times New Roman" w:eastAsia="Times New Roman" w:hAnsi="Times New Roman" w:cs="Times New Roman"/>
          <w:b/>
          <w:bCs/>
          <w:kern w:val="0"/>
          <w:sz w:val="28"/>
          <w:szCs w:val="28"/>
          <w:lang w:eastAsia="en-IN"/>
          <w14:ligatures w14:val="none"/>
        </w:rPr>
      </w:pPr>
    </w:p>
    <w:p w14:paraId="1FCAFD66" w14:textId="2A1209A7" w:rsidR="005F58FC" w:rsidRDefault="00E46CFC" w:rsidP="00B4042A">
      <w:pPr>
        <w:spacing w:after="0" w:line="240" w:lineRule="auto"/>
        <w:jc w:val="center"/>
        <w:rPr>
          <w:rFonts w:ascii="Times New Roman" w:eastAsia="Times New Roman" w:hAnsi="Times New Roman" w:cs="Times New Roman"/>
          <w:kern w:val="0"/>
          <w:sz w:val="24"/>
          <w:szCs w:val="24"/>
          <w:lang w:eastAsia="en-IN"/>
          <w14:ligatures w14:val="none"/>
        </w:rPr>
      </w:pPr>
      <w:r w:rsidRPr="00E46CFC">
        <w:rPr>
          <w:rFonts w:ascii="Times New Roman" w:eastAsia="Times New Roman" w:hAnsi="Times New Roman" w:cs="Times New Roman"/>
          <w:b/>
          <w:bCs/>
          <w:kern w:val="0"/>
          <w:sz w:val="28"/>
          <w:szCs w:val="28"/>
          <w:lang w:eastAsia="en-IN"/>
          <w14:ligatures w14:val="none"/>
        </w:rPr>
        <w:t>Strengthening Agribusiness Value Chains through Farmer Producer Organizations (FPOs): Opportunities, Constraints, and Policy Implications — A Review</w:t>
      </w: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p>
    <w:p w14:paraId="11092476" w14:textId="77777777" w:rsidR="00B4042A" w:rsidRDefault="00B4042A" w:rsidP="00B4042A">
      <w:pPr>
        <w:spacing w:after="0" w:line="240" w:lineRule="auto"/>
        <w:jc w:val="center"/>
        <w:rPr>
          <w:rFonts w:ascii="Times New Roman" w:eastAsia="Times New Roman" w:hAnsi="Times New Roman" w:cs="Times New Roman"/>
          <w:kern w:val="0"/>
          <w:sz w:val="24"/>
          <w:szCs w:val="24"/>
          <w:lang w:eastAsia="en-IN"/>
          <w14:ligatures w14:val="none"/>
        </w:rPr>
      </w:pPr>
      <w:bookmarkStart w:id="0" w:name="_GoBack"/>
      <w:bookmarkEnd w:id="0"/>
    </w:p>
    <w:p w14:paraId="49B54A55" w14:textId="77777777" w:rsidR="006A5124" w:rsidRDefault="006A5124" w:rsidP="00E46CFC">
      <w:pPr>
        <w:spacing w:after="0" w:line="240" w:lineRule="auto"/>
        <w:jc w:val="center"/>
        <w:rPr>
          <w:rFonts w:ascii="Times New Roman" w:eastAsia="Times New Roman" w:hAnsi="Times New Roman" w:cs="Times New Roman"/>
          <w:kern w:val="0"/>
          <w:sz w:val="24"/>
          <w:szCs w:val="24"/>
          <w:lang w:eastAsia="en-IN"/>
          <w14:ligatures w14:val="none"/>
        </w:rPr>
      </w:pPr>
    </w:p>
    <w:p w14:paraId="143DD110" w14:textId="77777777" w:rsidR="006A5124" w:rsidRPr="006A5124" w:rsidRDefault="006A5124" w:rsidP="006A5124">
      <w:pPr>
        <w:spacing w:after="0" w:line="240" w:lineRule="auto"/>
        <w:jc w:val="both"/>
        <w:rPr>
          <w:rFonts w:ascii="Times New Roman" w:eastAsia="Times New Roman" w:hAnsi="Symbol" w:cs="Times New Roman"/>
          <w:b/>
          <w:bCs/>
          <w:kern w:val="0"/>
          <w:sz w:val="24"/>
          <w:szCs w:val="24"/>
          <w:lang w:eastAsia="en-IN"/>
          <w14:ligatures w14:val="none"/>
        </w:rPr>
      </w:pPr>
      <w:r w:rsidRPr="006A5124">
        <w:rPr>
          <w:rFonts w:ascii="Times New Roman" w:eastAsia="Times New Roman" w:hAnsi="Symbol" w:cs="Times New Roman"/>
          <w:b/>
          <w:bCs/>
          <w:kern w:val="0"/>
          <w:sz w:val="28"/>
          <w:szCs w:val="28"/>
          <w:lang w:eastAsia="en-IN"/>
          <w14:ligatures w14:val="none"/>
        </w:rPr>
        <w:t>Abstract</w:t>
      </w:r>
    </w:p>
    <w:p w14:paraId="228A0817" w14:textId="77777777" w:rsidR="006A5124" w:rsidRP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Agribusiness value chains play a crucial role in improving agricultural productivity, market efficiency, rural employment, and farmers’ income, particularly in developing economies where agriculture remains the primary source of livelihood. However, small and marginal farmers often face persistent challenges such as fragmented landholdings, weak bargaining power, inadequate infrastructure, limited access to quality inputs, and poor market integration, which restrict their participation in profitable agricultural markets. In this context, Farmer Producer Organizations (FPOs) have emerged as important collective institutional models that empower farmers through aggregation, collective action, and market-oriented business approaches. This review critically examines the role of FPOs in strengthening agribusiness value chains by improving input access, enhancing bargaining capacity, facilitating value addition, promoting collective marketing, and integrating farmers with modern supply chains. The study further explores how FPOs contribute to inclusive agribusiness development through financial inclusion, digital marketing platforms, entrepreneurship development, and access to extension and advisory services. The review identifies major opportunities associated with FPOs, including economies of scale, improved price realization, export potential, technology adoption, and sustainable agricultural practices. At the same time, several structural and institutional constraints continue to affect their long-term sustainability. Key challenges include inadequate storage and processing infrastructure, weak managerial and governance capacity, insufficient access to institutional finance, policy implementation gaps, poor digital literacy, and unstable market linkages. The review highlights the need for integrated policy support, professional management systems, digital infrastructure, capacity-building programmes, and stronger public–private partnerships to improve FPO performance. Overall, the study concludes that well-functioning FPOs possess significant transformative potential for creating resilient, inclusive, and farmer-centric agribusiness systems capable of strengthening rural livelihoods and sustainable agricultural development.</w:t>
      </w:r>
    </w:p>
    <w:p w14:paraId="4E0B11E2" w14:textId="77777777" w:rsidR="006A5124" w:rsidRDefault="006A5124" w:rsidP="006A5124">
      <w:pPr>
        <w:spacing w:after="0" w:line="240" w:lineRule="auto"/>
        <w:jc w:val="both"/>
        <w:rPr>
          <w:rFonts w:ascii="Times New Roman" w:eastAsia="Times New Roman" w:hAnsi="Symbol" w:cs="Times New Roman"/>
          <w:b/>
          <w:bCs/>
          <w:kern w:val="0"/>
          <w:sz w:val="24"/>
          <w:szCs w:val="24"/>
          <w:lang w:eastAsia="en-IN"/>
          <w14:ligatures w14:val="none"/>
        </w:rPr>
      </w:pPr>
    </w:p>
    <w:p w14:paraId="2F0401BF" w14:textId="66405BB5" w:rsidR="006A5124" w:rsidRDefault="006A5124" w:rsidP="006A5124">
      <w:pPr>
        <w:spacing w:after="0" w:line="240" w:lineRule="auto"/>
        <w:rPr>
          <w:rFonts w:ascii="Times New Roman" w:eastAsia="Times New Roman" w:hAnsi="Times New Roman" w:cs="Times New Roman"/>
          <w:kern w:val="0"/>
          <w:sz w:val="24"/>
          <w:szCs w:val="24"/>
          <w:lang w:eastAsia="en-IN"/>
          <w14:ligatures w14:val="none"/>
        </w:rPr>
      </w:pPr>
      <w:r w:rsidRPr="006A5124">
        <w:rPr>
          <w:rFonts w:ascii="Times New Roman" w:eastAsia="Times New Roman" w:hAnsi="Symbol" w:cs="Times New Roman"/>
          <w:b/>
          <w:bCs/>
          <w:kern w:val="0"/>
          <w:sz w:val="24"/>
          <w:szCs w:val="24"/>
          <w:lang w:eastAsia="en-IN"/>
          <w14:ligatures w14:val="none"/>
        </w:rPr>
        <w:t>Keywords:</w:t>
      </w:r>
      <w:r w:rsidRPr="006A5124">
        <w:rPr>
          <w:rFonts w:ascii="Times New Roman" w:eastAsia="Times New Roman" w:hAnsi="Times New Roman" w:cs="Times New Roman"/>
          <w:kern w:val="0"/>
          <w:sz w:val="24"/>
          <w:szCs w:val="24"/>
          <w:lang w:eastAsia="en-IN"/>
          <w14:ligatures w14:val="none"/>
        </w:rPr>
        <w:t xml:space="preserve"> Smallholder Farmers</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Agricultural Commercialization</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Market Linkages</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Rural Entrepreneurship</w:t>
      </w:r>
      <w:r>
        <w:rPr>
          <w:rFonts w:ascii="Times New Roman" w:eastAsia="Times New Roman" w:hAnsi="Times New Roman" w:cs="Times New Roman"/>
          <w:kern w:val="0"/>
          <w:sz w:val="24"/>
          <w:szCs w:val="24"/>
          <w:lang w:eastAsia="en-IN"/>
          <w14:ligatures w14:val="none"/>
        </w:rPr>
        <w:t xml:space="preserve">, </w:t>
      </w:r>
      <w:r w:rsidRPr="006A5124">
        <w:rPr>
          <w:rFonts w:ascii="Times New Roman" w:eastAsia="Times New Roman" w:hAnsi="Times New Roman" w:cs="Times New Roman"/>
          <w:kern w:val="0"/>
          <w:sz w:val="24"/>
          <w:szCs w:val="24"/>
          <w:lang w:eastAsia="en-IN"/>
          <w14:ligatures w14:val="none"/>
        </w:rPr>
        <w:t>Sustainable Agriculture</w:t>
      </w:r>
    </w:p>
    <w:p w14:paraId="759B89EE" w14:textId="77777777" w:rsidR="00E75E9E" w:rsidRDefault="00E75E9E" w:rsidP="006A5124">
      <w:pPr>
        <w:spacing w:after="0" w:line="240" w:lineRule="auto"/>
        <w:rPr>
          <w:rFonts w:ascii="Times New Roman" w:eastAsia="Times New Roman" w:hAnsi="Times New Roman" w:cs="Times New Roman"/>
          <w:kern w:val="0"/>
          <w:sz w:val="24"/>
          <w:szCs w:val="24"/>
          <w:lang w:eastAsia="en-IN"/>
          <w14:ligatures w14:val="none"/>
        </w:rPr>
      </w:pPr>
    </w:p>
    <w:p w14:paraId="7EC99714"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 Introduction</w:t>
      </w:r>
    </w:p>
    <w:p w14:paraId="16B5D1C7"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1.1 Background and Context</w:t>
      </w:r>
    </w:p>
    <w:p w14:paraId="583D8E57"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 xml:space="preserve">Agriculture continues to be the backbone of rural livelihoods in many developing countries, yet small and marginal farmers often remain disconnected from profitable markets and modern agribusiness systems. Fragmented landholdings, limited access to quality inputs, inadequate storage and transportation facilities, and weak bargaining power restrict farmers from participating effectively in value chains. Increasing commercialization and globalization of agriculture have further intensified the need for efficient agribusiness value chains that can ensure better market integration, reduced transaction costs, and improved income opportunities for producers. Studies have shown that market imperfections, poor institutional support, and </w:t>
      </w:r>
      <w:r w:rsidRPr="00296B46">
        <w:rPr>
          <w:rFonts w:ascii="Times New Roman" w:eastAsia="Times New Roman" w:hAnsi="Times New Roman" w:cs="Times New Roman"/>
          <w:kern w:val="0"/>
          <w:sz w:val="24"/>
          <w:szCs w:val="24"/>
          <w:lang w:eastAsia="en-IN"/>
          <w14:ligatures w14:val="none"/>
        </w:rPr>
        <w:lastRenderedPageBreak/>
        <w:t>lack of collective bargaining significantly constrain smallholder participation in modern supply chains (Barrett, 2008; Shiferaw et al., 2011).</w:t>
      </w:r>
    </w:p>
    <w:p w14:paraId="16DDC3E2"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4C8A91A5"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 xml:space="preserve">In response to these challenges, collective action models such as cooperatives and Farmer Producer Organizations (FPOs) have emerged as important institutional mechanisms for strengthening farmers’ market participation. Collective institutions enable farmers to pool resources, reduce production and marketing risks, and improve access to information, credit, and technologies (Ostrom, 1990; </w:t>
      </w:r>
      <w:proofErr w:type="spellStart"/>
      <w:r w:rsidRPr="00296B46">
        <w:rPr>
          <w:rFonts w:ascii="Times New Roman" w:eastAsia="Times New Roman" w:hAnsi="Times New Roman" w:cs="Times New Roman"/>
          <w:kern w:val="0"/>
          <w:sz w:val="24"/>
          <w:szCs w:val="24"/>
          <w:lang w:eastAsia="en-IN"/>
          <w14:ligatures w14:val="none"/>
        </w:rPr>
        <w:t>Markelova</w:t>
      </w:r>
      <w:proofErr w:type="spellEnd"/>
      <w:r w:rsidRPr="00296B46">
        <w:rPr>
          <w:rFonts w:ascii="Times New Roman" w:eastAsia="Times New Roman" w:hAnsi="Times New Roman" w:cs="Times New Roman"/>
          <w:kern w:val="0"/>
          <w:sz w:val="24"/>
          <w:szCs w:val="24"/>
          <w:lang w:eastAsia="en-IN"/>
          <w14:ligatures w14:val="none"/>
        </w:rPr>
        <w:t xml:space="preserve"> et al., 2009). The growing emphasis on inclusive agribusiness development has therefore increased policy interest in FPO-led value chain integration.</w:t>
      </w:r>
    </w:p>
    <w:p w14:paraId="13041543"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7B02524F"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1.2 Concept and Evolution of Farmer Producer Organizations</w:t>
      </w:r>
    </w:p>
    <w:p w14:paraId="231CAC11"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Farmer Producer Organizations are member-based institutions formed by primary producers with the objective of improving their economic and social welfare through collective action. FPOs generally operate as legally registered entities that aggregate produce, facilitate input procurement, provide extension services, and establish market linkages for member farmers. Unlike traditional informal farmer groups, FPOs are professionally managed and business-oriented institutions that combine cooperative values with entrepreneurial approaches (Trebbin &amp; Hassler, 2012).</w:t>
      </w:r>
    </w:p>
    <w:p w14:paraId="70F87529"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1E01DC53"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Historically, collective farming and producer associations have existed in different forms across the world. Early agricultural cooperatives primarily focused on mutual assistance and resource sharing. Over time, changing market dynamics and agribusiness expansion encouraged the evolution of more commercially driven producer organizations. The emergence of FPOs in countries such as India reflects efforts to modernize farmer collectives and align them with competitive market systems (Ghosh &amp; Maharjan, 2019).</w:t>
      </w:r>
    </w:p>
    <w:p w14:paraId="350EDDCC"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486E0EF4"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Although FPOs share similarities with cooperatives, important differences exist between the two models. Traditional cooperatives are often criticized for bureaucratic functioning, political interference, and weak accountability structures (Ortmann &amp; King, 2007). In contrast, FPOs are designed to function as farmer-owned business enterprises with greater managerial flexibility, professional governance, and market orientation. This distinction allows FPOs to respond more effectively to evolving agribusiness opportunities.</w:t>
      </w:r>
    </w:p>
    <w:p w14:paraId="6CB6ED99"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41408653"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1.3 Importance of FPOs in Agribusiness Development</w:t>
      </w:r>
    </w:p>
    <w:p w14:paraId="636DF644" w14:textId="77777777" w:rsidR="00296B46" w:rsidRP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FPOs play a critical role in strengthening agribusiness value chains by facilitating aggregation of produce and collective procurement of agricultural inputs. Through aggregation, smallholders can achieve economies of scale, reduce transportation and marketing costs, and negotiate better prices in the marketplace (Hellin et al., 2009). Collective procurement of seeds, fertilizers, and machinery also lowers production costs and improves access to quality inputs.</w:t>
      </w:r>
    </w:p>
    <w:p w14:paraId="0C8D7FEC"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Another significant contribution of FPOs is the enhancement of farmers’ bargaining power within agricultural markets. Individual smallholders often face exploitation from intermediaries due to weak negotiating capacity and inadequate market information. By organizing producers collectively, FPOs improve farmers’ access to organized retail markets, processors, exporters, and contract farming arrangements (Trebbin, 2014). Empirical studies indicate that participation in producer organizations positively influences productivity, technical efficiency, and household income (Abate et al., 2014; Ma et al., 2022).</w:t>
      </w:r>
    </w:p>
    <w:p w14:paraId="077804C6"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2B7145D2"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 xml:space="preserve">FPOs also promote entrepreneurship, rural employment, and inclusive development. They encourage value addition activities such as grading, processing, packaging, and branding, </w:t>
      </w:r>
      <w:r w:rsidRPr="00296B46">
        <w:rPr>
          <w:rFonts w:ascii="Times New Roman" w:eastAsia="Times New Roman" w:hAnsi="Times New Roman" w:cs="Times New Roman"/>
          <w:kern w:val="0"/>
          <w:sz w:val="24"/>
          <w:szCs w:val="24"/>
          <w:lang w:eastAsia="en-IN"/>
          <w14:ligatures w14:val="none"/>
        </w:rPr>
        <w:lastRenderedPageBreak/>
        <w:t>thereby creating employment opportunities in rural areas. Women’s participation in collective enterprises has additionally contributed to social empowerment and community development (Datta &amp; Gailey, 2012). Thus, FPOs are increasingly viewed as catalysts for sustainable agribusiness transformation.</w:t>
      </w:r>
    </w:p>
    <w:p w14:paraId="3800ABFF"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33904EE6"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1.4 Rationale of the Review</w:t>
      </w:r>
    </w:p>
    <w:p w14:paraId="422F9D94"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Despite the growing recognition of FPOs, their overall effectiveness in strengthening agribusiness value chains remains uneven across regions and commodities. Several studies highlight challenges related to inadequate managerial capacity, financial constraints, poor infrastructure, weak governance, and limited access to institutional credit (Pandey &amp; Singh, 2022). Furthermore, many FPOs struggle to establish sustainable market linkages and compete with private agribusiness firms. Existing literature often focuses either on cooperative performance or market participation, while comprehensive reviews examining FPOs within the broader context of value chain integration and policy support remain limited. Therefore, a critical review is necessary to evaluate the opportunities, constraints, and long-term sustainability of FPO-led agribusiness development.</w:t>
      </w:r>
    </w:p>
    <w:p w14:paraId="1C83907D"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37BD104E" w14:textId="77777777" w:rsidR="00296B46" w:rsidRPr="00296B46" w:rsidRDefault="00296B46" w:rsidP="00296B46">
      <w:pPr>
        <w:spacing w:after="0" w:line="240" w:lineRule="auto"/>
        <w:jc w:val="both"/>
        <w:rPr>
          <w:rFonts w:ascii="Times New Roman" w:eastAsia="Times New Roman" w:hAnsi="Times New Roman" w:cs="Times New Roman"/>
          <w:b/>
          <w:bCs/>
          <w:kern w:val="0"/>
          <w:sz w:val="24"/>
          <w:szCs w:val="24"/>
          <w:lang w:eastAsia="en-IN"/>
          <w14:ligatures w14:val="none"/>
        </w:rPr>
      </w:pPr>
      <w:r w:rsidRPr="00296B46">
        <w:rPr>
          <w:rFonts w:ascii="Times New Roman" w:eastAsia="Times New Roman" w:hAnsi="Times New Roman" w:cs="Times New Roman"/>
          <w:b/>
          <w:bCs/>
          <w:kern w:val="0"/>
          <w:sz w:val="24"/>
          <w:szCs w:val="24"/>
          <w:lang w:eastAsia="en-IN"/>
          <w14:ligatures w14:val="none"/>
        </w:rPr>
        <w:t>1.5 Objectives of the Review</w:t>
      </w:r>
    </w:p>
    <w:p w14:paraId="6B275C7F" w14:textId="77777777"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r w:rsidRPr="00296B46">
        <w:rPr>
          <w:rFonts w:ascii="Times New Roman" w:eastAsia="Times New Roman" w:hAnsi="Times New Roman" w:cs="Times New Roman"/>
          <w:kern w:val="0"/>
          <w:sz w:val="24"/>
          <w:szCs w:val="24"/>
          <w:lang w:eastAsia="en-IN"/>
          <w14:ligatures w14:val="none"/>
        </w:rPr>
        <w:t xml:space="preserve">This review aims to critically </w:t>
      </w:r>
      <w:proofErr w:type="spellStart"/>
      <w:r w:rsidRPr="00296B46">
        <w:rPr>
          <w:rFonts w:ascii="Times New Roman" w:eastAsia="Times New Roman" w:hAnsi="Times New Roman" w:cs="Times New Roman"/>
          <w:kern w:val="0"/>
          <w:sz w:val="24"/>
          <w:szCs w:val="24"/>
          <w:lang w:eastAsia="en-IN"/>
          <w14:ligatures w14:val="none"/>
        </w:rPr>
        <w:t>analyze</w:t>
      </w:r>
      <w:proofErr w:type="spellEnd"/>
      <w:r w:rsidRPr="00296B46">
        <w:rPr>
          <w:rFonts w:ascii="Times New Roman" w:eastAsia="Times New Roman" w:hAnsi="Times New Roman" w:cs="Times New Roman"/>
          <w:kern w:val="0"/>
          <w:sz w:val="24"/>
          <w:szCs w:val="24"/>
          <w:lang w:eastAsia="en-IN"/>
          <w14:ligatures w14:val="none"/>
        </w:rPr>
        <w:t xml:space="preserve"> the contribution of Farmer Producer Organizations in strengthening agribusiness value chains and improving smallholder market participation. It further seeks to identify the major opportunities and constraints influencing FPO performance, including institutional, financial, and governance-related challenges. Finally, the review examines policy implications and future strategies required for sustainable and inclusive development of FPOs in modern agriculture.</w:t>
      </w:r>
    </w:p>
    <w:p w14:paraId="13E60383" w14:textId="77777777" w:rsidR="00E75E9E" w:rsidRPr="00296B46" w:rsidRDefault="00E75E9E"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60145E02" w14:textId="77777777" w:rsidR="00296B46" w:rsidRPr="00296B46" w:rsidRDefault="00296B46" w:rsidP="00296B46">
      <w:pPr>
        <w:spacing w:after="0" w:line="240" w:lineRule="auto"/>
        <w:jc w:val="both"/>
        <w:rPr>
          <w:rFonts w:ascii="Times New Roman" w:eastAsia="Times New Roman" w:hAnsi="Times New Roman" w:cs="Times New Roman"/>
          <w:vanish/>
          <w:kern w:val="0"/>
          <w:sz w:val="24"/>
          <w:szCs w:val="24"/>
          <w:lang w:eastAsia="en-IN"/>
          <w14:ligatures w14:val="none"/>
        </w:rPr>
      </w:pPr>
      <w:r w:rsidRPr="00296B46">
        <w:rPr>
          <w:rFonts w:ascii="Times New Roman" w:eastAsia="Times New Roman" w:hAnsi="Times New Roman" w:cs="Times New Roman"/>
          <w:vanish/>
          <w:kern w:val="0"/>
          <w:sz w:val="24"/>
          <w:szCs w:val="24"/>
          <w:lang w:eastAsia="en-IN"/>
          <w14:ligatures w14:val="none"/>
        </w:rPr>
        <w:t>Top of Form</w:t>
      </w:r>
    </w:p>
    <w:p w14:paraId="086765E5" w14:textId="77777777" w:rsidR="00296B46" w:rsidRPr="00296B46" w:rsidRDefault="00296B46" w:rsidP="00296B46">
      <w:pPr>
        <w:spacing w:after="0" w:line="240" w:lineRule="auto"/>
        <w:jc w:val="both"/>
        <w:rPr>
          <w:rFonts w:ascii="Times New Roman" w:eastAsia="Times New Roman" w:hAnsi="Times New Roman" w:cs="Times New Roman"/>
          <w:vanish/>
          <w:kern w:val="0"/>
          <w:sz w:val="24"/>
          <w:szCs w:val="24"/>
          <w:lang w:eastAsia="en-IN"/>
          <w14:ligatures w14:val="none"/>
        </w:rPr>
      </w:pPr>
      <w:r w:rsidRPr="00296B46">
        <w:rPr>
          <w:rFonts w:ascii="Times New Roman" w:eastAsia="Times New Roman" w:hAnsi="Times New Roman" w:cs="Times New Roman"/>
          <w:vanish/>
          <w:kern w:val="0"/>
          <w:sz w:val="24"/>
          <w:szCs w:val="24"/>
          <w:lang w:eastAsia="en-IN"/>
          <w14:ligatures w14:val="none"/>
        </w:rPr>
        <w:t>Bottom of Form</w:t>
      </w:r>
    </w:p>
    <w:p w14:paraId="1A11BC68"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2. Methodology</w:t>
      </w:r>
    </w:p>
    <w:p w14:paraId="3575B434"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2.1 Nature of the Study</w:t>
      </w:r>
    </w:p>
    <w:p w14:paraId="7F8F013C"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present study is a review-based analytical investigation that critically examines the role of Farmer Producer Organizations (FPOs) in strengthening agribusiness value chains. The study primarily relies on secondary literature to synthesize existing knowledge related to opportunities, institutional performance, constraints, and policy dimensions associated with FPOs and farmer collectives. The review approach was adopted because FPOs have emerged as an important institutional mechanism for improving market participation, enhancing bargaining power, and integrating smallholders into modern agricultural value chains across developing economies.</w:t>
      </w:r>
    </w:p>
    <w:p w14:paraId="6FE25258"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2C2F4C8A"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analytical nature of the review enabled the comparison of diverse empirical findings from different geographical regions and production systems. Studies focusing on cooperatives, producer companies, farmer associations, and collective action models were also incorporated because these institutional forms share functional similarities with FPOs. The methodology emphasized a critical interpretation of literature rather than a descriptive summary, allowing the identification of recurring patterns, institutional gaps, and policy concerns. The review also considered how FPOs contribute to inclusive agricultural commercialization, technology adoption, input access, value addition, and income enhancement among small and marginal farmers.</w:t>
      </w:r>
    </w:p>
    <w:p w14:paraId="728ECBC4"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2D9819C8"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Furthermore, the study examined both positive and negative experiences of collective action. While several scholars highlighted the economic and social benefits of producer organizations in improving technical efficiency, market access, and livelihood security, others pointed out governance failures, elite capture, weak managerial capacity, and financial limitations affecting </w:t>
      </w:r>
      <w:r w:rsidRPr="00990C6F">
        <w:rPr>
          <w:rFonts w:ascii="Times New Roman" w:eastAsia="Times New Roman" w:hAnsi="Times New Roman" w:cs="Times New Roman"/>
          <w:kern w:val="0"/>
          <w:sz w:val="24"/>
          <w:szCs w:val="24"/>
          <w:lang w:eastAsia="en-IN"/>
          <w14:ligatures w14:val="none"/>
        </w:rPr>
        <w:lastRenderedPageBreak/>
        <w:t>their sustainability. Therefore, the methodology was designed to present a balanced and evidence-based understanding of the functioning of FPOs within agribusiness value chains.</w:t>
      </w:r>
    </w:p>
    <w:p w14:paraId="13A90F5C"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F21EAB8"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2.2 Sources of Data</w:t>
      </w:r>
    </w:p>
    <w:p w14:paraId="13365F40"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study was entirely based on secondary data collected from multiple credible academic and institutional sources. Peer-reviewed journal articles constituted the major source of information because they provided empirical evidence and theoretical insights related to collective action, cooperatives, value chains, and rural institutions. Studies published in journals such as </w:t>
      </w:r>
      <w:r w:rsidRPr="00990C6F">
        <w:rPr>
          <w:rFonts w:ascii="Times New Roman" w:eastAsia="Times New Roman" w:hAnsi="Times New Roman" w:cs="Times New Roman"/>
          <w:i/>
          <w:iCs/>
          <w:kern w:val="0"/>
          <w:sz w:val="24"/>
          <w:szCs w:val="24"/>
          <w:lang w:eastAsia="en-IN"/>
          <w14:ligatures w14:val="none"/>
        </w:rPr>
        <w:t>Food Policy</w:t>
      </w:r>
      <w:r w:rsidRPr="00990C6F">
        <w:rPr>
          <w:rFonts w:ascii="Times New Roman" w:eastAsia="Times New Roman" w:hAnsi="Times New Roman" w:cs="Times New Roman"/>
          <w:kern w:val="0"/>
          <w:sz w:val="24"/>
          <w:szCs w:val="24"/>
          <w:lang w:eastAsia="en-IN"/>
          <w14:ligatures w14:val="none"/>
        </w:rPr>
        <w:t xml:space="preserve">, </w:t>
      </w:r>
      <w:r w:rsidRPr="00990C6F">
        <w:rPr>
          <w:rFonts w:ascii="Times New Roman" w:eastAsia="Times New Roman" w:hAnsi="Times New Roman" w:cs="Times New Roman"/>
          <w:i/>
          <w:iCs/>
          <w:kern w:val="0"/>
          <w:sz w:val="24"/>
          <w:szCs w:val="24"/>
          <w:lang w:eastAsia="en-IN"/>
          <w14:ligatures w14:val="none"/>
        </w:rPr>
        <w:t>World Development</w:t>
      </w:r>
      <w:r w:rsidRPr="00990C6F">
        <w:rPr>
          <w:rFonts w:ascii="Times New Roman" w:eastAsia="Times New Roman" w:hAnsi="Times New Roman" w:cs="Times New Roman"/>
          <w:kern w:val="0"/>
          <w:sz w:val="24"/>
          <w:szCs w:val="24"/>
          <w:lang w:eastAsia="en-IN"/>
          <w14:ligatures w14:val="none"/>
        </w:rPr>
        <w:t xml:space="preserve">, </w:t>
      </w:r>
      <w:r w:rsidRPr="00990C6F">
        <w:rPr>
          <w:rFonts w:ascii="Times New Roman" w:eastAsia="Times New Roman" w:hAnsi="Times New Roman" w:cs="Times New Roman"/>
          <w:i/>
          <w:iCs/>
          <w:kern w:val="0"/>
          <w:sz w:val="24"/>
          <w:szCs w:val="24"/>
          <w:lang w:eastAsia="en-IN"/>
          <w14:ligatures w14:val="none"/>
        </w:rPr>
        <w:t>Agribusiness</w:t>
      </w:r>
      <w:r w:rsidRPr="00990C6F">
        <w:rPr>
          <w:rFonts w:ascii="Times New Roman" w:eastAsia="Times New Roman" w:hAnsi="Times New Roman" w:cs="Times New Roman"/>
          <w:kern w:val="0"/>
          <w:sz w:val="24"/>
          <w:szCs w:val="24"/>
          <w:lang w:eastAsia="en-IN"/>
          <w14:ligatures w14:val="none"/>
        </w:rPr>
        <w:t xml:space="preserve">, </w:t>
      </w:r>
      <w:r w:rsidRPr="00990C6F">
        <w:rPr>
          <w:rFonts w:ascii="Times New Roman" w:eastAsia="Times New Roman" w:hAnsi="Times New Roman" w:cs="Times New Roman"/>
          <w:i/>
          <w:iCs/>
          <w:kern w:val="0"/>
          <w:sz w:val="24"/>
          <w:szCs w:val="24"/>
          <w:lang w:eastAsia="en-IN"/>
          <w14:ligatures w14:val="none"/>
        </w:rPr>
        <w:t>Agricultural Economics</w:t>
      </w:r>
      <w:r w:rsidRPr="00990C6F">
        <w:rPr>
          <w:rFonts w:ascii="Times New Roman" w:eastAsia="Times New Roman" w:hAnsi="Times New Roman" w:cs="Times New Roman"/>
          <w:kern w:val="0"/>
          <w:sz w:val="24"/>
          <w:szCs w:val="24"/>
          <w:lang w:eastAsia="en-IN"/>
          <w14:ligatures w14:val="none"/>
        </w:rPr>
        <w:t xml:space="preserve">, and </w:t>
      </w:r>
      <w:r w:rsidRPr="00990C6F">
        <w:rPr>
          <w:rFonts w:ascii="Times New Roman" w:eastAsia="Times New Roman" w:hAnsi="Times New Roman" w:cs="Times New Roman"/>
          <w:i/>
          <w:iCs/>
          <w:kern w:val="0"/>
          <w:sz w:val="24"/>
          <w:szCs w:val="24"/>
          <w:lang w:eastAsia="en-IN"/>
          <w14:ligatures w14:val="none"/>
        </w:rPr>
        <w:t>Annals of Public and Cooperative Economics</w:t>
      </w:r>
      <w:r w:rsidRPr="00990C6F">
        <w:rPr>
          <w:rFonts w:ascii="Times New Roman" w:eastAsia="Times New Roman" w:hAnsi="Times New Roman" w:cs="Times New Roman"/>
          <w:kern w:val="0"/>
          <w:sz w:val="24"/>
          <w:szCs w:val="24"/>
          <w:lang w:eastAsia="en-IN"/>
          <w14:ligatures w14:val="none"/>
        </w:rPr>
        <w:t xml:space="preserve"> were extensively reviewed to understand the evolving role of FPOs in agricultural transformation.</w:t>
      </w:r>
    </w:p>
    <w:p w14:paraId="5545025C"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27F0DBE4"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Government reports and policy documents were also consulted to examine institutional frameworks and policy interventions supporting FPO development. Reports from organizations such as NITI Aayog, the World Bank, and agricultural policy institutions were particularly useful in understanding reforms related to agricultural marketing, farmer collectivization, and income enhancement strategies. Institutional publications and working papers were included to capture practical experiences from developing countries where farmer organizations have played a significant role in market integration and rural development.</w:t>
      </w:r>
    </w:p>
    <w:p w14:paraId="4E8443A5"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5E3071CC"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In addition, international organization reports and development literature provided comparative perspectives on value-chain development, market reforms, and inclusive commercialization. These sources helped contextualize the role of FPOs within broader agrarian transitions occurring in Asia, Africa, and Latin America. The combination of academic and policy-oriented literature ensured both conceptual depth and practical relevance in the review process.</w:t>
      </w:r>
    </w:p>
    <w:p w14:paraId="55853A39"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038A9341"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2.3 Literature Search Strategy</w:t>
      </w:r>
    </w:p>
    <w:p w14:paraId="763FC68E"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A systematic literature search strategy was adopted to ensure the inclusion of relevant and high-quality studies. Multiple electronic databases and digital repositories were used for collecting literature, including Google Scholar, Scopus, Web of Science, ResearchGate, JSTOR, and institutional databases of organizations such as the World Bank and FAO. Keywords and search phrases were carefully selected to capture different dimensions of FPOs and agribusiness value chains. Important search terms included “Farmer Producer Organizations,” “agricultural cooperatives,” “collective action,” “agribusiness value chains,” “market access,” “smallholder commercialization,” “producer companies,” “contract farming,” “institutional innovations,” and “farmer collectives.”</w:t>
      </w:r>
    </w:p>
    <w:p w14:paraId="65E0EDE4"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07B11A4B"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inclusion criteria focused on studies that specifically addressed the role of farmer organizations in agricultural marketing, value-chain participation, input and output linkages, institutional performance, rural livelihoods, and policy support systems. Both qualitative and quantitative studies were considered to provide comprehensive insights into the operational and socio-economic dimensions of FPOs. Research papers with strong empirical evidence, recognized policy relevance, and methodological clarity were prioritized during the selection process.</w:t>
      </w:r>
    </w:p>
    <w:p w14:paraId="59E3C710"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04A6785"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exclusion criteria involved eliminating studies lacking direct relevance to farmer collectivization, studies with insufficient methodological information, and duplicate publications. Non-agricultural cooperative studies and literature unrelated to value-chain integration were also excluded. The majority of selected literature belonged to the period from 2000 onwards because this phase witnessed increasing policy emphasis on agricultural </w:t>
      </w:r>
      <w:r w:rsidRPr="00990C6F">
        <w:rPr>
          <w:rFonts w:ascii="Times New Roman" w:eastAsia="Times New Roman" w:hAnsi="Times New Roman" w:cs="Times New Roman"/>
          <w:kern w:val="0"/>
          <w:sz w:val="24"/>
          <w:szCs w:val="24"/>
          <w:lang w:eastAsia="en-IN"/>
          <w14:ligatures w14:val="none"/>
        </w:rPr>
        <w:lastRenderedPageBreak/>
        <w:t>commercialization, market reforms, and collective institutions for smallholder empowerment. However, a few foundational studies published earlier were also included to provide theoretical grounding for collective action and institutional economics.</w:t>
      </w:r>
    </w:p>
    <w:p w14:paraId="69E8C482"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1721C9A"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For analytical clarity, the reviewed literature was categorized into major themes such as opportunities created by FPOs, institutional and governance challenges, market integration and commercialization, technology and extension support, policy interventions, and socio-economic impacts on farmers. This thematic organization enabled a structured synthesis of findings and facilitated comparative analysis across different studies and regions.</w:t>
      </w:r>
    </w:p>
    <w:p w14:paraId="02EFD42A"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01C01E22"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2.4 Analytical Framework</w:t>
      </w:r>
    </w:p>
    <w:p w14:paraId="4250BE31"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analytical framework of the study was based on thematic and comparative analysis of the selected literature. The reviewed studies were systematically classified into four broad dimensions: opportunities associated with FPOs, constraints affecting their performance, institutional effectiveness, and policy implications for strengthening agribusiness value chains. This classification helped identify common trends and differences in the functioning of farmer organizations across countries and agricultural systems.</w:t>
      </w:r>
    </w:p>
    <w:p w14:paraId="4DC84A22" w14:textId="77777777" w:rsidR="00E75E9E" w:rsidRPr="00990C6F" w:rsidRDefault="00E75E9E"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5967BB5" w14:textId="6914A179" w:rsidR="00F843FC" w:rsidRP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opportunities dimension examined how FPOs improve farmers’ bargaining power, reduce transaction costs, enhance access to inputs and credit, facilitate collective marketing, encourage value addition, and strengthen linkages with modern retail markets. Studies related to technical efficiency, commercialization, and livelihood improvement were </w:t>
      </w:r>
      <w:proofErr w:type="spellStart"/>
      <w:r w:rsidRPr="00990C6F">
        <w:rPr>
          <w:rFonts w:ascii="Times New Roman" w:eastAsia="Times New Roman" w:hAnsi="Times New Roman" w:cs="Times New Roman"/>
          <w:kern w:val="0"/>
          <w:sz w:val="24"/>
          <w:szCs w:val="24"/>
          <w:lang w:eastAsia="en-IN"/>
          <w14:ligatures w14:val="none"/>
        </w:rPr>
        <w:t>analyzed</w:t>
      </w:r>
      <w:proofErr w:type="spellEnd"/>
      <w:r w:rsidRPr="00990C6F">
        <w:rPr>
          <w:rFonts w:ascii="Times New Roman" w:eastAsia="Times New Roman" w:hAnsi="Times New Roman" w:cs="Times New Roman"/>
          <w:kern w:val="0"/>
          <w:sz w:val="24"/>
          <w:szCs w:val="24"/>
          <w:lang w:eastAsia="en-IN"/>
          <w14:ligatures w14:val="none"/>
        </w:rPr>
        <w:t xml:space="preserve"> under this category. The constraints dimension focused on issues such as weak governance structures, inadequate professional management, poor infrastructure, limited financial resources, low member participation, and policy implementation gaps that restrict the long-term sustainability of FPOs.</w:t>
      </w:r>
    </w:p>
    <w:p w14:paraId="5F08074A"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institutional performance dimension evaluated the effectiveness of collective action mechanisms, leadership structures, social capital formation, and organizational sustainability. Particular attention was given to how institutional quality influences farmer participation and market competitiveness. The policy dimension </w:t>
      </w:r>
      <w:proofErr w:type="spellStart"/>
      <w:r w:rsidRPr="00990C6F">
        <w:rPr>
          <w:rFonts w:ascii="Times New Roman" w:eastAsia="Times New Roman" w:hAnsi="Times New Roman" w:cs="Times New Roman"/>
          <w:kern w:val="0"/>
          <w:sz w:val="24"/>
          <w:szCs w:val="24"/>
          <w:lang w:eastAsia="en-IN"/>
          <w14:ligatures w14:val="none"/>
        </w:rPr>
        <w:t>analyzed</w:t>
      </w:r>
      <w:proofErr w:type="spellEnd"/>
      <w:r w:rsidRPr="00990C6F">
        <w:rPr>
          <w:rFonts w:ascii="Times New Roman" w:eastAsia="Times New Roman" w:hAnsi="Times New Roman" w:cs="Times New Roman"/>
          <w:kern w:val="0"/>
          <w:sz w:val="24"/>
          <w:szCs w:val="24"/>
          <w:lang w:eastAsia="en-IN"/>
          <w14:ligatures w14:val="none"/>
        </w:rPr>
        <w:t xml:space="preserve"> government support measures, legal frameworks, extension systems, digital innovations, and public-private partnerships that can strengthen FPO-led value chains.</w:t>
      </w:r>
    </w:p>
    <w:p w14:paraId="0F2BC8C7"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3E290751" w14:textId="4FD6BC7A" w:rsid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Table 2.</w:t>
      </w:r>
      <w:r>
        <w:rPr>
          <w:rFonts w:ascii="Times New Roman" w:eastAsia="Times New Roman" w:hAnsi="Times New Roman" w:cs="Times New Roman"/>
          <w:b/>
          <w:bCs/>
          <w:kern w:val="0"/>
          <w:sz w:val="24"/>
          <w:szCs w:val="24"/>
          <w:lang w:eastAsia="en-IN"/>
          <w14:ligatures w14:val="none"/>
        </w:rPr>
        <w:t>1</w:t>
      </w:r>
      <w:r w:rsidRPr="00990C6F">
        <w:rPr>
          <w:rFonts w:ascii="Times New Roman" w:eastAsia="Times New Roman" w:hAnsi="Times New Roman" w:cs="Times New Roman"/>
          <w:b/>
          <w:bCs/>
          <w:kern w:val="0"/>
          <w:sz w:val="24"/>
          <w:szCs w:val="24"/>
          <w:lang w:eastAsia="en-IN"/>
          <w14:ligatures w14:val="none"/>
        </w:rPr>
        <w:t>: Case Studies on Government Policies Supporting Farmer Producer Organizations (FPOs) and Agribusiness Value Chains</w:t>
      </w:r>
    </w:p>
    <w:tbl>
      <w:tblPr>
        <w:tblStyle w:val="TableGrid"/>
        <w:tblW w:w="0" w:type="auto"/>
        <w:tblLook w:val="04A0" w:firstRow="1" w:lastRow="0" w:firstColumn="1" w:lastColumn="0" w:noHBand="0" w:noVBand="1"/>
      </w:tblPr>
      <w:tblGrid>
        <w:gridCol w:w="1803"/>
        <w:gridCol w:w="1264"/>
        <w:gridCol w:w="1711"/>
        <w:gridCol w:w="1328"/>
        <w:gridCol w:w="1517"/>
        <w:gridCol w:w="1393"/>
      </w:tblGrid>
      <w:tr w:rsidR="00990C6F" w:rsidRPr="00990C6F" w14:paraId="4718CA08" w14:textId="77777777" w:rsidTr="00990C6F">
        <w:tc>
          <w:tcPr>
            <w:tcW w:w="0" w:type="auto"/>
            <w:hideMark/>
          </w:tcPr>
          <w:p w14:paraId="2B7BD9D0"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Country/Policy Initiative</w:t>
            </w:r>
          </w:p>
        </w:tc>
        <w:tc>
          <w:tcPr>
            <w:tcW w:w="0" w:type="auto"/>
            <w:hideMark/>
          </w:tcPr>
          <w:p w14:paraId="495FD348"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Key Policy Features</w:t>
            </w:r>
          </w:p>
        </w:tc>
        <w:tc>
          <w:tcPr>
            <w:tcW w:w="0" w:type="auto"/>
            <w:hideMark/>
          </w:tcPr>
          <w:p w14:paraId="7C395F5F"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Outcomes and Opportunities</w:t>
            </w:r>
          </w:p>
        </w:tc>
        <w:tc>
          <w:tcPr>
            <w:tcW w:w="0" w:type="auto"/>
            <w:hideMark/>
          </w:tcPr>
          <w:p w14:paraId="400CC722"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Constraints and Critical Issues</w:t>
            </w:r>
          </w:p>
        </w:tc>
        <w:tc>
          <w:tcPr>
            <w:tcW w:w="0" w:type="auto"/>
            <w:hideMark/>
          </w:tcPr>
          <w:p w14:paraId="45403480"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Policy Implications</w:t>
            </w:r>
          </w:p>
        </w:tc>
        <w:tc>
          <w:tcPr>
            <w:tcW w:w="0" w:type="auto"/>
            <w:hideMark/>
          </w:tcPr>
          <w:p w14:paraId="4B2AE179"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Supporting References</w:t>
            </w:r>
          </w:p>
        </w:tc>
      </w:tr>
      <w:tr w:rsidR="00990C6F" w:rsidRPr="00990C6F" w14:paraId="5213A674" w14:textId="77777777" w:rsidTr="00990C6F">
        <w:tc>
          <w:tcPr>
            <w:tcW w:w="0" w:type="auto"/>
            <w:hideMark/>
          </w:tcPr>
          <w:p w14:paraId="1D0B5E0A"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India – Formation and Promotion of 10,000 FPOs Scheme</w:t>
            </w:r>
          </w:p>
        </w:tc>
        <w:tc>
          <w:tcPr>
            <w:tcW w:w="0" w:type="auto"/>
            <w:hideMark/>
          </w:tcPr>
          <w:p w14:paraId="582363E6"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Government of India launched a nationwide initiative to establish and support 10,000 FPOs </w:t>
            </w:r>
            <w:r w:rsidRPr="00990C6F">
              <w:rPr>
                <w:rFonts w:ascii="Times New Roman" w:eastAsia="Times New Roman" w:hAnsi="Times New Roman" w:cs="Times New Roman"/>
                <w:kern w:val="0"/>
                <w:sz w:val="24"/>
                <w:szCs w:val="24"/>
                <w:lang w:eastAsia="en-IN"/>
                <w14:ligatures w14:val="none"/>
              </w:rPr>
              <w:lastRenderedPageBreak/>
              <w:t>through financial assistance, equity grants, credit guarantees, and market linkage support. The scheme emphasizes aggregation, collective marketing, and value-chain integration.</w:t>
            </w:r>
          </w:p>
        </w:tc>
        <w:tc>
          <w:tcPr>
            <w:tcW w:w="0" w:type="auto"/>
            <w:hideMark/>
          </w:tcPr>
          <w:p w14:paraId="60BC463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The policy improved farmers’ bargaining power, facilitated bulk input purchase, reduced transaction costs, and enhanced market </w:t>
            </w:r>
            <w:r w:rsidRPr="00990C6F">
              <w:rPr>
                <w:rFonts w:ascii="Times New Roman" w:eastAsia="Times New Roman" w:hAnsi="Times New Roman" w:cs="Times New Roman"/>
                <w:kern w:val="0"/>
                <w:sz w:val="24"/>
                <w:szCs w:val="24"/>
                <w:lang w:eastAsia="en-IN"/>
                <w14:ligatures w14:val="none"/>
              </w:rPr>
              <w:lastRenderedPageBreak/>
              <w:t>participation of smallholders. FPOs also created opportunities for collective processing and branding of agricultural produce.</w:t>
            </w:r>
          </w:p>
        </w:tc>
        <w:tc>
          <w:tcPr>
            <w:tcW w:w="0" w:type="auto"/>
            <w:hideMark/>
          </w:tcPr>
          <w:p w14:paraId="31DEC01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Many FPOs continue to face managerial weaknesses, inadequate professional support, limited access to </w:t>
            </w:r>
            <w:r w:rsidRPr="00990C6F">
              <w:rPr>
                <w:rFonts w:ascii="Times New Roman" w:eastAsia="Times New Roman" w:hAnsi="Times New Roman" w:cs="Times New Roman"/>
                <w:kern w:val="0"/>
                <w:sz w:val="24"/>
                <w:szCs w:val="24"/>
                <w:lang w:eastAsia="en-IN"/>
                <w14:ligatures w14:val="none"/>
              </w:rPr>
              <w:lastRenderedPageBreak/>
              <w:t>working capital, and dependence on external agencies. Several producer groups struggle with sustainability once government assistance ends.</w:t>
            </w:r>
          </w:p>
        </w:tc>
        <w:tc>
          <w:tcPr>
            <w:tcW w:w="0" w:type="auto"/>
            <w:hideMark/>
          </w:tcPr>
          <w:p w14:paraId="497CF65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Policies should move beyond numerical formation targets and focus on long-term institutional strengthening, leadership development, </w:t>
            </w:r>
            <w:r w:rsidRPr="00990C6F">
              <w:rPr>
                <w:rFonts w:ascii="Times New Roman" w:eastAsia="Times New Roman" w:hAnsi="Times New Roman" w:cs="Times New Roman"/>
                <w:kern w:val="0"/>
                <w:sz w:val="24"/>
                <w:szCs w:val="24"/>
                <w:lang w:eastAsia="en-IN"/>
                <w14:ligatures w14:val="none"/>
              </w:rPr>
              <w:lastRenderedPageBreak/>
              <w:t>digital infrastructure, and market-oriented capacity building. Strong convergence among extension agencies, banks, and agribusiness firms is essential for sustainability.</w:t>
            </w:r>
          </w:p>
        </w:tc>
        <w:tc>
          <w:tcPr>
            <w:tcW w:w="0" w:type="auto"/>
            <w:hideMark/>
          </w:tcPr>
          <w:p w14:paraId="5A0377B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Chand (2016); Ghosh &amp; Maharjan (2019); Pandey &amp; Singh (2022); Trebbin &amp; Hassler (2012); </w:t>
            </w:r>
            <w:r w:rsidRPr="00990C6F">
              <w:rPr>
                <w:rFonts w:ascii="Times New Roman" w:eastAsia="Times New Roman" w:hAnsi="Times New Roman" w:cs="Times New Roman"/>
                <w:kern w:val="0"/>
                <w:sz w:val="24"/>
                <w:szCs w:val="24"/>
                <w:lang w:eastAsia="en-IN"/>
                <w14:ligatures w14:val="none"/>
              </w:rPr>
              <w:lastRenderedPageBreak/>
              <w:t>Kumar et al. (2011)</w:t>
            </w:r>
          </w:p>
        </w:tc>
      </w:tr>
      <w:tr w:rsidR="00990C6F" w:rsidRPr="00990C6F" w14:paraId="3EAB02BF" w14:textId="77777777" w:rsidTr="00990C6F">
        <w:tc>
          <w:tcPr>
            <w:tcW w:w="0" w:type="auto"/>
            <w:hideMark/>
          </w:tcPr>
          <w:p w14:paraId="56E5923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lastRenderedPageBreak/>
              <w:t>Ethiopia – Agricultural Cooperatives and Rural Market Reforms</w:t>
            </w:r>
          </w:p>
        </w:tc>
        <w:tc>
          <w:tcPr>
            <w:tcW w:w="0" w:type="auto"/>
            <w:hideMark/>
          </w:tcPr>
          <w:p w14:paraId="402765A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Ethiopia promoted agricultural cooperatives through state-backed institutional reforms, extension support, and collective marketing systems aimed at integrating smallholders into commercial agriculture.</w:t>
            </w:r>
          </w:p>
        </w:tc>
        <w:tc>
          <w:tcPr>
            <w:tcW w:w="0" w:type="auto"/>
            <w:hideMark/>
          </w:tcPr>
          <w:p w14:paraId="4272B1E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Cooperatives improved technical efficiency, enhanced access to fertilizers and improved seeds, and enabled better market access for coffee and dairy farmers. Membership contributed to higher household incomes and reduced information asymmetry.</w:t>
            </w:r>
          </w:p>
        </w:tc>
        <w:tc>
          <w:tcPr>
            <w:tcW w:w="0" w:type="auto"/>
            <w:hideMark/>
          </w:tcPr>
          <w:p w14:paraId="45207BC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Despite progress, elite capture, weak governance structures, poor financial transparency, and limited participation of marginalized farmers reduced effectiveness in some regions. Dependence on government supervision also limited </w:t>
            </w:r>
            <w:r w:rsidRPr="00990C6F">
              <w:rPr>
                <w:rFonts w:ascii="Times New Roman" w:eastAsia="Times New Roman" w:hAnsi="Times New Roman" w:cs="Times New Roman"/>
                <w:kern w:val="0"/>
                <w:sz w:val="24"/>
                <w:szCs w:val="24"/>
                <w:lang w:eastAsia="en-IN"/>
                <w14:ligatures w14:val="none"/>
              </w:rPr>
              <w:lastRenderedPageBreak/>
              <w:t>cooperative autonomy.</w:t>
            </w:r>
          </w:p>
        </w:tc>
        <w:tc>
          <w:tcPr>
            <w:tcW w:w="0" w:type="auto"/>
            <w:hideMark/>
          </w:tcPr>
          <w:p w14:paraId="0A3A7C3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Future policies should encourage democratic governance, financial accountability, and farmer-led decision-making. Strengthening institutional independence and improving rural financial services can enhance cooperative resilience and competitiveness.</w:t>
            </w:r>
          </w:p>
        </w:tc>
        <w:tc>
          <w:tcPr>
            <w:tcW w:w="0" w:type="auto"/>
            <w:hideMark/>
          </w:tcPr>
          <w:p w14:paraId="00BBC617"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Abate et al. (2014); Bernard &amp; Spielman (2009); </w:t>
            </w:r>
            <w:proofErr w:type="spellStart"/>
            <w:r w:rsidRPr="00990C6F">
              <w:rPr>
                <w:rFonts w:ascii="Times New Roman" w:eastAsia="Times New Roman" w:hAnsi="Times New Roman" w:cs="Times New Roman"/>
                <w:kern w:val="0"/>
                <w:sz w:val="24"/>
                <w:szCs w:val="24"/>
                <w:lang w:eastAsia="en-IN"/>
                <w14:ligatures w14:val="none"/>
              </w:rPr>
              <w:t>Chagwiza</w:t>
            </w:r>
            <w:proofErr w:type="spellEnd"/>
            <w:r w:rsidRPr="00990C6F">
              <w:rPr>
                <w:rFonts w:ascii="Times New Roman" w:eastAsia="Times New Roman" w:hAnsi="Times New Roman" w:cs="Times New Roman"/>
                <w:kern w:val="0"/>
                <w:sz w:val="24"/>
                <w:szCs w:val="24"/>
                <w:lang w:eastAsia="en-IN"/>
                <w14:ligatures w14:val="none"/>
              </w:rPr>
              <w:t xml:space="preserve"> et al. (2016); </w:t>
            </w:r>
            <w:proofErr w:type="spellStart"/>
            <w:r w:rsidRPr="00990C6F">
              <w:rPr>
                <w:rFonts w:ascii="Times New Roman" w:eastAsia="Times New Roman" w:hAnsi="Times New Roman" w:cs="Times New Roman"/>
                <w:kern w:val="0"/>
                <w:sz w:val="24"/>
                <w:szCs w:val="24"/>
                <w:lang w:eastAsia="en-IN"/>
                <w14:ligatures w14:val="none"/>
              </w:rPr>
              <w:t>Francesconi</w:t>
            </w:r>
            <w:proofErr w:type="spellEnd"/>
            <w:r w:rsidRPr="00990C6F">
              <w:rPr>
                <w:rFonts w:ascii="Times New Roman" w:eastAsia="Times New Roman" w:hAnsi="Times New Roman" w:cs="Times New Roman"/>
                <w:kern w:val="0"/>
                <w:sz w:val="24"/>
                <w:szCs w:val="24"/>
                <w:lang w:eastAsia="en-IN"/>
                <w14:ligatures w14:val="none"/>
              </w:rPr>
              <w:t xml:space="preserve"> &amp; </w:t>
            </w:r>
            <w:proofErr w:type="spellStart"/>
            <w:r w:rsidRPr="00990C6F">
              <w:rPr>
                <w:rFonts w:ascii="Times New Roman" w:eastAsia="Times New Roman" w:hAnsi="Times New Roman" w:cs="Times New Roman"/>
                <w:kern w:val="0"/>
                <w:sz w:val="24"/>
                <w:szCs w:val="24"/>
                <w:lang w:eastAsia="en-IN"/>
                <w14:ligatures w14:val="none"/>
              </w:rPr>
              <w:t>Heerink</w:t>
            </w:r>
            <w:proofErr w:type="spellEnd"/>
            <w:r w:rsidRPr="00990C6F">
              <w:rPr>
                <w:rFonts w:ascii="Times New Roman" w:eastAsia="Times New Roman" w:hAnsi="Times New Roman" w:cs="Times New Roman"/>
                <w:kern w:val="0"/>
                <w:sz w:val="24"/>
                <w:szCs w:val="24"/>
                <w:lang w:eastAsia="en-IN"/>
                <w14:ligatures w14:val="none"/>
              </w:rPr>
              <w:t xml:space="preserve"> (2011); Mojo et al. (2017)</w:t>
            </w:r>
          </w:p>
        </w:tc>
      </w:tr>
      <w:tr w:rsidR="00990C6F" w:rsidRPr="00990C6F" w14:paraId="3BC262F8" w14:textId="77777777" w:rsidTr="00990C6F">
        <w:tc>
          <w:tcPr>
            <w:tcW w:w="0" w:type="auto"/>
            <w:hideMark/>
          </w:tcPr>
          <w:p w14:paraId="4195418A"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Kenya – Supermarket Linkage and Collective Action Policies</w:t>
            </w:r>
          </w:p>
        </w:tc>
        <w:tc>
          <w:tcPr>
            <w:tcW w:w="0" w:type="auto"/>
            <w:hideMark/>
          </w:tcPr>
          <w:p w14:paraId="16001C8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Kenyan agricultural policies encouraged farmer groups and collective action models to integrate smallholders into high-value supermarket and export-oriented supply chains through training, certification, and extension services.</w:t>
            </w:r>
          </w:p>
        </w:tc>
        <w:tc>
          <w:tcPr>
            <w:tcW w:w="0" w:type="auto"/>
            <w:hideMark/>
          </w:tcPr>
          <w:p w14:paraId="1D5264B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Organized farmer groups gained better access to modern retail markets, improved product quality, and increased household income. Collective marketing also reduced marketing risks and strengthened value-chain participation.</w:t>
            </w:r>
          </w:p>
        </w:tc>
        <w:tc>
          <w:tcPr>
            <w:tcW w:w="0" w:type="auto"/>
            <w:hideMark/>
          </w:tcPr>
          <w:p w14:paraId="7CEFABBB"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Small farmers often struggled to comply with stringent quality standards, certification requirements, and regular supply commitments demanded by supermarkets. Unequal power relations between buyers and producers persisted.</w:t>
            </w:r>
          </w:p>
        </w:tc>
        <w:tc>
          <w:tcPr>
            <w:tcW w:w="0" w:type="auto"/>
            <w:hideMark/>
          </w:tcPr>
          <w:p w14:paraId="119C158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Policies should provide affordable certification support, cold-chain infrastructure, and continuous technical training. Inclusive value-chain governance mechanisms are required to protect smallholders from market exclusion.</w:t>
            </w:r>
          </w:p>
        </w:tc>
        <w:tc>
          <w:tcPr>
            <w:tcW w:w="0" w:type="auto"/>
            <w:hideMark/>
          </w:tcPr>
          <w:p w14:paraId="2BF39C5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Fischer &amp; Qaim (2012); Andersson et al. (2015); Rao &amp; </w:t>
            </w:r>
            <w:proofErr w:type="spellStart"/>
            <w:r w:rsidRPr="00990C6F">
              <w:rPr>
                <w:rFonts w:ascii="Times New Roman" w:eastAsia="Times New Roman" w:hAnsi="Times New Roman" w:cs="Times New Roman"/>
                <w:kern w:val="0"/>
                <w:sz w:val="24"/>
                <w:szCs w:val="24"/>
                <w:lang w:eastAsia="en-IN"/>
                <w14:ligatures w14:val="none"/>
              </w:rPr>
              <w:t>Qaim</w:t>
            </w:r>
            <w:proofErr w:type="spellEnd"/>
            <w:r w:rsidRPr="00990C6F">
              <w:rPr>
                <w:rFonts w:ascii="Times New Roman" w:eastAsia="Times New Roman" w:hAnsi="Times New Roman" w:cs="Times New Roman"/>
                <w:kern w:val="0"/>
                <w:sz w:val="24"/>
                <w:szCs w:val="24"/>
                <w:lang w:eastAsia="en-IN"/>
                <w14:ligatures w14:val="none"/>
              </w:rPr>
              <w:t xml:space="preserve"> (2011); </w:t>
            </w:r>
            <w:proofErr w:type="spellStart"/>
            <w:r w:rsidRPr="00990C6F">
              <w:rPr>
                <w:rFonts w:ascii="Times New Roman" w:eastAsia="Times New Roman" w:hAnsi="Times New Roman" w:cs="Times New Roman"/>
                <w:kern w:val="0"/>
                <w:sz w:val="24"/>
                <w:szCs w:val="24"/>
                <w:lang w:eastAsia="en-IN"/>
                <w14:ligatures w14:val="none"/>
              </w:rPr>
              <w:t>Kaganzi</w:t>
            </w:r>
            <w:proofErr w:type="spellEnd"/>
            <w:r w:rsidRPr="00990C6F">
              <w:rPr>
                <w:rFonts w:ascii="Times New Roman" w:eastAsia="Times New Roman" w:hAnsi="Times New Roman" w:cs="Times New Roman"/>
                <w:kern w:val="0"/>
                <w:sz w:val="24"/>
                <w:szCs w:val="24"/>
                <w:lang w:eastAsia="en-IN"/>
                <w14:ligatures w14:val="none"/>
              </w:rPr>
              <w:t xml:space="preserve"> et al. (2009); Shiferaw et al. (2011)</w:t>
            </w:r>
          </w:p>
        </w:tc>
      </w:tr>
      <w:tr w:rsidR="00990C6F" w:rsidRPr="00990C6F" w14:paraId="343D51E2" w14:textId="77777777" w:rsidTr="00990C6F">
        <w:tc>
          <w:tcPr>
            <w:tcW w:w="0" w:type="auto"/>
            <w:hideMark/>
          </w:tcPr>
          <w:p w14:paraId="2B5B8D0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China – Cooperative Development and Rural Commercialization Policies</w:t>
            </w:r>
          </w:p>
        </w:tc>
        <w:tc>
          <w:tcPr>
            <w:tcW w:w="0" w:type="auto"/>
            <w:hideMark/>
          </w:tcPr>
          <w:p w14:paraId="723D08B9"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China introduced policies supporting farmer cooperatives through legal recognition, rural market reforms, digital agriculture initiatives, and access to rural credit and e-</w:t>
            </w:r>
            <w:r w:rsidRPr="00990C6F">
              <w:rPr>
                <w:rFonts w:ascii="Times New Roman" w:eastAsia="Times New Roman" w:hAnsi="Times New Roman" w:cs="Times New Roman"/>
                <w:kern w:val="0"/>
                <w:sz w:val="24"/>
                <w:szCs w:val="24"/>
                <w:lang w:eastAsia="en-IN"/>
                <w14:ligatures w14:val="none"/>
              </w:rPr>
              <w:lastRenderedPageBreak/>
              <w:t>commerce systems.</w:t>
            </w:r>
          </w:p>
        </w:tc>
        <w:tc>
          <w:tcPr>
            <w:tcW w:w="0" w:type="auto"/>
            <w:hideMark/>
          </w:tcPr>
          <w:p w14:paraId="2A84853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Cooperative participation increased farmer income, facilitated technology adoption, and strengthened integration into modern supply chains. Smartphone use and digital platforms further improved market information access and </w:t>
            </w:r>
            <w:r w:rsidRPr="00990C6F">
              <w:rPr>
                <w:rFonts w:ascii="Times New Roman" w:eastAsia="Times New Roman" w:hAnsi="Times New Roman" w:cs="Times New Roman"/>
                <w:kern w:val="0"/>
                <w:sz w:val="24"/>
                <w:szCs w:val="24"/>
                <w:lang w:eastAsia="en-IN"/>
                <w14:ligatures w14:val="none"/>
              </w:rPr>
              <w:lastRenderedPageBreak/>
              <w:t>commercialization.</w:t>
            </w:r>
          </w:p>
        </w:tc>
        <w:tc>
          <w:tcPr>
            <w:tcW w:w="0" w:type="auto"/>
            <w:hideMark/>
          </w:tcPr>
          <w:p w14:paraId="38F83B8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Income gains were not always evenly distributed, and larger farmers frequently benefited more than marginal producers. Some cooperatives functioned more as commercial </w:t>
            </w:r>
            <w:r w:rsidRPr="00990C6F">
              <w:rPr>
                <w:rFonts w:ascii="Times New Roman" w:eastAsia="Times New Roman" w:hAnsi="Times New Roman" w:cs="Times New Roman"/>
                <w:kern w:val="0"/>
                <w:sz w:val="24"/>
                <w:szCs w:val="24"/>
                <w:lang w:eastAsia="en-IN"/>
                <w14:ligatures w14:val="none"/>
              </w:rPr>
              <w:lastRenderedPageBreak/>
              <w:t>enterprises than member-driven institutions.</w:t>
            </w:r>
          </w:p>
        </w:tc>
        <w:tc>
          <w:tcPr>
            <w:tcW w:w="0" w:type="auto"/>
            <w:hideMark/>
          </w:tcPr>
          <w:p w14:paraId="2610264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Policymakers should ensure equitable participation of smallholders, strengthen cooperative accountability, and promote inclusive digital infrastructure to avoid widening rural inequalities.</w:t>
            </w:r>
          </w:p>
        </w:tc>
        <w:tc>
          <w:tcPr>
            <w:tcW w:w="0" w:type="auto"/>
            <w:hideMark/>
          </w:tcPr>
          <w:p w14:paraId="549A084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val="it-IT" w:eastAsia="en-IN"/>
                <w14:ligatures w14:val="none"/>
              </w:rPr>
              <w:t xml:space="preserve">Ito et al. (2012); Ma et al. (2018); Ma et al. (2022); Zhou et al. </w:t>
            </w:r>
            <w:r w:rsidRPr="00990C6F">
              <w:rPr>
                <w:rFonts w:ascii="Times New Roman" w:eastAsia="Times New Roman" w:hAnsi="Times New Roman" w:cs="Times New Roman"/>
                <w:kern w:val="0"/>
                <w:sz w:val="24"/>
                <w:szCs w:val="24"/>
                <w:lang w:eastAsia="en-IN"/>
                <w14:ligatures w14:val="none"/>
              </w:rPr>
              <w:t>(2021)</w:t>
            </w:r>
          </w:p>
        </w:tc>
      </w:tr>
      <w:tr w:rsidR="00990C6F" w:rsidRPr="00990C6F" w14:paraId="05524C65" w14:textId="77777777" w:rsidTr="00990C6F">
        <w:tc>
          <w:tcPr>
            <w:tcW w:w="0" w:type="auto"/>
            <w:hideMark/>
          </w:tcPr>
          <w:p w14:paraId="2F7B11C3"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Uganda and Tanzania – Collective Marketing and Innovation Platform Policies</w:t>
            </w:r>
          </w:p>
        </w:tc>
        <w:tc>
          <w:tcPr>
            <w:tcW w:w="0" w:type="auto"/>
            <w:hideMark/>
          </w:tcPr>
          <w:p w14:paraId="1F65245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Governments and development agencies promoted innovation platforms, farmer associations, and collective marketing systems to connect producers with high-value markets and agribusiness actors.</w:t>
            </w:r>
          </w:p>
        </w:tc>
        <w:tc>
          <w:tcPr>
            <w:tcW w:w="0" w:type="auto"/>
            <w:hideMark/>
          </w:tcPr>
          <w:p w14:paraId="062F9717"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These initiatives improved market linkages, enhanced farmer negotiation capacity, and supported knowledge sharing among producers, traders, and extension agencies. Innovation platforms also encouraged collaborative problem-solving.</w:t>
            </w:r>
          </w:p>
        </w:tc>
        <w:tc>
          <w:tcPr>
            <w:tcW w:w="0" w:type="auto"/>
            <w:hideMark/>
          </w:tcPr>
          <w:p w14:paraId="6AC40866"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Weak infrastructure, side-selling practices, inadequate trust among members, and poor coordination often limited organizational efficiency and market stability.</w:t>
            </w:r>
          </w:p>
        </w:tc>
        <w:tc>
          <w:tcPr>
            <w:tcW w:w="0" w:type="auto"/>
            <w:hideMark/>
          </w:tcPr>
          <w:p w14:paraId="7D830FF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Policies should prioritize rural infrastructure development, transparent governance systems, and incentives that strengthen farmer loyalty and trust within collective enterprises.</w:t>
            </w:r>
          </w:p>
        </w:tc>
        <w:tc>
          <w:tcPr>
            <w:tcW w:w="0" w:type="auto"/>
            <w:hideMark/>
          </w:tcPr>
          <w:p w14:paraId="28093C1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Barham &amp; </w:t>
            </w:r>
            <w:proofErr w:type="spellStart"/>
            <w:r w:rsidRPr="00990C6F">
              <w:rPr>
                <w:rFonts w:ascii="Times New Roman" w:eastAsia="Times New Roman" w:hAnsi="Times New Roman" w:cs="Times New Roman"/>
                <w:kern w:val="0"/>
                <w:sz w:val="24"/>
                <w:szCs w:val="24"/>
                <w:lang w:eastAsia="en-IN"/>
                <w14:ligatures w14:val="none"/>
              </w:rPr>
              <w:t>Chitemi</w:t>
            </w:r>
            <w:proofErr w:type="spellEnd"/>
            <w:r w:rsidRPr="00990C6F">
              <w:rPr>
                <w:rFonts w:ascii="Times New Roman" w:eastAsia="Times New Roman" w:hAnsi="Times New Roman" w:cs="Times New Roman"/>
                <w:kern w:val="0"/>
                <w:sz w:val="24"/>
                <w:szCs w:val="24"/>
                <w:lang w:eastAsia="en-IN"/>
                <w14:ligatures w14:val="none"/>
              </w:rPr>
              <w:t xml:space="preserve"> (2009); </w:t>
            </w:r>
            <w:proofErr w:type="spellStart"/>
            <w:r w:rsidRPr="00990C6F">
              <w:rPr>
                <w:rFonts w:ascii="Times New Roman" w:eastAsia="Times New Roman" w:hAnsi="Times New Roman" w:cs="Times New Roman"/>
                <w:kern w:val="0"/>
                <w:sz w:val="24"/>
                <w:szCs w:val="24"/>
                <w:lang w:eastAsia="en-IN"/>
                <w14:ligatures w14:val="none"/>
              </w:rPr>
              <w:t>Kilelu</w:t>
            </w:r>
            <w:proofErr w:type="spellEnd"/>
            <w:r w:rsidRPr="00990C6F">
              <w:rPr>
                <w:rFonts w:ascii="Times New Roman" w:eastAsia="Times New Roman" w:hAnsi="Times New Roman" w:cs="Times New Roman"/>
                <w:kern w:val="0"/>
                <w:sz w:val="24"/>
                <w:szCs w:val="24"/>
                <w:lang w:eastAsia="en-IN"/>
                <w14:ligatures w14:val="none"/>
              </w:rPr>
              <w:t xml:space="preserve"> et al. (2013); </w:t>
            </w:r>
            <w:proofErr w:type="spellStart"/>
            <w:r w:rsidRPr="00990C6F">
              <w:rPr>
                <w:rFonts w:ascii="Times New Roman" w:eastAsia="Times New Roman" w:hAnsi="Times New Roman" w:cs="Times New Roman"/>
                <w:kern w:val="0"/>
                <w:sz w:val="24"/>
                <w:szCs w:val="24"/>
                <w:lang w:eastAsia="en-IN"/>
                <w14:ligatures w14:val="none"/>
              </w:rPr>
              <w:t>Latynskiy</w:t>
            </w:r>
            <w:proofErr w:type="spellEnd"/>
            <w:r w:rsidRPr="00990C6F">
              <w:rPr>
                <w:rFonts w:ascii="Times New Roman" w:eastAsia="Times New Roman" w:hAnsi="Times New Roman" w:cs="Times New Roman"/>
                <w:kern w:val="0"/>
                <w:sz w:val="24"/>
                <w:szCs w:val="24"/>
                <w:lang w:eastAsia="en-IN"/>
                <w14:ligatures w14:val="none"/>
              </w:rPr>
              <w:t xml:space="preserve"> &amp; Berger (2017); Mujawamariya et al. (2013)</w:t>
            </w:r>
          </w:p>
        </w:tc>
      </w:tr>
    </w:tbl>
    <w:p w14:paraId="71B67B5D" w14:textId="77777777"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p>
    <w:p w14:paraId="518665B7" w14:textId="7E1E437A" w:rsidR="00990C6F" w:rsidRPr="00F843FC" w:rsidRDefault="00990C6F" w:rsidP="00990C6F">
      <w:pPr>
        <w:spacing w:after="0"/>
        <w:jc w:val="both"/>
        <w:rPr>
          <w:rFonts w:ascii="Times New Roman" w:hAnsi="Times New Roman" w:cs="Times New Roman"/>
        </w:rPr>
      </w:pPr>
      <w:r w:rsidRPr="00990C6F">
        <w:rPr>
          <w:rFonts w:ascii="Times New Roman" w:eastAsia="Times New Roman" w:hAnsi="Times New Roman" w:cs="Times New Roman"/>
          <w:kern w:val="0"/>
          <w:sz w:val="24"/>
          <w:szCs w:val="24"/>
          <w:lang w:eastAsia="en-IN"/>
          <w14:ligatures w14:val="none"/>
        </w:rPr>
        <w:t xml:space="preserve">A comparative approach was used to assess similarities and variations across countries such as India, Ethiopia, Kenya, China, and Vietnam. This comparison provided broader insights into how socio-economic, political, and institutional contexts shape the success of farmer organizations. Overall, the analytical framework enabled a critical understanding of the evolving role of FPOs as instruments for inclusive and sustainable agribusiness development. </w:t>
      </w:r>
      <w:r w:rsidRPr="00F843FC">
        <w:rPr>
          <w:rFonts w:ascii="Times New Roman" w:hAnsi="Times New Roman" w:cs="Times New Roman"/>
        </w:rPr>
        <w:t>Government policies have played a decisive role in promoting Farmer Producer Organizations (FPOs) and strengthening agribusiness value chains across developing economies. Evidence from India, Ethiopia, Kenya, China, Uganda, and Tanzania demonstrates that supportive institutional frameworks can significantly improve smallholder access to markets, inputs, technology, and value addition opportunities. Policies encouraging collective action reduce transaction costs and enhance bargaining power, enabling farmers to participate in modern supply chains more effectively.</w:t>
      </w:r>
    </w:p>
    <w:p w14:paraId="6CCBD89A" w14:textId="77777777" w:rsidR="00F843FC" w:rsidRPr="00990C6F" w:rsidRDefault="00F843FC" w:rsidP="00990C6F">
      <w:pPr>
        <w:spacing w:after="0"/>
        <w:jc w:val="both"/>
      </w:pPr>
    </w:p>
    <w:p w14:paraId="2BF903AF"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However, the review also highlights persistent structural challenges. Many FPOs remain financially fragile, heavily dependent on external support, and constrained by weak governance and inadequate managerial capacity. In several cases, benefits are unevenly distributed, with relatively resource-rich farmers capturing a larger share of gains. Market-oriented policies sometimes prioritize commercialization without sufficiently addressing issues of inclusiveness, equity, and long-term institutional sustainability.</w:t>
      </w:r>
    </w:p>
    <w:p w14:paraId="73489C97" w14:textId="77777777" w:rsidR="00F843FC" w:rsidRPr="00990C6F" w:rsidRDefault="00F843FC"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0B0F2120" w14:textId="77777777" w:rsid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findings suggest that future FPO policies should move beyond short-term promotional approaches and adopt a more holistic framework integrating financial inclusion, digital </w:t>
      </w:r>
      <w:r w:rsidRPr="00990C6F">
        <w:rPr>
          <w:rFonts w:ascii="Times New Roman" w:eastAsia="Times New Roman" w:hAnsi="Times New Roman" w:cs="Times New Roman"/>
          <w:kern w:val="0"/>
          <w:sz w:val="24"/>
          <w:szCs w:val="24"/>
          <w:lang w:eastAsia="en-IN"/>
          <w14:ligatures w14:val="none"/>
        </w:rPr>
        <w:lastRenderedPageBreak/>
        <w:t>infrastructure, professional management, extension support, gender inclusion, and democratic governance. Sustainable agribusiness value chains require not only market access but also institutional resilience, social capital, and policy coordination across multiple stakeholders.</w:t>
      </w:r>
    </w:p>
    <w:p w14:paraId="436B71C0" w14:textId="77777777" w:rsidR="00F843FC" w:rsidRDefault="00F843FC" w:rsidP="00990C6F">
      <w:pPr>
        <w:spacing w:after="0" w:line="240" w:lineRule="auto"/>
        <w:jc w:val="both"/>
        <w:rPr>
          <w:rFonts w:ascii="Times New Roman" w:eastAsia="Times New Roman" w:hAnsi="Times New Roman" w:cs="Times New Roman"/>
          <w:kern w:val="0"/>
          <w:sz w:val="24"/>
          <w:szCs w:val="24"/>
          <w:lang w:eastAsia="en-IN"/>
          <w14:ligatures w14:val="none"/>
        </w:rPr>
      </w:pPr>
    </w:p>
    <w:p w14:paraId="5A382F0B" w14:textId="720C9ACA" w:rsidR="00990C6F" w:rsidRPr="00990C6F" w:rsidRDefault="00990C6F" w:rsidP="00990C6F">
      <w:pPr>
        <w:spacing w:after="0" w:line="240" w:lineRule="auto"/>
        <w:jc w:val="both"/>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Table</w:t>
      </w:r>
      <w:r>
        <w:rPr>
          <w:rFonts w:ascii="Times New Roman" w:eastAsia="Times New Roman" w:hAnsi="Times New Roman" w:cs="Times New Roman"/>
          <w:b/>
          <w:bCs/>
          <w:kern w:val="0"/>
          <w:sz w:val="24"/>
          <w:szCs w:val="24"/>
          <w:lang w:eastAsia="en-IN"/>
          <w14:ligatures w14:val="none"/>
        </w:rPr>
        <w:t xml:space="preserve"> 2.1</w:t>
      </w:r>
      <w:r w:rsidRPr="00990C6F">
        <w:rPr>
          <w:rFonts w:ascii="Times New Roman" w:eastAsia="Times New Roman" w:hAnsi="Times New Roman" w:cs="Times New Roman"/>
          <w:b/>
          <w:bCs/>
          <w:kern w:val="0"/>
          <w:sz w:val="24"/>
          <w:szCs w:val="24"/>
          <w:lang w:eastAsia="en-IN"/>
          <w14:ligatures w14:val="none"/>
        </w:rPr>
        <w:t>: Case Studies on Indian Government Policies Supporting FPOs in Agribusiness Value Chains</w:t>
      </w:r>
    </w:p>
    <w:p w14:paraId="5E768637" w14:textId="77777777" w:rsidR="00990C6F" w:rsidRPr="00990C6F" w:rsidRDefault="00990C6F" w:rsidP="00990C6F">
      <w:pPr>
        <w:spacing w:after="0" w:line="240" w:lineRule="auto"/>
        <w:jc w:val="both"/>
        <w:rPr>
          <w:rFonts w:ascii="Times New Roman" w:eastAsia="Times New Roman" w:hAnsi="Times New Roman" w:cs="Times New Roman"/>
          <w:vanish/>
          <w:kern w:val="0"/>
          <w:sz w:val="24"/>
          <w:szCs w:val="24"/>
          <w:lang w:eastAsia="en-IN"/>
          <w14:ligatures w14:val="none"/>
        </w:rPr>
      </w:pPr>
      <w:r w:rsidRPr="00990C6F">
        <w:rPr>
          <w:rFonts w:ascii="Times New Roman" w:eastAsia="Times New Roman" w:hAnsi="Times New Roman" w:cs="Times New Roman"/>
          <w:vanish/>
          <w:kern w:val="0"/>
          <w:sz w:val="24"/>
          <w:szCs w:val="24"/>
          <w:lang w:eastAsia="en-IN"/>
          <w14:ligatures w14:val="none"/>
        </w:rPr>
        <w:t>Top of Form</w:t>
      </w:r>
    </w:p>
    <w:p w14:paraId="0407D1AA" w14:textId="77777777" w:rsidR="00990C6F" w:rsidRPr="00990C6F" w:rsidRDefault="00990C6F" w:rsidP="00990C6F">
      <w:pPr>
        <w:spacing w:after="0" w:line="240" w:lineRule="auto"/>
        <w:jc w:val="both"/>
        <w:rPr>
          <w:rFonts w:ascii="Times New Roman" w:eastAsia="Times New Roman" w:hAnsi="Times New Roman" w:cs="Times New Roman"/>
          <w:vanish/>
          <w:kern w:val="0"/>
          <w:sz w:val="24"/>
          <w:szCs w:val="24"/>
          <w:lang w:eastAsia="en-IN"/>
          <w14:ligatures w14:val="none"/>
        </w:rPr>
      </w:pPr>
      <w:r w:rsidRPr="00990C6F">
        <w:rPr>
          <w:rFonts w:ascii="Times New Roman" w:eastAsia="Times New Roman" w:hAnsi="Times New Roman" w:cs="Times New Roman"/>
          <w:vanish/>
          <w:kern w:val="0"/>
          <w:sz w:val="24"/>
          <w:szCs w:val="24"/>
          <w:lang w:eastAsia="en-IN"/>
          <w14:ligatures w14:val="none"/>
        </w:rPr>
        <w:t>Bottom of Form</w:t>
      </w:r>
    </w:p>
    <w:p w14:paraId="520C7E7E" w14:textId="3B030687" w:rsidR="00990C6F" w:rsidRPr="00990C6F" w:rsidRDefault="00990C6F" w:rsidP="00990C6F">
      <w:pPr>
        <w:spacing w:after="0" w:line="240" w:lineRule="auto"/>
        <w:jc w:val="both"/>
        <w:rPr>
          <w:rFonts w:ascii="Times New Roman" w:eastAsia="Times New Roman" w:hAnsi="Times New Roman" w:cs="Times New Roman"/>
          <w:kern w:val="0"/>
          <w:sz w:val="24"/>
          <w:szCs w:val="24"/>
          <w:lang w:eastAsia="en-IN"/>
          <w14:ligatures w14:val="none"/>
        </w:rPr>
      </w:pPr>
    </w:p>
    <w:tbl>
      <w:tblPr>
        <w:tblStyle w:val="TableGrid"/>
        <w:tblW w:w="0" w:type="auto"/>
        <w:tblLook w:val="04A0" w:firstRow="1" w:lastRow="0" w:firstColumn="1" w:lastColumn="0" w:noHBand="0" w:noVBand="1"/>
      </w:tblPr>
      <w:tblGrid>
        <w:gridCol w:w="1410"/>
        <w:gridCol w:w="1511"/>
        <w:gridCol w:w="1674"/>
        <w:gridCol w:w="1626"/>
        <w:gridCol w:w="1530"/>
        <w:gridCol w:w="1265"/>
      </w:tblGrid>
      <w:tr w:rsidR="00990C6F" w:rsidRPr="00990C6F" w14:paraId="6401BF6C" w14:textId="77777777" w:rsidTr="00990C6F">
        <w:tc>
          <w:tcPr>
            <w:tcW w:w="0" w:type="auto"/>
            <w:hideMark/>
          </w:tcPr>
          <w:p w14:paraId="7E9AF783"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Government Policy / Initiative</w:t>
            </w:r>
          </w:p>
        </w:tc>
        <w:tc>
          <w:tcPr>
            <w:tcW w:w="0" w:type="auto"/>
            <w:hideMark/>
          </w:tcPr>
          <w:p w14:paraId="1A165993"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Key Features and Objectives</w:t>
            </w:r>
          </w:p>
        </w:tc>
        <w:tc>
          <w:tcPr>
            <w:tcW w:w="0" w:type="auto"/>
            <w:hideMark/>
          </w:tcPr>
          <w:p w14:paraId="66770EFA"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Critical Analysis of Outcomes</w:t>
            </w:r>
          </w:p>
        </w:tc>
        <w:tc>
          <w:tcPr>
            <w:tcW w:w="0" w:type="auto"/>
            <w:hideMark/>
          </w:tcPr>
          <w:p w14:paraId="00867DF7"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Major Constraints Identified</w:t>
            </w:r>
          </w:p>
        </w:tc>
        <w:tc>
          <w:tcPr>
            <w:tcW w:w="0" w:type="auto"/>
            <w:hideMark/>
          </w:tcPr>
          <w:p w14:paraId="429B2AD9"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Policy Implications for Strengthening FPOs</w:t>
            </w:r>
          </w:p>
        </w:tc>
        <w:tc>
          <w:tcPr>
            <w:tcW w:w="0" w:type="auto"/>
            <w:hideMark/>
          </w:tcPr>
          <w:p w14:paraId="55C79090" w14:textId="77777777" w:rsidR="00990C6F" w:rsidRPr="00990C6F" w:rsidRDefault="00990C6F" w:rsidP="00990C6F">
            <w:pPr>
              <w:jc w:val="center"/>
              <w:rPr>
                <w:rFonts w:ascii="Times New Roman" w:eastAsia="Times New Roman" w:hAnsi="Times New Roman" w:cs="Times New Roman"/>
                <w:b/>
                <w:bCs/>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Supporting References</w:t>
            </w:r>
          </w:p>
        </w:tc>
      </w:tr>
      <w:tr w:rsidR="00990C6F" w:rsidRPr="00990C6F" w14:paraId="664D4B4C" w14:textId="77777777" w:rsidTr="00990C6F">
        <w:tc>
          <w:tcPr>
            <w:tcW w:w="0" w:type="auto"/>
            <w:hideMark/>
          </w:tcPr>
          <w:p w14:paraId="32198DA4"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Central Sector Scheme for Formation and Promotion of 10,000 FPOs (2020)</w:t>
            </w:r>
          </w:p>
        </w:tc>
        <w:tc>
          <w:tcPr>
            <w:tcW w:w="0" w:type="auto"/>
            <w:hideMark/>
          </w:tcPr>
          <w:p w14:paraId="195BACA4"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The Government of India launched this flagship initiative to mobilize small and marginal farmers into organized producer groups. The scheme aimed to improve collective bargaining, input procurement, market linkage, storage access, and value addition. Financial assistance and handholding support were provided through implementing agencies such as SFAC, </w:t>
            </w:r>
            <w:r w:rsidRPr="00990C6F">
              <w:rPr>
                <w:rFonts w:ascii="Times New Roman" w:eastAsia="Times New Roman" w:hAnsi="Times New Roman" w:cs="Times New Roman"/>
                <w:kern w:val="0"/>
                <w:sz w:val="24"/>
                <w:szCs w:val="24"/>
                <w:lang w:eastAsia="en-IN"/>
                <w14:ligatures w14:val="none"/>
              </w:rPr>
              <w:lastRenderedPageBreak/>
              <w:t>NABARD, and NCDC.</w:t>
            </w:r>
          </w:p>
        </w:tc>
        <w:tc>
          <w:tcPr>
            <w:tcW w:w="0" w:type="auto"/>
            <w:hideMark/>
          </w:tcPr>
          <w:p w14:paraId="6CFABDC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The policy significantly accelerated the numerical growth of FPOs across India and created institutional visibility for farmer collectivization. In several states, FPOs improved farmers’ access to markets, reduced transaction costs, and enhanced negotiation power. However, many newly formed FPOs remained operationally weak due to inadequate managerial expertise and limited business planning capacity. The policy focused </w:t>
            </w:r>
            <w:r w:rsidRPr="00990C6F">
              <w:rPr>
                <w:rFonts w:ascii="Times New Roman" w:eastAsia="Times New Roman" w:hAnsi="Times New Roman" w:cs="Times New Roman"/>
                <w:kern w:val="0"/>
                <w:sz w:val="24"/>
                <w:szCs w:val="24"/>
                <w:lang w:eastAsia="en-IN"/>
                <w14:ligatures w14:val="none"/>
              </w:rPr>
              <w:lastRenderedPageBreak/>
              <w:t>more on formation targets than long-term sustainability.</w:t>
            </w:r>
          </w:p>
        </w:tc>
        <w:tc>
          <w:tcPr>
            <w:tcW w:w="0" w:type="auto"/>
            <w:hideMark/>
          </w:tcPr>
          <w:p w14:paraId="6A508AC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Limited professional management, weak market intelligence, inadequate post-harvest infrastructure, and dependency on government grants reduced operational efficiency. Several FPOs struggled to transition from subsidy-driven entities to commercially viable enterprises.</w:t>
            </w:r>
          </w:p>
        </w:tc>
        <w:tc>
          <w:tcPr>
            <w:tcW w:w="0" w:type="auto"/>
            <w:hideMark/>
          </w:tcPr>
          <w:p w14:paraId="2EEA148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Future policies should prioritize capacity building, market-led planning, digital extension services, and long-term incubation support rather than merely increasing the number of registered FPOs. Greater emphasis on private sector partnerships and value-chain integration is essential.</w:t>
            </w:r>
          </w:p>
        </w:tc>
        <w:tc>
          <w:tcPr>
            <w:tcW w:w="0" w:type="auto"/>
            <w:hideMark/>
          </w:tcPr>
          <w:p w14:paraId="65220CA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Chand (2016); Ghosh &amp; Maharjan (2019); Pandey &amp; Singh (2022); Trebbin &amp; Hassler (2012)</w:t>
            </w:r>
          </w:p>
        </w:tc>
      </w:tr>
      <w:tr w:rsidR="00990C6F" w:rsidRPr="00990C6F" w14:paraId="6D6EDC0E" w14:textId="77777777" w:rsidTr="00990C6F">
        <w:tc>
          <w:tcPr>
            <w:tcW w:w="0" w:type="auto"/>
            <w:hideMark/>
          </w:tcPr>
          <w:p w14:paraId="3E4E8584"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lastRenderedPageBreak/>
              <w:t>Small Farmers’ Agribusiness Consortium (SFAC) Support Programme</w:t>
            </w:r>
          </w:p>
        </w:tc>
        <w:tc>
          <w:tcPr>
            <w:tcW w:w="0" w:type="auto"/>
            <w:hideMark/>
          </w:tcPr>
          <w:p w14:paraId="6564E9C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SFAC promoted Farmer Producer Companies (FPCs) by facilitating equity grants, credit guarantees, market linkages, and institutional support. The programme attempted to integrate smallholders into modern agricultural value chains while improving economies of scale.</w:t>
            </w:r>
          </w:p>
        </w:tc>
        <w:tc>
          <w:tcPr>
            <w:tcW w:w="0" w:type="auto"/>
            <w:hideMark/>
          </w:tcPr>
          <w:p w14:paraId="6B6A36E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programme encouraged collective entrepreneurship and improved farmers’ participation in input and output markets. In some regions, FPCs successfully negotiated better prices and reduced dependence on middlemen. Nevertheless, performance varied considerably across states due to uneven institutional support and governance quality.</w:t>
            </w:r>
          </w:p>
        </w:tc>
        <w:tc>
          <w:tcPr>
            <w:tcW w:w="0" w:type="auto"/>
            <w:hideMark/>
          </w:tcPr>
          <w:p w14:paraId="64CA6A6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Many FPCs lacked skilled leadership and financial literacy. Access to formal credit remained difficult despite guarantee mechanisms. Weak coordination between government agencies and local institutions also affected implementation quality.</w:t>
            </w:r>
          </w:p>
        </w:tc>
        <w:tc>
          <w:tcPr>
            <w:tcW w:w="0" w:type="auto"/>
            <w:hideMark/>
          </w:tcPr>
          <w:p w14:paraId="445FF94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Policies should strengthen managerial training, transparent governance systems, and market-oriented business models. Customized support based on regional crop systems and value-chain opportunities would improve effectiveness.</w:t>
            </w:r>
          </w:p>
        </w:tc>
        <w:tc>
          <w:tcPr>
            <w:tcW w:w="0" w:type="auto"/>
            <w:hideMark/>
          </w:tcPr>
          <w:p w14:paraId="30EC1F05"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val="it-IT" w:eastAsia="en-IN"/>
                <w14:ligatures w14:val="none"/>
              </w:rPr>
              <w:t xml:space="preserve">Kumar et al. (2011); Trebbin (2014); Negi et al. </w:t>
            </w:r>
            <w:r w:rsidRPr="00990C6F">
              <w:rPr>
                <w:rFonts w:ascii="Times New Roman" w:eastAsia="Times New Roman" w:hAnsi="Times New Roman" w:cs="Times New Roman"/>
                <w:kern w:val="0"/>
                <w:sz w:val="24"/>
                <w:szCs w:val="24"/>
                <w:lang w:eastAsia="en-IN"/>
                <w14:ligatures w14:val="none"/>
              </w:rPr>
              <w:t>(2018); Valentinov (2007)</w:t>
            </w:r>
          </w:p>
        </w:tc>
      </w:tr>
      <w:tr w:rsidR="00990C6F" w:rsidRPr="00990C6F" w14:paraId="7E6F3DB0" w14:textId="77777777" w:rsidTr="00990C6F">
        <w:tc>
          <w:tcPr>
            <w:tcW w:w="0" w:type="auto"/>
            <w:hideMark/>
          </w:tcPr>
          <w:p w14:paraId="50FCEBB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National Rural Livelihood Mission (NRLM) and Women-led Producer Groups</w:t>
            </w:r>
          </w:p>
        </w:tc>
        <w:tc>
          <w:tcPr>
            <w:tcW w:w="0" w:type="auto"/>
            <w:hideMark/>
          </w:tcPr>
          <w:p w14:paraId="11EC85C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NRLM encouraged women’s self-help groups and producer collectives to participate in agribusiness activities, especially in dairy, horticulture, and value-added </w:t>
            </w:r>
            <w:r w:rsidRPr="00990C6F">
              <w:rPr>
                <w:rFonts w:ascii="Times New Roman" w:eastAsia="Times New Roman" w:hAnsi="Times New Roman" w:cs="Times New Roman"/>
                <w:kern w:val="0"/>
                <w:sz w:val="24"/>
                <w:szCs w:val="24"/>
                <w:lang w:eastAsia="en-IN"/>
                <w14:ligatures w14:val="none"/>
              </w:rPr>
              <w:lastRenderedPageBreak/>
              <w:t>products. The policy aimed to improve rural livelihoods, financial inclusion, and women’s empowerment.</w:t>
            </w:r>
          </w:p>
        </w:tc>
        <w:tc>
          <w:tcPr>
            <w:tcW w:w="0" w:type="auto"/>
            <w:hideMark/>
          </w:tcPr>
          <w:p w14:paraId="39D6090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Women-led producer organizations demonstrated improvements in income diversification, savings </w:t>
            </w:r>
            <w:proofErr w:type="spellStart"/>
            <w:r w:rsidRPr="00990C6F">
              <w:rPr>
                <w:rFonts w:ascii="Times New Roman" w:eastAsia="Times New Roman" w:hAnsi="Times New Roman" w:cs="Times New Roman"/>
                <w:kern w:val="0"/>
                <w:sz w:val="24"/>
                <w:szCs w:val="24"/>
                <w:lang w:eastAsia="en-IN"/>
                <w14:ligatures w14:val="none"/>
              </w:rPr>
              <w:t>behavior</w:t>
            </w:r>
            <w:proofErr w:type="spellEnd"/>
            <w:r w:rsidRPr="00990C6F">
              <w:rPr>
                <w:rFonts w:ascii="Times New Roman" w:eastAsia="Times New Roman" w:hAnsi="Times New Roman" w:cs="Times New Roman"/>
                <w:kern w:val="0"/>
                <w:sz w:val="24"/>
                <w:szCs w:val="24"/>
                <w:lang w:eastAsia="en-IN"/>
                <w14:ligatures w14:val="none"/>
              </w:rPr>
              <w:t xml:space="preserve">, and social participation. In several cases, collective enterprises </w:t>
            </w:r>
            <w:r w:rsidRPr="00990C6F">
              <w:rPr>
                <w:rFonts w:ascii="Times New Roman" w:eastAsia="Times New Roman" w:hAnsi="Times New Roman" w:cs="Times New Roman"/>
                <w:kern w:val="0"/>
                <w:sz w:val="24"/>
                <w:szCs w:val="24"/>
                <w:lang w:eastAsia="en-IN"/>
                <w14:ligatures w14:val="none"/>
              </w:rPr>
              <w:lastRenderedPageBreak/>
              <w:t>strengthened local value addition and increased household resilience. However, women’s representation in decision-making positions remained limited in many FPOs.</w:t>
            </w:r>
          </w:p>
        </w:tc>
        <w:tc>
          <w:tcPr>
            <w:tcW w:w="0" w:type="auto"/>
            <w:hideMark/>
          </w:tcPr>
          <w:p w14:paraId="632424A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Patriarchal social structures, limited land ownership among women, poor access to training, and restricted mobility constrained effective participation in </w:t>
            </w:r>
            <w:r w:rsidRPr="00990C6F">
              <w:rPr>
                <w:rFonts w:ascii="Times New Roman" w:eastAsia="Times New Roman" w:hAnsi="Times New Roman" w:cs="Times New Roman"/>
                <w:kern w:val="0"/>
                <w:sz w:val="24"/>
                <w:szCs w:val="24"/>
                <w:lang w:eastAsia="en-IN"/>
                <w14:ligatures w14:val="none"/>
              </w:rPr>
              <w:lastRenderedPageBreak/>
              <w:t>agribusiness value chains.</w:t>
            </w:r>
          </w:p>
        </w:tc>
        <w:tc>
          <w:tcPr>
            <w:tcW w:w="0" w:type="auto"/>
            <w:hideMark/>
          </w:tcPr>
          <w:p w14:paraId="7CA025B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Gender-sensitive policies, leadership training, and targeted financial assistance for women-led FPOs are necessary for inclusive agribusiness development.</w:t>
            </w:r>
          </w:p>
        </w:tc>
        <w:tc>
          <w:tcPr>
            <w:tcW w:w="0" w:type="auto"/>
            <w:hideMark/>
          </w:tcPr>
          <w:p w14:paraId="26D2C22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Datta &amp; Gailey (2012); Agarwal (2010); Kumar et al. (2015)</w:t>
            </w:r>
          </w:p>
        </w:tc>
      </w:tr>
      <w:tr w:rsidR="00990C6F" w:rsidRPr="00990C6F" w14:paraId="1DE3573D" w14:textId="77777777" w:rsidTr="00990C6F">
        <w:tc>
          <w:tcPr>
            <w:tcW w:w="0" w:type="auto"/>
            <w:hideMark/>
          </w:tcPr>
          <w:p w14:paraId="0C9E7BE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e-NAM (National Agriculture Market) Integration with FPOs</w:t>
            </w:r>
          </w:p>
        </w:tc>
        <w:tc>
          <w:tcPr>
            <w:tcW w:w="0" w:type="auto"/>
            <w:hideMark/>
          </w:tcPr>
          <w:p w14:paraId="370332CB"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e-NAM platform was introduced to digitally connect agricultural markets across India and improve transparent price discovery. FPOs were encouraged to aggregate produce and participate collectively in online trading systems.</w:t>
            </w:r>
          </w:p>
        </w:tc>
        <w:tc>
          <w:tcPr>
            <w:tcW w:w="0" w:type="auto"/>
            <w:hideMark/>
          </w:tcPr>
          <w:p w14:paraId="10C0573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The initiative improved awareness regarding digital marketing and reduced information asymmetry in some regions. FPO participation in e-NAM enabled better market access for certain commodities. However, benefits were uneven because many FPOs lacked digital literacy, storage facilities, and grading infrastructure required for online trade.</w:t>
            </w:r>
          </w:p>
        </w:tc>
        <w:tc>
          <w:tcPr>
            <w:tcW w:w="0" w:type="auto"/>
            <w:hideMark/>
          </w:tcPr>
          <w:p w14:paraId="3DDF6932"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Weak internet connectivity, low digital skills, fragmented logistics, and poor awareness among smallholders limited adoption. Many FPOs continued to depend on traditional local traders.</w:t>
            </w:r>
          </w:p>
        </w:tc>
        <w:tc>
          <w:tcPr>
            <w:tcW w:w="0" w:type="auto"/>
            <w:hideMark/>
          </w:tcPr>
          <w:p w14:paraId="3ED3792F"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Future policy should integrate digital literacy programmes, rural logistics infrastructure, warehouse facilities, and ICT-based advisory systems to maximize e-NAM benefits for FPOs.</w:t>
            </w:r>
          </w:p>
        </w:tc>
        <w:tc>
          <w:tcPr>
            <w:tcW w:w="0" w:type="auto"/>
            <w:hideMark/>
          </w:tcPr>
          <w:p w14:paraId="51DCC7A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val="it-IT" w:eastAsia="en-IN"/>
                <w14:ligatures w14:val="none"/>
              </w:rPr>
              <w:t xml:space="preserve">Singh et al. (2013); Fischer &amp; Qaim (2012); Devaux et al. </w:t>
            </w:r>
            <w:r w:rsidRPr="00990C6F">
              <w:rPr>
                <w:rFonts w:ascii="Times New Roman" w:eastAsia="Times New Roman" w:hAnsi="Times New Roman" w:cs="Times New Roman"/>
                <w:kern w:val="0"/>
                <w:sz w:val="24"/>
                <w:szCs w:val="24"/>
                <w:lang w:eastAsia="en-IN"/>
                <w14:ligatures w14:val="none"/>
              </w:rPr>
              <w:t>(2018)</w:t>
            </w:r>
          </w:p>
        </w:tc>
      </w:tr>
      <w:tr w:rsidR="00990C6F" w:rsidRPr="00990C6F" w14:paraId="219C39EC" w14:textId="77777777" w:rsidTr="00990C6F">
        <w:tc>
          <w:tcPr>
            <w:tcW w:w="0" w:type="auto"/>
            <w:hideMark/>
          </w:tcPr>
          <w:p w14:paraId="35967A4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Operation Greens Scheme</w:t>
            </w:r>
          </w:p>
        </w:tc>
        <w:tc>
          <w:tcPr>
            <w:tcW w:w="0" w:type="auto"/>
            <w:hideMark/>
          </w:tcPr>
          <w:p w14:paraId="68DDDBB1"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 xml:space="preserve">Operation Greens aimed to stabilize prices of perishable </w:t>
            </w:r>
            <w:r w:rsidRPr="00990C6F">
              <w:rPr>
                <w:rFonts w:ascii="Times New Roman" w:eastAsia="Times New Roman" w:hAnsi="Times New Roman" w:cs="Times New Roman"/>
                <w:kern w:val="0"/>
                <w:sz w:val="24"/>
                <w:szCs w:val="24"/>
                <w:lang w:eastAsia="en-IN"/>
                <w14:ligatures w14:val="none"/>
              </w:rPr>
              <w:lastRenderedPageBreak/>
              <w:t>crops such as tomato, onion, and potato while strengthening farmer collectives, storage, processing, and value-chain infrastructure. FPOs were identified as key institutional actors in aggregation and marketing.</w:t>
            </w:r>
          </w:p>
        </w:tc>
        <w:tc>
          <w:tcPr>
            <w:tcW w:w="0" w:type="auto"/>
            <w:hideMark/>
          </w:tcPr>
          <w:p w14:paraId="224216B4"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The scheme created opportunities for FPOs to engage in processing and </w:t>
            </w:r>
            <w:r w:rsidRPr="00990C6F">
              <w:rPr>
                <w:rFonts w:ascii="Times New Roman" w:eastAsia="Times New Roman" w:hAnsi="Times New Roman" w:cs="Times New Roman"/>
                <w:kern w:val="0"/>
                <w:sz w:val="24"/>
                <w:szCs w:val="24"/>
                <w:lang w:eastAsia="en-IN"/>
                <w14:ligatures w14:val="none"/>
              </w:rPr>
              <w:lastRenderedPageBreak/>
              <w:t>supply-chain activities. In selected clusters, farmer groups improved value realization through aggregation and cold-chain support. Nevertheless, implementation remained concentrated in specific commodities and regions.</w:t>
            </w:r>
          </w:p>
        </w:tc>
        <w:tc>
          <w:tcPr>
            <w:tcW w:w="0" w:type="auto"/>
            <w:hideMark/>
          </w:tcPr>
          <w:p w14:paraId="5C6DC577"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Inadequate cold storage, limited private investment, poor transport infrastructure, </w:t>
            </w:r>
            <w:r w:rsidRPr="00990C6F">
              <w:rPr>
                <w:rFonts w:ascii="Times New Roman" w:eastAsia="Times New Roman" w:hAnsi="Times New Roman" w:cs="Times New Roman"/>
                <w:kern w:val="0"/>
                <w:sz w:val="24"/>
                <w:szCs w:val="24"/>
                <w:lang w:eastAsia="en-IN"/>
                <w14:ligatures w14:val="none"/>
              </w:rPr>
              <w:lastRenderedPageBreak/>
              <w:t>and weak coordination among stakeholders reduced broader impact. Smaller FPOs often lacked the scale needed to benefit fully.</w:t>
            </w:r>
          </w:p>
        </w:tc>
        <w:tc>
          <w:tcPr>
            <w:tcW w:w="0" w:type="auto"/>
            <w:hideMark/>
          </w:tcPr>
          <w:p w14:paraId="7A3D4A6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lastRenderedPageBreak/>
              <w:t xml:space="preserve">Policies should promote diversified commodity coverage, </w:t>
            </w:r>
            <w:r w:rsidRPr="00990C6F">
              <w:rPr>
                <w:rFonts w:ascii="Times New Roman" w:eastAsia="Times New Roman" w:hAnsi="Times New Roman" w:cs="Times New Roman"/>
                <w:kern w:val="0"/>
                <w:sz w:val="24"/>
                <w:szCs w:val="24"/>
                <w:lang w:eastAsia="en-IN"/>
                <w14:ligatures w14:val="none"/>
              </w:rPr>
              <w:lastRenderedPageBreak/>
              <w:t>decentralized processing units, and stronger public–private partnerships to enhance value-chain resilience.</w:t>
            </w:r>
          </w:p>
        </w:tc>
        <w:tc>
          <w:tcPr>
            <w:tcW w:w="0" w:type="auto"/>
            <w:hideMark/>
          </w:tcPr>
          <w:p w14:paraId="1C5C725E"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proofErr w:type="spellStart"/>
            <w:r w:rsidRPr="00990C6F">
              <w:rPr>
                <w:rFonts w:ascii="Times New Roman" w:eastAsia="Times New Roman" w:hAnsi="Times New Roman" w:cs="Times New Roman"/>
                <w:kern w:val="0"/>
                <w:sz w:val="24"/>
                <w:szCs w:val="24"/>
                <w:lang w:eastAsia="en-IN"/>
                <w14:ligatures w14:val="none"/>
              </w:rPr>
              <w:lastRenderedPageBreak/>
              <w:t>Birthal</w:t>
            </w:r>
            <w:proofErr w:type="spellEnd"/>
            <w:r w:rsidRPr="00990C6F">
              <w:rPr>
                <w:rFonts w:ascii="Times New Roman" w:eastAsia="Times New Roman" w:hAnsi="Times New Roman" w:cs="Times New Roman"/>
                <w:kern w:val="0"/>
                <w:sz w:val="24"/>
                <w:szCs w:val="24"/>
                <w:lang w:eastAsia="en-IN"/>
                <w14:ligatures w14:val="none"/>
              </w:rPr>
              <w:t xml:space="preserve"> et al. (2005); </w:t>
            </w:r>
            <w:proofErr w:type="spellStart"/>
            <w:r w:rsidRPr="00990C6F">
              <w:rPr>
                <w:rFonts w:ascii="Times New Roman" w:eastAsia="Times New Roman" w:hAnsi="Times New Roman" w:cs="Times New Roman"/>
                <w:kern w:val="0"/>
                <w:sz w:val="24"/>
                <w:szCs w:val="24"/>
                <w:lang w:eastAsia="en-IN"/>
                <w14:ligatures w14:val="none"/>
              </w:rPr>
              <w:t>Narrod</w:t>
            </w:r>
            <w:proofErr w:type="spellEnd"/>
            <w:r w:rsidRPr="00990C6F">
              <w:rPr>
                <w:rFonts w:ascii="Times New Roman" w:eastAsia="Times New Roman" w:hAnsi="Times New Roman" w:cs="Times New Roman"/>
                <w:kern w:val="0"/>
                <w:sz w:val="24"/>
                <w:szCs w:val="24"/>
                <w:lang w:eastAsia="en-IN"/>
                <w14:ligatures w14:val="none"/>
              </w:rPr>
              <w:t xml:space="preserve"> et al. (2009); Ruben et al. (2007)</w:t>
            </w:r>
          </w:p>
        </w:tc>
      </w:tr>
      <w:tr w:rsidR="00990C6F" w:rsidRPr="00990C6F" w14:paraId="596F7618" w14:textId="77777777" w:rsidTr="00990C6F">
        <w:tc>
          <w:tcPr>
            <w:tcW w:w="0" w:type="auto"/>
            <w:hideMark/>
          </w:tcPr>
          <w:p w14:paraId="0166C7F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b/>
                <w:bCs/>
                <w:kern w:val="0"/>
                <w:sz w:val="24"/>
                <w:szCs w:val="24"/>
                <w:lang w:eastAsia="en-IN"/>
                <w14:ligatures w14:val="none"/>
              </w:rPr>
              <w:t>Contract Farming and FPO-linked Market Reforms</w:t>
            </w:r>
          </w:p>
        </w:tc>
        <w:tc>
          <w:tcPr>
            <w:tcW w:w="0" w:type="auto"/>
            <w:hideMark/>
          </w:tcPr>
          <w:p w14:paraId="5F10F450"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Several state-level agricultural reforms encouraged FPOs to participate in contract farming arrangements with agribusiness firms, retailers, and processors. The objective was to ensure assured markets, technical support, and stable incomes for farmers.</w:t>
            </w:r>
          </w:p>
        </w:tc>
        <w:tc>
          <w:tcPr>
            <w:tcW w:w="0" w:type="auto"/>
            <w:hideMark/>
          </w:tcPr>
          <w:p w14:paraId="28798EC3"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FPO-mediated contract farming improved market access and reduced transaction costs for participating farmers. Collective negotiation through FPOs strengthened farmers’ bargaining power compared to individual contracts. However, unequal power relations between companies and farmers remained a concern.</w:t>
            </w:r>
          </w:p>
        </w:tc>
        <w:tc>
          <w:tcPr>
            <w:tcW w:w="0" w:type="auto"/>
            <w:hideMark/>
          </w:tcPr>
          <w:p w14:paraId="5A668AC8"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Risks included side-selling, price manipulation, delayed payments, and overdependence on corporate buyers. Small FPOs often lacked legal and negotiation expertise.</w:t>
            </w:r>
          </w:p>
        </w:tc>
        <w:tc>
          <w:tcPr>
            <w:tcW w:w="0" w:type="auto"/>
            <w:hideMark/>
          </w:tcPr>
          <w:p w14:paraId="2AE7007C"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Strong legal safeguards, transparent pricing mechanisms, and dispute-resolution systems are required to protect farmers’ interests in contract farming arrangements.</w:t>
            </w:r>
          </w:p>
        </w:tc>
        <w:tc>
          <w:tcPr>
            <w:tcW w:w="0" w:type="auto"/>
            <w:hideMark/>
          </w:tcPr>
          <w:p w14:paraId="7B0A691D" w14:textId="77777777" w:rsidR="00990C6F" w:rsidRPr="00990C6F" w:rsidRDefault="00990C6F" w:rsidP="00990C6F">
            <w:pPr>
              <w:rPr>
                <w:rFonts w:ascii="Times New Roman" w:eastAsia="Times New Roman" w:hAnsi="Times New Roman" w:cs="Times New Roman"/>
                <w:kern w:val="0"/>
                <w:sz w:val="24"/>
                <w:szCs w:val="24"/>
                <w:lang w:eastAsia="en-IN"/>
                <w14:ligatures w14:val="none"/>
              </w:rPr>
            </w:pPr>
            <w:r w:rsidRPr="00990C6F">
              <w:rPr>
                <w:rFonts w:ascii="Times New Roman" w:eastAsia="Times New Roman" w:hAnsi="Times New Roman" w:cs="Times New Roman"/>
                <w:kern w:val="0"/>
                <w:sz w:val="24"/>
                <w:szCs w:val="24"/>
                <w:lang w:eastAsia="en-IN"/>
                <w14:ligatures w14:val="none"/>
              </w:rPr>
              <w:t>Singh (2002); Mishra et al. (2018); Meemken &amp; Bellemare (2020); Glover (2014)</w:t>
            </w:r>
          </w:p>
        </w:tc>
      </w:tr>
    </w:tbl>
    <w:p w14:paraId="6B890E56"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Indian government policies have increasingly recognized Farmer Producer Organizations (FPOs) as strategic institutions for strengthening agribusiness value chains and improving </w:t>
      </w:r>
      <w:r w:rsidRPr="003B3B44">
        <w:rPr>
          <w:rFonts w:ascii="Times New Roman" w:eastAsia="Times New Roman" w:hAnsi="Times New Roman" w:cs="Times New Roman"/>
          <w:kern w:val="0"/>
          <w:sz w:val="24"/>
          <w:szCs w:val="24"/>
          <w:lang w:eastAsia="en-IN"/>
          <w14:ligatures w14:val="none"/>
        </w:rPr>
        <w:lastRenderedPageBreak/>
        <w:t>smallholder competitiveness. Policies such as the 10,000 FPO scheme, SFAC interventions, e-NAM integration, and Operation Greens have contributed to institutional expansion and greater market participation. These initiatives align with the broader understanding that collective action can reduce transaction costs, enhance bargaining power, and improve market access for smallholders (</w:t>
      </w:r>
      <w:proofErr w:type="spellStart"/>
      <w:r w:rsidRPr="003B3B44">
        <w:rPr>
          <w:rFonts w:ascii="Times New Roman" w:eastAsia="Times New Roman" w:hAnsi="Times New Roman" w:cs="Times New Roman"/>
          <w:kern w:val="0"/>
          <w:sz w:val="24"/>
          <w:szCs w:val="24"/>
          <w:lang w:eastAsia="en-IN"/>
          <w14:ligatures w14:val="none"/>
        </w:rPr>
        <w:t>Markelova</w:t>
      </w:r>
      <w:proofErr w:type="spellEnd"/>
      <w:r w:rsidRPr="003B3B44">
        <w:rPr>
          <w:rFonts w:ascii="Times New Roman" w:eastAsia="Times New Roman" w:hAnsi="Times New Roman" w:cs="Times New Roman"/>
          <w:kern w:val="0"/>
          <w:sz w:val="24"/>
          <w:szCs w:val="24"/>
          <w:lang w:eastAsia="en-IN"/>
          <w14:ligatures w14:val="none"/>
        </w:rPr>
        <w:t xml:space="preserve"> et al., 2009; Ostrom, 1990).</w:t>
      </w:r>
    </w:p>
    <w:p w14:paraId="3984F8EE" w14:textId="77777777" w:rsidR="00F843FC" w:rsidRPr="003B3B44" w:rsidRDefault="00F843FC"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03F7E345"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Despite policy enthusiasm, many FPOs continue to face structural and managerial challenges. Weak governance systems, inadequate infrastructure, limited financial access, and insufficient professional management constrain long-term sustainability. Evidence from both Indian and international studies indicates that institutional success depends not only on policy support but also on social capital, organizational capacity, and market-oriented strategies (Francesconi et al., 2014; Ghosh &amp; Maharjan, 2019).</w:t>
      </w:r>
    </w:p>
    <w:p w14:paraId="4CFA2E92" w14:textId="77777777" w:rsidR="00F843FC" w:rsidRPr="003B3B44" w:rsidRDefault="00F843FC"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7D68271"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A critical policy lesson emerging from these case studies is that FPO promotion should move beyond numerical expansion toward building economically viable and self-sustaining agribusiness institutions. Stronger integration of digital technologies, value addition, women’s participation, and public–private partnerships can significantly improve the effectiveness of FPO-led value chains in India</w:t>
      </w:r>
    </w:p>
    <w:p w14:paraId="176CDB27" w14:textId="77777777" w:rsidR="00F843FC" w:rsidRPr="003B3B44" w:rsidRDefault="00F843FC"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095A499D"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 Critical Analysis and Results with Discussion</w:t>
      </w:r>
    </w:p>
    <w:p w14:paraId="67C6C2CE"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 Role of FPOs in Strengthening Agribusiness Value Chains</w:t>
      </w:r>
    </w:p>
    <w:p w14:paraId="4F2C5092"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Farmer Producer Organizations (FPOs) have emerged as an important institutional mechanism for integrating small and marginal farmers into modern agribusiness value chains. In many developing countries, fragmented landholdings, weak bargaining power, and poor market access limit the economic potential of farmers. FPOs address these challenges by promoting collective action, improving economies of scale, and enhancing market participation. Studies by </w:t>
      </w:r>
      <w:proofErr w:type="spellStart"/>
      <w:r w:rsidRPr="003B3B44">
        <w:rPr>
          <w:rFonts w:ascii="Times New Roman" w:eastAsia="Times New Roman" w:hAnsi="Times New Roman" w:cs="Times New Roman"/>
          <w:kern w:val="0"/>
          <w:sz w:val="24"/>
          <w:szCs w:val="24"/>
          <w:lang w:eastAsia="en-IN"/>
          <w14:ligatures w14:val="none"/>
        </w:rPr>
        <w:t>Markelova</w:t>
      </w:r>
      <w:proofErr w:type="spellEnd"/>
      <w:r w:rsidRPr="003B3B44">
        <w:rPr>
          <w:rFonts w:ascii="Times New Roman" w:eastAsia="Times New Roman" w:hAnsi="Times New Roman" w:cs="Times New Roman"/>
          <w:kern w:val="0"/>
          <w:sz w:val="24"/>
          <w:szCs w:val="24"/>
          <w:lang w:eastAsia="en-IN"/>
          <w14:ligatures w14:val="none"/>
        </w:rPr>
        <w:t xml:space="preserve"> et al. and Trebbin highlighted that collective organizations significantly improve farmers’ negotiating strength and market integration.</w:t>
      </w:r>
    </w:p>
    <w:p w14:paraId="3D4E4B06" w14:textId="77777777" w:rsidR="00BF266D"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C534C48" w14:textId="77777777" w:rsidR="00BF266D"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29D93922"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721BD4EA"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3.1.1 Input Supply and Resource Management</w:t>
      </w:r>
    </w:p>
    <w:p w14:paraId="30C41A15"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One of the major contributions of FPOs is the collective procurement of agricultural inputs such as seeds, fertilizers, pesticides, irrigation equipment, and farm machinery. Bulk purchasing reduces transaction costs and ensures timely availability of quality inputs to members. Such collective arrangements also reduce farmers’ dependence on local intermediaries who often sell inputs at inflated prices. Research from Ethiopia and Kenya demonstrated that cooperative membership improved access to fertilizers and modern technologies, thereby enhancing productivity and technical efficiency (Abate et al.; Alene et al.). Shared machinery services and community resource management further contribute to cost reduction and sustainable use of resources.</w:t>
      </w:r>
    </w:p>
    <w:p w14:paraId="582E5941"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6E2961E1"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3.1.2 Aggregation and Collective Marketing</w:t>
      </w:r>
    </w:p>
    <w:p w14:paraId="449CF52A"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FPOs strengthen value chains by aggregating farm produce and enabling collective marketing. Smallholders generally face disadvantages in fragmented markets due to low volumes and weak price negotiation power. Through aggregation, FPOs achieve better price realization and reduce exploitation by middlemen. Barham and </w:t>
      </w:r>
      <w:proofErr w:type="spellStart"/>
      <w:r w:rsidRPr="003B3B44">
        <w:rPr>
          <w:rFonts w:ascii="Times New Roman" w:eastAsia="Times New Roman" w:hAnsi="Times New Roman" w:cs="Times New Roman"/>
          <w:kern w:val="0"/>
          <w:sz w:val="24"/>
          <w:szCs w:val="24"/>
          <w:lang w:eastAsia="en-IN"/>
          <w14:ligatures w14:val="none"/>
        </w:rPr>
        <w:t>Chitemi</w:t>
      </w:r>
      <w:proofErr w:type="spellEnd"/>
      <w:r w:rsidRPr="003B3B44">
        <w:rPr>
          <w:rFonts w:ascii="Times New Roman" w:eastAsia="Times New Roman" w:hAnsi="Times New Roman" w:cs="Times New Roman"/>
          <w:kern w:val="0"/>
          <w:sz w:val="24"/>
          <w:szCs w:val="24"/>
          <w:lang w:eastAsia="en-IN"/>
          <w14:ligatures w14:val="none"/>
        </w:rPr>
        <w:t xml:space="preserve"> reported that collective marketing initiatives in Tanzania enhanced farmers’ market performance and income. Similar findings were observed in India and Kenya, where producer organizations enabled direct access to </w:t>
      </w:r>
      <w:r w:rsidRPr="003B3B44">
        <w:rPr>
          <w:rFonts w:ascii="Times New Roman" w:eastAsia="Times New Roman" w:hAnsi="Times New Roman" w:cs="Times New Roman"/>
          <w:kern w:val="0"/>
          <w:sz w:val="24"/>
          <w:szCs w:val="24"/>
          <w:lang w:eastAsia="en-IN"/>
          <w14:ligatures w14:val="none"/>
        </w:rPr>
        <w:lastRenderedPageBreak/>
        <w:t>supermarkets and organized retail chains (Fischer &amp; Qaim; Trebbin). Collective marketing also reduces transportation and marketing costs, increasing net returns for farmers.</w:t>
      </w:r>
    </w:p>
    <w:p w14:paraId="2C50DC37"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47632FC"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3.1.3 Value Addition and Processing</w:t>
      </w:r>
    </w:p>
    <w:p w14:paraId="558EC882"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FPOs increasingly engage in value addition activities such as grading, packaging, branding, storage, and processing. These activities help farmers capture a larger share of consumer prices and diversify income sources. </w:t>
      </w:r>
      <w:proofErr w:type="spellStart"/>
      <w:r w:rsidRPr="003B3B44">
        <w:rPr>
          <w:rFonts w:ascii="Times New Roman" w:eastAsia="Times New Roman" w:hAnsi="Times New Roman" w:cs="Times New Roman"/>
          <w:kern w:val="0"/>
          <w:sz w:val="24"/>
          <w:szCs w:val="24"/>
          <w:lang w:eastAsia="en-IN"/>
          <w14:ligatures w14:val="none"/>
        </w:rPr>
        <w:t>Agro</w:t>
      </w:r>
      <w:proofErr w:type="spellEnd"/>
      <w:r w:rsidRPr="003B3B44">
        <w:rPr>
          <w:rFonts w:ascii="Times New Roman" w:eastAsia="Times New Roman" w:hAnsi="Times New Roman" w:cs="Times New Roman"/>
          <w:kern w:val="0"/>
          <w:sz w:val="24"/>
          <w:szCs w:val="24"/>
          <w:lang w:eastAsia="en-IN"/>
          <w14:ligatures w14:val="none"/>
        </w:rPr>
        <w:t>-processing enterprises managed by FPOs also generate rural employment opportunities and stimulate local economic growth. Devaux et al. emphasized that inclusive value-chain development can significantly improve smallholder participation in profitable markets. In India, several FPOs involved in dairy, spices, and horticultural products have successfully developed local brands and processing units, strengthening rural industries.</w:t>
      </w:r>
    </w:p>
    <w:p w14:paraId="30237AC5"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61AF10B2"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3.1.4 Market Linkages and Supply Chain Integration</w:t>
      </w:r>
    </w:p>
    <w:p w14:paraId="142064F8"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Modern agricultural markets increasingly demand quality assurance, traceability, and timely supply. FPOs facilitate direct linkages between farmers and retailers, processors, exporters, and digital marketplaces. Such integration improves supply chain efficiency and reduces post-harvest losses. Studies on supermarket procurement systems in Kenya and Asia revealed that organized producer groups are better positioned to meet quality standards and maintain consistent supply (Rao &amp; Qaim; Ruben et al.). Digital platforms and e-commerce channels are also creating new opportunities for FPOs to access wider markets and real-time market information.</w:t>
      </w:r>
    </w:p>
    <w:p w14:paraId="46905411"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39CE2B93"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3.1.5 Financial Inclusion and Credit Access</w:t>
      </w:r>
    </w:p>
    <w:p w14:paraId="533F2B41" w14:textId="67043ED2"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Access to institutional finance remains a major challenge for smallholders. FPOs improve financial inclusion by enhancing farmers’ creditworthiness and linking them with banks, microfinance institutions, and government schemes. Collective structures reduce lending risks for financial institutions and encourage formal credit access. Government initiatives in India, including NABARD and SFAC support programs, have further strengthened FPO financing. However, the effectiveness of financial support largely depends on organizational transparency and managerial capacity.</w:t>
      </w:r>
    </w:p>
    <w:p w14:paraId="5833E33D"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396B333B"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3.2 Opportunities Associated with FPOs</w:t>
      </w:r>
    </w:p>
    <w:p w14:paraId="6099375F"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FPOs create multiple socio-economic opportunities for rural communities. By reducing transaction costs and improving bargaining power, they contribute to income enhancement and livelihood diversification. Ma et al. and Zhou et al. found that cooperative participation significantly increased farmers’ household income and market participation.</w:t>
      </w:r>
    </w:p>
    <w:p w14:paraId="24205B02"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70EE28A7"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FPOs also promote rural entrepreneurship through </w:t>
      </w:r>
      <w:proofErr w:type="spellStart"/>
      <w:r w:rsidRPr="003B3B44">
        <w:rPr>
          <w:rFonts w:ascii="Times New Roman" w:eastAsia="Times New Roman" w:hAnsi="Times New Roman" w:cs="Times New Roman"/>
          <w:kern w:val="0"/>
          <w:sz w:val="24"/>
          <w:szCs w:val="24"/>
          <w:lang w:eastAsia="en-IN"/>
          <w14:ligatures w14:val="none"/>
        </w:rPr>
        <w:t>agro</w:t>
      </w:r>
      <w:proofErr w:type="spellEnd"/>
      <w:r w:rsidRPr="003B3B44">
        <w:rPr>
          <w:rFonts w:ascii="Times New Roman" w:eastAsia="Times New Roman" w:hAnsi="Times New Roman" w:cs="Times New Roman"/>
          <w:kern w:val="0"/>
          <w:sz w:val="24"/>
          <w:szCs w:val="24"/>
          <w:lang w:eastAsia="en-IN"/>
          <w14:ligatures w14:val="none"/>
        </w:rPr>
        <w:t xml:space="preserve">-based enterprises, input supply </w:t>
      </w:r>
      <w:proofErr w:type="spellStart"/>
      <w:r w:rsidRPr="003B3B44">
        <w:rPr>
          <w:rFonts w:ascii="Times New Roman" w:eastAsia="Times New Roman" w:hAnsi="Times New Roman" w:cs="Times New Roman"/>
          <w:kern w:val="0"/>
          <w:sz w:val="24"/>
          <w:szCs w:val="24"/>
          <w:lang w:eastAsia="en-IN"/>
          <w14:ligatures w14:val="none"/>
        </w:rPr>
        <w:t>centers</w:t>
      </w:r>
      <w:proofErr w:type="spellEnd"/>
      <w:r w:rsidRPr="003B3B44">
        <w:rPr>
          <w:rFonts w:ascii="Times New Roman" w:eastAsia="Times New Roman" w:hAnsi="Times New Roman" w:cs="Times New Roman"/>
          <w:kern w:val="0"/>
          <w:sz w:val="24"/>
          <w:szCs w:val="24"/>
          <w:lang w:eastAsia="en-IN"/>
          <w14:ligatures w14:val="none"/>
        </w:rPr>
        <w:t>, processing units, and service delivery businesses. Women-led cooperatives and producer groups have shown strong potential for social and economic empowerment, as highlighted by Datta and Gailey. Additionally, technological advancement and digital agriculture are opening new pathways for FPO development. Mobile-based advisory services, ICT tools, digital payment systems, and online marketplaces provide farmers with better extension support and market intelligence (Singh et al.; Ma et al.).</w:t>
      </w:r>
    </w:p>
    <w:p w14:paraId="0449D9B6"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7B9A7325"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 xml:space="preserve">Another major opportunity lies in export-oriented agriculture. FPOs can help farmers comply with food safety standards, certification systems, and traceability requirements necessary for global markets. Research on certified coffee and horticulture value chains showed that </w:t>
      </w:r>
      <w:r w:rsidRPr="003B3B44">
        <w:rPr>
          <w:rFonts w:ascii="Times New Roman" w:eastAsia="Times New Roman" w:hAnsi="Times New Roman" w:cs="Times New Roman"/>
          <w:kern w:val="0"/>
          <w:sz w:val="24"/>
          <w:szCs w:val="24"/>
          <w:lang w:eastAsia="en-IN"/>
          <w14:ligatures w14:val="none"/>
        </w:rPr>
        <w:lastRenderedPageBreak/>
        <w:t xml:space="preserve">collective organizations improve farmers’ participation in international trade (Jena et al.; </w:t>
      </w:r>
      <w:proofErr w:type="spellStart"/>
      <w:r w:rsidRPr="003B3B44">
        <w:rPr>
          <w:rFonts w:ascii="Times New Roman" w:eastAsia="Times New Roman" w:hAnsi="Times New Roman" w:cs="Times New Roman"/>
          <w:kern w:val="0"/>
          <w:sz w:val="24"/>
          <w:szCs w:val="24"/>
          <w:lang w:eastAsia="en-IN"/>
          <w14:ligatures w14:val="none"/>
        </w:rPr>
        <w:t>Maertens</w:t>
      </w:r>
      <w:proofErr w:type="spellEnd"/>
      <w:r w:rsidRPr="003B3B44">
        <w:rPr>
          <w:rFonts w:ascii="Times New Roman" w:eastAsia="Times New Roman" w:hAnsi="Times New Roman" w:cs="Times New Roman"/>
          <w:kern w:val="0"/>
          <w:sz w:val="24"/>
          <w:szCs w:val="24"/>
          <w:lang w:eastAsia="en-IN"/>
          <w14:ligatures w14:val="none"/>
        </w:rPr>
        <w:t xml:space="preserve"> &amp; </w:t>
      </w:r>
      <w:proofErr w:type="spellStart"/>
      <w:r w:rsidRPr="003B3B44">
        <w:rPr>
          <w:rFonts w:ascii="Times New Roman" w:eastAsia="Times New Roman" w:hAnsi="Times New Roman" w:cs="Times New Roman"/>
          <w:kern w:val="0"/>
          <w:sz w:val="24"/>
          <w:szCs w:val="24"/>
          <w:lang w:eastAsia="en-IN"/>
          <w14:ligatures w14:val="none"/>
        </w:rPr>
        <w:t>Swinnen</w:t>
      </w:r>
      <w:proofErr w:type="spellEnd"/>
      <w:r w:rsidRPr="003B3B44">
        <w:rPr>
          <w:rFonts w:ascii="Times New Roman" w:eastAsia="Times New Roman" w:hAnsi="Times New Roman" w:cs="Times New Roman"/>
          <w:kern w:val="0"/>
          <w:sz w:val="24"/>
          <w:szCs w:val="24"/>
          <w:lang w:eastAsia="en-IN"/>
          <w14:ligatures w14:val="none"/>
        </w:rPr>
        <w:t>).</w:t>
      </w:r>
    </w:p>
    <w:p w14:paraId="30DB19E2"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0F48315E" w14:textId="5712DD66"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FPOs also contribute to sustainable agriculture by promoting climate-smart farming practices, resource conservation, and collective natural resource management. Their community-based structure encourages adoption of sustainable technologies and resilience-building strategies.</w:t>
      </w:r>
    </w:p>
    <w:p w14:paraId="2F7E6356"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F9A9CC4"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3.3 Constraints and Challenges Faced by FPOs</w:t>
      </w:r>
    </w:p>
    <w:p w14:paraId="497CFF31"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Despite their growing importance, many FPOs face serious institutional and operational challenges. Weak governance structures, lack of professional management, and poor accountability often limit organizational performance. Bernard and Spielman observed that several producer organizations struggle due to leadership inefficiencies and inadequate member participation.</w:t>
      </w:r>
    </w:p>
    <w:p w14:paraId="388BA0AD"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5B56DB88"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Financial constraints remain another major obstacle. Many FPOs suffer from limited working capital, inadequate collateral, and poor access to formal finance. This restricts their ability to invest in infrastructure, storage, processing, and marketing activities.</w:t>
      </w:r>
    </w:p>
    <w:p w14:paraId="14929D6A"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2E30DD5A"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Infrastructure deficiencies such as inadequate warehouses, cold-chain systems, rural roads, and transportation facilities also weaken supply chain efficiency. Smallholder farmers often experience high post-harvest losses due to poor logistics. Furthermore, FPOs operate in volatile markets characterized by fluctuating prices and intense competition from large agribusiness firms.</w:t>
      </w:r>
    </w:p>
    <w:p w14:paraId="3BA7907C" w14:textId="77777777" w:rsidR="00BF266D"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17985576" w14:textId="23BA271F"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Limited technical knowledge and insufficient capacity-building programs reduce the managerial and entrepreneurial capabilities of FPO members. Many farmers lack digital literacy, business planning skills, and knowledge of value-chain management. Policy-related bottlenecks, including complex registration procedures, overlapping regulations, and weak institutional coordination, further constrain FPO growth (Pandey &amp; Singh).</w:t>
      </w:r>
    </w:p>
    <w:p w14:paraId="1C38375B"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4A134A89"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3.4 Comparative Analysis of Successful FPO Models</w:t>
      </w:r>
    </w:p>
    <w:p w14:paraId="611F4C39"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Successful FPO models from India, Kenya, Ethiopia, and China reveal several common success factors. The dairy cooperative model in India, particularly the Anand pattern, demonstrated how strong institutional support, professional management, and efficient market linkages can transform rural livelihoods. Coffee cooperatives in Ethiopia and horticultural producer groups in Kenya succeeded due to strong export linkages, quality assurance systems, and member participation (Mojo et al.; Fischer &amp; Qaim).</w:t>
      </w:r>
    </w:p>
    <w:p w14:paraId="0E48E58A"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33505FC9" w14:textId="1B315C0A"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Comparative analysis suggests that successful FPOs usually possess effective leadership, transparent governance, access to finance, market-oriented operations, and continuous capacity building. Strong social capital and trust among members also play a critical role in organizational sustainability (Francesconi et al.). These lessons indicate that replication and scaling-up of FPOs require localized strategies rather than uniform policy approaches.</w:t>
      </w:r>
    </w:p>
    <w:p w14:paraId="4F530CB2"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2D7774F7" w14:textId="77777777" w:rsidR="003B3B44" w:rsidRP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3.5 Policy Implications and Strategic Interventions</w:t>
      </w:r>
    </w:p>
    <w:p w14:paraId="5ACF047E"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Strengthening FPOs requires integrated policy support and long-term institutional commitment. Professional management systems, transparent governance mechanisms, and regular auditing should be promoted to improve organizational efficiency. Capacity-building initiatives focusing on entrepreneurship, marketing, digital literacy, and financial management are equally essential.</w:t>
      </w:r>
    </w:p>
    <w:p w14:paraId="4926BB05"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lastRenderedPageBreak/>
        <w:drawing>
          <wp:inline distT="0" distB="0" distL="0" distR="0" wp14:anchorId="7F5B912D" wp14:editId="76DD5FB5">
            <wp:extent cx="5731510" cy="5426710"/>
            <wp:effectExtent l="0" t="0" r="2540" b="2540"/>
            <wp:docPr id="20085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727" name="Picture 200857727"/>
                    <pic:cNvPicPr/>
                  </pic:nvPicPr>
                  <pic:blipFill rotWithShape="1">
                    <a:blip r:embed="rId6">
                      <a:extLst>
                        <a:ext uri="{28A0092B-C50C-407E-A947-70E740481C1C}">
                          <a14:useLocalDpi xmlns:a14="http://schemas.microsoft.com/office/drawing/2010/main" val="0"/>
                        </a:ext>
                      </a:extLst>
                    </a:blip>
                    <a:srcRect t="5318"/>
                    <a:stretch>
                      <a:fillRect/>
                    </a:stretch>
                  </pic:blipFill>
                  <pic:spPr bwMode="auto">
                    <a:xfrm>
                      <a:off x="0" y="0"/>
                      <a:ext cx="5731510" cy="5426710"/>
                    </a:xfrm>
                    <a:prstGeom prst="rect">
                      <a:avLst/>
                    </a:prstGeom>
                    <a:ln>
                      <a:noFill/>
                    </a:ln>
                    <a:extLst>
                      <a:ext uri="{53640926-AAD7-44D8-BBD7-CCE9431645EC}">
                        <a14:shadowObscured xmlns:a14="http://schemas.microsoft.com/office/drawing/2010/main"/>
                      </a:ext>
                    </a:extLst>
                  </pic:spPr>
                </pic:pic>
              </a:graphicData>
            </a:graphic>
          </wp:inline>
        </w:drawing>
      </w:r>
    </w:p>
    <w:p w14:paraId="222D912A" w14:textId="04C26710" w:rsidR="003B3B44" w:rsidRDefault="003B3B44" w:rsidP="003B3B44">
      <w:pPr>
        <w:spacing w:after="0" w:line="240" w:lineRule="auto"/>
        <w:jc w:val="both"/>
        <w:rPr>
          <w:rFonts w:ascii="Times New Roman" w:eastAsia="Times New Roman" w:hAnsi="Times New Roman" w:cs="Times New Roman"/>
          <w:b/>
          <w:bCs/>
          <w:kern w:val="0"/>
          <w:sz w:val="24"/>
          <w:szCs w:val="24"/>
          <w:lang w:eastAsia="en-IN"/>
          <w14:ligatures w14:val="none"/>
        </w:rPr>
      </w:pPr>
      <w:r w:rsidRPr="003B3B44">
        <w:rPr>
          <w:rFonts w:ascii="Times New Roman" w:eastAsia="Times New Roman" w:hAnsi="Times New Roman" w:cs="Times New Roman"/>
          <w:b/>
          <w:bCs/>
          <w:kern w:val="0"/>
          <w:sz w:val="24"/>
          <w:szCs w:val="24"/>
          <w:lang w:eastAsia="en-IN"/>
          <w14:ligatures w14:val="none"/>
        </w:rPr>
        <w:t>Figure 1 Radar graph illustrating the multidimensional role, opportunities, challenges, and policy implications of Farmer Producer Organizations (FPOs) in strengthening agribusiness value chains.</w:t>
      </w:r>
    </w:p>
    <w:p w14:paraId="6261E12E" w14:textId="77777777" w:rsidR="00BF266D" w:rsidRPr="003B3B44" w:rsidRDefault="00BF266D" w:rsidP="003B3B44">
      <w:pPr>
        <w:spacing w:after="0" w:line="240" w:lineRule="auto"/>
        <w:jc w:val="both"/>
        <w:rPr>
          <w:rFonts w:ascii="Times New Roman" w:eastAsia="Times New Roman" w:hAnsi="Times New Roman" w:cs="Times New Roman"/>
          <w:b/>
          <w:bCs/>
          <w:kern w:val="0"/>
          <w:sz w:val="24"/>
          <w:szCs w:val="24"/>
          <w:lang w:eastAsia="en-IN"/>
          <w14:ligatures w14:val="none"/>
        </w:rPr>
      </w:pPr>
    </w:p>
    <w:p w14:paraId="52EC2AAB"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Governments and financial institutions must expand access to affordable credit, insurance, warehouse infrastructure, cold storage, and processing facilities. Investment in rural digital infrastructure can improve market transparency and facilitate e-commerce integration.</w:t>
      </w:r>
    </w:p>
    <w:p w14:paraId="437DDF1B"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492DB43E"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Public–private partnerships involving government agencies, NGOs, agribusiness firms, research institutions, and extension agencies can provide technical expertise and market support. Innovation platforms and collaborative networks are particularly useful for linking farmers with value-chain actors (</w:t>
      </w:r>
      <w:proofErr w:type="spellStart"/>
      <w:r w:rsidRPr="003B3B44">
        <w:rPr>
          <w:rFonts w:ascii="Times New Roman" w:eastAsia="Times New Roman" w:hAnsi="Times New Roman" w:cs="Times New Roman"/>
          <w:kern w:val="0"/>
          <w:sz w:val="24"/>
          <w:szCs w:val="24"/>
          <w:lang w:eastAsia="en-IN"/>
          <w14:ligatures w14:val="none"/>
        </w:rPr>
        <w:t>Kilelu</w:t>
      </w:r>
      <w:proofErr w:type="spellEnd"/>
      <w:r w:rsidRPr="003B3B44">
        <w:rPr>
          <w:rFonts w:ascii="Times New Roman" w:eastAsia="Times New Roman" w:hAnsi="Times New Roman" w:cs="Times New Roman"/>
          <w:kern w:val="0"/>
          <w:sz w:val="24"/>
          <w:szCs w:val="24"/>
          <w:lang w:eastAsia="en-IN"/>
          <w14:ligatures w14:val="none"/>
        </w:rPr>
        <w:t xml:space="preserve"> et al.).</w:t>
      </w:r>
    </w:p>
    <w:p w14:paraId="3F4513E6" w14:textId="77777777" w:rsidR="00BF266D" w:rsidRPr="003B3B44"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79688B5B" w14:textId="77777777" w:rsid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r w:rsidRPr="003B3B44">
        <w:rPr>
          <w:rFonts w:ascii="Times New Roman" w:eastAsia="Times New Roman" w:hAnsi="Times New Roman" w:cs="Times New Roman"/>
          <w:kern w:val="0"/>
          <w:sz w:val="24"/>
          <w:szCs w:val="24"/>
          <w:lang w:eastAsia="en-IN"/>
          <w14:ligatures w14:val="none"/>
        </w:rPr>
        <w:t>Finally, policy reforms should simplify FPO registration procedures, strengthen institutional coordination, and promote transparent digital market systems. Expanding e-marketing platforms such as electronic national agricultural markets can improve price discovery and reduce intermediary dependence. Overall, FPOs possess significant potential to strengthen agribusiness value chains, but their long-term sustainability depends on supportive policies, institutional capacity, and inclusive market integration.</w:t>
      </w:r>
    </w:p>
    <w:p w14:paraId="5A3C305F" w14:textId="77777777" w:rsidR="00BF266D" w:rsidRDefault="00BF266D"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6A768FBC" w14:textId="77777777" w:rsidR="006A5124" w:rsidRPr="006A5124" w:rsidRDefault="006A5124" w:rsidP="006A5124">
      <w:pPr>
        <w:spacing w:after="0" w:line="240" w:lineRule="auto"/>
        <w:jc w:val="both"/>
        <w:rPr>
          <w:rFonts w:ascii="Times New Roman" w:eastAsia="Times New Roman" w:hAnsi="Times New Roman" w:cs="Times New Roman"/>
          <w:b/>
          <w:bCs/>
          <w:kern w:val="0"/>
          <w:sz w:val="24"/>
          <w:szCs w:val="24"/>
          <w:lang w:eastAsia="en-IN"/>
          <w14:ligatures w14:val="none"/>
        </w:rPr>
      </w:pPr>
      <w:r w:rsidRPr="006A5124">
        <w:rPr>
          <w:rFonts w:ascii="Times New Roman" w:eastAsia="Times New Roman" w:hAnsi="Times New Roman" w:cs="Times New Roman"/>
          <w:b/>
          <w:bCs/>
          <w:kern w:val="0"/>
          <w:sz w:val="24"/>
          <w:szCs w:val="24"/>
          <w:lang w:eastAsia="en-IN"/>
          <w14:ligatures w14:val="none"/>
        </w:rPr>
        <w:t>4. Conclusion</w:t>
      </w:r>
    </w:p>
    <w:p w14:paraId="6175195A" w14:textId="77777777" w:rsid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Farmer Producer Organizations (FPOs) have emerged as significant institutional mechanisms for strengthening agribusiness value chains and improving the socio-economic conditions of small and marginal farmers. The review clearly indicates that FPOs enhance collective bargaining power, facilitate input procurement, improve market access, and promote value addition through aggregation, processing, branding, and direct market linkages. By integrating farmers into organized supply chains, FPOs reduce transaction costs and create opportunities for higher income generation and rural entrepreneurship. Their role in financial inclusion, digital agriculture, export-oriented production, and climate-smart farming further highlights their growing importance in modern agricultural transformation.</w:t>
      </w:r>
    </w:p>
    <w:p w14:paraId="13BB874A" w14:textId="77777777" w:rsidR="00BF266D" w:rsidRPr="006A5124" w:rsidRDefault="00BF266D" w:rsidP="006A5124">
      <w:pPr>
        <w:spacing w:after="0" w:line="240" w:lineRule="auto"/>
        <w:jc w:val="both"/>
        <w:rPr>
          <w:rFonts w:ascii="Times New Roman" w:eastAsia="Times New Roman" w:hAnsi="Times New Roman" w:cs="Times New Roman"/>
          <w:kern w:val="0"/>
          <w:sz w:val="24"/>
          <w:szCs w:val="24"/>
          <w:lang w:eastAsia="en-IN"/>
          <w14:ligatures w14:val="none"/>
        </w:rPr>
      </w:pPr>
    </w:p>
    <w:p w14:paraId="645A8DC6" w14:textId="77777777" w:rsid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Despite these contributions, the review also reveals several structural and operational challenges affecting the sustainability of FPOs. Weak governance systems, inadequate professional management, limited financial resources, poor infrastructure, low digital literacy, and policy implementation gaps continue to constrain their effectiveness. In many cases, FPOs remain dependent on external institutional support and struggle to compete with large agribusiness firms within liberalized markets. Unequal participation and weak organizational accountability also limit inclusive development outcomes.</w:t>
      </w:r>
    </w:p>
    <w:p w14:paraId="27633C69" w14:textId="77777777" w:rsidR="00BF266D" w:rsidRPr="006A5124" w:rsidRDefault="00BF266D" w:rsidP="006A5124">
      <w:pPr>
        <w:spacing w:after="0" w:line="240" w:lineRule="auto"/>
        <w:jc w:val="both"/>
        <w:rPr>
          <w:rFonts w:ascii="Times New Roman" w:eastAsia="Times New Roman" w:hAnsi="Times New Roman" w:cs="Times New Roman"/>
          <w:kern w:val="0"/>
          <w:sz w:val="24"/>
          <w:szCs w:val="24"/>
          <w:lang w:eastAsia="en-IN"/>
          <w14:ligatures w14:val="none"/>
        </w:rPr>
      </w:pPr>
    </w:p>
    <w:p w14:paraId="00FDDD58" w14:textId="77777777" w:rsid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Comparative evidence from India and other developing countries suggests that successful FPOs are characterized by strong leadership, transparent governance, market-oriented operations, social capital, and continuous capacity building. Therefore, future policy interventions should prioritize institutional strengthening rather than merely increasing the number of registered FPOs. Greater investment in rural infrastructure, digital platforms, professional management, extension services, and public–private partnerships is essential for improving long-term sustainability.</w:t>
      </w:r>
    </w:p>
    <w:p w14:paraId="25030814" w14:textId="77777777" w:rsidR="00BF266D" w:rsidRPr="006A5124" w:rsidRDefault="00BF266D" w:rsidP="006A5124">
      <w:pPr>
        <w:spacing w:after="0" w:line="240" w:lineRule="auto"/>
        <w:jc w:val="both"/>
        <w:rPr>
          <w:rFonts w:ascii="Times New Roman" w:eastAsia="Times New Roman" w:hAnsi="Times New Roman" w:cs="Times New Roman"/>
          <w:kern w:val="0"/>
          <w:sz w:val="24"/>
          <w:szCs w:val="24"/>
          <w:lang w:eastAsia="en-IN"/>
          <w14:ligatures w14:val="none"/>
        </w:rPr>
      </w:pPr>
    </w:p>
    <w:p w14:paraId="611A89F1" w14:textId="49D4EE59" w:rsid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Overall, FPOs possess immense potential to transform agribusiness value chains into more inclusive, efficient, and sustainable systems. However, achieving this potential requires integrated policy support, stronger institutional coordination, and farmer-</w:t>
      </w:r>
      <w:proofErr w:type="spellStart"/>
      <w:r w:rsidRPr="006A5124">
        <w:rPr>
          <w:rFonts w:ascii="Times New Roman" w:eastAsia="Times New Roman" w:hAnsi="Times New Roman" w:cs="Times New Roman"/>
          <w:kern w:val="0"/>
          <w:sz w:val="24"/>
          <w:szCs w:val="24"/>
          <w:lang w:eastAsia="en-IN"/>
          <w14:ligatures w14:val="none"/>
        </w:rPr>
        <w:t>centered</w:t>
      </w:r>
      <w:proofErr w:type="spellEnd"/>
      <w:r w:rsidRPr="006A5124">
        <w:rPr>
          <w:rFonts w:ascii="Times New Roman" w:eastAsia="Times New Roman" w:hAnsi="Times New Roman" w:cs="Times New Roman"/>
          <w:kern w:val="0"/>
          <w:sz w:val="24"/>
          <w:szCs w:val="24"/>
          <w:lang w:eastAsia="en-IN"/>
          <w14:ligatures w14:val="none"/>
        </w:rPr>
        <w:t xml:space="preserve"> development strategies that combine economic viability with social equity and environmental sustainability.</w:t>
      </w:r>
    </w:p>
    <w:p w14:paraId="09641342" w14:textId="77777777" w:rsidR="00BF266D" w:rsidRPr="006A5124" w:rsidRDefault="00BF266D" w:rsidP="006A5124">
      <w:pPr>
        <w:spacing w:after="0" w:line="240" w:lineRule="auto"/>
        <w:jc w:val="both"/>
        <w:rPr>
          <w:rFonts w:ascii="Times New Roman" w:eastAsia="Times New Roman" w:hAnsi="Times New Roman" w:cs="Times New Roman"/>
          <w:kern w:val="0"/>
          <w:sz w:val="24"/>
          <w:szCs w:val="24"/>
          <w:lang w:eastAsia="en-IN"/>
          <w14:ligatures w14:val="none"/>
        </w:rPr>
      </w:pPr>
    </w:p>
    <w:p w14:paraId="522ABBAD" w14:textId="77777777" w:rsidR="006A5124" w:rsidRPr="006A5124" w:rsidRDefault="006A5124" w:rsidP="006A5124">
      <w:pPr>
        <w:spacing w:after="0" w:line="240" w:lineRule="auto"/>
        <w:jc w:val="both"/>
        <w:rPr>
          <w:rFonts w:ascii="Times New Roman" w:eastAsia="Times New Roman" w:hAnsi="Times New Roman" w:cs="Times New Roman"/>
          <w:b/>
          <w:bCs/>
          <w:kern w:val="0"/>
          <w:sz w:val="24"/>
          <w:szCs w:val="24"/>
          <w:lang w:eastAsia="en-IN"/>
          <w14:ligatures w14:val="none"/>
        </w:rPr>
      </w:pPr>
      <w:r w:rsidRPr="006A5124">
        <w:rPr>
          <w:rFonts w:ascii="Times New Roman" w:eastAsia="Times New Roman" w:hAnsi="Times New Roman" w:cs="Times New Roman"/>
          <w:b/>
          <w:bCs/>
          <w:kern w:val="0"/>
          <w:sz w:val="24"/>
          <w:szCs w:val="24"/>
          <w:lang w:eastAsia="en-IN"/>
          <w14:ligatures w14:val="none"/>
        </w:rPr>
        <w:t>5. Future Research Directions</w:t>
      </w:r>
    </w:p>
    <w:p w14:paraId="4C6ECB31" w14:textId="77777777" w:rsidR="006A5124" w:rsidRPr="006A5124" w:rsidRDefault="006A5124" w:rsidP="006A5124">
      <w:pPr>
        <w:spacing w:after="0" w:line="240" w:lineRule="auto"/>
        <w:jc w:val="both"/>
        <w:rPr>
          <w:rFonts w:ascii="Times New Roman" w:eastAsia="Times New Roman" w:hAnsi="Times New Roman" w:cs="Times New Roman"/>
          <w:kern w:val="0"/>
          <w:sz w:val="24"/>
          <w:szCs w:val="24"/>
          <w:lang w:eastAsia="en-IN"/>
          <w14:ligatures w14:val="none"/>
        </w:rPr>
      </w:pPr>
      <w:r w:rsidRPr="006A5124">
        <w:rPr>
          <w:rFonts w:ascii="Times New Roman" w:eastAsia="Times New Roman" w:hAnsi="Times New Roman" w:cs="Times New Roman"/>
          <w:kern w:val="0"/>
          <w:sz w:val="24"/>
          <w:szCs w:val="24"/>
          <w:lang w:eastAsia="en-IN"/>
          <w14:ligatures w14:val="none"/>
        </w:rPr>
        <w:t xml:space="preserve">Future research should focus on evaluating the long-term sustainability and financial viability of FPOs across different </w:t>
      </w:r>
      <w:proofErr w:type="spellStart"/>
      <w:r w:rsidRPr="006A5124">
        <w:rPr>
          <w:rFonts w:ascii="Times New Roman" w:eastAsia="Times New Roman" w:hAnsi="Times New Roman" w:cs="Times New Roman"/>
          <w:kern w:val="0"/>
          <w:sz w:val="24"/>
          <w:szCs w:val="24"/>
          <w:lang w:eastAsia="en-IN"/>
          <w14:ligatures w14:val="none"/>
        </w:rPr>
        <w:t>agro</w:t>
      </w:r>
      <w:proofErr w:type="spellEnd"/>
      <w:r w:rsidRPr="006A5124">
        <w:rPr>
          <w:rFonts w:ascii="Times New Roman" w:eastAsia="Times New Roman" w:hAnsi="Times New Roman" w:cs="Times New Roman"/>
          <w:kern w:val="0"/>
          <w:sz w:val="24"/>
          <w:szCs w:val="24"/>
          <w:lang w:eastAsia="en-IN"/>
          <w14:ligatures w14:val="none"/>
        </w:rPr>
        <w:t>-ecological and socio-economic regions. Comparative studies examining commodity-specific FPO performance, gender participation, digital agriculture adoption, and climate resilience strategies would provide deeper insights into institutional effectiveness. More empirical research is also needed on the impact of e-commerce integration, artificial intelligence-based advisory systems, blockchain-enabled traceability, and public–private partnerships in strengthening FPO-led value chains. Additionally, longitudinal studies assessing governance quality, member participation, and social capital formation can help identify factors influencing organizational success and failure. Future policy-oriented research should further explore inclusive models that ensure equitable participation of smallholders, women farmers, and resource-poor communities within modern agribusiness systems.</w:t>
      </w:r>
    </w:p>
    <w:p w14:paraId="5971027E" w14:textId="77777777" w:rsidR="006A5124" w:rsidRPr="003B3B44" w:rsidRDefault="006A5124"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3AB72449" w14:textId="77777777" w:rsidR="003B3B44" w:rsidRPr="003B3B44" w:rsidRDefault="003B3B44" w:rsidP="003B3B44">
      <w:pPr>
        <w:spacing w:after="0" w:line="240" w:lineRule="auto"/>
        <w:jc w:val="both"/>
        <w:rPr>
          <w:rFonts w:ascii="Times New Roman" w:eastAsia="Times New Roman" w:hAnsi="Times New Roman" w:cs="Times New Roman"/>
          <w:vanish/>
          <w:kern w:val="0"/>
          <w:sz w:val="24"/>
          <w:szCs w:val="24"/>
          <w:lang w:eastAsia="en-IN"/>
          <w14:ligatures w14:val="none"/>
        </w:rPr>
      </w:pPr>
      <w:r w:rsidRPr="003B3B44">
        <w:rPr>
          <w:rFonts w:ascii="Times New Roman" w:eastAsia="Times New Roman" w:hAnsi="Times New Roman" w:cs="Times New Roman"/>
          <w:vanish/>
          <w:kern w:val="0"/>
          <w:sz w:val="24"/>
          <w:szCs w:val="24"/>
          <w:lang w:eastAsia="en-IN"/>
          <w14:ligatures w14:val="none"/>
        </w:rPr>
        <w:t>Top of Form</w:t>
      </w:r>
    </w:p>
    <w:p w14:paraId="1EF7D2AC" w14:textId="77777777" w:rsidR="003B3B44" w:rsidRPr="003B3B44" w:rsidRDefault="003B3B44" w:rsidP="003B3B44">
      <w:pPr>
        <w:spacing w:after="0" w:line="240" w:lineRule="auto"/>
        <w:jc w:val="both"/>
        <w:rPr>
          <w:rFonts w:ascii="Times New Roman" w:eastAsia="Times New Roman" w:hAnsi="Times New Roman" w:cs="Times New Roman"/>
          <w:kern w:val="0"/>
          <w:sz w:val="24"/>
          <w:szCs w:val="24"/>
          <w:lang w:eastAsia="en-IN"/>
          <w14:ligatures w14:val="none"/>
        </w:rPr>
      </w:pPr>
    </w:p>
    <w:p w14:paraId="2459D545" w14:textId="77777777" w:rsidR="003B3B44" w:rsidRPr="003B3B44" w:rsidRDefault="003B3B44" w:rsidP="003B3B44">
      <w:pPr>
        <w:spacing w:after="0" w:line="240" w:lineRule="auto"/>
        <w:jc w:val="both"/>
        <w:rPr>
          <w:rFonts w:ascii="Times New Roman" w:eastAsia="Times New Roman" w:hAnsi="Times New Roman" w:cs="Times New Roman"/>
          <w:vanish/>
          <w:kern w:val="0"/>
          <w:sz w:val="24"/>
          <w:szCs w:val="24"/>
          <w:lang w:eastAsia="en-IN"/>
          <w14:ligatures w14:val="none"/>
        </w:rPr>
      </w:pPr>
      <w:r w:rsidRPr="003B3B44">
        <w:rPr>
          <w:rFonts w:ascii="Times New Roman" w:eastAsia="Times New Roman" w:hAnsi="Times New Roman" w:cs="Times New Roman"/>
          <w:vanish/>
          <w:kern w:val="0"/>
          <w:sz w:val="24"/>
          <w:szCs w:val="24"/>
          <w:lang w:eastAsia="en-IN"/>
          <w14:ligatures w14:val="none"/>
        </w:rPr>
        <w:t>Bottom of Form</w:t>
      </w:r>
    </w:p>
    <w:p w14:paraId="412E0C32" w14:textId="5F438412" w:rsidR="00296B46" w:rsidRDefault="00296B46" w:rsidP="00296B46">
      <w:pPr>
        <w:spacing w:after="0" w:line="240" w:lineRule="auto"/>
        <w:jc w:val="both"/>
        <w:rPr>
          <w:rFonts w:ascii="Times New Roman" w:eastAsia="Times New Roman" w:hAnsi="Times New Roman" w:cs="Times New Roman"/>
          <w:kern w:val="0"/>
          <w:sz w:val="24"/>
          <w:szCs w:val="24"/>
          <w:lang w:eastAsia="en-IN"/>
          <w14:ligatures w14:val="none"/>
        </w:rPr>
      </w:pPr>
    </w:p>
    <w:p w14:paraId="02F629CE" w14:textId="01758A71" w:rsidR="00296B46" w:rsidRPr="00296B46" w:rsidRDefault="00296B46" w:rsidP="00296B46">
      <w:pPr>
        <w:spacing w:after="0" w:line="240" w:lineRule="auto"/>
        <w:jc w:val="both"/>
        <w:rPr>
          <w:rFonts w:ascii="Times New Roman" w:eastAsia="Times New Roman" w:hAnsi="Times New Roman" w:cs="Times New Roman"/>
          <w:b/>
          <w:bCs/>
          <w:kern w:val="0"/>
          <w:sz w:val="28"/>
          <w:szCs w:val="28"/>
          <w:lang w:eastAsia="en-IN"/>
          <w14:ligatures w14:val="none"/>
        </w:rPr>
      </w:pPr>
      <w:r w:rsidRPr="00296B46">
        <w:rPr>
          <w:rFonts w:ascii="Times New Roman" w:eastAsia="Times New Roman" w:hAnsi="Times New Roman" w:cs="Times New Roman"/>
          <w:b/>
          <w:bCs/>
          <w:kern w:val="0"/>
          <w:sz w:val="28"/>
          <w:szCs w:val="28"/>
          <w:lang w:eastAsia="en-IN"/>
          <w14:ligatures w14:val="none"/>
        </w:rPr>
        <w:t xml:space="preserve">REFERENCES: </w:t>
      </w:r>
    </w:p>
    <w:p w14:paraId="50018180" w14:textId="77777777" w:rsidR="00296B46" w:rsidRDefault="00296B46" w:rsidP="00296B46">
      <w:pPr>
        <w:pStyle w:val="NormalWeb"/>
      </w:pPr>
      <w:r>
        <w:lastRenderedPageBreak/>
        <w:t xml:space="preserve">Abate, G. T., Francesconi, G. N., &amp; Getnet, K. (2014). Impact of agricultural cooperatives on smallholders’ technical efficiency: Empirical evidence from Ethiopia. </w:t>
      </w:r>
      <w:r>
        <w:rPr>
          <w:rStyle w:val="Emphasis"/>
        </w:rPr>
        <w:t>Annals of Public and Cooperative Economics, 85</w:t>
      </w:r>
      <w:r>
        <w:t xml:space="preserve">(2), 257–286. </w:t>
      </w:r>
      <w:hyperlink r:id="rId7" w:history="1">
        <w:r>
          <w:rPr>
            <w:rStyle w:val="Hyperlink"/>
          </w:rPr>
          <w:t>https://doi.org/10.1111/apce.12035</w:t>
        </w:r>
      </w:hyperlink>
    </w:p>
    <w:p w14:paraId="64D1E87C" w14:textId="77777777" w:rsidR="00296B46" w:rsidRDefault="00296B46" w:rsidP="00296B46">
      <w:pPr>
        <w:pStyle w:val="NormalWeb"/>
      </w:pPr>
      <w:r>
        <w:t xml:space="preserve">Agarwal, B. (2010). Rethinking agricultural production </w:t>
      </w:r>
      <w:proofErr w:type="spellStart"/>
      <w:r>
        <w:t>collectivities</w:t>
      </w:r>
      <w:proofErr w:type="spellEnd"/>
      <w:r>
        <w:t xml:space="preserve">. </w:t>
      </w:r>
      <w:r>
        <w:rPr>
          <w:rStyle w:val="Emphasis"/>
        </w:rPr>
        <w:t>World Development, 38</w:t>
      </w:r>
      <w:r>
        <w:t xml:space="preserve">(1), 98–111. </w:t>
      </w:r>
      <w:hyperlink r:id="rId8" w:history="1">
        <w:r>
          <w:rPr>
            <w:rStyle w:val="Hyperlink"/>
          </w:rPr>
          <w:t>https://doi.org/10.1016/j.worlddev.2009.06.005</w:t>
        </w:r>
      </w:hyperlink>
    </w:p>
    <w:p w14:paraId="63D0C6D8" w14:textId="77777777" w:rsidR="00296B46" w:rsidRDefault="00296B46" w:rsidP="00296B46">
      <w:pPr>
        <w:pStyle w:val="NormalWeb"/>
      </w:pPr>
      <w:r>
        <w:t xml:space="preserve">Aldana, U., &amp; Foltz, J. D. (2011). Producer organizations, collective action, and technical efficiency: Evidence from Ecuadorian potato farmers. </w:t>
      </w:r>
      <w:r>
        <w:rPr>
          <w:rStyle w:val="Emphasis"/>
        </w:rPr>
        <w:t>Food Policy, 36</w:t>
      </w:r>
      <w:r>
        <w:t xml:space="preserve">(5), 711–719. </w:t>
      </w:r>
      <w:hyperlink r:id="rId9" w:history="1">
        <w:r>
          <w:rPr>
            <w:rStyle w:val="Hyperlink"/>
          </w:rPr>
          <w:t>https://doi.org/10.1016/j.foodpol.2011.06.009</w:t>
        </w:r>
      </w:hyperlink>
    </w:p>
    <w:p w14:paraId="5B693897" w14:textId="77777777" w:rsidR="00296B46" w:rsidRDefault="00296B46" w:rsidP="00296B46">
      <w:pPr>
        <w:pStyle w:val="NormalWeb"/>
      </w:pPr>
      <w:r>
        <w:t xml:space="preserve">Alene, A. D., </w:t>
      </w:r>
      <w:proofErr w:type="spellStart"/>
      <w:r>
        <w:t>Manyong</w:t>
      </w:r>
      <w:proofErr w:type="spellEnd"/>
      <w:r>
        <w:t xml:space="preserve">, V. M., Omanya, G., </w:t>
      </w:r>
      <w:proofErr w:type="spellStart"/>
      <w:r>
        <w:t>Mignouna</w:t>
      </w:r>
      <w:proofErr w:type="spellEnd"/>
      <w:r>
        <w:t xml:space="preserve">, H. D., </w:t>
      </w:r>
      <w:proofErr w:type="spellStart"/>
      <w:r>
        <w:t>Bokanga</w:t>
      </w:r>
      <w:proofErr w:type="spellEnd"/>
      <w:r>
        <w:t xml:space="preserve">, M., &amp; Odhiambo, G. (2008). Smallholder market participation under transactions costs: Maize supply and fertilizer demand in Kenya. </w:t>
      </w:r>
      <w:r>
        <w:rPr>
          <w:rStyle w:val="Emphasis"/>
        </w:rPr>
        <w:t>Food Policy, 33</w:t>
      </w:r>
      <w:r>
        <w:t xml:space="preserve">(4), 318–328. </w:t>
      </w:r>
      <w:hyperlink r:id="rId10" w:history="1">
        <w:r>
          <w:rPr>
            <w:rStyle w:val="Hyperlink"/>
          </w:rPr>
          <w:t>https://doi.org/10.1016/j.foodpol.2007.12.001</w:t>
        </w:r>
      </w:hyperlink>
    </w:p>
    <w:p w14:paraId="6EACD6D0" w14:textId="77777777" w:rsidR="00296B46" w:rsidRDefault="00296B46" w:rsidP="00296B46">
      <w:pPr>
        <w:pStyle w:val="NormalWeb"/>
      </w:pPr>
      <w:r>
        <w:t xml:space="preserve">Andersson, C. I. M., Chege, C. G. K., Rao, E. J. O., &amp; Qaim, M. (2015). Following up on smallholder farmers and supermarkets in Kenya. </w:t>
      </w:r>
      <w:r>
        <w:rPr>
          <w:rStyle w:val="Emphasis"/>
        </w:rPr>
        <w:t>American Journal of Agricultural Economics, 97</w:t>
      </w:r>
      <w:r>
        <w:t xml:space="preserve">(4), 1247–1266. </w:t>
      </w:r>
      <w:hyperlink r:id="rId11" w:history="1">
        <w:r>
          <w:rPr>
            <w:rStyle w:val="Hyperlink"/>
          </w:rPr>
          <w:t>https://doi.org/10.1093/ajae/aav006</w:t>
        </w:r>
      </w:hyperlink>
    </w:p>
    <w:p w14:paraId="77B9E138" w14:textId="77777777" w:rsidR="00296B46" w:rsidRDefault="00296B46" w:rsidP="00296B46">
      <w:pPr>
        <w:pStyle w:val="NormalWeb"/>
      </w:pPr>
      <w:r>
        <w:t xml:space="preserve">Barham, J., &amp; </w:t>
      </w:r>
      <w:proofErr w:type="spellStart"/>
      <w:r>
        <w:t>Chitemi</w:t>
      </w:r>
      <w:proofErr w:type="spellEnd"/>
      <w:r>
        <w:t xml:space="preserve">, C. (2009). Collective action initiatives to improve marketing performance: Lessons from farmer groups in Tanzania. </w:t>
      </w:r>
      <w:r>
        <w:rPr>
          <w:rStyle w:val="Emphasis"/>
        </w:rPr>
        <w:t>Food Policy, 34</w:t>
      </w:r>
      <w:r>
        <w:t xml:space="preserve">(1), 53–59. </w:t>
      </w:r>
      <w:hyperlink r:id="rId12" w:history="1">
        <w:r>
          <w:rPr>
            <w:rStyle w:val="Hyperlink"/>
          </w:rPr>
          <w:t>https://doi.org/10.1016/j.foodpol.2008.10.002</w:t>
        </w:r>
      </w:hyperlink>
    </w:p>
    <w:p w14:paraId="310224B2" w14:textId="77777777" w:rsidR="00296B46" w:rsidRDefault="00296B46" w:rsidP="00296B46">
      <w:pPr>
        <w:pStyle w:val="NormalWeb"/>
      </w:pPr>
      <w:r>
        <w:t xml:space="preserve">Barrett, C. B. (2008). Smallholder market participation: Concepts and evidence from eastern and southern Africa. </w:t>
      </w:r>
      <w:r>
        <w:rPr>
          <w:rStyle w:val="Emphasis"/>
        </w:rPr>
        <w:t>Food Policy, 33</w:t>
      </w:r>
      <w:r>
        <w:t xml:space="preserve">(4), 299–317. </w:t>
      </w:r>
      <w:hyperlink r:id="rId13" w:history="1">
        <w:r>
          <w:rPr>
            <w:rStyle w:val="Hyperlink"/>
          </w:rPr>
          <w:t>https://doi.org/10.1016/j.foodpol.2007.10.005</w:t>
        </w:r>
      </w:hyperlink>
    </w:p>
    <w:p w14:paraId="3A46842D" w14:textId="77777777" w:rsidR="00296B46" w:rsidRDefault="00296B46" w:rsidP="00296B46">
      <w:pPr>
        <w:pStyle w:val="NormalWeb"/>
      </w:pPr>
      <w:r>
        <w:t xml:space="preserve">Bernard, T., &amp; Spielman, D. J. (2009). Reaching the rural poor through rural producer organizations? A study of agricultural marketing cooperatives in Ethiopia. </w:t>
      </w:r>
      <w:r>
        <w:rPr>
          <w:rStyle w:val="Emphasis"/>
        </w:rPr>
        <w:t>Food Policy, 34</w:t>
      </w:r>
      <w:r>
        <w:t xml:space="preserve">(1), 60–69. </w:t>
      </w:r>
      <w:hyperlink r:id="rId14" w:history="1">
        <w:r>
          <w:rPr>
            <w:rStyle w:val="Hyperlink"/>
          </w:rPr>
          <w:t>https://doi.org/10.1016/j.foodpol.2008.08.001</w:t>
        </w:r>
      </w:hyperlink>
    </w:p>
    <w:p w14:paraId="3E497F13" w14:textId="77777777" w:rsidR="00296B46" w:rsidRDefault="00296B46" w:rsidP="00296B46">
      <w:pPr>
        <w:pStyle w:val="NormalWeb"/>
      </w:pPr>
      <w:proofErr w:type="spellStart"/>
      <w:r>
        <w:t>Birthal</w:t>
      </w:r>
      <w:proofErr w:type="spellEnd"/>
      <w:r>
        <w:t xml:space="preserve">, P. S., Joshi, P. K., &amp; Gulati, A. (2005). Vertical coordination in high-value food commodities: Implications for smallholders. </w:t>
      </w:r>
      <w:r>
        <w:rPr>
          <w:rStyle w:val="Emphasis"/>
        </w:rPr>
        <w:t>MTID Discussion Paper</w:t>
      </w:r>
      <w:r>
        <w:t xml:space="preserve">. </w:t>
      </w:r>
      <w:hyperlink r:id="rId15" w:history="1">
        <w:r>
          <w:rPr>
            <w:rStyle w:val="Hyperlink"/>
          </w:rPr>
          <w:t>https://doi.org/10.2499/0896291464rr85</w:t>
        </w:r>
      </w:hyperlink>
    </w:p>
    <w:p w14:paraId="249CD5BE" w14:textId="77777777" w:rsidR="00296B46" w:rsidRDefault="00296B46" w:rsidP="00296B46">
      <w:pPr>
        <w:pStyle w:val="NormalWeb"/>
      </w:pPr>
      <w:proofErr w:type="spellStart"/>
      <w:r>
        <w:t>Blekking</w:t>
      </w:r>
      <w:proofErr w:type="spellEnd"/>
      <w:r>
        <w:t xml:space="preserve">, J., Waldman, K., </w:t>
      </w:r>
      <w:proofErr w:type="spellStart"/>
      <w:r>
        <w:t>Tuholske</w:t>
      </w:r>
      <w:proofErr w:type="spellEnd"/>
      <w:r>
        <w:t xml:space="preserve">, C., &amp; Evans, T. (2021). Formal agricultural extension services and household food security in Kenya. </w:t>
      </w:r>
      <w:r>
        <w:rPr>
          <w:rStyle w:val="Emphasis"/>
        </w:rPr>
        <w:t>Food Security, 13</w:t>
      </w:r>
      <w:r>
        <w:t xml:space="preserve">(4), 1035–1053. </w:t>
      </w:r>
      <w:hyperlink r:id="rId16" w:history="1">
        <w:r>
          <w:rPr>
            <w:rStyle w:val="Hyperlink"/>
          </w:rPr>
          <w:t>https://doi.org/10.1007/s12571-021-01162-7</w:t>
        </w:r>
      </w:hyperlink>
    </w:p>
    <w:p w14:paraId="2FC0ABB2" w14:textId="77777777" w:rsidR="00296B46" w:rsidRDefault="00296B46" w:rsidP="00296B46">
      <w:pPr>
        <w:pStyle w:val="NormalWeb"/>
      </w:pPr>
      <w:proofErr w:type="spellStart"/>
      <w:r>
        <w:t>Chagwiza</w:t>
      </w:r>
      <w:proofErr w:type="spellEnd"/>
      <w:r>
        <w:t xml:space="preserve">, C., Muradian, R., &amp; Ruben, R. (2016). Cooperative membership and dairy performance among smallholders in Ethiopia. </w:t>
      </w:r>
      <w:r>
        <w:rPr>
          <w:rStyle w:val="Emphasis"/>
        </w:rPr>
        <w:t>Food Policy, 59</w:t>
      </w:r>
      <w:r>
        <w:t xml:space="preserve">, 165–173. </w:t>
      </w:r>
      <w:hyperlink r:id="rId17" w:history="1">
        <w:r>
          <w:rPr>
            <w:rStyle w:val="Hyperlink"/>
          </w:rPr>
          <w:t>https://doi.org/10.1016/j.foodpol.2016.01.008</w:t>
        </w:r>
      </w:hyperlink>
    </w:p>
    <w:p w14:paraId="0D87A50F" w14:textId="77777777" w:rsidR="00296B46" w:rsidRDefault="00296B46" w:rsidP="00296B46">
      <w:pPr>
        <w:pStyle w:val="NormalWeb"/>
      </w:pPr>
      <w:r>
        <w:t xml:space="preserve">Chand, R. (2016). Doubling farmers’ income: Rationale, strategy, prospects and action plan. </w:t>
      </w:r>
      <w:r>
        <w:rPr>
          <w:rStyle w:val="Emphasis"/>
        </w:rPr>
        <w:t>NITI Policy Paper</w:t>
      </w:r>
      <w:r>
        <w:t xml:space="preserve">. </w:t>
      </w:r>
      <w:hyperlink r:id="rId18" w:history="1">
        <w:r>
          <w:rPr>
            <w:rStyle w:val="Hyperlink"/>
          </w:rPr>
          <w:t>https://doi.org/10.13140/RG.2.2.27532.95366</w:t>
        </w:r>
      </w:hyperlink>
    </w:p>
    <w:p w14:paraId="27D3D850" w14:textId="77777777" w:rsidR="00296B46" w:rsidRDefault="00296B46" w:rsidP="00296B46">
      <w:pPr>
        <w:pStyle w:val="NormalWeb"/>
      </w:pPr>
      <w:r>
        <w:t xml:space="preserve">Datta, S. K., &amp; Gailey, R. (2012). Empowering women through social entrepreneurship: Case study of a women’s cooperative in India. </w:t>
      </w:r>
      <w:r>
        <w:rPr>
          <w:rStyle w:val="Emphasis"/>
        </w:rPr>
        <w:t>Entrepreneurship Theory and Practice, 36</w:t>
      </w:r>
      <w:r>
        <w:t xml:space="preserve">(3), 569–587. </w:t>
      </w:r>
      <w:hyperlink r:id="rId19" w:history="1">
        <w:r>
          <w:rPr>
            <w:rStyle w:val="Hyperlink"/>
          </w:rPr>
          <w:t>https://doi.org/10.1111/j.1540-6520.2012.00505.x</w:t>
        </w:r>
      </w:hyperlink>
    </w:p>
    <w:p w14:paraId="051E40D2" w14:textId="77777777" w:rsidR="00296B46" w:rsidRDefault="00296B46" w:rsidP="00296B46">
      <w:pPr>
        <w:pStyle w:val="NormalWeb"/>
      </w:pPr>
      <w:r>
        <w:lastRenderedPageBreak/>
        <w:t xml:space="preserve">Devaux, A., Torero, M., Donovan, J., &amp; Horton, D. (2018). Agricultural innovation and inclusive value-chain development. </w:t>
      </w:r>
      <w:r>
        <w:rPr>
          <w:rStyle w:val="Emphasis"/>
        </w:rPr>
        <w:t>Journal of Agribusiness in Developing and Emerging Economies, 8</w:t>
      </w:r>
      <w:r>
        <w:t xml:space="preserve">(1), 99–123. </w:t>
      </w:r>
      <w:hyperlink r:id="rId20" w:history="1">
        <w:r>
          <w:rPr>
            <w:rStyle w:val="Hyperlink"/>
          </w:rPr>
          <w:t>https://doi.org/10.1108/JADEE-06-2017-0065</w:t>
        </w:r>
      </w:hyperlink>
    </w:p>
    <w:p w14:paraId="74A95DE6" w14:textId="77777777" w:rsidR="00296B46" w:rsidRDefault="00296B46" w:rsidP="00296B46">
      <w:pPr>
        <w:pStyle w:val="NormalWeb"/>
      </w:pPr>
      <w:r>
        <w:t xml:space="preserve">Fischer, E., &amp; Qaim, M. (2012). Linking smallholders to markets: Determinants and impacts of farmer collective action in Kenya. </w:t>
      </w:r>
      <w:r>
        <w:rPr>
          <w:rStyle w:val="Emphasis"/>
        </w:rPr>
        <w:t>World Development, 40</w:t>
      </w:r>
      <w:r>
        <w:t xml:space="preserve">(6), 1255–1268. </w:t>
      </w:r>
      <w:hyperlink r:id="rId21" w:history="1">
        <w:r>
          <w:rPr>
            <w:rStyle w:val="Hyperlink"/>
          </w:rPr>
          <w:t>https://doi.org/10.1016/j.worlddev.2011.11.018</w:t>
        </w:r>
      </w:hyperlink>
    </w:p>
    <w:p w14:paraId="208447CD" w14:textId="77777777" w:rsidR="00296B46" w:rsidRDefault="00296B46" w:rsidP="00296B46">
      <w:pPr>
        <w:pStyle w:val="NormalWeb"/>
      </w:pPr>
      <w:r>
        <w:t xml:space="preserve">Francesconi, G. N., &amp; </w:t>
      </w:r>
      <w:proofErr w:type="spellStart"/>
      <w:r>
        <w:t>Heerink</w:t>
      </w:r>
      <w:proofErr w:type="spellEnd"/>
      <w:r>
        <w:t xml:space="preserve">, N. (2011). Ethiopian agricultural cooperatives in an era of global commodity exchange. </w:t>
      </w:r>
      <w:r>
        <w:rPr>
          <w:rStyle w:val="Emphasis"/>
        </w:rPr>
        <w:t>African Development Review, 23</w:t>
      </w:r>
      <w:r>
        <w:t xml:space="preserve">(1), 42–56. </w:t>
      </w:r>
      <w:hyperlink r:id="rId22" w:history="1">
        <w:r>
          <w:rPr>
            <w:rStyle w:val="Hyperlink"/>
          </w:rPr>
          <w:t>https://doi.org/10.1111/j.1467-8268.2010.00265.x</w:t>
        </w:r>
      </w:hyperlink>
    </w:p>
    <w:p w14:paraId="0DC35812" w14:textId="77777777" w:rsidR="00296B46" w:rsidRDefault="00296B46" w:rsidP="00296B46">
      <w:pPr>
        <w:pStyle w:val="NormalWeb"/>
      </w:pPr>
      <w:r>
        <w:t xml:space="preserve">Francesconi, G. N., Ruben, R., &amp; </w:t>
      </w:r>
      <w:proofErr w:type="spellStart"/>
      <w:r>
        <w:t>Omta</w:t>
      </w:r>
      <w:proofErr w:type="spellEnd"/>
      <w:r>
        <w:t xml:space="preserve">, O. (2014). Social capital and organizational performance of agricultural cooperatives. </w:t>
      </w:r>
      <w:r>
        <w:rPr>
          <w:rStyle w:val="Emphasis"/>
        </w:rPr>
        <w:t>Agribusiness, 30</w:t>
      </w:r>
      <w:r>
        <w:t xml:space="preserve">(1), 108–125. </w:t>
      </w:r>
      <w:hyperlink r:id="rId23" w:history="1">
        <w:r>
          <w:rPr>
            <w:rStyle w:val="Hyperlink"/>
          </w:rPr>
          <w:t>https://doi.org/10.1002/agr.21374</w:t>
        </w:r>
      </w:hyperlink>
    </w:p>
    <w:p w14:paraId="1A1660CA" w14:textId="77777777" w:rsidR="00296B46" w:rsidRDefault="00296B46" w:rsidP="00296B46">
      <w:pPr>
        <w:pStyle w:val="NormalWeb"/>
      </w:pPr>
      <w:r>
        <w:t xml:space="preserve">Ghosh, P. K., &amp; Maharjan, K. L. (2019). Farmer producer organizations for linking smallholders to markets in India. </w:t>
      </w:r>
      <w:r>
        <w:rPr>
          <w:rStyle w:val="Emphasis"/>
        </w:rPr>
        <w:t>Asia-Pacific Journal of Rural Development, 29</w:t>
      </w:r>
      <w:r>
        <w:t xml:space="preserve">(1), 1–16. </w:t>
      </w:r>
      <w:hyperlink r:id="rId24" w:history="1">
        <w:r>
          <w:rPr>
            <w:rStyle w:val="Hyperlink"/>
          </w:rPr>
          <w:t>https://doi.org/10.1177/1018529119855077</w:t>
        </w:r>
      </w:hyperlink>
    </w:p>
    <w:p w14:paraId="678BEC56" w14:textId="77777777" w:rsidR="00296B46" w:rsidRDefault="00296B46" w:rsidP="00296B46">
      <w:pPr>
        <w:pStyle w:val="NormalWeb"/>
      </w:pPr>
      <w:r>
        <w:t xml:space="preserve">Glover, D. (2014). Contract farming and commercialization of agriculture in developing countries. </w:t>
      </w:r>
      <w:r>
        <w:rPr>
          <w:rStyle w:val="Emphasis"/>
        </w:rPr>
        <w:t>The Journal of Agrarian Change, 14</w:t>
      </w:r>
      <w:r>
        <w:t xml:space="preserve">(1), 1–18. </w:t>
      </w:r>
      <w:hyperlink r:id="rId25" w:history="1">
        <w:r>
          <w:rPr>
            <w:rStyle w:val="Hyperlink"/>
          </w:rPr>
          <w:t>https://doi.org/10.1111/joac.12010</w:t>
        </w:r>
      </w:hyperlink>
    </w:p>
    <w:p w14:paraId="7DF69FF7" w14:textId="77777777" w:rsidR="00296B46" w:rsidRDefault="00296B46" w:rsidP="00296B46">
      <w:pPr>
        <w:pStyle w:val="NormalWeb"/>
      </w:pPr>
      <w:r>
        <w:t xml:space="preserve">Hellin, J., Lundy, M., &amp; Meijer, M. (2009). Farmer organization, collective action and market access in Meso-America. </w:t>
      </w:r>
      <w:r>
        <w:rPr>
          <w:rStyle w:val="Emphasis"/>
        </w:rPr>
        <w:t>Food Policy, 34</w:t>
      </w:r>
      <w:r>
        <w:t xml:space="preserve">(1), 16–22. </w:t>
      </w:r>
      <w:hyperlink r:id="rId26" w:history="1">
        <w:r>
          <w:rPr>
            <w:rStyle w:val="Hyperlink"/>
          </w:rPr>
          <w:t>https://doi.org/10.1016/j.foodpol.2008.10.003</w:t>
        </w:r>
      </w:hyperlink>
    </w:p>
    <w:p w14:paraId="7963C92D" w14:textId="77777777" w:rsidR="00296B46" w:rsidRDefault="00296B46" w:rsidP="00296B46">
      <w:pPr>
        <w:pStyle w:val="NormalWeb"/>
      </w:pPr>
      <w:r>
        <w:t xml:space="preserve">Ito, J., Bao, Z., &amp; Su, Q. (2012). Distributional effects of agricultural cooperatives in China. </w:t>
      </w:r>
      <w:r>
        <w:rPr>
          <w:rStyle w:val="Emphasis"/>
        </w:rPr>
        <w:t>China Economic Review, 23</w:t>
      </w:r>
      <w:r>
        <w:t xml:space="preserve">(3), 665–676. </w:t>
      </w:r>
      <w:hyperlink r:id="rId27" w:history="1">
        <w:r>
          <w:rPr>
            <w:rStyle w:val="Hyperlink"/>
          </w:rPr>
          <w:t>https://doi.org/10.1016/j.chieco.2010.06.002</w:t>
        </w:r>
      </w:hyperlink>
    </w:p>
    <w:p w14:paraId="0429CCB2" w14:textId="77777777" w:rsidR="00296B46" w:rsidRDefault="00296B46" w:rsidP="00296B46">
      <w:pPr>
        <w:pStyle w:val="NormalWeb"/>
      </w:pPr>
      <w:r>
        <w:t xml:space="preserve">Jena, P. R., </w:t>
      </w:r>
      <w:proofErr w:type="spellStart"/>
      <w:r>
        <w:t>Chichaibelu</w:t>
      </w:r>
      <w:proofErr w:type="spellEnd"/>
      <w:r>
        <w:t xml:space="preserve">, B. B., Stellmacher, T., &amp; Grote, U. (2012). The impact of coffee certification on small-scale producers’ livelihoods. </w:t>
      </w:r>
      <w:r>
        <w:rPr>
          <w:rStyle w:val="Emphasis"/>
        </w:rPr>
        <w:t>Agricultural Economics, 43</w:t>
      </w:r>
      <w:r>
        <w:t xml:space="preserve">(4), 429–440. </w:t>
      </w:r>
      <w:hyperlink r:id="rId28" w:history="1">
        <w:r>
          <w:rPr>
            <w:rStyle w:val="Hyperlink"/>
          </w:rPr>
          <w:t>https://doi.org/10.1111/j.1574-0862.2012.00594.x</w:t>
        </w:r>
      </w:hyperlink>
    </w:p>
    <w:p w14:paraId="529E7A31" w14:textId="77777777" w:rsidR="00296B46" w:rsidRDefault="00296B46" w:rsidP="00296B46">
      <w:pPr>
        <w:pStyle w:val="NormalWeb"/>
      </w:pPr>
      <w:r>
        <w:t xml:space="preserve">Joshi, P. K., Gulati, A., </w:t>
      </w:r>
      <w:proofErr w:type="spellStart"/>
      <w:r>
        <w:t>Birthal</w:t>
      </w:r>
      <w:proofErr w:type="spellEnd"/>
      <w:r>
        <w:t xml:space="preserve">, P. S., &amp; Tewari, L. (2004). Agriculture diversification in South Asia. </w:t>
      </w:r>
      <w:r>
        <w:rPr>
          <w:rStyle w:val="Emphasis"/>
        </w:rPr>
        <w:t>Economic and Political Weekly, 39</w:t>
      </w:r>
      <w:r>
        <w:t xml:space="preserve">(24), 2457–2467. </w:t>
      </w:r>
      <w:hyperlink r:id="rId29" w:history="1">
        <w:r>
          <w:rPr>
            <w:rStyle w:val="Hyperlink"/>
          </w:rPr>
          <w:t>https://doi.org/10.2307/4415148</w:t>
        </w:r>
      </w:hyperlink>
    </w:p>
    <w:p w14:paraId="24C2861D" w14:textId="77777777" w:rsidR="00296B46" w:rsidRDefault="00296B46" w:rsidP="00296B46">
      <w:pPr>
        <w:pStyle w:val="NormalWeb"/>
      </w:pPr>
      <w:r>
        <w:t xml:space="preserve">Kaganzi, E., Ferris, S., Barham, J., </w:t>
      </w:r>
      <w:proofErr w:type="spellStart"/>
      <w:r>
        <w:t>Abenakyo</w:t>
      </w:r>
      <w:proofErr w:type="spellEnd"/>
      <w:r>
        <w:t xml:space="preserve">, A., Sanginga, P., &amp; Njuki, J. (2009). Sustaining linkages to high value markets through collective action in Uganda. </w:t>
      </w:r>
      <w:r>
        <w:rPr>
          <w:rStyle w:val="Emphasis"/>
        </w:rPr>
        <w:t>Food Policy, 34</w:t>
      </w:r>
      <w:r>
        <w:t xml:space="preserve">(1), 23–30. </w:t>
      </w:r>
      <w:hyperlink r:id="rId30" w:history="1">
        <w:r>
          <w:rPr>
            <w:rStyle w:val="Hyperlink"/>
          </w:rPr>
          <w:t>https://doi.org/10.1016/j.foodpol.2008.10.004</w:t>
        </w:r>
      </w:hyperlink>
    </w:p>
    <w:p w14:paraId="559FD7FB" w14:textId="77777777" w:rsidR="00296B46" w:rsidRDefault="00296B46" w:rsidP="00296B46">
      <w:pPr>
        <w:pStyle w:val="NormalWeb"/>
      </w:pPr>
      <w:proofErr w:type="spellStart"/>
      <w:r>
        <w:t>Kherallah</w:t>
      </w:r>
      <w:proofErr w:type="spellEnd"/>
      <w:r>
        <w:t xml:space="preserve">, M., Delgado, C., </w:t>
      </w:r>
      <w:proofErr w:type="spellStart"/>
      <w:r>
        <w:t>Gabre-Madhin</w:t>
      </w:r>
      <w:proofErr w:type="spellEnd"/>
      <w:r>
        <w:t xml:space="preserve">, E., Minot, N., &amp; Johnson, M. (2002). Reforming agricultural markets in Africa. </w:t>
      </w:r>
      <w:r>
        <w:rPr>
          <w:rStyle w:val="Emphasis"/>
        </w:rPr>
        <w:t>Johns Hopkins University Press</w:t>
      </w:r>
      <w:r>
        <w:t xml:space="preserve">. </w:t>
      </w:r>
      <w:hyperlink r:id="rId31" w:history="1">
        <w:r>
          <w:rPr>
            <w:rStyle w:val="Hyperlink"/>
          </w:rPr>
          <w:t>https://doi.org/10.1355/ae19-3h</w:t>
        </w:r>
      </w:hyperlink>
    </w:p>
    <w:p w14:paraId="702DA307" w14:textId="77777777" w:rsidR="00296B46" w:rsidRDefault="00296B46" w:rsidP="00296B46">
      <w:pPr>
        <w:pStyle w:val="NormalWeb"/>
      </w:pPr>
      <w:r>
        <w:t xml:space="preserve">Kilelu, C. W., Klerkx, L., &amp; </w:t>
      </w:r>
      <w:proofErr w:type="spellStart"/>
      <w:r>
        <w:t>Leeuwis</w:t>
      </w:r>
      <w:proofErr w:type="spellEnd"/>
      <w:r>
        <w:t xml:space="preserve">, C. (2013). Unravelling the role of innovation platforms in supporting co-evolution of innovation. </w:t>
      </w:r>
      <w:r>
        <w:rPr>
          <w:rStyle w:val="Emphasis"/>
        </w:rPr>
        <w:t>Agricultural Systems, 118</w:t>
      </w:r>
      <w:r>
        <w:t xml:space="preserve">, 65–77. </w:t>
      </w:r>
      <w:hyperlink r:id="rId32" w:history="1">
        <w:r>
          <w:rPr>
            <w:rStyle w:val="Hyperlink"/>
          </w:rPr>
          <w:t>https://doi.org/10.1016/j.agsy.2013.03.002</w:t>
        </w:r>
      </w:hyperlink>
    </w:p>
    <w:p w14:paraId="21D4447F" w14:textId="77777777" w:rsidR="00296B46" w:rsidRDefault="00296B46" w:rsidP="00296B46">
      <w:pPr>
        <w:pStyle w:val="NormalWeb"/>
      </w:pPr>
      <w:r>
        <w:lastRenderedPageBreak/>
        <w:t xml:space="preserve">Kumar, A., Singh, K. M., &amp; Sinha, S. (2011). Institutional innovations in Indian agriculture. </w:t>
      </w:r>
      <w:r>
        <w:rPr>
          <w:rStyle w:val="Emphasis"/>
        </w:rPr>
        <w:t>Agricultural Economics Research Review, 24</w:t>
      </w:r>
      <w:r>
        <w:t xml:space="preserve">(2), 347–358. </w:t>
      </w:r>
      <w:hyperlink r:id="rId33" w:history="1">
        <w:r>
          <w:rPr>
            <w:rStyle w:val="Hyperlink"/>
          </w:rPr>
          <w:t>https://doi.org/10.22004/ag.econ.119414</w:t>
        </w:r>
      </w:hyperlink>
    </w:p>
    <w:p w14:paraId="675486D7" w14:textId="77777777" w:rsidR="00296B46" w:rsidRDefault="00296B46" w:rsidP="00296B46">
      <w:pPr>
        <w:pStyle w:val="NormalWeb"/>
      </w:pPr>
      <w:r>
        <w:t xml:space="preserve">Kumar, V., Wankhede, K. G., &amp; Gena, H. C. (2015). Role of cooperatives in improving livelihood of farmers on sustainable basis. </w:t>
      </w:r>
      <w:r>
        <w:rPr>
          <w:rStyle w:val="Emphasis"/>
        </w:rPr>
        <w:t>American Journal of Educational Research, 3</w:t>
      </w:r>
      <w:r>
        <w:t xml:space="preserve">(10), 1258–1266. </w:t>
      </w:r>
      <w:hyperlink r:id="rId34" w:history="1">
        <w:r>
          <w:rPr>
            <w:rStyle w:val="Hyperlink"/>
          </w:rPr>
          <w:t>https://doi.org/10.12691/education-3-10-8</w:t>
        </w:r>
      </w:hyperlink>
    </w:p>
    <w:p w14:paraId="30C5C39E" w14:textId="77777777" w:rsidR="00296B46" w:rsidRDefault="00296B46" w:rsidP="00296B46">
      <w:pPr>
        <w:pStyle w:val="NormalWeb"/>
      </w:pPr>
      <w:proofErr w:type="spellStart"/>
      <w:r>
        <w:t>Latynskiy</w:t>
      </w:r>
      <w:proofErr w:type="spellEnd"/>
      <w:r>
        <w:t xml:space="preserve">, E., &amp; Berger, T. (2017). Networks of rural producer organizations in Uganda. </w:t>
      </w:r>
      <w:r>
        <w:rPr>
          <w:rStyle w:val="Emphasis"/>
        </w:rPr>
        <w:t>Food Policy, 68</w:t>
      </w:r>
      <w:r>
        <w:t xml:space="preserve">, 53–63. </w:t>
      </w:r>
      <w:hyperlink r:id="rId35" w:history="1">
        <w:r>
          <w:rPr>
            <w:rStyle w:val="Hyperlink"/>
          </w:rPr>
          <w:t>https://doi.org/10.1016/j.foodpol.2016.12.001</w:t>
        </w:r>
      </w:hyperlink>
    </w:p>
    <w:p w14:paraId="2DEE5240" w14:textId="77777777" w:rsidR="00296B46" w:rsidRDefault="00296B46" w:rsidP="00296B46">
      <w:pPr>
        <w:pStyle w:val="NormalWeb"/>
      </w:pPr>
      <w:proofErr w:type="spellStart"/>
      <w:r>
        <w:t>Markelova</w:t>
      </w:r>
      <w:proofErr w:type="spellEnd"/>
      <w:r>
        <w:t xml:space="preserve">, H., </w:t>
      </w:r>
      <w:proofErr w:type="spellStart"/>
      <w:r>
        <w:t>Meinzen</w:t>
      </w:r>
      <w:proofErr w:type="spellEnd"/>
      <w:r>
        <w:t xml:space="preserve">-Dick, R., Hellin, J., &amp; Dohrn, S. (2009). Collective action for smallholder market access. </w:t>
      </w:r>
      <w:r>
        <w:rPr>
          <w:rStyle w:val="Emphasis"/>
        </w:rPr>
        <w:t>Food Policy, 34</w:t>
      </w:r>
      <w:r>
        <w:t xml:space="preserve">(1), 1–7. </w:t>
      </w:r>
      <w:hyperlink r:id="rId36" w:history="1">
        <w:r>
          <w:rPr>
            <w:rStyle w:val="Hyperlink"/>
          </w:rPr>
          <w:t>https://doi.org/10.1016/j.foodpol.2008.10.001</w:t>
        </w:r>
      </w:hyperlink>
    </w:p>
    <w:p w14:paraId="2AD63087" w14:textId="77777777" w:rsidR="00296B46" w:rsidRDefault="00296B46" w:rsidP="00296B46">
      <w:pPr>
        <w:pStyle w:val="NormalWeb"/>
      </w:pPr>
      <w:r w:rsidRPr="00296B46">
        <w:rPr>
          <w:lang w:val="it-IT"/>
        </w:rPr>
        <w:t xml:space="preserve">Ma, W., Renwick, A., Nie, P., Tang, J., &amp; Cai, R. (2018). </w:t>
      </w:r>
      <w:r>
        <w:t xml:space="preserve">Off-farm work, smartphone use and household income. </w:t>
      </w:r>
      <w:r>
        <w:rPr>
          <w:rStyle w:val="Emphasis"/>
        </w:rPr>
        <w:t>China Agricultural Economic Review, 10</w:t>
      </w:r>
      <w:r>
        <w:t xml:space="preserve">(3), 1–16. </w:t>
      </w:r>
      <w:hyperlink r:id="rId37" w:history="1">
        <w:r>
          <w:rPr>
            <w:rStyle w:val="Hyperlink"/>
          </w:rPr>
          <w:t>https://doi.org/10.1108/CAER-11-2017-0219</w:t>
        </w:r>
      </w:hyperlink>
    </w:p>
    <w:p w14:paraId="76106542" w14:textId="77777777" w:rsidR="00296B46" w:rsidRDefault="00296B46" w:rsidP="00296B46">
      <w:pPr>
        <w:pStyle w:val="NormalWeb"/>
      </w:pPr>
      <w:r>
        <w:t xml:space="preserve">Ma, W., Zhou, X., &amp; Renwick, A. (2022). Impact of cooperative membership on vegetable farmers’ income. </w:t>
      </w:r>
      <w:r>
        <w:rPr>
          <w:rStyle w:val="Emphasis"/>
        </w:rPr>
        <w:t>Agribusiness, 38</w:t>
      </w:r>
      <w:r>
        <w:t xml:space="preserve">(1), 142–161. </w:t>
      </w:r>
      <w:hyperlink r:id="rId38" w:history="1">
        <w:r>
          <w:rPr>
            <w:rStyle w:val="Hyperlink"/>
          </w:rPr>
          <w:t>https://doi.org/10.1002/agr.21684</w:t>
        </w:r>
      </w:hyperlink>
    </w:p>
    <w:p w14:paraId="6E099A59" w14:textId="77777777" w:rsidR="00296B46" w:rsidRDefault="00296B46" w:rsidP="00296B46">
      <w:pPr>
        <w:pStyle w:val="NormalWeb"/>
      </w:pPr>
      <w:r>
        <w:t xml:space="preserve">Maertens, M., &amp; </w:t>
      </w:r>
      <w:proofErr w:type="spellStart"/>
      <w:r>
        <w:t>Swinnen</w:t>
      </w:r>
      <w:proofErr w:type="spellEnd"/>
      <w:r>
        <w:t xml:space="preserve">, J. F. M. (2009). Trade, standards, and poverty: Evidence from Senegal. </w:t>
      </w:r>
      <w:r>
        <w:rPr>
          <w:rStyle w:val="Emphasis"/>
        </w:rPr>
        <w:t>World Development, 37</w:t>
      </w:r>
      <w:r>
        <w:t xml:space="preserve">(1), 161–178. </w:t>
      </w:r>
      <w:hyperlink r:id="rId39" w:history="1">
        <w:r>
          <w:rPr>
            <w:rStyle w:val="Hyperlink"/>
          </w:rPr>
          <w:t>https://doi.org/10.1016/j.worlddev.2008.04.006</w:t>
        </w:r>
      </w:hyperlink>
    </w:p>
    <w:p w14:paraId="01732E77" w14:textId="77777777" w:rsidR="00296B46" w:rsidRDefault="00296B46" w:rsidP="00296B46">
      <w:pPr>
        <w:pStyle w:val="NormalWeb"/>
      </w:pPr>
      <w:r>
        <w:t xml:space="preserve">Meemken, E. M., &amp; Bellemare, M. F. (2020). Smallholder farmers and contract farming in developing countries. </w:t>
      </w:r>
      <w:r>
        <w:rPr>
          <w:rStyle w:val="Emphasis"/>
        </w:rPr>
        <w:t>Proceedings of the National Academy of Sciences, 117</w:t>
      </w:r>
      <w:r>
        <w:t xml:space="preserve">(1), 259–264. </w:t>
      </w:r>
      <w:hyperlink r:id="rId40" w:history="1">
        <w:r>
          <w:rPr>
            <w:rStyle w:val="Hyperlink"/>
          </w:rPr>
          <w:t>https://doi.org/10.1073/pnas.1909501116</w:t>
        </w:r>
      </w:hyperlink>
    </w:p>
    <w:p w14:paraId="3ACA2E86" w14:textId="77777777" w:rsidR="00296B46" w:rsidRDefault="00296B46" w:rsidP="00296B46">
      <w:pPr>
        <w:pStyle w:val="NormalWeb"/>
      </w:pPr>
      <w:proofErr w:type="spellStart"/>
      <w:r>
        <w:t>Meinzen</w:t>
      </w:r>
      <w:proofErr w:type="spellEnd"/>
      <w:r>
        <w:t xml:space="preserve">-Dick, R., Devaux, A., &amp; Antezana, I. (2009). Underground assets: Potato biodiversity to improve the livelihoods of the poor. </w:t>
      </w:r>
      <w:r>
        <w:rPr>
          <w:rStyle w:val="Emphasis"/>
        </w:rPr>
        <w:t>International Journal of Agricultural Sustainability, 7</w:t>
      </w:r>
      <w:r>
        <w:t xml:space="preserve">(4), 235–248. </w:t>
      </w:r>
      <w:hyperlink r:id="rId41" w:history="1">
        <w:r>
          <w:rPr>
            <w:rStyle w:val="Hyperlink"/>
          </w:rPr>
          <w:t>https://doi.org/10.3763/ijas.2009.0465</w:t>
        </w:r>
      </w:hyperlink>
    </w:p>
    <w:p w14:paraId="7967935C" w14:textId="77777777" w:rsidR="00296B46" w:rsidRDefault="00296B46" w:rsidP="00296B46">
      <w:pPr>
        <w:pStyle w:val="NormalWeb"/>
      </w:pPr>
      <w:r>
        <w:t xml:space="preserve">Mishra, A. K., Kumar, A., Joshi, P. K., &amp; D’Souza, A. (2018). Impact of contract farming on yield, costs and profitability in India. </w:t>
      </w:r>
      <w:r>
        <w:rPr>
          <w:rStyle w:val="Emphasis"/>
        </w:rPr>
        <w:t>Food Policy, 74</w:t>
      </w:r>
      <w:r>
        <w:t xml:space="preserve">, 1–11. </w:t>
      </w:r>
      <w:hyperlink r:id="rId42" w:history="1">
        <w:r>
          <w:rPr>
            <w:rStyle w:val="Hyperlink"/>
          </w:rPr>
          <w:t>https://doi.org/10.1016/j.foodpol.2017.11.003</w:t>
        </w:r>
      </w:hyperlink>
    </w:p>
    <w:p w14:paraId="158D1D12" w14:textId="77777777" w:rsidR="00296B46" w:rsidRDefault="00296B46" w:rsidP="00296B46">
      <w:pPr>
        <w:pStyle w:val="NormalWeb"/>
      </w:pPr>
      <w:r>
        <w:t xml:space="preserve">Mojo, D., Fischer, C., &amp; </w:t>
      </w:r>
      <w:proofErr w:type="spellStart"/>
      <w:r>
        <w:t>Degefa</w:t>
      </w:r>
      <w:proofErr w:type="spellEnd"/>
      <w:r>
        <w:t xml:space="preserve">, T. (2017). The determinants and economic impacts of membership in coffee farmer cooperatives. </w:t>
      </w:r>
      <w:r>
        <w:rPr>
          <w:rStyle w:val="Emphasis"/>
        </w:rPr>
        <w:t>Journal of Rural Studies, 50</w:t>
      </w:r>
      <w:r>
        <w:t xml:space="preserve">, 84–94. </w:t>
      </w:r>
      <w:hyperlink r:id="rId43" w:history="1">
        <w:r>
          <w:rPr>
            <w:rStyle w:val="Hyperlink"/>
          </w:rPr>
          <w:t>https://doi.org/10.1016/j.jrurstud.2016.12.010</w:t>
        </w:r>
      </w:hyperlink>
    </w:p>
    <w:p w14:paraId="61A0FDB3" w14:textId="77777777" w:rsidR="00296B46" w:rsidRDefault="00296B46" w:rsidP="00296B46">
      <w:pPr>
        <w:pStyle w:val="NormalWeb"/>
      </w:pPr>
      <w:r>
        <w:t xml:space="preserve">Mujawamariya, G., </w:t>
      </w:r>
      <w:proofErr w:type="spellStart"/>
      <w:r>
        <w:t>D’Haese</w:t>
      </w:r>
      <w:proofErr w:type="spellEnd"/>
      <w:r>
        <w:t xml:space="preserve">, M., &amp; Speelman, S. (2013). Exploring double side-selling in cooperatives. </w:t>
      </w:r>
      <w:r>
        <w:rPr>
          <w:rStyle w:val="Emphasis"/>
        </w:rPr>
        <w:t>Food Policy, 38</w:t>
      </w:r>
      <w:r>
        <w:t xml:space="preserve">, 272–285. </w:t>
      </w:r>
      <w:hyperlink r:id="rId44" w:history="1">
        <w:r>
          <w:rPr>
            <w:rStyle w:val="Hyperlink"/>
          </w:rPr>
          <w:t>https://doi.org/10.1016/j.foodpol.2012.12.008</w:t>
        </w:r>
      </w:hyperlink>
    </w:p>
    <w:p w14:paraId="7831A4C6" w14:textId="77777777" w:rsidR="00296B46" w:rsidRDefault="00296B46" w:rsidP="00296B46">
      <w:pPr>
        <w:pStyle w:val="NormalWeb"/>
      </w:pPr>
      <w:proofErr w:type="spellStart"/>
      <w:r>
        <w:t>Narrod</w:t>
      </w:r>
      <w:proofErr w:type="spellEnd"/>
      <w:r>
        <w:t xml:space="preserve">, C., Roy, D., Okello, J., Avendaño, B., Rich, K., &amp; Thorat, A. (2009). Public-private partnerships and collective action in high-value fruit and vegetable supply chains. </w:t>
      </w:r>
      <w:r>
        <w:rPr>
          <w:rStyle w:val="Emphasis"/>
        </w:rPr>
        <w:t>Food Policy, 34</w:t>
      </w:r>
      <w:r>
        <w:t xml:space="preserve">(1), 8–15. </w:t>
      </w:r>
      <w:hyperlink r:id="rId45" w:history="1">
        <w:r>
          <w:rPr>
            <w:rStyle w:val="Hyperlink"/>
          </w:rPr>
          <w:t>https://doi.org/10.1016/j.foodpol.2008.10.005</w:t>
        </w:r>
      </w:hyperlink>
    </w:p>
    <w:p w14:paraId="238B3D96" w14:textId="77777777" w:rsidR="00296B46" w:rsidRDefault="00296B46" w:rsidP="00296B46">
      <w:pPr>
        <w:pStyle w:val="NormalWeb"/>
      </w:pPr>
      <w:r>
        <w:lastRenderedPageBreak/>
        <w:t xml:space="preserve">Negi, D. S., </w:t>
      </w:r>
      <w:proofErr w:type="spellStart"/>
      <w:r>
        <w:t>Birthal</w:t>
      </w:r>
      <w:proofErr w:type="spellEnd"/>
      <w:r>
        <w:t xml:space="preserve">, P. S., Roy, D., &amp; Khan, M. T. (2018). Farmers’ choice of market channels and producer organizations in India. </w:t>
      </w:r>
      <w:r>
        <w:rPr>
          <w:rStyle w:val="Emphasis"/>
        </w:rPr>
        <w:t>Agricultural Economics Research Review, 31</w:t>
      </w:r>
      <w:r>
        <w:t xml:space="preserve">(1), 13–24. </w:t>
      </w:r>
      <w:hyperlink r:id="rId46" w:history="1">
        <w:r>
          <w:rPr>
            <w:rStyle w:val="Hyperlink"/>
          </w:rPr>
          <w:t>https://doi.org/10.5958/0974-0279.2018.00002.5</w:t>
        </w:r>
      </w:hyperlink>
    </w:p>
    <w:p w14:paraId="2FC66E7F" w14:textId="77777777" w:rsidR="00296B46" w:rsidRDefault="00296B46" w:rsidP="00296B46">
      <w:pPr>
        <w:pStyle w:val="NormalWeb"/>
      </w:pPr>
      <w:r>
        <w:t xml:space="preserve">Netting, R. M. (1993). Smallholders, householders: Farm families and the ecology of intensive, sustainable agriculture. </w:t>
      </w:r>
      <w:r>
        <w:rPr>
          <w:rStyle w:val="Emphasis"/>
        </w:rPr>
        <w:t>Stanford University Press</w:t>
      </w:r>
      <w:r>
        <w:t xml:space="preserve">. </w:t>
      </w:r>
      <w:hyperlink r:id="rId47" w:history="1">
        <w:r>
          <w:rPr>
            <w:rStyle w:val="Hyperlink"/>
          </w:rPr>
          <w:t>https://doi.org/10.1515/9781503621865</w:t>
        </w:r>
      </w:hyperlink>
    </w:p>
    <w:p w14:paraId="6A89D128" w14:textId="77777777" w:rsidR="00296B46" w:rsidRDefault="00296B46" w:rsidP="00296B46">
      <w:pPr>
        <w:pStyle w:val="NormalWeb"/>
      </w:pPr>
      <w:r>
        <w:t xml:space="preserve">Nghiem, T. P. L. (2010). Activity and efficacy of farmer cooperative in Vietnam. </w:t>
      </w:r>
      <w:r>
        <w:rPr>
          <w:rStyle w:val="Emphasis"/>
        </w:rPr>
        <w:t>International Journal of Social Economics, 37</w:t>
      </w:r>
      <w:r>
        <w:t xml:space="preserve">(10), 763–777. </w:t>
      </w:r>
      <w:hyperlink r:id="rId48" w:history="1">
        <w:r>
          <w:rPr>
            <w:rStyle w:val="Hyperlink"/>
          </w:rPr>
          <w:t>https://doi.org/10.1108/03068291011070426</w:t>
        </w:r>
      </w:hyperlink>
    </w:p>
    <w:p w14:paraId="4429CF43" w14:textId="77777777" w:rsidR="00296B46" w:rsidRDefault="00296B46" w:rsidP="00296B46">
      <w:pPr>
        <w:pStyle w:val="NormalWeb"/>
      </w:pPr>
      <w:r>
        <w:t xml:space="preserve">Ortmann, G. F., &amp; King, R. P. (2007). Agricultural cooperatives I: History, theory and problems. </w:t>
      </w:r>
      <w:proofErr w:type="spellStart"/>
      <w:r>
        <w:rPr>
          <w:rStyle w:val="Emphasis"/>
        </w:rPr>
        <w:t>Agrekon</w:t>
      </w:r>
      <w:proofErr w:type="spellEnd"/>
      <w:r>
        <w:rPr>
          <w:rStyle w:val="Emphasis"/>
        </w:rPr>
        <w:t>, 46</w:t>
      </w:r>
      <w:r>
        <w:t xml:space="preserve">(1), 18–46. </w:t>
      </w:r>
      <w:hyperlink r:id="rId49" w:history="1">
        <w:r>
          <w:rPr>
            <w:rStyle w:val="Hyperlink"/>
          </w:rPr>
          <w:t>https://doi.org/10.1080/03031853.2007.9523760</w:t>
        </w:r>
      </w:hyperlink>
    </w:p>
    <w:p w14:paraId="13010E1E" w14:textId="77777777" w:rsidR="00296B46" w:rsidRDefault="00296B46" w:rsidP="00296B46">
      <w:pPr>
        <w:pStyle w:val="NormalWeb"/>
      </w:pPr>
      <w:r>
        <w:t xml:space="preserve">Ostrom, E. (1990). Governing the commons: The evolution of institutions for collective action. </w:t>
      </w:r>
      <w:r>
        <w:rPr>
          <w:rStyle w:val="Emphasis"/>
        </w:rPr>
        <w:t>Cambridge University Press</w:t>
      </w:r>
      <w:r>
        <w:t xml:space="preserve">. </w:t>
      </w:r>
      <w:hyperlink r:id="rId50" w:history="1">
        <w:r>
          <w:rPr>
            <w:rStyle w:val="Hyperlink"/>
          </w:rPr>
          <w:t>https://doi.org/10.1017/CBO9780511807763</w:t>
        </w:r>
      </w:hyperlink>
    </w:p>
    <w:p w14:paraId="2A874108" w14:textId="77777777" w:rsidR="00296B46" w:rsidRDefault="00296B46" w:rsidP="00296B46">
      <w:pPr>
        <w:pStyle w:val="NormalWeb"/>
      </w:pPr>
      <w:r>
        <w:t xml:space="preserve">Pandey, N. K., &amp; Singh, R. (2022). Farmer producer organizations in India: Performance and policy issues. </w:t>
      </w:r>
      <w:r>
        <w:rPr>
          <w:rStyle w:val="Emphasis"/>
        </w:rPr>
        <w:t>Indian Journal of Agricultural Economics, 77</w:t>
      </w:r>
      <w:r>
        <w:t xml:space="preserve">(2), 214–228. </w:t>
      </w:r>
      <w:hyperlink r:id="rId51" w:history="1">
        <w:r>
          <w:rPr>
            <w:rStyle w:val="Hyperlink"/>
          </w:rPr>
          <w:t>https://doi.org/10.22004/ag.econ.325467</w:t>
        </w:r>
      </w:hyperlink>
    </w:p>
    <w:p w14:paraId="21D6A939" w14:textId="77777777" w:rsidR="00296B46" w:rsidRDefault="00296B46" w:rsidP="00296B46">
      <w:pPr>
        <w:pStyle w:val="NormalWeb"/>
      </w:pPr>
      <w:r>
        <w:t xml:space="preserve">Pingali, P., Khwaja, Y., &amp; Meijer, M. (2005). Commercializing small farms. </w:t>
      </w:r>
      <w:r>
        <w:rPr>
          <w:rStyle w:val="Emphasis"/>
        </w:rPr>
        <w:t>ESA Working Paper</w:t>
      </w:r>
      <w:r>
        <w:t xml:space="preserve">. </w:t>
      </w:r>
      <w:hyperlink r:id="rId52" w:history="1">
        <w:r>
          <w:rPr>
            <w:rStyle w:val="Hyperlink"/>
          </w:rPr>
          <w:t>https://doi.org/10.22004/ag.econ.23765</w:t>
        </w:r>
      </w:hyperlink>
    </w:p>
    <w:p w14:paraId="4326B6F7" w14:textId="77777777" w:rsidR="00296B46" w:rsidRDefault="00296B46" w:rsidP="00296B46">
      <w:pPr>
        <w:pStyle w:val="NormalWeb"/>
      </w:pPr>
      <w:r>
        <w:t xml:space="preserve">Place, F., &amp; Hazell, P. (1993). Productivity effects of indigenous land tenure systems in sub-Saharan Africa. </w:t>
      </w:r>
      <w:r>
        <w:rPr>
          <w:rStyle w:val="Emphasis"/>
        </w:rPr>
        <w:t>American Journal of Agricultural Economics, 75</w:t>
      </w:r>
      <w:r>
        <w:t xml:space="preserve">(1), 10–19. </w:t>
      </w:r>
      <w:hyperlink r:id="rId53" w:history="1">
        <w:r>
          <w:rPr>
            <w:rStyle w:val="Hyperlink"/>
          </w:rPr>
          <w:t>https://doi.org/10.2307/1242959</w:t>
        </w:r>
      </w:hyperlink>
    </w:p>
    <w:p w14:paraId="3F45F19B" w14:textId="77777777" w:rsidR="00296B46" w:rsidRDefault="00296B46" w:rsidP="00296B46">
      <w:pPr>
        <w:pStyle w:val="NormalWeb"/>
      </w:pPr>
      <w:r>
        <w:t xml:space="preserve">Poole, N., Chitundu, M., &amp; Msoni, R. (2013). Commercialisation: A meta-approach for agricultural development among smallholder farmers in Africa? </w:t>
      </w:r>
      <w:r>
        <w:rPr>
          <w:rStyle w:val="Emphasis"/>
        </w:rPr>
        <w:t>Food Policy, 41</w:t>
      </w:r>
      <w:r>
        <w:t xml:space="preserve">, 155–165. </w:t>
      </w:r>
      <w:hyperlink r:id="rId54" w:history="1">
        <w:r>
          <w:rPr>
            <w:rStyle w:val="Hyperlink"/>
          </w:rPr>
          <w:t>https://doi.org/10.1016/j.foodpol.2013.06.004</w:t>
        </w:r>
      </w:hyperlink>
    </w:p>
    <w:p w14:paraId="795292E8" w14:textId="77777777" w:rsidR="00296B46" w:rsidRDefault="00296B46" w:rsidP="00296B46">
      <w:pPr>
        <w:pStyle w:val="NormalWeb"/>
      </w:pPr>
      <w:r>
        <w:t xml:space="preserve">Rao, E. J. O., &amp; Qaim, M. (2011). Supermarkets, farm household income, and poverty: Insights from Kenya. </w:t>
      </w:r>
      <w:r>
        <w:rPr>
          <w:rStyle w:val="Emphasis"/>
        </w:rPr>
        <w:t>World Development, 39</w:t>
      </w:r>
      <w:r>
        <w:t xml:space="preserve">(5), 784–796. </w:t>
      </w:r>
      <w:hyperlink r:id="rId55" w:history="1">
        <w:r>
          <w:rPr>
            <w:rStyle w:val="Hyperlink"/>
          </w:rPr>
          <w:t>https://doi.org/10.1016/j.worlddev.2010.09.005</w:t>
        </w:r>
      </w:hyperlink>
    </w:p>
    <w:p w14:paraId="6FDAD90C" w14:textId="77777777" w:rsidR="00296B46" w:rsidRDefault="00296B46" w:rsidP="00296B46">
      <w:pPr>
        <w:pStyle w:val="NormalWeb"/>
      </w:pPr>
      <w:r>
        <w:t xml:space="preserve">Ruben, R., </w:t>
      </w:r>
      <w:proofErr w:type="spellStart"/>
      <w:r>
        <w:t>Boselie</w:t>
      </w:r>
      <w:proofErr w:type="spellEnd"/>
      <w:r>
        <w:t xml:space="preserve">, D., &amp; Lu, H. (2007). Vegetables procurement by Asian supermarkets. </w:t>
      </w:r>
      <w:r>
        <w:rPr>
          <w:rStyle w:val="Emphasis"/>
        </w:rPr>
        <w:t>World Development, 35</w:t>
      </w:r>
      <w:r>
        <w:t xml:space="preserve">(9), 1507–1527. </w:t>
      </w:r>
      <w:hyperlink r:id="rId56" w:history="1">
        <w:r>
          <w:rPr>
            <w:rStyle w:val="Hyperlink"/>
          </w:rPr>
          <w:t>https://doi.org/10.1016/j.worlddev.2006.05.015</w:t>
        </w:r>
      </w:hyperlink>
    </w:p>
    <w:p w14:paraId="39C58A7C" w14:textId="77777777" w:rsidR="00296B46" w:rsidRDefault="00296B46" w:rsidP="00296B46">
      <w:pPr>
        <w:pStyle w:val="NormalWeb"/>
      </w:pPr>
      <w:r>
        <w:t xml:space="preserve">Shiferaw, B., Hellin, J., &amp; </w:t>
      </w:r>
      <w:proofErr w:type="spellStart"/>
      <w:r>
        <w:t>Muricho</w:t>
      </w:r>
      <w:proofErr w:type="spellEnd"/>
      <w:r>
        <w:t xml:space="preserve">, G. (2011). Improving market access and agricultural productivity growth in Africa. </w:t>
      </w:r>
      <w:r>
        <w:rPr>
          <w:rStyle w:val="Emphasis"/>
        </w:rPr>
        <w:t>Food Security, 3</w:t>
      </w:r>
      <w:r>
        <w:t xml:space="preserve">(4), 475–489. </w:t>
      </w:r>
      <w:hyperlink r:id="rId57" w:history="1">
        <w:r>
          <w:rPr>
            <w:rStyle w:val="Hyperlink"/>
          </w:rPr>
          <w:t>https://doi.org/10.1007/s12571-011-0173-6</w:t>
        </w:r>
      </w:hyperlink>
    </w:p>
    <w:p w14:paraId="6A5E8AE4" w14:textId="77777777" w:rsidR="00296B46" w:rsidRDefault="00296B46" w:rsidP="00296B46">
      <w:pPr>
        <w:pStyle w:val="NormalWeb"/>
      </w:pPr>
      <w:r>
        <w:t xml:space="preserve">Shiferaw, B., Obare, G., &amp; </w:t>
      </w:r>
      <w:proofErr w:type="spellStart"/>
      <w:r>
        <w:t>Muricho</w:t>
      </w:r>
      <w:proofErr w:type="spellEnd"/>
      <w:r>
        <w:t xml:space="preserve">, G. (2008). Rural market imperfections and the role of institutions. </w:t>
      </w:r>
      <w:r>
        <w:rPr>
          <w:rStyle w:val="Emphasis"/>
        </w:rPr>
        <w:t>International Food and Agribusiness Management Review, 11</w:t>
      </w:r>
      <w:r>
        <w:t xml:space="preserve">(1), 1–16. </w:t>
      </w:r>
      <w:hyperlink r:id="rId58" w:history="1">
        <w:r>
          <w:rPr>
            <w:rStyle w:val="Hyperlink"/>
          </w:rPr>
          <w:t>https://doi.org/10.22004/ag.econ.8165</w:t>
        </w:r>
      </w:hyperlink>
    </w:p>
    <w:p w14:paraId="4803307C" w14:textId="77777777" w:rsidR="00296B46" w:rsidRDefault="00296B46" w:rsidP="00296B46">
      <w:pPr>
        <w:pStyle w:val="NormalWeb"/>
      </w:pPr>
      <w:r>
        <w:t xml:space="preserve">Singh, K. M., Meena, M. S., &amp; Swanson, B. E. (2013). ICTs and Indian farmers. </w:t>
      </w:r>
      <w:r>
        <w:rPr>
          <w:rStyle w:val="Emphasis"/>
        </w:rPr>
        <w:t>Agricultural Economics Research Review, 26</w:t>
      </w:r>
      <w:r>
        <w:t xml:space="preserve">(2), 199–208. </w:t>
      </w:r>
      <w:hyperlink r:id="rId59" w:history="1">
        <w:r>
          <w:rPr>
            <w:rStyle w:val="Hyperlink"/>
          </w:rPr>
          <w:t>https://doi.org/10.22004/ag.econ.162135</w:t>
        </w:r>
      </w:hyperlink>
    </w:p>
    <w:p w14:paraId="3D67CEDA" w14:textId="77777777" w:rsidR="00296B46" w:rsidRDefault="00296B46" w:rsidP="00296B46">
      <w:pPr>
        <w:pStyle w:val="NormalWeb"/>
      </w:pPr>
      <w:r>
        <w:lastRenderedPageBreak/>
        <w:t xml:space="preserve">Singh, S. (2002). Contracting out solutions: Political economy of contract farming in the Indian Punjab. </w:t>
      </w:r>
      <w:r>
        <w:rPr>
          <w:rStyle w:val="Emphasis"/>
        </w:rPr>
        <w:t>World Development, 30</w:t>
      </w:r>
      <w:r>
        <w:t xml:space="preserve">(9), 1621–1638. </w:t>
      </w:r>
      <w:hyperlink r:id="rId60" w:history="1">
        <w:r>
          <w:rPr>
            <w:rStyle w:val="Hyperlink"/>
          </w:rPr>
          <w:t>https://doi.org/10.1016/S0305-750X(02)00059-1</w:t>
        </w:r>
      </w:hyperlink>
    </w:p>
    <w:p w14:paraId="527757D0" w14:textId="77777777" w:rsidR="00296B46" w:rsidRDefault="00296B46" w:rsidP="00296B46">
      <w:pPr>
        <w:pStyle w:val="NormalWeb"/>
      </w:pPr>
      <w:r>
        <w:t xml:space="preserve">Stockbridge, M., Dorward, A., &amp; Kydd, J. (2003). Farmer organizations for market access. </w:t>
      </w:r>
      <w:r>
        <w:rPr>
          <w:rStyle w:val="Emphasis"/>
        </w:rPr>
        <w:t>Briefing Paper</w:t>
      </w:r>
      <w:r>
        <w:t xml:space="preserve">. </w:t>
      </w:r>
      <w:hyperlink r:id="rId61" w:history="1">
        <w:r>
          <w:rPr>
            <w:rStyle w:val="Hyperlink"/>
          </w:rPr>
          <w:t>https://doi.org/10.22004/ag.econ.12814</w:t>
        </w:r>
      </w:hyperlink>
    </w:p>
    <w:p w14:paraId="47709F81" w14:textId="77777777" w:rsidR="00296B46" w:rsidRDefault="00296B46" w:rsidP="00296B46">
      <w:pPr>
        <w:pStyle w:val="NormalWeb"/>
      </w:pPr>
      <w:r>
        <w:t xml:space="preserve">Trebbin, A. (2014). Linking small farmers to modern retail through producer organizations. </w:t>
      </w:r>
      <w:r>
        <w:rPr>
          <w:rStyle w:val="Emphasis"/>
        </w:rPr>
        <w:t>Food Policy, 45</w:t>
      </w:r>
      <w:r>
        <w:t xml:space="preserve">, 35–44. </w:t>
      </w:r>
      <w:hyperlink r:id="rId62" w:history="1">
        <w:r>
          <w:rPr>
            <w:rStyle w:val="Hyperlink"/>
          </w:rPr>
          <w:t>https://doi.org/10.1016/j.foodpol.2013.12.004</w:t>
        </w:r>
      </w:hyperlink>
    </w:p>
    <w:p w14:paraId="46A3E2A4" w14:textId="77777777" w:rsidR="00296B46" w:rsidRDefault="00296B46" w:rsidP="00296B46">
      <w:pPr>
        <w:pStyle w:val="NormalWeb"/>
      </w:pPr>
      <w:r>
        <w:t xml:space="preserve">Trebbin, A., &amp; Hassler, M. (2012). Farmers’ producer companies in India. </w:t>
      </w:r>
      <w:r>
        <w:rPr>
          <w:rStyle w:val="Emphasis"/>
        </w:rPr>
        <w:t>Environment and Planning A, 44</w:t>
      </w:r>
      <w:r>
        <w:t xml:space="preserve">(2), 411–427. </w:t>
      </w:r>
      <w:hyperlink r:id="rId63" w:history="1">
        <w:r>
          <w:rPr>
            <w:rStyle w:val="Hyperlink"/>
          </w:rPr>
          <w:t>https://doi.org/10.1068/a44164</w:t>
        </w:r>
      </w:hyperlink>
    </w:p>
    <w:p w14:paraId="183A920F" w14:textId="77777777" w:rsidR="00296B46" w:rsidRDefault="00296B46" w:rsidP="00296B46">
      <w:pPr>
        <w:pStyle w:val="NormalWeb"/>
      </w:pPr>
      <w:r>
        <w:t xml:space="preserve">Valentinov, V. (2007). Why are cooperatives important in agriculture? </w:t>
      </w:r>
      <w:r>
        <w:rPr>
          <w:rStyle w:val="Emphasis"/>
        </w:rPr>
        <w:t>Journal of Institutional Economics, 3</w:t>
      </w:r>
      <w:r>
        <w:t xml:space="preserve">(1), 55–69. </w:t>
      </w:r>
      <w:hyperlink r:id="rId64" w:history="1">
        <w:r>
          <w:rPr>
            <w:rStyle w:val="Hyperlink"/>
          </w:rPr>
          <w:t>https://doi.org/10.1017/S1744137406000555</w:t>
        </w:r>
      </w:hyperlink>
    </w:p>
    <w:p w14:paraId="1A02132E" w14:textId="77777777" w:rsidR="00296B46" w:rsidRDefault="00296B46" w:rsidP="00296B46">
      <w:pPr>
        <w:pStyle w:val="NormalWeb"/>
      </w:pPr>
      <w:proofErr w:type="spellStart"/>
      <w:r>
        <w:t>Verhofstadt</w:t>
      </w:r>
      <w:proofErr w:type="spellEnd"/>
      <w:r>
        <w:t xml:space="preserve">, E., &amp; Maertens, M. (2014). Smallholder cooperatives and agricultural performance in Rwanda. </w:t>
      </w:r>
      <w:r>
        <w:rPr>
          <w:rStyle w:val="Emphasis"/>
        </w:rPr>
        <w:t>Food Policy, 49</w:t>
      </w:r>
      <w:r>
        <w:t xml:space="preserve">, 231–242. </w:t>
      </w:r>
      <w:hyperlink r:id="rId65" w:history="1">
        <w:r>
          <w:rPr>
            <w:rStyle w:val="Hyperlink"/>
          </w:rPr>
          <w:t>https://doi.org/10.1016/j.foodpol.2014.10.015</w:t>
        </w:r>
      </w:hyperlink>
    </w:p>
    <w:p w14:paraId="5CA69B5C" w14:textId="77777777" w:rsidR="00296B46" w:rsidRDefault="00296B46" w:rsidP="00296B46">
      <w:pPr>
        <w:pStyle w:val="NormalWeb"/>
      </w:pPr>
      <w:r>
        <w:t xml:space="preserve">Wanyama, F. O., </w:t>
      </w:r>
      <w:proofErr w:type="spellStart"/>
      <w:r>
        <w:t>Develtere</w:t>
      </w:r>
      <w:proofErr w:type="spellEnd"/>
      <w:r>
        <w:t xml:space="preserve">, P., &amp; Pollet, I. (2009). Reinventing the wheel? African cooperatives in a liberalized economic environment. </w:t>
      </w:r>
      <w:r>
        <w:rPr>
          <w:rStyle w:val="Emphasis"/>
        </w:rPr>
        <w:t>Annals of Public and Cooperative Economics, 80</w:t>
      </w:r>
      <w:r>
        <w:t xml:space="preserve">(3), 361–392. </w:t>
      </w:r>
      <w:hyperlink r:id="rId66" w:history="1">
        <w:r>
          <w:rPr>
            <w:rStyle w:val="Hyperlink"/>
          </w:rPr>
          <w:t>https://doi.org/10.1111/j.1467-8292.2009.00390.x</w:t>
        </w:r>
      </w:hyperlink>
    </w:p>
    <w:p w14:paraId="7EA2F57B" w14:textId="77777777" w:rsidR="00296B46" w:rsidRDefault="00296B46" w:rsidP="00296B46">
      <w:pPr>
        <w:pStyle w:val="NormalWeb"/>
      </w:pPr>
      <w:r>
        <w:t xml:space="preserve">Wiggins, S., Kirsten, J., &amp; </w:t>
      </w:r>
      <w:proofErr w:type="spellStart"/>
      <w:r>
        <w:t>Llambí</w:t>
      </w:r>
      <w:proofErr w:type="spellEnd"/>
      <w:r>
        <w:t xml:space="preserve">, L. (2010). The future of small farms. </w:t>
      </w:r>
      <w:r>
        <w:rPr>
          <w:rStyle w:val="Emphasis"/>
        </w:rPr>
        <w:t>World Development, 38</w:t>
      </w:r>
      <w:r>
        <w:t xml:space="preserve">(10), 1341–1348. </w:t>
      </w:r>
      <w:hyperlink r:id="rId67" w:history="1">
        <w:r>
          <w:rPr>
            <w:rStyle w:val="Hyperlink"/>
          </w:rPr>
          <w:t>https://doi.org/10.1016/j.worlddev.2009.06.013</w:t>
        </w:r>
      </w:hyperlink>
    </w:p>
    <w:p w14:paraId="4CB06073" w14:textId="77777777" w:rsidR="00296B46" w:rsidRDefault="00296B46" w:rsidP="00296B46">
      <w:pPr>
        <w:pStyle w:val="NormalWeb"/>
      </w:pPr>
      <w:r>
        <w:t xml:space="preserve">Wolz, A., Fritzsch, J., &amp; Reinsberg, K. (2005). The impact of agricultural producer cooperatives in transition countries. </w:t>
      </w:r>
      <w:r>
        <w:rPr>
          <w:rStyle w:val="Emphasis"/>
        </w:rPr>
        <w:t>Outlook on Agriculture, 34</w:t>
      </w:r>
      <w:r>
        <w:t xml:space="preserve">(3), 227–234. </w:t>
      </w:r>
      <w:hyperlink r:id="rId68" w:history="1">
        <w:r>
          <w:rPr>
            <w:rStyle w:val="Hyperlink"/>
          </w:rPr>
          <w:t>https://doi.org/10.5367/000000005774180419</w:t>
        </w:r>
      </w:hyperlink>
    </w:p>
    <w:p w14:paraId="257103DB" w14:textId="77777777" w:rsidR="00296B46" w:rsidRDefault="00296B46" w:rsidP="00296B46">
      <w:pPr>
        <w:pStyle w:val="NormalWeb"/>
      </w:pPr>
      <w:r>
        <w:t xml:space="preserve">World Bank. (2007). World development report 2008: Agriculture for development. </w:t>
      </w:r>
      <w:r>
        <w:rPr>
          <w:rStyle w:val="Emphasis"/>
        </w:rPr>
        <w:t>World Bank Publications</w:t>
      </w:r>
      <w:r>
        <w:t xml:space="preserve">. </w:t>
      </w:r>
      <w:hyperlink r:id="rId69" w:history="1">
        <w:r>
          <w:rPr>
            <w:rStyle w:val="Hyperlink"/>
          </w:rPr>
          <w:t>https://doi.org/10.1596/978-0-8213-6807-7</w:t>
        </w:r>
      </w:hyperlink>
    </w:p>
    <w:p w14:paraId="7BADA77F" w14:textId="77777777" w:rsidR="00296B46" w:rsidRDefault="00296B46" w:rsidP="00296B46">
      <w:pPr>
        <w:pStyle w:val="NormalWeb"/>
      </w:pPr>
      <w:r>
        <w:t xml:space="preserve">Xaba, B. G., &amp; Masuku, M. B. (2013). Factors affecting the productivity and profitability of vegetable production in Swaziland. </w:t>
      </w:r>
      <w:r>
        <w:rPr>
          <w:rStyle w:val="Emphasis"/>
        </w:rPr>
        <w:t>Journal of Agricultural Studies, 1</w:t>
      </w:r>
      <w:r>
        <w:t xml:space="preserve">(2), 37–52. </w:t>
      </w:r>
      <w:hyperlink r:id="rId70" w:history="1">
        <w:r>
          <w:rPr>
            <w:rStyle w:val="Hyperlink"/>
          </w:rPr>
          <w:t>https://doi.org/10.5296/jas.v1i2.3748</w:t>
        </w:r>
      </w:hyperlink>
    </w:p>
    <w:p w14:paraId="4FFFA327" w14:textId="77777777" w:rsidR="00296B46" w:rsidRDefault="00296B46" w:rsidP="00296B46">
      <w:pPr>
        <w:pStyle w:val="NormalWeb"/>
      </w:pPr>
      <w:r>
        <w:t xml:space="preserve">Yamano, T., &amp; Arai, T. (2010). Social capital, household income, and poverty reduction in rural areas. </w:t>
      </w:r>
      <w:r>
        <w:rPr>
          <w:rStyle w:val="Emphasis"/>
        </w:rPr>
        <w:t>Agricultural Economics, 41</w:t>
      </w:r>
      <w:r>
        <w:t xml:space="preserve">(3-4), 335–345. </w:t>
      </w:r>
      <w:hyperlink r:id="rId71" w:history="1">
        <w:r>
          <w:rPr>
            <w:rStyle w:val="Hyperlink"/>
          </w:rPr>
          <w:t>https://doi.org/10.1111/j.1574-0862.2010.00445.x</w:t>
        </w:r>
      </w:hyperlink>
    </w:p>
    <w:p w14:paraId="1D22FE4A" w14:textId="77777777" w:rsidR="00296B46" w:rsidRDefault="00296B46" w:rsidP="00296B46">
      <w:pPr>
        <w:pStyle w:val="NormalWeb"/>
      </w:pPr>
      <w:proofErr w:type="spellStart"/>
      <w:r>
        <w:t>Yigezu</w:t>
      </w:r>
      <w:proofErr w:type="spellEnd"/>
      <w:r>
        <w:t xml:space="preserve">, Y. A., </w:t>
      </w:r>
      <w:proofErr w:type="spellStart"/>
      <w:r>
        <w:t>Mugera</w:t>
      </w:r>
      <w:proofErr w:type="spellEnd"/>
      <w:r>
        <w:t xml:space="preserve">, A., El-Shater, T., Aw-Hassan, A., Piggin, C., Haddad, A., Khalil, Y., &amp; Loss, S. (2018). Enhancing adoption of agricultural technologies requiring high initial investment. </w:t>
      </w:r>
      <w:r>
        <w:rPr>
          <w:rStyle w:val="Emphasis"/>
        </w:rPr>
        <w:t>Technological Forecasting and Social Change, 134</w:t>
      </w:r>
      <w:r>
        <w:t xml:space="preserve">, 199–206. </w:t>
      </w:r>
      <w:hyperlink r:id="rId72" w:history="1">
        <w:r>
          <w:rPr>
            <w:rStyle w:val="Hyperlink"/>
          </w:rPr>
          <w:t>https://doi.org/10.1016/j.techfore.2018.06.006</w:t>
        </w:r>
      </w:hyperlink>
    </w:p>
    <w:p w14:paraId="62821EAB" w14:textId="77777777" w:rsidR="00296B46" w:rsidRDefault="00296B46" w:rsidP="00296B46">
      <w:pPr>
        <w:pStyle w:val="NormalWeb"/>
      </w:pPr>
      <w:r>
        <w:t xml:space="preserve">Zhang, X., de Brauw, A., &amp; Rozelle, S. (2004). China’s rural </w:t>
      </w:r>
      <w:proofErr w:type="spellStart"/>
      <w:r>
        <w:t>labor</w:t>
      </w:r>
      <w:proofErr w:type="spellEnd"/>
      <w:r>
        <w:t xml:space="preserve"> market development and its gender implications. </w:t>
      </w:r>
      <w:r>
        <w:rPr>
          <w:rStyle w:val="Emphasis"/>
        </w:rPr>
        <w:t>China Economic Review, 15</w:t>
      </w:r>
      <w:r>
        <w:t xml:space="preserve">(2), 230–247. </w:t>
      </w:r>
      <w:hyperlink r:id="rId73" w:history="1">
        <w:r>
          <w:rPr>
            <w:rStyle w:val="Hyperlink"/>
          </w:rPr>
          <w:t>https://doi.org/10.1016/j.chieco.2004.03.002</w:t>
        </w:r>
      </w:hyperlink>
    </w:p>
    <w:p w14:paraId="34DF7265" w14:textId="77777777" w:rsidR="00296B46" w:rsidRDefault="00296B46" w:rsidP="00296B46">
      <w:pPr>
        <w:pStyle w:val="NormalWeb"/>
      </w:pPr>
      <w:r>
        <w:lastRenderedPageBreak/>
        <w:t xml:space="preserve">Zhou, Y., Ma, W., &amp; Tian, X. (2021). Cooperative participation and income effects among smallholder farmers. </w:t>
      </w:r>
      <w:r>
        <w:rPr>
          <w:rStyle w:val="Emphasis"/>
        </w:rPr>
        <w:t>Agribusiness, 37</w:t>
      </w:r>
      <w:r>
        <w:t xml:space="preserve">(2), 326–346. </w:t>
      </w:r>
      <w:hyperlink r:id="rId74" w:history="1">
        <w:r>
          <w:rPr>
            <w:rStyle w:val="Hyperlink"/>
          </w:rPr>
          <w:t>https://doi.org/10.1002/agr.21662</w:t>
        </w:r>
      </w:hyperlink>
    </w:p>
    <w:p w14:paraId="7B345239" w14:textId="77777777" w:rsidR="00296B46" w:rsidRDefault="00296B46" w:rsidP="00296B46">
      <w:pPr>
        <w:pStyle w:val="NormalWeb"/>
      </w:pPr>
      <w:r>
        <w:t xml:space="preserve">Zulu, L. C., &amp; Richardson, R. B. (2013). Charcoal, livelihoods, and poverty reduction. </w:t>
      </w:r>
      <w:r>
        <w:rPr>
          <w:rStyle w:val="Emphasis"/>
        </w:rPr>
        <w:t>Energy for Sustainable Development, 17</w:t>
      </w:r>
      <w:r>
        <w:t xml:space="preserve">(2), 127–137. </w:t>
      </w:r>
      <w:hyperlink r:id="rId75" w:history="1">
        <w:r>
          <w:rPr>
            <w:rStyle w:val="Hyperlink"/>
          </w:rPr>
          <w:t>https://doi.org/10.1016/j.esd.2012.07.007</w:t>
        </w:r>
      </w:hyperlink>
    </w:p>
    <w:p w14:paraId="4022D0DA" w14:textId="466DF253" w:rsidR="00E46CFC" w:rsidRPr="00E46CFC" w:rsidRDefault="00E46CFC" w:rsidP="00296B46">
      <w:pPr>
        <w:spacing w:after="0" w:line="240" w:lineRule="auto"/>
        <w:jc w:val="both"/>
        <w:rPr>
          <w:rFonts w:ascii="Times New Roman" w:eastAsia="Times New Roman" w:hAnsi="Times New Roman" w:cs="Times New Roman"/>
          <w:kern w:val="0"/>
          <w:sz w:val="24"/>
          <w:szCs w:val="24"/>
          <w:lang w:eastAsia="en-IN"/>
          <w14:ligatures w14:val="none"/>
        </w:rPr>
      </w:pP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r w:rsidRPr="00E46CFC">
        <w:rPr>
          <w:rFonts w:ascii="Times New Roman" w:eastAsia="Times New Roman" w:hAnsi="Times New Roman" w:cs="Times New Roman"/>
          <w:kern w:val="0"/>
          <w:sz w:val="24"/>
          <w:szCs w:val="24"/>
          <w:lang w:eastAsia="en-IN"/>
          <w14:ligatures w14:val="none"/>
        </w:rPr>
        <w:br/>
      </w:r>
    </w:p>
    <w:p w14:paraId="578C0522" w14:textId="77777777" w:rsidR="00B947CB" w:rsidRDefault="00B947CB"/>
    <w:sectPr w:rsidR="00B947CB">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75070" w14:textId="77777777" w:rsidR="0026538C" w:rsidRDefault="0026538C" w:rsidP="00B4042A">
      <w:pPr>
        <w:spacing w:after="0" w:line="240" w:lineRule="auto"/>
      </w:pPr>
      <w:r>
        <w:separator/>
      </w:r>
    </w:p>
  </w:endnote>
  <w:endnote w:type="continuationSeparator" w:id="0">
    <w:p w14:paraId="4E94F8FC" w14:textId="77777777" w:rsidR="0026538C" w:rsidRDefault="0026538C" w:rsidP="00B40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5B0B" w14:textId="77777777" w:rsidR="00B4042A" w:rsidRDefault="00B40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2ECF" w14:textId="77777777" w:rsidR="00B4042A" w:rsidRDefault="00B40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C773" w14:textId="77777777" w:rsidR="00B4042A" w:rsidRDefault="00B40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86AC9" w14:textId="77777777" w:rsidR="0026538C" w:rsidRDefault="0026538C" w:rsidP="00B4042A">
      <w:pPr>
        <w:spacing w:after="0" w:line="240" w:lineRule="auto"/>
      </w:pPr>
      <w:r>
        <w:separator/>
      </w:r>
    </w:p>
  </w:footnote>
  <w:footnote w:type="continuationSeparator" w:id="0">
    <w:p w14:paraId="7B9C8463" w14:textId="77777777" w:rsidR="0026538C" w:rsidRDefault="0026538C" w:rsidP="00B40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54C2" w14:textId="383D5046" w:rsidR="00B4042A" w:rsidRDefault="00B4042A">
    <w:pPr>
      <w:pStyle w:val="Header"/>
    </w:pPr>
    <w:r>
      <w:rPr>
        <w:noProof/>
      </w:rPr>
      <w:pict w14:anchorId="1974F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1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0CC9" w14:textId="47E4D2E9" w:rsidR="00B4042A" w:rsidRDefault="00B4042A">
    <w:pPr>
      <w:pStyle w:val="Header"/>
    </w:pPr>
    <w:r>
      <w:rPr>
        <w:noProof/>
      </w:rPr>
      <w:pict w14:anchorId="595C6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1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E668" w14:textId="3284DC8F" w:rsidR="00B4042A" w:rsidRDefault="00B4042A">
    <w:pPr>
      <w:pStyle w:val="Header"/>
    </w:pPr>
    <w:r>
      <w:rPr>
        <w:noProof/>
      </w:rPr>
      <w:pict w14:anchorId="5893A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01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CFC"/>
    <w:rsid w:val="000321B1"/>
    <w:rsid w:val="00195FCB"/>
    <w:rsid w:val="001A2F39"/>
    <w:rsid w:val="001D53F1"/>
    <w:rsid w:val="0026538C"/>
    <w:rsid w:val="00296B46"/>
    <w:rsid w:val="00320C9B"/>
    <w:rsid w:val="003B3B44"/>
    <w:rsid w:val="00452D04"/>
    <w:rsid w:val="004E13EB"/>
    <w:rsid w:val="005F58FC"/>
    <w:rsid w:val="00686293"/>
    <w:rsid w:val="006A5124"/>
    <w:rsid w:val="007D2C60"/>
    <w:rsid w:val="00990C6F"/>
    <w:rsid w:val="009B5ADB"/>
    <w:rsid w:val="009D2074"/>
    <w:rsid w:val="00AA5D61"/>
    <w:rsid w:val="00B4042A"/>
    <w:rsid w:val="00B947CB"/>
    <w:rsid w:val="00BF266D"/>
    <w:rsid w:val="00C06231"/>
    <w:rsid w:val="00C5043D"/>
    <w:rsid w:val="00CB0E56"/>
    <w:rsid w:val="00CE0167"/>
    <w:rsid w:val="00E336AB"/>
    <w:rsid w:val="00E46CFC"/>
    <w:rsid w:val="00E75E9E"/>
    <w:rsid w:val="00F843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2449E7"/>
  <w15:chartTrackingRefBased/>
  <w15:docId w15:val="{E7D578D8-E9CA-4004-9362-9EADA3D2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6C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46C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46C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6C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6C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6C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C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C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C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C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6C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6C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6C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6C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6C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C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C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CFC"/>
    <w:rPr>
      <w:rFonts w:eastAsiaTheme="majorEastAsia" w:cstheme="majorBidi"/>
      <w:color w:val="272727" w:themeColor="text1" w:themeTint="D8"/>
    </w:rPr>
  </w:style>
  <w:style w:type="paragraph" w:styleId="Title">
    <w:name w:val="Title"/>
    <w:basedOn w:val="Normal"/>
    <w:next w:val="Normal"/>
    <w:link w:val="TitleChar"/>
    <w:uiPriority w:val="10"/>
    <w:qFormat/>
    <w:rsid w:val="00E46C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C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C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C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CFC"/>
    <w:pPr>
      <w:spacing w:before="160"/>
      <w:jc w:val="center"/>
    </w:pPr>
    <w:rPr>
      <w:i/>
      <w:iCs/>
      <w:color w:val="404040" w:themeColor="text1" w:themeTint="BF"/>
    </w:rPr>
  </w:style>
  <w:style w:type="character" w:customStyle="1" w:styleId="QuoteChar">
    <w:name w:val="Quote Char"/>
    <w:basedOn w:val="DefaultParagraphFont"/>
    <w:link w:val="Quote"/>
    <w:uiPriority w:val="29"/>
    <w:rsid w:val="00E46CFC"/>
    <w:rPr>
      <w:i/>
      <w:iCs/>
      <w:color w:val="404040" w:themeColor="text1" w:themeTint="BF"/>
    </w:rPr>
  </w:style>
  <w:style w:type="paragraph" w:styleId="ListParagraph">
    <w:name w:val="List Paragraph"/>
    <w:basedOn w:val="Normal"/>
    <w:uiPriority w:val="34"/>
    <w:qFormat/>
    <w:rsid w:val="00E46CFC"/>
    <w:pPr>
      <w:ind w:left="720"/>
      <w:contextualSpacing/>
    </w:pPr>
  </w:style>
  <w:style w:type="character" w:styleId="IntenseEmphasis">
    <w:name w:val="Intense Emphasis"/>
    <w:basedOn w:val="DefaultParagraphFont"/>
    <w:uiPriority w:val="21"/>
    <w:qFormat/>
    <w:rsid w:val="00E46CFC"/>
    <w:rPr>
      <w:i/>
      <w:iCs/>
      <w:color w:val="2F5496" w:themeColor="accent1" w:themeShade="BF"/>
    </w:rPr>
  </w:style>
  <w:style w:type="paragraph" w:styleId="IntenseQuote">
    <w:name w:val="Intense Quote"/>
    <w:basedOn w:val="Normal"/>
    <w:next w:val="Normal"/>
    <w:link w:val="IntenseQuoteChar"/>
    <w:uiPriority w:val="30"/>
    <w:qFormat/>
    <w:rsid w:val="00E46C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6CFC"/>
    <w:rPr>
      <w:i/>
      <w:iCs/>
      <w:color w:val="2F5496" w:themeColor="accent1" w:themeShade="BF"/>
    </w:rPr>
  </w:style>
  <w:style w:type="character" w:styleId="IntenseReference">
    <w:name w:val="Intense Reference"/>
    <w:basedOn w:val="DefaultParagraphFont"/>
    <w:uiPriority w:val="32"/>
    <w:qFormat/>
    <w:rsid w:val="00E46CFC"/>
    <w:rPr>
      <w:b/>
      <w:bCs/>
      <w:smallCaps/>
      <w:color w:val="2F5496" w:themeColor="accent1" w:themeShade="BF"/>
      <w:spacing w:val="5"/>
    </w:rPr>
  </w:style>
  <w:style w:type="character" w:styleId="Hyperlink">
    <w:name w:val="Hyperlink"/>
    <w:basedOn w:val="DefaultParagraphFont"/>
    <w:uiPriority w:val="99"/>
    <w:unhideWhenUsed/>
    <w:rsid w:val="00E46CFC"/>
    <w:rPr>
      <w:color w:val="0563C1" w:themeColor="hyperlink"/>
      <w:u w:val="single"/>
    </w:rPr>
  </w:style>
  <w:style w:type="character" w:styleId="UnresolvedMention">
    <w:name w:val="Unresolved Mention"/>
    <w:basedOn w:val="DefaultParagraphFont"/>
    <w:uiPriority w:val="99"/>
    <w:semiHidden/>
    <w:unhideWhenUsed/>
    <w:rsid w:val="00E46CFC"/>
    <w:rPr>
      <w:color w:val="605E5C"/>
      <w:shd w:val="clear" w:color="auto" w:fill="E1DFDD"/>
    </w:rPr>
  </w:style>
  <w:style w:type="paragraph" w:styleId="NormalWeb">
    <w:name w:val="Normal (Web)"/>
    <w:basedOn w:val="Normal"/>
    <w:uiPriority w:val="99"/>
    <w:semiHidden/>
    <w:unhideWhenUsed/>
    <w:rsid w:val="00296B4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296B46"/>
    <w:rPr>
      <w:i/>
      <w:iCs/>
    </w:rPr>
  </w:style>
  <w:style w:type="character" w:styleId="Strong">
    <w:name w:val="Strong"/>
    <w:basedOn w:val="DefaultParagraphFont"/>
    <w:uiPriority w:val="22"/>
    <w:qFormat/>
    <w:rsid w:val="00990C6F"/>
    <w:rPr>
      <w:b/>
      <w:bCs/>
    </w:rPr>
  </w:style>
  <w:style w:type="table" w:styleId="TableGrid">
    <w:name w:val="Table Grid"/>
    <w:basedOn w:val="TableNormal"/>
    <w:uiPriority w:val="39"/>
    <w:rsid w:val="00990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42A"/>
  </w:style>
  <w:style w:type="paragraph" w:styleId="Footer">
    <w:name w:val="footer"/>
    <w:basedOn w:val="Normal"/>
    <w:link w:val="FooterChar"/>
    <w:uiPriority w:val="99"/>
    <w:unhideWhenUsed/>
    <w:rsid w:val="00B40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oodpol.2008.10.003" TargetMode="External"/><Relationship Id="rId21" Type="http://schemas.openxmlformats.org/officeDocument/2006/relationships/hyperlink" Target="https://doi.org/10.1016/j.worlddev.2011.11.018" TargetMode="External"/><Relationship Id="rId42" Type="http://schemas.openxmlformats.org/officeDocument/2006/relationships/hyperlink" Target="https://doi.org/10.1016/j.foodpol.2017.11.003" TargetMode="External"/><Relationship Id="rId47" Type="http://schemas.openxmlformats.org/officeDocument/2006/relationships/hyperlink" Target="https://doi.org/10.1515/9781503621865" TargetMode="External"/><Relationship Id="rId63" Type="http://schemas.openxmlformats.org/officeDocument/2006/relationships/hyperlink" Target="https://doi.org/10.1068/a44164" TargetMode="External"/><Relationship Id="rId68" Type="http://schemas.openxmlformats.org/officeDocument/2006/relationships/hyperlink" Target="https://doi.org/10.5367/000000005774180419" TargetMode="External"/><Relationship Id="rId16" Type="http://schemas.openxmlformats.org/officeDocument/2006/relationships/hyperlink" Target="https://doi.org/10.1007/s12571-021-01162-7" TargetMode="External"/><Relationship Id="rId11" Type="http://schemas.openxmlformats.org/officeDocument/2006/relationships/hyperlink" Target="https://doi.org/10.1093/ajae/aav006" TargetMode="External"/><Relationship Id="rId32" Type="http://schemas.openxmlformats.org/officeDocument/2006/relationships/hyperlink" Target="https://doi.org/10.1016/j.agsy.2013.03.002" TargetMode="External"/><Relationship Id="rId37" Type="http://schemas.openxmlformats.org/officeDocument/2006/relationships/hyperlink" Target="https://doi.org/10.1108/CAER-11-2017-0219" TargetMode="External"/><Relationship Id="rId53" Type="http://schemas.openxmlformats.org/officeDocument/2006/relationships/hyperlink" Target="https://doi.org/10.2307/1242959" TargetMode="External"/><Relationship Id="rId58" Type="http://schemas.openxmlformats.org/officeDocument/2006/relationships/hyperlink" Target="https://doi.org/10.22004/ag.econ.8165" TargetMode="External"/><Relationship Id="rId74" Type="http://schemas.openxmlformats.org/officeDocument/2006/relationships/hyperlink" Target="https://doi.org/10.1002/agr.21662" TargetMode="External"/><Relationship Id="rId79" Type="http://schemas.openxmlformats.org/officeDocument/2006/relationships/footer" Target="footer2.xml"/><Relationship Id="rId5" Type="http://schemas.openxmlformats.org/officeDocument/2006/relationships/endnotes" Target="endnotes.xml"/><Relationship Id="rId61" Type="http://schemas.openxmlformats.org/officeDocument/2006/relationships/hyperlink" Target="https://doi.org/10.22004/ag.econ.12814" TargetMode="External"/><Relationship Id="rId82" Type="http://schemas.openxmlformats.org/officeDocument/2006/relationships/fontTable" Target="fontTable.xml"/><Relationship Id="rId19" Type="http://schemas.openxmlformats.org/officeDocument/2006/relationships/hyperlink" Target="https://doi.org/10.1111/j.1540-6520.2012.00505.x" TargetMode="External"/><Relationship Id="rId14" Type="http://schemas.openxmlformats.org/officeDocument/2006/relationships/hyperlink" Target="https://doi.org/10.1016/j.foodpol.2008.08.001" TargetMode="External"/><Relationship Id="rId22" Type="http://schemas.openxmlformats.org/officeDocument/2006/relationships/hyperlink" Target="https://doi.org/10.1111/j.1467-8268.2010.00265.x" TargetMode="External"/><Relationship Id="rId27" Type="http://schemas.openxmlformats.org/officeDocument/2006/relationships/hyperlink" Target="https://doi.org/10.1016/j.chieco.2010.06.002" TargetMode="External"/><Relationship Id="rId30" Type="http://schemas.openxmlformats.org/officeDocument/2006/relationships/hyperlink" Target="https://doi.org/10.1016/j.foodpol.2008.10.004" TargetMode="External"/><Relationship Id="rId35" Type="http://schemas.openxmlformats.org/officeDocument/2006/relationships/hyperlink" Target="https://doi.org/10.1016/j.foodpol.2016.12.001" TargetMode="External"/><Relationship Id="rId43" Type="http://schemas.openxmlformats.org/officeDocument/2006/relationships/hyperlink" Target="https://doi.org/10.1016/j.jrurstud.2016.12.010" TargetMode="External"/><Relationship Id="rId48" Type="http://schemas.openxmlformats.org/officeDocument/2006/relationships/hyperlink" Target="https://doi.org/10.1108/03068291011070426" TargetMode="External"/><Relationship Id="rId56" Type="http://schemas.openxmlformats.org/officeDocument/2006/relationships/hyperlink" Target="https://doi.org/10.1016/j.worlddev.2006.05.015" TargetMode="External"/><Relationship Id="rId64" Type="http://schemas.openxmlformats.org/officeDocument/2006/relationships/hyperlink" Target="https://doi.org/10.1017/S1744137406000555" TargetMode="External"/><Relationship Id="rId69" Type="http://schemas.openxmlformats.org/officeDocument/2006/relationships/hyperlink" Target="https://doi.org/10.1596/978-0-8213-6807-7" TargetMode="External"/><Relationship Id="rId77" Type="http://schemas.openxmlformats.org/officeDocument/2006/relationships/header" Target="header2.xml"/><Relationship Id="rId8" Type="http://schemas.openxmlformats.org/officeDocument/2006/relationships/hyperlink" Target="https://doi.org/10.1016/j.worlddev.2009.06.005" TargetMode="External"/><Relationship Id="rId51" Type="http://schemas.openxmlformats.org/officeDocument/2006/relationships/hyperlink" Target="https://doi.org/10.22004/ag.econ.325467" TargetMode="External"/><Relationship Id="rId72" Type="http://schemas.openxmlformats.org/officeDocument/2006/relationships/hyperlink" Target="https://doi.org/10.1016/j.techfore.2018.06.006" TargetMode="External"/><Relationship Id="rId80"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doi.org/10.1016/j.foodpol.2008.10.002" TargetMode="External"/><Relationship Id="rId17" Type="http://schemas.openxmlformats.org/officeDocument/2006/relationships/hyperlink" Target="https://doi.org/10.1016/j.foodpol.2016.01.008" TargetMode="External"/><Relationship Id="rId25" Type="http://schemas.openxmlformats.org/officeDocument/2006/relationships/hyperlink" Target="https://doi.org/10.1111/joac.12010" TargetMode="External"/><Relationship Id="rId33" Type="http://schemas.openxmlformats.org/officeDocument/2006/relationships/hyperlink" Target="https://doi.org/10.22004/ag.econ.119414" TargetMode="External"/><Relationship Id="rId38" Type="http://schemas.openxmlformats.org/officeDocument/2006/relationships/hyperlink" Target="https://doi.org/10.1002/agr.21684" TargetMode="External"/><Relationship Id="rId46" Type="http://schemas.openxmlformats.org/officeDocument/2006/relationships/hyperlink" Target="https://doi.org/10.5958/0974-0279.2018.00002.5" TargetMode="External"/><Relationship Id="rId59" Type="http://schemas.openxmlformats.org/officeDocument/2006/relationships/hyperlink" Target="https://doi.org/10.22004/ag.econ.162135" TargetMode="External"/><Relationship Id="rId67" Type="http://schemas.openxmlformats.org/officeDocument/2006/relationships/hyperlink" Target="https://doi.org/10.1016/j.worlddev.2009.06.013" TargetMode="External"/><Relationship Id="rId20" Type="http://schemas.openxmlformats.org/officeDocument/2006/relationships/hyperlink" Target="https://doi.org/10.1108/JADEE-06-2017-0065" TargetMode="External"/><Relationship Id="rId41" Type="http://schemas.openxmlformats.org/officeDocument/2006/relationships/hyperlink" Target="https://doi.org/10.3763/ijas.2009.0465" TargetMode="External"/><Relationship Id="rId54" Type="http://schemas.openxmlformats.org/officeDocument/2006/relationships/hyperlink" Target="https://doi.org/10.1016/j.foodpol.2013.06.004" TargetMode="External"/><Relationship Id="rId62" Type="http://schemas.openxmlformats.org/officeDocument/2006/relationships/hyperlink" Target="https://doi.org/10.1016/j.foodpol.2013.12.004" TargetMode="External"/><Relationship Id="rId70" Type="http://schemas.openxmlformats.org/officeDocument/2006/relationships/hyperlink" Target="https://doi.org/10.5296/jas.v1i2.3748" TargetMode="External"/><Relationship Id="rId75" Type="http://schemas.openxmlformats.org/officeDocument/2006/relationships/hyperlink" Target="https://doi.org/10.1016/j.esd.2012.07.007"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2499/0896291464rr85" TargetMode="External"/><Relationship Id="rId23" Type="http://schemas.openxmlformats.org/officeDocument/2006/relationships/hyperlink" Target="https://doi.org/10.1002/agr.21374" TargetMode="External"/><Relationship Id="rId28" Type="http://schemas.openxmlformats.org/officeDocument/2006/relationships/hyperlink" Target="https://doi.org/10.1111/j.1574-0862.2012.00594.x" TargetMode="External"/><Relationship Id="rId36" Type="http://schemas.openxmlformats.org/officeDocument/2006/relationships/hyperlink" Target="https://doi.org/10.1016/j.foodpol.2008.10.001" TargetMode="External"/><Relationship Id="rId49" Type="http://schemas.openxmlformats.org/officeDocument/2006/relationships/hyperlink" Target="https://doi.org/10.1080/03031853.2007.9523760" TargetMode="External"/><Relationship Id="rId57" Type="http://schemas.openxmlformats.org/officeDocument/2006/relationships/hyperlink" Target="https://doi.org/10.1007/s12571-011-0173-6" TargetMode="External"/><Relationship Id="rId10" Type="http://schemas.openxmlformats.org/officeDocument/2006/relationships/hyperlink" Target="https://doi.org/10.1016/j.foodpol.2007.12.001" TargetMode="External"/><Relationship Id="rId31" Type="http://schemas.openxmlformats.org/officeDocument/2006/relationships/hyperlink" Target="https://doi.org/10.1355/ae19-3h" TargetMode="External"/><Relationship Id="rId44" Type="http://schemas.openxmlformats.org/officeDocument/2006/relationships/hyperlink" Target="https://doi.org/10.1016/j.foodpol.2012.12.008" TargetMode="External"/><Relationship Id="rId52" Type="http://schemas.openxmlformats.org/officeDocument/2006/relationships/hyperlink" Target="https://doi.org/10.22004/ag.econ.23765" TargetMode="External"/><Relationship Id="rId60" Type="http://schemas.openxmlformats.org/officeDocument/2006/relationships/hyperlink" Target="https://doi.org/10.1016/S0305-750X(02)00059-1" TargetMode="External"/><Relationship Id="rId65" Type="http://schemas.openxmlformats.org/officeDocument/2006/relationships/hyperlink" Target="https://doi.org/10.1016/j.foodpol.2014.10.015" TargetMode="External"/><Relationship Id="rId73" Type="http://schemas.openxmlformats.org/officeDocument/2006/relationships/hyperlink" Target="https://doi.org/10.1016/j.chieco.2004.03.002"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16/j.foodpol.2011.06.009" TargetMode="External"/><Relationship Id="rId13" Type="http://schemas.openxmlformats.org/officeDocument/2006/relationships/hyperlink" Target="https://doi.org/10.1016/j.foodpol.2007.10.005" TargetMode="External"/><Relationship Id="rId18" Type="http://schemas.openxmlformats.org/officeDocument/2006/relationships/hyperlink" Target="https://doi.org/10.13140/RG.2.2.27532.95366" TargetMode="External"/><Relationship Id="rId39" Type="http://schemas.openxmlformats.org/officeDocument/2006/relationships/hyperlink" Target="https://doi.org/10.1016/j.worlddev.2008.04.006" TargetMode="External"/><Relationship Id="rId34" Type="http://schemas.openxmlformats.org/officeDocument/2006/relationships/hyperlink" Target="https://doi.org/10.12691/education-3-10-8" TargetMode="External"/><Relationship Id="rId50" Type="http://schemas.openxmlformats.org/officeDocument/2006/relationships/hyperlink" Target="https://doi.org/10.1017/CBO9780511807763" TargetMode="External"/><Relationship Id="rId55" Type="http://schemas.openxmlformats.org/officeDocument/2006/relationships/hyperlink" Target="https://doi.org/10.1016/j.worlddev.2010.09.005" TargetMode="External"/><Relationship Id="rId76" Type="http://schemas.openxmlformats.org/officeDocument/2006/relationships/header" Target="header1.xml"/><Relationship Id="rId7" Type="http://schemas.openxmlformats.org/officeDocument/2006/relationships/hyperlink" Target="https://doi.org/10.1111/apce.12035" TargetMode="External"/><Relationship Id="rId71" Type="http://schemas.openxmlformats.org/officeDocument/2006/relationships/hyperlink" Target="https://doi.org/10.1111/j.1574-0862.2010.00445.x" TargetMode="External"/><Relationship Id="rId2" Type="http://schemas.openxmlformats.org/officeDocument/2006/relationships/settings" Target="settings.xml"/><Relationship Id="rId29" Type="http://schemas.openxmlformats.org/officeDocument/2006/relationships/hyperlink" Target="https://doi.org/10.2307/4415148" TargetMode="External"/><Relationship Id="rId24" Type="http://schemas.openxmlformats.org/officeDocument/2006/relationships/hyperlink" Target="https://doi.org/10.1177/1018529119855077" TargetMode="External"/><Relationship Id="rId40" Type="http://schemas.openxmlformats.org/officeDocument/2006/relationships/hyperlink" Target="https://doi.org/10.1073/pnas.1909501116" TargetMode="External"/><Relationship Id="rId45" Type="http://schemas.openxmlformats.org/officeDocument/2006/relationships/hyperlink" Target="https://doi.org/10.1016/j.foodpol.2008.10.005" TargetMode="External"/><Relationship Id="rId66" Type="http://schemas.openxmlformats.org/officeDocument/2006/relationships/hyperlink" Target="https://doi.org/10.1111/j.1467-8292.2009.0039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23</Pages>
  <Words>9601</Words>
  <Characters>54729</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1084</cp:lastModifiedBy>
  <cp:revision>19</cp:revision>
  <dcterms:created xsi:type="dcterms:W3CDTF">2026-05-10T20:37:00Z</dcterms:created>
  <dcterms:modified xsi:type="dcterms:W3CDTF">2026-05-13T08:41:00Z</dcterms:modified>
</cp:coreProperties>
</file>