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AE44E" w14:textId="2AB3320F" w:rsidR="00754C9A" w:rsidRDefault="00F65ACB" w:rsidP="00F65ACB">
      <w:pPr>
        <w:pStyle w:val="Title"/>
        <w:spacing w:after="0"/>
        <w:jc w:val="left"/>
        <w:rPr>
          <w:rFonts w:ascii="Arial" w:hAnsi="Arial" w:cs="Arial"/>
          <w:sz w:val="28"/>
          <w:szCs w:val="16"/>
          <w:u w:val="single"/>
        </w:rPr>
      </w:pPr>
      <w:r w:rsidRPr="00F65ACB">
        <w:rPr>
          <w:rFonts w:ascii="Arial" w:hAnsi="Arial" w:cs="Arial"/>
          <w:sz w:val="28"/>
          <w:szCs w:val="16"/>
          <w:u w:val="single"/>
        </w:rPr>
        <w:t>Original Research Article</w:t>
      </w:r>
    </w:p>
    <w:p w14:paraId="44580439" w14:textId="77777777" w:rsidR="00F65ACB" w:rsidRPr="00F65ACB" w:rsidRDefault="00F65ACB" w:rsidP="00F65ACB">
      <w:pPr>
        <w:pStyle w:val="Title"/>
        <w:spacing w:after="0"/>
        <w:jc w:val="left"/>
        <w:rPr>
          <w:rFonts w:ascii="Arial" w:hAnsi="Arial" w:cs="Arial"/>
          <w:sz w:val="28"/>
          <w:szCs w:val="16"/>
          <w:u w:val="single"/>
        </w:rPr>
      </w:pPr>
    </w:p>
    <w:p w14:paraId="22B03573" w14:textId="13C99C24" w:rsidR="00A258C3" w:rsidRDefault="00D84FBF" w:rsidP="00F65ACB">
      <w:pPr>
        <w:pStyle w:val="Author"/>
        <w:spacing w:line="240" w:lineRule="auto"/>
        <w:rPr>
          <w:rFonts w:ascii="Arial" w:hAnsi="Arial" w:cs="Arial"/>
          <w:bCs/>
          <w:color w:val="000000" w:themeColor="text1"/>
          <w:sz w:val="36"/>
          <w:szCs w:val="36"/>
        </w:rPr>
      </w:pPr>
      <w:r w:rsidRPr="00D84FBF">
        <w:rPr>
          <w:rFonts w:ascii="Arial" w:hAnsi="Arial" w:cs="Arial"/>
          <w:bCs/>
          <w:color w:val="000000" w:themeColor="text1"/>
          <w:sz w:val="36"/>
          <w:szCs w:val="36"/>
        </w:rPr>
        <w:t>Nutritional Quality and Aflatoxin Safety of Six Major Fresh Fodder Crops in Somaliland</w:t>
      </w:r>
    </w:p>
    <w:p w14:paraId="0E4B08E8" w14:textId="77777777" w:rsidR="00D84FBF" w:rsidRPr="00790ADA" w:rsidRDefault="00D84FBF" w:rsidP="00F65ACB">
      <w:pPr>
        <w:pStyle w:val="Author"/>
        <w:spacing w:line="240" w:lineRule="auto"/>
        <w:jc w:val="left"/>
        <w:rPr>
          <w:rFonts w:ascii="Arial" w:hAnsi="Arial" w:cs="Arial"/>
          <w:sz w:val="36"/>
        </w:rPr>
      </w:pPr>
    </w:p>
    <w:p w14:paraId="7B8276DC" w14:textId="77777777" w:rsidR="00F26939" w:rsidRDefault="00F26939" w:rsidP="00F65ACB">
      <w:pPr>
        <w:pStyle w:val="Affiliation"/>
        <w:spacing w:after="0" w:line="240" w:lineRule="auto"/>
        <w:jc w:val="left"/>
        <w:rPr>
          <w:rFonts w:ascii="Arial" w:hAnsi="Arial" w:cs="Arial"/>
        </w:rPr>
      </w:pPr>
    </w:p>
    <w:p w14:paraId="74FFA5EE" w14:textId="77777777" w:rsidR="00790ADA" w:rsidRDefault="00790ADA" w:rsidP="00F65ACB">
      <w:pPr>
        <w:pStyle w:val="Affiliation"/>
        <w:spacing w:after="0" w:line="240" w:lineRule="auto"/>
        <w:jc w:val="left"/>
        <w:rPr>
          <w:rFonts w:ascii="Arial" w:hAnsi="Arial" w:cs="Arial"/>
        </w:rPr>
      </w:pPr>
    </w:p>
    <w:p w14:paraId="0E8D9599" w14:textId="77777777" w:rsidR="002C57D2" w:rsidRPr="00FB3A86" w:rsidRDefault="002C57D2" w:rsidP="00F65ACB">
      <w:pPr>
        <w:pStyle w:val="Affiliation"/>
        <w:spacing w:after="0" w:line="240" w:lineRule="auto"/>
        <w:jc w:val="left"/>
        <w:rPr>
          <w:rFonts w:ascii="Arial" w:hAnsi="Arial" w:cs="Arial"/>
        </w:rPr>
      </w:pPr>
    </w:p>
    <w:p w14:paraId="68B0C50E" w14:textId="5211D16C" w:rsidR="00B01FCD" w:rsidRPr="00FB3A86" w:rsidRDefault="008F6283" w:rsidP="00F65ACB">
      <w:pPr>
        <w:pStyle w:val="Copyright"/>
        <w:spacing w:after="0" w:line="240" w:lineRule="auto"/>
        <w:rPr>
          <w:rFonts w:ascii="Arial" w:hAnsi="Arial" w:cs="Arial"/>
        </w:rPr>
        <w:sectPr w:rsidR="00B01FCD" w:rsidRPr="00FB3A86" w:rsidSect="003C0E9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D01A6AB" wp14:editId="341CDB32">
                <wp:extent cx="5303520" cy="635"/>
                <wp:effectExtent l="9525" t="13335" r="11430" b="15240"/>
                <wp:docPr id="16799511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E3F23A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7138947" w14:textId="6FC77BB9" w:rsidR="00790ADA" w:rsidRPr="00FB3A86" w:rsidRDefault="00F65ACB" w:rsidP="00F65ACB">
      <w:pPr>
        <w:pStyle w:val="AbstHead"/>
        <w:spacing w:after="0"/>
        <w:rPr>
          <w:rFonts w:ascii="Arial" w:hAnsi="Arial" w:cs="Arial"/>
        </w:rPr>
      </w:pPr>
      <w:r>
        <w:rPr>
          <w:rFonts w:ascii="Arial" w:hAnsi="Arial" w:cs="Arial"/>
        </w:rPr>
        <w:t>ABSTRACT</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62AF9" w14:paraId="647D9B78" w14:textId="77777777" w:rsidTr="00D62AF9">
        <w:trPr>
          <w:jc w:val="right"/>
        </w:trPr>
        <w:tc>
          <w:tcPr>
            <w:tcW w:w="9576" w:type="dxa"/>
            <w:shd w:val="clear" w:color="auto" w:fill="F2F2F2"/>
          </w:tcPr>
          <w:p w14:paraId="302AE347" w14:textId="295F171D" w:rsidR="000F770C" w:rsidRPr="000F770C" w:rsidRDefault="000F770C" w:rsidP="00F65ACB">
            <w:pPr>
              <w:spacing w:before="120" w:after="120"/>
              <w:rPr>
                <w:rFonts w:ascii="Arial" w:hAnsi="Arial" w:cs="Arial"/>
                <w:b/>
                <w:bCs/>
                <w:i/>
                <w:iCs/>
                <w:sz w:val="22"/>
                <w:szCs w:val="22"/>
              </w:rPr>
            </w:pPr>
            <w:r w:rsidRPr="000F770C">
              <w:rPr>
                <w:rFonts w:ascii="Arial" w:hAnsi="Arial" w:cs="Arial"/>
                <w:b/>
                <w:bCs/>
                <w:i/>
                <w:iCs/>
                <w:sz w:val="22"/>
                <w:szCs w:val="22"/>
              </w:rPr>
              <w:t xml:space="preserve">This study evaluated the proximate composition and aflatoxin contamination of six major fodder crops cultivated under Somaliland conditions to inform livestock feeding strategies and improve production outcomes. The experiment was conducted at the SIAR–ACRET Research Station, </w:t>
            </w:r>
            <w:proofErr w:type="spellStart"/>
            <w:r w:rsidRPr="000F770C">
              <w:rPr>
                <w:rFonts w:ascii="Arial" w:hAnsi="Arial" w:cs="Arial"/>
                <w:b/>
                <w:bCs/>
                <w:i/>
                <w:iCs/>
                <w:sz w:val="22"/>
                <w:szCs w:val="22"/>
              </w:rPr>
              <w:t>Aburin</w:t>
            </w:r>
            <w:proofErr w:type="spellEnd"/>
            <w:r w:rsidRPr="000F770C">
              <w:rPr>
                <w:rFonts w:ascii="Arial" w:hAnsi="Arial" w:cs="Arial"/>
                <w:b/>
                <w:bCs/>
                <w:i/>
                <w:iCs/>
                <w:sz w:val="22"/>
                <w:szCs w:val="22"/>
              </w:rPr>
              <w:t xml:space="preserve"> </w:t>
            </w:r>
            <w:proofErr w:type="spellStart"/>
            <w:r w:rsidRPr="000F770C">
              <w:rPr>
                <w:rFonts w:ascii="Arial" w:hAnsi="Arial" w:cs="Arial"/>
                <w:b/>
                <w:bCs/>
                <w:i/>
                <w:iCs/>
                <w:sz w:val="22"/>
                <w:szCs w:val="22"/>
              </w:rPr>
              <w:t>Faraweyne</w:t>
            </w:r>
            <w:proofErr w:type="spellEnd"/>
            <w:r w:rsidRPr="000F770C">
              <w:rPr>
                <w:rFonts w:ascii="Arial" w:hAnsi="Arial" w:cs="Arial"/>
                <w:b/>
                <w:bCs/>
                <w:i/>
                <w:iCs/>
                <w:sz w:val="22"/>
                <w:szCs w:val="22"/>
              </w:rPr>
              <w:t xml:space="preserve"> District, from 2024 to 2025, with laboratory analyses performed at the Somaliland Quality Control Commission (SQCC). Six species—</w:t>
            </w:r>
            <w:proofErr w:type="spellStart"/>
            <w:r w:rsidRPr="000F770C">
              <w:rPr>
                <w:rFonts w:ascii="Arial" w:hAnsi="Arial" w:cs="Arial"/>
                <w:b/>
                <w:bCs/>
                <w:i/>
                <w:iCs/>
                <w:sz w:val="22"/>
                <w:szCs w:val="22"/>
              </w:rPr>
              <w:t>Cenchrus</w:t>
            </w:r>
            <w:proofErr w:type="spellEnd"/>
            <w:r w:rsidRPr="000F770C">
              <w:rPr>
                <w:rFonts w:ascii="Arial" w:hAnsi="Arial" w:cs="Arial"/>
                <w:b/>
                <w:bCs/>
                <w:i/>
                <w:iCs/>
                <w:sz w:val="22"/>
                <w:szCs w:val="22"/>
              </w:rPr>
              <w:t xml:space="preserve"> </w:t>
            </w:r>
            <w:proofErr w:type="spellStart"/>
            <w:r w:rsidRPr="000F770C">
              <w:rPr>
                <w:rFonts w:ascii="Arial" w:hAnsi="Arial" w:cs="Arial"/>
                <w:b/>
                <w:bCs/>
                <w:i/>
                <w:iCs/>
                <w:sz w:val="22"/>
                <w:szCs w:val="22"/>
              </w:rPr>
              <w:t>ciliaris</w:t>
            </w:r>
            <w:proofErr w:type="spellEnd"/>
            <w:r w:rsidRPr="000F770C">
              <w:rPr>
                <w:rFonts w:ascii="Arial" w:hAnsi="Arial" w:cs="Arial"/>
                <w:b/>
                <w:bCs/>
                <w:i/>
                <w:iCs/>
                <w:sz w:val="22"/>
                <w:szCs w:val="22"/>
              </w:rPr>
              <w:t xml:space="preserve"> (</w:t>
            </w:r>
            <w:proofErr w:type="spellStart"/>
            <w:r w:rsidRPr="000F770C">
              <w:rPr>
                <w:rFonts w:ascii="Arial" w:hAnsi="Arial" w:cs="Arial"/>
                <w:b/>
                <w:bCs/>
                <w:i/>
                <w:iCs/>
                <w:sz w:val="22"/>
                <w:szCs w:val="22"/>
              </w:rPr>
              <w:t>buffel</w:t>
            </w:r>
            <w:proofErr w:type="spellEnd"/>
            <w:r w:rsidRPr="000F770C">
              <w:rPr>
                <w:rFonts w:ascii="Arial" w:hAnsi="Arial" w:cs="Arial"/>
                <w:b/>
                <w:bCs/>
                <w:i/>
                <w:iCs/>
                <w:sz w:val="22"/>
                <w:szCs w:val="22"/>
              </w:rPr>
              <w:t xml:space="preserve"> grass), Panicum </w:t>
            </w:r>
            <w:proofErr w:type="spellStart"/>
            <w:r w:rsidRPr="000F770C">
              <w:rPr>
                <w:rFonts w:ascii="Arial" w:hAnsi="Arial" w:cs="Arial"/>
                <w:b/>
                <w:bCs/>
                <w:i/>
                <w:iCs/>
                <w:sz w:val="22"/>
                <w:szCs w:val="22"/>
              </w:rPr>
              <w:t>antidotale</w:t>
            </w:r>
            <w:proofErr w:type="spellEnd"/>
            <w:r w:rsidRPr="000F770C">
              <w:rPr>
                <w:rFonts w:ascii="Arial" w:hAnsi="Arial" w:cs="Arial"/>
                <w:b/>
                <w:bCs/>
                <w:i/>
                <w:iCs/>
                <w:sz w:val="22"/>
                <w:szCs w:val="22"/>
              </w:rPr>
              <w:t xml:space="preserve"> (blue panic), </w:t>
            </w:r>
            <w:proofErr w:type="spellStart"/>
            <w:r w:rsidRPr="000F770C">
              <w:rPr>
                <w:rFonts w:ascii="Arial" w:hAnsi="Arial" w:cs="Arial"/>
                <w:b/>
                <w:bCs/>
                <w:i/>
                <w:iCs/>
                <w:sz w:val="22"/>
                <w:szCs w:val="22"/>
              </w:rPr>
              <w:t>Urochloa</w:t>
            </w:r>
            <w:proofErr w:type="spellEnd"/>
            <w:r w:rsidRPr="000F770C">
              <w:rPr>
                <w:rFonts w:ascii="Arial" w:hAnsi="Arial" w:cs="Arial"/>
                <w:b/>
                <w:bCs/>
                <w:i/>
                <w:iCs/>
                <w:sz w:val="22"/>
                <w:szCs w:val="22"/>
              </w:rPr>
              <w:t xml:space="preserve"> hybrid cv. </w:t>
            </w:r>
            <w:proofErr w:type="spellStart"/>
            <w:r w:rsidRPr="000F770C">
              <w:rPr>
                <w:rFonts w:ascii="Arial" w:hAnsi="Arial" w:cs="Arial"/>
                <w:b/>
                <w:bCs/>
                <w:i/>
                <w:iCs/>
                <w:sz w:val="22"/>
                <w:szCs w:val="22"/>
              </w:rPr>
              <w:t>Mulato</w:t>
            </w:r>
            <w:proofErr w:type="spellEnd"/>
            <w:r w:rsidRPr="000F770C">
              <w:rPr>
                <w:rFonts w:ascii="Arial" w:hAnsi="Arial" w:cs="Arial"/>
                <w:b/>
                <w:bCs/>
                <w:i/>
                <w:iCs/>
                <w:sz w:val="22"/>
                <w:szCs w:val="22"/>
              </w:rPr>
              <w:t xml:space="preserve"> II, Sorghum </w:t>
            </w:r>
            <w:proofErr w:type="spellStart"/>
            <w:r w:rsidRPr="000F770C">
              <w:rPr>
                <w:rFonts w:ascii="Arial" w:hAnsi="Arial" w:cs="Arial"/>
                <w:b/>
                <w:bCs/>
                <w:i/>
                <w:iCs/>
                <w:sz w:val="22"/>
                <w:szCs w:val="22"/>
              </w:rPr>
              <w:t>halepense</w:t>
            </w:r>
            <w:proofErr w:type="spellEnd"/>
            <w:r w:rsidRPr="000F770C">
              <w:rPr>
                <w:rFonts w:ascii="Arial" w:hAnsi="Arial" w:cs="Arial"/>
                <w:b/>
                <w:bCs/>
                <w:i/>
                <w:iCs/>
                <w:sz w:val="22"/>
                <w:szCs w:val="22"/>
              </w:rPr>
              <w:t xml:space="preserve"> (Johnson grass), </w:t>
            </w:r>
            <w:proofErr w:type="spellStart"/>
            <w:r w:rsidRPr="000F770C">
              <w:rPr>
                <w:rFonts w:ascii="Arial" w:hAnsi="Arial" w:cs="Arial"/>
                <w:b/>
                <w:bCs/>
                <w:i/>
                <w:iCs/>
                <w:sz w:val="22"/>
                <w:szCs w:val="22"/>
              </w:rPr>
              <w:t>Cenchrus</w:t>
            </w:r>
            <w:proofErr w:type="spellEnd"/>
            <w:r w:rsidRPr="000F770C">
              <w:rPr>
                <w:rFonts w:ascii="Arial" w:hAnsi="Arial" w:cs="Arial"/>
                <w:b/>
                <w:bCs/>
                <w:i/>
                <w:iCs/>
                <w:sz w:val="22"/>
                <w:szCs w:val="22"/>
              </w:rPr>
              <w:t xml:space="preserve"> purpureus (Napier grass), and Lablab purpureus (lablab)—were grown under uniform agronomic conditions and harvested at 60 days.</w:t>
            </w:r>
          </w:p>
          <w:p w14:paraId="46AA0618" w14:textId="412BEAE5" w:rsidR="000F770C" w:rsidRPr="000F770C" w:rsidRDefault="000F770C" w:rsidP="00F65ACB">
            <w:pPr>
              <w:spacing w:before="120" w:after="120"/>
              <w:rPr>
                <w:rFonts w:ascii="Arial" w:hAnsi="Arial" w:cs="Arial"/>
                <w:b/>
                <w:bCs/>
                <w:i/>
                <w:iCs/>
                <w:sz w:val="22"/>
                <w:szCs w:val="22"/>
              </w:rPr>
            </w:pPr>
            <w:r w:rsidRPr="000F770C">
              <w:rPr>
                <w:rFonts w:ascii="Arial" w:hAnsi="Arial" w:cs="Arial"/>
                <w:b/>
                <w:bCs/>
                <w:i/>
                <w:iCs/>
                <w:sz w:val="22"/>
                <w:szCs w:val="22"/>
              </w:rPr>
              <w:t>Samples were analyzed using ISO-standard methods for moisture, ash, crude protein, crude fiber, and crude fat, while metabolizable energy (ME) was estimated on a dry matter (DM) basis. Total aflatoxins (B</w:t>
            </w:r>
            <w:r w:rsidRPr="000F770C">
              <w:rPr>
                <w:rFonts w:ascii="Cambria Math" w:hAnsi="Cambria Math" w:cs="Cambria Math"/>
                <w:b/>
                <w:bCs/>
                <w:i/>
                <w:iCs/>
                <w:sz w:val="22"/>
                <w:szCs w:val="22"/>
              </w:rPr>
              <w:t>₁</w:t>
            </w:r>
            <w:r w:rsidRPr="000F770C">
              <w:rPr>
                <w:rFonts w:ascii="Arial" w:hAnsi="Arial" w:cs="Arial"/>
                <w:b/>
                <w:bCs/>
                <w:i/>
                <w:iCs/>
                <w:sz w:val="22"/>
                <w:szCs w:val="22"/>
              </w:rPr>
              <w:t>, B</w:t>
            </w:r>
            <w:r w:rsidRPr="000F770C">
              <w:rPr>
                <w:rFonts w:ascii="Cambria Math" w:hAnsi="Cambria Math" w:cs="Cambria Math"/>
                <w:b/>
                <w:bCs/>
                <w:i/>
                <w:iCs/>
                <w:sz w:val="22"/>
                <w:szCs w:val="22"/>
              </w:rPr>
              <w:t>₂</w:t>
            </w:r>
            <w:r w:rsidRPr="000F770C">
              <w:rPr>
                <w:rFonts w:ascii="Arial" w:hAnsi="Arial" w:cs="Arial"/>
                <w:b/>
                <w:bCs/>
                <w:i/>
                <w:iCs/>
                <w:sz w:val="22"/>
                <w:szCs w:val="22"/>
              </w:rPr>
              <w:t>, G</w:t>
            </w:r>
            <w:r w:rsidRPr="000F770C">
              <w:rPr>
                <w:rFonts w:ascii="Cambria Math" w:hAnsi="Cambria Math" w:cs="Cambria Math"/>
                <w:b/>
                <w:bCs/>
                <w:i/>
                <w:iCs/>
                <w:sz w:val="22"/>
                <w:szCs w:val="22"/>
              </w:rPr>
              <w:t>₁</w:t>
            </w:r>
            <w:r w:rsidRPr="000F770C">
              <w:rPr>
                <w:rFonts w:ascii="Arial" w:hAnsi="Arial" w:cs="Arial"/>
                <w:b/>
                <w:bCs/>
                <w:i/>
                <w:iCs/>
                <w:sz w:val="22"/>
                <w:szCs w:val="22"/>
              </w:rPr>
              <w:t>, G</w:t>
            </w:r>
            <w:r w:rsidRPr="000F770C">
              <w:rPr>
                <w:rFonts w:ascii="Cambria Math" w:hAnsi="Cambria Math" w:cs="Cambria Math"/>
                <w:b/>
                <w:bCs/>
                <w:i/>
                <w:iCs/>
                <w:sz w:val="22"/>
                <w:szCs w:val="22"/>
              </w:rPr>
              <w:t>₂</w:t>
            </w:r>
            <w:r w:rsidRPr="000F770C">
              <w:rPr>
                <w:rFonts w:ascii="Arial" w:hAnsi="Arial" w:cs="Arial"/>
                <w:b/>
                <w:bCs/>
                <w:i/>
                <w:iCs/>
                <w:sz w:val="22"/>
                <w:szCs w:val="22"/>
              </w:rPr>
              <w:t>) were determined using immunoaffinity column cleanup followed by HPLC (ISO 16050).</w:t>
            </w:r>
          </w:p>
          <w:p w14:paraId="5C9863C2" w14:textId="1FA5C225" w:rsidR="000F770C" w:rsidRPr="000F770C" w:rsidRDefault="000F770C" w:rsidP="00F65ACB">
            <w:pPr>
              <w:spacing w:before="120" w:after="120"/>
              <w:rPr>
                <w:rFonts w:ascii="Arial" w:hAnsi="Arial" w:cs="Arial"/>
                <w:b/>
                <w:bCs/>
                <w:i/>
                <w:iCs/>
                <w:sz w:val="22"/>
                <w:szCs w:val="22"/>
              </w:rPr>
            </w:pPr>
            <w:r w:rsidRPr="000F770C">
              <w:rPr>
                <w:rFonts w:ascii="Arial" w:hAnsi="Arial" w:cs="Arial"/>
                <w:b/>
                <w:bCs/>
                <w:i/>
                <w:iCs/>
                <w:sz w:val="22"/>
                <w:szCs w:val="22"/>
              </w:rPr>
              <w:t xml:space="preserve">Significant variation in nutritional composition was observed among species. Napier grass and lablab recorded the highest crude protein (29.90% and 28.73%, respectively) and metabolizable energy (165.96 and 163.53 kcal/kg DM), whereas </w:t>
            </w:r>
            <w:proofErr w:type="spellStart"/>
            <w:r w:rsidRPr="000F770C">
              <w:rPr>
                <w:rFonts w:ascii="Arial" w:hAnsi="Arial" w:cs="Arial"/>
                <w:b/>
                <w:bCs/>
                <w:i/>
                <w:iCs/>
                <w:sz w:val="22"/>
                <w:szCs w:val="22"/>
              </w:rPr>
              <w:t>buffel</w:t>
            </w:r>
            <w:proofErr w:type="spellEnd"/>
            <w:r w:rsidRPr="000F770C">
              <w:rPr>
                <w:rFonts w:ascii="Arial" w:hAnsi="Arial" w:cs="Arial"/>
                <w:b/>
                <w:bCs/>
                <w:i/>
                <w:iCs/>
                <w:sz w:val="22"/>
                <w:szCs w:val="22"/>
              </w:rPr>
              <w:t xml:space="preserve"> and Johnson grasses exhibited higher fiber (&gt;5.3%) and comparatively lower protein levels. Aflatoxin concentrations were below the detection limit (&lt;1 µg/kg) in five species, with only Johnson grass showing a low level (1.63 µg/kg), well within international safety thresholds.</w:t>
            </w:r>
          </w:p>
          <w:p w14:paraId="18FAB1A4" w14:textId="311D62A1" w:rsidR="00AB2103" w:rsidRPr="00D62AF9" w:rsidRDefault="000F770C" w:rsidP="00F65ACB">
            <w:pPr>
              <w:spacing w:before="120" w:after="120"/>
              <w:rPr>
                <w:rFonts w:ascii="Arial" w:hAnsi="Arial" w:cs="Arial"/>
                <w:b/>
                <w:bCs/>
                <w:i/>
                <w:iCs/>
                <w:sz w:val="22"/>
                <w:szCs w:val="22"/>
              </w:rPr>
            </w:pPr>
            <w:r w:rsidRPr="000F770C">
              <w:rPr>
                <w:rFonts w:ascii="Arial" w:hAnsi="Arial" w:cs="Arial"/>
                <w:b/>
                <w:bCs/>
                <w:i/>
                <w:iCs/>
                <w:sz w:val="22"/>
                <w:szCs w:val="22"/>
              </w:rPr>
              <w:t>These findings identify Napier grass and lablab as high-quality, protein- and energy-rich fodders suitable for livestock finishing, while confirming minimal mycotoxin risk across all tested forages. Further research should evaluate seasonal variability, storage effects, and on-farm performance.</w:t>
            </w:r>
          </w:p>
        </w:tc>
      </w:tr>
    </w:tbl>
    <w:p w14:paraId="41C241F4" w14:textId="77777777" w:rsidR="00636EB2" w:rsidRDefault="00636EB2" w:rsidP="00F65ACB">
      <w:pPr>
        <w:pStyle w:val="Body"/>
        <w:spacing w:after="0"/>
        <w:jc w:val="left"/>
        <w:rPr>
          <w:rFonts w:ascii="Arial" w:hAnsi="Arial" w:cs="Arial"/>
          <w:i/>
        </w:rPr>
      </w:pPr>
    </w:p>
    <w:p w14:paraId="2CBB8F37" w14:textId="6CE22D3B" w:rsidR="00505F06" w:rsidRDefault="00A24E7E" w:rsidP="00F65ACB">
      <w:pPr>
        <w:pStyle w:val="Body"/>
        <w:spacing w:after="0"/>
        <w:jc w:val="left"/>
        <w:rPr>
          <w:rFonts w:ascii="Arial" w:hAnsi="Arial" w:cs="Arial"/>
          <w:i/>
        </w:rPr>
      </w:pPr>
      <w:r w:rsidRPr="00D62AF9">
        <w:rPr>
          <w:rFonts w:ascii="Arial" w:hAnsi="Arial" w:cs="Arial"/>
          <w:i/>
        </w:rPr>
        <w:t xml:space="preserve">Keywords: </w:t>
      </w:r>
      <w:r w:rsidR="00155195" w:rsidRPr="00155195">
        <w:rPr>
          <w:rFonts w:ascii="Arial" w:hAnsi="Arial" w:cs="Arial"/>
          <w:i/>
        </w:rPr>
        <w:t>Aflatoxin, Fodder quality, Livestock nutrition, Proximate analysis, Somaliland</w:t>
      </w:r>
      <w:r w:rsidR="000F770C">
        <w:rPr>
          <w:rFonts w:ascii="Arial" w:hAnsi="Arial" w:cs="Arial"/>
          <w:i/>
        </w:rPr>
        <w:t xml:space="preserve">, </w:t>
      </w:r>
      <w:r w:rsidR="000F770C" w:rsidRPr="00155195">
        <w:rPr>
          <w:rFonts w:ascii="Arial" w:hAnsi="Arial" w:cs="Arial"/>
          <w:i/>
        </w:rPr>
        <w:t>SIAR</w:t>
      </w:r>
      <w:r w:rsidR="00155195" w:rsidRPr="00155195">
        <w:rPr>
          <w:rFonts w:ascii="Arial" w:hAnsi="Arial" w:cs="Arial"/>
          <w:i/>
        </w:rPr>
        <w:t xml:space="preserve"> </w:t>
      </w:r>
    </w:p>
    <w:p w14:paraId="45D9E722" w14:textId="77777777" w:rsidR="00BF084F" w:rsidRPr="00A24E7E" w:rsidRDefault="00BF084F" w:rsidP="00F65ACB">
      <w:pPr>
        <w:pStyle w:val="Body"/>
        <w:spacing w:after="0"/>
        <w:jc w:val="left"/>
        <w:rPr>
          <w:rFonts w:ascii="Arial" w:hAnsi="Arial" w:cs="Arial"/>
          <w:i/>
        </w:rPr>
      </w:pPr>
    </w:p>
    <w:p w14:paraId="32720294" w14:textId="6F4C83C5" w:rsidR="007F7B32" w:rsidRDefault="00902823" w:rsidP="00F65ACB">
      <w:pPr>
        <w:pStyle w:val="AbstHead"/>
        <w:spacing w:after="0"/>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5AD9BA2F" w14:textId="77777777" w:rsidR="00790ADA" w:rsidRPr="00FB3A86" w:rsidRDefault="00790ADA" w:rsidP="00F65ACB">
      <w:pPr>
        <w:pStyle w:val="AbstHead"/>
        <w:spacing w:after="0"/>
        <w:rPr>
          <w:rFonts w:ascii="Arial" w:hAnsi="Arial" w:cs="Arial"/>
        </w:rPr>
      </w:pPr>
    </w:p>
    <w:p w14:paraId="675DAC37" w14:textId="77777777" w:rsidR="000F770C" w:rsidRPr="000F770C" w:rsidRDefault="000F770C" w:rsidP="00F65ACB">
      <w:pPr>
        <w:spacing w:before="120" w:after="120"/>
        <w:rPr>
          <w:rFonts w:ascii="Arial" w:hAnsi="Arial" w:cs="Arial"/>
          <w:color w:val="000000"/>
        </w:rPr>
      </w:pPr>
      <w:r w:rsidRPr="000F770C">
        <w:rPr>
          <w:rFonts w:ascii="Arial" w:hAnsi="Arial" w:cs="Arial"/>
          <w:color w:val="000000"/>
        </w:rPr>
        <w:t>Livestock production remains the dominant economic sector in Somaliland, contributing substantially to national income, food security, and rural livelihoods. Recent government statistics indicate that over 2.56 million live animals were exported within the first half of 2025 alone [1]. The productivity, health status, and market value of these animals are strongly influenced by the availability of nutritionally adequate and safe feed resources.</w:t>
      </w:r>
    </w:p>
    <w:p w14:paraId="3C0EDFB0" w14:textId="77777777" w:rsidR="000F770C" w:rsidRPr="000F770C" w:rsidRDefault="000F770C" w:rsidP="00F65ACB">
      <w:pPr>
        <w:spacing w:before="120" w:after="120"/>
        <w:rPr>
          <w:rFonts w:ascii="Arial" w:hAnsi="Arial" w:cs="Arial"/>
          <w:color w:val="000000"/>
        </w:rPr>
      </w:pPr>
      <w:r w:rsidRPr="000F770C">
        <w:rPr>
          <w:rFonts w:ascii="Arial" w:hAnsi="Arial" w:cs="Arial"/>
          <w:color w:val="000000"/>
        </w:rPr>
        <w:t>In semi-arid regions such as Somaliland, natural rangelands are increasingly unreliable due to recurrent droughts, land degradation, and seasonal variability in biomass production. Consequently, the cultivation of improved fodder crops has gained attention as a sustainable strategy to enhance feed availability, stabilize livestock production systems, and improve export quality [2,3].</w:t>
      </w:r>
    </w:p>
    <w:p w14:paraId="4E898BF5" w14:textId="77777777" w:rsidR="000F770C" w:rsidRPr="000F770C" w:rsidRDefault="000F770C" w:rsidP="00F65ACB">
      <w:pPr>
        <w:spacing w:before="120" w:after="120"/>
        <w:rPr>
          <w:rFonts w:ascii="Arial" w:hAnsi="Arial" w:cs="Arial"/>
          <w:color w:val="000000"/>
        </w:rPr>
      </w:pPr>
      <w:r w:rsidRPr="000F770C">
        <w:rPr>
          <w:rFonts w:ascii="Arial" w:hAnsi="Arial" w:cs="Arial"/>
          <w:color w:val="000000"/>
        </w:rPr>
        <w:t>The nutritional value of fodder is primarily determined by its proximate composition, particularly crude protein, fiber fractions, and metabolizable energy, which collectively influence intake, digestibility, and animal performance [4]. High-protein forages are especially critical for supporting rumen microbial activity and improving growth rates in small ruminants destined for export markets.</w:t>
      </w:r>
    </w:p>
    <w:p w14:paraId="403499C6" w14:textId="77777777" w:rsidR="000F770C" w:rsidRPr="000F770C" w:rsidRDefault="000F770C" w:rsidP="00F65ACB">
      <w:pPr>
        <w:spacing w:before="120" w:after="120"/>
        <w:rPr>
          <w:rFonts w:ascii="Arial" w:hAnsi="Arial" w:cs="Arial"/>
          <w:color w:val="000000"/>
        </w:rPr>
      </w:pPr>
      <w:r w:rsidRPr="000F770C">
        <w:rPr>
          <w:rFonts w:ascii="Arial" w:hAnsi="Arial" w:cs="Arial"/>
          <w:color w:val="000000"/>
        </w:rPr>
        <w:t>In addition to nutritional quality, feed safety has become a major concern in livestock production systems. Mycotoxins, particularly aflatoxins produced by Aspergillus species, are among the most important contaminants affecting feed and food safety globally [5,6]. These toxins can impair animal health, reduce productivity, and pose serious risks to international trade due to strict regulatory limits [7].</w:t>
      </w:r>
    </w:p>
    <w:p w14:paraId="2D627756" w14:textId="77777777" w:rsidR="000F770C" w:rsidRPr="000F770C" w:rsidRDefault="000F770C" w:rsidP="00F65ACB">
      <w:pPr>
        <w:spacing w:before="120" w:after="120"/>
        <w:rPr>
          <w:rFonts w:ascii="Arial" w:hAnsi="Arial" w:cs="Arial"/>
          <w:color w:val="000000"/>
        </w:rPr>
      </w:pPr>
      <w:r w:rsidRPr="000F770C">
        <w:rPr>
          <w:rFonts w:ascii="Arial" w:hAnsi="Arial" w:cs="Arial"/>
          <w:color w:val="000000"/>
        </w:rPr>
        <w:t xml:space="preserve">A range of fodder species with varying agronomic and nutritional characteristics are currently promoted in semi-arid production systems. These include drought-tolerant grasses such as Cenchrus ciliaris and Panicum antidotale, improved hybrids like </w:t>
      </w:r>
      <w:proofErr w:type="spellStart"/>
      <w:r w:rsidRPr="000F770C">
        <w:rPr>
          <w:rFonts w:ascii="Arial" w:hAnsi="Arial" w:cs="Arial"/>
          <w:color w:val="000000"/>
        </w:rPr>
        <w:t>Urochloa</w:t>
      </w:r>
      <w:proofErr w:type="spellEnd"/>
      <w:r w:rsidRPr="000F770C">
        <w:rPr>
          <w:rFonts w:ascii="Arial" w:hAnsi="Arial" w:cs="Arial"/>
          <w:color w:val="000000"/>
        </w:rPr>
        <w:t xml:space="preserve"> cv. Mulato II, high-biomass species such as Cenchrus purpureus, and protein-rich legumes like Lablab purpureus. Their key agronomic traits, nutritional benchmarks, and relevance to semi-arid systems are summarized in Table 1.</w:t>
      </w:r>
    </w:p>
    <w:p w14:paraId="60E48358" w14:textId="77777777" w:rsidR="000F770C" w:rsidRPr="000F770C" w:rsidRDefault="000F770C" w:rsidP="00F65ACB">
      <w:pPr>
        <w:spacing w:before="120" w:after="120"/>
        <w:rPr>
          <w:rFonts w:ascii="Arial" w:hAnsi="Arial" w:cs="Arial"/>
          <w:color w:val="000000"/>
        </w:rPr>
      </w:pPr>
      <w:r w:rsidRPr="000F770C">
        <w:rPr>
          <w:rFonts w:ascii="Arial" w:hAnsi="Arial" w:cs="Arial"/>
          <w:color w:val="000000"/>
        </w:rPr>
        <w:t xml:space="preserve">Despite their potential, there is limited locally generated data on the comparative nutritional quality and safety of these fodder crops under Somaliland conditions. Most available information is derived from other </w:t>
      </w:r>
      <w:proofErr w:type="spellStart"/>
      <w:r w:rsidRPr="000F770C">
        <w:rPr>
          <w:rFonts w:ascii="Arial" w:hAnsi="Arial" w:cs="Arial"/>
          <w:color w:val="000000"/>
        </w:rPr>
        <w:t>agro</w:t>
      </w:r>
      <w:proofErr w:type="spellEnd"/>
      <w:r w:rsidRPr="000F770C">
        <w:rPr>
          <w:rFonts w:ascii="Arial" w:hAnsi="Arial" w:cs="Arial"/>
          <w:color w:val="000000"/>
        </w:rPr>
        <w:t>-ecological zones, which may not accurately reflect local performance.</w:t>
      </w:r>
    </w:p>
    <w:p w14:paraId="61B33173" w14:textId="1DE4D320" w:rsidR="00790ADA" w:rsidRDefault="00270ED7" w:rsidP="00F65ACB">
      <w:pPr>
        <w:spacing w:before="120" w:after="120"/>
        <w:rPr>
          <w:rFonts w:ascii="Arial" w:hAnsi="Arial" w:cs="Arial"/>
          <w:color w:val="000000"/>
        </w:rPr>
      </w:pPr>
      <w:r w:rsidRPr="00270ED7">
        <w:rPr>
          <w:rFonts w:ascii="Arial" w:hAnsi="Arial" w:cs="Arial"/>
          <w:color w:val="000000"/>
        </w:rPr>
        <w:t>This study aimed to comprehensively evaluate the nutritional quality and safety of six major fodder crops cultivated under Somaliland conditions by determining their proximate composition (moisture, ash, crude protein, crude fiber, and crude fat), estimating metabolizable energy on a dry matter basis, and assessing total aflatoxin contamination, in order to generate evidence-based recommendations for improving livestock feeding strategies and supporting export-oriented production systems.</w:t>
      </w:r>
      <w:r>
        <w:rPr>
          <w:rFonts w:ascii="Arial" w:hAnsi="Arial" w:cs="Arial"/>
          <w:color w:val="000000"/>
        </w:rPr>
        <w:t xml:space="preserve"> </w:t>
      </w:r>
      <w:r w:rsidR="000F770C" w:rsidRPr="000F770C">
        <w:rPr>
          <w:rFonts w:ascii="Arial" w:hAnsi="Arial" w:cs="Arial"/>
          <w:color w:val="000000"/>
        </w:rPr>
        <w:t>The findings aim to support improved fodder utilization, enhance livestock productivity, and strengthen Somaliland’s livestock export sector.</w:t>
      </w:r>
    </w:p>
    <w:p w14:paraId="4CA9A2F1"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Table 1. Agronomic characteristics, nutritional benchmarks, and documented relevance of selected fodder species for semi-arid livestock systems</w:t>
      </w:r>
    </w:p>
    <w:tbl>
      <w:tblPr>
        <w:tblW w:w="0" w:type="auto"/>
        <w:tblLook w:val="04A0" w:firstRow="1" w:lastRow="0" w:firstColumn="1" w:lastColumn="0" w:noHBand="0" w:noVBand="1"/>
      </w:tblPr>
      <w:tblGrid>
        <w:gridCol w:w="1281"/>
        <w:gridCol w:w="1261"/>
        <w:gridCol w:w="1558"/>
        <w:gridCol w:w="964"/>
        <w:gridCol w:w="1824"/>
        <w:gridCol w:w="1320"/>
      </w:tblGrid>
      <w:tr w:rsidR="00270ED7" w:rsidRPr="00270ED7" w14:paraId="705205D5" w14:textId="77777777" w:rsidTr="00270ED7">
        <w:trPr>
          <w:trHeight w:val="1034"/>
        </w:trPr>
        <w:tc>
          <w:tcPr>
            <w:tcW w:w="0" w:type="auto"/>
            <w:tcBorders>
              <w:top w:val="single" w:sz="4" w:space="0" w:color="auto"/>
              <w:bottom w:val="single" w:sz="4" w:space="0" w:color="auto"/>
            </w:tcBorders>
            <w:hideMark/>
          </w:tcPr>
          <w:p w14:paraId="22DCCD0C" w14:textId="77777777" w:rsidR="00270ED7" w:rsidRPr="00270ED7" w:rsidRDefault="00270ED7" w:rsidP="00F65ACB">
            <w:pPr>
              <w:spacing w:before="120" w:after="120"/>
              <w:rPr>
                <w:rFonts w:ascii="Arial" w:hAnsi="Arial" w:cs="Arial"/>
                <w:b/>
                <w:bCs/>
                <w:color w:val="000000"/>
              </w:rPr>
            </w:pPr>
            <w:r w:rsidRPr="00270ED7">
              <w:rPr>
                <w:rFonts w:ascii="Arial" w:hAnsi="Arial" w:cs="Arial"/>
                <w:b/>
                <w:bCs/>
                <w:color w:val="000000"/>
              </w:rPr>
              <w:t>Species</w:t>
            </w:r>
          </w:p>
        </w:tc>
        <w:tc>
          <w:tcPr>
            <w:tcW w:w="0" w:type="auto"/>
            <w:tcBorders>
              <w:top w:val="single" w:sz="4" w:space="0" w:color="auto"/>
              <w:bottom w:val="single" w:sz="4" w:space="0" w:color="auto"/>
            </w:tcBorders>
            <w:hideMark/>
          </w:tcPr>
          <w:p w14:paraId="0BB30281" w14:textId="77777777" w:rsidR="00270ED7" w:rsidRPr="00270ED7" w:rsidRDefault="00270ED7" w:rsidP="00F65ACB">
            <w:pPr>
              <w:spacing w:before="120" w:after="120"/>
              <w:rPr>
                <w:rFonts w:ascii="Arial" w:hAnsi="Arial" w:cs="Arial"/>
                <w:b/>
                <w:bCs/>
                <w:color w:val="000000"/>
              </w:rPr>
            </w:pPr>
            <w:r w:rsidRPr="00270ED7">
              <w:rPr>
                <w:rFonts w:ascii="Arial" w:hAnsi="Arial" w:cs="Arial"/>
                <w:b/>
                <w:bCs/>
                <w:color w:val="000000"/>
              </w:rPr>
              <w:t>Functional group</w:t>
            </w:r>
          </w:p>
        </w:tc>
        <w:tc>
          <w:tcPr>
            <w:tcW w:w="0" w:type="auto"/>
            <w:tcBorders>
              <w:top w:val="single" w:sz="4" w:space="0" w:color="auto"/>
              <w:bottom w:val="single" w:sz="4" w:space="0" w:color="auto"/>
            </w:tcBorders>
            <w:hideMark/>
          </w:tcPr>
          <w:p w14:paraId="6D73CABB" w14:textId="77777777" w:rsidR="00270ED7" w:rsidRPr="00270ED7" w:rsidRDefault="00270ED7" w:rsidP="00F65ACB">
            <w:pPr>
              <w:spacing w:before="120" w:after="120"/>
              <w:rPr>
                <w:rFonts w:ascii="Arial" w:hAnsi="Arial" w:cs="Arial"/>
                <w:b/>
                <w:bCs/>
                <w:color w:val="000000"/>
              </w:rPr>
            </w:pPr>
            <w:r w:rsidRPr="00270ED7">
              <w:rPr>
                <w:rFonts w:ascii="Arial" w:hAnsi="Arial" w:cs="Arial"/>
                <w:b/>
                <w:bCs/>
                <w:color w:val="000000"/>
              </w:rPr>
              <w:t>Key agronomic traits</w:t>
            </w:r>
          </w:p>
        </w:tc>
        <w:tc>
          <w:tcPr>
            <w:tcW w:w="0" w:type="auto"/>
            <w:tcBorders>
              <w:top w:val="single" w:sz="4" w:space="0" w:color="auto"/>
              <w:bottom w:val="single" w:sz="4" w:space="0" w:color="auto"/>
            </w:tcBorders>
            <w:hideMark/>
          </w:tcPr>
          <w:p w14:paraId="0E3546CC" w14:textId="77777777" w:rsidR="00270ED7" w:rsidRPr="00270ED7" w:rsidRDefault="00270ED7" w:rsidP="00F65ACB">
            <w:pPr>
              <w:spacing w:before="120" w:after="120"/>
              <w:rPr>
                <w:rFonts w:ascii="Arial" w:hAnsi="Arial" w:cs="Arial"/>
                <w:b/>
                <w:bCs/>
                <w:color w:val="000000"/>
              </w:rPr>
            </w:pPr>
            <w:r w:rsidRPr="00270ED7">
              <w:rPr>
                <w:rFonts w:ascii="Arial" w:hAnsi="Arial" w:cs="Arial"/>
                <w:b/>
                <w:bCs/>
                <w:color w:val="000000"/>
              </w:rPr>
              <w:t>Typical crude protein (%)</w:t>
            </w:r>
          </w:p>
        </w:tc>
        <w:tc>
          <w:tcPr>
            <w:tcW w:w="0" w:type="auto"/>
            <w:tcBorders>
              <w:top w:val="single" w:sz="4" w:space="0" w:color="auto"/>
              <w:bottom w:val="single" w:sz="4" w:space="0" w:color="auto"/>
            </w:tcBorders>
            <w:hideMark/>
          </w:tcPr>
          <w:p w14:paraId="2CE9B217" w14:textId="77777777" w:rsidR="00270ED7" w:rsidRPr="00270ED7" w:rsidRDefault="00270ED7" w:rsidP="00F65ACB">
            <w:pPr>
              <w:spacing w:before="120" w:after="120"/>
              <w:rPr>
                <w:rFonts w:ascii="Arial" w:hAnsi="Arial" w:cs="Arial"/>
                <w:b/>
                <w:bCs/>
                <w:color w:val="000000"/>
              </w:rPr>
            </w:pPr>
            <w:r w:rsidRPr="00270ED7">
              <w:rPr>
                <w:rFonts w:ascii="Arial" w:hAnsi="Arial" w:cs="Arial"/>
                <w:b/>
                <w:bCs/>
                <w:color w:val="000000"/>
              </w:rPr>
              <w:t>Production relevance in semi-arid systems</w:t>
            </w:r>
          </w:p>
        </w:tc>
        <w:tc>
          <w:tcPr>
            <w:tcW w:w="0" w:type="auto"/>
            <w:tcBorders>
              <w:top w:val="single" w:sz="4" w:space="0" w:color="auto"/>
              <w:bottom w:val="single" w:sz="4" w:space="0" w:color="auto"/>
            </w:tcBorders>
            <w:hideMark/>
          </w:tcPr>
          <w:p w14:paraId="1C61D5C1" w14:textId="77777777" w:rsidR="00270ED7" w:rsidRPr="00270ED7" w:rsidRDefault="00270ED7" w:rsidP="00F65ACB">
            <w:pPr>
              <w:spacing w:before="120" w:after="120"/>
              <w:rPr>
                <w:rFonts w:ascii="Arial" w:hAnsi="Arial" w:cs="Arial"/>
                <w:b/>
                <w:bCs/>
                <w:color w:val="000000"/>
              </w:rPr>
            </w:pPr>
            <w:r w:rsidRPr="00270ED7">
              <w:rPr>
                <w:rFonts w:ascii="Arial" w:hAnsi="Arial" w:cs="Arial"/>
                <w:b/>
                <w:bCs/>
                <w:color w:val="000000"/>
              </w:rPr>
              <w:t>Supporting references</w:t>
            </w:r>
          </w:p>
        </w:tc>
      </w:tr>
      <w:tr w:rsidR="00270ED7" w:rsidRPr="00270ED7" w14:paraId="5FA21B68" w14:textId="77777777" w:rsidTr="00270ED7">
        <w:tc>
          <w:tcPr>
            <w:tcW w:w="0" w:type="auto"/>
            <w:tcBorders>
              <w:top w:val="single" w:sz="4" w:space="0" w:color="auto"/>
            </w:tcBorders>
            <w:hideMark/>
          </w:tcPr>
          <w:p w14:paraId="15B6A97A" w14:textId="77777777" w:rsidR="00270ED7" w:rsidRPr="00270ED7" w:rsidRDefault="00270ED7" w:rsidP="00F65ACB">
            <w:pPr>
              <w:spacing w:before="120" w:after="120"/>
              <w:rPr>
                <w:rFonts w:ascii="Arial" w:hAnsi="Arial" w:cs="Arial"/>
                <w:color w:val="000000"/>
              </w:rPr>
            </w:pPr>
            <w:r w:rsidRPr="00270ED7">
              <w:rPr>
                <w:rFonts w:ascii="Arial" w:hAnsi="Arial" w:cs="Arial"/>
                <w:i/>
                <w:iCs/>
                <w:color w:val="000000"/>
              </w:rPr>
              <w:lastRenderedPageBreak/>
              <w:t>Cenchrus ciliaris</w:t>
            </w:r>
            <w:r w:rsidRPr="00270ED7">
              <w:rPr>
                <w:rFonts w:ascii="Arial" w:hAnsi="Arial" w:cs="Arial"/>
                <w:color w:val="000000"/>
              </w:rPr>
              <w:t xml:space="preserve"> L.</w:t>
            </w:r>
          </w:p>
        </w:tc>
        <w:tc>
          <w:tcPr>
            <w:tcW w:w="0" w:type="auto"/>
            <w:tcBorders>
              <w:top w:val="single" w:sz="4" w:space="0" w:color="auto"/>
            </w:tcBorders>
            <w:hideMark/>
          </w:tcPr>
          <w:p w14:paraId="1B9072C8"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Perennial grass</w:t>
            </w:r>
          </w:p>
        </w:tc>
        <w:tc>
          <w:tcPr>
            <w:tcW w:w="0" w:type="auto"/>
            <w:tcBorders>
              <w:top w:val="single" w:sz="4" w:space="0" w:color="auto"/>
            </w:tcBorders>
            <w:hideMark/>
          </w:tcPr>
          <w:p w14:paraId="0F9024BF"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Highly drought-tolerant; deep-rooted; persistent under grazing</w:t>
            </w:r>
          </w:p>
        </w:tc>
        <w:tc>
          <w:tcPr>
            <w:tcW w:w="0" w:type="auto"/>
            <w:tcBorders>
              <w:top w:val="single" w:sz="4" w:space="0" w:color="auto"/>
            </w:tcBorders>
            <w:hideMark/>
          </w:tcPr>
          <w:p w14:paraId="27DE6ECF"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8–16</w:t>
            </w:r>
          </w:p>
        </w:tc>
        <w:tc>
          <w:tcPr>
            <w:tcW w:w="0" w:type="auto"/>
            <w:tcBorders>
              <w:top w:val="single" w:sz="4" w:space="0" w:color="auto"/>
            </w:tcBorders>
            <w:hideMark/>
          </w:tcPr>
          <w:p w14:paraId="1B4DB040"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Widely used in rangeland improvement and low-input systems</w:t>
            </w:r>
          </w:p>
        </w:tc>
        <w:tc>
          <w:tcPr>
            <w:tcW w:w="0" w:type="auto"/>
            <w:tcBorders>
              <w:top w:val="single" w:sz="4" w:space="0" w:color="auto"/>
            </w:tcBorders>
            <w:hideMark/>
          </w:tcPr>
          <w:p w14:paraId="0E6F51CF"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[8]</w:t>
            </w:r>
          </w:p>
        </w:tc>
      </w:tr>
      <w:tr w:rsidR="00270ED7" w:rsidRPr="00270ED7" w14:paraId="1BFA1D22" w14:textId="77777777" w:rsidTr="00270ED7">
        <w:tc>
          <w:tcPr>
            <w:tcW w:w="0" w:type="auto"/>
            <w:hideMark/>
          </w:tcPr>
          <w:p w14:paraId="6902613C" w14:textId="77777777" w:rsidR="00270ED7" w:rsidRPr="00270ED7" w:rsidRDefault="00270ED7" w:rsidP="00F65ACB">
            <w:pPr>
              <w:spacing w:before="120" w:after="120"/>
              <w:rPr>
                <w:rFonts w:ascii="Arial" w:hAnsi="Arial" w:cs="Arial"/>
                <w:color w:val="000000"/>
              </w:rPr>
            </w:pPr>
            <w:r w:rsidRPr="00270ED7">
              <w:rPr>
                <w:rFonts w:ascii="Arial" w:hAnsi="Arial" w:cs="Arial"/>
                <w:i/>
                <w:iCs/>
                <w:color w:val="000000"/>
              </w:rPr>
              <w:t>Panicum antidotale</w:t>
            </w:r>
            <w:r w:rsidRPr="00270ED7">
              <w:rPr>
                <w:rFonts w:ascii="Arial" w:hAnsi="Arial" w:cs="Arial"/>
                <w:color w:val="000000"/>
              </w:rPr>
              <w:t xml:space="preserve"> Retz.</w:t>
            </w:r>
          </w:p>
        </w:tc>
        <w:tc>
          <w:tcPr>
            <w:tcW w:w="0" w:type="auto"/>
            <w:hideMark/>
          </w:tcPr>
          <w:p w14:paraId="1B592FB0"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Perennial grass</w:t>
            </w:r>
          </w:p>
        </w:tc>
        <w:tc>
          <w:tcPr>
            <w:tcW w:w="0" w:type="auto"/>
            <w:hideMark/>
          </w:tcPr>
          <w:p w14:paraId="47873433"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Tolerant to salinity and drought; moderate biomass production</w:t>
            </w:r>
          </w:p>
        </w:tc>
        <w:tc>
          <w:tcPr>
            <w:tcW w:w="0" w:type="auto"/>
            <w:hideMark/>
          </w:tcPr>
          <w:p w14:paraId="28EA6A63"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10–18</w:t>
            </w:r>
          </w:p>
        </w:tc>
        <w:tc>
          <w:tcPr>
            <w:tcW w:w="0" w:type="auto"/>
            <w:hideMark/>
          </w:tcPr>
          <w:p w14:paraId="440013FC"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Suitable for marginal soils and saline environments</w:t>
            </w:r>
          </w:p>
        </w:tc>
        <w:tc>
          <w:tcPr>
            <w:tcW w:w="0" w:type="auto"/>
            <w:hideMark/>
          </w:tcPr>
          <w:p w14:paraId="520B70FB"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[9]</w:t>
            </w:r>
          </w:p>
        </w:tc>
      </w:tr>
      <w:tr w:rsidR="00270ED7" w:rsidRPr="00270ED7" w14:paraId="1C6B110D" w14:textId="77777777" w:rsidTr="00270ED7">
        <w:tc>
          <w:tcPr>
            <w:tcW w:w="0" w:type="auto"/>
            <w:hideMark/>
          </w:tcPr>
          <w:p w14:paraId="653C73EC" w14:textId="77777777" w:rsidR="00270ED7" w:rsidRPr="00270ED7" w:rsidRDefault="00270ED7" w:rsidP="00F65ACB">
            <w:pPr>
              <w:spacing w:before="120" w:after="120"/>
              <w:rPr>
                <w:rFonts w:ascii="Arial" w:hAnsi="Arial" w:cs="Arial"/>
                <w:color w:val="000000"/>
              </w:rPr>
            </w:pPr>
            <w:proofErr w:type="spellStart"/>
            <w:r w:rsidRPr="00270ED7">
              <w:rPr>
                <w:rFonts w:ascii="Arial" w:hAnsi="Arial" w:cs="Arial"/>
                <w:i/>
                <w:iCs/>
                <w:color w:val="000000"/>
              </w:rPr>
              <w:t>Urochloa</w:t>
            </w:r>
            <w:proofErr w:type="spellEnd"/>
            <w:r w:rsidRPr="00270ED7">
              <w:rPr>
                <w:rFonts w:ascii="Arial" w:hAnsi="Arial" w:cs="Arial"/>
                <w:i/>
                <w:iCs/>
                <w:color w:val="000000"/>
              </w:rPr>
              <w:t xml:space="preserve"> hybrid</w:t>
            </w:r>
            <w:r w:rsidRPr="00270ED7">
              <w:rPr>
                <w:rFonts w:ascii="Arial" w:hAnsi="Arial" w:cs="Arial"/>
                <w:color w:val="000000"/>
              </w:rPr>
              <w:t xml:space="preserve"> (cv. Mulato II)</w:t>
            </w:r>
          </w:p>
        </w:tc>
        <w:tc>
          <w:tcPr>
            <w:tcW w:w="0" w:type="auto"/>
            <w:hideMark/>
          </w:tcPr>
          <w:p w14:paraId="5B380504"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Improved grass hybrid</w:t>
            </w:r>
          </w:p>
        </w:tc>
        <w:tc>
          <w:tcPr>
            <w:tcW w:w="0" w:type="auto"/>
            <w:hideMark/>
          </w:tcPr>
          <w:p w14:paraId="0F2553F5"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 xml:space="preserve">High digestibility; improved </w:t>
            </w:r>
            <w:proofErr w:type="spellStart"/>
            <w:r w:rsidRPr="00270ED7">
              <w:rPr>
                <w:rFonts w:ascii="Arial" w:hAnsi="Arial" w:cs="Arial"/>
                <w:color w:val="000000"/>
              </w:rPr>
              <w:t>leaf:stem</w:t>
            </w:r>
            <w:proofErr w:type="spellEnd"/>
            <w:r w:rsidRPr="00270ED7">
              <w:rPr>
                <w:rFonts w:ascii="Arial" w:hAnsi="Arial" w:cs="Arial"/>
                <w:color w:val="000000"/>
              </w:rPr>
              <w:t xml:space="preserve"> ratio; responsive to management</w:t>
            </w:r>
          </w:p>
        </w:tc>
        <w:tc>
          <w:tcPr>
            <w:tcW w:w="0" w:type="auto"/>
            <w:hideMark/>
          </w:tcPr>
          <w:p w14:paraId="261287E4"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12–20</w:t>
            </w:r>
          </w:p>
        </w:tc>
        <w:tc>
          <w:tcPr>
            <w:tcW w:w="0" w:type="auto"/>
            <w:hideMark/>
          </w:tcPr>
          <w:p w14:paraId="2FF3FDE9"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Developed for enhanced productivity and forage quality</w:t>
            </w:r>
          </w:p>
        </w:tc>
        <w:tc>
          <w:tcPr>
            <w:tcW w:w="0" w:type="auto"/>
            <w:hideMark/>
          </w:tcPr>
          <w:p w14:paraId="3E60A372"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[10]</w:t>
            </w:r>
          </w:p>
        </w:tc>
      </w:tr>
      <w:tr w:rsidR="00270ED7" w:rsidRPr="00270ED7" w14:paraId="4EB43680" w14:textId="77777777" w:rsidTr="00270ED7">
        <w:tc>
          <w:tcPr>
            <w:tcW w:w="0" w:type="auto"/>
            <w:hideMark/>
          </w:tcPr>
          <w:p w14:paraId="5279E1E2" w14:textId="77777777" w:rsidR="00270ED7" w:rsidRPr="00270ED7" w:rsidRDefault="00270ED7" w:rsidP="00F65ACB">
            <w:pPr>
              <w:spacing w:before="120" w:after="120"/>
              <w:rPr>
                <w:rFonts w:ascii="Arial" w:hAnsi="Arial" w:cs="Arial"/>
                <w:color w:val="000000"/>
              </w:rPr>
            </w:pPr>
            <w:r w:rsidRPr="00270ED7">
              <w:rPr>
                <w:rFonts w:ascii="Arial" w:hAnsi="Arial" w:cs="Arial"/>
                <w:i/>
                <w:iCs/>
                <w:color w:val="000000"/>
              </w:rPr>
              <w:t xml:space="preserve">Sorghum </w:t>
            </w:r>
            <w:proofErr w:type="spellStart"/>
            <w:r w:rsidRPr="00270ED7">
              <w:rPr>
                <w:rFonts w:ascii="Arial" w:hAnsi="Arial" w:cs="Arial"/>
                <w:i/>
                <w:iCs/>
                <w:color w:val="000000"/>
              </w:rPr>
              <w:t>halepense</w:t>
            </w:r>
            <w:proofErr w:type="spellEnd"/>
            <w:r w:rsidRPr="00270ED7">
              <w:rPr>
                <w:rFonts w:ascii="Arial" w:hAnsi="Arial" w:cs="Arial"/>
                <w:color w:val="000000"/>
              </w:rPr>
              <w:t xml:space="preserve"> L.</w:t>
            </w:r>
          </w:p>
        </w:tc>
        <w:tc>
          <w:tcPr>
            <w:tcW w:w="0" w:type="auto"/>
            <w:hideMark/>
          </w:tcPr>
          <w:p w14:paraId="28DB83DA"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Perennial grass</w:t>
            </w:r>
          </w:p>
        </w:tc>
        <w:tc>
          <w:tcPr>
            <w:tcW w:w="0" w:type="auto"/>
            <w:hideMark/>
          </w:tcPr>
          <w:p w14:paraId="085E197E"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Fast-growing; high biomass; adaptable but invasive</w:t>
            </w:r>
          </w:p>
        </w:tc>
        <w:tc>
          <w:tcPr>
            <w:tcW w:w="0" w:type="auto"/>
            <w:hideMark/>
          </w:tcPr>
          <w:p w14:paraId="1D049B57"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8–14</w:t>
            </w:r>
          </w:p>
        </w:tc>
        <w:tc>
          <w:tcPr>
            <w:tcW w:w="0" w:type="auto"/>
            <w:hideMark/>
          </w:tcPr>
          <w:p w14:paraId="54C824A8"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Common in disturbed lands; used for emergency forage</w:t>
            </w:r>
          </w:p>
        </w:tc>
        <w:tc>
          <w:tcPr>
            <w:tcW w:w="0" w:type="auto"/>
            <w:hideMark/>
          </w:tcPr>
          <w:p w14:paraId="1D3328E2"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[11]</w:t>
            </w:r>
          </w:p>
        </w:tc>
      </w:tr>
      <w:tr w:rsidR="00270ED7" w:rsidRPr="00270ED7" w14:paraId="14DE863C" w14:textId="77777777" w:rsidTr="00270ED7">
        <w:tc>
          <w:tcPr>
            <w:tcW w:w="0" w:type="auto"/>
            <w:hideMark/>
          </w:tcPr>
          <w:p w14:paraId="729BA284" w14:textId="77777777" w:rsidR="00270ED7" w:rsidRPr="00270ED7" w:rsidRDefault="00270ED7" w:rsidP="00F65ACB">
            <w:pPr>
              <w:spacing w:before="120" w:after="120"/>
              <w:rPr>
                <w:rFonts w:ascii="Arial" w:hAnsi="Arial" w:cs="Arial"/>
                <w:color w:val="000000"/>
              </w:rPr>
            </w:pPr>
            <w:proofErr w:type="spellStart"/>
            <w:r w:rsidRPr="00270ED7">
              <w:rPr>
                <w:rFonts w:ascii="Arial" w:hAnsi="Arial" w:cs="Arial"/>
                <w:i/>
                <w:iCs/>
                <w:color w:val="000000"/>
              </w:rPr>
              <w:t>Cenchrus</w:t>
            </w:r>
            <w:proofErr w:type="spellEnd"/>
            <w:r w:rsidRPr="00270ED7">
              <w:rPr>
                <w:rFonts w:ascii="Arial" w:hAnsi="Arial" w:cs="Arial"/>
                <w:i/>
                <w:iCs/>
                <w:color w:val="000000"/>
              </w:rPr>
              <w:t xml:space="preserve"> </w:t>
            </w:r>
            <w:proofErr w:type="spellStart"/>
            <w:r w:rsidRPr="00270ED7">
              <w:rPr>
                <w:rFonts w:ascii="Arial" w:hAnsi="Arial" w:cs="Arial"/>
                <w:i/>
                <w:iCs/>
                <w:color w:val="000000"/>
              </w:rPr>
              <w:t>purpureus</w:t>
            </w:r>
            <w:proofErr w:type="spellEnd"/>
            <w:r w:rsidRPr="00270ED7">
              <w:rPr>
                <w:rFonts w:ascii="Arial" w:hAnsi="Arial" w:cs="Arial"/>
                <w:color w:val="000000"/>
              </w:rPr>
              <w:t xml:space="preserve"> </w:t>
            </w:r>
            <w:proofErr w:type="spellStart"/>
            <w:r w:rsidRPr="00270ED7">
              <w:rPr>
                <w:rFonts w:ascii="Arial" w:hAnsi="Arial" w:cs="Arial"/>
                <w:color w:val="000000"/>
              </w:rPr>
              <w:t>Schumach</w:t>
            </w:r>
            <w:proofErr w:type="spellEnd"/>
            <w:r w:rsidRPr="00270ED7">
              <w:rPr>
                <w:rFonts w:ascii="Arial" w:hAnsi="Arial" w:cs="Arial"/>
                <w:color w:val="000000"/>
              </w:rPr>
              <w:t>.</w:t>
            </w:r>
          </w:p>
        </w:tc>
        <w:tc>
          <w:tcPr>
            <w:tcW w:w="0" w:type="auto"/>
            <w:hideMark/>
          </w:tcPr>
          <w:p w14:paraId="57B68FDF"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Perennial grass</w:t>
            </w:r>
          </w:p>
        </w:tc>
        <w:tc>
          <w:tcPr>
            <w:tcW w:w="0" w:type="auto"/>
            <w:hideMark/>
          </w:tcPr>
          <w:p w14:paraId="11BA49D6"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Very high biomass yield; responds well to fertilization and irrigation</w:t>
            </w:r>
          </w:p>
        </w:tc>
        <w:tc>
          <w:tcPr>
            <w:tcW w:w="0" w:type="auto"/>
            <w:hideMark/>
          </w:tcPr>
          <w:p w14:paraId="32AF58D5"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12–25</w:t>
            </w:r>
          </w:p>
        </w:tc>
        <w:tc>
          <w:tcPr>
            <w:tcW w:w="0" w:type="auto"/>
            <w:hideMark/>
          </w:tcPr>
          <w:p w14:paraId="0BEF9ECD" w14:textId="77777777" w:rsidR="00270ED7" w:rsidRPr="00270ED7" w:rsidRDefault="00270ED7" w:rsidP="00F65ACB">
            <w:pPr>
              <w:spacing w:before="120" w:after="120"/>
              <w:rPr>
                <w:rFonts w:ascii="Arial" w:hAnsi="Arial" w:cs="Arial"/>
                <w:color w:val="000000"/>
              </w:rPr>
            </w:pPr>
            <w:proofErr w:type="spellStart"/>
            <w:r w:rsidRPr="00270ED7">
              <w:rPr>
                <w:rFonts w:ascii="Nirmala UI" w:hAnsi="Nirmala UI" w:cs="Nirmala UI"/>
                <w:color w:val="000000"/>
              </w:rPr>
              <w:t>प्रमुख</w:t>
            </w:r>
            <w:proofErr w:type="spellEnd"/>
            <w:r w:rsidRPr="00270ED7">
              <w:rPr>
                <w:rFonts w:ascii="Arial" w:hAnsi="Arial" w:cs="Arial"/>
                <w:color w:val="000000"/>
              </w:rPr>
              <w:t xml:space="preserve"> forage in intensive and cut-and-carry systems</w:t>
            </w:r>
          </w:p>
        </w:tc>
        <w:tc>
          <w:tcPr>
            <w:tcW w:w="0" w:type="auto"/>
            <w:hideMark/>
          </w:tcPr>
          <w:p w14:paraId="02ABD387"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[12]</w:t>
            </w:r>
          </w:p>
        </w:tc>
      </w:tr>
      <w:tr w:rsidR="00270ED7" w:rsidRPr="00270ED7" w14:paraId="2E87C010" w14:textId="77777777" w:rsidTr="00270ED7">
        <w:tc>
          <w:tcPr>
            <w:tcW w:w="0" w:type="auto"/>
            <w:tcBorders>
              <w:bottom w:val="single" w:sz="4" w:space="0" w:color="auto"/>
            </w:tcBorders>
            <w:hideMark/>
          </w:tcPr>
          <w:p w14:paraId="37D07B60" w14:textId="77777777" w:rsidR="00270ED7" w:rsidRPr="00270ED7" w:rsidRDefault="00270ED7" w:rsidP="00F65ACB">
            <w:pPr>
              <w:spacing w:before="120" w:after="120"/>
              <w:rPr>
                <w:rFonts w:ascii="Arial" w:hAnsi="Arial" w:cs="Arial"/>
                <w:color w:val="000000"/>
              </w:rPr>
            </w:pPr>
            <w:r w:rsidRPr="00270ED7">
              <w:rPr>
                <w:rFonts w:ascii="Arial" w:hAnsi="Arial" w:cs="Arial"/>
                <w:i/>
                <w:iCs/>
                <w:color w:val="000000"/>
              </w:rPr>
              <w:t>Lablab purpureus</w:t>
            </w:r>
            <w:r w:rsidRPr="00270ED7">
              <w:rPr>
                <w:rFonts w:ascii="Arial" w:hAnsi="Arial" w:cs="Arial"/>
                <w:color w:val="000000"/>
              </w:rPr>
              <w:t xml:space="preserve"> L.</w:t>
            </w:r>
          </w:p>
        </w:tc>
        <w:tc>
          <w:tcPr>
            <w:tcW w:w="0" w:type="auto"/>
            <w:tcBorders>
              <w:bottom w:val="single" w:sz="4" w:space="0" w:color="auto"/>
            </w:tcBorders>
            <w:hideMark/>
          </w:tcPr>
          <w:p w14:paraId="5419D89B"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Legume</w:t>
            </w:r>
          </w:p>
        </w:tc>
        <w:tc>
          <w:tcPr>
            <w:tcW w:w="0" w:type="auto"/>
            <w:tcBorders>
              <w:bottom w:val="single" w:sz="4" w:space="0" w:color="auto"/>
            </w:tcBorders>
            <w:hideMark/>
          </w:tcPr>
          <w:p w14:paraId="7E979E20"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Nitrogen-fixing; drought-tolerant; high nutritive value</w:t>
            </w:r>
          </w:p>
        </w:tc>
        <w:tc>
          <w:tcPr>
            <w:tcW w:w="0" w:type="auto"/>
            <w:tcBorders>
              <w:bottom w:val="single" w:sz="4" w:space="0" w:color="auto"/>
            </w:tcBorders>
            <w:hideMark/>
          </w:tcPr>
          <w:p w14:paraId="199A4071"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18–28</w:t>
            </w:r>
          </w:p>
        </w:tc>
        <w:tc>
          <w:tcPr>
            <w:tcW w:w="0" w:type="auto"/>
            <w:tcBorders>
              <w:bottom w:val="single" w:sz="4" w:space="0" w:color="auto"/>
            </w:tcBorders>
            <w:hideMark/>
          </w:tcPr>
          <w:p w14:paraId="4DA6EA9E"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Used for protein supplementation and soil fertility improvement</w:t>
            </w:r>
          </w:p>
        </w:tc>
        <w:tc>
          <w:tcPr>
            <w:tcW w:w="0" w:type="auto"/>
            <w:tcBorders>
              <w:bottom w:val="single" w:sz="4" w:space="0" w:color="auto"/>
            </w:tcBorders>
            <w:hideMark/>
          </w:tcPr>
          <w:p w14:paraId="178398C0" w14:textId="77777777" w:rsidR="00270ED7" w:rsidRPr="00270ED7" w:rsidRDefault="00270ED7" w:rsidP="00F65ACB">
            <w:pPr>
              <w:spacing w:before="120" w:after="120"/>
              <w:rPr>
                <w:rFonts w:ascii="Arial" w:hAnsi="Arial" w:cs="Arial"/>
                <w:color w:val="000000"/>
              </w:rPr>
            </w:pPr>
            <w:r w:rsidRPr="00270ED7">
              <w:rPr>
                <w:rFonts w:ascii="Arial" w:hAnsi="Arial" w:cs="Arial"/>
                <w:color w:val="000000"/>
              </w:rPr>
              <w:t>[13]</w:t>
            </w:r>
          </w:p>
        </w:tc>
      </w:tr>
    </w:tbl>
    <w:p w14:paraId="191D09E2" w14:textId="77777777" w:rsidR="00270ED7" w:rsidRPr="00270ED7" w:rsidRDefault="00270ED7" w:rsidP="00F65ACB">
      <w:pPr>
        <w:spacing w:before="120" w:after="120"/>
        <w:rPr>
          <w:rFonts w:ascii="Arial" w:hAnsi="Arial" w:cs="Arial"/>
          <w:i/>
          <w:iCs/>
          <w:color w:val="000000"/>
        </w:rPr>
      </w:pPr>
      <w:r w:rsidRPr="00270ED7">
        <w:rPr>
          <w:rFonts w:ascii="Arial" w:hAnsi="Arial" w:cs="Arial"/>
          <w:i/>
          <w:iCs/>
          <w:color w:val="000000"/>
        </w:rPr>
        <w:t>Values represent typical crude protein ranges reported in tropical and semi-arid production systems. Nutritional composition varies depending on growth stage, environmental conditions, and management practices. References correspond to peer-reviewed and institutional sources cited in this study.</w:t>
      </w:r>
    </w:p>
    <w:p w14:paraId="673C436D" w14:textId="77777777" w:rsidR="00270ED7" w:rsidRPr="00270ED7" w:rsidRDefault="00270ED7" w:rsidP="00F65ACB">
      <w:pPr>
        <w:spacing w:before="120" w:after="120"/>
        <w:rPr>
          <w:rFonts w:ascii="Arial" w:hAnsi="Arial" w:cs="Arial"/>
          <w:color w:val="000000"/>
        </w:rPr>
      </w:pPr>
    </w:p>
    <w:p w14:paraId="327CF98C" w14:textId="5512CB84" w:rsidR="007F7B32" w:rsidRDefault="00902823" w:rsidP="00F65ACB">
      <w:pPr>
        <w:pStyle w:val="AbstHead"/>
        <w:spacing w:after="0"/>
        <w:rPr>
          <w:rFonts w:ascii="Arial" w:hAnsi="Arial" w:cs="Arial"/>
        </w:rPr>
      </w:pPr>
      <w:r>
        <w:rPr>
          <w:rFonts w:ascii="Arial" w:hAnsi="Arial" w:cs="Arial"/>
        </w:rPr>
        <w:t>2. material and method</w:t>
      </w:r>
      <w:r w:rsidR="00000F8F">
        <w:rPr>
          <w:rFonts w:ascii="Arial" w:hAnsi="Arial" w:cs="Arial"/>
        </w:rPr>
        <w:t xml:space="preserve">s </w:t>
      </w:r>
    </w:p>
    <w:p w14:paraId="7F7E317E" w14:textId="7E482FE1" w:rsidR="00790ADA" w:rsidRPr="00FB3A86" w:rsidRDefault="00790ADA" w:rsidP="00F65ACB">
      <w:pPr>
        <w:pStyle w:val="AbstHead"/>
        <w:spacing w:after="0"/>
        <w:rPr>
          <w:rFonts w:ascii="Arial" w:hAnsi="Arial" w:cs="Arial"/>
        </w:rPr>
      </w:pPr>
    </w:p>
    <w:p w14:paraId="329D2E30" w14:textId="1A035FD6" w:rsidR="00155195" w:rsidRDefault="00155195" w:rsidP="00F65ACB">
      <w:pPr>
        <w:pStyle w:val="ConcHead"/>
        <w:rPr>
          <w:rFonts w:ascii="Arial" w:eastAsiaTheme="majorEastAsia" w:hAnsi="Arial" w:cs="Arial"/>
          <w:bCs/>
          <w:caps w:val="0"/>
          <w:color w:val="000000"/>
          <w:sz w:val="20"/>
          <w:lang w:val="en-GB"/>
        </w:rPr>
      </w:pPr>
      <w:r>
        <w:rPr>
          <w:rFonts w:ascii="Arial" w:eastAsiaTheme="majorEastAsia" w:hAnsi="Arial" w:cs="Arial"/>
          <w:bCs/>
          <w:caps w:val="0"/>
          <w:color w:val="000000"/>
          <w:sz w:val="20"/>
          <w:lang w:val="en-GB"/>
        </w:rPr>
        <w:t xml:space="preserve">2.1 </w:t>
      </w:r>
      <w:r w:rsidRPr="00155195">
        <w:rPr>
          <w:rFonts w:ascii="Arial" w:eastAsiaTheme="majorEastAsia" w:hAnsi="Arial" w:cs="Arial"/>
          <w:bCs/>
          <w:caps w:val="0"/>
          <w:color w:val="000000"/>
          <w:sz w:val="20"/>
          <w:lang w:val="en-GB"/>
        </w:rPr>
        <w:t xml:space="preserve">Site and Forage Trials </w:t>
      </w:r>
    </w:p>
    <w:p w14:paraId="122D31D1" w14:textId="66632F88" w:rsidR="00B967CA" w:rsidRDefault="00A520E1" w:rsidP="00F65ACB">
      <w:pPr>
        <w:pStyle w:val="ConcHead"/>
        <w:rPr>
          <w:rFonts w:ascii="Arial" w:eastAsiaTheme="majorEastAsia" w:hAnsi="Arial" w:cs="Arial"/>
          <w:b w:val="0"/>
          <w:caps w:val="0"/>
          <w:color w:val="000000"/>
          <w:sz w:val="20"/>
          <w:lang w:val="en-GB"/>
        </w:rPr>
      </w:pPr>
      <w:r w:rsidRPr="00A520E1">
        <w:rPr>
          <w:rFonts w:ascii="Arial" w:eastAsiaTheme="majorEastAsia" w:hAnsi="Arial" w:cs="Arial"/>
          <w:b w:val="0"/>
          <w:caps w:val="0"/>
          <w:color w:val="000000"/>
          <w:sz w:val="20"/>
          <w:lang w:val="en-GB"/>
        </w:rPr>
        <w:t>Six fodder species—</w:t>
      </w:r>
      <w:proofErr w:type="spellStart"/>
      <w:r w:rsidRPr="00A520E1">
        <w:rPr>
          <w:rFonts w:ascii="Arial" w:eastAsiaTheme="majorEastAsia" w:hAnsi="Arial" w:cs="Arial"/>
          <w:b w:val="0"/>
          <w:caps w:val="0"/>
          <w:color w:val="000000"/>
          <w:sz w:val="20"/>
          <w:lang w:val="en-GB"/>
        </w:rPr>
        <w:t>buffel</w:t>
      </w:r>
      <w:proofErr w:type="spellEnd"/>
      <w:r w:rsidRPr="00A520E1">
        <w:rPr>
          <w:rFonts w:ascii="Arial" w:eastAsiaTheme="majorEastAsia" w:hAnsi="Arial" w:cs="Arial"/>
          <w:b w:val="0"/>
          <w:caps w:val="0"/>
          <w:color w:val="000000"/>
          <w:sz w:val="20"/>
          <w:lang w:val="en-GB"/>
        </w:rPr>
        <w:t xml:space="preserve"> grass (</w:t>
      </w:r>
      <w:proofErr w:type="spellStart"/>
      <w:r w:rsidRPr="00CF6E16">
        <w:rPr>
          <w:rFonts w:ascii="Arial" w:eastAsiaTheme="majorEastAsia" w:hAnsi="Arial" w:cs="Arial"/>
          <w:b w:val="0"/>
          <w:i/>
          <w:iCs/>
          <w:caps w:val="0"/>
          <w:color w:val="000000"/>
          <w:sz w:val="20"/>
          <w:lang w:val="en-GB"/>
        </w:rPr>
        <w:t>Cenchrus</w:t>
      </w:r>
      <w:proofErr w:type="spellEnd"/>
      <w:r w:rsidRPr="00CF6E16">
        <w:rPr>
          <w:rFonts w:ascii="Arial" w:eastAsiaTheme="majorEastAsia" w:hAnsi="Arial" w:cs="Arial"/>
          <w:b w:val="0"/>
          <w:i/>
          <w:iCs/>
          <w:caps w:val="0"/>
          <w:color w:val="000000"/>
          <w:sz w:val="20"/>
          <w:lang w:val="en-GB"/>
        </w:rPr>
        <w:t xml:space="preserve"> </w:t>
      </w:r>
      <w:proofErr w:type="spellStart"/>
      <w:r w:rsidRPr="00CF6E16">
        <w:rPr>
          <w:rFonts w:ascii="Arial" w:eastAsiaTheme="majorEastAsia" w:hAnsi="Arial" w:cs="Arial"/>
          <w:b w:val="0"/>
          <w:i/>
          <w:iCs/>
          <w:caps w:val="0"/>
          <w:color w:val="000000"/>
          <w:sz w:val="20"/>
          <w:lang w:val="en-GB"/>
        </w:rPr>
        <w:t>ciliaris</w:t>
      </w:r>
      <w:proofErr w:type="spellEnd"/>
      <w:r w:rsidRPr="00A520E1">
        <w:rPr>
          <w:rFonts w:ascii="Arial" w:eastAsiaTheme="majorEastAsia" w:hAnsi="Arial" w:cs="Arial"/>
          <w:b w:val="0"/>
          <w:caps w:val="0"/>
          <w:color w:val="000000"/>
          <w:sz w:val="20"/>
          <w:lang w:val="en-GB"/>
        </w:rPr>
        <w:t xml:space="preserve"> L.; local names “</w:t>
      </w:r>
      <w:proofErr w:type="spellStart"/>
      <w:r w:rsidRPr="00A520E1">
        <w:rPr>
          <w:rFonts w:ascii="Arial" w:eastAsiaTheme="majorEastAsia" w:hAnsi="Arial" w:cs="Arial"/>
          <w:b w:val="0"/>
          <w:caps w:val="0"/>
          <w:color w:val="000000"/>
          <w:sz w:val="20"/>
          <w:lang w:val="en-GB"/>
        </w:rPr>
        <w:t>Guddoomaad</w:t>
      </w:r>
      <w:proofErr w:type="spellEnd"/>
      <w:r w:rsidRPr="00A520E1">
        <w:rPr>
          <w:rFonts w:ascii="Arial" w:eastAsiaTheme="majorEastAsia" w:hAnsi="Arial" w:cs="Arial"/>
          <w:b w:val="0"/>
          <w:caps w:val="0"/>
          <w:color w:val="000000"/>
          <w:sz w:val="20"/>
          <w:lang w:val="en-GB"/>
        </w:rPr>
        <w:t>”/“</w:t>
      </w:r>
      <w:proofErr w:type="spellStart"/>
      <w:r w:rsidRPr="00A520E1">
        <w:rPr>
          <w:rFonts w:ascii="Arial" w:eastAsiaTheme="majorEastAsia" w:hAnsi="Arial" w:cs="Arial"/>
          <w:b w:val="0"/>
          <w:caps w:val="0"/>
          <w:color w:val="000000"/>
          <w:sz w:val="20"/>
          <w:lang w:val="en-GB"/>
        </w:rPr>
        <w:t>Ciir-dhuuq</w:t>
      </w:r>
      <w:proofErr w:type="spellEnd"/>
      <w:r w:rsidRPr="00A520E1">
        <w:rPr>
          <w:rFonts w:ascii="Arial" w:eastAsiaTheme="majorEastAsia" w:hAnsi="Arial" w:cs="Arial"/>
          <w:b w:val="0"/>
          <w:caps w:val="0"/>
          <w:color w:val="000000"/>
          <w:sz w:val="20"/>
          <w:lang w:val="en-GB"/>
        </w:rPr>
        <w:t xml:space="preserve">”), </w:t>
      </w:r>
      <w:r w:rsidR="00CF6E16">
        <w:rPr>
          <w:rFonts w:ascii="Arial" w:eastAsiaTheme="majorEastAsia" w:hAnsi="Arial" w:cs="Arial"/>
          <w:b w:val="0"/>
          <w:caps w:val="0"/>
          <w:color w:val="000000"/>
          <w:sz w:val="20"/>
          <w:lang w:val="en-GB"/>
        </w:rPr>
        <w:t>B</w:t>
      </w:r>
      <w:r w:rsidRPr="00A520E1">
        <w:rPr>
          <w:rFonts w:ascii="Arial" w:eastAsiaTheme="majorEastAsia" w:hAnsi="Arial" w:cs="Arial"/>
          <w:b w:val="0"/>
          <w:caps w:val="0"/>
          <w:color w:val="000000"/>
          <w:sz w:val="20"/>
          <w:lang w:val="en-GB"/>
        </w:rPr>
        <w:t>lue panic (</w:t>
      </w:r>
      <w:r w:rsidRPr="00CF6E16">
        <w:rPr>
          <w:rFonts w:ascii="Arial" w:eastAsiaTheme="majorEastAsia" w:hAnsi="Arial" w:cs="Arial"/>
          <w:b w:val="0"/>
          <w:i/>
          <w:iCs/>
          <w:caps w:val="0"/>
          <w:color w:val="000000"/>
          <w:sz w:val="20"/>
          <w:lang w:val="en-GB"/>
        </w:rPr>
        <w:t>Panicum antidotale</w:t>
      </w:r>
      <w:r w:rsidRPr="00A520E1">
        <w:rPr>
          <w:rFonts w:ascii="Arial" w:eastAsiaTheme="majorEastAsia" w:hAnsi="Arial" w:cs="Arial"/>
          <w:b w:val="0"/>
          <w:caps w:val="0"/>
          <w:color w:val="000000"/>
          <w:sz w:val="20"/>
          <w:lang w:val="en-GB"/>
        </w:rPr>
        <w:t xml:space="preserve"> Retz.), </w:t>
      </w:r>
      <w:proofErr w:type="spellStart"/>
      <w:r w:rsidRPr="00A520E1">
        <w:rPr>
          <w:rFonts w:ascii="Arial" w:eastAsiaTheme="majorEastAsia" w:hAnsi="Arial" w:cs="Arial"/>
          <w:b w:val="0"/>
          <w:caps w:val="0"/>
          <w:color w:val="000000"/>
          <w:sz w:val="20"/>
          <w:lang w:val="en-GB"/>
        </w:rPr>
        <w:t>Urochloa</w:t>
      </w:r>
      <w:proofErr w:type="spellEnd"/>
      <w:r w:rsidRPr="00A520E1">
        <w:rPr>
          <w:rFonts w:ascii="Arial" w:eastAsiaTheme="majorEastAsia" w:hAnsi="Arial" w:cs="Arial"/>
          <w:b w:val="0"/>
          <w:caps w:val="0"/>
          <w:color w:val="000000"/>
          <w:sz w:val="20"/>
          <w:lang w:val="en-GB"/>
        </w:rPr>
        <w:t xml:space="preserve"> hybrid cv. Mulato II, Johnson grass (</w:t>
      </w:r>
      <w:r w:rsidRPr="00CF6E16">
        <w:rPr>
          <w:rFonts w:ascii="Arial" w:eastAsiaTheme="majorEastAsia" w:hAnsi="Arial" w:cs="Arial"/>
          <w:b w:val="0"/>
          <w:i/>
          <w:iCs/>
          <w:caps w:val="0"/>
          <w:color w:val="000000"/>
          <w:sz w:val="20"/>
          <w:lang w:val="en-GB"/>
        </w:rPr>
        <w:t xml:space="preserve">Sorghum </w:t>
      </w:r>
      <w:proofErr w:type="spellStart"/>
      <w:r w:rsidRPr="00CF6E16">
        <w:rPr>
          <w:rFonts w:ascii="Arial" w:eastAsiaTheme="majorEastAsia" w:hAnsi="Arial" w:cs="Arial"/>
          <w:b w:val="0"/>
          <w:i/>
          <w:iCs/>
          <w:caps w:val="0"/>
          <w:color w:val="000000"/>
          <w:sz w:val="20"/>
          <w:lang w:val="en-GB"/>
        </w:rPr>
        <w:t>halepense</w:t>
      </w:r>
      <w:proofErr w:type="spellEnd"/>
      <w:r w:rsidRPr="00A520E1">
        <w:rPr>
          <w:rFonts w:ascii="Arial" w:eastAsiaTheme="majorEastAsia" w:hAnsi="Arial" w:cs="Arial"/>
          <w:b w:val="0"/>
          <w:caps w:val="0"/>
          <w:color w:val="000000"/>
          <w:sz w:val="20"/>
          <w:lang w:val="en-GB"/>
        </w:rPr>
        <w:t xml:space="preserve"> L.), Napier grass (</w:t>
      </w:r>
      <w:proofErr w:type="spellStart"/>
      <w:r w:rsidRPr="00CF6E16">
        <w:rPr>
          <w:rFonts w:ascii="Arial" w:eastAsiaTheme="majorEastAsia" w:hAnsi="Arial" w:cs="Arial"/>
          <w:b w:val="0"/>
          <w:i/>
          <w:iCs/>
          <w:caps w:val="0"/>
          <w:color w:val="000000"/>
          <w:sz w:val="20"/>
          <w:lang w:val="en-GB"/>
        </w:rPr>
        <w:t>Cenchrus</w:t>
      </w:r>
      <w:proofErr w:type="spellEnd"/>
      <w:r w:rsidRPr="00CF6E16">
        <w:rPr>
          <w:rFonts w:ascii="Arial" w:eastAsiaTheme="majorEastAsia" w:hAnsi="Arial" w:cs="Arial"/>
          <w:b w:val="0"/>
          <w:i/>
          <w:iCs/>
          <w:caps w:val="0"/>
          <w:color w:val="000000"/>
          <w:sz w:val="20"/>
          <w:lang w:val="en-GB"/>
        </w:rPr>
        <w:t xml:space="preserve"> </w:t>
      </w:r>
      <w:proofErr w:type="spellStart"/>
      <w:r w:rsidRPr="00CF6E16">
        <w:rPr>
          <w:rFonts w:ascii="Arial" w:eastAsiaTheme="majorEastAsia" w:hAnsi="Arial" w:cs="Arial"/>
          <w:b w:val="0"/>
          <w:i/>
          <w:iCs/>
          <w:caps w:val="0"/>
          <w:color w:val="000000"/>
          <w:sz w:val="20"/>
          <w:lang w:val="en-GB"/>
        </w:rPr>
        <w:t>purpureus</w:t>
      </w:r>
      <w:proofErr w:type="spellEnd"/>
      <w:r w:rsidRPr="00A520E1">
        <w:rPr>
          <w:rFonts w:ascii="Arial" w:eastAsiaTheme="majorEastAsia" w:hAnsi="Arial" w:cs="Arial"/>
          <w:b w:val="0"/>
          <w:caps w:val="0"/>
          <w:color w:val="000000"/>
          <w:sz w:val="20"/>
          <w:lang w:val="en-GB"/>
        </w:rPr>
        <w:t xml:space="preserve"> </w:t>
      </w:r>
      <w:proofErr w:type="spellStart"/>
      <w:r w:rsidRPr="00A520E1">
        <w:rPr>
          <w:rFonts w:ascii="Arial" w:eastAsiaTheme="majorEastAsia" w:hAnsi="Arial" w:cs="Arial"/>
          <w:b w:val="0"/>
          <w:caps w:val="0"/>
          <w:color w:val="000000"/>
          <w:sz w:val="20"/>
          <w:lang w:val="en-GB"/>
        </w:rPr>
        <w:t>Schumach</w:t>
      </w:r>
      <w:proofErr w:type="spellEnd"/>
      <w:r w:rsidRPr="00A520E1">
        <w:rPr>
          <w:rFonts w:ascii="Arial" w:eastAsiaTheme="majorEastAsia" w:hAnsi="Arial" w:cs="Arial"/>
          <w:b w:val="0"/>
          <w:caps w:val="0"/>
          <w:color w:val="000000"/>
          <w:sz w:val="20"/>
          <w:lang w:val="en-GB"/>
        </w:rPr>
        <w:t>.), and lablab</w:t>
      </w:r>
      <w:r w:rsidR="00CF6E16">
        <w:rPr>
          <w:rFonts w:ascii="Arial" w:eastAsiaTheme="majorEastAsia" w:hAnsi="Arial" w:cs="Arial"/>
          <w:b w:val="0"/>
          <w:caps w:val="0"/>
          <w:color w:val="000000"/>
          <w:sz w:val="20"/>
          <w:lang w:val="en-GB"/>
        </w:rPr>
        <w:t xml:space="preserve"> Bean</w:t>
      </w:r>
      <w:r w:rsidRPr="00A520E1">
        <w:rPr>
          <w:rFonts w:ascii="Arial" w:eastAsiaTheme="majorEastAsia" w:hAnsi="Arial" w:cs="Arial"/>
          <w:b w:val="0"/>
          <w:caps w:val="0"/>
          <w:color w:val="000000"/>
          <w:sz w:val="20"/>
          <w:lang w:val="en-GB"/>
        </w:rPr>
        <w:t xml:space="preserve"> (</w:t>
      </w:r>
      <w:r w:rsidRPr="00CF6E16">
        <w:rPr>
          <w:rFonts w:ascii="Arial" w:eastAsiaTheme="majorEastAsia" w:hAnsi="Arial" w:cs="Arial"/>
          <w:b w:val="0"/>
          <w:i/>
          <w:iCs/>
          <w:caps w:val="0"/>
          <w:color w:val="000000"/>
          <w:sz w:val="20"/>
          <w:lang w:val="en-GB"/>
        </w:rPr>
        <w:t>Lablab purpureus</w:t>
      </w:r>
      <w:r w:rsidRPr="00A520E1">
        <w:rPr>
          <w:rFonts w:ascii="Arial" w:eastAsiaTheme="majorEastAsia" w:hAnsi="Arial" w:cs="Arial"/>
          <w:b w:val="0"/>
          <w:caps w:val="0"/>
          <w:color w:val="000000"/>
          <w:sz w:val="20"/>
          <w:lang w:val="en-GB"/>
        </w:rPr>
        <w:t xml:space="preserve"> L.)—were evaluated under field conditions at the SIAR–ACRET Research </w:t>
      </w:r>
      <w:r w:rsidRPr="00A520E1">
        <w:rPr>
          <w:rFonts w:ascii="Arial" w:eastAsiaTheme="majorEastAsia" w:hAnsi="Arial" w:cs="Arial"/>
          <w:b w:val="0"/>
          <w:caps w:val="0"/>
          <w:color w:val="000000"/>
          <w:sz w:val="20"/>
          <w:lang w:val="en-GB"/>
        </w:rPr>
        <w:lastRenderedPageBreak/>
        <w:t xml:space="preserve">Station in </w:t>
      </w:r>
      <w:proofErr w:type="spellStart"/>
      <w:r w:rsidRPr="00A520E1">
        <w:rPr>
          <w:rFonts w:ascii="Arial" w:eastAsiaTheme="majorEastAsia" w:hAnsi="Arial" w:cs="Arial"/>
          <w:b w:val="0"/>
          <w:caps w:val="0"/>
          <w:color w:val="000000"/>
          <w:sz w:val="20"/>
          <w:lang w:val="en-GB"/>
        </w:rPr>
        <w:t>Aburin</w:t>
      </w:r>
      <w:proofErr w:type="spellEnd"/>
      <w:r w:rsidRPr="00A520E1">
        <w:rPr>
          <w:rFonts w:ascii="Arial" w:eastAsiaTheme="majorEastAsia" w:hAnsi="Arial" w:cs="Arial"/>
          <w:b w:val="0"/>
          <w:caps w:val="0"/>
          <w:color w:val="000000"/>
          <w:sz w:val="20"/>
          <w:lang w:val="en-GB"/>
        </w:rPr>
        <w:t xml:space="preserve"> </w:t>
      </w:r>
      <w:proofErr w:type="spellStart"/>
      <w:r w:rsidRPr="00A520E1">
        <w:rPr>
          <w:rFonts w:ascii="Arial" w:eastAsiaTheme="majorEastAsia" w:hAnsi="Arial" w:cs="Arial"/>
          <w:b w:val="0"/>
          <w:caps w:val="0"/>
          <w:color w:val="000000"/>
          <w:sz w:val="20"/>
          <w:lang w:val="en-GB"/>
        </w:rPr>
        <w:t>Faraweyne</w:t>
      </w:r>
      <w:proofErr w:type="spellEnd"/>
      <w:r w:rsidRPr="00A520E1">
        <w:rPr>
          <w:rFonts w:ascii="Arial" w:eastAsiaTheme="majorEastAsia" w:hAnsi="Arial" w:cs="Arial"/>
          <w:b w:val="0"/>
          <w:caps w:val="0"/>
          <w:color w:val="000000"/>
          <w:sz w:val="20"/>
          <w:lang w:val="en-GB"/>
        </w:rPr>
        <w:t xml:space="preserve"> District, </w:t>
      </w:r>
      <w:proofErr w:type="spellStart"/>
      <w:r w:rsidRPr="00A520E1">
        <w:rPr>
          <w:rFonts w:ascii="Arial" w:eastAsiaTheme="majorEastAsia" w:hAnsi="Arial" w:cs="Arial"/>
          <w:b w:val="0"/>
          <w:caps w:val="0"/>
          <w:color w:val="000000"/>
          <w:sz w:val="20"/>
          <w:lang w:val="en-GB"/>
        </w:rPr>
        <w:t>Marodi</w:t>
      </w:r>
      <w:proofErr w:type="spellEnd"/>
      <w:r w:rsidRPr="00A520E1">
        <w:rPr>
          <w:rFonts w:ascii="Arial" w:eastAsiaTheme="majorEastAsia" w:hAnsi="Arial" w:cs="Arial"/>
          <w:b w:val="0"/>
          <w:caps w:val="0"/>
          <w:color w:val="000000"/>
          <w:sz w:val="20"/>
          <w:lang w:val="en-GB"/>
        </w:rPr>
        <w:t xml:space="preserve"> Jeh, Somaliland (9.509121, 43.800260). The species were established in a randomized design with three replicated plots per species as part of ongoing fodder evaluation trials. All plots were managed uniformly in terms of land preparation, planting density, and irrigation under semi-arid conditions (mean annual rainfall ≈500 mm).</w:t>
      </w:r>
    </w:p>
    <w:p w14:paraId="07DB418B" w14:textId="3D6D4602" w:rsidR="00155195" w:rsidRDefault="00155195" w:rsidP="00F65ACB">
      <w:pPr>
        <w:pStyle w:val="ConcHead"/>
        <w:rPr>
          <w:rFonts w:ascii="Arial" w:eastAsiaTheme="majorEastAsia" w:hAnsi="Arial" w:cs="Arial"/>
          <w:bCs/>
          <w:caps w:val="0"/>
          <w:color w:val="000000"/>
          <w:sz w:val="20"/>
          <w:lang w:val="en-GB"/>
        </w:rPr>
      </w:pPr>
      <w:r>
        <w:rPr>
          <w:rFonts w:ascii="Arial" w:eastAsiaTheme="majorEastAsia" w:hAnsi="Arial" w:cs="Arial"/>
          <w:bCs/>
          <w:caps w:val="0"/>
          <w:color w:val="000000"/>
          <w:sz w:val="20"/>
          <w:lang w:val="en-GB"/>
        </w:rPr>
        <w:t xml:space="preserve">2.2 </w:t>
      </w:r>
      <w:r w:rsidR="00A520E1" w:rsidRPr="00A520E1">
        <w:rPr>
          <w:rFonts w:ascii="Arial" w:eastAsiaTheme="majorEastAsia" w:hAnsi="Arial" w:cs="Arial"/>
          <w:bCs/>
          <w:caps w:val="0"/>
          <w:color w:val="000000"/>
          <w:sz w:val="20"/>
          <w:lang w:val="en-GB"/>
        </w:rPr>
        <w:t>Harvesting, Sampling, and Sample Preparation</w:t>
      </w:r>
      <w:r w:rsidRPr="00155195">
        <w:rPr>
          <w:rFonts w:ascii="Arial" w:eastAsiaTheme="majorEastAsia" w:hAnsi="Arial" w:cs="Arial"/>
          <w:bCs/>
          <w:caps w:val="0"/>
          <w:color w:val="000000"/>
          <w:sz w:val="20"/>
          <w:lang w:val="en-GB"/>
        </w:rPr>
        <w:t xml:space="preserve"> </w:t>
      </w:r>
    </w:p>
    <w:p w14:paraId="03967945" w14:textId="59540755" w:rsidR="00155195" w:rsidRPr="00155195" w:rsidRDefault="00A520E1" w:rsidP="00F65ACB">
      <w:pPr>
        <w:pStyle w:val="ConcHead"/>
        <w:rPr>
          <w:rFonts w:ascii="Arial" w:eastAsiaTheme="majorEastAsia" w:hAnsi="Arial" w:cs="Arial"/>
          <w:b w:val="0"/>
          <w:caps w:val="0"/>
          <w:color w:val="000000"/>
          <w:sz w:val="20"/>
          <w:lang w:val="en-GB"/>
        </w:rPr>
      </w:pPr>
      <w:r w:rsidRPr="00A520E1">
        <w:rPr>
          <w:rFonts w:ascii="Arial" w:eastAsiaTheme="majorEastAsia" w:hAnsi="Arial" w:cs="Arial"/>
          <w:b w:val="0"/>
          <w:caps w:val="0"/>
          <w:color w:val="000000"/>
          <w:sz w:val="20"/>
          <w:lang w:val="en-GB"/>
        </w:rPr>
        <w:t xml:space="preserve">Above-ground biomass was harvested at 60 days after planting (uniform vegetative stage; pre-booting for grasses). From each replicate plot, three sub-samples were randomly collected and pooled to form a single composite sample per species. Composite samples were initially homogenized in </w:t>
      </w:r>
      <w:proofErr w:type="spellStart"/>
      <w:r w:rsidRPr="00A520E1">
        <w:rPr>
          <w:rFonts w:ascii="Arial" w:eastAsiaTheme="majorEastAsia" w:hAnsi="Arial" w:cs="Arial"/>
          <w:b w:val="0"/>
          <w:caps w:val="0"/>
          <w:color w:val="000000"/>
          <w:sz w:val="20"/>
          <w:lang w:val="en-GB"/>
        </w:rPr>
        <w:t>Sanlaawe</w:t>
      </w:r>
      <w:proofErr w:type="spellEnd"/>
      <w:r w:rsidRPr="00A520E1">
        <w:rPr>
          <w:rFonts w:ascii="Arial" w:eastAsiaTheme="majorEastAsia" w:hAnsi="Arial" w:cs="Arial"/>
          <w:b w:val="0"/>
          <w:caps w:val="0"/>
          <w:color w:val="000000"/>
          <w:sz w:val="20"/>
          <w:lang w:val="en-GB"/>
        </w:rPr>
        <w:t xml:space="preserve"> village, </w:t>
      </w:r>
      <w:proofErr w:type="spellStart"/>
      <w:r w:rsidRPr="00A520E1">
        <w:rPr>
          <w:rFonts w:ascii="Arial" w:eastAsiaTheme="majorEastAsia" w:hAnsi="Arial" w:cs="Arial"/>
          <w:b w:val="0"/>
          <w:caps w:val="0"/>
          <w:color w:val="000000"/>
          <w:sz w:val="20"/>
          <w:lang w:val="en-GB"/>
        </w:rPr>
        <w:t>Gebiley</w:t>
      </w:r>
      <w:proofErr w:type="spellEnd"/>
      <w:r w:rsidRPr="00A520E1">
        <w:rPr>
          <w:rFonts w:ascii="Arial" w:eastAsiaTheme="majorEastAsia" w:hAnsi="Arial" w:cs="Arial"/>
          <w:b w:val="0"/>
          <w:caps w:val="0"/>
          <w:color w:val="000000"/>
          <w:sz w:val="20"/>
          <w:lang w:val="en-GB"/>
        </w:rPr>
        <w:t xml:space="preserve"> (9.692456, 43.576493), to ensure representativeness. Sub-samples were then sealed in airtight bags to prevent moisture loss and contamination, </w:t>
      </w:r>
      <w:proofErr w:type="spellStart"/>
      <w:r w:rsidRPr="00A520E1">
        <w:rPr>
          <w:rFonts w:ascii="Arial" w:eastAsiaTheme="majorEastAsia" w:hAnsi="Arial" w:cs="Arial"/>
          <w:b w:val="0"/>
          <w:caps w:val="0"/>
          <w:color w:val="000000"/>
          <w:sz w:val="20"/>
          <w:lang w:val="en-GB"/>
        </w:rPr>
        <w:t>labeled</w:t>
      </w:r>
      <w:proofErr w:type="spellEnd"/>
      <w:r w:rsidRPr="00A520E1">
        <w:rPr>
          <w:rFonts w:ascii="Arial" w:eastAsiaTheme="majorEastAsia" w:hAnsi="Arial" w:cs="Arial"/>
          <w:b w:val="0"/>
          <w:caps w:val="0"/>
          <w:color w:val="000000"/>
          <w:sz w:val="20"/>
          <w:lang w:val="en-GB"/>
        </w:rPr>
        <w:t xml:space="preserve"> appropriately, and stored under refrigerated conditions. All samples were transported and submitted to the Somaliland Quality Control Commission (SQCC) Central Laboratory on 24 December 2025 for analysis.</w:t>
      </w:r>
    </w:p>
    <w:p w14:paraId="4381B563" w14:textId="473BB0CF" w:rsidR="00155195" w:rsidRDefault="00155195" w:rsidP="00F65ACB">
      <w:pPr>
        <w:pStyle w:val="ConcHead"/>
        <w:rPr>
          <w:rFonts w:ascii="Arial" w:eastAsiaTheme="majorEastAsia" w:hAnsi="Arial" w:cs="Arial"/>
          <w:bCs/>
          <w:caps w:val="0"/>
          <w:color w:val="000000"/>
          <w:sz w:val="20"/>
          <w:lang w:val="en-GB"/>
        </w:rPr>
      </w:pPr>
      <w:r>
        <w:rPr>
          <w:rFonts w:ascii="Arial" w:eastAsiaTheme="majorEastAsia" w:hAnsi="Arial" w:cs="Arial"/>
          <w:bCs/>
          <w:caps w:val="0"/>
          <w:color w:val="000000"/>
          <w:sz w:val="20"/>
          <w:lang w:val="en-GB"/>
        </w:rPr>
        <w:t xml:space="preserve">2.3 </w:t>
      </w:r>
      <w:r w:rsidRPr="00155195">
        <w:rPr>
          <w:rFonts w:ascii="Arial" w:eastAsiaTheme="majorEastAsia" w:hAnsi="Arial" w:cs="Arial"/>
          <w:bCs/>
          <w:caps w:val="0"/>
          <w:color w:val="000000"/>
          <w:sz w:val="20"/>
          <w:lang w:val="en-GB"/>
        </w:rPr>
        <w:t>Laboratory Analysis</w:t>
      </w:r>
      <w:r w:rsidR="00A520E1">
        <w:rPr>
          <w:rFonts w:ascii="Arial" w:eastAsiaTheme="majorEastAsia" w:hAnsi="Arial" w:cs="Arial"/>
          <w:bCs/>
          <w:caps w:val="0"/>
          <w:color w:val="000000"/>
          <w:sz w:val="20"/>
          <w:lang w:val="en-GB"/>
        </w:rPr>
        <w:t xml:space="preserve"> </w:t>
      </w:r>
      <w:r w:rsidR="00A520E1" w:rsidRPr="00A520E1">
        <w:rPr>
          <w:rFonts w:ascii="Arial" w:eastAsiaTheme="majorEastAsia" w:hAnsi="Arial" w:cs="Arial"/>
          <w:bCs/>
          <w:caps w:val="0"/>
          <w:color w:val="000000"/>
          <w:sz w:val="20"/>
          <w:lang w:val="en-GB"/>
        </w:rPr>
        <w:t>and Calculations</w:t>
      </w:r>
      <w:r w:rsidRPr="00155195">
        <w:rPr>
          <w:rFonts w:ascii="Arial" w:eastAsiaTheme="majorEastAsia" w:hAnsi="Arial" w:cs="Arial"/>
          <w:bCs/>
          <w:caps w:val="0"/>
          <w:color w:val="000000"/>
          <w:sz w:val="20"/>
          <w:lang w:val="en-GB"/>
        </w:rPr>
        <w:t xml:space="preserve"> </w:t>
      </w:r>
    </w:p>
    <w:p w14:paraId="58BB949C" w14:textId="77777777" w:rsidR="00A520E1" w:rsidRPr="00A520E1" w:rsidRDefault="00A520E1" w:rsidP="00F65ACB">
      <w:pPr>
        <w:pStyle w:val="ConcHead"/>
        <w:rPr>
          <w:rFonts w:ascii="Arial" w:eastAsiaTheme="majorEastAsia" w:hAnsi="Arial" w:cs="Arial"/>
          <w:b w:val="0"/>
          <w:caps w:val="0"/>
          <w:color w:val="000000"/>
          <w:sz w:val="20"/>
          <w:lang w:val="en-GB"/>
        </w:rPr>
      </w:pPr>
      <w:r w:rsidRPr="00A520E1">
        <w:rPr>
          <w:rFonts w:ascii="Arial" w:eastAsiaTheme="majorEastAsia" w:hAnsi="Arial" w:cs="Arial"/>
          <w:b w:val="0"/>
          <w:caps w:val="0"/>
          <w:color w:val="000000"/>
          <w:sz w:val="20"/>
          <w:lang w:val="en-GB"/>
        </w:rPr>
        <w:t xml:space="preserve">All analyses were conducted at the SQCC Laboratory using International Organization for Standardization (ISO) methods. Moisture content (ISO 6496), ash (ISO 5985), crude protein (Kjeldahl method; ISO 5983-1), crude </w:t>
      </w:r>
      <w:proofErr w:type="spellStart"/>
      <w:r w:rsidRPr="00A520E1">
        <w:rPr>
          <w:rFonts w:ascii="Arial" w:eastAsiaTheme="majorEastAsia" w:hAnsi="Arial" w:cs="Arial"/>
          <w:b w:val="0"/>
          <w:caps w:val="0"/>
          <w:color w:val="000000"/>
          <w:sz w:val="20"/>
          <w:lang w:val="en-GB"/>
        </w:rPr>
        <w:t>fiber</w:t>
      </w:r>
      <w:proofErr w:type="spellEnd"/>
      <w:r w:rsidRPr="00A520E1">
        <w:rPr>
          <w:rFonts w:ascii="Arial" w:eastAsiaTheme="majorEastAsia" w:hAnsi="Arial" w:cs="Arial"/>
          <w:b w:val="0"/>
          <w:caps w:val="0"/>
          <w:color w:val="000000"/>
          <w:sz w:val="20"/>
          <w:lang w:val="en-GB"/>
        </w:rPr>
        <w:t xml:space="preserve"> (ISO 6865), and crude fat/ether extract (ISO 6492) were determined. Proximate components were reported on a fresh-weight basis unless otherwise stated.</w:t>
      </w:r>
    </w:p>
    <w:p w14:paraId="6C53CF0B" w14:textId="77777777" w:rsidR="00A520E1" w:rsidRPr="00A520E1" w:rsidRDefault="00A520E1" w:rsidP="00F65ACB">
      <w:pPr>
        <w:pStyle w:val="ConcHead"/>
        <w:rPr>
          <w:rFonts w:ascii="Arial" w:eastAsiaTheme="majorEastAsia" w:hAnsi="Arial" w:cs="Arial"/>
          <w:b w:val="0"/>
          <w:caps w:val="0"/>
          <w:color w:val="000000"/>
          <w:sz w:val="20"/>
          <w:lang w:val="en-GB"/>
        </w:rPr>
      </w:pPr>
      <w:r w:rsidRPr="00A520E1">
        <w:rPr>
          <w:rFonts w:ascii="Arial" w:eastAsiaTheme="majorEastAsia" w:hAnsi="Arial" w:cs="Arial"/>
          <w:b w:val="0"/>
          <w:caps w:val="0"/>
          <w:color w:val="000000"/>
          <w:sz w:val="20"/>
          <w:lang w:val="en-GB"/>
        </w:rPr>
        <w:t>Dry matter (DM) content (%) was calculated as:</w:t>
      </w:r>
    </w:p>
    <w:p w14:paraId="663AC617" w14:textId="77777777" w:rsidR="00A520E1" w:rsidRPr="00A520E1" w:rsidRDefault="00A520E1" w:rsidP="00F65ACB">
      <w:pPr>
        <w:pStyle w:val="ConcHead"/>
        <w:rPr>
          <w:rFonts w:ascii="Arial" w:eastAsiaTheme="majorEastAsia" w:hAnsi="Arial" w:cs="Arial"/>
          <w:b w:val="0"/>
          <w:caps w:val="0"/>
          <w:color w:val="000000"/>
          <w:sz w:val="20"/>
          <w:lang w:val="en-GB"/>
        </w:rPr>
      </w:pPr>
      <w:r w:rsidRPr="00A520E1">
        <w:rPr>
          <w:rFonts w:ascii="Arial" w:eastAsiaTheme="majorEastAsia" w:hAnsi="Arial" w:cs="Arial"/>
          <w:b w:val="0"/>
          <w:caps w:val="0"/>
          <w:color w:val="000000"/>
          <w:sz w:val="20"/>
          <w:lang w:val="en-GB"/>
        </w:rPr>
        <w:t>DM (%) = 100 − moisture (%).</w:t>
      </w:r>
    </w:p>
    <w:p w14:paraId="404D42CC" w14:textId="77777777" w:rsidR="00A520E1" w:rsidRPr="00A520E1" w:rsidRDefault="00A520E1" w:rsidP="00F65ACB">
      <w:pPr>
        <w:pStyle w:val="ConcHead"/>
        <w:rPr>
          <w:rFonts w:ascii="Arial" w:eastAsiaTheme="majorEastAsia" w:hAnsi="Arial" w:cs="Arial"/>
          <w:b w:val="0"/>
          <w:caps w:val="0"/>
          <w:color w:val="000000"/>
          <w:sz w:val="20"/>
          <w:lang w:val="en-GB"/>
        </w:rPr>
      </w:pPr>
      <w:r w:rsidRPr="00A520E1">
        <w:rPr>
          <w:rFonts w:ascii="Arial" w:eastAsiaTheme="majorEastAsia" w:hAnsi="Arial" w:cs="Arial"/>
          <w:b w:val="0"/>
          <w:caps w:val="0"/>
          <w:color w:val="000000"/>
          <w:sz w:val="20"/>
          <w:lang w:val="en-GB"/>
        </w:rPr>
        <w:t xml:space="preserve">Dry matter–based nutrient values were derived by adjusting fresh-weight values using the DM fraction. Metabolizable energy (ME) was estimated on a DM basis (kcal/kg DM) using the standard equation outlined in KS EAS 75:2019, incorporating crude protein, </w:t>
      </w:r>
      <w:proofErr w:type="spellStart"/>
      <w:r w:rsidRPr="00A520E1">
        <w:rPr>
          <w:rFonts w:ascii="Arial" w:eastAsiaTheme="majorEastAsia" w:hAnsi="Arial" w:cs="Arial"/>
          <w:b w:val="0"/>
          <w:caps w:val="0"/>
          <w:color w:val="000000"/>
          <w:sz w:val="20"/>
          <w:lang w:val="en-GB"/>
        </w:rPr>
        <w:t>fiber</w:t>
      </w:r>
      <w:proofErr w:type="spellEnd"/>
      <w:r w:rsidRPr="00A520E1">
        <w:rPr>
          <w:rFonts w:ascii="Arial" w:eastAsiaTheme="majorEastAsia" w:hAnsi="Arial" w:cs="Arial"/>
          <w:b w:val="0"/>
          <w:caps w:val="0"/>
          <w:color w:val="000000"/>
          <w:sz w:val="20"/>
          <w:lang w:val="en-GB"/>
        </w:rPr>
        <w:t>, fat, and ash components.</w:t>
      </w:r>
    </w:p>
    <w:p w14:paraId="31725EFC" w14:textId="77777777" w:rsidR="00A520E1" w:rsidRPr="00A520E1" w:rsidRDefault="00A520E1" w:rsidP="00F65ACB">
      <w:pPr>
        <w:pStyle w:val="ConcHead"/>
        <w:rPr>
          <w:rFonts w:ascii="Arial" w:eastAsiaTheme="majorEastAsia" w:hAnsi="Arial" w:cs="Arial"/>
          <w:b w:val="0"/>
          <w:caps w:val="0"/>
          <w:color w:val="000000"/>
          <w:sz w:val="20"/>
          <w:lang w:val="en-GB"/>
        </w:rPr>
      </w:pPr>
      <w:r w:rsidRPr="00A520E1">
        <w:rPr>
          <w:rFonts w:ascii="Arial" w:eastAsiaTheme="majorEastAsia" w:hAnsi="Arial" w:cs="Arial"/>
          <w:b w:val="0"/>
          <w:caps w:val="0"/>
          <w:color w:val="000000"/>
          <w:sz w:val="20"/>
          <w:lang w:val="en-GB"/>
        </w:rPr>
        <w:t>Total aflatoxin concentration (sum of B</w:t>
      </w:r>
      <w:r w:rsidRPr="00A520E1">
        <w:rPr>
          <w:rFonts w:ascii="Cambria Math" w:eastAsiaTheme="majorEastAsia" w:hAnsi="Cambria Math" w:cs="Cambria Math"/>
          <w:b w:val="0"/>
          <w:caps w:val="0"/>
          <w:color w:val="000000"/>
          <w:sz w:val="20"/>
          <w:lang w:val="en-GB"/>
        </w:rPr>
        <w:t>₁</w:t>
      </w:r>
      <w:r w:rsidRPr="00A520E1">
        <w:rPr>
          <w:rFonts w:ascii="Arial" w:eastAsiaTheme="majorEastAsia" w:hAnsi="Arial" w:cs="Arial"/>
          <w:b w:val="0"/>
          <w:caps w:val="0"/>
          <w:color w:val="000000"/>
          <w:sz w:val="20"/>
          <w:lang w:val="en-GB"/>
        </w:rPr>
        <w:t>, B</w:t>
      </w:r>
      <w:r w:rsidRPr="00A520E1">
        <w:rPr>
          <w:rFonts w:ascii="Cambria Math" w:eastAsiaTheme="majorEastAsia" w:hAnsi="Cambria Math" w:cs="Cambria Math"/>
          <w:b w:val="0"/>
          <w:caps w:val="0"/>
          <w:color w:val="000000"/>
          <w:sz w:val="20"/>
          <w:lang w:val="en-GB"/>
        </w:rPr>
        <w:t>₂</w:t>
      </w:r>
      <w:r w:rsidRPr="00A520E1">
        <w:rPr>
          <w:rFonts w:ascii="Arial" w:eastAsiaTheme="majorEastAsia" w:hAnsi="Arial" w:cs="Arial"/>
          <w:b w:val="0"/>
          <w:caps w:val="0"/>
          <w:color w:val="000000"/>
          <w:sz w:val="20"/>
          <w:lang w:val="en-GB"/>
        </w:rPr>
        <w:t>, G</w:t>
      </w:r>
      <w:r w:rsidRPr="00A520E1">
        <w:rPr>
          <w:rFonts w:ascii="Cambria Math" w:eastAsiaTheme="majorEastAsia" w:hAnsi="Cambria Math" w:cs="Cambria Math"/>
          <w:b w:val="0"/>
          <w:caps w:val="0"/>
          <w:color w:val="000000"/>
          <w:sz w:val="20"/>
          <w:lang w:val="en-GB"/>
        </w:rPr>
        <w:t>₁</w:t>
      </w:r>
      <w:r w:rsidRPr="00A520E1">
        <w:rPr>
          <w:rFonts w:ascii="Arial" w:eastAsiaTheme="majorEastAsia" w:hAnsi="Arial" w:cs="Arial"/>
          <w:b w:val="0"/>
          <w:caps w:val="0"/>
          <w:color w:val="000000"/>
          <w:sz w:val="20"/>
          <w:lang w:val="en-GB"/>
        </w:rPr>
        <w:t>, G</w:t>
      </w:r>
      <w:r w:rsidRPr="00A520E1">
        <w:rPr>
          <w:rFonts w:ascii="Cambria Math" w:eastAsiaTheme="majorEastAsia" w:hAnsi="Cambria Math" w:cs="Cambria Math"/>
          <w:b w:val="0"/>
          <w:caps w:val="0"/>
          <w:color w:val="000000"/>
          <w:sz w:val="20"/>
          <w:lang w:val="en-GB"/>
        </w:rPr>
        <w:t>₂</w:t>
      </w:r>
      <w:r w:rsidRPr="00A520E1">
        <w:rPr>
          <w:rFonts w:ascii="Arial" w:eastAsiaTheme="majorEastAsia" w:hAnsi="Arial" w:cs="Arial"/>
          <w:b w:val="0"/>
          <w:caps w:val="0"/>
          <w:color w:val="000000"/>
          <w:sz w:val="20"/>
          <w:lang w:val="en-GB"/>
        </w:rPr>
        <w:t>) was quantified using immunoaffinity column cleanup followed by HPLC with fluorescence detection (ISO 16050), with a detection limit of 1 µg/kg. All analyses included appropriate calibration standards and quality control procedures.</w:t>
      </w:r>
    </w:p>
    <w:p w14:paraId="4DFD8751" w14:textId="6C66C189" w:rsidR="00155195" w:rsidRDefault="00A520E1" w:rsidP="00F65ACB">
      <w:pPr>
        <w:pStyle w:val="ConcHead"/>
        <w:spacing w:after="0"/>
        <w:rPr>
          <w:rFonts w:ascii="Arial" w:eastAsiaTheme="majorEastAsia" w:hAnsi="Arial" w:cs="Arial"/>
          <w:b w:val="0"/>
          <w:caps w:val="0"/>
          <w:color w:val="000000"/>
          <w:sz w:val="20"/>
          <w:lang w:val="en-GB"/>
        </w:rPr>
      </w:pPr>
      <w:r w:rsidRPr="00A520E1">
        <w:rPr>
          <w:rFonts w:ascii="Arial" w:eastAsiaTheme="majorEastAsia" w:hAnsi="Arial" w:cs="Arial"/>
          <w:b w:val="0"/>
          <w:caps w:val="0"/>
          <w:color w:val="000000"/>
          <w:sz w:val="20"/>
          <w:lang w:val="en-GB"/>
        </w:rPr>
        <w:t>Due to the composite sampling approach (pooled samples per species), results are presented descriptively as mean values per species, and no inferential statistical analyses (e.g., ANOVA) were performed.</w:t>
      </w:r>
    </w:p>
    <w:p w14:paraId="2BA051DA" w14:textId="77777777" w:rsidR="00155195" w:rsidRDefault="00155195" w:rsidP="00F65ACB">
      <w:pPr>
        <w:pStyle w:val="ConcHead"/>
        <w:spacing w:after="0"/>
        <w:rPr>
          <w:rFonts w:ascii="Arial" w:eastAsiaTheme="majorEastAsia" w:hAnsi="Arial" w:cs="Arial"/>
          <w:b w:val="0"/>
          <w:caps w:val="0"/>
          <w:color w:val="000000"/>
          <w:sz w:val="20"/>
          <w:lang w:val="en-GB"/>
        </w:rPr>
      </w:pPr>
    </w:p>
    <w:p w14:paraId="03FA18C9" w14:textId="4C58D265" w:rsidR="00B01FCD" w:rsidRDefault="00ED3F7F" w:rsidP="00F65ACB">
      <w:pPr>
        <w:pStyle w:val="ConcHead"/>
        <w:spacing w:after="0"/>
        <w:rPr>
          <w:rFonts w:ascii="Arial" w:hAnsi="Arial" w:cs="Arial"/>
        </w:rPr>
      </w:pPr>
      <w:r>
        <w:rPr>
          <w:rFonts w:ascii="Arial" w:hAnsi="Arial" w:cs="Arial"/>
        </w:rPr>
        <w:t>3</w:t>
      </w:r>
      <w:r w:rsidR="00000F8F">
        <w:rPr>
          <w:rFonts w:ascii="Arial" w:hAnsi="Arial" w:cs="Arial"/>
        </w:rPr>
        <w:t xml:space="preserve">. </w:t>
      </w:r>
      <w:r w:rsidR="00155195">
        <w:rPr>
          <w:rFonts w:ascii="Arial" w:hAnsi="Arial" w:cs="Arial"/>
        </w:rPr>
        <w:t>Results</w:t>
      </w:r>
    </w:p>
    <w:p w14:paraId="2C9592AA" w14:textId="77777777" w:rsidR="00790ADA" w:rsidRPr="00FB3A86" w:rsidRDefault="00790ADA" w:rsidP="00F65ACB">
      <w:pPr>
        <w:pStyle w:val="ConcHead"/>
        <w:spacing w:after="0"/>
        <w:rPr>
          <w:rFonts w:ascii="Arial" w:hAnsi="Arial" w:cs="Arial"/>
        </w:rPr>
      </w:pPr>
    </w:p>
    <w:p w14:paraId="67BA2CE6" w14:textId="4E74C278" w:rsidR="00ED3F7F" w:rsidRPr="00ED3F7F" w:rsidRDefault="00F75AF2" w:rsidP="00F65ACB">
      <w:pPr>
        <w:pStyle w:val="Body"/>
        <w:jc w:val="left"/>
        <w:rPr>
          <w:rFonts w:ascii="Arial" w:hAnsi="Arial" w:cs="Arial"/>
        </w:rPr>
      </w:pPr>
      <w:r w:rsidRPr="00F75AF2">
        <w:rPr>
          <w:rFonts w:ascii="Arial" w:hAnsi="Arial" w:cs="Arial"/>
        </w:rPr>
        <w:t>Significant variation was observed among fodder species</w:t>
      </w:r>
      <w:r>
        <w:rPr>
          <w:rFonts w:ascii="Arial" w:hAnsi="Arial" w:cs="Arial"/>
        </w:rPr>
        <w:t xml:space="preserve">. </w:t>
      </w:r>
      <w:r w:rsidR="00ED3F7F" w:rsidRPr="00ED3F7F">
        <w:rPr>
          <w:rFonts w:ascii="Arial" w:hAnsi="Arial" w:cs="Arial"/>
        </w:rPr>
        <w:t xml:space="preserve">The proximate composition (fresh-weight basis), metabolizable energy (ME; dry matter basis), and total aflatoxin content of the six fodder species are presented in Table </w:t>
      </w:r>
      <w:r w:rsidR="00270ED7">
        <w:rPr>
          <w:rFonts w:ascii="Arial" w:hAnsi="Arial" w:cs="Arial"/>
        </w:rPr>
        <w:t>2</w:t>
      </w:r>
      <w:r w:rsidR="00ED3F7F" w:rsidRPr="00ED3F7F">
        <w:rPr>
          <w:rFonts w:ascii="Arial" w:hAnsi="Arial" w:cs="Arial"/>
        </w:rPr>
        <w:t>.</w:t>
      </w:r>
    </w:p>
    <w:p w14:paraId="396DE831" w14:textId="372FC1AC" w:rsidR="00ED3F7F" w:rsidRPr="00ED3F7F" w:rsidRDefault="00ED3F7F" w:rsidP="00F65ACB">
      <w:pPr>
        <w:pStyle w:val="Body"/>
        <w:jc w:val="left"/>
        <w:rPr>
          <w:rFonts w:ascii="Arial" w:hAnsi="Arial" w:cs="Arial"/>
        </w:rPr>
      </w:pPr>
      <w:r w:rsidRPr="00ED3F7F">
        <w:rPr>
          <w:rFonts w:ascii="Arial" w:hAnsi="Arial" w:cs="Arial"/>
        </w:rPr>
        <w:t xml:space="preserve">Moisture content ranged narrowly from 31.97% in Johnson grass to 36.67% in Napier grass, indicating comparable harvest maturity across species. Ash content was highest in </w:t>
      </w:r>
      <w:proofErr w:type="spellStart"/>
      <w:r w:rsidRPr="00ED3F7F">
        <w:rPr>
          <w:rFonts w:ascii="Arial" w:hAnsi="Arial" w:cs="Arial"/>
        </w:rPr>
        <w:t>buffel</w:t>
      </w:r>
      <w:proofErr w:type="spellEnd"/>
      <w:r w:rsidRPr="00ED3F7F">
        <w:rPr>
          <w:rFonts w:ascii="Arial" w:hAnsi="Arial" w:cs="Arial"/>
        </w:rPr>
        <w:t xml:space="preserve"> grass (12.37%) and lowest in Napier grass (9.63%).</w:t>
      </w:r>
    </w:p>
    <w:p w14:paraId="4293EE6D" w14:textId="3F3C2DCB" w:rsidR="00ED3F7F" w:rsidRPr="00ED3F7F" w:rsidRDefault="00ED3F7F" w:rsidP="00F65ACB">
      <w:pPr>
        <w:pStyle w:val="Body"/>
        <w:jc w:val="left"/>
        <w:rPr>
          <w:rFonts w:ascii="Arial" w:hAnsi="Arial" w:cs="Arial"/>
        </w:rPr>
      </w:pPr>
      <w:r w:rsidRPr="00ED3F7F">
        <w:rPr>
          <w:rFonts w:ascii="Arial" w:hAnsi="Arial" w:cs="Arial"/>
        </w:rPr>
        <w:lastRenderedPageBreak/>
        <w:t xml:space="preserve">Substantial variation was observed in crude protein (CP), with Napier grass (29.90%) and lablab (28.73%) recording the highest values, more than double that of </w:t>
      </w:r>
      <w:proofErr w:type="spellStart"/>
      <w:r w:rsidRPr="00ED3F7F">
        <w:rPr>
          <w:rFonts w:ascii="Arial" w:hAnsi="Arial" w:cs="Arial"/>
        </w:rPr>
        <w:t>buffel</w:t>
      </w:r>
      <w:proofErr w:type="spellEnd"/>
      <w:r w:rsidRPr="00ED3F7F">
        <w:rPr>
          <w:rFonts w:ascii="Arial" w:hAnsi="Arial" w:cs="Arial"/>
        </w:rPr>
        <w:t xml:space="preserve"> grass (16.87%). When expressed on a dry matter basis, this corresponds to approximately 47.2% and 44.5% CP for Napier and lablab, respectively, reflecting their high nutritional quality.</w:t>
      </w:r>
    </w:p>
    <w:p w14:paraId="5717DC2C" w14:textId="3A07B853" w:rsidR="00ED3F7F" w:rsidRPr="00ED3F7F" w:rsidRDefault="00ED3F7F" w:rsidP="00F65ACB">
      <w:pPr>
        <w:pStyle w:val="Body"/>
        <w:jc w:val="left"/>
        <w:rPr>
          <w:rFonts w:ascii="Arial" w:hAnsi="Arial" w:cs="Arial"/>
        </w:rPr>
      </w:pPr>
      <w:r w:rsidRPr="00ED3F7F">
        <w:rPr>
          <w:rFonts w:ascii="Arial" w:hAnsi="Arial" w:cs="Arial"/>
        </w:rPr>
        <w:t xml:space="preserve">Crude fiber content varied considerably, being lowest in Napier grass (0.13%) and </w:t>
      </w:r>
      <w:proofErr w:type="spellStart"/>
      <w:r w:rsidRPr="00ED3F7F">
        <w:rPr>
          <w:rFonts w:ascii="Arial" w:hAnsi="Arial" w:cs="Arial"/>
        </w:rPr>
        <w:t>Urochloa</w:t>
      </w:r>
      <w:proofErr w:type="spellEnd"/>
      <w:r w:rsidRPr="00ED3F7F">
        <w:rPr>
          <w:rFonts w:ascii="Arial" w:hAnsi="Arial" w:cs="Arial"/>
        </w:rPr>
        <w:t xml:space="preserve"> hybrid cv. Mulato II (1.16%), and highest in </w:t>
      </w:r>
      <w:proofErr w:type="spellStart"/>
      <w:r w:rsidRPr="00ED3F7F">
        <w:rPr>
          <w:rFonts w:ascii="Arial" w:hAnsi="Arial" w:cs="Arial"/>
        </w:rPr>
        <w:t>buffel</w:t>
      </w:r>
      <w:proofErr w:type="spellEnd"/>
      <w:r w:rsidRPr="00ED3F7F">
        <w:rPr>
          <w:rFonts w:ascii="Arial" w:hAnsi="Arial" w:cs="Arial"/>
        </w:rPr>
        <w:t xml:space="preserve"> grass (5.37%) and Johnson grass (5.45%). Crude fat was negligible (&lt;0.01%) in </w:t>
      </w:r>
      <w:proofErr w:type="spellStart"/>
      <w:r w:rsidRPr="00ED3F7F">
        <w:rPr>
          <w:rFonts w:ascii="Arial" w:hAnsi="Arial" w:cs="Arial"/>
        </w:rPr>
        <w:t>buffel</w:t>
      </w:r>
      <w:proofErr w:type="spellEnd"/>
      <w:r w:rsidRPr="00ED3F7F">
        <w:rPr>
          <w:rFonts w:ascii="Arial" w:hAnsi="Arial" w:cs="Arial"/>
        </w:rPr>
        <w:t xml:space="preserve"> and blue panic grasses but relatively higher in lablab (3.13%) and Napier grass (2.42%).</w:t>
      </w:r>
    </w:p>
    <w:p w14:paraId="49665C06" w14:textId="77777777" w:rsidR="00ED3F7F" w:rsidRPr="00ED3F7F" w:rsidRDefault="00ED3F7F" w:rsidP="00F65ACB">
      <w:pPr>
        <w:pStyle w:val="Body"/>
        <w:jc w:val="left"/>
        <w:rPr>
          <w:rFonts w:ascii="Arial" w:hAnsi="Arial" w:cs="Arial"/>
        </w:rPr>
      </w:pPr>
      <w:r w:rsidRPr="00ED3F7F">
        <w:rPr>
          <w:rFonts w:ascii="Arial" w:hAnsi="Arial" w:cs="Arial"/>
        </w:rPr>
        <w:t xml:space="preserve">Metabolizable energy (ME) followed a similar trend to CP, with Napier grass (165.96 kcal/kg DM) and lablab (163.53 kcal/kg DM) showing the highest values, followed by </w:t>
      </w:r>
      <w:proofErr w:type="spellStart"/>
      <w:r w:rsidRPr="00ED3F7F">
        <w:rPr>
          <w:rFonts w:ascii="Arial" w:hAnsi="Arial" w:cs="Arial"/>
        </w:rPr>
        <w:t>Urochloa</w:t>
      </w:r>
      <w:proofErr w:type="spellEnd"/>
      <w:r w:rsidRPr="00ED3F7F">
        <w:rPr>
          <w:rFonts w:ascii="Arial" w:hAnsi="Arial" w:cs="Arial"/>
        </w:rPr>
        <w:t xml:space="preserve"> hybrid cv. Mulato II (153.03 kcal/kg DM). Buffel and Johnson grasses exhibited lower ME values (~141–144 kcal/kg DM), likely due to their higher fiber and lower protein content.</w:t>
      </w:r>
    </w:p>
    <w:p w14:paraId="283B63EE" w14:textId="3266B658" w:rsidR="00ED3F7F" w:rsidRPr="00ED3F7F" w:rsidRDefault="00ED3F7F" w:rsidP="00F65ACB">
      <w:pPr>
        <w:pStyle w:val="Body"/>
        <w:jc w:val="left"/>
        <w:rPr>
          <w:rFonts w:ascii="Arial" w:hAnsi="Arial" w:cs="Arial"/>
        </w:rPr>
      </w:pPr>
      <w:r w:rsidRPr="00ED3F7F">
        <w:rPr>
          <w:rFonts w:ascii="Arial" w:hAnsi="Arial" w:cs="Arial"/>
        </w:rPr>
        <w:t>Total aflatoxin levels were below the detection limit (&lt;1 µg/kg) in five of the six species. Only Johnson grass contained a detectable level (1.63 µg/kg), which remains far below international safety thresholds for animal feed.</w:t>
      </w:r>
    </w:p>
    <w:p w14:paraId="3BCA91C4" w14:textId="00B263B0" w:rsidR="00155195" w:rsidRPr="00ED3F7F" w:rsidRDefault="00ED3F7F" w:rsidP="00F65ACB">
      <w:pPr>
        <w:pStyle w:val="Body"/>
        <w:jc w:val="left"/>
        <w:rPr>
          <w:rFonts w:ascii="Arial" w:hAnsi="Arial" w:cs="Arial"/>
        </w:rPr>
      </w:pPr>
      <w:r w:rsidRPr="00ED3F7F">
        <w:rPr>
          <w:rFonts w:ascii="Arial" w:hAnsi="Arial" w:cs="Arial"/>
        </w:rPr>
        <w:t xml:space="preserve">Overall, Napier grass and lablab demonstrated superior nutritional quality in terms of protein and energy, whereas </w:t>
      </w:r>
      <w:proofErr w:type="spellStart"/>
      <w:r w:rsidRPr="00ED3F7F">
        <w:rPr>
          <w:rFonts w:ascii="Arial" w:hAnsi="Arial" w:cs="Arial"/>
        </w:rPr>
        <w:t>buffel</w:t>
      </w:r>
      <w:proofErr w:type="spellEnd"/>
      <w:r w:rsidRPr="00ED3F7F">
        <w:rPr>
          <w:rFonts w:ascii="Arial" w:hAnsi="Arial" w:cs="Arial"/>
        </w:rPr>
        <w:t xml:space="preserve"> and Johnson grasses exhibited a comparatively higher fiber, lower-protein profile. All tested fodders showed negligible aflatoxin contamination.</w:t>
      </w:r>
    </w:p>
    <w:p w14:paraId="7755715F" w14:textId="35AFE8E7" w:rsidR="00ED3F7F" w:rsidRPr="00270ED7" w:rsidRDefault="00ED3F7F" w:rsidP="00F65ACB">
      <w:pPr>
        <w:spacing w:after="160" w:line="278" w:lineRule="auto"/>
        <w:rPr>
          <w:rFonts w:ascii="Arial" w:hAnsi="Arial" w:cs="Arial"/>
        </w:rPr>
      </w:pPr>
      <w:r w:rsidRPr="00270ED7">
        <w:rPr>
          <w:rFonts w:ascii="Arial" w:hAnsi="Arial" w:cs="Arial"/>
        </w:rPr>
        <w:t xml:space="preserve">Table </w:t>
      </w:r>
      <w:r w:rsidR="00270ED7" w:rsidRPr="00270ED7">
        <w:rPr>
          <w:rFonts w:ascii="Arial" w:hAnsi="Arial" w:cs="Arial"/>
        </w:rPr>
        <w:t>2</w:t>
      </w:r>
      <w:r w:rsidRPr="00270ED7">
        <w:rPr>
          <w:rFonts w:ascii="Arial" w:hAnsi="Arial" w:cs="Arial"/>
        </w:rPr>
        <w:t>. Proximate composition (fresh-weight basis), metabolizable energy (dry matter basis), and total aflatoxin content of six fodder crops grown at ACRET, Somaliland.</w:t>
      </w:r>
    </w:p>
    <w:tbl>
      <w:tblPr>
        <w:tblW w:w="0" w:type="auto"/>
        <w:tblLook w:val="04A0" w:firstRow="1" w:lastRow="0" w:firstColumn="1" w:lastColumn="0" w:noHBand="0" w:noVBand="1"/>
      </w:tblPr>
      <w:tblGrid>
        <w:gridCol w:w="1433"/>
        <w:gridCol w:w="1087"/>
        <w:gridCol w:w="742"/>
        <w:gridCol w:w="996"/>
        <w:gridCol w:w="881"/>
        <w:gridCol w:w="862"/>
        <w:gridCol w:w="1041"/>
        <w:gridCol w:w="1166"/>
      </w:tblGrid>
      <w:tr w:rsidR="00ED3F7F" w:rsidRPr="00ED3F7F" w14:paraId="2DB40D4C" w14:textId="77777777" w:rsidTr="00F75AF2">
        <w:tc>
          <w:tcPr>
            <w:tcW w:w="0" w:type="auto"/>
            <w:tcBorders>
              <w:top w:val="single" w:sz="4" w:space="0" w:color="auto"/>
              <w:bottom w:val="single" w:sz="4" w:space="0" w:color="auto"/>
            </w:tcBorders>
            <w:hideMark/>
          </w:tcPr>
          <w:p w14:paraId="23EB461F" w14:textId="77777777" w:rsidR="00ED3F7F" w:rsidRPr="00ED3F7F" w:rsidRDefault="00ED3F7F" w:rsidP="00F65ACB">
            <w:pPr>
              <w:spacing w:after="160" w:line="278" w:lineRule="auto"/>
              <w:rPr>
                <w:rFonts w:ascii="Arial" w:hAnsi="Arial" w:cs="Arial"/>
                <w:b/>
                <w:bCs/>
              </w:rPr>
            </w:pPr>
            <w:r w:rsidRPr="00ED3F7F">
              <w:rPr>
                <w:rFonts w:ascii="Arial" w:hAnsi="Arial" w:cs="Arial"/>
                <w:b/>
                <w:bCs/>
              </w:rPr>
              <w:t>Fodder species</w:t>
            </w:r>
          </w:p>
        </w:tc>
        <w:tc>
          <w:tcPr>
            <w:tcW w:w="0" w:type="auto"/>
            <w:tcBorders>
              <w:top w:val="single" w:sz="4" w:space="0" w:color="auto"/>
              <w:bottom w:val="single" w:sz="4" w:space="0" w:color="auto"/>
            </w:tcBorders>
            <w:hideMark/>
          </w:tcPr>
          <w:p w14:paraId="13EDC970" w14:textId="77777777" w:rsidR="00ED3F7F" w:rsidRPr="00ED3F7F" w:rsidRDefault="00ED3F7F" w:rsidP="00F65ACB">
            <w:pPr>
              <w:spacing w:after="160" w:line="278" w:lineRule="auto"/>
              <w:rPr>
                <w:rFonts w:ascii="Arial" w:hAnsi="Arial" w:cs="Arial"/>
                <w:b/>
                <w:bCs/>
              </w:rPr>
            </w:pPr>
            <w:r w:rsidRPr="00ED3F7F">
              <w:rPr>
                <w:rFonts w:ascii="Arial" w:hAnsi="Arial" w:cs="Arial"/>
                <w:b/>
                <w:bCs/>
              </w:rPr>
              <w:t>Moisture (%)</w:t>
            </w:r>
          </w:p>
        </w:tc>
        <w:tc>
          <w:tcPr>
            <w:tcW w:w="0" w:type="auto"/>
            <w:tcBorders>
              <w:top w:val="single" w:sz="4" w:space="0" w:color="auto"/>
              <w:bottom w:val="single" w:sz="4" w:space="0" w:color="auto"/>
            </w:tcBorders>
            <w:hideMark/>
          </w:tcPr>
          <w:p w14:paraId="24558DAE" w14:textId="77777777" w:rsidR="00ED3F7F" w:rsidRPr="00ED3F7F" w:rsidRDefault="00ED3F7F" w:rsidP="00F65ACB">
            <w:pPr>
              <w:spacing w:after="160" w:line="278" w:lineRule="auto"/>
              <w:rPr>
                <w:rFonts w:ascii="Arial" w:hAnsi="Arial" w:cs="Arial"/>
                <w:b/>
                <w:bCs/>
              </w:rPr>
            </w:pPr>
            <w:r w:rsidRPr="00ED3F7F">
              <w:rPr>
                <w:rFonts w:ascii="Arial" w:hAnsi="Arial" w:cs="Arial"/>
                <w:b/>
                <w:bCs/>
              </w:rPr>
              <w:t>Ash (%)</w:t>
            </w:r>
          </w:p>
        </w:tc>
        <w:tc>
          <w:tcPr>
            <w:tcW w:w="0" w:type="auto"/>
            <w:tcBorders>
              <w:top w:val="single" w:sz="4" w:space="0" w:color="auto"/>
              <w:bottom w:val="single" w:sz="4" w:space="0" w:color="auto"/>
            </w:tcBorders>
            <w:hideMark/>
          </w:tcPr>
          <w:p w14:paraId="01290456" w14:textId="77777777" w:rsidR="00ED3F7F" w:rsidRPr="00ED3F7F" w:rsidRDefault="00ED3F7F" w:rsidP="00F65ACB">
            <w:pPr>
              <w:spacing w:after="160" w:line="278" w:lineRule="auto"/>
              <w:rPr>
                <w:rFonts w:ascii="Arial" w:hAnsi="Arial" w:cs="Arial"/>
                <w:b/>
                <w:bCs/>
              </w:rPr>
            </w:pPr>
            <w:r w:rsidRPr="00ED3F7F">
              <w:rPr>
                <w:rFonts w:ascii="Arial" w:hAnsi="Arial" w:cs="Arial"/>
                <w:b/>
                <w:bCs/>
              </w:rPr>
              <w:t>Crude protein (%)</w:t>
            </w:r>
          </w:p>
        </w:tc>
        <w:tc>
          <w:tcPr>
            <w:tcW w:w="0" w:type="auto"/>
            <w:tcBorders>
              <w:top w:val="single" w:sz="4" w:space="0" w:color="auto"/>
              <w:bottom w:val="single" w:sz="4" w:space="0" w:color="auto"/>
            </w:tcBorders>
            <w:hideMark/>
          </w:tcPr>
          <w:p w14:paraId="1D980C98" w14:textId="77777777" w:rsidR="00ED3F7F" w:rsidRPr="00ED3F7F" w:rsidRDefault="00ED3F7F" w:rsidP="00F65ACB">
            <w:pPr>
              <w:spacing w:after="160" w:line="278" w:lineRule="auto"/>
              <w:rPr>
                <w:rFonts w:ascii="Arial" w:hAnsi="Arial" w:cs="Arial"/>
                <w:b/>
                <w:bCs/>
              </w:rPr>
            </w:pPr>
            <w:r w:rsidRPr="00ED3F7F">
              <w:rPr>
                <w:rFonts w:ascii="Arial" w:hAnsi="Arial" w:cs="Arial"/>
                <w:b/>
                <w:bCs/>
              </w:rPr>
              <w:t>Crude fiber (%)</w:t>
            </w:r>
          </w:p>
        </w:tc>
        <w:tc>
          <w:tcPr>
            <w:tcW w:w="0" w:type="auto"/>
            <w:tcBorders>
              <w:top w:val="single" w:sz="4" w:space="0" w:color="auto"/>
              <w:bottom w:val="single" w:sz="4" w:space="0" w:color="auto"/>
            </w:tcBorders>
            <w:hideMark/>
          </w:tcPr>
          <w:p w14:paraId="6D27E348" w14:textId="77777777" w:rsidR="00ED3F7F" w:rsidRPr="00ED3F7F" w:rsidRDefault="00ED3F7F" w:rsidP="00F65ACB">
            <w:pPr>
              <w:spacing w:after="160" w:line="278" w:lineRule="auto"/>
              <w:rPr>
                <w:rFonts w:ascii="Arial" w:hAnsi="Arial" w:cs="Arial"/>
                <w:b/>
                <w:bCs/>
              </w:rPr>
            </w:pPr>
            <w:r w:rsidRPr="00ED3F7F">
              <w:rPr>
                <w:rFonts w:ascii="Arial" w:hAnsi="Arial" w:cs="Arial"/>
                <w:b/>
                <w:bCs/>
              </w:rPr>
              <w:t>Crude fat (%)</w:t>
            </w:r>
          </w:p>
        </w:tc>
        <w:tc>
          <w:tcPr>
            <w:tcW w:w="0" w:type="auto"/>
            <w:tcBorders>
              <w:top w:val="single" w:sz="4" w:space="0" w:color="auto"/>
              <w:bottom w:val="single" w:sz="4" w:space="0" w:color="auto"/>
            </w:tcBorders>
            <w:hideMark/>
          </w:tcPr>
          <w:p w14:paraId="2E47321D" w14:textId="77777777" w:rsidR="00ED3F7F" w:rsidRPr="00ED3F7F" w:rsidRDefault="00ED3F7F" w:rsidP="00F65ACB">
            <w:pPr>
              <w:spacing w:after="160" w:line="278" w:lineRule="auto"/>
              <w:rPr>
                <w:rFonts w:ascii="Arial" w:hAnsi="Arial" w:cs="Arial"/>
                <w:b/>
                <w:bCs/>
              </w:rPr>
            </w:pPr>
            <w:r w:rsidRPr="00ED3F7F">
              <w:rPr>
                <w:rFonts w:ascii="Arial" w:hAnsi="Arial" w:cs="Arial"/>
                <w:b/>
                <w:bCs/>
              </w:rPr>
              <w:t>ME (kcal/kg DM)</w:t>
            </w:r>
          </w:p>
        </w:tc>
        <w:tc>
          <w:tcPr>
            <w:tcW w:w="0" w:type="auto"/>
            <w:tcBorders>
              <w:top w:val="single" w:sz="4" w:space="0" w:color="auto"/>
              <w:bottom w:val="single" w:sz="4" w:space="0" w:color="auto"/>
            </w:tcBorders>
            <w:hideMark/>
          </w:tcPr>
          <w:p w14:paraId="7C5A4272" w14:textId="77777777" w:rsidR="00ED3F7F" w:rsidRPr="00ED3F7F" w:rsidRDefault="00ED3F7F" w:rsidP="00F65ACB">
            <w:pPr>
              <w:spacing w:after="160" w:line="278" w:lineRule="auto"/>
              <w:rPr>
                <w:rFonts w:ascii="Arial" w:hAnsi="Arial" w:cs="Arial"/>
                <w:b/>
                <w:bCs/>
              </w:rPr>
            </w:pPr>
            <w:r w:rsidRPr="00ED3F7F">
              <w:rPr>
                <w:rFonts w:ascii="Arial" w:hAnsi="Arial" w:cs="Arial"/>
                <w:b/>
                <w:bCs/>
              </w:rPr>
              <w:t>Total aflatoxin (µg/kg)</w:t>
            </w:r>
          </w:p>
        </w:tc>
      </w:tr>
      <w:tr w:rsidR="00ED3F7F" w:rsidRPr="00ED3F7F" w14:paraId="17258266" w14:textId="77777777" w:rsidTr="00F75AF2">
        <w:tc>
          <w:tcPr>
            <w:tcW w:w="0" w:type="auto"/>
            <w:tcBorders>
              <w:top w:val="single" w:sz="4" w:space="0" w:color="auto"/>
            </w:tcBorders>
            <w:hideMark/>
          </w:tcPr>
          <w:p w14:paraId="6F6ED614" w14:textId="77777777" w:rsidR="00ED3F7F" w:rsidRPr="00ED3F7F" w:rsidRDefault="00ED3F7F" w:rsidP="00F65ACB">
            <w:pPr>
              <w:spacing w:after="160" w:line="278" w:lineRule="auto"/>
              <w:rPr>
                <w:rFonts w:ascii="Arial" w:hAnsi="Arial" w:cs="Arial"/>
              </w:rPr>
            </w:pPr>
            <w:r w:rsidRPr="00ED3F7F">
              <w:rPr>
                <w:rFonts w:ascii="Arial" w:hAnsi="Arial" w:cs="Arial"/>
                <w:i/>
                <w:iCs/>
              </w:rPr>
              <w:t>Cenchrus ciliaris</w:t>
            </w:r>
            <w:r w:rsidRPr="00ED3F7F">
              <w:rPr>
                <w:rFonts w:ascii="Arial" w:hAnsi="Arial" w:cs="Arial"/>
              </w:rPr>
              <w:t xml:space="preserve"> (Buffel grass; local check)</w:t>
            </w:r>
          </w:p>
        </w:tc>
        <w:tc>
          <w:tcPr>
            <w:tcW w:w="0" w:type="auto"/>
            <w:tcBorders>
              <w:top w:val="single" w:sz="4" w:space="0" w:color="auto"/>
            </w:tcBorders>
            <w:hideMark/>
          </w:tcPr>
          <w:p w14:paraId="0A17A352" w14:textId="77777777" w:rsidR="00ED3F7F" w:rsidRPr="00ED3F7F" w:rsidRDefault="00ED3F7F" w:rsidP="00F65ACB">
            <w:pPr>
              <w:spacing w:after="160" w:line="278" w:lineRule="auto"/>
              <w:rPr>
                <w:rFonts w:ascii="Arial" w:hAnsi="Arial" w:cs="Arial"/>
              </w:rPr>
            </w:pPr>
            <w:r w:rsidRPr="00ED3F7F">
              <w:rPr>
                <w:rFonts w:ascii="Arial" w:hAnsi="Arial" w:cs="Arial"/>
              </w:rPr>
              <w:t>32.21</w:t>
            </w:r>
          </w:p>
        </w:tc>
        <w:tc>
          <w:tcPr>
            <w:tcW w:w="0" w:type="auto"/>
            <w:tcBorders>
              <w:top w:val="single" w:sz="4" w:space="0" w:color="auto"/>
            </w:tcBorders>
            <w:hideMark/>
          </w:tcPr>
          <w:p w14:paraId="47E1438D" w14:textId="77777777" w:rsidR="00ED3F7F" w:rsidRPr="00ED3F7F" w:rsidRDefault="00ED3F7F" w:rsidP="00F65ACB">
            <w:pPr>
              <w:spacing w:after="160" w:line="278" w:lineRule="auto"/>
              <w:rPr>
                <w:rFonts w:ascii="Arial" w:hAnsi="Arial" w:cs="Arial"/>
              </w:rPr>
            </w:pPr>
            <w:r w:rsidRPr="00ED3F7F">
              <w:rPr>
                <w:rFonts w:ascii="Arial" w:hAnsi="Arial" w:cs="Arial"/>
              </w:rPr>
              <w:t>12.37</w:t>
            </w:r>
          </w:p>
        </w:tc>
        <w:tc>
          <w:tcPr>
            <w:tcW w:w="0" w:type="auto"/>
            <w:tcBorders>
              <w:top w:val="single" w:sz="4" w:space="0" w:color="auto"/>
            </w:tcBorders>
            <w:hideMark/>
          </w:tcPr>
          <w:p w14:paraId="27E94BFF" w14:textId="77777777" w:rsidR="00ED3F7F" w:rsidRPr="00ED3F7F" w:rsidRDefault="00ED3F7F" w:rsidP="00F65ACB">
            <w:pPr>
              <w:spacing w:after="160" w:line="278" w:lineRule="auto"/>
              <w:rPr>
                <w:rFonts w:ascii="Arial" w:hAnsi="Arial" w:cs="Arial"/>
              </w:rPr>
            </w:pPr>
            <w:r w:rsidRPr="00ED3F7F">
              <w:rPr>
                <w:rFonts w:ascii="Arial" w:hAnsi="Arial" w:cs="Arial"/>
              </w:rPr>
              <w:t>16.87</w:t>
            </w:r>
          </w:p>
        </w:tc>
        <w:tc>
          <w:tcPr>
            <w:tcW w:w="0" w:type="auto"/>
            <w:tcBorders>
              <w:top w:val="single" w:sz="4" w:space="0" w:color="auto"/>
            </w:tcBorders>
            <w:hideMark/>
          </w:tcPr>
          <w:p w14:paraId="3C152BF6" w14:textId="77777777" w:rsidR="00ED3F7F" w:rsidRPr="00ED3F7F" w:rsidRDefault="00ED3F7F" w:rsidP="00F65ACB">
            <w:pPr>
              <w:spacing w:after="160" w:line="278" w:lineRule="auto"/>
              <w:rPr>
                <w:rFonts w:ascii="Arial" w:hAnsi="Arial" w:cs="Arial"/>
              </w:rPr>
            </w:pPr>
            <w:r w:rsidRPr="00ED3F7F">
              <w:rPr>
                <w:rFonts w:ascii="Arial" w:hAnsi="Arial" w:cs="Arial"/>
              </w:rPr>
              <w:t>5.37</w:t>
            </w:r>
          </w:p>
        </w:tc>
        <w:tc>
          <w:tcPr>
            <w:tcW w:w="0" w:type="auto"/>
            <w:tcBorders>
              <w:top w:val="single" w:sz="4" w:space="0" w:color="auto"/>
            </w:tcBorders>
            <w:hideMark/>
          </w:tcPr>
          <w:p w14:paraId="13444A4C" w14:textId="77777777" w:rsidR="00ED3F7F" w:rsidRPr="00ED3F7F" w:rsidRDefault="00ED3F7F" w:rsidP="00F65ACB">
            <w:pPr>
              <w:spacing w:after="160" w:line="278" w:lineRule="auto"/>
              <w:rPr>
                <w:rFonts w:ascii="Arial" w:hAnsi="Arial" w:cs="Arial"/>
              </w:rPr>
            </w:pPr>
            <w:r w:rsidRPr="00ED3F7F">
              <w:rPr>
                <w:rFonts w:ascii="Arial" w:hAnsi="Arial" w:cs="Arial"/>
              </w:rPr>
              <w:t>&lt;0.01</w:t>
            </w:r>
          </w:p>
        </w:tc>
        <w:tc>
          <w:tcPr>
            <w:tcW w:w="0" w:type="auto"/>
            <w:tcBorders>
              <w:top w:val="single" w:sz="4" w:space="0" w:color="auto"/>
            </w:tcBorders>
            <w:hideMark/>
          </w:tcPr>
          <w:p w14:paraId="3DE2F57D" w14:textId="77777777" w:rsidR="00ED3F7F" w:rsidRPr="00ED3F7F" w:rsidRDefault="00ED3F7F" w:rsidP="00F65ACB">
            <w:pPr>
              <w:spacing w:after="160" w:line="278" w:lineRule="auto"/>
              <w:rPr>
                <w:rFonts w:ascii="Arial" w:hAnsi="Arial" w:cs="Arial"/>
              </w:rPr>
            </w:pPr>
            <w:r w:rsidRPr="00ED3F7F">
              <w:rPr>
                <w:rFonts w:ascii="Arial" w:hAnsi="Arial" w:cs="Arial"/>
              </w:rPr>
              <w:t>141.52</w:t>
            </w:r>
          </w:p>
        </w:tc>
        <w:tc>
          <w:tcPr>
            <w:tcW w:w="0" w:type="auto"/>
            <w:tcBorders>
              <w:top w:val="single" w:sz="4" w:space="0" w:color="auto"/>
            </w:tcBorders>
            <w:hideMark/>
          </w:tcPr>
          <w:p w14:paraId="46F098DF" w14:textId="77777777" w:rsidR="00ED3F7F" w:rsidRPr="00ED3F7F" w:rsidRDefault="00ED3F7F" w:rsidP="00F65ACB">
            <w:pPr>
              <w:spacing w:after="160" w:line="278" w:lineRule="auto"/>
              <w:rPr>
                <w:rFonts w:ascii="Arial" w:hAnsi="Arial" w:cs="Arial"/>
              </w:rPr>
            </w:pPr>
            <w:r w:rsidRPr="00ED3F7F">
              <w:rPr>
                <w:rFonts w:ascii="Arial" w:hAnsi="Arial" w:cs="Arial"/>
              </w:rPr>
              <w:t>&lt;1.0</w:t>
            </w:r>
          </w:p>
        </w:tc>
      </w:tr>
      <w:tr w:rsidR="00ED3F7F" w:rsidRPr="00ED3F7F" w14:paraId="2BA0666A" w14:textId="77777777" w:rsidTr="00F75AF2">
        <w:tc>
          <w:tcPr>
            <w:tcW w:w="0" w:type="auto"/>
            <w:hideMark/>
          </w:tcPr>
          <w:p w14:paraId="15083F4D" w14:textId="77777777" w:rsidR="00ED3F7F" w:rsidRPr="00ED3F7F" w:rsidRDefault="00ED3F7F" w:rsidP="00F65ACB">
            <w:pPr>
              <w:spacing w:after="160" w:line="278" w:lineRule="auto"/>
              <w:rPr>
                <w:rFonts w:ascii="Arial" w:hAnsi="Arial" w:cs="Arial"/>
              </w:rPr>
            </w:pPr>
            <w:r w:rsidRPr="00ED3F7F">
              <w:rPr>
                <w:rFonts w:ascii="Arial" w:hAnsi="Arial" w:cs="Arial"/>
                <w:i/>
                <w:iCs/>
              </w:rPr>
              <w:t>Panicum antidotale</w:t>
            </w:r>
            <w:r w:rsidRPr="00ED3F7F">
              <w:rPr>
                <w:rFonts w:ascii="Arial" w:hAnsi="Arial" w:cs="Arial"/>
              </w:rPr>
              <w:t xml:space="preserve"> (Blue panic)</w:t>
            </w:r>
          </w:p>
        </w:tc>
        <w:tc>
          <w:tcPr>
            <w:tcW w:w="0" w:type="auto"/>
            <w:hideMark/>
          </w:tcPr>
          <w:p w14:paraId="787121F2" w14:textId="77777777" w:rsidR="00ED3F7F" w:rsidRPr="00ED3F7F" w:rsidRDefault="00ED3F7F" w:rsidP="00F65ACB">
            <w:pPr>
              <w:spacing w:after="160" w:line="278" w:lineRule="auto"/>
              <w:rPr>
                <w:rFonts w:ascii="Arial" w:hAnsi="Arial" w:cs="Arial"/>
              </w:rPr>
            </w:pPr>
            <w:r w:rsidRPr="00ED3F7F">
              <w:rPr>
                <w:rFonts w:ascii="Arial" w:hAnsi="Arial" w:cs="Arial"/>
              </w:rPr>
              <w:t>34.89</w:t>
            </w:r>
          </w:p>
        </w:tc>
        <w:tc>
          <w:tcPr>
            <w:tcW w:w="0" w:type="auto"/>
            <w:hideMark/>
          </w:tcPr>
          <w:p w14:paraId="27302ADD" w14:textId="77777777" w:rsidR="00ED3F7F" w:rsidRPr="00ED3F7F" w:rsidRDefault="00ED3F7F" w:rsidP="00F65ACB">
            <w:pPr>
              <w:spacing w:after="160" w:line="278" w:lineRule="auto"/>
              <w:rPr>
                <w:rFonts w:ascii="Arial" w:hAnsi="Arial" w:cs="Arial"/>
              </w:rPr>
            </w:pPr>
            <w:r w:rsidRPr="00ED3F7F">
              <w:rPr>
                <w:rFonts w:ascii="Arial" w:hAnsi="Arial" w:cs="Arial"/>
              </w:rPr>
              <w:t>12.14</w:t>
            </w:r>
          </w:p>
        </w:tc>
        <w:tc>
          <w:tcPr>
            <w:tcW w:w="0" w:type="auto"/>
            <w:hideMark/>
          </w:tcPr>
          <w:p w14:paraId="7DE93420" w14:textId="77777777" w:rsidR="00ED3F7F" w:rsidRPr="00ED3F7F" w:rsidRDefault="00ED3F7F" w:rsidP="00F65ACB">
            <w:pPr>
              <w:spacing w:after="160" w:line="278" w:lineRule="auto"/>
              <w:rPr>
                <w:rFonts w:ascii="Arial" w:hAnsi="Arial" w:cs="Arial"/>
              </w:rPr>
            </w:pPr>
            <w:r w:rsidRPr="00ED3F7F">
              <w:rPr>
                <w:rFonts w:ascii="Arial" w:hAnsi="Arial" w:cs="Arial"/>
              </w:rPr>
              <w:t>19.54</w:t>
            </w:r>
          </w:p>
        </w:tc>
        <w:tc>
          <w:tcPr>
            <w:tcW w:w="0" w:type="auto"/>
            <w:hideMark/>
          </w:tcPr>
          <w:p w14:paraId="7681B9A4" w14:textId="77777777" w:rsidR="00ED3F7F" w:rsidRPr="00ED3F7F" w:rsidRDefault="00ED3F7F" w:rsidP="00F65ACB">
            <w:pPr>
              <w:spacing w:after="160" w:line="278" w:lineRule="auto"/>
              <w:rPr>
                <w:rFonts w:ascii="Arial" w:hAnsi="Arial" w:cs="Arial"/>
              </w:rPr>
            </w:pPr>
            <w:r w:rsidRPr="00ED3F7F">
              <w:rPr>
                <w:rFonts w:ascii="Arial" w:hAnsi="Arial" w:cs="Arial"/>
              </w:rPr>
              <w:t>2.47</w:t>
            </w:r>
          </w:p>
        </w:tc>
        <w:tc>
          <w:tcPr>
            <w:tcW w:w="0" w:type="auto"/>
            <w:hideMark/>
          </w:tcPr>
          <w:p w14:paraId="69BBB8E5" w14:textId="77777777" w:rsidR="00ED3F7F" w:rsidRPr="00ED3F7F" w:rsidRDefault="00ED3F7F" w:rsidP="00F65ACB">
            <w:pPr>
              <w:spacing w:after="160" w:line="278" w:lineRule="auto"/>
              <w:rPr>
                <w:rFonts w:ascii="Arial" w:hAnsi="Arial" w:cs="Arial"/>
              </w:rPr>
            </w:pPr>
            <w:r w:rsidRPr="00ED3F7F">
              <w:rPr>
                <w:rFonts w:ascii="Arial" w:hAnsi="Arial" w:cs="Arial"/>
              </w:rPr>
              <w:t>&lt;0.01</w:t>
            </w:r>
          </w:p>
        </w:tc>
        <w:tc>
          <w:tcPr>
            <w:tcW w:w="0" w:type="auto"/>
            <w:hideMark/>
          </w:tcPr>
          <w:p w14:paraId="61B10DD2" w14:textId="77777777" w:rsidR="00ED3F7F" w:rsidRPr="00ED3F7F" w:rsidRDefault="00ED3F7F" w:rsidP="00F65ACB">
            <w:pPr>
              <w:spacing w:after="160" w:line="278" w:lineRule="auto"/>
              <w:rPr>
                <w:rFonts w:ascii="Arial" w:hAnsi="Arial" w:cs="Arial"/>
              </w:rPr>
            </w:pPr>
            <w:r w:rsidRPr="00ED3F7F">
              <w:rPr>
                <w:rFonts w:ascii="Arial" w:hAnsi="Arial" w:cs="Arial"/>
              </w:rPr>
              <w:t>144.92</w:t>
            </w:r>
          </w:p>
        </w:tc>
        <w:tc>
          <w:tcPr>
            <w:tcW w:w="0" w:type="auto"/>
            <w:hideMark/>
          </w:tcPr>
          <w:p w14:paraId="606C08F4" w14:textId="77777777" w:rsidR="00ED3F7F" w:rsidRPr="00ED3F7F" w:rsidRDefault="00ED3F7F" w:rsidP="00F65ACB">
            <w:pPr>
              <w:spacing w:after="160" w:line="278" w:lineRule="auto"/>
              <w:rPr>
                <w:rFonts w:ascii="Arial" w:hAnsi="Arial" w:cs="Arial"/>
              </w:rPr>
            </w:pPr>
            <w:r w:rsidRPr="00ED3F7F">
              <w:rPr>
                <w:rFonts w:ascii="Arial" w:hAnsi="Arial" w:cs="Arial"/>
              </w:rPr>
              <w:t>&lt;1.0</w:t>
            </w:r>
          </w:p>
        </w:tc>
      </w:tr>
      <w:tr w:rsidR="00ED3F7F" w:rsidRPr="00ED3F7F" w14:paraId="4D8A174E" w14:textId="77777777" w:rsidTr="00F75AF2">
        <w:tc>
          <w:tcPr>
            <w:tcW w:w="0" w:type="auto"/>
            <w:hideMark/>
          </w:tcPr>
          <w:p w14:paraId="4385A7F4" w14:textId="77777777" w:rsidR="00ED3F7F" w:rsidRPr="00ED3F7F" w:rsidRDefault="00ED3F7F" w:rsidP="00F65ACB">
            <w:pPr>
              <w:spacing w:after="160" w:line="278" w:lineRule="auto"/>
              <w:rPr>
                <w:rFonts w:ascii="Arial" w:hAnsi="Arial" w:cs="Arial"/>
              </w:rPr>
            </w:pPr>
            <w:proofErr w:type="spellStart"/>
            <w:r w:rsidRPr="00ED3F7F">
              <w:rPr>
                <w:rFonts w:ascii="Arial" w:hAnsi="Arial" w:cs="Arial"/>
                <w:i/>
                <w:iCs/>
              </w:rPr>
              <w:t>Urochloa</w:t>
            </w:r>
            <w:proofErr w:type="spellEnd"/>
            <w:r w:rsidRPr="00ED3F7F">
              <w:rPr>
                <w:rFonts w:ascii="Arial" w:hAnsi="Arial" w:cs="Arial"/>
              </w:rPr>
              <w:t xml:space="preserve"> hybrid cv. Mulato II</w:t>
            </w:r>
          </w:p>
        </w:tc>
        <w:tc>
          <w:tcPr>
            <w:tcW w:w="0" w:type="auto"/>
            <w:hideMark/>
          </w:tcPr>
          <w:p w14:paraId="7989255C" w14:textId="77777777" w:rsidR="00ED3F7F" w:rsidRPr="00ED3F7F" w:rsidRDefault="00ED3F7F" w:rsidP="00F65ACB">
            <w:pPr>
              <w:spacing w:after="160" w:line="278" w:lineRule="auto"/>
              <w:rPr>
                <w:rFonts w:ascii="Arial" w:hAnsi="Arial" w:cs="Arial"/>
              </w:rPr>
            </w:pPr>
            <w:r w:rsidRPr="00ED3F7F">
              <w:rPr>
                <w:rFonts w:ascii="Arial" w:hAnsi="Arial" w:cs="Arial"/>
              </w:rPr>
              <w:t>34.80</w:t>
            </w:r>
          </w:p>
        </w:tc>
        <w:tc>
          <w:tcPr>
            <w:tcW w:w="0" w:type="auto"/>
            <w:hideMark/>
          </w:tcPr>
          <w:p w14:paraId="1D6B45F1" w14:textId="77777777" w:rsidR="00ED3F7F" w:rsidRPr="00ED3F7F" w:rsidRDefault="00ED3F7F" w:rsidP="00F65ACB">
            <w:pPr>
              <w:spacing w:after="160" w:line="278" w:lineRule="auto"/>
              <w:rPr>
                <w:rFonts w:ascii="Arial" w:hAnsi="Arial" w:cs="Arial"/>
              </w:rPr>
            </w:pPr>
            <w:r w:rsidRPr="00ED3F7F">
              <w:rPr>
                <w:rFonts w:ascii="Arial" w:hAnsi="Arial" w:cs="Arial"/>
              </w:rPr>
              <w:t>11.94</w:t>
            </w:r>
          </w:p>
        </w:tc>
        <w:tc>
          <w:tcPr>
            <w:tcW w:w="0" w:type="auto"/>
            <w:hideMark/>
          </w:tcPr>
          <w:p w14:paraId="3766EA6B" w14:textId="77777777" w:rsidR="00ED3F7F" w:rsidRPr="00ED3F7F" w:rsidRDefault="00ED3F7F" w:rsidP="00F65ACB">
            <w:pPr>
              <w:spacing w:after="160" w:line="278" w:lineRule="auto"/>
              <w:rPr>
                <w:rFonts w:ascii="Arial" w:hAnsi="Arial" w:cs="Arial"/>
              </w:rPr>
            </w:pPr>
            <w:r w:rsidRPr="00ED3F7F">
              <w:rPr>
                <w:rFonts w:ascii="Arial" w:hAnsi="Arial" w:cs="Arial"/>
              </w:rPr>
              <w:t>23.28</w:t>
            </w:r>
          </w:p>
        </w:tc>
        <w:tc>
          <w:tcPr>
            <w:tcW w:w="0" w:type="auto"/>
            <w:hideMark/>
          </w:tcPr>
          <w:p w14:paraId="023BE9BC" w14:textId="77777777" w:rsidR="00ED3F7F" w:rsidRPr="00ED3F7F" w:rsidRDefault="00ED3F7F" w:rsidP="00F65ACB">
            <w:pPr>
              <w:spacing w:after="160" w:line="278" w:lineRule="auto"/>
              <w:rPr>
                <w:rFonts w:ascii="Arial" w:hAnsi="Arial" w:cs="Arial"/>
              </w:rPr>
            </w:pPr>
            <w:r w:rsidRPr="00ED3F7F">
              <w:rPr>
                <w:rFonts w:ascii="Arial" w:hAnsi="Arial" w:cs="Arial"/>
              </w:rPr>
              <w:t>1.16</w:t>
            </w:r>
          </w:p>
        </w:tc>
        <w:tc>
          <w:tcPr>
            <w:tcW w:w="0" w:type="auto"/>
            <w:hideMark/>
          </w:tcPr>
          <w:p w14:paraId="4F828320" w14:textId="77777777" w:rsidR="00ED3F7F" w:rsidRPr="00ED3F7F" w:rsidRDefault="00ED3F7F" w:rsidP="00F65ACB">
            <w:pPr>
              <w:spacing w:after="160" w:line="278" w:lineRule="auto"/>
              <w:rPr>
                <w:rFonts w:ascii="Arial" w:hAnsi="Arial" w:cs="Arial"/>
              </w:rPr>
            </w:pPr>
            <w:r w:rsidRPr="00ED3F7F">
              <w:rPr>
                <w:rFonts w:ascii="Arial" w:hAnsi="Arial" w:cs="Arial"/>
              </w:rPr>
              <w:t>0.72</w:t>
            </w:r>
          </w:p>
        </w:tc>
        <w:tc>
          <w:tcPr>
            <w:tcW w:w="0" w:type="auto"/>
            <w:hideMark/>
          </w:tcPr>
          <w:p w14:paraId="5CED3473" w14:textId="77777777" w:rsidR="00ED3F7F" w:rsidRPr="00ED3F7F" w:rsidRDefault="00ED3F7F" w:rsidP="00F65ACB">
            <w:pPr>
              <w:spacing w:after="160" w:line="278" w:lineRule="auto"/>
              <w:rPr>
                <w:rFonts w:ascii="Arial" w:hAnsi="Arial" w:cs="Arial"/>
              </w:rPr>
            </w:pPr>
            <w:r w:rsidRPr="00ED3F7F">
              <w:rPr>
                <w:rFonts w:ascii="Arial" w:hAnsi="Arial" w:cs="Arial"/>
              </w:rPr>
              <w:t>153.03</w:t>
            </w:r>
          </w:p>
        </w:tc>
        <w:tc>
          <w:tcPr>
            <w:tcW w:w="0" w:type="auto"/>
            <w:hideMark/>
          </w:tcPr>
          <w:p w14:paraId="1301F7BF" w14:textId="77777777" w:rsidR="00ED3F7F" w:rsidRPr="00ED3F7F" w:rsidRDefault="00ED3F7F" w:rsidP="00F65ACB">
            <w:pPr>
              <w:spacing w:after="160" w:line="278" w:lineRule="auto"/>
              <w:rPr>
                <w:rFonts w:ascii="Arial" w:hAnsi="Arial" w:cs="Arial"/>
              </w:rPr>
            </w:pPr>
            <w:r w:rsidRPr="00ED3F7F">
              <w:rPr>
                <w:rFonts w:ascii="Arial" w:hAnsi="Arial" w:cs="Arial"/>
              </w:rPr>
              <w:t>&lt;1.0</w:t>
            </w:r>
          </w:p>
        </w:tc>
      </w:tr>
      <w:tr w:rsidR="00ED3F7F" w:rsidRPr="00ED3F7F" w14:paraId="5C2FF57C" w14:textId="77777777" w:rsidTr="00F75AF2">
        <w:tc>
          <w:tcPr>
            <w:tcW w:w="0" w:type="auto"/>
            <w:hideMark/>
          </w:tcPr>
          <w:p w14:paraId="45ACD8A9" w14:textId="77777777" w:rsidR="00ED3F7F" w:rsidRPr="00ED3F7F" w:rsidRDefault="00ED3F7F" w:rsidP="00F65ACB">
            <w:pPr>
              <w:spacing w:after="160" w:line="278" w:lineRule="auto"/>
              <w:rPr>
                <w:rFonts w:ascii="Arial" w:hAnsi="Arial" w:cs="Arial"/>
              </w:rPr>
            </w:pPr>
            <w:r w:rsidRPr="00ED3F7F">
              <w:rPr>
                <w:rFonts w:ascii="Arial" w:hAnsi="Arial" w:cs="Arial"/>
                <w:i/>
                <w:iCs/>
              </w:rPr>
              <w:t xml:space="preserve">Sorghum </w:t>
            </w:r>
            <w:proofErr w:type="spellStart"/>
            <w:r w:rsidRPr="00ED3F7F">
              <w:rPr>
                <w:rFonts w:ascii="Arial" w:hAnsi="Arial" w:cs="Arial"/>
                <w:i/>
                <w:iCs/>
              </w:rPr>
              <w:t>halepense</w:t>
            </w:r>
            <w:proofErr w:type="spellEnd"/>
            <w:r w:rsidRPr="00ED3F7F">
              <w:rPr>
                <w:rFonts w:ascii="Arial" w:hAnsi="Arial" w:cs="Arial"/>
              </w:rPr>
              <w:t xml:space="preserve"> (Johnson grass)</w:t>
            </w:r>
          </w:p>
        </w:tc>
        <w:tc>
          <w:tcPr>
            <w:tcW w:w="0" w:type="auto"/>
            <w:hideMark/>
          </w:tcPr>
          <w:p w14:paraId="1300B69F" w14:textId="77777777" w:rsidR="00ED3F7F" w:rsidRPr="00ED3F7F" w:rsidRDefault="00ED3F7F" w:rsidP="00F65ACB">
            <w:pPr>
              <w:spacing w:after="160" w:line="278" w:lineRule="auto"/>
              <w:rPr>
                <w:rFonts w:ascii="Arial" w:hAnsi="Arial" w:cs="Arial"/>
              </w:rPr>
            </w:pPr>
            <w:r w:rsidRPr="00ED3F7F">
              <w:rPr>
                <w:rFonts w:ascii="Arial" w:hAnsi="Arial" w:cs="Arial"/>
              </w:rPr>
              <w:t>31.97</w:t>
            </w:r>
          </w:p>
        </w:tc>
        <w:tc>
          <w:tcPr>
            <w:tcW w:w="0" w:type="auto"/>
            <w:hideMark/>
          </w:tcPr>
          <w:p w14:paraId="1D6AA278" w14:textId="77777777" w:rsidR="00ED3F7F" w:rsidRPr="00ED3F7F" w:rsidRDefault="00ED3F7F" w:rsidP="00F65ACB">
            <w:pPr>
              <w:spacing w:after="160" w:line="278" w:lineRule="auto"/>
              <w:rPr>
                <w:rFonts w:ascii="Arial" w:hAnsi="Arial" w:cs="Arial"/>
              </w:rPr>
            </w:pPr>
            <w:r w:rsidRPr="00ED3F7F">
              <w:rPr>
                <w:rFonts w:ascii="Arial" w:hAnsi="Arial" w:cs="Arial"/>
              </w:rPr>
              <w:t>11.81</w:t>
            </w:r>
          </w:p>
        </w:tc>
        <w:tc>
          <w:tcPr>
            <w:tcW w:w="0" w:type="auto"/>
            <w:hideMark/>
          </w:tcPr>
          <w:p w14:paraId="1EE78B9F" w14:textId="77777777" w:rsidR="00ED3F7F" w:rsidRPr="00ED3F7F" w:rsidRDefault="00ED3F7F" w:rsidP="00F65ACB">
            <w:pPr>
              <w:spacing w:after="160" w:line="278" w:lineRule="auto"/>
              <w:rPr>
                <w:rFonts w:ascii="Arial" w:hAnsi="Arial" w:cs="Arial"/>
              </w:rPr>
            </w:pPr>
            <w:r w:rsidRPr="00ED3F7F">
              <w:rPr>
                <w:rFonts w:ascii="Arial" w:hAnsi="Arial" w:cs="Arial"/>
              </w:rPr>
              <w:t>19.42</w:t>
            </w:r>
          </w:p>
        </w:tc>
        <w:tc>
          <w:tcPr>
            <w:tcW w:w="0" w:type="auto"/>
            <w:hideMark/>
          </w:tcPr>
          <w:p w14:paraId="33E404D1" w14:textId="77777777" w:rsidR="00ED3F7F" w:rsidRPr="00ED3F7F" w:rsidRDefault="00ED3F7F" w:rsidP="00F65ACB">
            <w:pPr>
              <w:spacing w:after="160" w:line="278" w:lineRule="auto"/>
              <w:rPr>
                <w:rFonts w:ascii="Arial" w:hAnsi="Arial" w:cs="Arial"/>
              </w:rPr>
            </w:pPr>
            <w:r w:rsidRPr="00ED3F7F">
              <w:rPr>
                <w:rFonts w:ascii="Arial" w:hAnsi="Arial" w:cs="Arial"/>
              </w:rPr>
              <w:t>5.45</w:t>
            </w:r>
          </w:p>
        </w:tc>
        <w:tc>
          <w:tcPr>
            <w:tcW w:w="0" w:type="auto"/>
            <w:hideMark/>
          </w:tcPr>
          <w:p w14:paraId="4D99864A" w14:textId="77777777" w:rsidR="00ED3F7F" w:rsidRPr="00ED3F7F" w:rsidRDefault="00ED3F7F" w:rsidP="00F65ACB">
            <w:pPr>
              <w:spacing w:after="160" w:line="278" w:lineRule="auto"/>
              <w:rPr>
                <w:rFonts w:ascii="Arial" w:hAnsi="Arial" w:cs="Arial"/>
              </w:rPr>
            </w:pPr>
            <w:r w:rsidRPr="00ED3F7F">
              <w:rPr>
                <w:rFonts w:ascii="Arial" w:hAnsi="Arial" w:cs="Arial"/>
              </w:rPr>
              <w:t>0.80</w:t>
            </w:r>
          </w:p>
        </w:tc>
        <w:tc>
          <w:tcPr>
            <w:tcW w:w="0" w:type="auto"/>
            <w:hideMark/>
          </w:tcPr>
          <w:p w14:paraId="15C19FD9" w14:textId="77777777" w:rsidR="00ED3F7F" w:rsidRPr="00ED3F7F" w:rsidRDefault="00ED3F7F" w:rsidP="00F65ACB">
            <w:pPr>
              <w:spacing w:after="160" w:line="278" w:lineRule="auto"/>
              <w:rPr>
                <w:rFonts w:ascii="Arial" w:hAnsi="Arial" w:cs="Arial"/>
              </w:rPr>
            </w:pPr>
            <w:r w:rsidRPr="00ED3F7F">
              <w:rPr>
                <w:rFonts w:ascii="Arial" w:hAnsi="Arial" w:cs="Arial"/>
              </w:rPr>
              <w:t>143.76</w:t>
            </w:r>
          </w:p>
        </w:tc>
        <w:tc>
          <w:tcPr>
            <w:tcW w:w="0" w:type="auto"/>
            <w:hideMark/>
          </w:tcPr>
          <w:p w14:paraId="401E0EF0" w14:textId="77777777" w:rsidR="00ED3F7F" w:rsidRPr="00ED3F7F" w:rsidRDefault="00ED3F7F" w:rsidP="00F65ACB">
            <w:pPr>
              <w:spacing w:after="160" w:line="278" w:lineRule="auto"/>
              <w:rPr>
                <w:rFonts w:ascii="Arial" w:hAnsi="Arial" w:cs="Arial"/>
              </w:rPr>
            </w:pPr>
            <w:r w:rsidRPr="00ED3F7F">
              <w:rPr>
                <w:rFonts w:ascii="Arial" w:hAnsi="Arial" w:cs="Arial"/>
              </w:rPr>
              <w:t>1.63</w:t>
            </w:r>
          </w:p>
        </w:tc>
      </w:tr>
      <w:tr w:rsidR="00ED3F7F" w:rsidRPr="00ED3F7F" w14:paraId="6CF352CB" w14:textId="77777777" w:rsidTr="00F75AF2">
        <w:tc>
          <w:tcPr>
            <w:tcW w:w="0" w:type="auto"/>
            <w:hideMark/>
          </w:tcPr>
          <w:p w14:paraId="36E99041" w14:textId="77777777" w:rsidR="00ED3F7F" w:rsidRPr="00ED3F7F" w:rsidRDefault="00ED3F7F" w:rsidP="00F65ACB">
            <w:pPr>
              <w:spacing w:after="160" w:line="278" w:lineRule="auto"/>
              <w:rPr>
                <w:rFonts w:ascii="Arial" w:hAnsi="Arial" w:cs="Arial"/>
              </w:rPr>
            </w:pPr>
            <w:r w:rsidRPr="00ED3F7F">
              <w:rPr>
                <w:rFonts w:ascii="Arial" w:hAnsi="Arial" w:cs="Arial"/>
                <w:i/>
                <w:iCs/>
              </w:rPr>
              <w:t>Cenchrus purpureus</w:t>
            </w:r>
            <w:r w:rsidRPr="00ED3F7F">
              <w:rPr>
                <w:rFonts w:ascii="Arial" w:hAnsi="Arial" w:cs="Arial"/>
              </w:rPr>
              <w:t xml:space="preserve"> </w:t>
            </w:r>
            <w:r w:rsidRPr="00ED3F7F">
              <w:rPr>
                <w:rFonts w:ascii="Arial" w:hAnsi="Arial" w:cs="Arial"/>
              </w:rPr>
              <w:lastRenderedPageBreak/>
              <w:t>(Napier grass)</w:t>
            </w:r>
          </w:p>
        </w:tc>
        <w:tc>
          <w:tcPr>
            <w:tcW w:w="0" w:type="auto"/>
            <w:hideMark/>
          </w:tcPr>
          <w:p w14:paraId="394FF145" w14:textId="77777777" w:rsidR="00ED3F7F" w:rsidRPr="00ED3F7F" w:rsidRDefault="00ED3F7F" w:rsidP="00F65ACB">
            <w:pPr>
              <w:spacing w:after="160" w:line="278" w:lineRule="auto"/>
              <w:rPr>
                <w:rFonts w:ascii="Arial" w:hAnsi="Arial" w:cs="Arial"/>
              </w:rPr>
            </w:pPr>
            <w:r w:rsidRPr="00ED3F7F">
              <w:rPr>
                <w:rFonts w:ascii="Arial" w:hAnsi="Arial" w:cs="Arial"/>
              </w:rPr>
              <w:lastRenderedPageBreak/>
              <w:t>36.67</w:t>
            </w:r>
          </w:p>
        </w:tc>
        <w:tc>
          <w:tcPr>
            <w:tcW w:w="0" w:type="auto"/>
            <w:hideMark/>
          </w:tcPr>
          <w:p w14:paraId="4AE7ADDF" w14:textId="77777777" w:rsidR="00ED3F7F" w:rsidRPr="00ED3F7F" w:rsidRDefault="00ED3F7F" w:rsidP="00F65ACB">
            <w:pPr>
              <w:spacing w:after="160" w:line="278" w:lineRule="auto"/>
              <w:rPr>
                <w:rFonts w:ascii="Arial" w:hAnsi="Arial" w:cs="Arial"/>
              </w:rPr>
            </w:pPr>
            <w:r w:rsidRPr="00ED3F7F">
              <w:rPr>
                <w:rFonts w:ascii="Arial" w:hAnsi="Arial" w:cs="Arial"/>
              </w:rPr>
              <w:t>9.63</w:t>
            </w:r>
          </w:p>
        </w:tc>
        <w:tc>
          <w:tcPr>
            <w:tcW w:w="0" w:type="auto"/>
            <w:hideMark/>
          </w:tcPr>
          <w:p w14:paraId="35061AA1" w14:textId="77777777" w:rsidR="00ED3F7F" w:rsidRPr="00ED3F7F" w:rsidRDefault="00ED3F7F" w:rsidP="00F65ACB">
            <w:pPr>
              <w:spacing w:after="160" w:line="278" w:lineRule="auto"/>
              <w:rPr>
                <w:rFonts w:ascii="Arial" w:hAnsi="Arial" w:cs="Arial"/>
              </w:rPr>
            </w:pPr>
            <w:r w:rsidRPr="00ED3F7F">
              <w:rPr>
                <w:rFonts w:ascii="Arial" w:hAnsi="Arial" w:cs="Arial"/>
              </w:rPr>
              <w:t>29.90</w:t>
            </w:r>
          </w:p>
        </w:tc>
        <w:tc>
          <w:tcPr>
            <w:tcW w:w="0" w:type="auto"/>
            <w:hideMark/>
          </w:tcPr>
          <w:p w14:paraId="46386B6E" w14:textId="77777777" w:rsidR="00ED3F7F" w:rsidRPr="00ED3F7F" w:rsidRDefault="00ED3F7F" w:rsidP="00F65ACB">
            <w:pPr>
              <w:spacing w:after="160" w:line="278" w:lineRule="auto"/>
              <w:rPr>
                <w:rFonts w:ascii="Arial" w:hAnsi="Arial" w:cs="Arial"/>
              </w:rPr>
            </w:pPr>
            <w:r w:rsidRPr="00ED3F7F">
              <w:rPr>
                <w:rFonts w:ascii="Arial" w:hAnsi="Arial" w:cs="Arial"/>
              </w:rPr>
              <w:t>0.13</w:t>
            </w:r>
          </w:p>
        </w:tc>
        <w:tc>
          <w:tcPr>
            <w:tcW w:w="0" w:type="auto"/>
            <w:hideMark/>
          </w:tcPr>
          <w:p w14:paraId="7D7E25BC" w14:textId="77777777" w:rsidR="00ED3F7F" w:rsidRPr="00ED3F7F" w:rsidRDefault="00ED3F7F" w:rsidP="00F65ACB">
            <w:pPr>
              <w:spacing w:after="160" w:line="278" w:lineRule="auto"/>
              <w:rPr>
                <w:rFonts w:ascii="Arial" w:hAnsi="Arial" w:cs="Arial"/>
              </w:rPr>
            </w:pPr>
            <w:r w:rsidRPr="00ED3F7F">
              <w:rPr>
                <w:rFonts w:ascii="Arial" w:hAnsi="Arial" w:cs="Arial"/>
              </w:rPr>
              <w:t>2.42</w:t>
            </w:r>
          </w:p>
        </w:tc>
        <w:tc>
          <w:tcPr>
            <w:tcW w:w="0" w:type="auto"/>
            <w:hideMark/>
          </w:tcPr>
          <w:p w14:paraId="6B7AA823" w14:textId="77777777" w:rsidR="00ED3F7F" w:rsidRPr="00ED3F7F" w:rsidRDefault="00ED3F7F" w:rsidP="00F65ACB">
            <w:pPr>
              <w:spacing w:after="160" w:line="278" w:lineRule="auto"/>
              <w:rPr>
                <w:rFonts w:ascii="Arial" w:hAnsi="Arial" w:cs="Arial"/>
              </w:rPr>
            </w:pPr>
            <w:r w:rsidRPr="00ED3F7F">
              <w:rPr>
                <w:rFonts w:ascii="Arial" w:hAnsi="Arial" w:cs="Arial"/>
              </w:rPr>
              <w:t>165.96</w:t>
            </w:r>
          </w:p>
        </w:tc>
        <w:tc>
          <w:tcPr>
            <w:tcW w:w="0" w:type="auto"/>
            <w:hideMark/>
          </w:tcPr>
          <w:p w14:paraId="5B9136E2" w14:textId="77777777" w:rsidR="00ED3F7F" w:rsidRPr="00ED3F7F" w:rsidRDefault="00ED3F7F" w:rsidP="00F65ACB">
            <w:pPr>
              <w:spacing w:after="160" w:line="278" w:lineRule="auto"/>
              <w:rPr>
                <w:rFonts w:ascii="Arial" w:hAnsi="Arial" w:cs="Arial"/>
              </w:rPr>
            </w:pPr>
            <w:r w:rsidRPr="00ED3F7F">
              <w:rPr>
                <w:rFonts w:ascii="Arial" w:hAnsi="Arial" w:cs="Arial"/>
              </w:rPr>
              <w:t>&lt;1.0</w:t>
            </w:r>
          </w:p>
        </w:tc>
      </w:tr>
      <w:tr w:rsidR="00ED3F7F" w:rsidRPr="00ED3F7F" w14:paraId="4901D762" w14:textId="77777777" w:rsidTr="00F75AF2">
        <w:tc>
          <w:tcPr>
            <w:tcW w:w="0" w:type="auto"/>
            <w:tcBorders>
              <w:bottom w:val="single" w:sz="4" w:space="0" w:color="auto"/>
            </w:tcBorders>
            <w:hideMark/>
          </w:tcPr>
          <w:p w14:paraId="4DBC15A7" w14:textId="77777777" w:rsidR="00ED3F7F" w:rsidRPr="00ED3F7F" w:rsidRDefault="00ED3F7F" w:rsidP="00F65ACB">
            <w:pPr>
              <w:spacing w:after="160" w:line="278" w:lineRule="auto"/>
              <w:rPr>
                <w:rFonts w:ascii="Arial" w:hAnsi="Arial" w:cs="Arial"/>
              </w:rPr>
            </w:pPr>
            <w:r w:rsidRPr="00ED3F7F">
              <w:rPr>
                <w:rFonts w:ascii="Arial" w:hAnsi="Arial" w:cs="Arial"/>
                <w:i/>
                <w:iCs/>
              </w:rPr>
              <w:t>Lablab purpureus</w:t>
            </w:r>
            <w:r w:rsidRPr="00ED3F7F">
              <w:rPr>
                <w:rFonts w:ascii="Arial" w:hAnsi="Arial" w:cs="Arial"/>
              </w:rPr>
              <w:t xml:space="preserve"> (Lablab)</w:t>
            </w:r>
          </w:p>
        </w:tc>
        <w:tc>
          <w:tcPr>
            <w:tcW w:w="0" w:type="auto"/>
            <w:tcBorders>
              <w:bottom w:val="single" w:sz="4" w:space="0" w:color="auto"/>
            </w:tcBorders>
            <w:hideMark/>
          </w:tcPr>
          <w:p w14:paraId="439794B0" w14:textId="77777777" w:rsidR="00ED3F7F" w:rsidRPr="00ED3F7F" w:rsidRDefault="00ED3F7F" w:rsidP="00F65ACB">
            <w:pPr>
              <w:spacing w:after="160" w:line="278" w:lineRule="auto"/>
              <w:rPr>
                <w:rFonts w:ascii="Arial" w:hAnsi="Arial" w:cs="Arial"/>
              </w:rPr>
            </w:pPr>
            <w:r w:rsidRPr="00ED3F7F">
              <w:rPr>
                <w:rFonts w:ascii="Arial" w:hAnsi="Arial" w:cs="Arial"/>
              </w:rPr>
              <w:t>35.46</w:t>
            </w:r>
          </w:p>
        </w:tc>
        <w:tc>
          <w:tcPr>
            <w:tcW w:w="0" w:type="auto"/>
            <w:tcBorders>
              <w:bottom w:val="single" w:sz="4" w:space="0" w:color="auto"/>
            </w:tcBorders>
            <w:hideMark/>
          </w:tcPr>
          <w:p w14:paraId="293008CB" w14:textId="77777777" w:rsidR="00ED3F7F" w:rsidRPr="00ED3F7F" w:rsidRDefault="00ED3F7F" w:rsidP="00F65ACB">
            <w:pPr>
              <w:spacing w:after="160" w:line="278" w:lineRule="auto"/>
              <w:rPr>
                <w:rFonts w:ascii="Arial" w:hAnsi="Arial" w:cs="Arial"/>
              </w:rPr>
            </w:pPr>
            <w:r w:rsidRPr="00ED3F7F">
              <w:rPr>
                <w:rFonts w:ascii="Arial" w:hAnsi="Arial" w:cs="Arial"/>
              </w:rPr>
              <w:t>9.78</w:t>
            </w:r>
          </w:p>
        </w:tc>
        <w:tc>
          <w:tcPr>
            <w:tcW w:w="0" w:type="auto"/>
            <w:tcBorders>
              <w:bottom w:val="single" w:sz="4" w:space="0" w:color="auto"/>
            </w:tcBorders>
            <w:hideMark/>
          </w:tcPr>
          <w:p w14:paraId="32CE19F4" w14:textId="77777777" w:rsidR="00ED3F7F" w:rsidRPr="00ED3F7F" w:rsidRDefault="00ED3F7F" w:rsidP="00F65ACB">
            <w:pPr>
              <w:spacing w:after="160" w:line="278" w:lineRule="auto"/>
              <w:rPr>
                <w:rFonts w:ascii="Arial" w:hAnsi="Arial" w:cs="Arial"/>
              </w:rPr>
            </w:pPr>
            <w:r w:rsidRPr="00ED3F7F">
              <w:rPr>
                <w:rFonts w:ascii="Arial" w:hAnsi="Arial" w:cs="Arial"/>
              </w:rPr>
              <w:t>28.73</w:t>
            </w:r>
          </w:p>
        </w:tc>
        <w:tc>
          <w:tcPr>
            <w:tcW w:w="0" w:type="auto"/>
            <w:tcBorders>
              <w:bottom w:val="single" w:sz="4" w:space="0" w:color="auto"/>
            </w:tcBorders>
            <w:hideMark/>
          </w:tcPr>
          <w:p w14:paraId="27C6870D" w14:textId="77777777" w:rsidR="00ED3F7F" w:rsidRPr="00ED3F7F" w:rsidRDefault="00ED3F7F" w:rsidP="00F65ACB">
            <w:pPr>
              <w:spacing w:after="160" w:line="278" w:lineRule="auto"/>
              <w:rPr>
                <w:rFonts w:ascii="Arial" w:hAnsi="Arial" w:cs="Arial"/>
              </w:rPr>
            </w:pPr>
            <w:r w:rsidRPr="00ED3F7F">
              <w:rPr>
                <w:rFonts w:ascii="Arial" w:hAnsi="Arial" w:cs="Arial"/>
              </w:rPr>
              <w:t>1.72</w:t>
            </w:r>
          </w:p>
        </w:tc>
        <w:tc>
          <w:tcPr>
            <w:tcW w:w="0" w:type="auto"/>
            <w:tcBorders>
              <w:bottom w:val="single" w:sz="4" w:space="0" w:color="auto"/>
            </w:tcBorders>
            <w:hideMark/>
          </w:tcPr>
          <w:p w14:paraId="0637B64C" w14:textId="77777777" w:rsidR="00ED3F7F" w:rsidRPr="00ED3F7F" w:rsidRDefault="00ED3F7F" w:rsidP="00F65ACB">
            <w:pPr>
              <w:spacing w:after="160" w:line="278" w:lineRule="auto"/>
              <w:rPr>
                <w:rFonts w:ascii="Arial" w:hAnsi="Arial" w:cs="Arial"/>
              </w:rPr>
            </w:pPr>
            <w:r w:rsidRPr="00ED3F7F">
              <w:rPr>
                <w:rFonts w:ascii="Arial" w:hAnsi="Arial" w:cs="Arial"/>
              </w:rPr>
              <w:t>3.13</w:t>
            </w:r>
          </w:p>
        </w:tc>
        <w:tc>
          <w:tcPr>
            <w:tcW w:w="0" w:type="auto"/>
            <w:tcBorders>
              <w:bottom w:val="single" w:sz="4" w:space="0" w:color="auto"/>
            </w:tcBorders>
            <w:hideMark/>
          </w:tcPr>
          <w:p w14:paraId="22593A68" w14:textId="77777777" w:rsidR="00ED3F7F" w:rsidRPr="00ED3F7F" w:rsidRDefault="00ED3F7F" w:rsidP="00F65ACB">
            <w:pPr>
              <w:spacing w:after="160" w:line="278" w:lineRule="auto"/>
              <w:rPr>
                <w:rFonts w:ascii="Arial" w:hAnsi="Arial" w:cs="Arial"/>
              </w:rPr>
            </w:pPr>
            <w:r w:rsidRPr="00ED3F7F">
              <w:rPr>
                <w:rFonts w:ascii="Arial" w:hAnsi="Arial" w:cs="Arial"/>
              </w:rPr>
              <w:t>163.53</w:t>
            </w:r>
          </w:p>
        </w:tc>
        <w:tc>
          <w:tcPr>
            <w:tcW w:w="0" w:type="auto"/>
            <w:tcBorders>
              <w:bottom w:val="single" w:sz="4" w:space="0" w:color="auto"/>
            </w:tcBorders>
            <w:hideMark/>
          </w:tcPr>
          <w:p w14:paraId="5422757B" w14:textId="77777777" w:rsidR="00ED3F7F" w:rsidRPr="00ED3F7F" w:rsidRDefault="00ED3F7F" w:rsidP="00F65ACB">
            <w:pPr>
              <w:spacing w:after="160" w:line="278" w:lineRule="auto"/>
              <w:rPr>
                <w:rFonts w:ascii="Arial" w:hAnsi="Arial" w:cs="Arial"/>
              </w:rPr>
            </w:pPr>
            <w:r w:rsidRPr="00ED3F7F">
              <w:rPr>
                <w:rFonts w:ascii="Arial" w:hAnsi="Arial" w:cs="Arial"/>
              </w:rPr>
              <w:t>&lt;1.0</w:t>
            </w:r>
          </w:p>
        </w:tc>
      </w:tr>
    </w:tbl>
    <w:p w14:paraId="66B0B36D" w14:textId="10C3F1D8" w:rsidR="00ED3F7F" w:rsidRPr="00ED3F7F" w:rsidRDefault="00ED3F7F" w:rsidP="00F65ACB">
      <w:pPr>
        <w:spacing w:after="160" w:line="278" w:lineRule="auto"/>
        <w:rPr>
          <w:rFonts w:ascii="Times New Roman" w:hAnsi="Times New Roman"/>
        </w:rPr>
      </w:pPr>
      <w:r>
        <w:rPr>
          <w:i/>
          <w:iCs/>
        </w:rPr>
        <w:t>Notes:</w:t>
      </w:r>
      <w:r>
        <w:t xml:space="preserve"> </w:t>
      </w:r>
      <w:r>
        <w:rPr>
          <w:rFonts w:ascii="Arial" w:hAnsi="Arial" w:cs="Arial"/>
        </w:rPr>
        <w:t>v</w:t>
      </w:r>
      <w:r w:rsidRPr="00ED3F7F">
        <w:rPr>
          <w:rFonts w:ascii="Arial" w:hAnsi="Arial" w:cs="Arial"/>
        </w:rPr>
        <w:t>alues for proximate composition are expressed on a fresh-weight (FW) basis unless otherwise stated. Metabolizable energy (ME) values are expressed on a dry matter (DM) basis. Dry matter (%) was calculated as 100 − moisture (%). ME was estimated using the KS EAS 75:2019 equation based on proximate composition. Total aflatoxin represents the sum of aflatoxins B</w:t>
      </w:r>
      <w:r w:rsidRPr="00ED3F7F">
        <w:rPr>
          <w:rFonts w:ascii="Cambria Math" w:hAnsi="Cambria Math" w:cs="Cambria Math"/>
        </w:rPr>
        <w:t>₁</w:t>
      </w:r>
      <w:r w:rsidRPr="00ED3F7F">
        <w:rPr>
          <w:rFonts w:ascii="Arial" w:hAnsi="Arial" w:cs="Arial"/>
        </w:rPr>
        <w:t>, B</w:t>
      </w:r>
      <w:r w:rsidRPr="00ED3F7F">
        <w:rPr>
          <w:rFonts w:ascii="Cambria Math" w:hAnsi="Cambria Math" w:cs="Cambria Math"/>
        </w:rPr>
        <w:t>₂</w:t>
      </w:r>
      <w:r w:rsidRPr="00ED3F7F">
        <w:rPr>
          <w:rFonts w:ascii="Arial" w:hAnsi="Arial" w:cs="Arial"/>
        </w:rPr>
        <w:t>, G</w:t>
      </w:r>
      <w:r w:rsidRPr="00ED3F7F">
        <w:rPr>
          <w:rFonts w:ascii="Cambria Math" w:hAnsi="Cambria Math" w:cs="Cambria Math"/>
        </w:rPr>
        <w:t>₁</w:t>
      </w:r>
      <w:r w:rsidRPr="00ED3F7F">
        <w:rPr>
          <w:rFonts w:ascii="Arial" w:hAnsi="Arial" w:cs="Arial"/>
        </w:rPr>
        <w:t>, and G</w:t>
      </w:r>
      <w:r w:rsidRPr="00ED3F7F">
        <w:rPr>
          <w:rFonts w:ascii="Cambria Math" w:hAnsi="Cambria Math" w:cs="Cambria Math"/>
        </w:rPr>
        <w:t>₂</w:t>
      </w:r>
      <w:r w:rsidRPr="00ED3F7F">
        <w:rPr>
          <w:rFonts w:ascii="Arial" w:hAnsi="Arial" w:cs="Arial"/>
        </w:rPr>
        <w:t xml:space="preserve"> determined using ISO 16050 (immunoaffinity column cleanup followed by HPLC with fluorescence detection). The detection limit for aflatoxin analysis was 1 µg/kg. Values reported as &lt;0.01 or &lt;1.0 indicate concentrations below the analytical detection limit. Data represent composite means of three replicated plots per species; therefore, no inferential statistical analysis was performed.</w:t>
      </w:r>
    </w:p>
    <w:p w14:paraId="7278B9C0" w14:textId="37618A2A" w:rsidR="00ED3F7F" w:rsidRDefault="00ED3F7F" w:rsidP="00F65ACB">
      <w:pPr>
        <w:pStyle w:val="ConcHead"/>
        <w:spacing w:after="0"/>
        <w:rPr>
          <w:rFonts w:ascii="Arial" w:hAnsi="Arial" w:cs="Arial"/>
        </w:rPr>
      </w:pPr>
      <w:r>
        <w:rPr>
          <w:rFonts w:ascii="Arial" w:hAnsi="Arial" w:cs="Arial"/>
        </w:rPr>
        <w:t xml:space="preserve">4. </w:t>
      </w:r>
      <w:r w:rsidR="005305C7" w:rsidRPr="005305C7">
        <w:rPr>
          <w:rFonts w:ascii="Arial" w:hAnsi="Arial" w:cs="Arial"/>
        </w:rPr>
        <w:t>Discussion</w:t>
      </w:r>
    </w:p>
    <w:p w14:paraId="334219BB" w14:textId="77777777" w:rsidR="00ED3F7F" w:rsidRPr="00123B73" w:rsidRDefault="00ED3F7F" w:rsidP="00F65ACB">
      <w:pPr>
        <w:spacing w:after="160" w:line="278" w:lineRule="auto"/>
        <w:rPr>
          <w:rFonts w:ascii="Times New Roman" w:hAnsi="Times New Roman"/>
        </w:rPr>
      </w:pPr>
    </w:p>
    <w:p w14:paraId="021AF44B" w14:textId="784CB213" w:rsidR="00270ED7" w:rsidRPr="00270ED7" w:rsidRDefault="005305C7" w:rsidP="00F65ACB">
      <w:pPr>
        <w:pStyle w:val="Body"/>
        <w:jc w:val="left"/>
        <w:rPr>
          <w:rFonts w:ascii="Arial" w:hAnsi="Arial" w:cs="Arial"/>
        </w:rPr>
      </w:pPr>
      <w:r w:rsidRPr="005305C7">
        <w:rPr>
          <w:rFonts w:ascii="Arial" w:hAnsi="Arial" w:cs="Arial"/>
        </w:rPr>
        <w:t xml:space="preserve">The </w:t>
      </w:r>
      <w:proofErr w:type="spellStart"/>
      <w:r w:rsidR="00270ED7" w:rsidRPr="00270ED7">
        <w:rPr>
          <w:rFonts w:ascii="Arial" w:hAnsi="Arial" w:cs="Arial"/>
        </w:rPr>
        <w:t>The</w:t>
      </w:r>
      <w:proofErr w:type="spellEnd"/>
      <w:r w:rsidR="00270ED7" w:rsidRPr="00270ED7">
        <w:rPr>
          <w:rFonts w:ascii="Arial" w:hAnsi="Arial" w:cs="Arial"/>
        </w:rPr>
        <w:t xml:space="preserve"> findings highlight significant differences in fodder quality that have direct implications for livestock productivity and export performance.</w:t>
      </w:r>
      <w:r w:rsidR="00270ED7">
        <w:rPr>
          <w:rFonts w:ascii="Arial" w:hAnsi="Arial" w:cs="Arial"/>
        </w:rPr>
        <w:t xml:space="preserve"> </w:t>
      </w:r>
      <w:r w:rsidR="00270ED7" w:rsidRPr="00270ED7">
        <w:rPr>
          <w:rFonts w:ascii="Arial" w:hAnsi="Arial" w:cs="Arial"/>
        </w:rPr>
        <w:t>The superior protein content observed in Napier grass and lablab aligns with previous studies indicating that improved tropical forages and legumes can exceed 20–25% CP under optimal management [12,13]. High protein availability enhances rumen microbial activity, improving feed conversion efficiency and weight gain in small ruminants [4].</w:t>
      </w:r>
    </w:p>
    <w:p w14:paraId="70CC3FCD" w14:textId="3B5727E5" w:rsidR="00270ED7" w:rsidRPr="00270ED7" w:rsidRDefault="00270ED7" w:rsidP="00F65ACB">
      <w:pPr>
        <w:pStyle w:val="Body"/>
        <w:jc w:val="left"/>
        <w:rPr>
          <w:rFonts w:ascii="Arial" w:hAnsi="Arial" w:cs="Arial"/>
        </w:rPr>
      </w:pPr>
      <w:r w:rsidRPr="00270ED7">
        <w:rPr>
          <w:rFonts w:ascii="Arial" w:hAnsi="Arial" w:cs="Arial"/>
        </w:rPr>
        <w:t>The elevated metabolizable energy observed in these species further supports their suitability for finishing diets. Energy-dense feeds are critical for achieving desirable body condition scores prior to export, particularly in systems targeting Gulf markets [3].</w:t>
      </w:r>
      <w:r>
        <w:rPr>
          <w:rFonts w:ascii="Arial" w:hAnsi="Arial" w:cs="Arial"/>
        </w:rPr>
        <w:t xml:space="preserve"> </w:t>
      </w:r>
      <w:r w:rsidRPr="00270ED7">
        <w:rPr>
          <w:rFonts w:ascii="Arial" w:hAnsi="Arial" w:cs="Arial"/>
        </w:rPr>
        <w:t xml:space="preserve">In contrast, the higher fiber content recorded in </w:t>
      </w:r>
      <w:proofErr w:type="spellStart"/>
      <w:r w:rsidRPr="00270ED7">
        <w:rPr>
          <w:rFonts w:ascii="Arial" w:hAnsi="Arial" w:cs="Arial"/>
        </w:rPr>
        <w:t>buffel</w:t>
      </w:r>
      <w:proofErr w:type="spellEnd"/>
      <w:r w:rsidRPr="00270ED7">
        <w:rPr>
          <w:rFonts w:ascii="Arial" w:hAnsi="Arial" w:cs="Arial"/>
        </w:rPr>
        <w:t xml:space="preserve"> and Johnson grasses suggests lower digestibility. Similar findings have been reported in semi-arid forage systems, where structural carbohydrates increase under water stress, reducing feed quality [8,11]. Nevertheless, these species remain valuable for maintenance feeding due to their resilience and biomass production under marginal conditions.</w:t>
      </w:r>
    </w:p>
    <w:p w14:paraId="113CD006" w14:textId="77777777" w:rsidR="00270ED7" w:rsidRDefault="00270ED7" w:rsidP="00F65ACB">
      <w:pPr>
        <w:pStyle w:val="Body"/>
        <w:jc w:val="left"/>
        <w:rPr>
          <w:rFonts w:ascii="Arial" w:hAnsi="Arial" w:cs="Arial"/>
        </w:rPr>
      </w:pPr>
      <w:r w:rsidRPr="00270ED7">
        <w:rPr>
          <w:rFonts w:ascii="Arial" w:hAnsi="Arial" w:cs="Arial"/>
        </w:rPr>
        <w:t>Brachiaria (Mulato II) demonstrated intermediate performance, confirming its role as a balanced forage combining moderate protein and digestibility. This is consistent with breeding objectives aimed at improving forage quality and climate resilience [10].</w:t>
      </w:r>
      <w:r>
        <w:rPr>
          <w:rFonts w:ascii="Arial" w:hAnsi="Arial" w:cs="Arial"/>
        </w:rPr>
        <w:t xml:space="preserve"> </w:t>
      </w:r>
    </w:p>
    <w:p w14:paraId="5896548A" w14:textId="5DA00408" w:rsidR="00270ED7" w:rsidRPr="00270ED7" w:rsidRDefault="00270ED7" w:rsidP="00F65ACB">
      <w:pPr>
        <w:pStyle w:val="Body"/>
        <w:jc w:val="left"/>
        <w:rPr>
          <w:rFonts w:ascii="Arial" w:hAnsi="Arial" w:cs="Arial"/>
        </w:rPr>
      </w:pPr>
      <w:r w:rsidRPr="00270ED7">
        <w:rPr>
          <w:rFonts w:ascii="Arial" w:hAnsi="Arial" w:cs="Arial"/>
        </w:rPr>
        <w:t>The aflatoxin results are particularly significant. The near absence of contamination suggests that fresh fodder systems, combined with rapid handling and minimal storage, significantly reduce mycotoxin risks. This aligns with findings that aflatoxin contamination is primarily associated with poor storage conditions rather than fresh forage [6,14].</w:t>
      </w:r>
      <w:r w:rsidR="00D15E23">
        <w:rPr>
          <w:rFonts w:ascii="Arial" w:hAnsi="Arial" w:cs="Arial"/>
        </w:rPr>
        <w:t xml:space="preserve"> </w:t>
      </w:r>
      <w:r w:rsidRPr="00270ED7">
        <w:rPr>
          <w:rFonts w:ascii="Arial" w:hAnsi="Arial" w:cs="Arial"/>
        </w:rPr>
        <w:t>The low level detected in Johnson grass may be attributed to micro-environmental factors or plant structure, which can influence fungal colonization [11]. However, the detected level remains negligible and poses no risk to animal health or trade compliance.</w:t>
      </w:r>
    </w:p>
    <w:p w14:paraId="3B02EFD8" w14:textId="2C917E9A" w:rsidR="005305C7" w:rsidRDefault="00270ED7" w:rsidP="00F65ACB">
      <w:pPr>
        <w:pStyle w:val="Body"/>
        <w:jc w:val="left"/>
        <w:rPr>
          <w:rFonts w:ascii="Arial" w:hAnsi="Arial" w:cs="Arial"/>
        </w:rPr>
      </w:pPr>
      <w:r w:rsidRPr="00270ED7">
        <w:rPr>
          <w:rFonts w:ascii="Arial" w:hAnsi="Arial" w:cs="Arial"/>
        </w:rPr>
        <w:t>Importantly, these results reinforce the need to integrate nutritional quality with agronomic performance. While Napier grass and lablab offer superior quality, their adoption must consider water requirements, input costs, and farmer capacity.</w:t>
      </w:r>
    </w:p>
    <w:p w14:paraId="2E3FF3DA" w14:textId="6B3AF7DF" w:rsidR="005305C7" w:rsidRDefault="005305C7" w:rsidP="00F65ACB">
      <w:pPr>
        <w:pStyle w:val="ConcHead"/>
        <w:spacing w:after="0"/>
        <w:rPr>
          <w:rFonts w:ascii="Arial" w:hAnsi="Arial" w:cs="Arial"/>
        </w:rPr>
      </w:pPr>
      <w:r>
        <w:rPr>
          <w:rFonts w:ascii="Arial" w:hAnsi="Arial" w:cs="Arial"/>
        </w:rPr>
        <w:lastRenderedPageBreak/>
        <w:t xml:space="preserve">5. </w:t>
      </w:r>
      <w:r w:rsidRPr="005305C7">
        <w:rPr>
          <w:rFonts w:ascii="Arial" w:hAnsi="Arial" w:cs="Arial"/>
        </w:rPr>
        <w:t>Conclusion and Recommendations</w:t>
      </w:r>
    </w:p>
    <w:p w14:paraId="790B95C1" w14:textId="77777777" w:rsidR="005305C7" w:rsidRDefault="005305C7" w:rsidP="00F65ACB">
      <w:pPr>
        <w:pStyle w:val="Body"/>
        <w:jc w:val="left"/>
        <w:rPr>
          <w:rFonts w:ascii="Arial" w:hAnsi="Arial" w:cs="Arial"/>
        </w:rPr>
      </w:pPr>
    </w:p>
    <w:p w14:paraId="20A1661B" w14:textId="77777777" w:rsidR="00D15E23" w:rsidRPr="00D15E23" w:rsidRDefault="005305C7" w:rsidP="00F65ACB">
      <w:pPr>
        <w:pStyle w:val="Body"/>
        <w:jc w:val="left"/>
        <w:rPr>
          <w:rFonts w:ascii="Arial" w:hAnsi="Arial" w:cs="Arial"/>
        </w:rPr>
      </w:pPr>
      <w:r w:rsidRPr="005305C7">
        <w:rPr>
          <w:rFonts w:ascii="Arial" w:hAnsi="Arial" w:cs="Arial"/>
        </w:rPr>
        <w:t xml:space="preserve">This </w:t>
      </w:r>
      <w:r w:rsidR="00D15E23" w:rsidRPr="00D15E23">
        <w:rPr>
          <w:rFonts w:ascii="Arial" w:hAnsi="Arial" w:cs="Arial"/>
        </w:rPr>
        <w:t>This study provides a robust, locally validated assessment of the nutritional quality and aflatoxin safety of six key fodder crops cultivated under semi-arid conditions in Somaliland. The findings demonstrate clear interspecific variation in proximate composition and energy value, with important implications for livestock feeding systems and export performance.</w:t>
      </w:r>
    </w:p>
    <w:p w14:paraId="51BB8B15" w14:textId="77777777" w:rsidR="00D15E23" w:rsidRPr="00D15E23" w:rsidRDefault="00D15E23" w:rsidP="00F65ACB">
      <w:pPr>
        <w:pStyle w:val="Body"/>
        <w:jc w:val="left"/>
        <w:rPr>
          <w:rFonts w:ascii="Arial" w:hAnsi="Arial" w:cs="Arial"/>
        </w:rPr>
      </w:pPr>
      <w:r w:rsidRPr="00D15E23">
        <w:rPr>
          <w:rFonts w:ascii="Arial" w:hAnsi="Arial" w:cs="Arial"/>
        </w:rPr>
        <w:t>Among the evaluated species, Cenchrus purpureus (Napier grass) and Lablab purpureus (lablab) consistently exhibited superior nutritional profiles, characterized by high crude protein and metabolizable energy, coupled with low fiber content. These attributes make them particularly suitable for intensive feeding systems, including feedlot finishing and pre-export conditioning, where rapid weight gain and improved body condition are essential.</w:t>
      </w:r>
    </w:p>
    <w:p w14:paraId="26D59133" w14:textId="77777777" w:rsidR="00D15E23" w:rsidRPr="00D15E23" w:rsidRDefault="00D15E23" w:rsidP="00F65ACB">
      <w:pPr>
        <w:pStyle w:val="Body"/>
        <w:jc w:val="left"/>
        <w:rPr>
          <w:rFonts w:ascii="Arial" w:hAnsi="Arial" w:cs="Arial"/>
        </w:rPr>
      </w:pPr>
      <w:proofErr w:type="spellStart"/>
      <w:r w:rsidRPr="00D15E23">
        <w:rPr>
          <w:rFonts w:ascii="Arial" w:hAnsi="Arial" w:cs="Arial"/>
        </w:rPr>
        <w:t>Urochloa</w:t>
      </w:r>
      <w:proofErr w:type="spellEnd"/>
      <w:r w:rsidRPr="00D15E23">
        <w:rPr>
          <w:rFonts w:ascii="Arial" w:hAnsi="Arial" w:cs="Arial"/>
        </w:rPr>
        <w:t xml:space="preserve"> hybrid cv. Mulato II showed intermediate performance, offering a balanced combination of protein content and digestibility, and thus represents a viable option for integrated forage systems. In contrast, </w:t>
      </w:r>
      <w:proofErr w:type="spellStart"/>
      <w:r w:rsidRPr="00D15E23">
        <w:rPr>
          <w:rFonts w:ascii="Arial" w:hAnsi="Arial" w:cs="Arial"/>
        </w:rPr>
        <w:t>Cenchrus</w:t>
      </w:r>
      <w:proofErr w:type="spellEnd"/>
      <w:r w:rsidRPr="00D15E23">
        <w:rPr>
          <w:rFonts w:ascii="Arial" w:hAnsi="Arial" w:cs="Arial"/>
        </w:rPr>
        <w:t xml:space="preserve"> </w:t>
      </w:r>
      <w:proofErr w:type="spellStart"/>
      <w:r w:rsidRPr="00D15E23">
        <w:rPr>
          <w:rFonts w:ascii="Arial" w:hAnsi="Arial" w:cs="Arial"/>
        </w:rPr>
        <w:t>ciliaris</w:t>
      </w:r>
      <w:proofErr w:type="spellEnd"/>
      <w:r w:rsidRPr="00D15E23">
        <w:rPr>
          <w:rFonts w:ascii="Arial" w:hAnsi="Arial" w:cs="Arial"/>
        </w:rPr>
        <w:t xml:space="preserve"> (</w:t>
      </w:r>
      <w:proofErr w:type="spellStart"/>
      <w:r w:rsidRPr="00D15E23">
        <w:rPr>
          <w:rFonts w:ascii="Arial" w:hAnsi="Arial" w:cs="Arial"/>
        </w:rPr>
        <w:t>buffel</w:t>
      </w:r>
      <w:proofErr w:type="spellEnd"/>
      <w:r w:rsidRPr="00D15E23">
        <w:rPr>
          <w:rFonts w:ascii="Arial" w:hAnsi="Arial" w:cs="Arial"/>
        </w:rPr>
        <w:t xml:space="preserve"> grass) and Sorghum </w:t>
      </w:r>
      <w:proofErr w:type="spellStart"/>
      <w:r w:rsidRPr="00D15E23">
        <w:rPr>
          <w:rFonts w:ascii="Arial" w:hAnsi="Arial" w:cs="Arial"/>
        </w:rPr>
        <w:t>halepense</w:t>
      </w:r>
      <w:proofErr w:type="spellEnd"/>
      <w:r w:rsidRPr="00D15E23">
        <w:rPr>
          <w:rFonts w:ascii="Arial" w:hAnsi="Arial" w:cs="Arial"/>
        </w:rPr>
        <w:t xml:space="preserve"> (Johnson grass) were characterized by higher fiber and lower protein levels, indicating their suitability primarily for maintenance feeding or extensive production systems, especially under resource-constrained conditions.</w:t>
      </w:r>
    </w:p>
    <w:p w14:paraId="50C97730" w14:textId="77777777" w:rsidR="00D15E23" w:rsidRPr="00D15E23" w:rsidRDefault="00D15E23" w:rsidP="00F65ACB">
      <w:pPr>
        <w:pStyle w:val="Body"/>
        <w:jc w:val="left"/>
        <w:rPr>
          <w:rFonts w:ascii="Arial" w:hAnsi="Arial" w:cs="Arial"/>
        </w:rPr>
      </w:pPr>
      <w:r w:rsidRPr="00D15E23">
        <w:rPr>
          <w:rFonts w:ascii="Arial" w:hAnsi="Arial" w:cs="Arial"/>
        </w:rPr>
        <w:t xml:space="preserve">Importantly, the aflatoxin analysis revealed negligible contamination across all tested species, with only Sorghum </w:t>
      </w:r>
      <w:proofErr w:type="spellStart"/>
      <w:r w:rsidRPr="00D15E23">
        <w:rPr>
          <w:rFonts w:ascii="Arial" w:hAnsi="Arial" w:cs="Arial"/>
        </w:rPr>
        <w:t>halepense</w:t>
      </w:r>
      <w:proofErr w:type="spellEnd"/>
      <w:r w:rsidRPr="00D15E23">
        <w:rPr>
          <w:rFonts w:ascii="Arial" w:hAnsi="Arial" w:cs="Arial"/>
        </w:rPr>
        <w:t xml:space="preserve"> showing a detectable level (1.63 µg/kg), which remains well below internationally accepted safety thresholds. This finding underscores the relative safety of fresh fodder systems under proper handling conditions and highlights the low immediate risk of mycotoxin exposure in the studied production context.</w:t>
      </w:r>
    </w:p>
    <w:p w14:paraId="1CB6DC1B" w14:textId="1B6BA8D3" w:rsidR="00D15E23" w:rsidRPr="00D15E23" w:rsidRDefault="00D15E23" w:rsidP="00F65ACB">
      <w:pPr>
        <w:pStyle w:val="Body"/>
        <w:jc w:val="left"/>
        <w:rPr>
          <w:rFonts w:ascii="Arial" w:hAnsi="Arial" w:cs="Arial"/>
        </w:rPr>
      </w:pPr>
      <w:r w:rsidRPr="00D15E23">
        <w:rPr>
          <w:rFonts w:ascii="Arial" w:hAnsi="Arial" w:cs="Arial"/>
        </w:rPr>
        <w:t>Overall, the study establishes a critical evidence base for selecting appropriate fodder species based on nutritional quality, safety, and intended production objectives, thereby contributing to improved livestock productivity and enhanced export competitiveness.</w:t>
      </w:r>
    </w:p>
    <w:p w14:paraId="648C47BE" w14:textId="77777777" w:rsidR="00D15E23" w:rsidRPr="00D15E23" w:rsidRDefault="00D15E23" w:rsidP="00F65ACB">
      <w:pPr>
        <w:pStyle w:val="Body"/>
        <w:spacing w:after="0"/>
        <w:jc w:val="left"/>
        <w:rPr>
          <w:rFonts w:ascii="Arial" w:hAnsi="Arial" w:cs="Arial"/>
        </w:rPr>
      </w:pPr>
      <w:r w:rsidRPr="00D15E23">
        <w:rPr>
          <w:rFonts w:ascii="Arial" w:hAnsi="Arial" w:cs="Arial"/>
        </w:rPr>
        <w:t>Based on the findings, the following recommendations are proposed:</w:t>
      </w:r>
    </w:p>
    <w:p w14:paraId="74A931F1" w14:textId="3DF19D17" w:rsidR="00D15E23" w:rsidRPr="00D15E23" w:rsidRDefault="00D15E23" w:rsidP="00C04397">
      <w:pPr>
        <w:pStyle w:val="Body"/>
        <w:numPr>
          <w:ilvl w:val="0"/>
          <w:numId w:val="3"/>
        </w:numPr>
        <w:spacing w:after="0"/>
        <w:jc w:val="left"/>
        <w:rPr>
          <w:rFonts w:ascii="Arial" w:hAnsi="Arial" w:cs="Arial"/>
        </w:rPr>
      </w:pPr>
      <w:r w:rsidRPr="00D15E23">
        <w:rPr>
          <w:rFonts w:ascii="Arial" w:hAnsi="Arial" w:cs="Arial"/>
        </w:rPr>
        <w:t>Promotion of High-Quality Fodders for Export Systems:</w:t>
      </w:r>
      <w:r>
        <w:rPr>
          <w:rFonts w:ascii="Arial" w:hAnsi="Arial" w:cs="Arial"/>
        </w:rPr>
        <w:t xml:space="preserve"> </w:t>
      </w:r>
      <w:r w:rsidRPr="00D15E23">
        <w:rPr>
          <w:rFonts w:ascii="Arial" w:hAnsi="Arial" w:cs="Arial"/>
        </w:rPr>
        <w:t xml:space="preserve">Napier grass and lablab should be prioritized in feedlot and semi-intensive systems aimed at livestock finishing and export markets, due to their superior protein and energy content. </w:t>
      </w:r>
    </w:p>
    <w:p w14:paraId="19EDD64D" w14:textId="2CA37BAE" w:rsidR="00D15E23" w:rsidRPr="00D15E23" w:rsidRDefault="00D15E23" w:rsidP="00C04397">
      <w:pPr>
        <w:pStyle w:val="Body"/>
        <w:numPr>
          <w:ilvl w:val="0"/>
          <w:numId w:val="3"/>
        </w:numPr>
        <w:spacing w:after="0"/>
        <w:jc w:val="left"/>
        <w:rPr>
          <w:rFonts w:ascii="Arial" w:hAnsi="Arial" w:cs="Arial"/>
        </w:rPr>
      </w:pPr>
      <w:r w:rsidRPr="00D15E23">
        <w:rPr>
          <w:rFonts w:ascii="Arial" w:hAnsi="Arial" w:cs="Arial"/>
        </w:rPr>
        <w:t>Strategic Integration of Fodder Species:</w:t>
      </w:r>
      <w:r>
        <w:rPr>
          <w:rFonts w:ascii="Arial" w:hAnsi="Arial" w:cs="Arial"/>
        </w:rPr>
        <w:t xml:space="preserve"> </w:t>
      </w:r>
      <w:r w:rsidRPr="00D15E23">
        <w:rPr>
          <w:rFonts w:ascii="Arial" w:hAnsi="Arial" w:cs="Arial"/>
        </w:rPr>
        <w:t xml:space="preserve">Farmers should adopt a mixed-fodder strategy, combining high-quality species (e.g., lablab, Napier) with drought-tolerant grasses (e.g., </w:t>
      </w:r>
      <w:proofErr w:type="spellStart"/>
      <w:r w:rsidRPr="00D15E23">
        <w:rPr>
          <w:rFonts w:ascii="Arial" w:hAnsi="Arial" w:cs="Arial"/>
        </w:rPr>
        <w:t>buffel</w:t>
      </w:r>
      <w:proofErr w:type="spellEnd"/>
      <w:r w:rsidRPr="00D15E23">
        <w:rPr>
          <w:rFonts w:ascii="Arial" w:hAnsi="Arial" w:cs="Arial"/>
        </w:rPr>
        <w:t xml:space="preserve"> grass) to balance nutritional requirements with resilience under variable climatic conditions. </w:t>
      </w:r>
    </w:p>
    <w:p w14:paraId="5443033D" w14:textId="441BCAA8" w:rsidR="00D15E23" w:rsidRPr="00D15E23" w:rsidRDefault="00D15E23" w:rsidP="00C04397">
      <w:pPr>
        <w:pStyle w:val="Body"/>
        <w:numPr>
          <w:ilvl w:val="0"/>
          <w:numId w:val="3"/>
        </w:numPr>
        <w:spacing w:after="0"/>
        <w:jc w:val="left"/>
        <w:rPr>
          <w:rFonts w:ascii="Arial" w:hAnsi="Arial" w:cs="Arial"/>
        </w:rPr>
      </w:pPr>
      <w:r w:rsidRPr="00D15E23">
        <w:rPr>
          <w:rFonts w:ascii="Arial" w:hAnsi="Arial" w:cs="Arial"/>
        </w:rPr>
        <w:t>Targeted Use of Drought-Tolerant Species:</w:t>
      </w:r>
      <w:r>
        <w:rPr>
          <w:rFonts w:ascii="Arial" w:hAnsi="Arial" w:cs="Arial"/>
        </w:rPr>
        <w:t xml:space="preserve"> </w:t>
      </w:r>
      <w:r w:rsidRPr="00D15E23">
        <w:rPr>
          <w:rFonts w:ascii="Arial" w:hAnsi="Arial" w:cs="Arial"/>
        </w:rPr>
        <w:t xml:space="preserve">In arid and low-input systems, </w:t>
      </w:r>
      <w:proofErr w:type="spellStart"/>
      <w:r w:rsidRPr="00D15E23">
        <w:rPr>
          <w:rFonts w:ascii="Arial" w:hAnsi="Arial" w:cs="Arial"/>
        </w:rPr>
        <w:t>buffel</w:t>
      </w:r>
      <w:proofErr w:type="spellEnd"/>
      <w:r w:rsidRPr="00D15E23">
        <w:rPr>
          <w:rFonts w:ascii="Arial" w:hAnsi="Arial" w:cs="Arial"/>
        </w:rPr>
        <w:t xml:space="preserve"> grass and similar species should be utilized for maintenance feeding, with supplementation (protein-rich forages or concentrates) provided when animals are destined for market. </w:t>
      </w:r>
    </w:p>
    <w:p w14:paraId="29E02F00" w14:textId="26BD58EA" w:rsidR="00D15E23" w:rsidRPr="00D15E23" w:rsidRDefault="00D15E23" w:rsidP="00C04397">
      <w:pPr>
        <w:pStyle w:val="Body"/>
        <w:numPr>
          <w:ilvl w:val="0"/>
          <w:numId w:val="3"/>
        </w:numPr>
        <w:spacing w:after="0"/>
        <w:jc w:val="left"/>
        <w:rPr>
          <w:rFonts w:ascii="Arial" w:hAnsi="Arial" w:cs="Arial"/>
        </w:rPr>
      </w:pPr>
      <w:r w:rsidRPr="00D15E23">
        <w:rPr>
          <w:rFonts w:ascii="Arial" w:hAnsi="Arial" w:cs="Arial"/>
        </w:rPr>
        <w:t>Strengthening Post-Harvest Handling Practices:</w:t>
      </w:r>
      <w:r>
        <w:rPr>
          <w:rFonts w:ascii="Arial" w:hAnsi="Arial" w:cs="Arial"/>
        </w:rPr>
        <w:t xml:space="preserve"> </w:t>
      </w:r>
      <w:r w:rsidRPr="00D15E23">
        <w:rPr>
          <w:rFonts w:ascii="Arial" w:hAnsi="Arial" w:cs="Arial"/>
        </w:rPr>
        <w:t xml:space="preserve">Although aflatoxin levels were minimal, maintaining proper harvesting, handling, and storage practices is essential to prevent fungal contamination, particularly under humid or prolonged storage conditions. </w:t>
      </w:r>
    </w:p>
    <w:p w14:paraId="1877E5CC" w14:textId="192FFA7E" w:rsidR="00D15E23" w:rsidRPr="00D15E23" w:rsidRDefault="00D15E23" w:rsidP="00C04397">
      <w:pPr>
        <w:pStyle w:val="Body"/>
        <w:numPr>
          <w:ilvl w:val="0"/>
          <w:numId w:val="3"/>
        </w:numPr>
        <w:spacing w:after="0"/>
        <w:jc w:val="left"/>
        <w:rPr>
          <w:rFonts w:ascii="Arial" w:hAnsi="Arial" w:cs="Arial"/>
        </w:rPr>
      </w:pPr>
      <w:r w:rsidRPr="00D15E23">
        <w:rPr>
          <w:rFonts w:ascii="Arial" w:hAnsi="Arial" w:cs="Arial"/>
        </w:rPr>
        <w:t>Establishment of Routine Feed Safety Monitoring</w:t>
      </w:r>
      <w:r>
        <w:rPr>
          <w:rFonts w:ascii="Arial" w:hAnsi="Arial" w:cs="Arial"/>
        </w:rPr>
        <w:t xml:space="preserve">: </w:t>
      </w:r>
      <w:r w:rsidRPr="00D15E23">
        <w:rPr>
          <w:rFonts w:ascii="Arial" w:hAnsi="Arial" w:cs="Arial"/>
        </w:rPr>
        <w:t xml:space="preserve">Regular screening of fodder, especially species like Johnson grass, should be institutionalized through collaboration with laboratories such as SQCC to ensure compliance with international feed safety standards. </w:t>
      </w:r>
    </w:p>
    <w:p w14:paraId="4AB791EF" w14:textId="0457C731" w:rsidR="00D15E23" w:rsidRPr="00D15E23" w:rsidRDefault="00D15E23" w:rsidP="00C04397">
      <w:pPr>
        <w:pStyle w:val="Body"/>
        <w:numPr>
          <w:ilvl w:val="0"/>
          <w:numId w:val="3"/>
        </w:numPr>
        <w:spacing w:after="0"/>
        <w:jc w:val="left"/>
        <w:rPr>
          <w:rFonts w:ascii="Arial" w:hAnsi="Arial" w:cs="Arial"/>
        </w:rPr>
      </w:pPr>
      <w:r w:rsidRPr="00D15E23">
        <w:rPr>
          <w:rFonts w:ascii="Arial" w:hAnsi="Arial" w:cs="Arial"/>
        </w:rPr>
        <w:t>Integration of Nutritional and Agronomic Evaluation</w:t>
      </w:r>
      <w:r>
        <w:rPr>
          <w:rFonts w:ascii="Arial" w:hAnsi="Arial" w:cs="Arial"/>
        </w:rPr>
        <w:t xml:space="preserve">: </w:t>
      </w:r>
      <w:r w:rsidRPr="00D15E23">
        <w:rPr>
          <w:rFonts w:ascii="Arial" w:hAnsi="Arial" w:cs="Arial"/>
        </w:rPr>
        <w:t xml:space="preserve">Future research should link nutritional quality with biomass yield, dry matter productivity, water-use efficiency, </w:t>
      </w:r>
      <w:r w:rsidRPr="00D15E23">
        <w:rPr>
          <w:rFonts w:ascii="Arial" w:hAnsi="Arial" w:cs="Arial"/>
        </w:rPr>
        <w:lastRenderedPageBreak/>
        <w:t xml:space="preserve">and economic returns to identify the most sustainable and scalable fodder production systems. </w:t>
      </w:r>
    </w:p>
    <w:p w14:paraId="7F665AF5" w14:textId="3A98EAFF" w:rsidR="00D15E23" w:rsidRPr="00D15E23" w:rsidRDefault="00D15E23" w:rsidP="00C04397">
      <w:pPr>
        <w:pStyle w:val="Body"/>
        <w:numPr>
          <w:ilvl w:val="0"/>
          <w:numId w:val="3"/>
        </w:numPr>
        <w:spacing w:after="0"/>
        <w:jc w:val="left"/>
        <w:rPr>
          <w:rFonts w:ascii="Arial" w:hAnsi="Arial" w:cs="Arial"/>
        </w:rPr>
      </w:pPr>
      <w:r w:rsidRPr="00D15E23">
        <w:rPr>
          <w:rFonts w:ascii="Arial" w:hAnsi="Arial" w:cs="Arial"/>
        </w:rPr>
        <w:t>Seasonal and On-Farm Validation Studies:</w:t>
      </w:r>
      <w:r>
        <w:rPr>
          <w:rFonts w:ascii="Arial" w:hAnsi="Arial" w:cs="Arial"/>
        </w:rPr>
        <w:t xml:space="preserve"> </w:t>
      </w:r>
      <w:r w:rsidRPr="00D15E23">
        <w:rPr>
          <w:rFonts w:ascii="Arial" w:hAnsi="Arial" w:cs="Arial"/>
        </w:rPr>
        <w:t>Additional studies are required to assess seasonal variability, storage effects (hay/silage), and on-farm animal performance responses to these fodders under different management conditions.</w:t>
      </w:r>
    </w:p>
    <w:p w14:paraId="0A3D6A0F" w14:textId="77777777" w:rsidR="00155195" w:rsidRPr="00FB3A86" w:rsidRDefault="00155195" w:rsidP="00F65ACB">
      <w:pPr>
        <w:pStyle w:val="Body"/>
        <w:spacing w:after="0"/>
        <w:jc w:val="left"/>
        <w:rPr>
          <w:rFonts w:ascii="Arial" w:hAnsi="Arial" w:cs="Arial"/>
        </w:rPr>
      </w:pPr>
    </w:p>
    <w:p w14:paraId="70A595B7" w14:textId="77777777" w:rsidR="00F5323A" w:rsidRDefault="00F5323A" w:rsidP="00F65ACB">
      <w:pPr>
        <w:pStyle w:val="ReferHead"/>
        <w:spacing w:after="0"/>
        <w:rPr>
          <w:rFonts w:ascii="Arial" w:hAnsi="Arial" w:cs="Arial"/>
          <w:b w:val="0"/>
          <w:caps w:val="0"/>
          <w:sz w:val="20"/>
        </w:rPr>
      </w:pPr>
    </w:p>
    <w:p w14:paraId="1DF38C3F" w14:textId="77777777" w:rsidR="00B926EB" w:rsidRDefault="00B926EB" w:rsidP="00F65ACB">
      <w:pPr>
        <w:rPr>
          <w:rFonts w:ascii="Arial" w:hAnsi="Arial" w:cs="Arial"/>
        </w:rPr>
      </w:pPr>
      <w:bookmarkStart w:id="0" w:name="_GoBack"/>
      <w:bookmarkEnd w:id="0"/>
    </w:p>
    <w:p w14:paraId="3B72A1E9" w14:textId="77777777" w:rsidR="00B926EB" w:rsidRPr="00B926EB" w:rsidRDefault="00B926EB" w:rsidP="00B926EB">
      <w:pPr>
        <w:rPr>
          <w:rFonts w:ascii="Arial" w:hAnsi="Arial" w:cs="Arial"/>
        </w:rPr>
      </w:pPr>
      <w:r w:rsidRPr="00B926EB">
        <w:rPr>
          <w:rFonts w:ascii="Arial" w:hAnsi="Arial" w:cs="Arial"/>
        </w:rPr>
        <w:t>COMPETING INTERESTS DISCLAIMER:</w:t>
      </w:r>
    </w:p>
    <w:p w14:paraId="022970A1" w14:textId="37BA47C7" w:rsidR="00B926EB" w:rsidRDefault="00B926EB" w:rsidP="00B926EB">
      <w:pPr>
        <w:rPr>
          <w:rFonts w:ascii="Arial" w:hAnsi="Arial" w:cs="Arial"/>
        </w:rPr>
      </w:pPr>
      <w:r w:rsidRPr="00B926EB">
        <w:rPr>
          <w:rFonts w:ascii="Arial" w:hAnsi="Arial" w:cs="Arial"/>
        </w:rPr>
        <w:t>Authors have declared that they have no known competing financial interests OR non-financial interests OR personal relationships that could have appeared to influence the work reported in this paper.</w:t>
      </w:r>
    </w:p>
    <w:p w14:paraId="128B0A57" w14:textId="77777777" w:rsidR="005305C7" w:rsidRDefault="005305C7" w:rsidP="00F65ACB">
      <w:pPr>
        <w:pStyle w:val="ReferHead"/>
        <w:spacing w:after="0"/>
        <w:rPr>
          <w:rFonts w:ascii="Arial" w:hAnsi="Arial" w:cs="Arial"/>
        </w:rPr>
      </w:pPr>
    </w:p>
    <w:p w14:paraId="2CB4073A" w14:textId="03814D9C" w:rsidR="00B01FCD" w:rsidRDefault="00B01FCD" w:rsidP="00F65ACB">
      <w:pPr>
        <w:pStyle w:val="ReferHead"/>
        <w:spacing w:after="0"/>
        <w:rPr>
          <w:rFonts w:ascii="Arial" w:hAnsi="Arial" w:cs="Arial"/>
        </w:rPr>
      </w:pPr>
      <w:r w:rsidRPr="00FB3A86">
        <w:rPr>
          <w:rFonts w:ascii="Arial" w:hAnsi="Arial" w:cs="Arial"/>
        </w:rPr>
        <w:t>References</w:t>
      </w:r>
    </w:p>
    <w:p w14:paraId="11860F9E" w14:textId="77777777" w:rsidR="00790ADA" w:rsidRPr="00FB3A86" w:rsidRDefault="00790ADA" w:rsidP="00F65ACB">
      <w:pPr>
        <w:pStyle w:val="ReferHead"/>
        <w:spacing w:after="0"/>
        <w:rPr>
          <w:rFonts w:ascii="Arial" w:hAnsi="Arial" w:cs="Arial"/>
        </w:rPr>
      </w:pPr>
    </w:p>
    <w:p w14:paraId="06E7A388" w14:textId="77777777" w:rsidR="00D15E23" w:rsidRPr="00D15E23" w:rsidRDefault="00D15E23" w:rsidP="00C04397">
      <w:pPr>
        <w:numPr>
          <w:ilvl w:val="0"/>
          <w:numId w:val="2"/>
        </w:numPr>
        <w:spacing w:after="160" w:line="278" w:lineRule="auto"/>
        <w:rPr>
          <w:rFonts w:ascii="Arial" w:hAnsi="Arial" w:cs="Arial"/>
        </w:rPr>
      </w:pPr>
      <w:r w:rsidRPr="00D15E23">
        <w:rPr>
          <w:rFonts w:ascii="Arial" w:hAnsi="Arial" w:cs="Arial"/>
        </w:rPr>
        <w:t>Ministry of Finance and Economic Development. (2026). 2026 Budget Book. Government of Somaliland.</w:t>
      </w:r>
    </w:p>
    <w:p w14:paraId="7F793B52" w14:textId="77777777" w:rsidR="00D15E23" w:rsidRPr="00D15E23" w:rsidRDefault="00D15E23" w:rsidP="00C04397">
      <w:pPr>
        <w:numPr>
          <w:ilvl w:val="0"/>
          <w:numId w:val="2"/>
        </w:numPr>
        <w:spacing w:after="160" w:line="278" w:lineRule="auto"/>
        <w:rPr>
          <w:rFonts w:ascii="Arial" w:hAnsi="Arial" w:cs="Arial"/>
        </w:rPr>
      </w:pPr>
      <w:r w:rsidRPr="00D15E23">
        <w:rPr>
          <w:rFonts w:ascii="Arial" w:hAnsi="Arial" w:cs="Arial"/>
        </w:rPr>
        <w:t>Thornton, P. K. (2010). Livestock production: recent trends. Philosophical Transactions B, 365, 2853–2867. https://doi.org/10.1098/rstb.2010.0134</w:t>
      </w:r>
    </w:p>
    <w:p w14:paraId="68E5AB5A" w14:textId="77777777" w:rsidR="00D15E23" w:rsidRPr="00D15E23" w:rsidRDefault="00D15E23" w:rsidP="00C04397">
      <w:pPr>
        <w:numPr>
          <w:ilvl w:val="0"/>
          <w:numId w:val="2"/>
        </w:numPr>
        <w:spacing w:after="160" w:line="278" w:lineRule="auto"/>
        <w:rPr>
          <w:rFonts w:ascii="Arial" w:hAnsi="Arial" w:cs="Arial"/>
        </w:rPr>
      </w:pPr>
      <w:r w:rsidRPr="00D15E23">
        <w:rPr>
          <w:rFonts w:ascii="Arial" w:hAnsi="Arial" w:cs="Arial"/>
        </w:rPr>
        <w:t>Herrero, M., et al. (2013). Livestock and food security. Annual Review of Environment and Resources, 38, 1–27. https://doi.org/10.1146/annurev-environ-020411-130608</w:t>
      </w:r>
    </w:p>
    <w:p w14:paraId="4DEB918F" w14:textId="77777777" w:rsidR="00D15E23" w:rsidRPr="00D15E23" w:rsidRDefault="00D15E23" w:rsidP="00C04397">
      <w:pPr>
        <w:numPr>
          <w:ilvl w:val="0"/>
          <w:numId w:val="2"/>
        </w:numPr>
        <w:spacing w:after="160" w:line="278" w:lineRule="auto"/>
        <w:rPr>
          <w:rFonts w:ascii="Arial" w:hAnsi="Arial" w:cs="Arial"/>
        </w:rPr>
      </w:pPr>
      <w:r w:rsidRPr="00D15E23">
        <w:rPr>
          <w:rFonts w:ascii="Arial" w:hAnsi="Arial" w:cs="Arial"/>
        </w:rPr>
        <w:t>Mertens, D. R. (2009). Forage quality evaluation. Cornell Nutrition Conference Proceedings.</w:t>
      </w:r>
    </w:p>
    <w:p w14:paraId="613BEA12" w14:textId="77777777" w:rsidR="00D15E23" w:rsidRPr="00D15E23" w:rsidRDefault="00D15E23" w:rsidP="00C04397">
      <w:pPr>
        <w:numPr>
          <w:ilvl w:val="0"/>
          <w:numId w:val="2"/>
        </w:numPr>
        <w:spacing w:after="160" w:line="278" w:lineRule="auto"/>
        <w:rPr>
          <w:rFonts w:ascii="Arial" w:hAnsi="Arial" w:cs="Arial"/>
        </w:rPr>
      </w:pPr>
      <w:r w:rsidRPr="00D15E23">
        <w:rPr>
          <w:rFonts w:ascii="Arial" w:hAnsi="Arial" w:cs="Arial"/>
        </w:rPr>
        <w:t>Williams, J. H., et al. (2004). Human aflatoxicosis. American Journal of Clinical Nutrition, 80, 1106–1122. https://doi.org/10.1093/ajcn/80.5.1106</w:t>
      </w:r>
    </w:p>
    <w:p w14:paraId="528FAD8C" w14:textId="77777777" w:rsidR="00D15E23" w:rsidRPr="00D15E23" w:rsidRDefault="00D15E23" w:rsidP="00C04397">
      <w:pPr>
        <w:numPr>
          <w:ilvl w:val="0"/>
          <w:numId w:val="2"/>
        </w:numPr>
        <w:spacing w:after="160" w:line="278" w:lineRule="auto"/>
        <w:rPr>
          <w:rFonts w:ascii="Arial" w:hAnsi="Arial" w:cs="Arial"/>
        </w:rPr>
      </w:pPr>
      <w:r w:rsidRPr="00D15E23">
        <w:rPr>
          <w:rFonts w:ascii="Arial" w:hAnsi="Arial" w:cs="Arial"/>
        </w:rPr>
        <w:t>Magan, N., &amp; Aldred, D. (2007). Mycotoxins in food chain. International Journal of Food Microbiology, 119, 131–139. https://doi.org/10.1016/j.ijfoodmicro.2007.07.007</w:t>
      </w:r>
    </w:p>
    <w:p w14:paraId="6D01BB1C" w14:textId="77777777" w:rsidR="00D15E23" w:rsidRPr="00D15E23" w:rsidRDefault="00D15E23" w:rsidP="00C04397">
      <w:pPr>
        <w:numPr>
          <w:ilvl w:val="0"/>
          <w:numId w:val="2"/>
        </w:numPr>
        <w:spacing w:after="160" w:line="278" w:lineRule="auto"/>
        <w:rPr>
          <w:rFonts w:ascii="Arial" w:hAnsi="Arial" w:cs="Arial"/>
        </w:rPr>
      </w:pPr>
      <w:r w:rsidRPr="00D15E23">
        <w:rPr>
          <w:rFonts w:ascii="Arial" w:hAnsi="Arial" w:cs="Arial"/>
        </w:rPr>
        <w:t>EFSA. (2007). Aflatoxin B1 risks. EFSA Journal, 446. https://doi.org/10.2903/j.efsa.2007.446</w:t>
      </w:r>
    </w:p>
    <w:p w14:paraId="7674068C" w14:textId="77777777" w:rsidR="00D15E23" w:rsidRPr="00D15E23" w:rsidRDefault="00D15E23" w:rsidP="00C04397">
      <w:pPr>
        <w:numPr>
          <w:ilvl w:val="0"/>
          <w:numId w:val="2"/>
        </w:numPr>
        <w:spacing w:after="160" w:line="278" w:lineRule="auto"/>
        <w:rPr>
          <w:rFonts w:ascii="Arial" w:hAnsi="Arial" w:cs="Arial"/>
        </w:rPr>
      </w:pPr>
      <w:r w:rsidRPr="00D15E23">
        <w:rPr>
          <w:rFonts w:ascii="Arial" w:hAnsi="Arial" w:cs="Arial"/>
        </w:rPr>
        <w:t>Cook, B. G., et al. (2005). Tropical forages. CSIRO Publishing.</w:t>
      </w:r>
    </w:p>
    <w:p w14:paraId="5C2C1FEB" w14:textId="77777777" w:rsidR="00D15E23" w:rsidRPr="00D15E23" w:rsidRDefault="00D15E23" w:rsidP="00C04397">
      <w:pPr>
        <w:numPr>
          <w:ilvl w:val="0"/>
          <w:numId w:val="2"/>
        </w:numPr>
        <w:spacing w:after="160" w:line="278" w:lineRule="auto"/>
        <w:rPr>
          <w:rFonts w:ascii="Arial" w:hAnsi="Arial" w:cs="Arial"/>
        </w:rPr>
      </w:pPr>
      <w:r w:rsidRPr="00D15E23">
        <w:rPr>
          <w:rFonts w:ascii="Arial" w:hAnsi="Arial" w:cs="Arial"/>
        </w:rPr>
        <w:t>FAO. (2018). Grassland species profiles.</w:t>
      </w:r>
    </w:p>
    <w:p w14:paraId="23D16C57" w14:textId="77777777" w:rsidR="00D15E23" w:rsidRPr="00D15E23" w:rsidRDefault="00D15E23" w:rsidP="00C04397">
      <w:pPr>
        <w:numPr>
          <w:ilvl w:val="0"/>
          <w:numId w:val="2"/>
        </w:numPr>
        <w:spacing w:after="160" w:line="278" w:lineRule="auto"/>
        <w:rPr>
          <w:rFonts w:ascii="Arial" w:hAnsi="Arial" w:cs="Arial"/>
        </w:rPr>
      </w:pPr>
      <w:r w:rsidRPr="00D15E23">
        <w:rPr>
          <w:rFonts w:ascii="Arial" w:hAnsi="Arial" w:cs="Arial"/>
        </w:rPr>
        <w:t>Jank, L., et al. (2014). Brachiaria breeding. Tropical Grasslands, 2, 87–97. https://doi.org/10.17138/TGFT(2)87-97</w:t>
      </w:r>
    </w:p>
    <w:p w14:paraId="343603A6" w14:textId="77777777" w:rsidR="00D15E23" w:rsidRPr="00D15E23" w:rsidRDefault="00D15E23" w:rsidP="00C04397">
      <w:pPr>
        <w:numPr>
          <w:ilvl w:val="0"/>
          <w:numId w:val="2"/>
        </w:numPr>
        <w:spacing w:after="160" w:line="278" w:lineRule="auto"/>
        <w:rPr>
          <w:rFonts w:ascii="Arial" w:hAnsi="Arial" w:cs="Arial"/>
        </w:rPr>
      </w:pPr>
      <w:r w:rsidRPr="00D15E23">
        <w:rPr>
          <w:rFonts w:ascii="Arial" w:hAnsi="Arial" w:cs="Arial"/>
        </w:rPr>
        <w:t>Smith, G., et al. (2021). Drought-tolerant forages. Journal of Agronomy, 15, 45–59.</w:t>
      </w:r>
    </w:p>
    <w:p w14:paraId="1736BA12" w14:textId="0718F06E" w:rsidR="00D15E23" w:rsidRPr="00D15E23" w:rsidRDefault="00D15E23" w:rsidP="00C04397">
      <w:pPr>
        <w:numPr>
          <w:ilvl w:val="0"/>
          <w:numId w:val="2"/>
        </w:numPr>
        <w:spacing w:after="160" w:line="278" w:lineRule="auto"/>
        <w:rPr>
          <w:rFonts w:ascii="Arial" w:hAnsi="Arial" w:cs="Arial"/>
        </w:rPr>
      </w:pPr>
      <w:proofErr w:type="spellStart"/>
      <w:r w:rsidRPr="00D15E23">
        <w:rPr>
          <w:rFonts w:ascii="Arial" w:hAnsi="Arial" w:cs="Arial"/>
        </w:rPr>
        <w:t>Nyambati</w:t>
      </w:r>
      <w:proofErr w:type="spellEnd"/>
      <w:r w:rsidRPr="00D15E23">
        <w:rPr>
          <w:rFonts w:ascii="Arial" w:hAnsi="Arial" w:cs="Arial"/>
        </w:rPr>
        <w:t>, E. M., et al. (2010). Napier grass productivity. Animal Feed Science, 160, 1–9. https://doi.org/10.1016/j.anifeedsci.2010.06.007</w:t>
      </w:r>
    </w:p>
    <w:p w14:paraId="298CF1F3" w14:textId="4E656B12" w:rsidR="00D15E23" w:rsidRPr="00D15E23" w:rsidRDefault="00D15E23" w:rsidP="00C04397">
      <w:pPr>
        <w:numPr>
          <w:ilvl w:val="0"/>
          <w:numId w:val="2"/>
        </w:numPr>
        <w:spacing w:after="160" w:line="278" w:lineRule="auto"/>
        <w:rPr>
          <w:rFonts w:ascii="Arial" w:hAnsi="Arial" w:cs="Arial"/>
        </w:rPr>
      </w:pPr>
      <w:r w:rsidRPr="00D15E23">
        <w:rPr>
          <w:rFonts w:ascii="Arial" w:hAnsi="Arial" w:cs="Arial"/>
        </w:rPr>
        <w:t>Maass, B. L., et al. (2010). Lablab systems. Field Crops Research, 115, 1–8. https://doi.org/10.1016/j.fcr.2009.09.017</w:t>
      </w:r>
    </w:p>
    <w:p w14:paraId="5B439B2E" w14:textId="79BF936B" w:rsidR="00C32B6B" w:rsidRPr="00813B4D" w:rsidRDefault="00D15E23" w:rsidP="00C04397">
      <w:pPr>
        <w:numPr>
          <w:ilvl w:val="0"/>
          <w:numId w:val="2"/>
        </w:numPr>
        <w:spacing w:after="160" w:line="278" w:lineRule="auto"/>
        <w:rPr>
          <w:rFonts w:ascii="Times New Roman" w:hAnsi="Times New Roman"/>
        </w:rPr>
      </w:pPr>
      <w:r w:rsidRPr="00D15E23">
        <w:rPr>
          <w:rFonts w:ascii="Arial" w:hAnsi="Arial" w:cs="Arial"/>
        </w:rPr>
        <w:lastRenderedPageBreak/>
        <w:t xml:space="preserve">Wu, F., &amp; </w:t>
      </w:r>
      <w:proofErr w:type="spellStart"/>
      <w:r w:rsidRPr="00D15E23">
        <w:rPr>
          <w:rFonts w:ascii="Arial" w:hAnsi="Arial" w:cs="Arial"/>
        </w:rPr>
        <w:t>Khlangwiset</w:t>
      </w:r>
      <w:proofErr w:type="spellEnd"/>
      <w:r w:rsidRPr="00D15E23">
        <w:rPr>
          <w:rFonts w:ascii="Arial" w:hAnsi="Arial" w:cs="Arial"/>
        </w:rPr>
        <w:t>, P. (2010). Aflatoxin risk. Environmental Health Perspectives, 118, 818–824. https://doi.org/10.1289/ehp.0901388</w:t>
      </w:r>
    </w:p>
    <w:p w14:paraId="2E267A27" w14:textId="3A369D35" w:rsidR="00C32B6B" w:rsidRDefault="00C32B6B" w:rsidP="00F65ACB">
      <w:pPr>
        <w:pStyle w:val="ReferHead"/>
        <w:spacing w:after="0"/>
        <w:rPr>
          <w:rFonts w:ascii="Arial" w:hAnsi="Arial" w:cs="Arial"/>
        </w:rPr>
      </w:pPr>
    </w:p>
    <w:p w14:paraId="7732C720" w14:textId="33680F62" w:rsidR="00D15E23" w:rsidRDefault="00D15E23" w:rsidP="00F65ACB">
      <w:pPr>
        <w:pStyle w:val="ReferHead"/>
        <w:spacing w:after="0"/>
        <w:rPr>
          <w:rFonts w:ascii="Arial" w:hAnsi="Arial" w:cs="Arial"/>
        </w:rPr>
      </w:pPr>
      <w:r>
        <w:rPr>
          <w:rFonts w:ascii="Arial" w:hAnsi="Arial" w:cs="Arial"/>
        </w:rPr>
        <w:t>Appen</w:t>
      </w:r>
      <w:r w:rsidR="00F75AF2">
        <w:rPr>
          <w:rFonts w:ascii="Arial" w:hAnsi="Arial" w:cs="Arial"/>
        </w:rPr>
        <w:t>dix</w:t>
      </w:r>
    </w:p>
    <w:p w14:paraId="14724986" w14:textId="72737ABF" w:rsidR="00C32B6B" w:rsidRPr="000C57B7" w:rsidRDefault="00C32B6B" w:rsidP="00F65ACB"/>
    <w:p w14:paraId="398F9654" w14:textId="5338E899" w:rsidR="00D15E23" w:rsidRDefault="00CE6BCA" w:rsidP="00F65ACB">
      <w:pPr>
        <w:spacing w:after="160" w:line="278" w:lineRule="auto"/>
        <w:rPr>
          <w:rFonts w:ascii="Times New Roman" w:hAnsi="Times New Roman"/>
        </w:rPr>
      </w:pPr>
      <w:r w:rsidRPr="00813B4D">
        <w:rPr>
          <w:noProof/>
        </w:rPr>
        <w:drawing>
          <wp:anchor distT="0" distB="0" distL="114300" distR="114300" simplePos="0" relativeHeight="251658240" behindDoc="1" locked="0" layoutInCell="1" allowOverlap="1" wp14:anchorId="0ECF6BB3" wp14:editId="11D81D69">
            <wp:simplePos x="0" y="0"/>
            <wp:positionH relativeFrom="margin">
              <wp:posOffset>621030</wp:posOffset>
            </wp:positionH>
            <wp:positionV relativeFrom="paragraph">
              <wp:posOffset>113665</wp:posOffset>
            </wp:positionV>
            <wp:extent cx="4224020" cy="3519805"/>
            <wp:effectExtent l="0" t="0" r="5080" b="4445"/>
            <wp:wrapTight wrapText="bothSides">
              <wp:wrapPolygon edited="0">
                <wp:start x="0" y="0"/>
                <wp:lineTo x="0" y="21510"/>
                <wp:lineTo x="21529" y="21510"/>
                <wp:lineTo x="21529" y="0"/>
                <wp:lineTo x="0" y="0"/>
              </wp:wrapPolygon>
            </wp:wrapTight>
            <wp:docPr id="394642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42037" name=""/>
                    <pic:cNvPicPr/>
                  </pic:nvPicPr>
                  <pic:blipFill rotWithShape="1">
                    <a:blip r:embed="rId14">
                      <a:extLst>
                        <a:ext uri="{28A0092B-C50C-407E-A947-70E740481C1C}">
                          <a14:useLocalDpi xmlns:a14="http://schemas.microsoft.com/office/drawing/2010/main" val="0"/>
                        </a:ext>
                      </a:extLst>
                    </a:blip>
                    <a:srcRect l="9316" r="6155"/>
                    <a:stretch>
                      <a:fillRect/>
                    </a:stretch>
                  </pic:blipFill>
                  <pic:spPr bwMode="auto">
                    <a:xfrm>
                      <a:off x="0" y="0"/>
                      <a:ext cx="4224020" cy="351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CBFBC6" w14:textId="77777777" w:rsidR="00CE6BCA" w:rsidRPr="00CE6BCA" w:rsidRDefault="00CE6BCA" w:rsidP="00F65ACB">
      <w:pPr>
        <w:rPr>
          <w:rFonts w:ascii="Times New Roman" w:hAnsi="Times New Roman"/>
        </w:rPr>
      </w:pPr>
    </w:p>
    <w:p w14:paraId="47934B13" w14:textId="77777777" w:rsidR="00CE6BCA" w:rsidRPr="00CE6BCA" w:rsidRDefault="00CE6BCA" w:rsidP="00F65ACB">
      <w:pPr>
        <w:rPr>
          <w:rFonts w:ascii="Times New Roman" w:hAnsi="Times New Roman"/>
        </w:rPr>
      </w:pPr>
    </w:p>
    <w:p w14:paraId="2967E20B" w14:textId="77777777" w:rsidR="00CE6BCA" w:rsidRPr="00CE6BCA" w:rsidRDefault="00CE6BCA" w:rsidP="00F65ACB">
      <w:pPr>
        <w:rPr>
          <w:rFonts w:ascii="Times New Roman" w:hAnsi="Times New Roman"/>
        </w:rPr>
      </w:pPr>
    </w:p>
    <w:p w14:paraId="665413D4" w14:textId="1B5F7056" w:rsidR="00CE6BCA" w:rsidRDefault="00CE6BCA" w:rsidP="00F65ACB">
      <w:pPr>
        <w:tabs>
          <w:tab w:val="left" w:pos="2479"/>
        </w:tabs>
        <w:rPr>
          <w:rFonts w:ascii="Times New Roman" w:hAnsi="Times New Roman"/>
        </w:rPr>
      </w:pPr>
      <w:r>
        <w:rPr>
          <w:rFonts w:ascii="Times New Roman" w:hAnsi="Times New Roman"/>
        </w:rPr>
        <w:tab/>
      </w:r>
    </w:p>
    <w:p w14:paraId="4D1F3965" w14:textId="77777777" w:rsidR="00CE6BCA" w:rsidRDefault="00CE6BCA" w:rsidP="00F65ACB">
      <w:pPr>
        <w:tabs>
          <w:tab w:val="left" w:pos="2479"/>
        </w:tabs>
        <w:rPr>
          <w:rFonts w:ascii="Times New Roman" w:hAnsi="Times New Roman"/>
        </w:rPr>
      </w:pPr>
    </w:p>
    <w:p w14:paraId="2601E0C8" w14:textId="77777777" w:rsidR="00CE6BCA" w:rsidRDefault="00CE6BCA" w:rsidP="00F65ACB">
      <w:pPr>
        <w:tabs>
          <w:tab w:val="left" w:pos="2479"/>
        </w:tabs>
        <w:rPr>
          <w:rFonts w:ascii="Times New Roman" w:hAnsi="Times New Roman"/>
        </w:rPr>
      </w:pPr>
    </w:p>
    <w:p w14:paraId="1A53A932" w14:textId="77777777" w:rsidR="00CE6BCA" w:rsidRDefault="00CE6BCA" w:rsidP="00F65ACB">
      <w:pPr>
        <w:tabs>
          <w:tab w:val="left" w:pos="2479"/>
        </w:tabs>
        <w:rPr>
          <w:rFonts w:ascii="Times New Roman" w:hAnsi="Times New Roman"/>
        </w:rPr>
      </w:pPr>
    </w:p>
    <w:p w14:paraId="053479A2" w14:textId="77777777" w:rsidR="00CE6BCA" w:rsidRDefault="00CE6BCA" w:rsidP="00F65ACB">
      <w:pPr>
        <w:tabs>
          <w:tab w:val="left" w:pos="2479"/>
        </w:tabs>
        <w:rPr>
          <w:rFonts w:ascii="Times New Roman" w:hAnsi="Times New Roman"/>
        </w:rPr>
      </w:pPr>
    </w:p>
    <w:p w14:paraId="047B7BA1" w14:textId="1A8FA08E" w:rsidR="00CE6BCA" w:rsidRPr="00CE6BCA" w:rsidRDefault="00CE6BCA" w:rsidP="00F65ACB">
      <w:pPr>
        <w:tabs>
          <w:tab w:val="left" w:pos="2479"/>
        </w:tabs>
        <w:rPr>
          <w:rFonts w:ascii="Times New Roman" w:hAnsi="Times New Roman"/>
        </w:rPr>
      </w:pPr>
      <w:r w:rsidRPr="00CE6BCA">
        <w:rPr>
          <w:noProof/>
        </w:rPr>
        <w:drawing>
          <wp:anchor distT="0" distB="0" distL="114300" distR="114300" simplePos="0" relativeHeight="251660288" behindDoc="1" locked="0" layoutInCell="1" allowOverlap="1" wp14:anchorId="40D2353B" wp14:editId="5588E2AD">
            <wp:simplePos x="0" y="0"/>
            <wp:positionH relativeFrom="margin">
              <wp:posOffset>419100</wp:posOffset>
            </wp:positionH>
            <wp:positionV relativeFrom="paragraph">
              <wp:posOffset>0</wp:posOffset>
            </wp:positionV>
            <wp:extent cx="4490720" cy="3442335"/>
            <wp:effectExtent l="0" t="0" r="5080" b="5715"/>
            <wp:wrapTight wrapText="bothSides">
              <wp:wrapPolygon edited="0">
                <wp:start x="0" y="0"/>
                <wp:lineTo x="0" y="21516"/>
                <wp:lineTo x="21533" y="21516"/>
                <wp:lineTo x="21533" y="0"/>
                <wp:lineTo x="0" y="0"/>
              </wp:wrapPolygon>
            </wp:wrapTight>
            <wp:docPr id="1597743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43759" name=""/>
                    <pic:cNvPicPr/>
                  </pic:nvPicPr>
                  <pic:blipFill rotWithShape="1">
                    <a:blip r:embed="rId15">
                      <a:extLst>
                        <a:ext uri="{28A0092B-C50C-407E-A947-70E740481C1C}">
                          <a14:useLocalDpi xmlns:a14="http://schemas.microsoft.com/office/drawing/2010/main" val="0"/>
                        </a:ext>
                      </a:extLst>
                    </a:blip>
                    <a:srcRect l="7946" r="6838"/>
                    <a:stretch>
                      <a:fillRect/>
                    </a:stretch>
                  </pic:blipFill>
                  <pic:spPr bwMode="auto">
                    <a:xfrm>
                      <a:off x="0" y="0"/>
                      <a:ext cx="4490720" cy="3442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4201CB" w14:textId="16ECEEBE" w:rsidR="00CE6BCA" w:rsidRPr="00CE6BCA" w:rsidRDefault="00CE6BCA" w:rsidP="00F65ACB">
      <w:pPr>
        <w:rPr>
          <w:rFonts w:ascii="Times New Roman" w:hAnsi="Times New Roman"/>
        </w:rPr>
      </w:pPr>
    </w:p>
    <w:p w14:paraId="31331FF5" w14:textId="620CD53A" w:rsidR="00CE6BCA" w:rsidRPr="00CE6BCA" w:rsidRDefault="00CE6BCA" w:rsidP="00F65ACB">
      <w:pPr>
        <w:rPr>
          <w:rFonts w:ascii="Times New Roman" w:hAnsi="Times New Roman"/>
        </w:rPr>
      </w:pPr>
    </w:p>
    <w:p w14:paraId="569DA243" w14:textId="77777777" w:rsidR="00CE6BCA" w:rsidRPr="00CE6BCA" w:rsidRDefault="00CE6BCA" w:rsidP="00F65ACB">
      <w:pPr>
        <w:rPr>
          <w:rFonts w:ascii="Times New Roman" w:hAnsi="Times New Roman"/>
        </w:rPr>
      </w:pPr>
    </w:p>
    <w:p w14:paraId="19E82D62" w14:textId="77777777" w:rsidR="00CE6BCA" w:rsidRPr="00CE6BCA" w:rsidRDefault="00CE6BCA" w:rsidP="00F65ACB">
      <w:pPr>
        <w:rPr>
          <w:rFonts w:ascii="Times New Roman" w:hAnsi="Times New Roman"/>
        </w:rPr>
      </w:pPr>
    </w:p>
    <w:p w14:paraId="5B46F9C2" w14:textId="77777777" w:rsidR="00CE6BCA" w:rsidRPr="00CE6BCA" w:rsidRDefault="00CE6BCA" w:rsidP="00F65ACB">
      <w:pPr>
        <w:rPr>
          <w:rFonts w:ascii="Times New Roman" w:hAnsi="Times New Roman"/>
        </w:rPr>
      </w:pPr>
    </w:p>
    <w:p w14:paraId="0E5C7EE3" w14:textId="5E408BE8" w:rsidR="00CE6BCA" w:rsidRPr="00CE6BCA" w:rsidRDefault="00CE6BCA" w:rsidP="00F65ACB">
      <w:pPr>
        <w:rPr>
          <w:rFonts w:ascii="Times New Roman" w:hAnsi="Times New Roman"/>
        </w:rPr>
      </w:pPr>
    </w:p>
    <w:p w14:paraId="7E8D7A79" w14:textId="77777777" w:rsidR="00CE6BCA" w:rsidRPr="00CE6BCA" w:rsidRDefault="00CE6BCA" w:rsidP="00F65ACB">
      <w:pPr>
        <w:rPr>
          <w:rFonts w:ascii="Times New Roman" w:hAnsi="Times New Roman"/>
        </w:rPr>
      </w:pPr>
    </w:p>
    <w:p w14:paraId="6C330804" w14:textId="300B5891" w:rsidR="00CE6BCA" w:rsidRPr="00CE6BCA" w:rsidRDefault="00CE6BCA" w:rsidP="00F65ACB">
      <w:pPr>
        <w:rPr>
          <w:rFonts w:ascii="Times New Roman" w:hAnsi="Times New Roman"/>
        </w:rPr>
      </w:pPr>
    </w:p>
    <w:p w14:paraId="0B0E0FA5" w14:textId="77777777" w:rsidR="00CE6BCA" w:rsidRPr="00CE6BCA" w:rsidRDefault="00CE6BCA" w:rsidP="00F65ACB">
      <w:pPr>
        <w:rPr>
          <w:rFonts w:ascii="Times New Roman" w:hAnsi="Times New Roman"/>
        </w:rPr>
      </w:pPr>
    </w:p>
    <w:p w14:paraId="44C9C883" w14:textId="39A821F6" w:rsidR="00CE6BCA" w:rsidRPr="00CE6BCA" w:rsidRDefault="00CE6BCA" w:rsidP="00F65ACB">
      <w:pPr>
        <w:rPr>
          <w:rFonts w:ascii="Times New Roman" w:hAnsi="Times New Roman"/>
        </w:rPr>
      </w:pPr>
    </w:p>
    <w:p w14:paraId="78E65FCA" w14:textId="77777777" w:rsidR="00CE6BCA" w:rsidRPr="00CE6BCA" w:rsidRDefault="00CE6BCA" w:rsidP="00F65ACB">
      <w:pPr>
        <w:rPr>
          <w:rFonts w:ascii="Times New Roman" w:hAnsi="Times New Roman"/>
        </w:rPr>
      </w:pPr>
    </w:p>
    <w:p w14:paraId="4582123E" w14:textId="77777777" w:rsidR="00CE6BCA" w:rsidRPr="00CE6BCA" w:rsidRDefault="00CE6BCA" w:rsidP="00F65ACB">
      <w:pPr>
        <w:rPr>
          <w:rFonts w:ascii="Times New Roman" w:hAnsi="Times New Roman"/>
        </w:rPr>
      </w:pPr>
    </w:p>
    <w:p w14:paraId="446F1161" w14:textId="7DC538C5" w:rsidR="00CE6BCA" w:rsidRPr="00CE6BCA" w:rsidRDefault="00CE6BCA" w:rsidP="00F65ACB">
      <w:pPr>
        <w:rPr>
          <w:rFonts w:ascii="Times New Roman" w:hAnsi="Times New Roman"/>
        </w:rPr>
      </w:pPr>
    </w:p>
    <w:p w14:paraId="6E1D04F2" w14:textId="77777777" w:rsidR="00CE6BCA" w:rsidRPr="00CE6BCA" w:rsidRDefault="00CE6BCA" w:rsidP="00F65ACB">
      <w:pPr>
        <w:rPr>
          <w:rFonts w:ascii="Times New Roman" w:hAnsi="Times New Roman"/>
        </w:rPr>
      </w:pPr>
    </w:p>
    <w:p w14:paraId="24E2D5A7" w14:textId="6AFE4B77" w:rsidR="00CE6BCA" w:rsidRPr="00CE6BCA" w:rsidRDefault="00CE6BCA" w:rsidP="00F65ACB">
      <w:pPr>
        <w:rPr>
          <w:rFonts w:ascii="Times New Roman" w:hAnsi="Times New Roman"/>
        </w:rPr>
      </w:pPr>
    </w:p>
    <w:p w14:paraId="6CEAA783" w14:textId="77777777" w:rsidR="00CE6BCA" w:rsidRPr="00CE6BCA" w:rsidRDefault="00CE6BCA" w:rsidP="00F65ACB">
      <w:pPr>
        <w:rPr>
          <w:rFonts w:ascii="Times New Roman" w:hAnsi="Times New Roman"/>
        </w:rPr>
      </w:pPr>
    </w:p>
    <w:p w14:paraId="261554B5" w14:textId="77777777" w:rsidR="00CE6BCA" w:rsidRPr="00CE6BCA" w:rsidRDefault="00CE6BCA" w:rsidP="00F65ACB">
      <w:pPr>
        <w:rPr>
          <w:rFonts w:ascii="Times New Roman" w:hAnsi="Times New Roman"/>
        </w:rPr>
      </w:pPr>
    </w:p>
    <w:sectPr w:rsidR="00CE6BCA" w:rsidRPr="00CE6BCA" w:rsidSect="003C0E9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51E88" w14:textId="77777777" w:rsidR="00C04397" w:rsidRDefault="00C04397" w:rsidP="00C37E61">
      <w:r>
        <w:separator/>
      </w:r>
    </w:p>
  </w:endnote>
  <w:endnote w:type="continuationSeparator" w:id="0">
    <w:p w14:paraId="69BD4DFC" w14:textId="77777777" w:rsidR="00C04397" w:rsidRDefault="00C0439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2F28C" w14:textId="77777777" w:rsidR="003C0E99" w:rsidRDefault="003C0E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8DD82" w14:textId="77777777" w:rsidR="003C0E99" w:rsidRDefault="003C0E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DB31E" w14:textId="77777777" w:rsidR="009E048A" w:rsidRDefault="009E048A">
    <w:pPr>
      <w:pStyle w:val="Footer"/>
      <w:rPr>
        <w:rFonts w:ascii="Arial" w:hAnsi="Arial" w:cs="Arial"/>
        <w:sz w:val="16"/>
      </w:rPr>
    </w:pPr>
  </w:p>
  <w:p w14:paraId="25DD3B7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33F65ED" w14:textId="77777777" w:rsidR="009E048A" w:rsidRDefault="009E048A">
    <w:pPr>
      <w:pStyle w:val="Footer"/>
      <w:rPr>
        <w:rFonts w:ascii="Arial" w:hAnsi="Arial" w:cs="Arial"/>
        <w:sz w:val="16"/>
      </w:rPr>
    </w:pPr>
  </w:p>
  <w:p w14:paraId="22360E3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10C2D" w14:textId="77777777" w:rsidR="00C04397" w:rsidRDefault="00C04397" w:rsidP="00C37E61">
      <w:r>
        <w:separator/>
      </w:r>
    </w:p>
  </w:footnote>
  <w:footnote w:type="continuationSeparator" w:id="0">
    <w:p w14:paraId="67A6FE2F" w14:textId="77777777" w:rsidR="00C04397" w:rsidRDefault="00C0439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1618C" w14:textId="1559EFDD" w:rsidR="003C0E99" w:rsidRDefault="003C0E99">
    <w:pPr>
      <w:pStyle w:val="Header"/>
    </w:pPr>
    <w:r>
      <w:rPr>
        <w:noProof/>
      </w:rPr>
      <w:pict w14:anchorId="518924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4313"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1A1FE" w14:textId="228B7B34" w:rsidR="003C0E99" w:rsidRDefault="003C0E99">
    <w:pPr>
      <w:pStyle w:val="Header"/>
    </w:pPr>
    <w:r>
      <w:rPr>
        <w:noProof/>
      </w:rPr>
      <w:pict w14:anchorId="6937F3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4314"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91E32" w14:textId="2C902246" w:rsidR="00296529" w:rsidRPr="00296529" w:rsidRDefault="003C0E99" w:rsidP="00296529">
    <w:pPr>
      <w:ind w:left="2160"/>
      <w:jc w:val="center"/>
      <w:rPr>
        <w:rFonts w:ascii="Times New Roman" w:eastAsia="Calibri" w:hAnsi="Times New Roman"/>
        <w:i/>
        <w:sz w:val="18"/>
        <w:szCs w:val="22"/>
      </w:rPr>
    </w:pPr>
    <w:r>
      <w:rPr>
        <w:noProof/>
      </w:rPr>
      <w:pict w14:anchorId="470BD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4312"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AA8250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A2491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FDB3B1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875E61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092EB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151EFF4"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75C6A"/>
    <w:multiLevelType w:val="multilevel"/>
    <w:tmpl w:val="3F9A4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 w15:restartNumberingAfterBreak="0">
    <w:nsid w:val="7A277D51"/>
    <w:multiLevelType w:val="multilevel"/>
    <w:tmpl w:val="B1DE3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164D"/>
    <w:rsid w:val="000A47FA"/>
    <w:rsid w:val="000A65D3"/>
    <w:rsid w:val="000B1E33"/>
    <w:rsid w:val="000D689F"/>
    <w:rsid w:val="000E7B7B"/>
    <w:rsid w:val="000E7D62"/>
    <w:rsid w:val="000F5102"/>
    <w:rsid w:val="000F7664"/>
    <w:rsid w:val="000F770C"/>
    <w:rsid w:val="00103357"/>
    <w:rsid w:val="00123C9F"/>
    <w:rsid w:val="00126190"/>
    <w:rsid w:val="00130F17"/>
    <w:rsid w:val="001320BF"/>
    <w:rsid w:val="00155195"/>
    <w:rsid w:val="00163BC4"/>
    <w:rsid w:val="001770AB"/>
    <w:rsid w:val="00191062"/>
    <w:rsid w:val="00192B72"/>
    <w:rsid w:val="001A29D8"/>
    <w:rsid w:val="001A5CAA"/>
    <w:rsid w:val="001B0427"/>
    <w:rsid w:val="001B26F4"/>
    <w:rsid w:val="001D3A51"/>
    <w:rsid w:val="001E10D2"/>
    <w:rsid w:val="001E25B4"/>
    <w:rsid w:val="001E44FE"/>
    <w:rsid w:val="00200595"/>
    <w:rsid w:val="00204835"/>
    <w:rsid w:val="00231920"/>
    <w:rsid w:val="0023195C"/>
    <w:rsid w:val="0024282C"/>
    <w:rsid w:val="002460DC"/>
    <w:rsid w:val="00250985"/>
    <w:rsid w:val="002556F6"/>
    <w:rsid w:val="00261DFD"/>
    <w:rsid w:val="00263404"/>
    <w:rsid w:val="00270ED7"/>
    <w:rsid w:val="00283105"/>
    <w:rsid w:val="00284C4C"/>
    <w:rsid w:val="00287E68"/>
    <w:rsid w:val="00296529"/>
    <w:rsid w:val="002B27FB"/>
    <w:rsid w:val="002B4CE7"/>
    <w:rsid w:val="002B685A"/>
    <w:rsid w:val="002C57D2"/>
    <w:rsid w:val="002E0D56"/>
    <w:rsid w:val="00315186"/>
    <w:rsid w:val="0033343E"/>
    <w:rsid w:val="003512C2"/>
    <w:rsid w:val="00371FB6"/>
    <w:rsid w:val="003763C1"/>
    <w:rsid w:val="00376BBE"/>
    <w:rsid w:val="0039224F"/>
    <w:rsid w:val="003A43A4"/>
    <w:rsid w:val="003A7E18"/>
    <w:rsid w:val="003C0E99"/>
    <w:rsid w:val="003C4C86"/>
    <w:rsid w:val="003C6258"/>
    <w:rsid w:val="003E2904"/>
    <w:rsid w:val="00401927"/>
    <w:rsid w:val="0041027F"/>
    <w:rsid w:val="00412475"/>
    <w:rsid w:val="0041437E"/>
    <w:rsid w:val="00423789"/>
    <w:rsid w:val="00440F43"/>
    <w:rsid w:val="00441B6F"/>
    <w:rsid w:val="00446221"/>
    <w:rsid w:val="00450E62"/>
    <w:rsid w:val="004539DB"/>
    <w:rsid w:val="00471A80"/>
    <w:rsid w:val="00486EA8"/>
    <w:rsid w:val="004D305E"/>
    <w:rsid w:val="004D4277"/>
    <w:rsid w:val="004F23C4"/>
    <w:rsid w:val="00502516"/>
    <w:rsid w:val="00505F06"/>
    <w:rsid w:val="00506828"/>
    <w:rsid w:val="0053056E"/>
    <w:rsid w:val="005305C7"/>
    <w:rsid w:val="00551047"/>
    <w:rsid w:val="00554FDA"/>
    <w:rsid w:val="005A7B51"/>
    <w:rsid w:val="005C784C"/>
    <w:rsid w:val="005D17F6"/>
    <w:rsid w:val="005E5539"/>
    <w:rsid w:val="00602BF5"/>
    <w:rsid w:val="00617FDD"/>
    <w:rsid w:val="00631AEE"/>
    <w:rsid w:val="00633614"/>
    <w:rsid w:val="00633F68"/>
    <w:rsid w:val="00636EB2"/>
    <w:rsid w:val="006375B8"/>
    <w:rsid w:val="0066510A"/>
    <w:rsid w:val="00673F9F"/>
    <w:rsid w:val="00686953"/>
    <w:rsid w:val="00687DEA"/>
    <w:rsid w:val="00687E67"/>
    <w:rsid w:val="006967F7"/>
    <w:rsid w:val="006A250C"/>
    <w:rsid w:val="006B21D3"/>
    <w:rsid w:val="006B57D0"/>
    <w:rsid w:val="006D1589"/>
    <w:rsid w:val="006D30FF"/>
    <w:rsid w:val="006D6940"/>
    <w:rsid w:val="006F11EC"/>
    <w:rsid w:val="0070082C"/>
    <w:rsid w:val="00731730"/>
    <w:rsid w:val="007369E6"/>
    <w:rsid w:val="00746E59"/>
    <w:rsid w:val="00754C9A"/>
    <w:rsid w:val="0075599A"/>
    <w:rsid w:val="00761D52"/>
    <w:rsid w:val="0077749E"/>
    <w:rsid w:val="00790ADA"/>
    <w:rsid w:val="007D2288"/>
    <w:rsid w:val="007E088F"/>
    <w:rsid w:val="007F7B32"/>
    <w:rsid w:val="00804BC2"/>
    <w:rsid w:val="00813B4D"/>
    <w:rsid w:val="0081431A"/>
    <w:rsid w:val="0083216F"/>
    <w:rsid w:val="00844AA9"/>
    <w:rsid w:val="00860000"/>
    <w:rsid w:val="00863BD3"/>
    <w:rsid w:val="008641ED"/>
    <w:rsid w:val="00866D66"/>
    <w:rsid w:val="008671C6"/>
    <w:rsid w:val="00875803"/>
    <w:rsid w:val="00876226"/>
    <w:rsid w:val="008B459E"/>
    <w:rsid w:val="008E13AE"/>
    <w:rsid w:val="008E1506"/>
    <w:rsid w:val="008E710C"/>
    <w:rsid w:val="008F6283"/>
    <w:rsid w:val="008F69D6"/>
    <w:rsid w:val="00902823"/>
    <w:rsid w:val="00915CA6"/>
    <w:rsid w:val="00927834"/>
    <w:rsid w:val="00937095"/>
    <w:rsid w:val="009500A6"/>
    <w:rsid w:val="00957C18"/>
    <w:rsid w:val="009659BA"/>
    <w:rsid w:val="009773A0"/>
    <w:rsid w:val="00983040"/>
    <w:rsid w:val="009857CF"/>
    <w:rsid w:val="009B3FB9"/>
    <w:rsid w:val="009C2465"/>
    <w:rsid w:val="009D2673"/>
    <w:rsid w:val="009D35A0"/>
    <w:rsid w:val="009D7EB7"/>
    <w:rsid w:val="009E048A"/>
    <w:rsid w:val="009E08E9"/>
    <w:rsid w:val="009E3DB9"/>
    <w:rsid w:val="009E6E35"/>
    <w:rsid w:val="009F0EDA"/>
    <w:rsid w:val="00A01324"/>
    <w:rsid w:val="00A03B96"/>
    <w:rsid w:val="00A05B19"/>
    <w:rsid w:val="00A1134E"/>
    <w:rsid w:val="00A24E7E"/>
    <w:rsid w:val="00A258C3"/>
    <w:rsid w:val="00A347C0"/>
    <w:rsid w:val="00A51431"/>
    <w:rsid w:val="00A520E1"/>
    <w:rsid w:val="00A539AD"/>
    <w:rsid w:val="00A55555"/>
    <w:rsid w:val="00A94063"/>
    <w:rsid w:val="00A9765E"/>
    <w:rsid w:val="00AA6219"/>
    <w:rsid w:val="00AA74E0"/>
    <w:rsid w:val="00AB2103"/>
    <w:rsid w:val="00AB703F"/>
    <w:rsid w:val="00AC6BB8"/>
    <w:rsid w:val="00AE008F"/>
    <w:rsid w:val="00B01FCD"/>
    <w:rsid w:val="00B17226"/>
    <w:rsid w:val="00B1776C"/>
    <w:rsid w:val="00B52583"/>
    <w:rsid w:val="00B52896"/>
    <w:rsid w:val="00B926EB"/>
    <w:rsid w:val="00B95236"/>
    <w:rsid w:val="00B967CA"/>
    <w:rsid w:val="00B96BD9"/>
    <w:rsid w:val="00BA05FC"/>
    <w:rsid w:val="00BA1B01"/>
    <w:rsid w:val="00BA2641"/>
    <w:rsid w:val="00BB37AA"/>
    <w:rsid w:val="00BC53A0"/>
    <w:rsid w:val="00BE5791"/>
    <w:rsid w:val="00BE62AD"/>
    <w:rsid w:val="00BF084F"/>
    <w:rsid w:val="00BF121F"/>
    <w:rsid w:val="00BF1F80"/>
    <w:rsid w:val="00C04397"/>
    <w:rsid w:val="00C166EF"/>
    <w:rsid w:val="00C17EB0"/>
    <w:rsid w:val="00C27F5F"/>
    <w:rsid w:val="00C30A0F"/>
    <w:rsid w:val="00C32B6B"/>
    <w:rsid w:val="00C37E61"/>
    <w:rsid w:val="00C55B8D"/>
    <w:rsid w:val="00C70F1B"/>
    <w:rsid w:val="00C71A47"/>
    <w:rsid w:val="00C7464C"/>
    <w:rsid w:val="00C85588"/>
    <w:rsid w:val="00CD6755"/>
    <w:rsid w:val="00CD6856"/>
    <w:rsid w:val="00CE0089"/>
    <w:rsid w:val="00CE12EF"/>
    <w:rsid w:val="00CE6BCA"/>
    <w:rsid w:val="00CE793C"/>
    <w:rsid w:val="00CF193C"/>
    <w:rsid w:val="00CF6E16"/>
    <w:rsid w:val="00D15E23"/>
    <w:rsid w:val="00D173F1"/>
    <w:rsid w:val="00D35150"/>
    <w:rsid w:val="00D62AF9"/>
    <w:rsid w:val="00D74CB0"/>
    <w:rsid w:val="00D8295D"/>
    <w:rsid w:val="00D84FBF"/>
    <w:rsid w:val="00DC2A65"/>
    <w:rsid w:val="00DC5CA4"/>
    <w:rsid w:val="00DE15F0"/>
    <w:rsid w:val="00DE5663"/>
    <w:rsid w:val="00DE78AA"/>
    <w:rsid w:val="00DF179D"/>
    <w:rsid w:val="00E053D0"/>
    <w:rsid w:val="00E15994"/>
    <w:rsid w:val="00E213BB"/>
    <w:rsid w:val="00E230B1"/>
    <w:rsid w:val="00E3114E"/>
    <w:rsid w:val="00E31A70"/>
    <w:rsid w:val="00E35B02"/>
    <w:rsid w:val="00E66496"/>
    <w:rsid w:val="00E66B35"/>
    <w:rsid w:val="00E66E10"/>
    <w:rsid w:val="00E769F6"/>
    <w:rsid w:val="00E8407C"/>
    <w:rsid w:val="00E84F3C"/>
    <w:rsid w:val="00EA012C"/>
    <w:rsid w:val="00EB3791"/>
    <w:rsid w:val="00EC6A55"/>
    <w:rsid w:val="00ED0288"/>
    <w:rsid w:val="00ED3F7F"/>
    <w:rsid w:val="00EE52CB"/>
    <w:rsid w:val="00EF581D"/>
    <w:rsid w:val="00EF7FD8"/>
    <w:rsid w:val="00F06F59"/>
    <w:rsid w:val="00F17988"/>
    <w:rsid w:val="00F26939"/>
    <w:rsid w:val="00F31A83"/>
    <w:rsid w:val="00F36E9D"/>
    <w:rsid w:val="00F4391A"/>
    <w:rsid w:val="00F469F0"/>
    <w:rsid w:val="00F5323A"/>
    <w:rsid w:val="00F53273"/>
    <w:rsid w:val="00F65ACB"/>
    <w:rsid w:val="00F755E4"/>
    <w:rsid w:val="00F75AF2"/>
    <w:rsid w:val="00F77D02"/>
    <w:rsid w:val="00F90965"/>
    <w:rsid w:val="00FB3A86"/>
    <w:rsid w:val="00FB7800"/>
    <w:rsid w:val="00FD36C8"/>
    <w:rsid w:val="00FD6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31DFC24"/>
  <w15:docId w15:val="{29F11C68-EC20-47CE-8FF8-6F493F985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9D2673"/>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iPriority w:val="9"/>
    <w:unhideWhenUsed/>
    <w:qFormat/>
    <w:rsid w:val="009D2673"/>
    <w:pPr>
      <w:keepNext/>
      <w:keepLines/>
      <w:spacing w:before="40" w:line="259" w:lineRule="auto"/>
      <w:outlineLvl w:val="2"/>
    </w:pPr>
    <w:rPr>
      <w:rFonts w:asciiTheme="majorHAnsi" w:eastAsiaTheme="majorEastAsia" w:hAnsiTheme="majorHAnsi" w:cstheme="majorBidi"/>
      <w:color w:val="243F60"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37095"/>
    <w:rPr>
      <w:rFonts w:ascii="Helvetica" w:hAnsi="Helvetica"/>
      <w:b/>
      <w:bCs/>
      <w:lang w:val="en-US" w:eastAsia="en-US"/>
    </w:rPr>
  </w:style>
  <w:style w:type="character" w:customStyle="1" w:styleId="CommentSubjectChar">
    <w:name w:val="Comment Subject Char"/>
    <w:basedOn w:val="CommentTextChar"/>
    <w:link w:val="CommentSubject"/>
    <w:uiPriority w:val="99"/>
    <w:semiHidden/>
    <w:rsid w:val="00937095"/>
    <w:rPr>
      <w:rFonts w:ascii="Helvetica" w:hAnsi="Helvetica"/>
      <w:b/>
      <w:bCs/>
      <w:lang w:val="nb-NO" w:eastAsia="nb-NO"/>
    </w:rPr>
  </w:style>
  <w:style w:type="character" w:styleId="Strong">
    <w:name w:val="Strong"/>
    <w:uiPriority w:val="22"/>
    <w:qFormat/>
    <w:rsid w:val="00D62AF9"/>
    <w:rPr>
      <w:b/>
      <w:bCs/>
    </w:rPr>
  </w:style>
  <w:style w:type="character" w:customStyle="1" w:styleId="Heading2Char">
    <w:name w:val="Heading 2 Char"/>
    <w:basedOn w:val="DefaultParagraphFont"/>
    <w:link w:val="Heading2"/>
    <w:uiPriority w:val="9"/>
    <w:rsid w:val="009D2673"/>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rsid w:val="009D2673"/>
    <w:rPr>
      <w:rFonts w:asciiTheme="majorHAnsi" w:eastAsiaTheme="majorEastAsia" w:hAnsiTheme="majorHAnsi" w:cstheme="majorBidi"/>
      <w:color w:val="243F60" w:themeColor="accent1" w:themeShade="7F"/>
      <w:sz w:val="24"/>
      <w:szCs w:val="24"/>
      <w:lang w:val="en-GB"/>
    </w:rPr>
  </w:style>
  <w:style w:type="paragraph" w:customStyle="1" w:styleId="trt0xe">
    <w:name w:val="trt0xe"/>
    <w:basedOn w:val="Normal"/>
    <w:rsid w:val="009D2673"/>
    <w:pPr>
      <w:spacing w:before="100" w:beforeAutospacing="1" w:after="100" w:afterAutospacing="1"/>
    </w:pPr>
    <w:rPr>
      <w:rFonts w:ascii="Times New Roman" w:hAnsi="Times New Roman"/>
      <w:sz w:val="24"/>
      <w:szCs w:val="24"/>
    </w:rPr>
  </w:style>
  <w:style w:type="paragraph" w:styleId="Caption">
    <w:name w:val="caption"/>
    <w:basedOn w:val="Normal"/>
    <w:next w:val="Normal"/>
    <w:uiPriority w:val="35"/>
    <w:unhideWhenUsed/>
    <w:qFormat/>
    <w:rsid w:val="009D2673"/>
    <w:pPr>
      <w:spacing w:after="200"/>
    </w:pPr>
    <w:rPr>
      <w:rFonts w:asciiTheme="minorHAnsi" w:eastAsiaTheme="minorHAnsi" w:hAnsiTheme="minorHAnsi" w:cstheme="minorBidi"/>
      <w:b/>
      <w:bCs/>
      <w:color w:val="4F81BD" w:themeColor="accent1"/>
      <w:sz w:val="18"/>
      <w:szCs w:val="18"/>
    </w:rPr>
  </w:style>
  <w:style w:type="character" w:customStyle="1" w:styleId="Heading1Char">
    <w:name w:val="Heading 1 Char"/>
    <w:basedOn w:val="DefaultParagraphFont"/>
    <w:link w:val="Heading1"/>
    <w:uiPriority w:val="9"/>
    <w:rsid w:val="00A01324"/>
    <w:rPr>
      <w:rFonts w:ascii="Arial" w:hAnsi="Arial"/>
      <w:b/>
      <w:kern w:val="28"/>
      <w:sz w:val="28"/>
    </w:rPr>
  </w:style>
  <w:style w:type="paragraph" w:styleId="TOCHeading">
    <w:name w:val="TOC Heading"/>
    <w:basedOn w:val="Heading1"/>
    <w:next w:val="Normal"/>
    <w:uiPriority w:val="39"/>
    <w:unhideWhenUsed/>
    <w:qFormat/>
    <w:rsid w:val="00A01324"/>
    <w:pPr>
      <w:keepLines/>
      <w:spacing w:after="0" w:line="259" w:lineRule="auto"/>
      <w:outlineLvl w:val="9"/>
    </w:pPr>
    <w:rPr>
      <w:rFonts w:ascii="Calibri Light" w:hAnsi="Calibri Light"/>
      <w:b w:val="0"/>
      <w:color w:val="2F5496"/>
      <w:kern w:val="0"/>
      <w:sz w:val="32"/>
      <w:szCs w:val="32"/>
    </w:rPr>
  </w:style>
  <w:style w:type="paragraph" w:styleId="TOC1">
    <w:name w:val="toc 1"/>
    <w:basedOn w:val="Normal"/>
    <w:next w:val="Normal"/>
    <w:autoRedefine/>
    <w:uiPriority w:val="39"/>
    <w:unhideWhenUsed/>
    <w:rsid w:val="00A01324"/>
    <w:pPr>
      <w:spacing w:before="240" w:after="120" w:line="259" w:lineRule="auto"/>
    </w:pPr>
    <w:rPr>
      <w:rFonts w:asciiTheme="minorHAnsi" w:eastAsia="Calibri" w:hAnsiTheme="minorHAnsi" w:cstheme="minorHAnsi"/>
      <w:b/>
      <w:bCs/>
      <w:lang w:val="en-GB"/>
    </w:rPr>
  </w:style>
  <w:style w:type="paragraph" w:styleId="TOC2">
    <w:name w:val="toc 2"/>
    <w:basedOn w:val="Normal"/>
    <w:next w:val="Normal"/>
    <w:autoRedefine/>
    <w:uiPriority w:val="39"/>
    <w:unhideWhenUsed/>
    <w:rsid w:val="00A01324"/>
    <w:pPr>
      <w:spacing w:before="120" w:line="259" w:lineRule="auto"/>
      <w:ind w:left="220"/>
    </w:pPr>
    <w:rPr>
      <w:rFonts w:asciiTheme="minorHAnsi" w:eastAsia="Calibri" w:hAnsiTheme="minorHAnsi" w:cstheme="minorHAnsi"/>
      <w:i/>
      <w:iCs/>
      <w:lang w:val="en-GB"/>
    </w:rPr>
  </w:style>
  <w:style w:type="paragraph" w:styleId="TOC3">
    <w:name w:val="toc 3"/>
    <w:basedOn w:val="Normal"/>
    <w:next w:val="Normal"/>
    <w:autoRedefine/>
    <w:uiPriority w:val="39"/>
    <w:unhideWhenUsed/>
    <w:rsid w:val="00A01324"/>
    <w:pPr>
      <w:spacing w:line="259" w:lineRule="auto"/>
      <w:ind w:left="440"/>
    </w:pPr>
    <w:rPr>
      <w:rFonts w:asciiTheme="minorHAnsi" w:eastAsia="Calibri" w:hAnsiTheme="minorHAnsi" w:cstheme="minorHAnsi"/>
      <w:lang w:val="en-GB"/>
    </w:rPr>
  </w:style>
  <w:style w:type="character" w:customStyle="1" w:styleId="HeaderChar">
    <w:name w:val="Header Char"/>
    <w:basedOn w:val="DefaultParagraphFont"/>
    <w:link w:val="Header"/>
    <w:uiPriority w:val="99"/>
    <w:rsid w:val="00A01324"/>
    <w:rPr>
      <w:rFonts w:ascii="Helvetica" w:hAnsi="Helvetica"/>
    </w:rPr>
  </w:style>
  <w:style w:type="character" w:customStyle="1" w:styleId="FooterChar">
    <w:name w:val="Footer Char"/>
    <w:basedOn w:val="DefaultParagraphFont"/>
    <w:link w:val="Footer"/>
    <w:uiPriority w:val="99"/>
    <w:rsid w:val="00A01324"/>
    <w:rPr>
      <w:rFonts w:ascii="Helvetica" w:hAnsi="Helvetica"/>
    </w:rPr>
  </w:style>
  <w:style w:type="paragraph" w:styleId="ListParagraph">
    <w:name w:val="List Paragraph"/>
    <w:basedOn w:val="Normal"/>
    <w:uiPriority w:val="34"/>
    <w:qFormat/>
    <w:rsid w:val="00A01324"/>
    <w:pPr>
      <w:spacing w:after="160" w:line="259" w:lineRule="auto"/>
      <w:ind w:left="720"/>
      <w:contextualSpacing/>
    </w:pPr>
    <w:rPr>
      <w:rFonts w:ascii="Calibri" w:eastAsia="Calibri" w:hAnsi="Calibri"/>
      <w:sz w:val="22"/>
      <w:szCs w:val="22"/>
      <w:lang w:val="en-GB"/>
    </w:rPr>
  </w:style>
  <w:style w:type="paragraph" w:customStyle="1" w:styleId="Default">
    <w:name w:val="Default"/>
    <w:rsid w:val="00A01324"/>
    <w:pPr>
      <w:autoSpaceDE w:val="0"/>
      <w:autoSpaceDN w:val="0"/>
      <w:adjustRightInd w:val="0"/>
    </w:pPr>
    <w:rPr>
      <w:rFonts w:eastAsia="Calibri"/>
      <w:color w:val="000000"/>
      <w:sz w:val="24"/>
      <w:szCs w:val="24"/>
      <w:lang w:val="en-GB"/>
    </w:rPr>
  </w:style>
  <w:style w:type="paragraph" w:styleId="BodyText">
    <w:name w:val="Body Text"/>
    <w:basedOn w:val="Normal"/>
    <w:link w:val="BodyTextChar"/>
    <w:uiPriority w:val="1"/>
    <w:qFormat/>
    <w:rsid w:val="00A01324"/>
    <w:pPr>
      <w:widowControl w:val="0"/>
      <w:autoSpaceDE w:val="0"/>
      <w:autoSpaceDN w:val="0"/>
    </w:pPr>
    <w:rPr>
      <w:rFonts w:ascii="Arial MT" w:eastAsia="Arial MT" w:hAnsi="Arial MT" w:cs="Arial MT"/>
    </w:rPr>
  </w:style>
  <w:style w:type="character" w:customStyle="1" w:styleId="BodyTextChar">
    <w:name w:val="Body Text Char"/>
    <w:basedOn w:val="DefaultParagraphFont"/>
    <w:link w:val="BodyText"/>
    <w:uiPriority w:val="1"/>
    <w:rsid w:val="00A01324"/>
    <w:rPr>
      <w:rFonts w:ascii="Arial MT" w:eastAsia="Arial MT" w:hAnsi="Arial MT" w:cs="Arial MT"/>
    </w:rPr>
  </w:style>
  <w:style w:type="paragraph" w:styleId="NormalWeb">
    <w:name w:val="Normal (Web)"/>
    <w:basedOn w:val="Normal"/>
    <w:uiPriority w:val="99"/>
    <w:unhideWhenUsed/>
    <w:rsid w:val="00A01324"/>
    <w:pPr>
      <w:spacing w:before="100" w:beforeAutospacing="1" w:after="100" w:afterAutospacing="1"/>
    </w:pPr>
    <w:rPr>
      <w:rFonts w:ascii="Times New Roman" w:hAnsi="Times New Roman"/>
      <w:sz w:val="24"/>
      <w:szCs w:val="24"/>
      <w:lang w:val="en-IN" w:eastAsia="en-IN"/>
    </w:rPr>
  </w:style>
  <w:style w:type="character" w:customStyle="1" w:styleId="geo-dms">
    <w:name w:val="geo-dms"/>
    <w:basedOn w:val="DefaultParagraphFont"/>
    <w:rsid w:val="00A01324"/>
  </w:style>
  <w:style w:type="character" w:customStyle="1" w:styleId="latitude">
    <w:name w:val="latitude"/>
    <w:basedOn w:val="DefaultParagraphFont"/>
    <w:rsid w:val="00A01324"/>
  </w:style>
  <w:style w:type="character" w:customStyle="1" w:styleId="longitude">
    <w:name w:val="longitude"/>
    <w:basedOn w:val="DefaultParagraphFont"/>
    <w:rsid w:val="00A01324"/>
  </w:style>
  <w:style w:type="paragraph" w:styleId="Bibliography">
    <w:name w:val="Bibliography"/>
    <w:basedOn w:val="Normal"/>
    <w:next w:val="Normal"/>
    <w:uiPriority w:val="37"/>
    <w:unhideWhenUsed/>
    <w:rsid w:val="00A01324"/>
    <w:pPr>
      <w:spacing w:after="160" w:line="259" w:lineRule="auto"/>
    </w:pPr>
    <w:rPr>
      <w:rFonts w:ascii="Calibri" w:eastAsia="Calibri" w:hAnsi="Calibri"/>
      <w:sz w:val="22"/>
      <w:szCs w:val="22"/>
      <w:lang w:val="en-GB"/>
    </w:rPr>
  </w:style>
  <w:style w:type="character" w:customStyle="1" w:styleId="html-italic">
    <w:name w:val="html-italic"/>
    <w:basedOn w:val="DefaultParagraphFont"/>
    <w:rsid w:val="00A01324"/>
  </w:style>
  <w:style w:type="character" w:customStyle="1" w:styleId="nowrap">
    <w:name w:val="nowrap"/>
    <w:basedOn w:val="DefaultParagraphFont"/>
    <w:rsid w:val="00A01324"/>
  </w:style>
  <w:style w:type="character" w:customStyle="1" w:styleId="cs1-format">
    <w:name w:val="cs1-format"/>
    <w:basedOn w:val="DefaultParagraphFont"/>
    <w:rsid w:val="00A01324"/>
  </w:style>
  <w:style w:type="character" w:customStyle="1" w:styleId="reference-accessdate">
    <w:name w:val="reference-accessdate"/>
    <w:basedOn w:val="DefaultParagraphFont"/>
    <w:rsid w:val="00A01324"/>
  </w:style>
  <w:style w:type="character" w:customStyle="1" w:styleId="fal6plv">
    <w:name w:val="fal6plv"/>
    <w:basedOn w:val="DefaultParagraphFont"/>
    <w:rsid w:val="00A01324"/>
  </w:style>
  <w:style w:type="paragraph" w:customStyle="1" w:styleId="html-x">
    <w:name w:val="html-x"/>
    <w:basedOn w:val="Normal"/>
    <w:rsid w:val="00A01324"/>
    <w:pPr>
      <w:spacing w:before="100" w:beforeAutospacing="1" w:after="100" w:afterAutospacing="1"/>
    </w:pPr>
    <w:rPr>
      <w:rFonts w:ascii="Times New Roman" w:hAnsi="Times New Roman"/>
      <w:sz w:val="24"/>
      <w:szCs w:val="24"/>
      <w:lang w:val="en-GB" w:eastAsia="en-GB"/>
    </w:rPr>
  </w:style>
  <w:style w:type="paragraph" w:customStyle="1" w:styleId="TableParagraph">
    <w:name w:val="Table Paragraph"/>
    <w:basedOn w:val="Normal"/>
    <w:uiPriority w:val="1"/>
    <w:qFormat/>
    <w:rsid w:val="00A01324"/>
    <w:pPr>
      <w:widowControl w:val="0"/>
      <w:autoSpaceDE w:val="0"/>
      <w:autoSpaceDN w:val="0"/>
      <w:spacing w:line="210" w:lineRule="exact"/>
      <w:ind w:left="107"/>
      <w:jc w:val="center"/>
    </w:pPr>
    <w:rPr>
      <w:rFonts w:ascii="Times New Roman" w:hAnsi="Times New Roman"/>
      <w:sz w:val="22"/>
      <w:szCs w:val="22"/>
    </w:rPr>
  </w:style>
  <w:style w:type="table" w:customStyle="1" w:styleId="PlainTable41">
    <w:name w:val="Plain Table 41"/>
    <w:basedOn w:val="TableNormal"/>
    <w:uiPriority w:val="44"/>
    <w:rsid w:val="00A01324"/>
    <w:rPr>
      <w:rFonts w:ascii="Calibri" w:eastAsia="Calibri" w:hAnsi="Calibri"/>
      <w:lang w:val="en-GB"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lor15">
    <w:name w:val="color_15"/>
    <w:basedOn w:val="DefaultParagraphFont"/>
    <w:rsid w:val="00A01324"/>
  </w:style>
  <w:style w:type="character" w:customStyle="1" w:styleId="wixui-rich-texttext">
    <w:name w:val="wixui-rich-text__text"/>
    <w:basedOn w:val="DefaultParagraphFont"/>
    <w:rsid w:val="00A01324"/>
  </w:style>
  <w:style w:type="table" w:customStyle="1" w:styleId="TableGridLight1">
    <w:name w:val="Table Grid Light1"/>
    <w:basedOn w:val="TableNormal"/>
    <w:uiPriority w:val="40"/>
    <w:rsid w:val="00A01324"/>
    <w:rPr>
      <w:rFonts w:ascii="Calibri" w:eastAsia="Calibri" w:hAnsi="Calibri"/>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1">
    <w:name w:val="Unresolved Mention1"/>
    <w:uiPriority w:val="99"/>
    <w:semiHidden/>
    <w:unhideWhenUsed/>
    <w:rsid w:val="00A01324"/>
    <w:rPr>
      <w:color w:val="605E5C"/>
      <w:shd w:val="clear" w:color="auto" w:fill="E1DFDD"/>
    </w:rPr>
  </w:style>
  <w:style w:type="paragraph" w:styleId="NoSpacing">
    <w:name w:val="No Spacing"/>
    <w:link w:val="NoSpacingChar"/>
    <w:uiPriority w:val="1"/>
    <w:qFormat/>
    <w:rsid w:val="00A01324"/>
    <w:rPr>
      <w:rFonts w:ascii="Calibri" w:hAnsi="Calibri"/>
      <w:sz w:val="22"/>
      <w:szCs w:val="22"/>
    </w:rPr>
  </w:style>
  <w:style w:type="character" w:customStyle="1" w:styleId="NoSpacingChar">
    <w:name w:val="No Spacing Char"/>
    <w:link w:val="NoSpacing"/>
    <w:uiPriority w:val="1"/>
    <w:rsid w:val="00A01324"/>
    <w:rPr>
      <w:rFonts w:ascii="Calibri" w:hAnsi="Calibri"/>
      <w:sz w:val="22"/>
      <w:szCs w:val="22"/>
    </w:rPr>
  </w:style>
  <w:style w:type="table" w:customStyle="1" w:styleId="TableGridLight2">
    <w:name w:val="Table Grid Light2"/>
    <w:basedOn w:val="TableNormal"/>
    <w:uiPriority w:val="40"/>
    <w:rsid w:val="00A01324"/>
    <w:rPr>
      <w:rFonts w:ascii="Calibri" w:eastAsia="Calibri" w:hAnsi="Calibri"/>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4">
    <w:name w:val="toc 4"/>
    <w:basedOn w:val="Normal"/>
    <w:next w:val="Normal"/>
    <w:autoRedefine/>
    <w:uiPriority w:val="39"/>
    <w:unhideWhenUsed/>
    <w:rsid w:val="00A01324"/>
    <w:pPr>
      <w:spacing w:line="259" w:lineRule="auto"/>
      <w:ind w:left="660"/>
    </w:pPr>
    <w:rPr>
      <w:rFonts w:asciiTheme="minorHAnsi" w:eastAsia="Calibri" w:hAnsiTheme="minorHAnsi" w:cstheme="minorHAnsi"/>
      <w:lang w:val="en-GB"/>
    </w:rPr>
  </w:style>
  <w:style w:type="paragraph" w:styleId="TOC5">
    <w:name w:val="toc 5"/>
    <w:basedOn w:val="Normal"/>
    <w:next w:val="Normal"/>
    <w:autoRedefine/>
    <w:uiPriority w:val="39"/>
    <w:unhideWhenUsed/>
    <w:rsid w:val="00A01324"/>
    <w:pPr>
      <w:spacing w:line="259" w:lineRule="auto"/>
      <w:ind w:left="880"/>
    </w:pPr>
    <w:rPr>
      <w:rFonts w:asciiTheme="minorHAnsi" w:eastAsia="Calibri" w:hAnsiTheme="minorHAnsi" w:cstheme="minorHAnsi"/>
      <w:lang w:val="en-GB"/>
    </w:rPr>
  </w:style>
  <w:style w:type="paragraph" w:styleId="TOC6">
    <w:name w:val="toc 6"/>
    <w:basedOn w:val="Normal"/>
    <w:next w:val="Normal"/>
    <w:autoRedefine/>
    <w:uiPriority w:val="39"/>
    <w:unhideWhenUsed/>
    <w:rsid w:val="00A01324"/>
    <w:pPr>
      <w:spacing w:line="259" w:lineRule="auto"/>
      <w:ind w:left="1100"/>
    </w:pPr>
    <w:rPr>
      <w:rFonts w:asciiTheme="minorHAnsi" w:eastAsia="Calibri" w:hAnsiTheme="minorHAnsi" w:cstheme="minorHAnsi"/>
      <w:lang w:val="en-GB"/>
    </w:rPr>
  </w:style>
  <w:style w:type="paragraph" w:styleId="TOC7">
    <w:name w:val="toc 7"/>
    <w:basedOn w:val="Normal"/>
    <w:next w:val="Normal"/>
    <w:autoRedefine/>
    <w:uiPriority w:val="39"/>
    <w:unhideWhenUsed/>
    <w:rsid w:val="00A01324"/>
    <w:pPr>
      <w:spacing w:line="259" w:lineRule="auto"/>
      <w:ind w:left="1320"/>
    </w:pPr>
    <w:rPr>
      <w:rFonts w:asciiTheme="minorHAnsi" w:eastAsia="Calibri" w:hAnsiTheme="minorHAnsi" w:cstheme="minorHAnsi"/>
      <w:lang w:val="en-GB"/>
    </w:rPr>
  </w:style>
  <w:style w:type="paragraph" w:styleId="TOC8">
    <w:name w:val="toc 8"/>
    <w:basedOn w:val="Normal"/>
    <w:next w:val="Normal"/>
    <w:autoRedefine/>
    <w:uiPriority w:val="39"/>
    <w:unhideWhenUsed/>
    <w:rsid w:val="00A01324"/>
    <w:pPr>
      <w:spacing w:line="259" w:lineRule="auto"/>
      <w:ind w:left="1540"/>
    </w:pPr>
    <w:rPr>
      <w:rFonts w:asciiTheme="minorHAnsi" w:eastAsia="Calibri" w:hAnsiTheme="minorHAnsi" w:cstheme="minorHAnsi"/>
      <w:lang w:val="en-GB"/>
    </w:rPr>
  </w:style>
  <w:style w:type="paragraph" w:styleId="TOC9">
    <w:name w:val="toc 9"/>
    <w:basedOn w:val="Normal"/>
    <w:next w:val="Normal"/>
    <w:autoRedefine/>
    <w:uiPriority w:val="39"/>
    <w:unhideWhenUsed/>
    <w:rsid w:val="00A01324"/>
    <w:pPr>
      <w:spacing w:line="259" w:lineRule="auto"/>
      <w:ind w:left="1760"/>
    </w:pPr>
    <w:rPr>
      <w:rFonts w:asciiTheme="minorHAnsi" w:eastAsia="Calibri" w:hAnsiTheme="minorHAnsi" w:cstheme="minorHAnsi"/>
      <w:lang w:val="en-GB"/>
    </w:rPr>
  </w:style>
  <w:style w:type="table" w:customStyle="1" w:styleId="TableGrid2">
    <w:name w:val="Table Grid2"/>
    <w:basedOn w:val="TableNormal"/>
    <w:next w:val="TableGrid"/>
    <w:uiPriority w:val="59"/>
    <w:rsid w:val="00A013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ayeNormalChar">
    <w:name w:val="Altaye Normal Char"/>
    <w:link w:val="AltayeNormal"/>
    <w:locked/>
    <w:rsid w:val="00A01324"/>
    <w:rPr>
      <w:lang w:bidi="en-US"/>
    </w:rPr>
  </w:style>
  <w:style w:type="paragraph" w:customStyle="1" w:styleId="AltayeNormal">
    <w:name w:val="Altaye Normal"/>
    <w:basedOn w:val="Normal"/>
    <w:link w:val="AltayeNormalChar"/>
    <w:qFormat/>
    <w:rsid w:val="00A01324"/>
    <w:pPr>
      <w:spacing w:after="200" w:line="276" w:lineRule="auto"/>
    </w:pPr>
    <w:rPr>
      <w:rFonts w:ascii="Times New Roman" w:hAnsi="Times New Roman"/>
      <w:lang w:bidi="en-US"/>
    </w:rPr>
  </w:style>
  <w:style w:type="character" w:customStyle="1" w:styleId="A5">
    <w:name w:val="A5"/>
    <w:uiPriority w:val="99"/>
    <w:rsid w:val="00A01324"/>
    <w:rPr>
      <w:color w:val="000000"/>
      <w:sz w:val="18"/>
      <w:szCs w:val="18"/>
    </w:rPr>
  </w:style>
  <w:style w:type="character" w:customStyle="1" w:styleId="A1">
    <w:name w:val="A1"/>
    <w:uiPriority w:val="99"/>
    <w:rsid w:val="00A01324"/>
    <w:rPr>
      <w:color w:val="000000"/>
      <w:sz w:val="20"/>
      <w:szCs w:val="20"/>
    </w:rPr>
  </w:style>
  <w:style w:type="character" w:customStyle="1" w:styleId="char-style-override-7">
    <w:name w:val="char-style-override-7"/>
    <w:basedOn w:val="DefaultParagraphFont"/>
    <w:rsid w:val="00A01324"/>
  </w:style>
  <w:style w:type="character" w:customStyle="1" w:styleId="char-style-override-8">
    <w:name w:val="char-style-override-8"/>
    <w:basedOn w:val="DefaultParagraphFont"/>
    <w:rsid w:val="00A01324"/>
  </w:style>
  <w:style w:type="character" w:customStyle="1" w:styleId="css-x5hiaf">
    <w:name w:val="css-x5hiaf"/>
    <w:basedOn w:val="DefaultParagraphFont"/>
    <w:rsid w:val="00A01324"/>
  </w:style>
  <w:style w:type="character" w:customStyle="1" w:styleId="css-rh820s">
    <w:name w:val="css-rh820s"/>
    <w:basedOn w:val="DefaultParagraphFont"/>
    <w:rsid w:val="00A01324"/>
  </w:style>
  <w:style w:type="character" w:customStyle="1" w:styleId="css-0">
    <w:name w:val="css-0"/>
    <w:basedOn w:val="DefaultParagraphFont"/>
    <w:rsid w:val="00A01324"/>
  </w:style>
  <w:style w:type="character" w:customStyle="1" w:styleId="css-15iwe0d">
    <w:name w:val="css-15iwe0d"/>
    <w:basedOn w:val="DefaultParagraphFont"/>
    <w:rsid w:val="00A01324"/>
  </w:style>
  <w:style w:type="character" w:customStyle="1" w:styleId="css-2yp7ui">
    <w:name w:val="css-2yp7ui"/>
    <w:basedOn w:val="DefaultParagraphFont"/>
    <w:rsid w:val="00A01324"/>
  </w:style>
  <w:style w:type="character" w:customStyle="1" w:styleId="css-1ber87j">
    <w:name w:val="css-1ber87j"/>
    <w:basedOn w:val="DefaultParagraphFont"/>
    <w:rsid w:val="00A01324"/>
  </w:style>
  <w:style w:type="character" w:customStyle="1" w:styleId="css-1eh0vfs">
    <w:name w:val="css-1eh0vfs"/>
    <w:basedOn w:val="DefaultParagraphFont"/>
    <w:rsid w:val="00A01324"/>
  </w:style>
  <w:style w:type="table" w:customStyle="1" w:styleId="GridTable1Light1">
    <w:name w:val="Grid Table 1 Light1"/>
    <w:basedOn w:val="TableNormal"/>
    <w:uiPriority w:val="46"/>
    <w:rsid w:val="00A01324"/>
    <w:rPr>
      <w:rFonts w:asciiTheme="minorHAnsi" w:eastAsiaTheme="minorHAnsi" w:hAnsiTheme="minorHAnsi" w:cstheme="minorBidi"/>
      <w:kern w:val="2"/>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A01324"/>
    <w:pPr>
      <w:spacing w:line="259" w:lineRule="auto"/>
      <w:ind w:left="440" w:hanging="440"/>
    </w:pPr>
    <w:rPr>
      <w:rFonts w:asciiTheme="minorHAnsi" w:eastAsia="Calibri" w:hAnsiTheme="minorHAnsi" w:cstheme="minorHAnsi"/>
      <w:smallCaps/>
      <w:lang w:val="en-GB"/>
    </w:rPr>
  </w:style>
  <w:style w:type="character" w:customStyle="1" w:styleId="separator">
    <w:name w:val="_separator"/>
    <w:basedOn w:val="DefaultParagraphFont"/>
    <w:rsid w:val="00A01324"/>
  </w:style>
  <w:style w:type="character" w:customStyle="1" w:styleId="group-doi">
    <w:name w:val="group-doi"/>
    <w:basedOn w:val="DefaultParagraphFont"/>
    <w:rsid w:val="00A01324"/>
  </w:style>
  <w:style w:type="paragraph" w:customStyle="1" w:styleId="nova-legacy-e-listitem">
    <w:name w:val="nova-legacy-e-list__item"/>
    <w:basedOn w:val="Normal"/>
    <w:rsid w:val="00A01324"/>
    <w:pPr>
      <w:spacing w:before="100" w:beforeAutospacing="1" w:after="100" w:afterAutospacing="1"/>
    </w:pPr>
    <w:rPr>
      <w:rFonts w:ascii="Times New Roman" w:hAnsi="Times New Roman"/>
      <w:sz w:val="24"/>
      <w:szCs w:val="24"/>
      <w:lang w:val="en-GB" w:eastAsia="en-GB"/>
    </w:rPr>
  </w:style>
  <w:style w:type="character" w:customStyle="1" w:styleId="charoverride-6">
    <w:name w:val="charoverride-6"/>
    <w:basedOn w:val="DefaultParagraphFont"/>
    <w:rsid w:val="00A01324"/>
  </w:style>
  <w:style w:type="character" w:customStyle="1" w:styleId="Hyperlink1">
    <w:name w:val="Hyperlink1"/>
    <w:basedOn w:val="DefaultParagraphFont"/>
    <w:rsid w:val="00A01324"/>
  </w:style>
  <w:style w:type="character" w:customStyle="1" w:styleId="char-style-override-6">
    <w:name w:val="char-style-override-6"/>
    <w:basedOn w:val="DefaultParagraphFont"/>
    <w:rsid w:val="00A01324"/>
  </w:style>
  <w:style w:type="table" w:customStyle="1" w:styleId="GridTable1Light-Accent11">
    <w:name w:val="Grid Table 1 Light - Accent 11"/>
    <w:basedOn w:val="TableNormal"/>
    <w:uiPriority w:val="46"/>
    <w:rsid w:val="00A01324"/>
    <w:rPr>
      <w:rFonts w:asciiTheme="minorHAnsi" w:eastAsiaTheme="minorHAnsi" w:hAnsiTheme="minorHAnsi" w:cstheme="minorBidi"/>
      <w:kern w:val="2"/>
      <w:sz w:val="22"/>
      <w:szCs w:val="22"/>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line-clamp-1">
    <w:name w:val="line-clamp-1"/>
    <w:basedOn w:val="DefaultParagraphFont"/>
    <w:rsid w:val="00A01324"/>
  </w:style>
  <w:style w:type="paragraph" w:styleId="z-TopofForm">
    <w:name w:val="HTML Top of Form"/>
    <w:basedOn w:val="Normal"/>
    <w:next w:val="Normal"/>
    <w:link w:val="z-TopofFormChar"/>
    <w:hidden/>
    <w:uiPriority w:val="99"/>
    <w:semiHidden/>
    <w:unhideWhenUsed/>
    <w:rsid w:val="00A01324"/>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A01324"/>
    <w:rPr>
      <w:rFonts w:ascii="Arial"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A01324"/>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A01324"/>
    <w:rPr>
      <w:rFonts w:ascii="Arial" w:hAnsi="Arial" w:cs="Arial"/>
      <w:vanish/>
      <w:sz w:val="16"/>
      <w:szCs w:val="16"/>
      <w:lang w:val="en-GB" w:eastAsia="en-GB"/>
    </w:rPr>
  </w:style>
  <w:style w:type="character" w:customStyle="1" w:styleId="fontstyle01">
    <w:name w:val="fontstyle01"/>
    <w:basedOn w:val="DefaultParagraphFont"/>
    <w:rsid w:val="00A01324"/>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A01324"/>
    <w:rPr>
      <w:rFonts w:ascii="Times New Roman" w:hAnsi="Times New Roman" w:cs="Times New 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0B504-555B-4E97-9B37-4C2FF02BD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71</TotalTime>
  <Pages>9</Pages>
  <Words>3141</Words>
  <Characters>17910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21009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16</cp:revision>
  <cp:lastPrinted>1999-07-06T11:00:00Z</cp:lastPrinted>
  <dcterms:created xsi:type="dcterms:W3CDTF">2026-04-28T10:28:00Z</dcterms:created>
  <dcterms:modified xsi:type="dcterms:W3CDTF">2026-04-30T10:27:00Z</dcterms:modified>
</cp:coreProperties>
</file>