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C1E" w:rsidRPr="00D524F2" w:rsidRDefault="00CB7C1E" w:rsidP="00D524F2">
      <w:pPr>
        <w:pStyle w:val="BodyText"/>
        <w:jc w:val="right"/>
        <w:rPr>
          <w:rFonts w:ascii="Arial" w:eastAsia="Arial" w:hAnsi="Arial" w:cs="Arial"/>
          <w:b/>
          <w:iCs/>
          <w:sz w:val="32"/>
          <w:szCs w:val="22"/>
          <w:u w:val="single"/>
        </w:rPr>
      </w:pPr>
      <w:r w:rsidRPr="00D524F2">
        <w:rPr>
          <w:rFonts w:ascii="Arial" w:eastAsia="Arial" w:hAnsi="Arial" w:cs="Arial"/>
          <w:b/>
          <w:iCs/>
          <w:sz w:val="32"/>
          <w:szCs w:val="22"/>
          <w:u w:val="single"/>
        </w:rPr>
        <w:t xml:space="preserve">Original </w:t>
      </w:r>
      <w:r w:rsidR="00D524F2" w:rsidRPr="00D524F2">
        <w:rPr>
          <w:rFonts w:ascii="Arial" w:eastAsia="Arial" w:hAnsi="Arial" w:cs="Arial"/>
          <w:b/>
          <w:iCs/>
          <w:sz w:val="32"/>
          <w:szCs w:val="22"/>
          <w:u w:val="single"/>
        </w:rPr>
        <w:t>Research Article</w:t>
      </w:r>
    </w:p>
    <w:p w:rsidR="00CB7C1E" w:rsidRDefault="00CB7C1E" w:rsidP="002360F5">
      <w:pPr>
        <w:pStyle w:val="BodyText"/>
        <w:jc w:val="both"/>
        <w:rPr>
          <w:rFonts w:ascii="Arial" w:eastAsia="Arial" w:hAnsi="Arial" w:cs="Arial"/>
          <w:b/>
          <w:bCs/>
          <w:sz w:val="28"/>
          <w:szCs w:val="28"/>
        </w:rPr>
      </w:pPr>
    </w:p>
    <w:p w:rsidR="00F3640F" w:rsidRDefault="002360F5" w:rsidP="002360F5">
      <w:pPr>
        <w:pStyle w:val="BodyText"/>
        <w:jc w:val="both"/>
        <w:rPr>
          <w:rFonts w:ascii="Arial" w:eastAsia="Arial" w:hAnsi="Arial" w:cs="Arial"/>
          <w:b/>
          <w:bCs/>
          <w:sz w:val="28"/>
          <w:szCs w:val="28"/>
        </w:rPr>
      </w:pPr>
      <w:r w:rsidRPr="002360F5">
        <w:rPr>
          <w:rFonts w:ascii="Arial" w:eastAsia="Arial" w:hAnsi="Arial" w:cs="Arial"/>
          <w:b/>
          <w:bCs/>
          <w:sz w:val="28"/>
          <w:szCs w:val="28"/>
        </w:rPr>
        <w:t>Long-Term Impact of Soil Test Crop Response (STCR)-Based Nutrient Management on Soil Chemical Properties under Wheat (</w:t>
      </w:r>
      <w:r w:rsidRPr="002360F5">
        <w:rPr>
          <w:rFonts w:ascii="Arial" w:eastAsia="Arial" w:hAnsi="Arial" w:cs="Arial"/>
          <w:b/>
          <w:bCs/>
          <w:i/>
          <w:iCs/>
          <w:sz w:val="28"/>
          <w:szCs w:val="28"/>
        </w:rPr>
        <w:t xml:space="preserve">Triticum </w:t>
      </w:r>
      <w:proofErr w:type="spellStart"/>
      <w:r w:rsidRPr="002360F5">
        <w:rPr>
          <w:rFonts w:ascii="Arial" w:eastAsia="Arial" w:hAnsi="Arial" w:cs="Arial"/>
          <w:b/>
          <w:bCs/>
          <w:i/>
          <w:iCs/>
          <w:sz w:val="28"/>
          <w:szCs w:val="28"/>
        </w:rPr>
        <w:t>aestivum</w:t>
      </w:r>
      <w:proofErr w:type="spellEnd"/>
      <w:r w:rsidRPr="002360F5">
        <w:rPr>
          <w:rFonts w:ascii="Arial" w:eastAsia="Arial" w:hAnsi="Arial" w:cs="Arial"/>
          <w:b/>
          <w:bCs/>
          <w:sz w:val="28"/>
          <w:szCs w:val="28"/>
        </w:rPr>
        <w:t xml:space="preserve"> L.) in </w:t>
      </w:r>
      <w:proofErr w:type="spellStart"/>
      <w:r w:rsidRPr="002360F5">
        <w:rPr>
          <w:rFonts w:ascii="Arial" w:eastAsia="Arial" w:hAnsi="Arial" w:cs="Arial"/>
          <w:b/>
          <w:bCs/>
          <w:sz w:val="28"/>
          <w:szCs w:val="28"/>
        </w:rPr>
        <w:t>Vertisols</w:t>
      </w:r>
      <w:proofErr w:type="spellEnd"/>
    </w:p>
    <w:p w:rsidR="00D524F2" w:rsidRDefault="00D524F2" w:rsidP="002360F5">
      <w:pPr>
        <w:pStyle w:val="BodyText"/>
        <w:jc w:val="both"/>
        <w:rPr>
          <w:rFonts w:ascii="Arial"/>
          <w:b/>
        </w:rPr>
      </w:pPr>
    </w:p>
    <w:p w:rsidR="003D2867" w:rsidRDefault="003D2867">
      <w:pPr>
        <w:pStyle w:val="BodyText"/>
        <w:spacing w:before="167"/>
        <w:rPr>
          <w:rFonts w:ascii="Arial"/>
          <w:b/>
        </w:rPr>
      </w:pPr>
    </w:p>
    <w:p w:rsidR="00402542" w:rsidRDefault="00402542">
      <w:pPr>
        <w:pStyle w:val="BodyText"/>
        <w:spacing w:before="167"/>
        <w:rPr>
          <w:rFonts w:ascii="Arial"/>
          <w:b/>
        </w:rPr>
      </w:pPr>
    </w:p>
    <w:p w:rsidR="00F3640F" w:rsidRDefault="002E75A1">
      <w:pPr>
        <w:spacing w:line="177" w:lineRule="exact"/>
        <w:ind w:left="215"/>
        <w:rPr>
          <w:sz w:val="16"/>
        </w:rPr>
      </w:pPr>
      <w:r>
        <w:rPr>
          <w:spacing w:val="-10"/>
          <w:sz w:val="16"/>
        </w:rPr>
        <w:t>.</w:t>
      </w:r>
    </w:p>
    <w:p w:rsidR="00F3640F" w:rsidRDefault="002E75A1">
      <w:pPr>
        <w:pStyle w:val="Heading2"/>
        <w:spacing w:line="248" w:lineRule="exact"/>
        <w:ind w:left="215" w:firstLine="0"/>
        <w:rPr>
          <w:spacing w:val="-2"/>
        </w:rPr>
      </w:pPr>
      <w:r>
        <w:rPr>
          <w:spacing w:val="-2"/>
        </w:rPr>
        <w:t>ABSTRACT</w:t>
      </w:r>
    </w:p>
    <w:p w:rsidR="00F435E6" w:rsidRDefault="00F435E6">
      <w:pPr>
        <w:pStyle w:val="Heading2"/>
        <w:spacing w:line="248" w:lineRule="exact"/>
        <w:ind w:left="215" w:firstLine="0"/>
      </w:pPr>
    </w:p>
    <w:p w:rsidR="00F435E6" w:rsidRPr="00E1098B" w:rsidRDefault="00F435E6" w:rsidP="00F435E6">
      <w:pPr>
        <w:pStyle w:val="NormalWeb"/>
        <w:jc w:val="both"/>
        <w:rPr>
          <w:sz w:val="20"/>
          <w:szCs w:val="20"/>
        </w:rPr>
      </w:pPr>
      <w:r w:rsidRPr="00E1098B">
        <w:rPr>
          <w:sz w:val="20"/>
          <w:szCs w:val="20"/>
        </w:rPr>
        <w:t xml:space="preserve">A field experiment was conducted during the </w:t>
      </w:r>
      <w:r w:rsidRPr="00431406">
        <w:rPr>
          <w:i/>
          <w:iCs/>
          <w:sz w:val="20"/>
          <w:szCs w:val="20"/>
        </w:rPr>
        <w:t>Rabi</w:t>
      </w:r>
      <w:r w:rsidRPr="00E1098B">
        <w:rPr>
          <w:sz w:val="20"/>
          <w:szCs w:val="20"/>
        </w:rPr>
        <w:t xml:space="preserve"> seasons of 2020–21 and 2021–22 at the research farm of </w:t>
      </w:r>
      <w:r w:rsidRPr="00E1098B">
        <w:rPr>
          <w:rStyle w:val="whitespace-normal"/>
          <w:sz w:val="20"/>
          <w:szCs w:val="20"/>
        </w:rPr>
        <w:t>Jawaharlal Nehru Krishi Vishwa Vidyalaya</w:t>
      </w:r>
      <w:r>
        <w:rPr>
          <w:rStyle w:val="whitespace-normal"/>
          <w:sz w:val="20"/>
          <w:szCs w:val="20"/>
        </w:rPr>
        <w:t>, Jabalpur</w:t>
      </w:r>
      <w:r>
        <w:rPr>
          <w:sz w:val="20"/>
          <w:szCs w:val="20"/>
        </w:rPr>
        <w:t>, Madhya Pradesh</w:t>
      </w:r>
      <w:r w:rsidRPr="00E1098B">
        <w:rPr>
          <w:sz w:val="20"/>
          <w:szCs w:val="20"/>
        </w:rPr>
        <w:t xml:space="preserve"> to evaluate the </w:t>
      </w:r>
      <w:r w:rsidRPr="00D83141">
        <w:rPr>
          <w:sz w:val="20"/>
          <w:szCs w:val="20"/>
        </w:rPr>
        <w:t>Long-Term Impact of Soil Test Crop Response (STCR)-Based Nutrient Management on Soil Chemical Properties under Wheat (</w:t>
      </w:r>
      <w:r w:rsidRPr="00D83141">
        <w:rPr>
          <w:i/>
          <w:iCs/>
          <w:sz w:val="20"/>
          <w:szCs w:val="20"/>
        </w:rPr>
        <w:t xml:space="preserve">Triticum </w:t>
      </w:r>
      <w:proofErr w:type="spellStart"/>
      <w:r w:rsidRPr="00D83141">
        <w:rPr>
          <w:i/>
          <w:iCs/>
          <w:sz w:val="20"/>
          <w:szCs w:val="20"/>
        </w:rPr>
        <w:t>aestivum</w:t>
      </w:r>
      <w:proofErr w:type="spellEnd"/>
      <w:r w:rsidRPr="00D83141">
        <w:rPr>
          <w:sz w:val="20"/>
          <w:szCs w:val="20"/>
        </w:rPr>
        <w:t xml:space="preserve"> L.) in </w:t>
      </w:r>
      <w:proofErr w:type="spellStart"/>
      <w:r w:rsidRPr="00D83141">
        <w:rPr>
          <w:sz w:val="20"/>
          <w:szCs w:val="20"/>
        </w:rPr>
        <w:t>Vertisols</w:t>
      </w:r>
      <w:proofErr w:type="spellEnd"/>
      <w:r w:rsidRPr="00D83141">
        <w:rPr>
          <w:sz w:val="20"/>
          <w:szCs w:val="20"/>
        </w:rPr>
        <w:t>.</w:t>
      </w:r>
      <w:r>
        <w:rPr>
          <w:sz w:val="20"/>
          <w:szCs w:val="20"/>
        </w:rPr>
        <w:t xml:space="preserve"> </w:t>
      </w:r>
      <w:r w:rsidRPr="00E1098B">
        <w:rPr>
          <w:sz w:val="20"/>
          <w:szCs w:val="20"/>
        </w:rPr>
        <w:t>Th</w:t>
      </w:r>
      <w:r>
        <w:rPr>
          <w:sz w:val="20"/>
          <w:szCs w:val="20"/>
        </w:rPr>
        <w:t>e experiment was laid out in a r</w:t>
      </w:r>
      <w:r w:rsidRPr="00E1098B">
        <w:rPr>
          <w:sz w:val="20"/>
          <w:szCs w:val="20"/>
        </w:rPr>
        <w:t>andomiz</w:t>
      </w:r>
      <w:r>
        <w:rPr>
          <w:sz w:val="20"/>
          <w:szCs w:val="20"/>
        </w:rPr>
        <w:t>ed block d</w:t>
      </w:r>
      <w:r w:rsidRPr="00E1098B">
        <w:rPr>
          <w:sz w:val="20"/>
          <w:szCs w:val="20"/>
        </w:rPr>
        <w:t>esign with four replications and included six treatments comprising control, general recommended dose (GRD), STCR-based target yield levels (4.5 and 6.0 t ha</w:t>
      </w:r>
      <w:r w:rsidRPr="00E1098B">
        <w:rPr>
          <w:rFonts w:ascii="Cambria Math" w:hAnsi="Cambria Math" w:cs="Cambria Math"/>
          <w:sz w:val="20"/>
          <w:szCs w:val="20"/>
        </w:rPr>
        <w:t>⁻</w:t>
      </w:r>
      <w:r w:rsidRPr="00E1098B">
        <w:rPr>
          <w:rFonts w:ascii="Arial" w:hAnsi="Arial" w:cs="Arial"/>
          <w:sz w:val="20"/>
          <w:szCs w:val="20"/>
        </w:rPr>
        <w:t xml:space="preserve">¹), and their integration with FYM @ 5 </w:t>
      </w:r>
      <w:r w:rsidRPr="00E1098B">
        <w:rPr>
          <w:sz w:val="20"/>
          <w:szCs w:val="20"/>
        </w:rPr>
        <w:t>t ha</w:t>
      </w:r>
      <w:r w:rsidRPr="00E1098B">
        <w:rPr>
          <w:rFonts w:ascii="Cambria Math" w:hAnsi="Cambria Math" w:cs="Cambria Math"/>
          <w:sz w:val="20"/>
          <w:szCs w:val="20"/>
        </w:rPr>
        <w:t>⁻</w:t>
      </w:r>
      <w:r w:rsidRPr="00E1098B">
        <w:rPr>
          <w:rFonts w:ascii="Arial" w:hAnsi="Arial" w:cs="Arial"/>
          <w:sz w:val="20"/>
          <w:szCs w:val="20"/>
        </w:rPr>
        <w:t>¹</w:t>
      </w:r>
      <w:r w:rsidRPr="00E1098B">
        <w:rPr>
          <w:sz w:val="20"/>
          <w:szCs w:val="20"/>
        </w:rPr>
        <w:t>. The results revealed that different nutrient management practices had a significant influence on soil organic carbon and avai</w:t>
      </w:r>
      <w:r>
        <w:rPr>
          <w:sz w:val="20"/>
          <w:szCs w:val="20"/>
        </w:rPr>
        <w:t xml:space="preserve">lable nutrient status (N, P, K </w:t>
      </w:r>
      <w:r w:rsidRPr="00E1098B">
        <w:rPr>
          <w:sz w:val="20"/>
          <w:szCs w:val="20"/>
        </w:rPr>
        <w:t>and S), while soil pH and electrical conductivity showed non-significant variation. A consistent improvement in soil chemical properties was observed with increasing levels of nutrient application and integration of organic manure. The combined application of NPK fertilizers with FYM was found more effective in enhancing soil fertility compared to sole chemical fertilizer application. Among all treatments, target yield of 6.0 t ha⁻¹ + FYM @ 5 t ha⁻¹ recorded the highest values of soil organi</w:t>
      </w:r>
      <w:r>
        <w:rPr>
          <w:sz w:val="20"/>
          <w:szCs w:val="20"/>
        </w:rPr>
        <w:t xml:space="preserve">c carbon and available N, P, K </w:t>
      </w:r>
      <w:r w:rsidRPr="00E1098B">
        <w:rPr>
          <w:sz w:val="20"/>
          <w:szCs w:val="20"/>
        </w:rPr>
        <w:t xml:space="preserve">and S. The study concluded that long-term STCR-based integrated nutrient management is a sustainable approach for improving soil chemical health and maintaining soil fertility in </w:t>
      </w:r>
      <w:proofErr w:type="spellStart"/>
      <w:r w:rsidRPr="00E1098B">
        <w:rPr>
          <w:sz w:val="20"/>
          <w:szCs w:val="20"/>
        </w:rPr>
        <w:t>Vertisols</w:t>
      </w:r>
      <w:proofErr w:type="spellEnd"/>
      <w:r w:rsidRPr="00E1098B">
        <w:rPr>
          <w:sz w:val="20"/>
          <w:szCs w:val="20"/>
        </w:rPr>
        <w:t xml:space="preserve"> under wheat-based cropping systems.</w:t>
      </w:r>
    </w:p>
    <w:p w:rsidR="00F3640F" w:rsidRDefault="00F3640F">
      <w:pPr>
        <w:pStyle w:val="BodyText"/>
        <w:spacing w:before="11"/>
        <w:rPr>
          <w:rFonts w:ascii="Arial"/>
          <w:b/>
        </w:rPr>
      </w:pPr>
    </w:p>
    <w:p w:rsidR="00F3640F" w:rsidRDefault="002E75A1">
      <w:pPr>
        <w:spacing w:before="225"/>
        <w:ind w:left="215"/>
        <w:rPr>
          <w:rFonts w:ascii="Arial"/>
          <w:i/>
          <w:sz w:val="20"/>
        </w:rPr>
      </w:pPr>
      <w:r>
        <w:rPr>
          <w:rFonts w:ascii="Arial"/>
          <w:b/>
          <w:i/>
          <w:sz w:val="20"/>
        </w:rPr>
        <w:t>Keywords:</w:t>
      </w:r>
      <w:r w:rsidR="00E1098B" w:rsidRPr="00E1098B">
        <w:t xml:space="preserve"> </w:t>
      </w:r>
      <w:r w:rsidR="00E1098B" w:rsidRPr="00E1098B">
        <w:rPr>
          <w:rFonts w:ascii="Arial"/>
          <w:b/>
          <w:i/>
          <w:sz w:val="20"/>
        </w:rPr>
        <w:t xml:space="preserve">Soil </w:t>
      </w:r>
      <w:r w:rsidR="002360F5">
        <w:rPr>
          <w:rFonts w:ascii="Arial"/>
          <w:b/>
          <w:i/>
          <w:sz w:val="20"/>
        </w:rPr>
        <w:t>Test Crop Response (STCR); Whea</w:t>
      </w:r>
      <w:r w:rsidR="00440132">
        <w:rPr>
          <w:rFonts w:ascii="Arial"/>
          <w:b/>
          <w:i/>
          <w:sz w:val="20"/>
        </w:rPr>
        <w:t>t</w:t>
      </w:r>
      <w:r w:rsidR="00E1098B" w:rsidRPr="00E1098B">
        <w:rPr>
          <w:rFonts w:ascii="Arial"/>
          <w:b/>
          <w:i/>
          <w:sz w:val="20"/>
        </w:rPr>
        <w:t xml:space="preserve"> (</w:t>
      </w:r>
      <w:r w:rsidR="00E1098B" w:rsidRPr="00E1098B">
        <w:rPr>
          <w:rFonts w:ascii="Arial"/>
          <w:b/>
          <w:i/>
          <w:iCs/>
          <w:sz w:val="20"/>
        </w:rPr>
        <w:t xml:space="preserve">Triticum </w:t>
      </w:r>
      <w:proofErr w:type="spellStart"/>
      <w:r w:rsidR="00E1098B" w:rsidRPr="00E1098B">
        <w:rPr>
          <w:rFonts w:ascii="Arial"/>
          <w:b/>
          <w:i/>
          <w:iCs/>
          <w:sz w:val="20"/>
        </w:rPr>
        <w:t>aestivum</w:t>
      </w:r>
      <w:proofErr w:type="spellEnd"/>
      <w:r w:rsidR="00E1098B" w:rsidRPr="00E1098B">
        <w:rPr>
          <w:rFonts w:ascii="Arial"/>
          <w:b/>
          <w:i/>
          <w:sz w:val="20"/>
        </w:rPr>
        <w:t xml:space="preserve"> L.); </w:t>
      </w:r>
      <w:proofErr w:type="spellStart"/>
      <w:proofErr w:type="gramStart"/>
      <w:r w:rsidR="00E1098B" w:rsidRPr="00E1098B">
        <w:rPr>
          <w:rFonts w:ascii="Arial"/>
          <w:b/>
          <w:i/>
          <w:sz w:val="20"/>
        </w:rPr>
        <w:t>Vertisol</w:t>
      </w:r>
      <w:proofErr w:type="spellEnd"/>
      <w:r w:rsidR="00E1098B" w:rsidRPr="00E1098B">
        <w:rPr>
          <w:rFonts w:ascii="Arial"/>
          <w:b/>
          <w:i/>
          <w:sz w:val="20"/>
        </w:rPr>
        <w:t>;</w:t>
      </w:r>
      <w:r w:rsidR="002360F5">
        <w:rPr>
          <w:rFonts w:ascii="Arial"/>
          <w:b/>
          <w:i/>
          <w:sz w:val="20"/>
        </w:rPr>
        <w:t xml:space="preserve"> </w:t>
      </w:r>
      <w:r w:rsidR="00E1098B" w:rsidRPr="00E1098B">
        <w:rPr>
          <w:rFonts w:ascii="Arial"/>
          <w:b/>
          <w:i/>
          <w:sz w:val="20"/>
        </w:rPr>
        <w:t xml:space="preserve"> Soil</w:t>
      </w:r>
      <w:proofErr w:type="gramEnd"/>
      <w:r w:rsidR="00E1098B" w:rsidRPr="00E1098B">
        <w:rPr>
          <w:rFonts w:ascii="Arial"/>
          <w:b/>
          <w:i/>
          <w:sz w:val="20"/>
        </w:rPr>
        <w:t xml:space="preserve"> chemical properties; FYM; Soil fertility</w:t>
      </w:r>
    </w:p>
    <w:p w:rsidR="00F3640F" w:rsidRDefault="00F3640F">
      <w:pPr>
        <w:pStyle w:val="BodyText"/>
        <w:spacing w:before="116"/>
        <w:rPr>
          <w:rFonts w:ascii="Arial"/>
          <w:i/>
        </w:rPr>
      </w:pPr>
    </w:p>
    <w:p w:rsidR="00F3640F" w:rsidRPr="00FA1608" w:rsidRDefault="002E75A1">
      <w:pPr>
        <w:pStyle w:val="Heading2"/>
        <w:numPr>
          <w:ilvl w:val="0"/>
          <w:numId w:val="3"/>
        </w:numPr>
        <w:tabs>
          <w:tab w:val="left" w:pos="934"/>
        </w:tabs>
        <w:ind w:left="934" w:hanging="359"/>
        <w:jc w:val="left"/>
      </w:pPr>
      <w:r>
        <w:rPr>
          <w:spacing w:val="-2"/>
        </w:rPr>
        <w:t>INTRODUCTION</w:t>
      </w:r>
    </w:p>
    <w:p w:rsidR="00BF114C" w:rsidRDefault="00FA1608" w:rsidP="00A07541">
      <w:pPr>
        <w:pStyle w:val="BodyText"/>
        <w:spacing w:before="62" w:line="408" w:lineRule="auto"/>
        <w:ind w:right="200"/>
        <w:jc w:val="both"/>
      </w:pPr>
      <w:r>
        <w:t>Wheat (</w:t>
      </w:r>
      <w:r>
        <w:rPr>
          <w:rStyle w:val="Emphasis"/>
        </w:rPr>
        <w:t xml:space="preserve">Triticum </w:t>
      </w:r>
      <w:proofErr w:type="spellStart"/>
      <w:r>
        <w:rPr>
          <w:rStyle w:val="Emphasis"/>
        </w:rPr>
        <w:t>aestivum</w:t>
      </w:r>
      <w:proofErr w:type="spellEnd"/>
      <w:r>
        <w:t xml:space="preserve"> L.) is a major staple crop, but its productivity is often constrained by imbalanced nutrient management and declining soil fertility. Wheat depletes soil nutrients, so if it isn’t adequately fertilized, soil</w:t>
      </w:r>
      <w:r>
        <w:rPr>
          <w:spacing w:val="1"/>
        </w:rPr>
        <w:t xml:space="preserve"> </w:t>
      </w:r>
      <w:r>
        <w:t>fertility starts to decline</w:t>
      </w:r>
      <w:r w:rsidR="00BF114C">
        <w:t xml:space="preserve"> (Maheshwari et al., 2025)</w:t>
      </w:r>
      <w:r>
        <w:t xml:space="preserve">. </w:t>
      </w:r>
      <w:r w:rsidR="0007475E">
        <w:t>Conventional fertilizer recommendations, often based on generalized approaches, fail to account for spatial variability in soil fertility and crop nutrient demand. This frequently leads to either under- or over-application of nutrients, resulting in reduced nutrient use efficiency and degradation of soil chemical properties (</w:t>
      </w:r>
      <w:proofErr w:type="spellStart"/>
      <w:r w:rsidR="0007475E">
        <w:t>Ausari</w:t>
      </w:r>
      <w:proofErr w:type="spellEnd"/>
      <w:r w:rsidR="0007475E">
        <w:t xml:space="preserve"> et al., 2020; </w:t>
      </w:r>
      <w:proofErr w:type="spellStart"/>
      <w:r w:rsidR="0007475E">
        <w:t>Gehlot</w:t>
      </w:r>
      <w:proofErr w:type="spellEnd"/>
      <w:r w:rsidR="0007475E">
        <w:t xml:space="preserve"> et al., 2019).</w:t>
      </w:r>
    </w:p>
    <w:p w:rsidR="00BF114C" w:rsidRDefault="00FA1608" w:rsidP="008D2D3D">
      <w:pPr>
        <w:pStyle w:val="BodyText"/>
        <w:spacing w:before="62" w:line="408" w:lineRule="auto"/>
        <w:ind w:right="200" w:firstLine="720"/>
        <w:jc w:val="both"/>
        <w:rPr>
          <w:spacing w:val="1"/>
        </w:rPr>
      </w:pPr>
      <w:r>
        <w:t>While soil test</w:t>
      </w:r>
      <w:r>
        <w:rPr>
          <w:spacing w:val="1"/>
        </w:rPr>
        <w:t xml:space="preserve"> </w:t>
      </w:r>
      <w:r>
        <w:t>based nutrient recommendation cares demand of crop, response of nutrient</w:t>
      </w:r>
      <w:r>
        <w:rPr>
          <w:spacing w:val="1"/>
        </w:rPr>
        <w:t xml:space="preserve"> </w:t>
      </w:r>
      <w:r>
        <w:t>and</w:t>
      </w:r>
      <w:r>
        <w:rPr>
          <w:spacing w:val="1"/>
        </w:rPr>
        <w:t xml:space="preserve"> </w:t>
      </w:r>
      <w:r>
        <w:t>expected</w:t>
      </w:r>
      <w:r>
        <w:rPr>
          <w:spacing w:val="1"/>
        </w:rPr>
        <w:t xml:space="preserve"> </w:t>
      </w:r>
      <w:r>
        <w:t>crop</w:t>
      </w:r>
      <w:r>
        <w:rPr>
          <w:spacing w:val="1"/>
        </w:rPr>
        <w:t xml:space="preserve"> </w:t>
      </w:r>
      <w:r>
        <w:t>yield</w:t>
      </w:r>
      <w:r w:rsidR="00BF114C">
        <w:t xml:space="preserve"> (Ramachandran and Biswas, 2016)</w:t>
      </w:r>
      <w:r>
        <w:t>.</w:t>
      </w:r>
      <w:r>
        <w:rPr>
          <w:spacing w:val="1"/>
        </w:rPr>
        <w:t xml:space="preserve"> </w:t>
      </w:r>
      <w:proofErr w:type="spellStart"/>
      <w:r>
        <w:t>Ramamoorthy</w:t>
      </w:r>
      <w:proofErr w:type="spellEnd"/>
      <w:r>
        <w:rPr>
          <w:spacing w:val="1"/>
        </w:rPr>
        <w:t xml:space="preserve"> </w:t>
      </w:r>
      <w:r>
        <w:rPr>
          <w:rFonts w:ascii="Arial" w:hAnsi="Arial"/>
          <w:i/>
        </w:rPr>
        <w:t>et</w:t>
      </w:r>
      <w:r>
        <w:rPr>
          <w:rFonts w:ascii="Arial" w:hAnsi="Arial"/>
          <w:i/>
          <w:spacing w:val="1"/>
        </w:rPr>
        <w:t xml:space="preserve"> </w:t>
      </w:r>
      <w:r>
        <w:rPr>
          <w:rFonts w:ascii="Arial" w:hAnsi="Arial"/>
          <w:i/>
        </w:rPr>
        <w:t>al.</w:t>
      </w:r>
      <w:r>
        <w:rPr>
          <w:rFonts w:ascii="Arial" w:hAnsi="Arial"/>
          <w:i/>
          <w:spacing w:val="1"/>
        </w:rPr>
        <w:t xml:space="preserve"> </w:t>
      </w:r>
      <w:r>
        <w:rPr>
          <w:rFonts w:ascii="Arial" w:hAnsi="Arial"/>
          <w:i/>
        </w:rPr>
        <w:t>(</w:t>
      </w:r>
      <w:r>
        <w:t>1967)</w:t>
      </w:r>
      <w:r w:rsidR="00F16C96">
        <w:rPr>
          <w:spacing w:val="1"/>
        </w:rPr>
        <w:t xml:space="preserve"> </w:t>
      </w:r>
      <w:r>
        <w:t>developed</w:t>
      </w:r>
      <w:r>
        <w:rPr>
          <w:spacing w:val="1"/>
        </w:rPr>
        <w:t xml:space="preserve"> </w:t>
      </w:r>
      <w:r>
        <w:t>the</w:t>
      </w:r>
      <w:r w:rsidR="00BF114C">
        <w:t xml:space="preserve"> </w:t>
      </w:r>
      <w:r>
        <w:t>methodology</w:t>
      </w:r>
      <w:r>
        <w:rPr>
          <w:spacing w:val="1"/>
        </w:rPr>
        <w:t xml:space="preserve"> </w:t>
      </w:r>
      <w:r>
        <w:t>of</w:t>
      </w:r>
      <w:r>
        <w:rPr>
          <w:spacing w:val="1"/>
        </w:rPr>
        <w:t xml:space="preserve"> </w:t>
      </w:r>
      <w:r w:rsidR="00BF114C">
        <w:t>s</w:t>
      </w:r>
      <w:r>
        <w:t>oil</w:t>
      </w:r>
      <w:r>
        <w:rPr>
          <w:spacing w:val="1"/>
        </w:rPr>
        <w:t xml:space="preserve"> </w:t>
      </w:r>
      <w:r>
        <w:t>test</w:t>
      </w:r>
      <w:r>
        <w:rPr>
          <w:spacing w:val="1"/>
        </w:rPr>
        <w:t xml:space="preserve"> </w:t>
      </w:r>
      <w:r>
        <w:t>based</w:t>
      </w:r>
      <w:r>
        <w:rPr>
          <w:spacing w:val="1"/>
        </w:rPr>
        <w:t xml:space="preserve"> </w:t>
      </w:r>
      <w:r>
        <w:t>nutrient</w:t>
      </w:r>
      <w:r>
        <w:rPr>
          <w:spacing w:val="1"/>
        </w:rPr>
        <w:t xml:space="preserve"> </w:t>
      </w:r>
      <w:r>
        <w:t>recommendation</w:t>
      </w:r>
      <w:r>
        <w:rPr>
          <w:spacing w:val="1"/>
        </w:rPr>
        <w:t xml:space="preserve"> </w:t>
      </w:r>
      <w:r>
        <w:t>for</w:t>
      </w:r>
      <w:r>
        <w:rPr>
          <w:spacing w:val="1"/>
        </w:rPr>
        <w:t xml:space="preserve"> </w:t>
      </w:r>
      <w:r>
        <w:t>target</w:t>
      </w:r>
      <w:r>
        <w:rPr>
          <w:spacing w:val="1"/>
        </w:rPr>
        <w:t xml:space="preserve"> </w:t>
      </w:r>
      <w:r>
        <w:t>yield.</w:t>
      </w:r>
      <w:r>
        <w:rPr>
          <w:spacing w:val="-64"/>
        </w:rPr>
        <w:t xml:space="preserve"> </w:t>
      </w:r>
      <w:r>
        <w:t>Which is a demand-driven technology that allows farmers to choose yield</w:t>
      </w:r>
      <w:r>
        <w:rPr>
          <w:spacing w:val="1"/>
        </w:rPr>
        <w:t xml:space="preserve"> </w:t>
      </w:r>
      <w:r>
        <w:t>targets based on resource endowment capacity and farm typology, thereby</w:t>
      </w:r>
      <w:r>
        <w:rPr>
          <w:spacing w:val="1"/>
        </w:rPr>
        <w:t xml:space="preserve"> </w:t>
      </w:r>
      <w:r>
        <w:t xml:space="preserve">using the plant nutrients judiciously. </w:t>
      </w:r>
      <w:r>
        <w:lastRenderedPageBreak/>
        <w:t>The application of synthetic fertilizers in</w:t>
      </w:r>
      <w:r>
        <w:rPr>
          <w:spacing w:val="1"/>
        </w:rPr>
        <w:t xml:space="preserve"> </w:t>
      </w:r>
      <w:r>
        <w:t>wheat field increases available nitrogen, phosphorus, and potassium in soil</w:t>
      </w:r>
      <w:r>
        <w:rPr>
          <w:spacing w:val="1"/>
        </w:rPr>
        <w:t xml:space="preserve"> </w:t>
      </w:r>
      <w:r w:rsidR="00BF114C">
        <w:t>(Kumar</w:t>
      </w:r>
      <w:r>
        <w:rPr>
          <w:spacing w:val="1"/>
        </w:rPr>
        <w:t xml:space="preserve"> </w:t>
      </w:r>
      <w:r>
        <w:rPr>
          <w:rFonts w:ascii="Arial" w:hAnsi="Arial"/>
          <w:i/>
        </w:rPr>
        <w:t>et</w:t>
      </w:r>
      <w:r>
        <w:rPr>
          <w:rFonts w:ascii="Arial" w:hAnsi="Arial"/>
          <w:i/>
          <w:spacing w:val="1"/>
        </w:rPr>
        <w:t xml:space="preserve"> </w:t>
      </w:r>
      <w:r>
        <w:rPr>
          <w:rFonts w:ascii="Arial" w:hAnsi="Arial"/>
          <w:i/>
        </w:rPr>
        <w:t>al</w:t>
      </w:r>
      <w:r>
        <w:t>.,</w:t>
      </w:r>
      <w:r>
        <w:rPr>
          <w:spacing w:val="1"/>
        </w:rPr>
        <w:t xml:space="preserve"> </w:t>
      </w:r>
      <w:r w:rsidR="00BF114C">
        <w:t>2025</w:t>
      </w:r>
      <w:r>
        <w:t>).</w:t>
      </w:r>
      <w:r>
        <w:rPr>
          <w:spacing w:val="1"/>
        </w:rPr>
        <w:t xml:space="preserve"> </w:t>
      </w:r>
    </w:p>
    <w:p w:rsidR="00BF114C" w:rsidRDefault="00BF114C" w:rsidP="00A07541">
      <w:pPr>
        <w:pStyle w:val="BodyText"/>
        <w:spacing w:before="62" w:line="408" w:lineRule="auto"/>
        <w:ind w:right="200"/>
        <w:jc w:val="both"/>
        <w:rPr>
          <w:spacing w:val="1"/>
        </w:rPr>
      </w:pPr>
    </w:p>
    <w:p w:rsidR="00920F4F" w:rsidRDefault="00FA1608" w:rsidP="008D2D3D">
      <w:pPr>
        <w:pStyle w:val="BodyText"/>
        <w:spacing w:before="62" w:line="408" w:lineRule="auto"/>
        <w:ind w:right="200" w:firstLine="720"/>
        <w:jc w:val="both"/>
      </w:pPr>
      <w:r>
        <w:t xml:space="preserve">The STCR approach, based on targeted yield and soil test values, ensures balanced and efficient nutrient application. </w:t>
      </w:r>
      <w:r w:rsidR="00BF114C">
        <w:t>Researchers reported</w:t>
      </w:r>
      <w:r>
        <w:t xml:space="preserve"> that continuous application of fertilizers in conjunction with farmyard manure significantly improved key soil chemical properties, including soil organic carbon, available nitrogen, phosphorus, and potassium. It also helped in maintaining favorable soil pH and electrical conductivity within optimum ranges</w:t>
      </w:r>
      <w:r w:rsidR="003E0769">
        <w:t xml:space="preserve"> (</w:t>
      </w:r>
      <w:proofErr w:type="spellStart"/>
      <w:r w:rsidR="003E0769">
        <w:t>Gehlot</w:t>
      </w:r>
      <w:proofErr w:type="spellEnd"/>
      <w:r w:rsidR="003E0769">
        <w:t xml:space="preserve"> et al., 2023;</w:t>
      </w:r>
      <w:r w:rsidR="00BF114C">
        <w:t xml:space="preserve"> </w:t>
      </w:r>
      <w:proofErr w:type="spellStart"/>
      <w:r w:rsidR="003E0769">
        <w:t>Bhayal</w:t>
      </w:r>
      <w:proofErr w:type="spellEnd"/>
      <w:r w:rsidR="003E0769">
        <w:t xml:space="preserve"> et al., 2022)</w:t>
      </w:r>
      <w:r>
        <w:t xml:space="preserve">. </w:t>
      </w:r>
    </w:p>
    <w:p w:rsidR="003B1412" w:rsidRDefault="00FA1608" w:rsidP="008D2D3D">
      <w:pPr>
        <w:pStyle w:val="BodyText"/>
        <w:spacing w:before="62" w:line="408" w:lineRule="auto"/>
        <w:ind w:right="200" w:firstLine="720"/>
        <w:jc w:val="both"/>
      </w:pPr>
      <w:r>
        <w:t>Compared to conventional fertilizer practices, STCR-based nutrient management enhanced nutrient availability, minimized nutrient imbalance, and improved nutrient use efficiency. The integrated use of organic and inorganic sources contributed to sustained soil fertility and prevented nutrient depletion over time</w:t>
      </w:r>
      <w:r w:rsidR="009A56F3">
        <w:t xml:space="preserve"> (Maheshwari </w:t>
      </w:r>
      <w:r w:rsidR="009A56F3" w:rsidRPr="009A56F3">
        <w:rPr>
          <w:i/>
          <w:iCs/>
        </w:rPr>
        <w:t>et al</w:t>
      </w:r>
      <w:r w:rsidR="009A56F3">
        <w:t>., 2025; Sharma et al., 2023)</w:t>
      </w:r>
      <w:r>
        <w:t xml:space="preserve">. Thus, long-term adoption of STCR-based nutrient management plays a crucial role in improving soil chemical health and ensuring sustainable wheat productivity in </w:t>
      </w:r>
      <w:proofErr w:type="spellStart"/>
      <w:r>
        <w:t>Vertisols</w:t>
      </w:r>
      <w:proofErr w:type="spellEnd"/>
      <w:r>
        <w:t>.</w:t>
      </w:r>
      <w:r w:rsidR="00A07541" w:rsidRPr="00A07541">
        <w:t xml:space="preserve"> </w:t>
      </w:r>
      <w:r w:rsidR="00A07541">
        <w:t>Optimum</w:t>
      </w:r>
      <w:r w:rsidR="00A07541" w:rsidRPr="00440132">
        <w:t xml:space="preserve"> </w:t>
      </w:r>
      <w:r w:rsidR="00A07541">
        <w:t>dose</w:t>
      </w:r>
      <w:r w:rsidR="00A07541" w:rsidRPr="00440132">
        <w:t xml:space="preserve"> </w:t>
      </w:r>
      <w:r w:rsidR="00A07541">
        <w:t>of</w:t>
      </w:r>
      <w:r w:rsidR="00A07541" w:rsidRPr="00440132">
        <w:t xml:space="preserve"> </w:t>
      </w:r>
      <w:r w:rsidR="00A07541">
        <w:t>fertilizer</w:t>
      </w:r>
      <w:r w:rsidR="00A07541" w:rsidRPr="00440132">
        <w:t xml:space="preserve"> </w:t>
      </w:r>
      <w:r w:rsidR="00A07541">
        <w:t>improves</w:t>
      </w:r>
      <w:r w:rsidR="00A07541" w:rsidRPr="00440132">
        <w:t xml:space="preserve"> </w:t>
      </w:r>
      <w:r w:rsidR="00A07541">
        <w:t>wheat</w:t>
      </w:r>
      <w:r w:rsidR="00A07541" w:rsidRPr="00440132">
        <w:t xml:space="preserve"> </w:t>
      </w:r>
      <w:r w:rsidR="00A07541">
        <w:t>yield</w:t>
      </w:r>
      <w:r w:rsidR="00A07541" w:rsidRPr="00440132">
        <w:t xml:space="preserve"> </w:t>
      </w:r>
      <w:r w:rsidR="00A07541">
        <w:t xml:space="preserve">(Rawal </w:t>
      </w:r>
      <w:r w:rsidR="00A07541" w:rsidRPr="00D83141">
        <w:rPr>
          <w:i/>
          <w:iCs/>
        </w:rPr>
        <w:t>et al</w:t>
      </w:r>
      <w:r w:rsidR="00A07541">
        <w:t>., 2016</w:t>
      </w:r>
      <w:r w:rsidR="003B1412">
        <w:t xml:space="preserve">; </w:t>
      </w:r>
      <w:proofErr w:type="spellStart"/>
      <w:r w:rsidR="003B1412">
        <w:t>Bhayal</w:t>
      </w:r>
      <w:proofErr w:type="spellEnd"/>
      <w:r w:rsidR="003B1412">
        <w:t xml:space="preserve"> et al., 2022</w:t>
      </w:r>
      <w:r w:rsidR="00A07541">
        <w:t>) and fertilizer use efficiency, and reducing pollution (</w:t>
      </w:r>
      <w:proofErr w:type="spellStart"/>
      <w:r w:rsidR="00A07541">
        <w:t>Belete</w:t>
      </w:r>
      <w:proofErr w:type="spellEnd"/>
      <w:r w:rsidR="00A07541" w:rsidRPr="00440132">
        <w:t xml:space="preserve"> </w:t>
      </w:r>
      <w:r w:rsidR="00A07541" w:rsidRPr="00D83141">
        <w:rPr>
          <w:i/>
          <w:iCs/>
        </w:rPr>
        <w:t>et al</w:t>
      </w:r>
      <w:r w:rsidR="00A07541">
        <w:t>.,</w:t>
      </w:r>
      <w:r w:rsidR="00A07541" w:rsidRPr="00440132">
        <w:t xml:space="preserve"> </w:t>
      </w:r>
      <w:r w:rsidR="003B1412">
        <w:t>2018; Singh et al., 2021)</w:t>
      </w:r>
      <w:r w:rsidR="00A07541">
        <w:t>.</w:t>
      </w:r>
      <w:r w:rsidR="00A07541" w:rsidRPr="00440132">
        <w:t xml:space="preserve"> </w:t>
      </w:r>
    </w:p>
    <w:p w:rsidR="0007475E" w:rsidRPr="0007475E" w:rsidRDefault="00A07541" w:rsidP="008D2D3D">
      <w:pPr>
        <w:pStyle w:val="BodyText"/>
        <w:spacing w:before="62" w:line="408" w:lineRule="auto"/>
        <w:ind w:right="200" w:firstLine="720"/>
        <w:jc w:val="both"/>
      </w:pPr>
      <w:r>
        <w:t>Moreover,</w:t>
      </w:r>
      <w:r w:rsidRPr="00440132">
        <w:t xml:space="preserve"> </w:t>
      </w:r>
      <w:r>
        <w:t>right</w:t>
      </w:r>
      <w:r w:rsidRPr="00440132">
        <w:t xml:space="preserve"> </w:t>
      </w:r>
      <w:r>
        <w:t>combination</w:t>
      </w:r>
      <w:r w:rsidRPr="00440132">
        <w:t xml:space="preserve"> </w:t>
      </w:r>
      <w:r>
        <w:t>of</w:t>
      </w:r>
      <w:r w:rsidRPr="00440132">
        <w:t xml:space="preserve"> </w:t>
      </w:r>
      <w:r>
        <w:t>primary</w:t>
      </w:r>
      <w:r w:rsidRPr="00440132">
        <w:t xml:space="preserve"> </w:t>
      </w:r>
      <w:r>
        <w:t>nutrients</w:t>
      </w:r>
      <w:r w:rsidRPr="00440132">
        <w:t xml:space="preserve"> </w:t>
      </w:r>
      <w:r>
        <w:t>is</w:t>
      </w:r>
      <w:r w:rsidRPr="00440132">
        <w:t xml:space="preserve"> </w:t>
      </w:r>
      <w:r>
        <w:t>also</w:t>
      </w:r>
      <w:r w:rsidRPr="00440132">
        <w:t xml:space="preserve"> </w:t>
      </w:r>
      <w:r>
        <w:t>important</w:t>
      </w:r>
      <w:r w:rsidRPr="00440132">
        <w:t xml:space="preserve"> </w:t>
      </w:r>
      <w:r>
        <w:t>to</w:t>
      </w:r>
      <w:r w:rsidRPr="00440132">
        <w:t xml:space="preserve"> </w:t>
      </w:r>
      <w:r>
        <w:t>enhance</w:t>
      </w:r>
      <w:r w:rsidRPr="00440132">
        <w:t xml:space="preserve"> </w:t>
      </w:r>
      <w:r w:rsidR="003B1412">
        <w:t>crop</w:t>
      </w:r>
      <w:r w:rsidRPr="00440132">
        <w:t xml:space="preserve"> </w:t>
      </w:r>
      <w:r>
        <w:t>yield</w:t>
      </w:r>
      <w:r w:rsidRPr="00440132">
        <w:t xml:space="preserve"> </w:t>
      </w:r>
      <w:r>
        <w:t>and</w:t>
      </w:r>
      <w:r w:rsidRPr="00440132">
        <w:t xml:space="preserve"> </w:t>
      </w:r>
      <w:r>
        <w:t>NUE</w:t>
      </w:r>
      <w:r w:rsidRPr="00440132">
        <w:t xml:space="preserve"> </w:t>
      </w:r>
      <w:r>
        <w:t>(Jabbar</w:t>
      </w:r>
      <w:r w:rsidRPr="00440132">
        <w:t xml:space="preserve"> </w:t>
      </w:r>
      <w:r w:rsidRPr="00D83141">
        <w:rPr>
          <w:i/>
          <w:iCs/>
        </w:rPr>
        <w:t>et al</w:t>
      </w:r>
      <w:r>
        <w:t>.,</w:t>
      </w:r>
      <w:r w:rsidRPr="00440132">
        <w:t xml:space="preserve"> </w:t>
      </w:r>
      <w:r>
        <w:t>2009</w:t>
      </w:r>
      <w:r w:rsidR="003B1412">
        <w:t>; Kumar et al., 2022</w:t>
      </w:r>
      <w:r>
        <w:t>).</w:t>
      </w:r>
      <w:r w:rsidRPr="00A07541">
        <w:t xml:space="preserve"> </w:t>
      </w:r>
      <w:r>
        <w:t>Farm</w:t>
      </w:r>
      <w:r w:rsidRPr="00440132">
        <w:t xml:space="preserve"> </w:t>
      </w:r>
      <w:r>
        <w:t>yard</w:t>
      </w:r>
      <w:r w:rsidRPr="00A07541">
        <w:t xml:space="preserve"> </w:t>
      </w:r>
      <w:r>
        <w:t>manure</w:t>
      </w:r>
      <w:r w:rsidRPr="00440132">
        <w:t xml:space="preserve"> </w:t>
      </w:r>
      <w:r>
        <w:t>along</w:t>
      </w:r>
      <w:r w:rsidRPr="00440132">
        <w:t xml:space="preserve"> </w:t>
      </w:r>
      <w:r>
        <w:t>with</w:t>
      </w:r>
      <w:r w:rsidRPr="00440132">
        <w:t xml:space="preserve"> </w:t>
      </w:r>
      <w:r>
        <w:t>target</w:t>
      </w:r>
      <w:r w:rsidRPr="00440132">
        <w:t xml:space="preserve"> </w:t>
      </w:r>
      <w:r>
        <w:t>yield</w:t>
      </w:r>
      <w:r w:rsidRPr="00440132">
        <w:t xml:space="preserve"> </w:t>
      </w:r>
      <w:r>
        <w:t>based</w:t>
      </w:r>
      <w:r w:rsidRPr="00440132">
        <w:t xml:space="preserve"> </w:t>
      </w:r>
      <w:r>
        <w:t>fertilizer</w:t>
      </w:r>
      <w:r w:rsidRPr="00440132">
        <w:t xml:space="preserve"> </w:t>
      </w:r>
      <w:r>
        <w:t>application</w:t>
      </w:r>
      <w:r w:rsidRPr="00440132">
        <w:t xml:space="preserve"> </w:t>
      </w:r>
      <w:r>
        <w:t>not</w:t>
      </w:r>
      <w:r w:rsidRPr="00440132">
        <w:t xml:space="preserve"> </w:t>
      </w:r>
      <w:r>
        <w:t>only</w:t>
      </w:r>
      <w:r w:rsidRPr="00440132">
        <w:t xml:space="preserve"> </w:t>
      </w:r>
      <w:r>
        <w:t>revamps</w:t>
      </w:r>
      <w:r w:rsidRPr="00440132">
        <w:t xml:space="preserve"> </w:t>
      </w:r>
      <w:r>
        <w:t>soil health but also improves soil properties. Therefore, it is essential to the</w:t>
      </w:r>
      <w:r w:rsidRPr="00440132">
        <w:t xml:space="preserve"> </w:t>
      </w:r>
      <w:r>
        <w:t>apply</w:t>
      </w:r>
      <w:r w:rsidRPr="00440132">
        <w:t xml:space="preserve"> </w:t>
      </w:r>
      <w:r>
        <w:t>adequate</w:t>
      </w:r>
      <w:r w:rsidRPr="00440132">
        <w:t xml:space="preserve"> </w:t>
      </w:r>
      <w:r>
        <w:t>amount</w:t>
      </w:r>
      <w:r w:rsidRPr="00440132">
        <w:t xml:space="preserve"> </w:t>
      </w:r>
      <w:r>
        <w:t>of</w:t>
      </w:r>
      <w:r w:rsidRPr="00440132">
        <w:t xml:space="preserve"> </w:t>
      </w:r>
      <w:r>
        <w:t>nutrient</w:t>
      </w:r>
      <w:r w:rsidRPr="00440132">
        <w:t xml:space="preserve"> </w:t>
      </w:r>
      <w:r>
        <w:t>in</w:t>
      </w:r>
      <w:r w:rsidRPr="00440132">
        <w:t xml:space="preserve"> </w:t>
      </w:r>
      <w:r>
        <w:t>appropriate</w:t>
      </w:r>
      <w:r w:rsidRPr="00440132">
        <w:t xml:space="preserve"> </w:t>
      </w:r>
      <w:r>
        <w:t>balance</w:t>
      </w:r>
      <w:r w:rsidRPr="00440132">
        <w:t xml:space="preserve"> </w:t>
      </w:r>
      <w:r>
        <w:t>in</w:t>
      </w:r>
      <w:r w:rsidRPr="00440132">
        <w:t xml:space="preserve"> </w:t>
      </w:r>
      <w:r>
        <w:t>the</w:t>
      </w:r>
      <w:r w:rsidRPr="00440132">
        <w:t xml:space="preserve"> </w:t>
      </w:r>
      <w:r>
        <w:t>soil</w:t>
      </w:r>
      <w:r w:rsidRPr="00440132">
        <w:t xml:space="preserve"> </w:t>
      </w:r>
      <w:r>
        <w:t>to</w:t>
      </w:r>
      <w:r w:rsidRPr="00440132">
        <w:t xml:space="preserve"> </w:t>
      </w:r>
      <w:r>
        <w:t>maintain a positive nutrient balance by replacing nutrients that are taken and</w:t>
      </w:r>
      <w:r w:rsidRPr="00440132">
        <w:t xml:space="preserve"> </w:t>
      </w:r>
      <w:r>
        <w:t>lost</w:t>
      </w:r>
      <w:r w:rsidRPr="00440132">
        <w:t xml:space="preserve"> </w:t>
      </w:r>
      <w:r>
        <w:t>during cropping</w:t>
      </w:r>
      <w:r w:rsidRPr="00440132">
        <w:t xml:space="preserve"> </w:t>
      </w:r>
      <w:r>
        <w:t>(</w:t>
      </w:r>
      <w:proofErr w:type="spellStart"/>
      <w:r>
        <w:t>Buah</w:t>
      </w:r>
      <w:proofErr w:type="spellEnd"/>
      <w:r w:rsidRPr="00440132">
        <w:t xml:space="preserve"> </w:t>
      </w:r>
      <w:r>
        <w:t>and</w:t>
      </w:r>
      <w:r w:rsidRPr="00440132">
        <w:t xml:space="preserve"> </w:t>
      </w:r>
      <w:proofErr w:type="spellStart"/>
      <w:r>
        <w:t>Mwinkaara</w:t>
      </w:r>
      <w:proofErr w:type="spellEnd"/>
      <w:r>
        <w:t>,</w:t>
      </w:r>
      <w:r w:rsidRPr="00440132">
        <w:t xml:space="preserve"> </w:t>
      </w:r>
      <w:r>
        <w:t>2009).</w:t>
      </w:r>
      <w:r w:rsidR="0007475E">
        <w:t xml:space="preserve"> </w:t>
      </w:r>
      <w:r w:rsidR="0007475E" w:rsidRPr="0007475E">
        <w:t xml:space="preserve">Long-term studies are essential to evaluate the cumulative effects of nutrient management practices on soil chemical properties, as short-term experiments may not adequately capture changes in soil fertility dynamics. Although several studies have reported the benefits of STCR-based fertilization and integrated nutrient management, limited information is available on their long-term impact on soil chemical properties in </w:t>
      </w:r>
      <w:proofErr w:type="spellStart"/>
      <w:r w:rsidR="0007475E" w:rsidRPr="0007475E">
        <w:t>Vertisols</w:t>
      </w:r>
      <w:proofErr w:type="spellEnd"/>
      <w:r w:rsidR="0007475E" w:rsidRPr="0007475E">
        <w:t xml:space="preserve"> under wheat-based systems, particularly under varying yield targets.</w:t>
      </w:r>
    </w:p>
    <w:p w:rsidR="0007475E" w:rsidRPr="0007475E" w:rsidRDefault="0007475E" w:rsidP="008D2D3D">
      <w:pPr>
        <w:pStyle w:val="BodyText"/>
        <w:spacing w:before="62" w:line="408" w:lineRule="auto"/>
        <w:ind w:right="200" w:firstLine="463"/>
        <w:jc w:val="both"/>
      </w:pPr>
      <w:r w:rsidRPr="0007475E">
        <w:t xml:space="preserve">Therefore, the present investigation was undertaken to assess the long-term impact of STCR-based nutrient management, alone and in combination with FYM, on soil chemical properties under wheat cultivation in </w:t>
      </w:r>
      <w:proofErr w:type="spellStart"/>
      <w:r w:rsidRPr="0007475E">
        <w:t>Vertisols</w:t>
      </w:r>
      <w:proofErr w:type="spellEnd"/>
      <w:r w:rsidRPr="0007475E">
        <w:t>. The study aims to provide insights into sustainable nutrient management strategies that enhance soil fertility, improve nutrient availability, and support long-term agricultural productivity.</w:t>
      </w:r>
    </w:p>
    <w:p w:rsidR="00A07541" w:rsidRDefault="00A07541" w:rsidP="00A07541">
      <w:pPr>
        <w:pStyle w:val="BodyText"/>
        <w:spacing w:before="62" w:line="408" w:lineRule="auto"/>
        <w:ind w:right="200"/>
        <w:jc w:val="both"/>
      </w:pPr>
    </w:p>
    <w:p w:rsidR="00440132" w:rsidRDefault="00440132" w:rsidP="00440132">
      <w:pPr>
        <w:pStyle w:val="Heading2"/>
        <w:tabs>
          <w:tab w:val="left" w:pos="463"/>
        </w:tabs>
        <w:spacing w:before="221"/>
      </w:pPr>
      <w:r>
        <w:lastRenderedPageBreak/>
        <w:t>2.</w:t>
      </w:r>
      <w:r w:rsidR="001A640C">
        <w:t xml:space="preserve"> </w:t>
      </w:r>
      <w:proofErr w:type="gramStart"/>
      <w:r>
        <w:t>MATERIAL</w:t>
      </w:r>
      <w:r w:rsidR="001A640C">
        <w:t>S</w:t>
      </w:r>
      <w:r>
        <w:t xml:space="preserve">  AND</w:t>
      </w:r>
      <w:proofErr w:type="gramEnd"/>
      <w:r>
        <w:t xml:space="preserve">  </w:t>
      </w:r>
      <w:r>
        <w:rPr>
          <w:spacing w:val="-2"/>
        </w:rPr>
        <w:t>METHODS</w:t>
      </w:r>
    </w:p>
    <w:p w:rsidR="00440132" w:rsidRDefault="00440132" w:rsidP="00440132">
      <w:pPr>
        <w:pStyle w:val="Heading3"/>
        <w:numPr>
          <w:ilvl w:val="1"/>
          <w:numId w:val="3"/>
        </w:numPr>
        <w:tabs>
          <w:tab w:val="left" w:pos="616"/>
        </w:tabs>
        <w:spacing w:before="232"/>
        <w:ind w:left="616" w:hanging="401"/>
        <w:rPr>
          <w:sz w:val="24"/>
        </w:rPr>
      </w:pPr>
      <w:r>
        <w:t xml:space="preserve">2.1 Experimental </w:t>
      </w:r>
      <w:r>
        <w:rPr>
          <w:spacing w:val="-2"/>
        </w:rPr>
        <w:t>Details</w:t>
      </w:r>
    </w:p>
    <w:p w:rsidR="00440132" w:rsidRDefault="00440132" w:rsidP="00440132">
      <w:pPr>
        <w:pStyle w:val="BodyText"/>
        <w:spacing w:before="26"/>
        <w:rPr>
          <w:rFonts w:ascii="Arial"/>
          <w:b/>
        </w:rPr>
      </w:pPr>
    </w:p>
    <w:p w:rsidR="00440132" w:rsidRPr="00E1098B" w:rsidRDefault="00440132" w:rsidP="00D83141">
      <w:pPr>
        <w:pStyle w:val="BodyText"/>
        <w:spacing w:line="360" w:lineRule="auto"/>
        <w:jc w:val="both"/>
      </w:pPr>
      <w:r w:rsidRPr="00E1098B">
        <w:t xml:space="preserve">A field experiment was carried out for two consecutive years during </w:t>
      </w:r>
      <w:r w:rsidRPr="001A640C">
        <w:rPr>
          <w:i/>
          <w:iCs/>
        </w:rPr>
        <w:t>Rabi</w:t>
      </w:r>
      <w:r w:rsidRPr="00E1098B">
        <w:t xml:space="preserve"> 2020-2021 and 2021-2022 at the Research farm of the Department of Soil Science, Jawaharlal Nehru Krishi Vishwa Vidyalaya Jabalpur (Madhya Pradesh) under ongoing </w:t>
      </w:r>
      <w:r w:rsidR="001A640C">
        <w:t xml:space="preserve">All India Coordinated Research Project on Soil Test Crop Response (AICRP on STCR) </w:t>
      </w:r>
      <w:r w:rsidRPr="00E1098B">
        <w:t xml:space="preserve">to </w:t>
      </w:r>
      <w:r w:rsidR="001A640C">
        <w:t xml:space="preserve">find out </w:t>
      </w:r>
      <w:r w:rsidRPr="00E1098B">
        <w:t xml:space="preserve">the </w:t>
      </w:r>
      <w:r w:rsidR="00D83141" w:rsidRPr="00D83141">
        <w:t xml:space="preserve">Long-Term Impact of Soil </w:t>
      </w:r>
      <w:r w:rsidR="001A640C">
        <w:t xml:space="preserve">Test Crop Response (STCR)-Based </w:t>
      </w:r>
      <w:r w:rsidR="00D83141" w:rsidRPr="00D83141">
        <w:t>Nutrient Management on Soil Chemical Properties</w:t>
      </w:r>
      <w:r w:rsidR="00D83141">
        <w:t xml:space="preserve">. </w:t>
      </w:r>
      <w:r>
        <w:t xml:space="preserve">The experimental site lies at 23°13′ N latitude and 79°57′ E longitude with an elevation of 393 m above mean sea level. The experiment was laid out in a randomized block design (RBD) with appropriate treatments and replications. Each treatment was randomly allocated within each replication to minimize experimental error. Standard agronomic practices were followed uniformly for all plots throughout the cropping period to ensure reliable comparison of treatment effects under the prevailing sub-tropical climatic conditions of the </w:t>
      </w:r>
      <w:proofErr w:type="spellStart"/>
      <w:r>
        <w:t>Kymore</w:t>
      </w:r>
      <w:proofErr w:type="spellEnd"/>
      <w:r>
        <w:t xml:space="preserve"> Plateau and </w:t>
      </w:r>
      <w:proofErr w:type="spellStart"/>
      <w:r>
        <w:t>Satpura</w:t>
      </w:r>
      <w:proofErr w:type="spellEnd"/>
      <w:r>
        <w:t xml:space="preserve"> Hills </w:t>
      </w:r>
      <w:proofErr w:type="spellStart"/>
      <w:r>
        <w:t>agro</w:t>
      </w:r>
      <w:proofErr w:type="spellEnd"/>
      <w:r>
        <w:t>-climatic zone</w:t>
      </w:r>
      <w:r w:rsidR="001A640C">
        <w:t xml:space="preserve"> of Madhya Pradesh</w:t>
      </w:r>
      <w:r>
        <w:t>.</w:t>
      </w:r>
      <w:r w:rsidR="001A640C">
        <w:t xml:space="preserve"> </w:t>
      </w:r>
      <w:r>
        <w:t>The fertilizer adjustment equations are given below:</w:t>
      </w:r>
    </w:p>
    <w:p w:rsidR="00440132" w:rsidRDefault="00440132" w:rsidP="00440132">
      <w:pPr>
        <w:pStyle w:val="BodyText"/>
        <w:spacing w:before="122" w:line="362" w:lineRule="auto"/>
        <w:ind w:left="936" w:right="5455"/>
        <w:jc w:val="both"/>
      </w:pPr>
      <w:r>
        <w:t>FN= 4.40T- 0.40SN FP</w:t>
      </w:r>
      <w:r>
        <w:rPr>
          <w:vertAlign w:val="subscript"/>
        </w:rPr>
        <w:t>2</w:t>
      </w:r>
      <w:r>
        <w:t>O</w:t>
      </w:r>
      <w:r>
        <w:rPr>
          <w:vertAlign w:val="subscript"/>
        </w:rPr>
        <w:t>5</w:t>
      </w:r>
      <w:r>
        <w:t>=4.00T-5.73SP FK</w:t>
      </w:r>
      <w:r>
        <w:rPr>
          <w:vertAlign w:val="subscript"/>
        </w:rPr>
        <w:t>2</w:t>
      </w:r>
      <w:r>
        <w:t>O=2.53T- 0.16</w:t>
      </w:r>
      <w:r>
        <w:rPr>
          <w:spacing w:val="-5"/>
        </w:rPr>
        <w:t>SK</w:t>
      </w:r>
    </w:p>
    <w:p w:rsidR="00440132" w:rsidRDefault="00440132" w:rsidP="00440132">
      <w:pPr>
        <w:pStyle w:val="BodyText"/>
        <w:spacing w:before="75"/>
        <w:ind w:left="215"/>
      </w:pPr>
      <w:r>
        <w:rPr>
          <w:spacing w:val="-2"/>
        </w:rPr>
        <w:t>Whereas</w:t>
      </w:r>
    </w:p>
    <w:p w:rsidR="00440132" w:rsidRDefault="00440132" w:rsidP="00440132">
      <w:pPr>
        <w:pStyle w:val="BodyText"/>
        <w:spacing w:before="127" w:line="355" w:lineRule="auto"/>
        <w:ind w:left="215" w:right="211" w:firstLine="720"/>
        <w:jc w:val="both"/>
      </w:pPr>
      <w:r>
        <w:t>FN = Fertilizer nitrogen (kg ha</w:t>
      </w:r>
      <w:r>
        <w:rPr>
          <w:vertAlign w:val="superscript"/>
        </w:rPr>
        <w:t>-1</w:t>
      </w:r>
      <w:r>
        <w:t>); FP</w:t>
      </w:r>
      <w:r>
        <w:rPr>
          <w:rFonts w:ascii="Cambria Math" w:hAnsi="Cambria Math"/>
        </w:rPr>
        <w:t>₂</w:t>
      </w:r>
      <w:r>
        <w:t>O</w:t>
      </w:r>
      <w:r>
        <w:rPr>
          <w:rFonts w:ascii="Cambria Math" w:hAnsi="Cambria Math"/>
        </w:rPr>
        <w:t>₅</w:t>
      </w:r>
      <w:r>
        <w:t>= Fertilizer phosphorus (kg ha</w:t>
      </w:r>
      <w:r>
        <w:rPr>
          <w:vertAlign w:val="superscript"/>
        </w:rPr>
        <w:t>-1</w:t>
      </w:r>
      <w:r>
        <w:t>); FK</w:t>
      </w:r>
      <w:r>
        <w:rPr>
          <w:rFonts w:ascii="Cambria Math" w:hAnsi="Cambria Math"/>
        </w:rPr>
        <w:t>₂</w:t>
      </w:r>
      <w:r>
        <w:t>O = Fertilizer potassium (kg ha</w:t>
      </w:r>
      <w:r>
        <w:rPr>
          <w:vertAlign w:val="superscript"/>
        </w:rPr>
        <w:t>-1</w:t>
      </w:r>
      <w:r>
        <w:t>); T = Desired yield target (t ha</w:t>
      </w:r>
      <w:r>
        <w:rPr>
          <w:vertAlign w:val="superscript"/>
        </w:rPr>
        <w:t>-1</w:t>
      </w:r>
      <w:r>
        <w:t>); SN = Available soil nitrogen</w:t>
      </w:r>
      <w:r w:rsidR="005D1D3B">
        <w:t xml:space="preserve"> </w:t>
      </w:r>
      <w:r>
        <w:t>(kg ha</w:t>
      </w:r>
      <w:r>
        <w:rPr>
          <w:vertAlign w:val="superscript"/>
        </w:rPr>
        <w:t>-1</w:t>
      </w:r>
      <w:r>
        <w:t>); SP = Available soil phosphorus (kg ha</w:t>
      </w:r>
      <w:r>
        <w:rPr>
          <w:vertAlign w:val="superscript"/>
        </w:rPr>
        <w:t>-1</w:t>
      </w:r>
      <w:r>
        <w:t>); SK= Available soil potassium (kg ha</w:t>
      </w:r>
      <w:r>
        <w:rPr>
          <w:vertAlign w:val="superscript"/>
        </w:rPr>
        <w:t>-1</w:t>
      </w:r>
      <w:r>
        <w:t>).</w:t>
      </w:r>
    </w:p>
    <w:p w:rsidR="00FA1608" w:rsidRDefault="00440132" w:rsidP="00440132">
      <w:pPr>
        <w:pStyle w:val="BodyText"/>
        <w:spacing w:before="127" w:line="355" w:lineRule="auto"/>
        <w:ind w:left="215" w:right="211" w:firstLine="720"/>
        <w:jc w:val="both"/>
        <w:rPr>
          <w:b/>
          <w:bCs/>
          <w:spacing w:val="-2"/>
        </w:rPr>
      </w:pPr>
      <w:r w:rsidRPr="00440132">
        <w:rPr>
          <w:b/>
          <w:bCs/>
        </w:rPr>
        <w:t xml:space="preserve">2.2 </w:t>
      </w:r>
      <w:r w:rsidR="00FA1608" w:rsidRPr="00440132">
        <w:rPr>
          <w:b/>
          <w:bCs/>
        </w:rPr>
        <w:t>Soil</w:t>
      </w:r>
      <w:r w:rsidR="00E91019" w:rsidRPr="00440132">
        <w:rPr>
          <w:b/>
          <w:bCs/>
        </w:rPr>
        <w:t xml:space="preserve"> </w:t>
      </w:r>
      <w:r w:rsidR="00FA1608" w:rsidRPr="00440132">
        <w:rPr>
          <w:b/>
          <w:bCs/>
        </w:rPr>
        <w:t>sampling and</w:t>
      </w:r>
      <w:r w:rsidR="00FA1608" w:rsidRPr="00440132">
        <w:rPr>
          <w:b/>
          <w:bCs/>
          <w:spacing w:val="-2"/>
        </w:rPr>
        <w:t xml:space="preserve"> analysis</w:t>
      </w:r>
    </w:p>
    <w:p w:rsidR="005D1D3B" w:rsidRPr="005D1D3B" w:rsidRDefault="005D1D3B" w:rsidP="005D1D3B">
      <w:pPr>
        <w:pStyle w:val="BodyText"/>
        <w:spacing w:before="127" w:line="355" w:lineRule="auto"/>
        <w:ind w:right="211"/>
        <w:jc w:val="both"/>
      </w:pPr>
      <w:r w:rsidRPr="005D1D3B">
        <w:t xml:space="preserve">The processed soil samples were analyzed for various soil chemical properties at depths of 0–15, 15–30, and 30–45 cm using standard analytical procedures. Soil pH and electrical conductivity (EC) were determined in a 1:2.5 soil–water suspension using a glass electrode pH meter and a digital conductivity meter, respectively, following the method described by Jackson (1973). Soil organic carbon content was estimated using the wet oxidation method as outlined by Walkley and Black (1934). Available nitrogen was determined by the alkaline permanganate method (Subbiah and </w:t>
      </w:r>
      <w:proofErr w:type="spellStart"/>
      <w:r w:rsidRPr="005D1D3B">
        <w:t>Asija</w:t>
      </w:r>
      <w:proofErr w:type="spellEnd"/>
      <w:r w:rsidRPr="005D1D3B">
        <w:t xml:space="preserve">, 1956), wherein the liberated ammonia was absorbed in boric acid and subsequently titrated. Available phosphorus was extracted using Olsen’s reagent (0.5 M </w:t>
      </w:r>
      <w:proofErr w:type="spellStart"/>
      <w:r w:rsidRPr="005D1D3B">
        <w:t>NaHCO</w:t>
      </w:r>
      <w:proofErr w:type="spellEnd"/>
      <w:r w:rsidRPr="005D1D3B">
        <w:rPr>
          <w:rFonts w:ascii="Cambria Math" w:hAnsi="Cambria Math" w:cs="Cambria Math"/>
        </w:rPr>
        <w:t>₃</w:t>
      </w:r>
      <w:r w:rsidRPr="005D1D3B">
        <w:t xml:space="preserve">, pH 8.5) and quantified </w:t>
      </w:r>
      <w:proofErr w:type="spellStart"/>
      <w:r w:rsidRPr="005D1D3B">
        <w:t>colorimetrically</w:t>
      </w:r>
      <w:proofErr w:type="spellEnd"/>
      <w:r w:rsidRPr="005D1D3B">
        <w:t xml:space="preserve"> with a spectrophotometer at 660 nm (Olsen et al., 1954). Available potassium was estimated using neutral normal ammonium acetate as an extractant and measured with a flame photometer (Jackson, 1973). Available </w:t>
      </w:r>
      <w:proofErr w:type="spellStart"/>
      <w:r w:rsidRPr="005D1D3B">
        <w:t>sulphur</w:t>
      </w:r>
      <w:proofErr w:type="spellEnd"/>
      <w:r w:rsidRPr="005D1D3B">
        <w:t xml:space="preserve"> was extracted using 0.15% </w:t>
      </w:r>
      <w:proofErr w:type="spellStart"/>
      <w:r w:rsidRPr="005D1D3B">
        <w:t>CaCl</w:t>
      </w:r>
      <w:proofErr w:type="spellEnd"/>
      <w:r w:rsidRPr="005D1D3B">
        <w:rPr>
          <w:rFonts w:ascii="Cambria Math" w:hAnsi="Cambria Math" w:cs="Cambria Math"/>
        </w:rPr>
        <w:t>₂</w:t>
      </w:r>
      <w:r w:rsidRPr="005D1D3B">
        <w:t xml:space="preserve"> solution and determined by the turbidimetric method, with absorbance recorded at 420 nm using a spectrophotometer (</w:t>
      </w:r>
      <w:proofErr w:type="spellStart"/>
      <w:r w:rsidRPr="005D1D3B">
        <w:t>Chesnin</w:t>
      </w:r>
      <w:proofErr w:type="spellEnd"/>
      <w:r w:rsidRPr="005D1D3B">
        <w:t xml:space="preserve"> and </w:t>
      </w:r>
      <w:proofErr w:type="spellStart"/>
      <w:r w:rsidRPr="005D1D3B">
        <w:t>Yien</w:t>
      </w:r>
      <w:proofErr w:type="spellEnd"/>
      <w:r w:rsidRPr="005D1D3B">
        <w:t>, 1951).</w:t>
      </w:r>
    </w:p>
    <w:p w:rsidR="005D1D3B" w:rsidRPr="00440132" w:rsidRDefault="005D1D3B" w:rsidP="005D1D3B">
      <w:pPr>
        <w:pStyle w:val="BodyText"/>
        <w:spacing w:before="127" w:line="355" w:lineRule="auto"/>
        <w:ind w:right="211"/>
        <w:jc w:val="both"/>
        <w:rPr>
          <w:b/>
          <w:bCs/>
        </w:rPr>
      </w:pPr>
    </w:p>
    <w:p w:rsidR="00FA1608" w:rsidRPr="008547F7" w:rsidRDefault="00440132" w:rsidP="00440132">
      <w:pPr>
        <w:pStyle w:val="Heading2"/>
        <w:tabs>
          <w:tab w:val="left" w:pos="463"/>
        </w:tabs>
        <w:spacing w:before="116"/>
      </w:pPr>
      <w:r>
        <w:t>3.</w:t>
      </w:r>
      <w:r w:rsidR="00FA1608">
        <w:t>RESULTS</w:t>
      </w:r>
      <w:r w:rsidR="008547F7">
        <w:t xml:space="preserve"> </w:t>
      </w:r>
      <w:r w:rsidR="00FA1608">
        <w:t>AND</w:t>
      </w:r>
      <w:r w:rsidR="005D1D3B">
        <w:t xml:space="preserve"> </w:t>
      </w:r>
      <w:r w:rsidR="00FA1608">
        <w:rPr>
          <w:spacing w:val="-2"/>
        </w:rPr>
        <w:t>DISCUSSION</w:t>
      </w:r>
    </w:p>
    <w:p w:rsidR="008547F7" w:rsidRDefault="008547F7" w:rsidP="00ED4B57">
      <w:pPr>
        <w:pStyle w:val="Heading2"/>
        <w:tabs>
          <w:tab w:val="left" w:pos="463"/>
        </w:tabs>
        <w:spacing w:before="116"/>
        <w:ind w:left="450" w:firstLine="0"/>
      </w:pPr>
      <w:r>
        <w:rPr>
          <w:spacing w:val="-2"/>
        </w:rPr>
        <w:lastRenderedPageBreak/>
        <w:t>3.1 pH,</w:t>
      </w:r>
      <w:r w:rsidR="00ED4B57">
        <w:rPr>
          <w:spacing w:val="-2"/>
        </w:rPr>
        <w:t xml:space="preserve"> </w:t>
      </w:r>
      <w:r>
        <w:rPr>
          <w:spacing w:val="-2"/>
        </w:rPr>
        <w:t xml:space="preserve">EC and organic carbon </w:t>
      </w:r>
    </w:p>
    <w:p w:rsidR="00D0057A" w:rsidRDefault="008547F7" w:rsidP="00D0057A">
      <w:pPr>
        <w:pStyle w:val="BodyText"/>
        <w:spacing w:before="195" w:line="405" w:lineRule="auto"/>
        <w:ind w:right="114" w:firstLine="450"/>
        <w:jc w:val="both"/>
      </w:pPr>
      <w:r>
        <w:t xml:space="preserve">The data presented in Table </w:t>
      </w:r>
      <w:r w:rsidR="00FA1608">
        <w:t>1</w:t>
      </w:r>
      <w:r w:rsidR="00FA1608">
        <w:rPr>
          <w:spacing w:val="1"/>
        </w:rPr>
        <w:t xml:space="preserve"> </w:t>
      </w:r>
      <w:r w:rsidR="00FA1608">
        <w:t>indicated that the application of</w:t>
      </w:r>
      <w:r w:rsidR="00FA1608">
        <w:rPr>
          <w:spacing w:val="1"/>
        </w:rPr>
        <w:t xml:space="preserve"> </w:t>
      </w:r>
      <w:r w:rsidR="00FA1608">
        <w:t>NPK levels as GRD, target yield of 4.5 t ha</w:t>
      </w:r>
      <w:r w:rsidR="00FA1608">
        <w:rPr>
          <w:position w:val="8"/>
          <w:sz w:val="16"/>
        </w:rPr>
        <w:t>-1</w:t>
      </w:r>
      <w:r w:rsidR="00FA1608">
        <w:t>, target yield of 6.0 t ha</w:t>
      </w:r>
      <w:r w:rsidR="00FA1608">
        <w:rPr>
          <w:position w:val="8"/>
          <w:sz w:val="16"/>
        </w:rPr>
        <w:t>-1</w:t>
      </w:r>
      <w:r w:rsidR="00FA1608">
        <w:t>, target</w:t>
      </w:r>
      <w:r w:rsidR="00FA1608">
        <w:rPr>
          <w:spacing w:val="1"/>
        </w:rPr>
        <w:t xml:space="preserve"> </w:t>
      </w:r>
      <w:r w:rsidR="00FA1608">
        <w:t>yield of 4.5 t ha</w:t>
      </w:r>
      <w:r w:rsidR="00FA1608">
        <w:rPr>
          <w:position w:val="8"/>
          <w:sz w:val="16"/>
        </w:rPr>
        <w:t xml:space="preserve">-1 </w:t>
      </w:r>
      <w:r w:rsidR="00FA1608">
        <w:t>+ FYM 5 t ha</w:t>
      </w:r>
      <w:r w:rsidR="00FA1608">
        <w:rPr>
          <w:position w:val="8"/>
          <w:sz w:val="16"/>
        </w:rPr>
        <w:t xml:space="preserve">-1 </w:t>
      </w:r>
      <w:r w:rsidR="00FA1608">
        <w:t>and target yield of 6.0 t ha</w:t>
      </w:r>
      <w:r w:rsidR="00FA1608">
        <w:rPr>
          <w:position w:val="8"/>
          <w:sz w:val="16"/>
        </w:rPr>
        <w:t xml:space="preserve">-1 </w:t>
      </w:r>
      <w:r w:rsidR="00FA1608">
        <w:t>+ FYM 5 t ha</w:t>
      </w:r>
      <w:r w:rsidR="00FA1608">
        <w:rPr>
          <w:position w:val="8"/>
          <w:sz w:val="16"/>
        </w:rPr>
        <w:t>-1</w:t>
      </w:r>
      <w:r w:rsidR="00FA1608">
        <w:rPr>
          <w:spacing w:val="1"/>
          <w:position w:val="8"/>
          <w:sz w:val="16"/>
        </w:rPr>
        <w:t xml:space="preserve"> </w:t>
      </w:r>
      <w:r w:rsidR="00FA1608">
        <w:t>slightly decreased the pH over control in the</w:t>
      </w:r>
      <w:r w:rsidR="00FA1608">
        <w:rPr>
          <w:spacing w:val="1"/>
        </w:rPr>
        <w:t xml:space="preserve"> </w:t>
      </w:r>
      <w:r w:rsidR="00FA1608">
        <w:t xml:space="preserve">pooled data at all soil depth but the treatments were found non-significant in pooled data. </w:t>
      </w:r>
      <w:r w:rsidR="00FA1608" w:rsidRPr="00B94BB7">
        <w:t xml:space="preserve">The pooled data indicated that different nutrient management treatments had a non-significant effect on soil pH and electrical conductivity (EC) at all depths (0–15, 15–30, and 30–45 cm). A slight decrease in pH and a marginal increase in EC were observed with increasing levels of NPK and integration of FYM over control. The lowest pH values (7.33, 7.36, and 7.37) and highest EC values (0.252, 0.263, and 0.264 </w:t>
      </w:r>
      <w:proofErr w:type="spellStart"/>
      <w:r w:rsidR="00FA1608" w:rsidRPr="00B94BB7">
        <w:t>dS</w:t>
      </w:r>
      <w:proofErr w:type="spellEnd"/>
      <w:r w:rsidR="00FA1608" w:rsidRPr="00B94BB7">
        <w:t xml:space="preserve"> m</w:t>
      </w:r>
      <w:r w:rsidR="00FA1608" w:rsidRPr="00B94BB7">
        <w:rPr>
          <w:rFonts w:ascii="Cambria Math" w:hAnsi="Cambria Math" w:cs="Cambria Math"/>
        </w:rPr>
        <w:t>⁻</w:t>
      </w:r>
      <w:r w:rsidR="00FA1608" w:rsidRPr="00B94BB7">
        <w:rPr>
          <w:rFonts w:ascii="Arial" w:hAnsi="Arial" w:cs="Arial"/>
        </w:rPr>
        <w:t>¹) at respective depths were recorded under the treatment receiving target yield of 6.0 t ha</w:t>
      </w:r>
      <w:r w:rsidR="00FA1608" w:rsidRPr="00B94BB7">
        <w:rPr>
          <w:rFonts w:ascii="Cambria Math" w:hAnsi="Cambria Math" w:cs="Cambria Math"/>
        </w:rPr>
        <w:t>⁻</w:t>
      </w:r>
      <w:r w:rsidR="00FA1608" w:rsidRPr="00B94BB7">
        <w:rPr>
          <w:rFonts w:ascii="Arial" w:hAnsi="Arial" w:cs="Arial"/>
        </w:rPr>
        <w:t>¹ + FYM @ 5 t ha</w:t>
      </w:r>
      <w:r w:rsidR="00FA1608" w:rsidRPr="00B94BB7">
        <w:rPr>
          <w:rFonts w:ascii="Cambria Math" w:hAnsi="Cambria Math" w:cs="Cambria Math"/>
        </w:rPr>
        <w:t>⁻</w:t>
      </w:r>
      <w:r w:rsidR="00FA1608" w:rsidRPr="00B94BB7">
        <w:rPr>
          <w:rFonts w:ascii="Arial" w:hAnsi="Arial" w:cs="Arial"/>
        </w:rPr>
        <w:t>¹ (T</w:t>
      </w:r>
      <w:r w:rsidR="00FA1608" w:rsidRPr="00B94BB7">
        <w:rPr>
          <w:rFonts w:ascii="Cambria Math" w:hAnsi="Cambria Math" w:cs="Cambria Math"/>
        </w:rPr>
        <w:t>₆</w:t>
      </w:r>
      <w:r w:rsidR="00FA1608" w:rsidRPr="00B94BB7">
        <w:rPr>
          <w:rFonts w:ascii="Arial" w:hAnsi="Arial" w:cs="Arial"/>
        </w:rPr>
        <w:t>), though the differences were statistically non-significant.</w:t>
      </w:r>
      <w:r w:rsidR="00440132" w:rsidRPr="00440132">
        <w:t xml:space="preserve"> </w:t>
      </w:r>
      <w:r w:rsidR="00D0057A" w:rsidRPr="00D0057A">
        <w:t xml:space="preserve">The slight decline in soil pH under integrated nutrient management treatments may be attributed to the production of organic acids during the decomposition of FYM and enhanced nitrification processes following higher nitrogen application. Similarly, the marginal increase in EC could be associated with the addition of soluble salts through fertilizers and organic amendments. These findings </w:t>
      </w:r>
      <w:proofErr w:type="gramStart"/>
      <w:r w:rsidR="00D0057A" w:rsidRPr="00D0057A">
        <w:t>are in agreement</w:t>
      </w:r>
      <w:proofErr w:type="gramEnd"/>
      <w:r w:rsidR="00D0057A" w:rsidRPr="00D0057A">
        <w:t xml:space="preserve"> with earlier reports by </w:t>
      </w:r>
      <w:proofErr w:type="spellStart"/>
      <w:r w:rsidR="00D0057A" w:rsidRPr="00D0057A">
        <w:t>Antil</w:t>
      </w:r>
      <w:proofErr w:type="spellEnd"/>
      <w:r w:rsidR="00D0057A" w:rsidRPr="00D0057A">
        <w:t xml:space="preserve"> et</w:t>
      </w:r>
      <w:r w:rsidR="008952AF">
        <w:t xml:space="preserve"> al. (2007), </w:t>
      </w:r>
      <w:proofErr w:type="spellStart"/>
      <w:r w:rsidR="008952AF">
        <w:t>Hati</w:t>
      </w:r>
      <w:proofErr w:type="spellEnd"/>
      <w:r w:rsidR="008952AF">
        <w:t xml:space="preserve"> et al. (2008) and</w:t>
      </w:r>
      <w:r w:rsidR="00D0057A" w:rsidRPr="00D0057A">
        <w:t xml:space="preserve"> </w:t>
      </w:r>
      <w:proofErr w:type="spellStart"/>
      <w:r w:rsidR="00D0057A" w:rsidRPr="00D0057A">
        <w:t>Sawarkar</w:t>
      </w:r>
      <w:proofErr w:type="spellEnd"/>
      <w:r w:rsidR="00D0057A" w:rsidRPr="00D0057A">
        <w:t xml:space="preserve"> et al. (2013) who also observed a reduction in soil pH and an increase in EC with the combined application of inorganic fertilizers and organic manures.</w:t>
      </w:r>
    </w:p>
    <w:p w:rsidR="00ED4B57" w:rsidRDefault="00440132" w:rsidP="00ED4B57">
      <w:pPr>
        <w:pStyle w:val="BodyText"/>
        <w:spacing w:before="195" w:line="405" w:lineRule="auto"/>
        <w:ind w:right="114" w:firstLine="450"/>
        <w:jc w:val="both"/>
      </w:pPr>
      <w:r w:rsidRPr="00B94BB7">
        <w:t>In contrast, soil organic carbon content was significantly influenced by the treatments at all depths. The organic carbon increased progressively with higher fertilizer levels and FYM application. The highest organic carbon values (5.56, 5.40, and 5.13 g kg</w:t>
      </w:r>
      <w:r w:rsidRPr="00B94BB7">
        <w:rPr>
          <w:rFonts w:ascii="Cambria Math" w:hAnsi="Cambria Math" w:cs="Cambria Math"/>
        </w:rPr>
        <w:t>⁻</w:t>
      </w:r>
      <w:r w:rsidRPr="00B94BB7">
        <w:rPr>
          <w:rFonts w:ascii="Arial" w:hAnsi="Arial" w:cs="Arial"/>
        </w:rPr>
        <w:t>¹ at 0–15, 15–30, and 30–45 cm, respect</w:t>
      </w:r>
      <w:r w:rsidRPr="00B94BB7">
        <w:t>ively) were recorded under T</w:t>
      </w:r>
      <w:r w:rsidRPr="00B94BB7">
        <w:rPr>
          <w:rFonts w:ascii="Cambria Math" w:hAnsi="Cambria Math" w:cs="Cambria Math"/>
        </w:rPr>
        <w:t>₆</w:t>
      </w:r>
      <w:r w:rsidRPr="00B94BB7">
        <w:rPr>
          <w:rFonts w:ascii="Arial" w:hAnsi="Arial" w:cs="Arial"/>
        </w:rPr>
        <w:t>, which was statistically superior to other treatments. Integrated nutrient management treatments showed higher organic carbon compared to control, which recorded the lowest values (4.35, 4.17, and 3.55 g kg</w:t>
      </w:r>
      <w:r w:rsidRPr="00B94BB7">
        <w:rPr>
          <w:rFonts w:ascii="Cambria Math" w:hAnsi="Cambria Math" w:cs="Cambria Math"/>
        </w:rPr>
        <w:t>⁻</w:t>
      </w:r>
      <w:r w:rsidRPr="00B94BB7">
        <w:rPr>
          <w:rFonts w:ascii="Arial" w:hAnsi="Arial" w:cs="Arial"/>
        </w:rPr>
        <w:t>¹ at respective dep</w:t>
      </w:r>
      <w:r w:rsidRPr="00B94BB7">
        <w:t>ths).</w:t>
      </w:r>
      <w:r w:rsidR="00D0057A">
        <w:t xml:space="preserve"> The significant improvement in soil organic carbon under integrated nutrient management can be attributed to the direct addition of organic matter through FYM and its subsequent decomposition, which contributes to carbon accumulation in soil. Additionally, balanced fertilization enhances crop biomass production, leading to greater root biomass and residue return to the soil, thereby further improving SOC levels. These results corroborate the findings of </w:t>
      </w:r>
      <w:proofErr w:type="spellStart"/>
      <w:r w:rsidR="00D0057A">
        <w:t>Gudadhe</w:t>
      </w:r>
      <w:proofErr w:type="spellEnd"/>
      <w:r w:rsidR="00D0057A">
        <w:t xml:space="preserve"> et al. (2015), who reported that the combined application of organic manures and chemical fertilizers significantly enhances soil organic carbon content over sole fertilizer application.</w:t>
      </w:r>
    </w:p>
    <w:p w:rsidR="00440132" w:rsidRDefault="00440132">
      <w:pPr>
        <w:pStyle w:val="BodyText"/>
        <w:spacing w:before="10"/>
        <w:rPr>
          <w:rFonts w:ascii="Arial" w:hAnsi="Arial" w:cs="Arial"/>
          <w:b/>
          <w:bCs/>
        </w:rPr>
      </w:pPr>
    </w:p>
    <w:p w:rsidR="00F3640F" w:rsidRPr="00ED4B57" w:rsidRDefault="008547F7">
      <w:pPr>
        <w:pStyle w:val="BodyText"/>
        <w:spacing w:before="10"/>
        <w:rPr>
          <w:rFonts w:ascii="Arial" w:hAnsi="Arial" w:cs="Arial"/>
          <w:b/>
          <w:bCs/>
        </w:rPr>
      </w:pPr>
      <w:r w:rsidRPr="00ED4B57">
        <w:rPr>
          <w:rFonts w:ascii="Arial" w:hAnsi="Arial" w:cs="Arial"/>
          <w:b/>
          <w:bCs/>
        </w:rPr>
        <w:t xml:space="preserve">Table 1. </w:t>
      </w:r>
      <w:r w:rsidRPr="00ED4B57">
        <w:rPr>
          <w:rFonts w:ascii="Arial" w:hAnsi="Arial" w:cs="Arial"/>
          <w:b/>
        </w:rPr>
        <w:t>Effect</w:t>
      </w:r>
      <w:r w:rsidRPr="00ED4B57">
        <w:rPr>
          <w:rFonts w:ascii="Arial" w:hAnsi="Arial" w:cs="Arial"/>
          <w:b/>
          <w:spacing w:val="29"/>
        </w:rPr>
        <w:t xml:space="preserve"> </w:t>
      </w:r>
      <w:r w:rsidRPr="00ED4B57">
        <w:rPr>
          <w:rFonts w:ascii="Arial" w:hAnsi="Arial" w:cs="Arial"/>
          <w:b/>
        </w:rPr>
        <w:t>of</w:t>
      </w:r>
      <w:r w:rsidRPr="00ED4B57">
        <w:rPr>
          <w:rFonts w:ascii="Arial" w:hAnsi="Arial" w:cs="Arial"/>
          <w:b/>
          <w:spacing w:val="27"/>
        </w:rPr>
        <w:t xml:space="preserve"> </w:t>
      </w:r>
      <w:r w:rsidRPr="00ED4B57">
        <w:rPr>
          <w:rFonts w:ascii="Arial" w:hAnsi="Arial" w:cs="Arial"/>
          <w:b/>
        </w:rPr>
        <w:t>STCR</w:t>
      </w:r>
      <w:r w:rsidRPr="00ED4B57">
        <w:rPr>
          <w:rFonts w:ascii="Arial" w:hAnsi="Arial" w:cs="Arial"/>
          <w:b/>
          <w:spacing w:val="29"/>
        </w:rPr>
        <w:t xml:space="preserve"> </w:t>
      </w:r>
      <w:r w:rsidRPr="00ED4B57">
        <w:rPr>
          <w:rFonts w:ascii="Arial" w:hAnsi="Arial" w:cs="Arial"/>
          <w:b/>
        </w:rPr>
        <w:t>based</w:t>
      </w:r>
      <w:r w:rsidRPr="00ED4B57">
        <w:rPr>
          <w:rFonts w:ascii="Arial" w:hAnsi="Arial" w:cs="Arial"/>
          <w:b/>
          <w:spacing w:val="30"/>
        </w:rPr>
        <w:t xml:space="preserve"> </w:t>
      </w:r>
      <w:r w:rsidRPr="00ED4B57">
        <w:rPr>
          <w:rFonts w:ascii="Arial" w:hAnsi="Arial" w:cs="Arial"/>
          <w:b/>
        </w:rPr>
        <w:t>NPK</w:t>
      </w:r>
      <w:r w:rsidRPr="00ED4B57">
        <w:rPr>
          <w:rFonts w:ascii="Arial" w:hAnsi="Arial" w:cs="Arial"/>
          <w:b/>
          <w:spacing w:val="30"/>
        </w:rPr>
        <w:t xml:space="preserve"> </w:t>
      </w:r>
      <w:r w:rsidRPr="00ED4B57">
        <w:rPr>
          <w:rFonts w:ascii="Arial" w:hAnsi="Arial" w:cs="Arial"/>
          <w:b/>
        </w:rPr>
        <w:t>levels</w:t>
      </w:r>
      <w:r w:rsidRPr="00ED4B57">
        <w:rPr>
          <w:rFonts w:ascii="Arial" w:hAnsi="Arial" w:cs="Arial"/>
          <w:b/>
          <w:spacing w:val="29"/>
        </w:rPr>
        <w:t xml:space="preserve"> </w:t>
      </w:r>
      <w:r w:rsidRPr="00ED4B57">
        <w:rPr>
          <w:rFonts w:ascii="Arial" w:hAnsi="Arial" w:cs="Arial"/>
          <w:b/>
        </w:rPr>
        <w:t>on</w:t>
      </w:r>
      <w:r w:rsidRPr="00ED4B57">
        <w:rPr>
          <w:rFonts w:ascii="Arial" w:hAnsi="Arial" w:cs="Arial"/>
          <w:b/>
          <w:spacing w:val="30"/>
        </w:rPr>
        <w:t xml:space="preserve"> </w:t>
      </w:r>
      <w:r w:rsidRPr="00ED4B57">
        <w:rPr>
          <w:rFonts w:ascii="Arial" w:hAnsi="Arial" w:cs="Arial"/>
          <w:b/>
        </w:rPr>
        <w:t>post-harvest</w:t>
      </w:r>
      <w:r w:rsidRPr="00ED4B57">
        <w:rPr>
          <w:rFonts w:ascii="Arial" w:hAnsi="Arial" w:cs="Arial"/>
          <w:b/>
          <w:spacing w:val="28"/>
        </w:rPr>
        <w:t xml:space="preserve"> </w:t>
      </w:r>
      <w:r w:rsidR="002F0545">
        <w:rPr>
          <w:rFonts w:ascii="Arial" w:hAnsi="Arial" w:cs="Arial"/>
          <w:b/>
          <w:spacing w:val="28"/>
        </w:rPr>
        <w:t xml:space="preserve">pH, EC and </w:t>
      </w:r>
      <w:r w:rsidRPr="00ED4B57">
        <w:rPr>
          <w:rFonts w:ascii="Arial" w:hAnsi="Arial" w:cs="Arial"/>
          <w:b/>
        </w:rPr>
        <w:t>organic</w:t>
      </w:r>
      <w:r w:rsidRPr="00ED4B57">
        <w:rPr>
          <w:rFonts w:ascii="Arial" w:hAnsi="Arial" w:cs="Arial"/>
          <w:b/>
          <w:spacing w:val="29"/>
        </w:rPr>
        <w:t xml:space="preserve"> </w:t>
      </w:r>
      <w:r w:rsidRPr="00ED4B57">
        <w:rPr>
          <w:rFonts w:ascii="Arial" w:hAnsi="Arial" w:cs="Arial"/>
          <w:b/>
        </w:rPr>
        <w:t>carbon</w:t>
      </w:r>
      <w:r w:rsidRPr="00ED4B57">
        <w:rPr>
          <w:rFonts w:ascii="Arial" w:hAnsi="Arial" w:cs="Arial"/>
          <w:b/>
          <w:spacing w:val="28"/>
        </w:rPr>
        <w:t xml:space="preserve"> </w:t>
      </w:r>
      <w:r w:rsidRPr="00ED4B57">
        <w:rPr>
          <w:rFonts w:ascii="Arial" w:hAnsi="Arial" w:cs="Arial"/>
          <w:b/>
        </w:rPr>
        <w:t>at</w:t>
      </w:r>
      <w:r w:rsidRPr="00ED4B57">
        <w:rPr>
          <w:rFonts w:ascii="Arial" w:hAnsi="Arial" w:cs="Arial"/>
          <w:b/>
          <w:spacing w:val="29"/>
        </w:rPr>
        <w:t xml:space="preserve"> </w:t>
      </w:r>
      <w:r w:rsidRPr="00ED4B57">
        <w:rPr>
          <w:rFonts w:ascii="Arial" w:hAnsi="Arial" w:cs="Arial"/>
          <w:b/>
        </w:rPr>
        <w:t>different</w:t>
      </w:r>
      <w:r w:rsidRPr="00ED4B57">
        <w:rPr>
          <w:rFonts w:ascii="Arial" w:hAnsi="Arial" w:cs="Arial"/>
          <w:b/>
          <w:spacing w:val="29"/>
        </w:rPr>
        <w:t xml:space="preserve"> </w:t>
      </w:r>
      <w:r w:rsidRPr="00ED4B57">
        <w:rPr>
          <w:rFonts w:ascii="Arial" w:hAnsi="Arial" w:cs="Arial"/>
          <w:b/>
        </w:rPr>
        <w:t>soil</w:t>
      </w:r>
      <w:r w:rsidRPr="00ED4B57">
        <w:rPr>
          <w:rFonts w:ascii="Arial" w:hAnsi="Arial" w:cs="Arial"/>
          <w:b/>
          <w:spacing w:val="28"/>
        </w:rPr>
        <w:t xml:space="preserve"> </w:t>
      </w:r>
      <w:r w:rsidRPr="00ED4B57">
        <w:rPr>
          <w:rFonts w:ascii="Arial" w:hAnsi="Arial" w:cs="Arial"/>
          <w:b/>
        </w:rPr>
        <w:t>depth</w:t>
      </w:r>
      <w:r w:rsidRPr="00ED4B57">
        <w:rPr>
          <w:rFonts w:ascii="Arial" w:hAnsi="Arial" w:cs="Arial"/>
          <w:b/>
          <w:spacing w:val="33"/>
        </w:rPr>
        <w:t xml:space="preserve"> </w:t>
      </w:r>
      <w:r w:rsidRPr="00ED4B57">
        <w:rPr>
          <w:rFonts w:ascii="Arial" w:hAnsi="Arial" w:cs="Arial"/>
          <w:b/>
          <w:bCs/>
        </w:rPr>
        <w:t>(pooled data)</w:t>
      </w:r>
    </w:p>
    <w:tbl>
      <w:tblPr>
        <w:tblpPr w:leftFromText="180" w:rightFromText="180" w:vertAnchor="text" w:horzAnchor="margin" w:tblpX="-535" w:tblpY="228"/>
        <w:tblW w:w="10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2093"/>
        <w:gridCol w:w="826"/>
        <w:gridCol w:w="1003"/>
        <w:gridCol w:w="821"/>
        <w:gridCol w:w="821"/>
        <w:gridCol w:w="821"/>
        <w:gridCol w:w="1125"/>
        <w:gridCol w:w="821"/>
        <w:gridCol w:w="730"/>
        <w:gridCol w:w="730"/>
      </w:tblGrid>
      <w:tr w:rsidR="007E6D09" w:rsidRPr="00ED4B57" w:rsidTr="005D1D3B">
        <w:trPr>
          <w:trHeight w:val="448"/>
        </w:trPr>
        <w:tc>
          <w:tcPr>
            <w:tcW w:w="2736" w:type="dxa"/>
            <w:gridSpan w:val="2"/>
            <w:vMerge w:val="restart"/>
          </w:tcPr>
          <w:p w:rsidR="007E6D09" w:rsidRPr="00ED4B57" w:rsidRDefault="007E6D09" w:rsidP="007E6D09">
            <w:pPr>
              <w:spacing w:before="165"/>
              <w:rPr>
                <w:rFonts w:ascii="Times New Roman" w:eastAsia="Arial" w:hAnsi="Times New Roman" w:cs="Times New Roman"/>
                <w:b/>
                <w:sz w:val="20"/>
                <w:szCs w:val="20"/>
              </w:rPr>
            </w:pPr>
          </w:p>
          <w:p w:rsidR="007E6D09" w:rsidRPr="00ED4B57" w:rsidRDefault="007E6D09" w:rsidP="007E6D09">
            <w:pPr>
              <w:spacing w:before="1"/>
              <w:ind w:left="978"/>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Treatment</w:t>
            </w:r>
          </w:p>
        </w:tc>
        <w:tc>
          <w:tcPr>
            <w:tcW w:w="2650" w:type="dxa"/>
            <w:gridSpan w:val="3"/>
            <w:vAlign w:val="center"/>
          </w:tcPr>
          <w:p w:rsidR="007E6D09" w:rsidRPr="00ED4B57" w:rsidRDefault="007E6D09" w:rsidP="005D1D3B">
            <w:pPr>
              <w:spacing w:before="114"/>
              <w:ind w:left="282"/>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pH</w:t>
            </w:r>
          </w:p>
        </w:tc>
        <w:tc>
          <w:tcPr>
            <w:tcW w:w="2766" w:type="dxa"/>
            <w:gridSpan w:val="3"/>
            <w:vAlign w:val="center"/>
          </w:tcPr>
          <w:p w:rsidR="007E6D09" w:rsidRPr="005D1D3B" w:rsidRDefault="007E6D09" w:rsidP="005D1D3B">
            <w:pPr>
              <w:spacing w:before="114"/>
              <w:ind w:left="118"/>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EC</w:t>
            </w:r>
            <w:r w:rsidR="005D1D3B">
              <w:rPr>
                <w:rFonts w:ascii="Times New Roman" w:eastAsia="Arial" w:hAnsi="Times New Roman" w:cs="Times New Roman"/>
                <w:b/>
                <w:sz w:val="20"/>
                <w:szCs w:val="20"/>
              </w:rPr>
              <w:t xml:space="preserve"> (dSm</w:t>
            </w:r>
            <w:r w:rsidR="005D1D3B">
              <w:rPr>
                <w:rFonts w:ascii="Times New Roman" w:eastAsia="Arial" w:hAnsi="Times New Roman" w:cs="Times New Roman"/>
                <w:b/>
                <w:sz w:val="20"/>
                <w:szCs w:val="20"/>
                <w:vertAlign w:val="superscript"/>
              </w:rPr>
              <w:t>-1</w:t>
            </w:r>
            <w:r w:rsidR="005D1D3B">
              <w:rPr>
                <w:rFonts w:ascii="Times New Roman" w:eastAsia="Arial" w:hAnsi="Times New Roman" w:cs="Times New Roman"/>
                <w:b/>
                <w:sz w:val="20"/>
                <w:szCs w:val="20"/>
              </w:rPr>
              <w:t>)</w:t>
            </w:r>
          </w:p>
        </w:tc>
        <w:tc>
          <w:tcPr>
            <w:tcW w:w="2280" w:type="dxa"/>
            <w:gridSpan w:val="3"/>
            <w:vAlign w:val="center"/>
          </w:tcPr>
          <w:p w:rsidR="007E6D09" w:rsidRPr="00ED4B57" w:rsidRDefault="007E6D09" w:rsidP="005D1D3B">
            <w:pPr>
              <w:spacing w:before="114"/>
              <w:ind w:left="118"/>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OC</w:t>
            </w:r>
            <w:r w:rsidR="005D1D3B">
              <w:rPr>
                <w:rFonts w:ascii="Times New Roman" w:eastAsia="Arial" w:hAnsi="Times New Roman" w:cs="Times New Roman"/>
                <w:b/>
                <w:sz w:val="20"/>
                <w:szCs w:val="20"/>
              </w:rPr>
              <w:t xml:space="preserve"> (%)</w:t>
            </w:r>
          </w:p>
        </w:tc>
      </w:tr>
      <w:tr w:rsidR="007E6D09" w:rsidRPr="00ED4B57" w:rsidTr="005D1D3B">
        <w:trPr>
          <w:trHeight w:val="652"/>
        </w:trPr>
        <w:tc>
          <w:tcPr>
            <w:tcW w:w="2736" w:type="dxa"/>
            <w:gridSpan w:val="2"/>
            <w:vMerge/>
            <w:tcBorders>
              <w:top w:val="nil"/>
            </w:tcBorders>
          </w:tcPr>
          <w:p w:rsidR="007E6D09" w:rsidRPr="00ED4B57" w:rsidRDefault="007E6D09" w:rsidP="007E6D09">
            <w:pPr>
              <w:rPr>
                <w:rFonts w:ascii="Times New Roman" w:hAnsi="Times New Roman" w:cs="Times New Roman"/>
                <w:sz w:val="20"/>
                <w:szCs w:val="20"/>
              </w:rPr>
            </w:pPr>
          </w:p>
        </w:tc>
        <w:tc>
          <w:tcPr>
            <w:tcW w:w="826" w:type="dxa"/>
            <w:vAlign w:val="center"/>
          </w:tcPr>
          <w:p w:rsidR="007E6D09" w:rsidRPr="00ED4B57" w:rsidRDefault="007E6D09" w:rsidP="005D1D3B">
            <w:pPr>
              <w:spacing w:before="28"/>
              <w:ind w:left="25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0-</w:t>
            </w:r>
            <w:r w:rsidRPr="00ED4B57">
              <w:rPr>
                <w:rFonts w:ascii="Times New Roman" w:eastAsia="Arial" w:hAnsi="Times New Roman" w:cs="Times New Roman"/>
                <w:b/>
                <w:spacing w:val="-5"/>
                <w:sz w:val="20"/>
                <w:szCs w:val="20"/>
              </w:rPr>
              <w:t>15</w:t>
            </w:r>
          </w:p>
          <w:p w:rsidR="007E6D09" w:rsidRPr="00ED4B57" w:rsidRDefault="007E6D09" w:rsidP="005D1D3B">
            <w:pPr>
              <w:ind w:left="316"/>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1003" w:type="dxa"/>
            <w:vAlign w:val="center"/>
          </w:tcPr>
          <w:p w:rsidR="007E6D09" w:rsidRPr="00ED4B57" w:rsidRDefault="007E6D09" w:rsidP="005D1D3B">
            <w:pPr>
              <w:spacing w:before="28"/>
              <w:ind w:left="15" w:right="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15-</w:t>
            </w:r>
            <w:r w:rsidRPr="00ED4B57">
              <w:rPr>
                <w:rFonts w:ascii="Times New Roman" w:eastAsia="Arial" w:hAnsi="Times New Roman" w:cs="Times New Roman"/>
                <w:b/>
                <w:spacing w:val="-7"/>
                <w:sz w:val="20"/>
                <w:szCs w:val="20"/>
              </w:rPr>
              <w:t>30</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821" w:type="dxa"/>
            <w:vAlign w:val="center"/>
          </w:tcPr>
          <w:p w:rsidR="007E6D09" w:rsidRPr="00ED4B57" w:rsidRDefault="007E6D09" w:rsidP="005D1D3B">
            <w:pPr>
              <w:spacing w:before="28"/>
              <w:ind w:left="15" w:right="10"/>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30-</w:t>
            </w:r>
            <w:r w:rsidRPr="00ED4B57">
              <w:rPr>
                <w:rFonts w:ascii="Times New Roman" w:eastAsia="Arial" w:hAnsi="Times New Roman" w:cs="Times New Roman"/>
                <w:b/>
                <w:spacing w:val="-7"/>
                <w:sz w:val="20"/>
                <w:szCs w:val="20"/>
              </w:rPr>
              <w:t>45</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821" w:type="dxa"/>
            <w:vAlign w:val="center"/>
          </w:tcPr>
          <w:p w:rsidR="007E6D09" w:rsidRPr="00ED4B57" w:rsidRDefault="007E6D09" w:rsidP="005D1D3B">
            <w:pPr>
              <w:spacing w:before="28"/>
              <w:ind w:left="25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0-</w:t>
            </w:r>
            <w:r w:rsidRPr="00ED4B57">
              <w:rPr>
                <w:rFonts w:ascii="Times New Roman" w:eastAsia="Arial" w:hAnsi="Times New Roman" w:cs="Times New Roman"/>
                <w:b/>
                <w:spacing w:val="-5"/>
                <w:sz w:val="20"/>
                <w:szCs w:val="20"/>
              </w:rPr>
              <w:t>15</w:t>
            </w:r>
          </w:p>
          <w:p w:rsidR="007E6D09" w:rsidRPr="00ED4B57" w:rsidRDefault="007E6D09" w:rsidP="005D1D3B">
            <w:pPr>
              <w:ind w:left="316"/>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821" w:type="dxa"/>
            <w:vAlign w:val="center"/>
          </w:tcPr>
          <w:p w:rsidR="007E6D09" w:rsidRPr="00ED4B57" w:rsidRDefault="007E6D09" w:rsidP="005D1D3B">
            <w:pPr>
              <w:spacing w:before="28"/>
              <w:ind w:left="15" w:right="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15-</w:t>
            </w:r>
            <w:r w:rsidRPr="00ED4B57">
              <w:rPr>
                <w:rFonts w:ascii="Times New Roman" w:eastAsia="Arial" w:hAnsi="Times New Roman" w:cs="Times New Roman"/>
                <w:b/>
                <w:spacing w:val="-7"/>
                <w:sz w:val="20"/>
                <w:szCs w:val="20"/>
              </w:rPr>
              <w:t>30</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1125" w:type="dxa"/>
            <w:vAlign w:val="center"/>
          </w:tcPr>
          <w:p w:rsidR="007E6D09" w:rsidRPr="00ED4B57" w:rsidRDefault="007E6D09" w:rsidP="005D1D3B">
            <w:pPr>
              <w:spacing w:before="28"/>
              <w:ind w:left="15" w:right="10"/>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30-</w:t>
            </w:r>
            <w:r w:rsidRPr="00ED4B57">
              <w:rPr>
                <w:rFonts w:ascii="Times New Roman" w:eastAsia="Arial" w:hAnsi="Times New Roman" w:cs="Times New Roman"/>
                <w:b/>
                <w:spacing w:val="-7"/>
                <w:sz w:val="20"/>
                <w:szCs w:val="20"/>
              </w:rPr>
              <w:t>45</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821" w:type="dxa"/>
            <w:vAlign w:val="center"/>
          </w:tcPr>
          <w:p w:rsidR="007E6D09" w:rsidRPr="00ED4B57" w:rsidRDefault="007E6D09" w:rsidP="005D1D3B">
            <w:pPr>
              <w:spacing w:before="28"/>
              <w:ind w:left="25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0-</w:t>
            </w:r>
            <w:r w:rsidRPr="00ED4B57">
              <w:rPr>
                <w:rFonts w:ascii="Times New Roman" w:eastAsia="Arial" w:hAnsi="Times New Roman" w:cs="Times New Roman"/>
                <w:b/>
                <w:spacing w:val="-5"/>
                <w:sz w:val="20"/>
                <w:szCs w:val="20"/>
              </w:rPr>
              <w:t>15</w:t>
            </w:r>
          </w:p>
          <w:p w:rsidR="007E6D09" w:rsidRPr="00ED4B57" w:rsidRDefault="007E6D09" w:rsidP="005D1D3B">
            <w:pPr>
              <w:ind w:left="316"/>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730" w:type="dxa"/>
            <w:vAlign w:val="center"/>
          </w:tcPr>
          <w:p w:rsidR="007E6D09" w:rsidRPr="00ED4B57" w:rsidRDefault="007E6D09" w:rsidP="005D1D3B">
            <w:pPr>
              <w:spacing w:before="28"/>
              <w:ind w:left="15" w:right="9"/>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15-</w:t>
            </w:r>
            <w:r w:rsidRPr="00ED4B57">
              <w:rPr>
                <w:rFonts w:ascii="Times New Roman" w:eastAsia="Arial" w:hAnsi="Times New Roman" w:cs="Times New Roman"/>
                <w:b/>
                <w:spacing w:val="-7"/>
                <w:sz w:val="20"/>
                <w:szCs w:val="20"/>
              </w:rPr>
              <w:t>30</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c>
          <w:tcPr>
            <w:tcW w:w="730" w:type="dxa"/>
            <w:vAlign w:val="center"/>
          </w:tcPr>
          <w:p w:rsidR="007E6D09" w:rsidRPr="00ED4B57" w:rsidRDefault="007E6D09" w:rsidP="005D1D3B">
            <w:pPr>
              <w:spacing w:before="28"/>
              <w:ind w:left="15" w:right="10"/>
              <w:jc w:val="center"/>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30-</w:t>
            </w:r>
            <w:r w:rsidRPr="00ED4B57">
              <w:rPr>
                <w:rFonts w:ascii="Times New Roman" w:eastAsia="Arial" w:hAnsi="Times New Roman" w:cs="Times New Roman"/>
                <w:b/>
                <w:spacing w:val="-7"/>
                <w:sz w:val="20"/>
                <w:szCs w:val="20"/>
              </w:rPr>
              <w:t>45</w:t>
            </w:r>
          </w:p>
          <w:p w:rsidR="007E6D09" w:rsidRPr="00ED4B57" w:rsidRDefault="007E6D09" w:rsidP="005D1D3B">
            <w:pPr>
              <w:ind w:left="18" w:right="3"/>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cm</w:t>
            </w:r>
          </w:p>
        </w:tc>
      </w:tr>
      <w:tr w:rsidR="007E6D09" w:rsidRPr="00ED4B57" w:rsidTr="005D1D3B">
        <w:trPr>
          <w:trHeight w:val="448"/>
        </w:trPr>
        <w:tc>
          <w:tcPr>
            <w:tcW w:w="643" w:type="dxa"/>
          </w:tcPr>
          <w:p w:rsidR="007E6D09" w:rsidRPr="00ED4B57" w:rsidRDefault="007E6D09" w:rsidP="007E6D09">
            <w:pPr>
              <w:spacing w:before="111"/>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1</w:t>
            </w:r>
          </w:p>
          <w:p w:rsidR="007E6D09" w:rsidRPr="00ED4B57" w:rsidRDefault="007E6D09" w:rsidP="007E6D09">
            <w:pPr>
              <w:rPr>
                <w:rFonts w:ascii="Times New Roman" w:hAnsi="Times New Roman" w:cs="Times New Roman"/>
                <w:sz w:val="20"/>
                <w:szCs w:val="20"/>
              </w:rPr>
            </w:pPr>
          </w:p>
        </w:tc>
        <w:tc>
          <w:tcPr>
            <w:tcW w:w="2093" w:type="dxa"/>
          </w:tcPr>
          <w:p w:rsidR="007E6D09" w:rsidRPr="00ED4B57" w:rsidRDefault="007E6D09" w:rsidP="007E6D09">
            <w:pPr>
              <w:spacing w:before="114"/>
              <w:ind w:left="105"/>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Control</w:t>
            </w:r>
          </w:p>
        </w:tc>
        <w:tc>
          <w:tcPr>
            <w:tcW w:w="826" w:type="dxa"/>
            <w:vAlign w:val="center"/>
          </w:tcPr>
          <w:p w:rsidR="007E6D09" w:rsidRPr="00ED4B57" w:rsidRDefault="007E6D09" w:rsidP="005D1D3B">
            <w:pPr>
              <w:spacing w:before="205"/>
              <w:ind w:left="82"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7.41</w:t>
            </w:r>
          </w:p>
        </w:tc>
        <w:tc>
          <w:tcPr>
            <w:tcW w:w="1003" w:type="dxa"/>
            <w:vAlign w:val="center"/>
          </w:tcPr>
          <w:p w:rsidR="007E6D09" w:rsidRPr="00ED4B57" w:rsidRDefault="007E6D09" w:rsidP="005D1D3B">
            <w:pPr>
              <w:spacing w:before="205"/>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7.43</w:t>
            </w:r>
          </w:p>
        </w:tc>
        <w:tc>
          <w:tcPr>
            <w:tcW w:w="821" w:type="dxa"/>
            <w:vAlign w:val="center"/>
          </w:tcPr>
          <w:p w:rsidR="007E6D09" w:rsidRPr="00ED4B57" w:rsidRDefault="007E6D09" w:rsidP="005D1D3B">
            <w:pPr>
              <w:spacing w:before="205"/>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7.44</w:t>
            </w:r>
          </w:p>
        </w:tc>
        <w:tc>
          <w:tcPr>
            <w:tcW w:w="821" w:type="dxa"/>
            <w:vAlign w:val="center"/>
          </w:tcPr>
          <w:p w:rsidR="007E6D09" w:rsidRPr="00ED4B57" w:rsidRDefault="007E6D09" w:rsidP="005D1D3B">
            <w:pPr>
              <w:spacing w:before="193"/>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0.235</w:t>
            </w:r>
          </w:p>
        </w:tc>
        <w:tc>
          <w:tcPr>
            <w:tcW w:w="821" w:type="dxa"/>
            <w:vAlign w:val="center"/>
          </w:tcPr>
          <w:p w:rsidR="007E6D09" w:rsidRPr="00ED4B57" w:rsidRDefault="007E6D09" w:rsidP="005D1D3B">
            <w:pPr>
              <w:spacing w:before="193"/>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0.255</w:t>
            </w:r>
          </w:p>
        </w:tc>
        <w:tc>
          <w:tcPr>
            <w:tcW w:w="1125" w:type="dxa"/>
            <w:vAlign w:val="center"/>
          </w:tcPr>
          <w:p w:rsidR="007E6D09" w:rsidRPr="00ED4B57" w:rsidRDefault="007E6D09" w:rsidP="005D1D3B">
            <w:pPr>
              <w:spacing w:before="193"/>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0.257</w:t>
            </w:r>
          </w:p>
        </w:tc>
        <w:tc>
          <w:tcPr>
            <w:tcW w:w="821" w:type="dxa"/>
            <w:vAlign w:val="center"/>
          </w:tcPr>
          <w:p w:rsidR="007E6D09" w:rsidRPr="00ED4B57" w:rsidRDefault="007E6D09" w:rsidP="005D1D3B">
            <w:pPr>
              <w:spacing w:before="162"/>
              <w:ind w:left="243"/>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4.35</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4.17</w:t>
            </w:r>
          </w:p>
        </w:tc>
        <w:tc>
          <w:tcPr>
            <w:tcW w:w="730" w:type="dxa"/>
            <w:vAlign w:val="center"/>
          </w:tcPr>
          <w:p w:rsidR="007E6D09" w:rsidRPr="00ED4B57" w:rsidRDefault="007E6D09" w:rsidP="005D1D3B">
            <w:pPr>
              <w:spacing w:before="162"/>
              <w:ind w:left="24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3.55</w:t>
            </w:r>
          </w:p>
        </w:tc>
      </w:tr>
      <w:tr w:rsidR="007E6D09" w:rsidRPr="00ED4B57" w:rsidTr="005D1D3B">
        <w:trPr>
          <w:trHeight w:val="589"/>
        </w:trPr>
        <w:tc>
          <w:tcPr>
            <w:tcW w:w="643" w:type="dxa"/>
          </w:tcPr>
          <w:p w:rsidR="007E6D09" w:rsidRPr="00ED4B57" w:rsidRDefault="007E6D09" w:rsidP="007E6D09">
            <w:pPr>
              <w:spacing w:before="39"/>
              <w:rPr>
                <w:rFonts w:ascii="Times New Roman" w:eastAsia="Arial" w:hAnsi="Times New Roman" w:cs="Times New Roman"/>
                <w:b/>
                <w:sz w:val="20"/>
                <w:szCs w:val="20"/>
              </w:rPr>
            </w:pPr>
          </w:p>
          <w:p w:rsidR="007E6D09" w:rsidRPr="00ED4B57" w:rsidRDefault="007E6D09" w:rsidP="007E6D09">
            <w:pPr>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2</w:t>
            </w:r>
          </w:p>
        </w:tc>
        <w:tc>
          <w:tcPr>
            <w:tcW w:w="2093" w:type="dxa"/>
          </w:tcPr>
          <w:p w:rsidR="007E6D09" w:rsidRPr="00ED4B57" w:rsidRDefault="007E6D09" w:rsidP="007E6D09">
            <w:pPr>
              <w:spacing w:before="71"/>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GRD</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(120N:80P</w:t>
            </w:r>
            <w:r w:rsidRPr="00ED4B57">
              <w:rPr>
                <w:rFonts w:ascii="Times New Roman" w:eastAsia="Arial" w:hAnsi="Times New Roman" w:cs="Times New Roman"/>
                <w:b/>
                <w:sz w:val="20"/>
                <w:szCs w:val="20"/>
                <w:vertAlign w:val="subscript"/>
              </w:rPr>
              <w:t>2</w:t>
            </w:r>
            <w:r w:rsidRPr="00ED4B57">
              <w:rPr>
                <w:rFonts w:ascii="Times New Roman" w:eastAsia="Arial" w:hAnsi="Times New Roman" w:cs="Times New Roman"/>
                <w:b/>
                <w:sz w:val="20"/>
                <w:szCs w:val="20"/>
              </w:rPr>
              <w:t>O</w:t>
            </w:r>
            <w:r w:rsidRPr="00ED4B57">
              <w:rPr>
                <w:rFonts w:ascii="Times New Roman" w:eastAsia="Arial" w:hAnsi="Times New Roman" w:cs="Times New Roman"/>
                <w:b/>
                <w:sz w:val="20"/>
                <w:szCs w:val="20"/>
                <w:vertAlign w:val="subscript"/>
              </w:rPr>
              <w:t>5</w:t>
            </w:r>
            <w:r w:rsidRPr="00ED4B57">
              <w:rPr>
                <w:rFonts w:ascii="Times New Roman" w:eastAsia="Arial" w:hAnsi="Times New Roman" w:cs="Times New Roman"/>
                <w:b/>
                <w:sz w:val="20"/>
                <w:szCs w:val="20"/>
              </w:rPr>
              <w:t>:</w:t>
            </w:r>
            <w:r w:rsidRPr="00ED4B57">
              <w:rPr>
                <w:rFonts w:ascii="Times New Roman" w:eastAsia="Arial" w:hAnsi="Times New Roman" w:cs="Times New Roman"/>
                <w:b/>
                <w:spacing w:val="-5"/>
                <w:sz w:val="20"/>
                <w:szCs w:val="20"/>
              </w:rPr>
              <w:t>60</w:t>
            </w:r>
          </w:p>
          <w:p w:rsidR="007E6D09" w:rsidRPr="00ED4B57" w:rsidRDefault="007E6D09" w:rsidP="007E6D09">
            <w:pPr>
              <w:spacing w:before="1"/>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K</w:t>
            </w:r>
            <w:r w:rsidRPr="00ED4B57">
              <w:rPr>
                <w:rFonts w:ascii="Times New Roman" w:eastAsia="Arial" w:hAnsi="Times New Roman" w:cs="Times New Roman"/>
                <w:b/>
                <w:sz w:val="20"/>
                <w:szCs w:val="20"/>
                <w:vertAlign w:val="subscript"/>
              </w:rPr>
              <w:t>2</w:t>
            </w:r>
            <w:r w:rsidRPr="00ED4B57">
              <w:rPr>
                <w:rFonts w:ascii="Times New Roman" w:eastAsia="Arial" w:hAnsi="Times New Roman" w:cs="Times New Roman"/>
                <w:b/>
                <w:sz w:val="20"/>
                <w:szCs w:val="20"/>
              </w:rPr>
              <w:t>O</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kg</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5"/>
                <w:sz w:val="20"/>
                <w:szCs w:val="20"/>
                <w:vertAlign w:val="superscript"/>
              </w:rPr>
              <w:t>1</w:t>
            </w:r>
            <w:r w:rsidRPr="00ED4B57">
              <w:rPr>
                <w:rFonts w:ascii="Times New Roman" w:eastAsia="Arial" w:hAnsi="Times New Roman" w:cs="Times New Roman"/>
                <w:b/>
                <w:spacing w:val="-5"/>
                <w:sz w:val="20"/>
                <w:szCs w:val="20"/>
              </w:rPr>
              <w:t>)</w:t>
            </w:r>
          </w:p>
        </w:tc>
        <w:tc>
          <w:tcPr>
            <w:tcW w:w="826" w:type="dxa"/>
            <w:vAlign w:val="center"/>
          </w:tcPr>
          <w:p w:rsidR="007E6D09" w:rsidRPr="00ED4B57" w:rsidRDefault="007E6D09" w:rsidP="005D1D3B">
            <w:pPr>
              <w:spacing w:before="162"/>
              <w:ind w:left="82"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7.38</w:t>
            </w:r>
          </w:p>
        </w:tc>
        <w:tc>
          <w:tcPr>
            <w:tcW w:w="1003" w:type="dxa"/>
            <w:vAlign w:val="center"/>
          </w:tcPr>
          <w:p w:rsidR="007E6D09" w:rsidRPr="00ED4B57" w:rsidRDefault="007E6D09" w:rsidP="005D1D3B">
            <w:pPr>
              <w:spacing w:before="162"/>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7.41</w:t>
            </w:r>
          </w:p>
        </w:tc>
        <w:tc>
          <w:tcPr>
            <w:tcW w:w="821" w:type="dxa"/>
            <w:vAlign w:val="center"/>
          </w:tcPr>
          <w:p w:rsidR="007E6D09" w:rsidRPr="00ED4B57" w:rsidRDefault="007E6D09" w:rsidP="005D1D3B">
            <w:pPr>
              <w:spacing w:before="162"/>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7.43</w:t>
            </w:r>
          </w:p>
        </w:tc>
        <w:tc>
          <w:tcPr>
            <w:tcW w:w="821" w:type="dxa"/>
            <w:vAlign w:val="center"/>
          </w:tcPr>
          <w:p w:rsidR="007E6D09" w:rsidRPr="00ED4B57" w:rsidRDefault="007E6D09" w:rsidP="005D1D3B">
            <w:pPr>
              <w:spacing w:before="162"/>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0.236</w:t>
            </w:r>
          </w:p>
        </w:tc>
        <w:tc>
          <w:tcPr>
            <w:tcW w:w="821" w:type="dxa"/>
            <w:vAlign w:val="center"/>
          </w:tcPr>
          <w:p w:rsidR="007E6D09" w:rsidRPr="00ED4B57" w:rsidRDefault="007E6D09" w:rsidP="005D1D3B">
            <w:pPr>
              <w:spacing w:before="162"/>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0.258</w:t>
            </w:r>
          </w:p>
        </w:tc>
        <w:tc>
          <w:tcPr>
            <w:tcW w:w="1125" w:type="dxa"/>
            <w:vAlign w:val="center"/>
          </w:tcPr>
          <w:p w:rsidR="007E6D09" w:rsidRPr="00ED4B57" w:rsidRDefault="007E6D09" w:rsidP="005D1D3B">
            <w:pPr>
              <w:spacing w:before="162"/>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0.260</w:t>
            </w:r>
          </w:p>
        </w:tc>
        <w:tc>
          <w:tcPr>
            <w:tcW w:w="821" w:type="dxa"/>
            <w:vAlign w:val="center"/>
          </w:tcPr>
          <w:p w:rsidR="007E6D09" w:rsidRPr="00ED4B57" w:rsidRDefault="007E6D09" w:rsidP="005D1D3B">
            <w:pPr>
              <w:spacing w:before="162"/>
              <w:ind w:left="243"/>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5.12</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4.94</w:t>
            </w:r>
          </w:p>
        </w:tc>
        <w:tc>
          <w:tcPr>
            <w:tcW w:w="730" w:type="dxa"/>
            <w:vAlign w:val="center"/>
          </w:tcPr>
          <w:p w:rsidR="007E6D09" w:rsidRPr="00ED4B57" w:rsidRDefault="007E6D09" w:rsidP="005D1D3B">
            <w:pPr>
              <w:spacing w:before="162"/>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3.88</w:t>
            </w:r>
          </w:p>
        </w:tc>
      </w:tr>
      <w:tr w:rsidR="007E6D09" w:rsidRPr="00ED4B57" w:rsidTr="005D1D3B">
        <w:trPr>
          <w:trHeight w:val="539"/>
        </w:trPr>
        <w:tc>
          <w:tcPr>
            <w:tcW w:w="643" w:type="dxa"/>
          </w:tcPr>
          <w:p w:rsidR="007E6D09" w:rsidRPr="00ED4B57" w:rsidRDefault="007E6D09" w:rsidP="007E6D09">
            <w:pPr>
              <w:spacing w:before="10"/>
              <w:rPr>
                <w:rFonts w:ascii="Times New Roman" w:eastAsia="Arial" w:hAnsi="Times New Roman" w:cs="Times New Roman"/>
                <w:b/>
                <w:sz w:val="20"/>
                <w:szCs w:val="20"/>
              </w:rPr>
            </w:pPr>
          </w:p>
          <w:p w:rsidR="007E6D09" w:rsidRPr="00ED4B57" w:rsidRDefault="007E6D09" w:rsidP="007E6D09">
            <w:pPr>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3</w:t>
            </w:r>
          </w:p>
        </w:tc>
        <w:tc>
          <w:tcPr>
            <w:tcW w:w="2093" w:type="dxa"/>
          </w:tcPr>
          <w:p w:rsidR="007E6D09" w:rsidRPr="00ED4B57" w:rsidRDefault="007E6D09" w:rsidP="007E6D09">
            <w:pPr>
              <w:spacing w:before="158"/>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4.5</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10"/>
                <w:sz w:val="20"/>
                <w:szCs w:val="20"/>
                <w:vertAlign w:val="superscript"/>
              </w:rPr>
              <w:t>1</w:t>
            </w:r>
          </w:p>
        </w:tc>
        <w:tc>
          <w:tcPr>
            <w:tcW w:w="826" w:type="dxa"/>
            <w:vAlign w:val="center"/>
          </w:tcPr>
          <w:p w:rsidR="007E6D09" w:rsidRPr="00ED4B57" w:rsidRDefault="007E6D09" w:rsidP="005D1D3B">
            <w:pPr>
              <w:spacing w:before="162"/>
              <w:ind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7.37</w:t>
            </w:r>
          </w:p>
        </w:tc>
        <w:tc>
          <w:tcPr>
            <w:tcW w:w="1003" w:type="dxa"/>
            <w:vAlign w:val="center"/>
          </w:tcPr>
          <w:p w:rsidR="007E6D09" w:rsidRPr="00ED4B57" w:rsidRDefault="007E6D09" w:rsidP="005D1D3B">
            <w:pPr>
              <w:spacing w:before="162"/>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7.41</w:t>
            </w:r>
          </w:p>
        </w:tc>
        <w:tc>
          <w:tcPr>
            <w:tcW w:w="821" w:type="dxa"/>
            <w:vAlign w:val="center"/>
          </w:tcPr>
          <w:p w:rsidR="007E6D09" w:rsidRPr="00ED4B57" w:rsidRDefault="007E6D09" w:rsidP="005D1D3B">
            <w:pPr>
              <w:spacing w:before="162"/>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7.43</w:t>
            </w:r>
          </w:p>
        </w:tc>
        <w:tc>
          <w:tcPr>
            <w:tcW w:w="821" w:type="dxa"/>
            <w:vAlign w:val="center"/>
          </w:tcPr>
          <w:p w:rsidR="007E6D09" w:rsidRPr="00ED4B57" w:rsidRDefault="007E6D09" w:rsidP="005D1D3B">
            <w:pPr>
              <w:spacing w:before="1"/>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0.242</w:t>
            </w:r>
          </w:p>
        </w:tc>
        <w:tc>
          <w:tcPr>
            <w:tcW w:w="821" w:type="dxa"/>
            <w:vAlign w:val="center"/>
          </w:tcPr>
          <w:p w:rsidR="007E6D09" w:rsidRPr="00ED4B57" w:rsidRDefault="007E6D09" w:rsidP="005D1D3B">
            <w:pPr>
              <w:spacing w:before="1"/>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0.261</w:t>
            </w:r>
          </w:p>
        </w:tc>
        <w:tc>
          <w:tcPr>
            <w:tcW w:w="1125" w:type="dxa"/>
            <w:vAlign w:val="center"/>
          </w:tcPr>
          <w:p w:rsidR="007E6D09" w:rsidRPr="00ED4B57" w:rsidRDefault="007E6D09" w:rsidP="005D1D3B">
            <w:pPr>
              <w:spacing w:before="1"/>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0.260</w:t>
            </w:r>
          </w:p>
        </w:tc>
        <w:tc>
          <w:tcPr>
            <w:tcW w:w="821" w:type="dxa"/>
            <w:vAlign w:val="center"/>
          </w:tcPr>
          <w:p w:rsidR="007E6D09" w:rsidRPr="00ED4B57" w:rsidRDefault="007E6D09" w:rsidP="005D1D3B">
            <w:pPr>
              <w:spacing w:before="162"/>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5.26</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5.09</w:t>
            </w:r>
          </w:p>
        </w:tc>
        <w:tc>
          <w:tcPr>
            <w:tcW w:w="730" w:type="dxa"/>
            <w:vAlign w:val="center"/>
          </w:tcPr>
          <w:p w:rsidR="007E6D09" w:rsidRPr="00ED4B57" w:rsidRDefault="007E6D09" w:rsidP="005D1D3B">
            <w:pPr>
              <w:spacing w:before="162"/>
              <w:ind w:left="24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4.36</w:t>
            </w:r>
          </w:p>
        </w:tc>
      </w:tr>
      <w:tr w:rsidR="007E6D09" w:rsidRPr="00ED4B57" w:rsidTr="005D1D3B">
        <w:trPr>
          <w:trHeight w:val="539"/>
        </w:trPr>
        <w:tc>
          <w:tcPr>
            <w:tcW w:w="643" w:type="dxa"/>
          </w:tcPr>
          <w:p w:rsidR="007E6D09" w:rsidRPr="00ED4B57" w:rsidRDefault="007E6D09" w:rsidP="007E6D09">
            <w:pPr>
              <w:spacing w:before="10"/>
              <w:rPr>
                <w:rFonts w:ascii="Times New Roman" w:eastAsia="Arial" w:hAnsi="Times New Roman" w:cs="Times New Roman"/>
                <w:b/>
                <w:sz w:val="20"/>
                <w:szCs w:val="20"/>
              </w:rPr>
            </w:pPr>
          </w:p>
          <w:p w:rsidR="007E6D09" w:rsidRPr="00ED4B57" w:rsidRDefault="007E6D09" w:rsidP="007E6D09">
            <w:pPr>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4</w:t>
            </w:r>
          </w:p>
        </w:tc>
        <w:tc>
          <w:tcPr>
            <w:tcW w:w="2093" w:type="dxa"/>
          </w:tcPr>
          <w:p w:rsidR="007E6D09" w:rsidRPr="00ED4B57" w:rsidRDefault="007E6D09" w:rsidP="007E6D09">
            <w:pPr>
              <w:spacing w:before="158"/>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6</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10"/>
                <w:sz w:val="20"/>
                <w:szCs w:val="20"/>
                <w:vertAlign w:val="superscript"/>
              </w:rPr>
              <w:t>1</w:t>
            </w:r>
          </w:p>
        </w:tc>
        <w:tc>
          <w:tcPr>
            <w:tcW w:w="826" w:type="dxa"/>
            <w:vAlign w:val="center"/>
          </w:tcPr>
          <w:p w:rsidR="007E6D09" w:rsidRPr="00ED4B57" w:rsidRDefault="007E6D09" w:rsidP="005D1D3B">
            <w:pPr>
              <w:spacing w:before="9"/>
              <w:ind w:left="15"/>
              <w:jc w:val="center"/>
              <w:rPr>
                <w:rFonts w:ascii="Times New Roman" w:eastAsia="Arial" w:hAnsi="Times New Roman" w:cs="Times New Roman"/>
                <w:b/>
                <w:sz w:val="20"/>
                <w:szCs w:val="20"/>
              </w:rPr>
            </w:pPr>
          </w:p>
          <w:p w:rsidR="007E6D09" w:rsidRPr="00ED4B57" w:rsidRDefault="007E6D09" w:rsidP="005D1D3B">
            <w:pPr>
              <w:spacing w:before="1"/>
              <w:ind w:left="82"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7.35</w:t>
            </w:r>
          </w:p>
        </w:tc>
        <w:tc>
          <w:tcPr>
            <w:tcW w:w="1003" w:type="dxa"/>
            <w:vAlign w:val="center"/>
          </w:tcPr>
          <w:p w:rsidR="007E6D09" w:rsidRPr="00ED4B57" w:rsidRDefault="007E6D09" w:rsidP="005D1D3B">
            <w:pPr>
              <w:spacing w:before="9"/>
              <w:ind w:left="15"/>
              <w:jc w:val="center"/>
              <w:rPr>
                <w:rFonts w:ascii="Times New Roman" w:eastAsia="Arial" w:hAnsi="Times New Roman" w:cs="Times New Roman"/>
                <w:b/>
                <w:sz w:val="20"/>
                <w:szCs w:val="20"/>
              </w:rPr>
            </w:pPr>
          </w:p>
          <w:p w:rsidR="007E6D09" w:rsidRPr="00ED4B57" w:rsidRDefault="007E6D09" w:rsidP="005D1D3B">
            <w:pPr>
              <w:spacing w:before="1"/>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7.39</w:t>
            </w:r>
          </w:p>
        </w:tc>
        <w:tc>
          <w:tcPr>
            <w:tcW w:w="821" w:type="dxa"/>
            <w:vAlign w:val="center"/>
          </w:tcPr>
          <w:p w:rsidR="007E6D09" w:rsidRPr="00ED4B57" w:rsidRDefault="007E6D09" w:rsidP="005D1D3B">
            <w:pPr>
              <w:spacing w:before="9"/>
              <w:ind w:left="15"/>
              <w:jc w:val="center"/>
              <w:rPr>
                <w:rFonts w:ascii="Times New Roman" w:eastAsia="Arial" w:hAnsi="Times New Roman" w:cs="Times New Roman"/>
                <w:b/>
                <w:sz w:val="20"/>
                <w:szCs w:val="20"/>
              </w:rPr>
            </w:pPr>
          </w:p>
          <w:p w:rsidR="007E6D09" w:rsidRPr="00ED4B57" w:rsidRDefault="007E6D09" w:rsidP="005D1D3B">
            <w:pPr>
              <w:spacing w:before="1"/>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7.41</w:t>
            </w:r>
          </w:p>
        </w:tc>
        <w:tc>
          <w:tcPr>
            <w:tcW w:w="821" w:type="dxa"/>
            <w:vAlign w:val="center"/>
          </w:tcPr>
          <w:p w:rsidR="007E6D09" w:rsidRPr="00ED4B57" w:rsidRDefault="007E6D09" w:rsidP="005D1D3B">
            <w:pPr>
              <w:spacing w:before="162"/>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0.243</w:t>
            </w:r>
          </w:p>
        </w:tc>
        <w:tc>
          <w:tcPr>
            <w:tcW w:w="821" w:type="dxa"/>
            <w:vAlign w:val="center"/>
          </w:tcPr>
          <w:p w:rsidR="007E6D09" w:rsidRPr="00ED4B57" w:rsidRDefault="007E6D09" w:rsidP="005D1D3B">
            <w:pPr>
              <w:spacing w:before="162"/>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0.260</w:t>
            </w:r>
          </w:p>
        </w:tc>
        <w:tc>
          <w:tcPr>
            <w:tcW w:w="1125" w:type="dxa"/>
            <w:vAlign w:val="center"/>
          </w:tcPr>
          <w:p w:rsidR="007E6D09" w:rsidRPr="00ED4B57" w:rsidRDefault="007E6D09" w:rsidP="005D1D3B">
            <w:pPr>
              <w:spacing w:before="162"/>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0.261</w:t>
            </w:r>
          </w:p>
        </w:tc>
        <w:tc>
          <w:tcPr>
            <w:tcW w:w="821" w:type="dxa"/>
            <w:vAlign w:val="center"/>
          </w:tcPr>
          <w:p w:rsidR="007E6D09" w:rsidRPr="00ED4B57" w:rsidRDefault="007E6D09" w:rsidP="005D1D3B">
            <w:pPr>
              <w:spacing w:before="162"/>
              <w:ind w:left="243"/>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5.48</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5.27</w:t>
            </w:r>
          </w:p>
        </w:tc>
        <w:tc>
          <w:tcPr>
            <w:tcW w:w="730" w:type="dxa"/>
            <w:vAlign w:val="center"/>
          </w:tcPr>
          <w:p w:rsidR="007E6D09" w:rsidRPr="00ED4B57" w:rsidRDefault="007E6D09" w:rsidP="005D1D3B">
            <w:pPr>
              <w:spacing w:before="162"/>
              <w:ind w:left="24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4.68</w:t>
            </w:r>
          </w:p>
        </w:tc>
      </w:tr>
      <w:tr w:rsidR="007E6D09" w:rsidRPr="00ED4B57" w:rsidTr="005D1D3B">
        <w:trPr>
          <w:trHeight w:val="539"/>
        </w:trPr>
        <w:tc>
          <w:tcPr>
            <w:tcW w:w="643" w:type="dxa"/>
          </w:tcPr>
          <w:p w:rsidR="007E6D09" w:rsidRPr="00ED4B57" w:rsidRDefault="007E6D09" w:rsidP="007E6D09">
            <w:pPr>
              <w:spacing w:before="10"/>
              <w:rPr>
                <w:rFonts w:ascii="Times New Roman" w:eastAsia="Arial" w:hAnsi="Times New Roman" w:cs="Times New Roman"/>
                <w:b/>
                <w:sz w:val="20"/>
                <w:szCs w:val="20"/>
              </w:rPr>
            </w:pPr>
          </w:p>
          <w:p w:rsidR="007E6D09" w:rsidRPr="00ED4B57" w:rsidRDefault="007E6D09" w:rsidP="007E6D09">
            <w:pPr>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5</w:t>
            </w:r>
          </w:p>
        </w:tc>
        <w:tc>
          <w:tcPr>
            <w:tcW w:w="2093" w:type="dxa"/>
          </w:tcPr>
          <w:p w:rsidR="007E6D09" w:rsidRPr="00ED4B57" w:rsidRDefault="007E6D09" w:rsidP="007E6D09">
            <w:pPr>
              <w:spacing w:before="42"/>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4.5</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-1</w:t>
            </w:r>
            <w:r w:rsidR="005D1D3B">
              <w:rPr>
                <w:rFonts w:ascii="Times New Roman" w:eastAsia="Arial" w:hAnsi="Times New Roman" w:cs="Times New Roman"/>
                <w:b/>
                <w:sz w:val="20"/>
                <w:szCs w:val="20"/>
                <w:vertAlign w:val="superscript"/>
              </w:rPr>
              <w:t xml:space="preserve"> </w:t>
            </w:r>
            <w:r w:rsidRPr="00ED4B57">
              <w:rPr>
                <w:rFonts w:ascii="Times New Roman" w:eastAsia="Arial" w:hAnsi="Times New Roman" w:cs="Times New Roman"/>
                <w:b/>
                <w:sz w:val="20"/>
                <w:szCs w:val="20"/>
              </w:rPr>
              <w:t>+ FYM 5 t ha</w:t>
            </w:r>
            <w:r w:rsidRPr="00ED4B57">
              <w:rPr>
                <w:rFonts w:ascii="Times New Roman" w:eastAsia="Arial" w:hAnsi="Times New Roman" w:cs="Times New Roman"/>
                <w:b/>
                <w:sz w:val="20"/>
                <w:szCs w:val="20"/>
                <w:vertAlign w:val="superscript"/>
              </w:rPr>
              <w:t>-1</w:t>
            </w:r>
          </w:p>
        </w:tc>
        <w:tc>
          <w:tcPr>
            <w:tcW w:w="826" w:type="dxa"/>
            <w:vAlign w:val="center"/>
          </w:tcPr>
          <w:p w:rsidR="007E6D09" w:rsidRPr="00ED4B57" w:rsidRDefault="007E6D09" w:rsidP="005D1D3B">
            <w:pPr>
              <w:spacing w:before="162"/>
              <w:ind w:left="82"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7.34</w:t>
            </w:r>
          </w:p>
        </w:tc>
        <w:tc>
          <w:tcPr>
            <w:tcW w:w="1003" w:type="dxa"/>
            <w:vAlign w:val="center"/>
          </w:tcPr>
          <w:p w:rsidR="007E6D09" w:rsidRPr="00ED4B57" w:rsidRDefault="007E6D09" w:rsidP="005D1D3B">
            <w:pPr>
              <w:spacing w:before="162"/>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7.37</w:t>
            </w:r>
          </w:p>
        </w:tc>
        <w:tc>
          <w:tcPr>
            <w:tcW w:w="821" w:type="dxa"/>
            <w:vAlign w:val="center"/>
          </w:tcPr>
          <w:p w:rsidR="007E6D09" w:rsidRPr="00ED4B57" w:rsidRDefault="007E6D09" w:rsidP="005D1D3B">
            <w:pPr>
              <w:spacing w:before="162"/>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7.39</w:t>
            </w:r>
          </w:p>
        </w:tc>
        <w:tc>
          <w:tcPr>
            <w:tcW w:w="821" w:type="dxa"/>
            <w:vAlign w:val="center"/>
          </w:tcPr>
          <w:p w:rsidR="007E6D09" w:rsidRPr="00ED4B57" w:rsidRDefault="007E6D09" w:rsidP="005D1D3B">
            <w:pPr>
              <w:spacing w:before="1"/>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0.246</w:t>
            </w:r>
          </w:p>
        </w:tc>
        <w:tc>
          <w:tcPr>
            <w:tcW w:w="821" w:type="dxa"/>
            <w:vAlign w:val="center"/>
          </w:tcPr>
          <w:p w:rsidR="007E6D09" w:rsidRPr="00ED4B57" w:rsidRDefault="007E6D09" w:rsidP="005D1D3B">
            <w:pPr>
              <w:spacing w:before="1"/>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0.262</w:t>
            </w:r>
          </w:p>
        </w:tc>
        <w:tc>
          <w:tcPr>
            <w:tcW w:w="1125" w:type="dxa"/>
            <w:vAlign w:val="center"/>
          </w:tcPr>
          <w:p w:rsidR="007E6D09" w:rsidRPr="00ED4B57" w:rsidRDefault="007E6D09" w:rsidP="005D1D3B">
            <w:pPr>
              <w:spacing w:before="1"/>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0.262</w:t>
            </w:r>
          </w:p>
        </w:tc>
        <w:tc>
          <w:tcPr>
            <w:tcW w:w="821" w:type="dxa"/>
            <w:vAlign w:val="center"/>
          </w:tcPr>
          <w:p w:rsidR="007E6D09" w:rsidRPr="00ED4B57" w:rsidRDefault="007E6D09" w:rsidP="005D1D3B">
            <w:pPr>
              <w:spacing w:before="162"/>
              <w:ind w:left="243"/>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5.51</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5.37</w:t>
            </w:r>
          </w:p>
        </w:tc>
        <w:tc>
          <w:tcPr>
            <w:tcW w:w="730" w:type="dxa"/>
            <w:vAlign w:val="center"/>
          </w:tcPr>
          <w:p w:rsidR="007E6D09" w:rsidRPr="00ED4B57" w:rsidRDefault="007E6D09" w:rsidP="005D1D3B">
            <w:pPr>
              <w:spacing w:before="162"/>
              <w:ind w:left="24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5.01</w:t>
            </w:r>
          </w:p>
        </w:tc>
      </w:tr>
      <w:tr w:rsidR="007E6D09" w:rsidRPr="00ED4B57" w:rsidTr="005D1D3B">
        <w:trPr>
          <w:trHeight w:val="539"/>
        </w:trPr>
        <w:tc>
          <w:tcPr>
            <w:tcW w:w="643" w:type="dxa"/>
          </w:tcPr>
          <w:p w:rsidR="007E6D09" w:rsidRPr="00ED4B57" w:rsidRDefault="007E6D09" w:rsidP="007E6D09">
            <w:pPr>
              <w:spacing w:before="10"/>
              <w:rPr>
                <w:rFonts w:ascii="Times New Roman" w:eastAsia="Arial" w:hAnsi="Times New Roman" w:cs="Times New Roman"/>
                <w:b/>
                <w:sz w:val="20"/>
                <w:szCs w:val="20"/>
              </w:rPr>
            </w:pPr>
          </w:p>
          <w:p w:rsidR="007E6D09" w:rsidRPr="00ED4B57" w:rsidRDefault="007E6D09" w:rsidP="007E6D09">
            <w:pPr>
              <w:ind w:right="62"/>
              <w:jc w:val="center"/>
              <w:rPr>
                <w:rFonts w:ascii="Times New Roman" w:eastAsia="Arial" w:hAnsi="Times New Roman" w:cs="Times New Roman"/>
                <w:b/>
                <w:sz w:val="20"/>
                <w:szCs w:val="20"/>
              </w:rPr>
            </w:pPr>
            <w:r w:rsidRPr="00ED4B57">
              <w:rPr>
                <w:rFonts w:ascii="Times New Roman" w:eastAsia="Arial" w:hAnsi="Times New Roman" w:cs="Times New Roman"/>
                <w:b/>
                <w:spacing w:val="-5"/>
                <w:sz w:val="20"/>
                <w:szCs w:val="20"/>
              </w:rPr>
              <w:t>T</w:t>
            </w:r>
            <w:r w:rsidRPr="00ED4B57">
              <w:rPr>
                <w:rFonts w:ascii="Times New Roman" w:eastAsia="Arial" w:hAnsi="Times New Roman" w:cs="Times New Roman"/>
                <w:b/>
                <w:spacing w:val="-5"/>
                <w:sz w:val="20"/>
                <w:szCs w:val="20"/>
                <w:vertAlign w:val="subscript"/>
              </w:rPr>
              <w:t>6</w:t>
            </w:r>
          </w:p>
        </w:tc>
        <w:tc>
          <w:tcPr>
            <w:tcW w:w="2093" w:type="dxa"/>
          </w:tcPr>
          <w:p w:rsidR="007E6D09" w:rsidRPr="00ED4B57" w:rsidRDefault="007E6D09" w:rsidP="007E6D09">
            <w:pPr>
              <w:spacing w:before="42"/>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6</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-1</w:t>
            </w:r>
            <w:r w:rsidR="005D1D3B">
              <w:rPr>
                <w:rFonts w:ascii="Times New Roman" w:eastAsia="Arial" w:hAnsi="Times New Roman" w:cs="Times New Roman"/>
                <w:b/>
                <w:sz w:val="20"/>
                <w:szCs w:val="20"/>
                <w:vertAlign w:val="superscript"/>
              </w:rPr>
              <w:t xml:space="preserve"> </w:t>
            </w:r>
            <w:r w:rsidRPr="00ED4B57">
              <w:rPr>
                <w:rFonts w:ascii="Times New Roman" w:eastAsia="Arial" w:hAnsi="Times New Roman" w:cs="Times New Roman"/>
                <w:b/>
                <w:sz w:val="20"/>
                <w:szCs w:val="20"/>
              </w:rPr>
              <w:t>+</w:t>
            </w:r>
            <w:r w:rsidR="005D1D3B">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FYM 5 t ha</w:t>
            </w:r>
            <w:r w:rsidRPr="00ED4B57">
              <w:rPr>
                <w:rFonts w:ascii="Times New Roman" w:eastAsia="Arial" w:hAnsi="Times New Roman" w:cs="Times New Roman"/>
                <w:b/>
                <w:sz w:val="20"/>
                <w:szCs w:val="20"/>
                <w:vertAlign w:val="superscript"/>
              </w:rPr>
              <w:t>-1</w:t>
            </w:r>
          </w:p>
        </w:tc>
        <w:tc>
          <w:tcPr>
            <w:tcW w:w="826" w:type="dxa"/>
            <w:vAlign w:val="center"/>
          </w:tcPr>
          <w:p w:rsidR="007E6D09" w:rsidRPr="00ED4B57" w:rsidRDefault="007E6D09" w:rsidP="005D1D3B">
            <w:pPr>
              <w:spacing w:before="162"/>
              <w:ind w:left="82"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7.33</w:t>
            </w:r>
          </w:p>
        </w:tc>
        <w:tc>
          <w:tcPr>
            <w:tcW w:w="1003" w:type="dxa"/>
            <w:vAlign w:val="center"/>
          </w:tcPr>
          <w:p w:rsidR="007E6D09" w:rsidRPr="00ED4B57" w:rsidRDefault="007E6D09" w:rsidP="005D1D3B">
            <w:pPr>
              <w:spacing w:before="162"/>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7.36</w:t>
            </w:r>
          </w:p>
        </w:tc>
        <w:tc>
          <w:tcPr>
            <w:tcW w:w="821" w:type="dxa"/>
            <w:vAlign w:val="center"/>
          </w:tcPr>
          <w:p w:rsidR="007E6D09" w:rsidRPr="00ED4B57" w:rsidRDefault="007E6D09" w:rsidP="005D1D3B">
            <w:pPr>
              <w:spacing w:before="162"/>
              <w:ind w:left="75"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7.37</w:t>
            </w:r>
          </w:p>
        </w:tc>
        <w:tc>
          <w:tcPr>
            <w:tcW w:w="821" w:type="dxa"/>
            <w:vAlign w:val="center"/>
          </w:tcPr>
          <w:p w:rsidR="007E6D09" w:rsidRPr="00ED4B57" w:rsidRDefault="007E6D09" w:rsidP="005D1D3B">
            <w:pPr>
              <w:spacing w:before="1"/>
              <w:ind w:left="15" w:right="1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0.252</w:t>
            </w:r>
          </w:p>
        </w:tc>
        <w:tc>
          <w:tcPr>
            <w:tcW w:w="821" w:type="dxa"/>
            <w:vAlign w:val="center"/>
          </w:tcPr>
          <w:p w:rsidR="007E6D09" w:rsidRPr="00ED4B57" w:rsidRDefault="007E6D09" w:rsidP="005D1D3B">
            <w:pPr>
              <w:spacing w:before="1"/>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0.263</w:t>
            </w:r>
          </w:p>
        </w:tc>
        <w:tc>
          <w:tcPr>
            <w:tcW w:w="1125" w:type="dxa"/>
            <w:vAlign w:val="center"/>
          </w:tcPr>
          <w:p w:rsidR="007E6D09" w:rsidRPr="00ED4B57" w:rsidRDefault="007E6D09" w:rsidP="005D1D3B">
            <w:pPr>
              <w:spacing w:before="1"/>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0.264</w:t>
            </w:r>
          </w:p>
        </w:tc>
        <w:tc>
          <w:tcPr>
            <w:tcW w:w="821" w:type="dxa"/>
            <w:vAlign w:val="center"/>
          </w:tcPr>
          <w:p w:rsidR="007E6D09" w:rsidRPr="00ED4B57" w:rsidRDefault="007E6D09" w:rsidP="005D1D3B">
            <w:pPr>
              <w:spacing w:before="162"/>
              <w:ind w:left="243"/>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5.56</w:t>
            </w:r>
          </w:p>
        </w:tc>
        <w:tc>
          <w:tcPr>
            <w:tcW w:w="730" w:type="dxa"/>
            <w:vAlign w:val="center"/>
          </w:tcPr>
          <w:p w:rsidR="007E6D09" w:rsidRPr="00ED4B57" w:rsidRDefault="007E6D09" w:rsidP="005D1D3B">
            <w:pPr>
              <w:spacing w:before="162"/>
              <w:ind w:left="77" w:right="7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5.40</w:t>
            </w:r>
          </w:p>
        </w:tc>
        <w:tc>
          <w:tcPr>
            <w:tcW w:w="730" w:type="dxa"/>
            <w:vAlign w:val="center"/>
          </w:tcPr>
          <w:p w:rsidR="007E6D09" w:rsidRPr="00ED4B57" w:rsidRDefault="007E6D09" w:rsidP="005D1D3B">
            <w:pPr>
              <w:spacing w:before="162"/>
              <w:ind w:left="24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5.13</w:t>
            </w:r>
          </w:p>
        </w:tc>
      </w:tr>
      <w:tr w:rsidR="007E6D09" w:rsidRPr="00ED4B57" w:rsidTr="005D1D3B">
        <w:trPr>
          <w:trHeight w:val="471"/>
        </w:trPr>
        <w:tc>
          <w:tcPr>
            <w:tcW w:w="2736" w:type="dxa"/>
            <w:gridSpan w:val="2"/>
          </w:tcPr>
          <w:p w:rsidR="007E6D09" w:rsidRPr="00ED4B57" w:rsidRDefault="007E6D09" w:rsidP="007E6D09">
            <w:pPr>
              <w:spacing w:before="121"/>
              <w:ind w:left="614"/>
              <w:rPr>
                <w:rFonts w:ascii="Times New Roman" w:eastAsia="Arial" w:hAnsi="Times New Roman" w:cs="Times New Roman"/>
                <w:b/>
                <w:sz w:val="20"/>
                <w:szCs w:val="20"/>
              </w:rPr>
            </w:pPr>
            <w:proofErr w:type="spellStart"/>
            <w:r w:rsidRPr="00ED4B57">
              <w:rPr>
                <w:rFonts w:ascii="Times New Roman" w:eastAsia="Arial" w:hAnsi="Times New Roman" w:cs="Times New Roman"/>
                <w:b/>
                <w:sz w:val="20"/>
                <w:szCs w:val="20"/>
              </w:rPr>
              <w:t>SEm</w:t>
            </w:r>
            <w:proofErr w:type="spellEnd"/>
            <w:r w:rsidRPr="00ED4B57">
              <w:rPr>
                <w:rFonts w:ascii="Times New Roman" w:eastAsia="Arial" w:hAnsi="Times New Roman" w:cs="Times New Roman"/>
                <w:b/>
                <w:spacing w:val="-10"/>
                <w:sz w:val="20"/>
                <w:szCs w:val="20"/>
              </w:rPr>
              <w:t>±</w:t>
            </w:r>
          </w:p>
        </w:tc>
        <w:tc>
          <w:tcPr>
            <w:tcW w:w="826" w:type="dxa"/>
            <w:vAlign w:val="center"/>
          </w:tcPr>
          <w:p w:rsidR="007E6D09" w:rsidRPr="00ED4B57" w:rsidRDefault="007E6D09" w:rsidP="008D2D3D">
            <w:pPr>
              <w:spacing w:before="221"/>
              <w:ind w:right="79"/>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0.017</w:t>
            </w:r>
          </w:p>
        </w:tc>
        <w:tc>
          <w:tcPr>
            <w:tcW w:w="1003" w:type="dxa"/>
            <w:vAlign w:val="center"/>
          </w:tcPr>
          <w:p w:rsidR="007E6D09" w:rsidRPr="00ED4B57" w:rsidRDefault="007E6D09" w:rsidP="005D1D3B">
            <w:pPr>
              <w:spacing w:before="221"/>
              <w:ind w:left="80" w:right="80"/>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0.020</w:t>
            </w:r>
          </w:p>
        </w:tc>
        <w:tc>
          <w:tcPr>
            <w:tcW w:w="821" w:type="dxa"/>
            <w:vAlign w:val="center"/>
          </w:tcPr>
          <w:p w:rsidR="007E6D09" w:rsidRPr="00ED4B57" w:rsidRDefault="007E6D09" w:rsidP="005D1D3B">
            <w:pPr>
              <w:spacing w:before="221"/>
              <w:ind w:left="77" w:right="8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0.018</w:t>
            </w:r>
          </w:p>
        </w:tc>
        <w:tc>
          <w:tcPr>
            <w:tcW w:w="821" w:type="dxa"/>
            <w:vAlign w:val="center"/>
          </w:tcPr>
          <w:p w:rsidR="007E6D09" w:rsidRPr="00ED4B57" w:rsidRDefault="007E6D09" w:rsidP="005D1D3B">
            <w:pPr>
              <w:spacing w:before="209"/>
              <w:ind w:left="15" w:right="107"/>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0.0049</w:t>
            </w:r>
          </w:p>
        </w:tc>
        <w:tc>
          <w:tcPr>
            <w:tcW w:w="821" w:type="dxa"/>
            <w:vAlign w:val="center"/>
          </w:tcPr>
          <w:p w:rsidR="007E6D09" w:rsidRPr="00ED4B57" w:rsidRDefault="007E6D09" w:rsidP="005D1D3B">
            <w:pPr>
              <w:spacing w:before="209"/>
              <w:ind w:left="102" w:right="8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0.0051</w:t>
            </w:r>
          </w:p>
        </w:tc>
        <w:tc>
          <w:tcPr>
            <w:tcW w:w="1125" w:type="dxa"/>
            <w:vAlign w:val="center"/>
          </w:tcPr>
          <w:p w:rsidR="007E6D09" w:rsidRPr="00ED4B57" w:rsidRDefault="007E6D09" w:rsidP="005D1D3B">
            <w:pPr>
              <w:spacing w:before="209"/>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0.0177</w:t>
            </w:r>
          </w:p>
        </w:tc>
        <w:tc>
          <w:tcPr>
            <w:tcW w:w="821" w:type="dxa"/>
            <w:vAlign w:val="center"/>
          </w:tcPr>
          <w:p w:rsidR="007E6D09" w:rsidRPr="00ED4B57" w:rsidRDefault="007E6D09" w:rsidP="005D1D3B">
            <w:pPr>
              <w:spacing w:before="209"/>
              <w:ind w:left="94" w:right="74"/>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0.015</w:t>
            </w:r>
          </w:p>
        </w:tc>
        <w:tc>
          <w:tcPr>
            <w:tcW w:w="730" w:type="dxa"/>
            <w:vAlign w:val="center"/>
          </w:tcPr>
          <w:p w:rsidR="007E6D09" w:rsidRPr="00ED4B57" w:rsidRDefault="007E6D09" w:rsidP="005D1D3B">
            <w:pPr>
              <w:spacing w:before="10"/>
              <w:ind w:left="15"/>
              <w:jc w:val="center"/>
              <w:rPr>
                <w:rFonts w:ascii="Times New Roman" w:eastAsia="Arial" w:hAnsi="Times New Roman" w:cs="Times New Roman"/>
                <w:b/>
                <w:sz w:val="20"/>
                <w:szCs w:val="20"/>
              </w:rPr>
            </w:pPr>
          </w:p>
          <w:p w:rsidR="007E6D09" w:rsidRPr="00ED4B57" w:rsidRDefault="007E6D09" w:rsidP="005D1D3B">
            <w:pPr>
              <w:spacing w:before="1"/>
              <w:ind w:left="15" w:right="172"/>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0.018</w:t>
            </w:r>
          </w:p>
        </w:tc>
        <w:tc>
          <w:tcPr>
            <w:tcW w:w="730" w:type="dxa"/>
            <w:vAlign w:val="center"/>
          </w:tcPr>
          <w:p w:rsidR="007E6D09" w:rsidRPr="00ED4B57" w:rsidRDefault="007E6D09" w:rsidP="005D1D3B">
            <w:pPr>
              <w:spacing w:before="10"/>
              <w:ind w:left="15"/>
              <w:jc w:val="center"/>
              <w:rPr>
                <w:rFonts w:ascii="Times New Roman" w:eastAsia="Arial" w:hAnsi="Times New Roman" w:cs="Times New Roman"/>
                <w:b/>
                <w:sz w:val="20"/>
                <w:szCs w:val="20"/>
              </w:rPr>
            </w:pPr>
          </w:p>
          <w:p w:rsidR="007E6D09" w:rsidRPr="00ED4B57" w:rsidRDefault="007E6D09" w:rsidP="005D1D3B">
            <w:pPr>
              <w:spacing w:before="1"/>
              <w:ind w:left="15" w:right="17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0.016</w:t>
            </w:r>
          </w:p>
        </w:tc>
      </w:tr>
      <w:tr w:rsidR="007E6D09" w:rsidRPr="00ED4B57" w:rsidTr="005D1D3B">
        <w:trPr>
          <w:trHeight w:val="448"/>
        </w:trPr>
        <w:tc>
          <w:tcPr>
            <w:tcW w:w="2736" w:type="dxa"/>
            <w:gridSpan w:val="2"/>
          </w:tcPr>
          <w:p w:rsidR="007E6D09" w:rsidRPr="00ED4B57" w:rsidRDefault="007E6D09" w:rsidP="007E6D09">
            <w:pPr>
              <w:spacing w:before="114"/>
              <w:ind w:left="503"/>
              <w:rPr>
                <w:rFonts w:ascii="Times New Roman" w:eastAsia="Arial" w:hAnsi="Times New Roman" w:cs="Times New Roman"/>
                <w:b/>
                <w:sz w:val="20"/>
                <w:szCs w:val="20"/>
              </w:rPr>
            </w:pPr>
            <w:r w:rsidRPr="00ED4B57">
              <w:rPr>
                <w:rFonts w:ascii="Times New Roman" w:eastAsia="Arial" w:hAnsi="Times New Roman" w:cs="Times New Roman"/>
                <w:b/>
                <w:sz w:val="20"/>
                <w:szCs w:val="20"/>
              </w:rPr>
              <w:t>CD</w:t>
            </w:r>
            <w:r w:rsidRPr="00ED4B57">
              <w:rPr>
                <w:rFonts w:ascii="Times New Roman" w:eastAsia="Arial" w:hAnsi="Times New Roman" w:cs="Times New Roman"/>
                <w:b/>
                <w:spacing w:val="-2"/>
                <w:sz w:val="20"/>
                <w:szCs w:val="20"/>
              </w:rPr>
              <w:t xml:space="preserve"> (p=0.05)</w:t>
            </w:r>
          </w:p>
        </w:tc>
        <w:tc>
          <w:tcPr>
            <w:tcW w:w="826" w:type="dxa"/>
            <w:vAlign w:val="center"/>
          </w:tcPr>
          <w:p w:rsidR="007E6D09" w:rsidRPr="00ED4B57" w:rsidRDefault="007E6D09" w:rsidP="005D1D3B">
            <w:pPr>
              <w:spacing w:before="216"/>
              <w:ind w:left="81" w:right="79"/>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1003" w:type="dxa"/>
            <w:vAlign w:val="center"/>
          </w:tcPr>
          <w:p w:rsidR="007E6D09" w:rsidRPr="00ED4B57" w:rsidRDefault="007E6D09" w:rsidP="005D1D3B">
            <w:pPr>
              <w:spacing w:before="216"/>
              <w:ind w:left="80" w:right="81"/>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821" w:type="dxa"/>
            <w:vAlign w:val="center"/>
          </w:tcPr>
          <w:p w:rsidR="007E6D09" w:rsidRPr="00ED4B57" w:rsidRDefault="007E6D09" w:rsidP="005D1D3B">
            <w:pPr>
              <w:spacing w:before="216"/>
              <w:ind w:left="74" w:right="84"/>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821" w:type="dxa"/>
            <w:vAlign w:val="center"/>
          </w:tcPr>
          <w:p w:rsidR="007E6D09" w:rsidRPr="00ED4B57" w:rsidRDefault="007E6D09" w:rsidP="005D1D3B">
            <w:pPr>
              <w:spacing w:before="192"/>
              <w:ind w:left="325"/>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821" w:type="dxa"/>
            <w:vAlign w:val="center"/>
          </w:tcPr>
          <w:p w:rsidR="007E6D09" w:rsidRPr="00ED4B57" w:rsidRDefault="007E6D09" w:rsidP="005D1D3B">
            <w:pPr>
              <w:spacing w:before="192"/>
              <w:ind w:left="101" w:right="89"/>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1125" w:type="dxa"/>
            <w:vAlign w:val="center"/>
          </w:tcPr>
          <w:p w:rsidR="007E6D09" w:rsidRPr="00ED4B57" w:rsidRDefault="007E6D09" w:rsidP="005D1D3B">
            <w:pPr>
              <w:spacing w:before="192"/>
              <w:ind w:left="94" w:right="78"/>
              <w:jc w:val="center"/>
              <w:rPr>
                <w:rFonts w:ascii="Times New Roman" w:eastAsia="Arial" w:hAnsi="Times New Roman" w:cs="Times New Roman"/>
                <w:b/>
                <w:sz w:val="20"/>
                <w:szCs w:val="20"/>
              </w:rPr>
            </w:pPr>
            <w:r w:rsidRPr="00ED4B57">
              <w:rPr>
                <w:rFonts w:ascii="Times New Roman" w:eastAsia="Arial" w:hAnsi="Times New Roman" w:cs="Times New Roman"/>
                <w:b/>
                <w:sz w:val="20"/>
                <w:szCs w:val="20"/>
              </w:rPr>
              <w:t>NS</w:t>
            </w:r>
          </w:p>
        </w:tc>
        <w:tc>
          <w:tcPr>
            <w:tcW w:w="821" w:type="dxa"/>
            <w:vAlign w:val="center"/>
          </w:tcPr>
          <w:p w:rsidR="007E6D09" w:rsidRPr="00ED4B57" w:rsidRDefault="007E6D09" w:rsidP="005D1D3B">
            <w:pPr>
              <w:spacing w:before="192"/>
              <w:ind w:left="94" w:right="78"/>
              <w:jc w:val="center"/>
              <w:rPr>
                <w:rFonts w:ascii="Times New Roman" w:eastAsia="Arial" w:hAnsi="Times New Roman" w:cs="Times New Roman"/>
                <w:b/>
                <w:sz w:val="20"/>
                <w:szCs w:val="20"/>
              </w:rPr>
            </w:pPr>
            <w:r w:rsidRPr="00ED4B57">
              <w:rPr>
                <w:rFonts w:ascii="Times New Roman" w:eastAsia="Arial" w:hAnsi="Times New Roman" w:cs="Times New Roman"/>
                <w:sz w:val="20"/>
                <w:szCs w:val="20"/>
              </w:rPr>
              <w:t>0.042</w:t>
            </w:r>
          </w:p>
        </w:tc>
        <w:tc>
          <w:tcPr>
            <w:tcW w:w="730" w:type="dxa"/>
            <w:vAlign w:val="center"/>
          </w:tcPr>
          <w:p w:rsidR="007E6D09" w:rsidRPr="00ED4B57" w:rsidRDefault="007E6D09" w:rsidP="005D1D3B">
            <w:pPr>
              <w:spacing w:before="114"/>
              <w:ind w:left="118"/>
              <w:jc w:val="center"/>
              <w:rPr>
                <w:rFonts w:ascii="Times New Roman" w:eastAsia="Arial" w:hAnsi="Times New Roman" w:cs="Times New Roman"/>
                <w:b/>
                <w:sz w:val="20"/>
                <w:szCs w:val="20"/>
              </w:rPr>
            </w:pPr>
            <w:r w:rsidRPr="00ED4B57">
              <w:rPr>
                <w:rFonts w:ascii="Times New Roman" w:eastAsia="Arial" w:hAnsi="Times New Roman" w:cs="Times New Roman"/>
                <w:sz w:val="20"/>
                <w:szCs w:val="20"/>
              </w:rPr>
              <w:t>0.051</w:t>
            </w:r>
          </w:p>
        </w:tc>
        <w:tc>
          <w:tcPr>
            <w:tcW w:w="730" w:type="dxa"/>
            <w:vAlign w:val="center"/>
          </w:tcPr>
          <w:p w:rsidR="007E6D09" w:rsidRPr="00ED4B57" w:rsidRDefault="007E6D09" w:rsidP="005D1D3B">
            <w:pPr>
              <w:spacing w:before="162"/>
              <w:ind w:left="15" w:right="176"/>
              <w:jc w:val="center"/>
              <w:rPr>
                <w:rFonts w:ascii="Times New Roman" w:eastAsia="Arial" w:hAnsi="Times New Roman" w:cs="Times New Roman"/>
                <w:sz w:val="20"/>
                <w:szCs w:val="20"/>
              </w:rPr>
            </w:pPr>
            <w:r w:rsidRPr="00ED4B57">
              <w:rPr>
                <w:rFonts w:ascii="Times New Roman" w:eastAsia="Arial" w:hAnsi="Times New Roman" w:cs="Times New Roman"/>
                <w:sz w:val="20"/>
                <w:szCs w:val="20"/>
              </w:rPr>
              <w:t>0.045</w:t>
            </w:r>
          </w:p>
        </w:tc>
      </w:tr>
    </w:tbl>
    <w:p w:rsidR="00F3640F" w:rsidRPr="00ED4B57" w:rsidRDefault="00F3640F">
      <w:pPr>
        <w:pStyle w:val="ListParagraph"/>
        <w:spacing w:line="276" w:lineRule="auto"/>
        <w:rPr>
          <w:sz w:val="20"/>
          <w:szCs w:val="20"/>
        </w:rPr>
      </w:pPr>
    </w:p>
    <w:p w:rsidR="00ED4B57" w:rsidRPr="002F0545" w:rsidRDefault="00ED4B57" w:rsidP="00966810">
      <w:pPr>
        <w:pStyle w:val="NoSpacing"/>
        <w:rPr>
          <w:b/>
          <w:bCs/>
        </w:rPr>
      </w:pPr>
      <w:r w:rsidRPr="002F0545">
        <w:rPr>
          <w:b/>
          <w:bCs/>
        </w:rPr>
        <w:t xml:space="preserve">3.2 </w:t>
      </w:r>
      <w:r w:rsidR="00842376" w:rsidRPr="002F0545">
        <w:rPr>
          <w:b/>
          <w:bCs/>
        </w:rPr>
        <w:t>Available</w:t>
      </w:r>
      <w:r w:rsidRPr="002F0545">
        <w:rPr>
          <w:b/>
          <w:bCs/>
        </w:rPr>
        <w:t xml:space="preserve"> N, P,</w:t>
      </w:r>
      <w:r w:rsidR="008D2D3D">
        <w:rPr>
          <w:b/>
          <w:bCs/>
        </w:rPr>
        <w:t xml:space="preserve"> </w:t>
      </w:r>
      <w:proofErr w:type="gramStart"/>
      <w:r w:rsidRPr="002F0545">
        <w:rPr>
          <w:b/>
          <w:bCs/>
        </w:rPr>
        <w:t>K  and</w:t>
      </w:r>
      <w:proofErr w:type="gramEnd"/>
      <w:r w:rsidRPr="002F0545">
        <w:rPr>
          <w:b/>
          <w:bCs/>
        </w:rPr>
        <w:t xml:space="preserve"> S </w:t>
      </w:r>
    </w:p>
    <w:p w:rsidR="00D0057A" w:rsidRPr="00D0057A" w:rsidRDefault="00D0057A" w:rsidP="00D0057A">
      <w:pPr>
        <w:pStyle w:val="BodyText"/>
        <w:spacing w:before="195" w:line="405" w:lineRule="auto"/>
        <w:ind w:right="114" w:firstLine="720"/>
        <w:jc w:val="both"/>
        <w:rPr>
          <w:rFonts w:ascii="Times New Roman" w:eastAsia="Times New Roman" w:hAnsi="Times New Roman" w:cs="Times New Roman"/>
          <w:sz w:val="24"/>
          <w:szCs w:val="24"/>
          <w:lang w:bidi="hi-IN"/>
        </w:rPr>
      </w:pPr>
      <w:r w:rsidRPr="00D0057A">
        <w:rPr>
          <w:rFonts w:ascii="Times New Roman" w:eastAsia="Times New Roman" w:hAnsi="Times New Roman" w:cs="Times New Roman"/>
          <w:sz w:val="24"/>
          <w:szCs w:val="24"/>
          <w:lang w:bidi="hi-IN"/>
        </w:rPr>
        <w:t xml:space="preserve">The pooled data presented in Table 2 clearly indicated that different nutrient management treatments significantly influenced the availability of nitrogen (N), phosphorus (P), potassium (K), and </w:t>
      </w:r>
      <w:proofErr w:type="spellStart"/>
      <w:r w:rsidRPr="00D0057A">
        <w:rPr>
          <w:rFonts w:ascii="Times New Roman" w:eastAsia="Times New Roman" w:hAnsi="Times New Roman" w:cs="Times New Roman"/>
          <w:sz w:val="24"/>
          <w:szCs w:val="24"/>
          <w:lang w:bidi="hi-IN"/>
        </w:rPr>
        <w:t>sulphur</w:t>
      </w:r>
      <w:proofErr w:type="spellEnd"/>
      <w:r w:rsidRPr="00D0057A">
        <w:rPr>
          <w:rFonts w:ascii="Times New Roman" w:eastAsia="Times New Roman" w:hAnsi="Times New Roman" w:cs="Times New Roman"/>
          <w:sz w:val="24"/>
          <w:szCs w:val="24"/>
          <w:lang w:bidi="hi-IN"/>
        </w:rPr>
        <w:t xml:space="preserve"> (S) in soil at all depths (0–15, 15–30, and 30–45 cm) compared to the control. A consistent and progressive increase in the availability of these nutrients was observed with increasing levels of NPK fertilizers and their integration with farmyard manure (FYM), highlighting the effectiveness of balanced and integrated nutrient management in improving soil fertility status.</w:t>
      </w:r>
      <w:r>
        <w:rPr>
          <w:rFonts w:ascii="Times New Roman" w:eastAsia="Times New Roman" w:hAnsi="Times New Roman" w:cs="Times New Roman"/>
          <w:sz w:val="24"/>
          <w:szCs w:val="24"/>
          <w:lang w:bidi="hi-IN"/>
        </w:rPr>
        <w:t xml:space="preserve"> </w:t>
      </w:r>
      <w:r w:rsidRPr="00D0057A">
        <w:rPr>
          <w:rFonts w:ascii="Times New Roman" w:eastAsia="Times New Roman" w:hAnsi="Times New Roman" w:cs="Times New Roman"/>
          <w:sz w:val="24"/>
          <w:szCs w:val="24"/>
          <w:lang w:bidi="hi-IN"/>
        </w:rPr>
        <w:t>The control treatment recorded the lowest values of available N (159.52–152.99 kg ha⁻¹), P (9.64–6.02 kg ha⁻¹), K (229.27–214.12 kg ha⁻¹), and S (7.90–4.38 kg ha⁻¹), whereas the highest values of available N (246.50–232.85 kg ha⁻¹), P (30.03–19.50 kg ha⁻¹), K (291.17–259.07 kg ha⁻¹), and S (17.95–9.81 kg ha⁻¹) were recorded under the treatment receiving a target yield of 6.0 t ha⁻¹ + FYM @ 5 t ha⁻¹ (T₆), followed by T₅. This trend clearly demonstrates that higher nutrient application rates in conjunction with organic amendments enhance nutrient availability across the soil profile.</w:t>
      </w:r>
    </w:p>
    <w:p w:rsidR="00D0057A" w:rsidRPr="00D0057A" w:rsidRDefault="00D0057A" w:rsidP="00D0057A">
      <w:pPr>
        <w:pStyle w:val="BodyText"/>
        <w:spacing w:before="195" w:line="405" w:lineRule="auto"/>
        <w:ind w:right="114" w:firstLine="720"/>
        <w:jc w:val="both"/>
        <w:rPr>
          <w:rFonts w:ascii="Times New Roman" w:eastAsia="Times New Roman" w:hAnsi="Times New Roman" w:cs="Times New Roman"/>
          <w:sz w:val="24"/>
          <w:szCs w:val="24"/>
          <w:lang w:bidi="hi-IN"/>
        </w:rPr>
      </w:pPr>
      <w:r w:rsidRPr="00D0057A">
        <w:rPr>
          <w:rFonts w:ascii="Times New Roman" w:eastAsia="Times New Roman" w:hAnsi="Times New Roman" w:cs="Times New Roman"/>
          <w:sz w:val="24"/>
          <w:szCs w:val="24"/>
          <w:lang w:bidi="hi-IN"/>
        </w:rPr>
        <w:t xml:space="preserve">The enhanced availability of nitrogen under integrated treatments can be </w:t>
      </w:r>
      <w:r w:rsidRPr="00D0057A">
        <w:rPr>
          <w:rFonts w:ascii="Times New Roman" w:eastAsia="Times New Roman" w:hAnsi="Times New Roman" w:cs="Times New Roman"/>
          <w:sz w:val="24"/>
          <w:szCs w:val="24"/>
          <w:lang w:bidi="hi-IN"/>
        </w:rPr>
        <w:lastRenderedPageBreak/>
        <w:t>attributed to increased mineralization of organic matter and stimulation of microbial activity, leading to a sustained release of plant-available nitrogen. In addition, improved soil organic carbon levels under FYM application likely contributed to better nitrogen retention and reduced losses through leaching or volatilization. These findings are in conformity with earlier reports of Thakur et al. (2011), Sharma et al. (2015), Kundu et al. (2016), and Rajput et al. (2016).</w:t>
      </w:r>
      <w:r>
        <w:rPr>
          <w:rFonts w:ascii="Times New Roman" w:eastAsia="Times New Roman" w:hAnsi="Times New Roman" w:cs="Times New Roman"/>
          <w:sz w:val="24"/>
          <w:szCs w:val="24"/>
          <w:lang w:bidi="hi-IN"/>
        </w:rPr>
        <w:t xml:space="preserve"> </w:t>
      </w:r>
      <w:r w:rsidRPr="00D0057A">
        <w:rPr>
          <w:rFonts w:ascii="Times New Roman" w:eastAsia="Times New Roman" w:hAnsi="Times New Roman" w:cs="Times New Roman"/>
          <w:sz w:val="24"/>
          <w:szCs w:val="24"/>
          <w:lang w:bidi="hi-IN"/>
        </w:rPr>
        <w:t xml:space="preserve">Similarly, the increased availability of phosphorus may be associated with the role of organic matter in reducing phosphorus fixation through the formation of organo-metallic complexes and enhancing phosphorus solubilization by microbial activity. The presence of FYM also improves soil buffering capacity, thereby maintaining favorable conditions for phosphorus availability, as reported by Swarup and </w:t>
      </w:r>
      <w:proofErr w:type="spellStart"/>
      <w:r w:rsidRPr="00D0057A">
        <w:rPr>
          <w:rFonts w:ascii="Times New Roman" w:eastAsia="Times New Roman" w:hAnsi="Times New Roman" w:cs="Times New Roman"/>
          <w:sz w:val="24"/>
          <w:szCs w:val="24"/>
          <w:lang w:bidi="hi-IN"/>
        </w:rPr>
        <w:t>Yaduvanshi</w:t>
      </w:r>
      <w:proofErr w:type="spellEnd"/>
      <w:r w:rsidRPr="00D0057A">
        <w:rPr>
          <w:rFonts w:ascii="Times New Roman" w:eastAsia="Times New Roman" w:hAnsi="Times New Roman" w:cs="Times New Roman"/>
          <w:sz w:val="24"/>
          <w:szCs w:val="24"/>
          <w:lang w:bidi="hi-IN"/>
        </w:rPr>
        <w:t xml:space="preserve"> (2000).</w:t>
      </w:r>
    </w:p>
    <w:p w:rsidR="00D0057A" w:rsidRPr="00D0057A" w:rsidRDefault="00D0057A" w:rsidP="00D0057A">
      <w:pPr>
        <w:pStyle w:val="BodyText"/>
        <w:spacing w:before="195" w:line="405" w:lineRule="auto"/>
        <w:ind w:right="114" w:firstLine="720"/>
        <w:jc w:val="both"/>
        <w:rPr>
          <w:rFonts w:ascii="Times New Roman" w:eastAsia="Times New Roman" w:hAnsi="Times New Roman" w:cs="Times New Roman"/>
          <w:sz w:val="24"/>
          <w:szCs w:val="24"/>
          <w:lang w:bidi="hi-IN"/>
        </w:rPr>
      </w:pPr>
      <w:r w:rsidRPr="00D0057A">
        <w:rPr>
          <w:rFonts w:ascii="Times New Roman" w:eastAsia="Times New Roman" w:hAnsi="Times New Roman" w:cs="Times New Roman"/>
          <w:sz w:val="24"/>
          <w:szCs w:val="24"/>
          <w:lang w:bidi="hi-IN"/>
        </w:rPr>
        <w:t>The higher availability of potassium under integrated nutrient management could be attributed to the release of potassium from organic sources and reduced fixation due to improved soil physicochemical conditions. Additionally, the interaction of organic acids with clay minerals may facilitate the release of non-exchangeable potassium into available forms.</w:t>
      </w:r>
      <w:r>
        <w:rPr>
          <w:rFonts w:ascii="Times New Roman" w:eastAsia="Times New Roman" w:hAnsi="Times New Roman" w:cs="Times New Roman"/>
          <w:sz w:val="24"/>
          <w:szCs w:val="24"/>
          <w:lang w:bidi="hi-IN"/>
        </w:rPr>
        <w:t xml:space="preserve"> </w:t>
      </w:r>
      <w:r w:rsidRPr="00D0057A">
        <w:rPr>
          <w:rFonts w:ascii="Times New Roman" w:eastAsia="Times New Roman" w:hAnsi="Times New Roman" w:cs="Times New Roman"/>
          <w:sz w:val="24"/>
          <w:szCs w:val="24"/>
          <w:lang w:bidi="hi-IN"/>
        </w:rPr>
        <w:t xml:space="preserve">In the case of </w:t>
      </w:r>
      <w:proofErr w:type="spellStart"/>
      <w:r w:rsidRPr="00D0057A">
        <w:rPr>
          <w:rFonts w:ascii="Times New Roman" w:eastAsia="Times New Roman" w:hAnsi="Times New Roman" w:cs="Times New Roman"/>
          <w:sz w:val="24"/>
          <w:szCs w:val="24"/>
          <w:lang w:bidi="hi-IN"/>
        </w:rPr>
        <w:t>sulphur</w:t>
      </w:r>
      <w:proofErr w:type="spellEnd"/>
      <w:r w:rsidRPr="00D0057A">
        <w:rPr>
          <w:rFonts w:ascii="Times New Roman" w:eastAsia="Times New Roman" w:hAnsi="Times New Roman" w:cs="Times New Roman"/>
          <w:sz w:val="24"/>
          <w:szCs w:val="24"/>
          <w:lang w:bidi="hi-IN"/>
        </w:rPr>
        <w:t xml:space="preserve">, its increased availability under integrated treatments may be due to enhanced mineralization of organic </w:t>
      </w:r>
      <w:proofErr w:type="spellStart"/>
      <w:r w:rsidRPr="00D0057A">
        <w:rPr>
          <w:rFonts w:ascii="Times New Roman" w:eastAsia="Times New Roman" w:hAnsi="Times New Roman" w:cs="Times New Roman"/>
          <w:sz w:val="24"/>
          <w:szCs w:val="24"/>
          <w:lang w:bidi="hi-IN"/>
        </w:rPr>
        <w:t>sulphur</w:t>
      </w:r>
      <w:proofErr w:type="spellEnd"/>
      <w:r w:rsidRPr="00D0057A">
        <w:rPr>
          <w:rFonts w:ascii="Times New Roman" w:eastAsia="Times New Roman" w:hAnsi="Times New Roman" w:cs="Times New Roman"/>
          <w:sz w:val="24"/>
          <w:szCs w:val="24"/>
          <w:lang w:bidi="hi-IN"/>
        </w:rPr>
        <w:t xml:space="preserve"> compounds present in FYM, along with improved microbial activity. The gradual release of </w:t>
      </w:r>
      <w:proofErr w:type="spellStart"/>
      <w:r w:rsidRPr="00D0057A">
        <w:rPr>
          <w:rFonts w:ascii="Times New Roman" w:eastAsia="Times New Roman" w:hAnsi="Times New Roman" w:cs="Times New Roman"/>
          <w:sz w:val="24"/>
          <w:szCs w:val="24"/>
          <w:lang w:bidi="hi-IN"/>
        </w:rPr>
        <w:t>sulphur</w:t>
      </w:r>
      <w:proofErr w:type="spellEnd"/>
      <w:r w:rsidRPr="00D0057A">
        <w:rPr>
          <w:rFonts w:ascii="Times New Roman" w:eastAsia="Times New Roman" w:hAnsi="Times New Roman" w:cs="Times New Roman"/>
          <w:sz w:val="24"/>
          <w:szCs w:val="24"/>
          <w:lang w:bidi="hi-IN"/>
        </w:rPr>
        <w:t xml:space="preserve"> from organic sources ensures a sustained supply throughout the crop growth period. These results </w:t>
      </w:r>
      <w:proofErr w:type="gramStart"/>
      <w:r w:rsidRPr="00D0057A">
        <w:rPr>
          <w:rFonts w:ascii="Times New Roman" w:eastAsia="Times New Roman" w:hAnsi="Times New Roman" w:cs="Times New Roman"/>
          <w:sz w:val="24"/>
          <w:szCs w:val="24"/>
          <w:lang w:bidi="hi-IN"/>
        </w:rPr>
        <w:t>are in agreement</w:t>
      </w:r>
      <w:proofErr w:type="gramEnd"/>
      <w:r w:rsidRPr="00D0057A">
        <w:rPr>
          <w:rFonts w:ascii="Times New Roman" w:eastAsia="Times New Roman" w:hAnsi="Times New Roman" w:cs="Times New Roman"/>
          <w:sz w:val="24"/>
          <w:szCs w:val="24"/>
          <w:lang w:bidi="hi-IN"/>
        </w:rPr>
        <w:t xml:space="preserve"> with the findings of Dutta et al. (2013) and Upadhyay et al. (2014).</w:t>
      </w:r>
    </w:p>
    <w:p w:rsidR="00D0057A" w:rsidRDefault="00D0057A" w:rsidP="00D0057A">
      <w:pPr>
        <w:pStyle w:val="BodyText"/>
        <w:spacing w:before="195" w:line="405" w:lineRule="auto"/>
        <w:ind w:right="114" w:firstLine="720"/>
        <w:jc w:val="both"/>
        <w:rPr>
          <w:rFonts w:ascii="Times New Roman" w:eastAsia="Times New Roman" w:hAnsi="Times New Roman" w:cs="Times New Roman"/>
          <w:sz w:val="24"/>
          <w:szCs w:val="24"/>
          <w:lang w:bidi="hi-IN"/>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bookmarkStart w:id="0" w:name="_GoBack"/>
      <w:bookmarkEnd w:id="0"/>
    </w:p>
    <w:p w:rsidR="00C53FB9" w:rsidRDefault="00C53FB9" w:rsidP="00842376">
      <w:pPr>
        <w:pStyle w:val="BodyText"/>
        <w:spacing w:before="10"/>
        <w:rPr>
          <w:rFonts w:ascii="Arial" w:hAnsi="Arial" w:cs="Arial"/>
          <w:b/>
          <w:bCs/>
        </w:rPr>
      </w:pPr>
    </w:p>
    <w:p w:rsidR="00C53FB9" w:rsidRDefault="00C53FB9" w:rsidP="00842376">
      <w:pPr>
        <w:pStyle w:val="BodyText"/>
        <w:spacing w:before="10"/>
        <w:rPr>
          <w:rFonts w:ascii="Arial" w:hAnsi="Arial" w:cs="Arial"/>
          <w:b/>
          <w:bCs/>
        </w:rPr>
      </w:pPr>
    </w:p>
    <w:p w:rsidR="00842376" w:rsidRPr="00ED4B57" w:rsidRDefault="003413DA" w:rsidP="00842376">
      <w:pPr>
        <w:pStyle w:val="BodyText"/>
        <w:spacing w:before="10"/>
        <w:rPr>
          <w:rFonts w:ascii="Arial" w:hAnsi="Arial" w:cs="Arial"/>
          <w:b/>
          <w:bCs/>
        </w:rPr>
      </w:pPr>
      <w:r>
        <w:rPr>
          <w:rFonts w:ascii="Arial" w:hAnsi="Arial" w:cs="Arial"/>
          <w:b/>
          <w:bCs/>
        </w:rPr>
        <w:t>Table 2</w:t>
      </w:r>
      <w:r w:rsidR="00842376" w:rsidRPr="00ED4B57">
        <w:rPr>
          <w:rFonts w:ascii="Arial" w:hAnsi="Arial" w:cs="Arial"/>
          <w:b/>
          <w:bCs/>
        </w:rPr>
        <w:t xml:space="preserve">. </w:t>
      </w:r>
      <w:r w:rsidR="00842376" w:rsidRPr="00ED4B57">
        <w:rPr>
          <w:rFonts w:ascii="Arial" w:hAnsi="Arial" w:cs="Arial"/>
          <w:b/>
        </w:rPr>
        <w:t>Effect</w:t>
      </w:r>
      <w:r w:rsidR="00842376" w:rsidRPr="00ED4B57">
        <w:rPr>
          <w:rFonts w:ascii="Arial" w:hAnsi="Arial" w:cs="Arial"/>
          <w:b/>
          <w:spacing w:val="29"/>
        </w:rPr>
        <w:t xml:space="preserve"> </w:t>
      </w:r>
      <w:r w:rsidR="00842376" w:rsidRPr="00ED4B57">
        <w:rPr>
          <w:rFonts w:ascii="Arial" w:hAnsi="Arial" w:cs="Arial"/>
          <w:b/>
        </w:rPr>
        <w:t>of</w:t>
      </w:r>
      <w:r w:rsidR="00842376" w:rsidRPr="00ED4B57">
        <w:rPr>
          <w:rFonts w:ascii="Arial" w:hAnsi="Arial" w:cs="Arial"/>
          <w:b/>
          <w:spacing w:val="27"/>
        </w:rPr>
        <w:t xml:space="preserve"> </w:t>
      </w:r>
      <w:r w:rsidR="00842376" w:rsidRPr="00ED4B57">
        <w:rPr>
          <w:rFonts w:ascii="Arial" w:hAnsi="Arial" w:cs="Arial"/>
          <w:b/>
        </w:rPr>
        <w:t>STCR</w:t>
      </w:r>
      <w:r w:rsidR="00842376" w:rsidRPr="00ED4B57">
        <w:rPr>
          <w:rFonts w:ascii="Arial" w:hAnsi="Arial" w:cs="Arial"/>
          <w:b/>
          <w:spacing w:val="29"/>
        </w:rPr>
        <w:t xml:space="preserve"> </w:t>
      </w:r>
      <w:r w:rsidR="00842376" w:rsidRPr="00ED4B57">
        <w:rPr>
          <w:rFonts w:ascii="Arial" w:hAnsi="Arial" w:cs="Arial"/>
          <w:b/>
        </w:rPr>
        <w:t>based</w:t>
      </w:r>
      <w:r w:rsidR="00842376" w:rsidRPr="00ED4B57">
        <w:rPr>
          <w:rFonts w:ascii="Arial" w:hAnsi="Arial" w:cs="Arial"/>
          <w:b/>
          <w:spacing w:val="30"/>
        </w:rPr>
        <w:t xml:space="preserve"> </w:t>
      </w:r>
      <w:r w:rsidR="00842376" w:rsidRPr="00ED4B57">
        <w:rPr>
          <w:rFonts w:ascii="Arial" w:hAnsi="Arial" w:cs="Arial"/>
          <w:b/>
        </w:rPr>
        <w:t>NPK</w:t>
      </w:r>
      <w:r w:rsidR="00842376" w:rsidRPr="00ED4B57">
        <w:rPr>
          <w:rFonts w:ascii="Arial" w:hAnsi="Arial" w:cs="Arial"/>
          <w:b/>
          <w:spacing w:val="30"/>
        </w:rPr>
        <w:t xml:space="preserve"> </w:t>
      </w:r>
      <w:r w:rsidR="00842376" w:rsidRPr="00ED4B57">
        <w:rPr>
          <w:rFonts w:ascii="Arial" w:hAnsi="Arial" w:cs="Arial"/>
          <w:b/>
        </w:rPr>
        <w:t>levels</w:t>
      </w:r>
      <w:r w:rsidR="00842376" w:rsidRPr="00ED4B57">
        <w:rPr>
          <w:rFonts w:ascii="Arial" w:hAnsi="Arial" w:cs="Arial"/>
          <w:b/>
          <w:spacing w:val="29"/>
        </w:rPr>
        <w:t xml:space="preserve"> </w:t>
      </w:r>
      <w:r w:rsidR="00842376" w:rsidRPr="00ED4B57">
        <w:rPr>
          <w:rFonts w:ascii="Arial" w:hAnsi="Arial" w:cs="Arial"/>
          <w:b/>
        </w:rPr>
        <w:t>on</w:t>
      </w:r>
      <w:r w:rsidR="00842376" w:rsidRPr="00ED4B57">
        <w:rPr>
          <w:rFonts w:ascii="Arial" w:hAnsi="Arial" w:cs="Arial"/>
          <w:b/>
          <w:spacing w:val="30"/>
        </w:rPr>
        <w:t xml:space="preserve"> </w:t>
      </w:r>
      <w:r w:rsidR="00842376" w:rsidRPr="00ED4B57">
        <w:rPr>
          <w:rFonts w:ascii="Arial" w:hAnsi="Arial" w:cs="Arial"/>
          <w:b/>
        </w:rPr>
        <w:t>post-harvest</w:t>
      </w:r>
      <w:r w:rsidR="00842376" w:rsidRPr="00ED4B57">
        <w:rPr>
          <w:rFonts w:ascii="Arial" w:hAnsi="Arial" w:cs="Arial"/>
          <w:b/>
          <w:spacing w:val="28"/>
        </w:rPr>
        <w:t xml:space="preserve"> </w:t>
      </w:r>
      <w:proofErr w:type="gramStart"/>
      <w:r w:rsidR="008D2D3D">
        <w:rPr>
          <w:rFonts w:ascii="Arial" w:hAnsi="Arial" w:cs="Arial"/>
          <w:b/>
          <w:spacing w:val="28"/>
        </w:rPr>
        <w:t>N,P</w:t>
      </w:r>
      <w:proofErr w:type="gramEnd"/>
      <w:r w:rsidR="008D2D3D">
        <w:rPr>
          <w:rFonts w:ascii="Arial" w:hAnsi="Arial" w:cs="Arial"/>
          <w:b/>
          <w:spacing w:val="28"/>
        </w:rPr>
        <w:t>,</w:t>
      </w:r>
      <w:r>
        <w:rPr>
          <w:rFonts w:ascii="Arial" w:hAnsi="Arial" w:cs="Arial"/>
          <w:b/>
          <w:spacing w:val="28"/>
        </w:rPr>
        <w:t xml:space="preserve">K and S </w:t>
      </w:r>
      <w:r w:rsidR="00842376" w:rsidRPr="00ED4B57">
        <w:rPr>
          <w:rFonts w:ascii="Arial" w:hAnsi="Arial" w:cs="Arial"/>
          <w:b/>
        </w:rPr>
        <w:t>at</w:t>
      </w:r>
      <w:r w:rsidR="00842376" w:rsidRPr="00ED4B57">
        <w:rPr>
          <w:rFonts w:ascii="Arial" w:hAnsi="Arial" w:cs="Arial"/>
          <w:b/>
          <w:spacing w:val="29"/>
        </w:rPr>
        <w:t xml:space="preserve"> </w:t>
      </w:r>
      <w:r w:rsidR="00842376" w:rsidRPr="00ED4B57">
        <w:rPr>
          <w:rFonts w:ascii="Arial" w:hAnsi="Arial" w:cs="Arial"/>
          <w:b/>
        </w:rPr>
        <w:t>different</w:t>
      </w:r>
      <w:r w:rsidR="00842376" w:rsidRPr="00ED4B57">
        <w:rPr>
          <w:rFonts w:ascii="Arial" w:hAnsi="Arial" w:cs="Arial"/>
          <w:b/>
          <w:spacing w:val="29"/>
        </w:rPr>
        <w:t xml:space="preserve"> </w:t>
      </w:r>
      <w:r w:rsidR="00842376" w:rsidRPr="00ED4B57">
        <w:rPr>
          <w:rFonts w:ascii="Arial" w:hAnsi="Arial" w:cs="Arial"/>
          <w:b/>
        </w:rPr>
        <w:t>soil</w:t>
      </w:r>
      <w:r w:rsidR="00842376" w:rsidRPr="00ED4B57">
        <w:rPr>
          <w:rFonts w:ascii="Arial" w:hAnsi="Arial" w:cs="Arial"/>
          <w:b/>
          <w:spacing w:val="28"/>
        </w:rPr>
        <w:t xml:space="preserve"> </w:t>
      </w:r>
      <w:r w:rsidR="00842376" w:rsidRPr="00ED4B57">
        <w:rPr>
          <w:rFonts w:ascii="Arial" w:hAnsi="Arial" w:cs="Arial"/>
          <w:b/>
        </w:rPr>
        <w:t>depth</w:t>
      </w:r>
      <w:r w:rsidR="00842376" w:rsidRPr="00ED4B57">
        <w:rPr>
          <w:rFonts w:ascii="Arial" w:hAnsi="Arial" w:cs="Arial"/>
          <w:b/>
          <w:spacing w:val="33"/>
        </w:rPr>
        <w:t xml:space="preserve"> </w:t>
      </w:r>
      <w:r w:rsidR="00842376" w:rsidRPr="00ED4B57">
        <w:rPr>
          <w:rFonts w:ascii="Arial" w:hAnsi="Arial" w:cs="Arial"/>
          <w:b/>
          <w:bCs/>
        </w:rPr>
        <w:t>(pooled data)</w:t>
      </w:r>
    </w:p>
    <w:p w:rsidR="00684CE8" w:rsidRDefault="00684CE8" w:rsidP="00E1098B">
      <w:pPr>
        <w:pStyle w:val="BodyText"/>
        <w:spacing w:before="195" w:line="405" w:lineRule="auto"/>
        <w:ind w:left="120" w:right="114" w:firstLine="991"/>
        <w:jc w:val="both"/>
        <w:rPr>
          <w:rFonts w:ascii="Times New Roman" w:eastAsia="Times New Roman" w:hAnsi="Times New Roman" w:cs="Times New Roman"/>
          <w:sz w:val="24"/>
          <w:szCs w:val="24"/>
          <w:lang w:bidi="hi-IN"/>
        </w:rPr>
      </w:pPr>
    </w:p>
    <w:tbl>
      <w:tblPr>
        <w:tblpPr w:leftFromText="180" w:rightFromText="180" w:vertAnchor="text" w:horzAnchor="margin" w:tblpXSpec="center" w:tblpY="-57"/>
        <w:tblW w:w="10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715"/>
        <w:gridCol w:w="715"/>
        <w:gridCol w:w="810"/>
        <w:gridCol w:w="720"/>
        <w:gridCol w:w="630"/>
        <w:gridCol w:w="719"/>
        <w:gridCol w:w="631"/>
        <w:gridCol w:w="800"/>
        <w:gridCol w:w="720"/>
        <w:gridCol w:w="810"/>
        <w:gridCol w:w="720"/>
        <w:gridCol w:w="720"/>
        <w:gridCol w:w="669"/>
      </w:tblGrid>
      <w:tr w:rsidR="00CB26B2" w:rsidRPr="00E1098B" w:rsidTr="00CB26B2">
        <w:trPr>
          <w:trHeight w:val="476"/>
        </w:trPr>
        <w:tc>
          <w:tcPr>
            <w:tcW w:w="2075" w:type="dxa"/>
            <w:gridSpan w:val="2"/>
            <w:vMerge w:val="restart"/>
          </w:tcPr>
          <w:p w:rsidR="00842376" w:rsidRPr="00E1098B" w:rsidRDefault="002F0545" w:rsidP="00842376">
            <w:pPr>
              <w:pStyle w:val="TableParagraph"/>
              <w:spacing w:before="114"/>
              <w:ind w:left="118"/>
              <w:jc w:val="left"/>
              <w:rPr>
                <w:rFonts w:ascii="Times New Roman" w:hAnsi="Times New Roman" w:cs="Times New Roman"/>
                <w:b/>
                <w:sz w:val="20"/>
                <w:szCs w:val="20"/>
              </w:rPr>
            </w:pPr>
            <w:r>
              <w:t xml:space="preserve">     Treatment</w:t>
            </w:r>
          </w:p>
        </w:tc>
        <w:tc>
          <w:tcPr>
            <w:tcW w:w="2245" w:type="dxa"/>
            <w:gridSpan w:val="3"/>
          </w:tcPr>
          <w:p w:rsidR="00842376" w:rsidRPr="008D2D3D" w:rsidRDefault="00842376" w:rsidP="00842376">
            <w:pPr>
              <w:pStyle w:val="TableParagraph"/>
              <w:spacing w:before="114"/>
              <w:ind w:left="282"/>
              <w:rPr>
                <w:rFonts w:ascii="Times New Roman" w:hAnsi="Times New Roman" w:cs="Times New Roman"/>
                <w:b/>
                <w:sz w:val="20"/>
                <w:szCs w:val="20"/>
              </w:rPr>
            </w:pPr>
            <w:r w:rsidRPr="00E1098B">
              <w:rPr>
                <w:rFonts w:ascii="Times New Roman" w:hAnsi="Times New Roman" w:cs="Times New Roman"/>
                <w:b/>
                <w:sz w:val="20"/>
                <w:szCs w:val="20"/>
              </w:rPr>
              <w:t>N</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kg</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ha</w:t>
            </w:r>
            <w:r w:rsidR="008D2D3D" w:rsidRPr="00ED4B57">
              <w:rPr>
                <w:rFonts w:ascii="Times New Roman" w:hAnsi="Times New Roman" w:cs="Times New Roman"/>
                <w:b/>
                <w:sz w:val="20"/>
                <w:szCs w:val="20"/>
                <w:vertAlign w:val="superscript"/>
              </w:rPr>
              <w:t>-</w:t>
            </w:r>
            <w:r w:rsidR="008D2D3D" w:rsidRPr="00ED4B57">
              <w:rPr>
                <w:rFonts w:ascii="Times New Roman" w:hAnsi="Times New Roman" w:cs="Times New Roman"/>
                <w:b/>
                <w:spacing w:val="-5"/>
                <w:sz w:val="20"/>
                <w:szCs w:val="20"/>
                <w:vertAlign w:val="superscript"/>
              </w:rPr>
              <w:t>1</w:t>
            </w:r>
            <w:r w:rsidR="008D2D3D">
              <w:rPr>
                <w:rFonts w:ascii="Times New Roman" w:hAnsi="Times New Roman" w:cs="Times New Roman"/>
                <w:b/>
                <w:spacing w:val="-5"/>
                <w:sz w:val="20"/>
                <w:szCs w:val="20"/>
              </w:rPr>
              <w:t>)</w:t>
            </w:r>
          </w:p>
        </w:tc>
        <w:tc>
          <w:tcPr>
            <w:tcW w:w="1980" w:type="dxa"/>
            <w:gridSpan w:val="3"/>
          </w:tcPr>
          <w:p w:rsidR="00842376" w:rsidRPr="00E1098B" w:rsidRDefault="00842376" w:rsidP="00842376">
            <w:pPr>
              <w:pStyle w:val="TableParagraph"/>
              <w:spacing w:before="114"/>
              <w:ind w:left="118"/>
              <w:rPr>
                <w:rFonts w:ascii="Times New Roman" w:hAnsi="Times New Roman" w:cs="Times New Roman"/>
                <w:b/>
                <w:sz w:val="20"/>
                <w:szCs w:val="20"/>
              </w:rPr>
            </w:pPr>
            <w:r w:rsidRPr="00E1098B">
              <w:rPr>
                <w:rFonts w:ascii="Times New Roman" w:hAnsi="Times New Roman" w:cs="Times New Roman"/>
                <w:b/>
                <w:sz w:val="20"/>
                <w:szCs w:val="20"/>
              </w:rPr>
              <w:t>P</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kg</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ha</w:t>
            </w:r>
            <w:r w:rsidR="008D2D3D" w:rsidRPr="00ED4B57">
              <w:rPr>
                <w:rFonts w:ascii="Times New Roman" w:hAnsi="Times New Roman" w:cs="Times New Roman"/>
                <w:b/>
                <w:sz w:val="20"/>
                <w:szCs w:val="20"/>
                <w:vertAlign w:val="superscript"/>
              </w:rPr>
              <w:t>-</w:t>
            </w:r>
            <w:r w:rsidR="008D2D3D" w:rsidRPr="00ED4B57">
              <w:rPr>
                <w:rFonts w:ascii="Times New Roman" w:hAnsi="Times New Roman" w:cs="Times New Roman"/>
                <w:b/>
                <w:spacing w:val="-5"/>
                <w:sz w:val="20"/>
                <w:szCs w:val="20"/>
                <w:vertAlign w:val="superscript"/>
              </w:rPr>
              <w:t>1</w:t>
            </w:r>
            <w:r w:rsidR="008D2D3D">
              <w:rPr>
                <w:rFonts w:ascii="Times New Roman" w:hAnsi="Times New Roman" w:cs="Times New Roman"/>
                <w:b/>
                <w:spacing w:val="-5"/>
                <w:sz w:val="20"/>
                <w:szCs w:val="20"/>
              </w:rPr>
              <w:t>)</w:t>
            </w:r>
          </w:p>
        </w:tc>
        <w:tc>
          <w:tcPr>
            <w:tcW w:w="2330" w:type="dxa"/>
            <w:gridSpan w:val="3"/>
          </w:tcPr>
          <w:p w:rsidR="00842376" w:rsidRPr="00E1098B" w:rsidRDefault="00842376" w:rsidP="00842376">
            <w:pPr>
              <w:pStyle w:val="TableParagraph"/>
              <w:spacing w:before="114"/>
              <w:ind w:left="118"/>
              <w:rPr>
                <w:rFonts w:ascii="Times New Roman" w:hAnsi="Times New Roman" w:cs="Times New Roman"/>
                <w:b/>
                <w:sz w:val="20"/>
                <w:szCs w:val="20"/>
              </w:rPr>
            </w:pPr>
            <w:r w:rsidRPr="00E1098B">
              <w:rPr>
                <w:rFonts w:ascii="Times New Roman" w:hAnsi="Times New Roman" w:cs="Times New Roman"/>
                <w:b/>
                <w:sz w:val="20"/>
                <w:szCs w:val="20"/>
              </w:rPr>
              <w:t>K</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kg</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ha</w:t>
            </w:r>
            <w:r w:rsidR="008D2D3D" w:rsidRPr="00ED4B57">
              <w:rPr>
                <w:rFonts w:ascii="Times New Roman" w:hAnsi="Times New Roman" w:cs="Times New Roman"/>
                <w:b/>
                <w:sz w:val="20"/>
                <w:szCs w:val="20"/>
                <w:vertAlign w:val="superscript"/>
              </w:rPr>
              <w:t>-</w:t>
            </w:r>
            <w:r w:rsidR="008D2D3D" w:rsidRPr="00ED4B57">
              <w:rPr>
                <w:rFonts w:ascii="Times New Roman" w:hAnsi="Times New Roman" w:cs="Times New Roman"/>
                <w:b/>
                <w:spacing w:val="-5"/>
                <w:sz w:val="20"/>
                <w:szCs w:val="20"/>
                <w:vertAlign w:val="superscript"/>
              </w:rPr>
              <w:t>1</w:t>
            </w:r>
            <w:r w:rsidR="008D2D3D">
              <w:rPr>
                <w:rFonts w:ascii="Times New Roman" w:hAnsi="Times New Roman" w:cs="Times New Roman"/>
                <w:b/>
                <w:spacing w:val="-5"/>
                <w:sz w:val="20"/>
                <w:szCs w:val="20"/>
              </w:rPr>
              <w:t>)</w:t>
            </w:r>
          </w:p>
        </w:tc>
        <w:tc>
          <w:tcPr>
            <w:tcW w:w="2109" w:type="dxa"/>
            <w:gridSpan w:val="3"/>
          </w:tcPr>
          <w:p w:rsidR="00842376" w:rsidRPr="00E1098B" w:rsidRDefault="00842376" w:rsidP="00842376">
            <w:pPr>
              <w:pStyle w:val="TableParagraph"/>
              <w:spacing w:before="114"/>
              <w:ind w:left="118"/>
              <w:rPr>
                <w:rFonts w:ascii="Times New Roman" w:hAnsi="Times New Roman" w:cs="Times New Roman"/>
                <w:b/>
                <w:sz w:val="20"/>
                <w:szCs w:val="20"/>
              </w:rPr>
            </w:pPr>
            <w:r w:rsidRPr="00E1098B">
              <w:rPr>
                <w:rFonts w:ascii="Times New Roman" w:hAnsi="Times New Roman" w:cs="Times New Roman"/>
                <w:b/>
                <w:sz w:val="20"/>
                <w:szCs w:val="20"/>
              </w:rPr>
              <w:t>S</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kg</w:t>
            </w:r>
            <w:r w:rsidR="008D2D3D">
              <w:rPr>
                <w:rFonts w:ascii="Times New Roman" w:hAnsi="Times New Roman" w:cs="Times New Roman"/>
                <w:b/>
                <w:sz w:val="20"/>
                <w:szCs w:val="20"/>
              </w:rPr>
              <w:t xml:space="preserve"> </w:t>
            </w:r>
            <w:r w:rsidR="008D2D3D" w:rsidRPr="00ED4B57">
              <w:rPr>
                <w:rFonts w:ascii="Times New Roman" w:hAnsi="Times New Roman" w:cs="Times New Roman"/>
                <w:b/>
                <w:sz w:val="20"/>
                <w:szCs w:val="20"/>
              </w:rPr>
              <w:t>ha</w:t>
            </w:r>
            <w:r w:rsidR="008D2D3D" w:rsidRPr="00ED4B57">
              <w:rPr>
                <w:rFonts w:ascii="Times New Roman" w:hAnsi="Times New Roman" w:cs="Times New Roman"/>
                <w:b/>
                <w:sz w:val="20"/>
                <w:szCs w:val="20"/>
                <w:vertAlign w:val="superscript"/>
              </w:rPr>
              <w:t>-</w:t>
            </w:r>
            <w:r w:rsidR="008D2D3D" w:rsidRPr="00ED4B57">
              <w:rPr>
                <w:rFonts w:ascii="Times New Roman" w:hAnsi="Times New Roman" w:cs="Times New Roman"/>
                <w:b/>
                <w:spacing w:val="-5"/>
                <w:sz w:val="20"/>
                <w:szCs w:val="20"/>
                <w:vertAlign w:val="superscript"/>
              </w:rPr>
              <w:t>1</w:t>
            </w:r>
            <w:r w:rsidR="008D2D3D">
              <w:rPr>
                <w:rFonts w:ascii="Times New Roman" w:hAnsi="Times New Roman" w:cs="Times New Roman"/>
                <w:b/>
                <w:spacing w:val="-5"/>
                <w:sz w:val="20"/>
                <w:szCs w:val="20"/>
              </w:rPr>
              <w:t>)</w:t>
            </w:r>
          </w:p>
        </w:tc>
      </w:tr>
      <w:tr w:rsidR="00CB26B2" w:rsidRPr="00E1098B" w:rsidTr="00CB26B2">
        <w:trPr>
          <w:trHeight w:val="691"/>
        </w:trPr>
        <w:tc>
          <w:tcPr>
            <w:tcW w:w="2075" w:type="dxa"/>
            <w:gridSpan w:val="2"/>
            <w:vMerge/>
            <w:tcBorders>
              <w:top w:val="nil"/>
            </w:tcBorders>
          </w:tcPr>
          <w:p w:rsidR="00842376" w:rsidRPr="00E1098B" w:rsidRDefault="00842376" w:rsidP="00842376">
            <w:pPr>
              <w:rPr>
                <w:rFonts w:ascii="Times New Roman" w:hAnsi="Times New Roman" w:cs="Times New Roman"/>
                <w:sz w:val="20"/>
                <w:szCs w:val="20"/>
              </w:rPr>
            </w:pPr>
          </w:p>
        </w:tc>
        <w:tc>
          <w:tcPr>
            <w:tcW w:w="715" w:type="dxa"/>
          </w:tcPr>
          <w:p w:rsidR="00842376" w:rsidRPr="00E1098B" w:rsidRDefault="00842376" w:rsidP="00842376">
            <w:pPr>
              <w:pStyle w:val="TableParagraph"/>
              <w:spacing w:before="28"/>
              <w:ind w:left="259"/>
              <w:jc w:val="left"/>
              <w:rPr>
                <w:rFonts w:ascii="Times New Roman" w:hAnsi="Times New Roman" w:cs="Times New Roman"/>
                <w:b/>
                <w:sz w:val="20"/>
                <w:szCs w:val="20"/>
              </w:rPr>
            </w:pPr>
            <w:r w:rsidRPr="00E1098B">
              <w:rPr>
                <w:rFonts w:ascii="Times New Roman" w:hAnsi="Times New Roman" w:cs="Times New Roman"/>
                <w:b/>
                <w:spacing w:val="-2"/>
                <w:sz w:val="20"/>
                <w:szCs w:val="20"/>
              </w:rPr>
              <w:t>0-</w:t>
            </w:r>
            <w:r w:rsidRPr="00E1098B">
              <w:rPr>
                <w:rFonts w:ascii="Times New Roman" w:hAnsi="Times New Roman" w:cs="Times New Roman"/>
                <w:b/>
                <w:spacing w:val="-5"/>
                <w:sz w:val="20"/>
                <w:szCs w:val="20"/>
              </w:rPr>
              <w:t>15</w:t>
            </w:r>
          </w:p>
          <w:p w:rsidR="00842376" w:rsidRPr="00E1098B" w:rsidRDefault="00842376" w:rsidP="00842376">
            <w:pPr>
              <w:pStyle w:val="TableParagraph"/>
              <w:spacing w:before="0"/>
              <w:ind w:left="316"/>
              <w:jc w:val="left"/>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810" w:type="dxa"/>
          </w:tcPr>
          <w:p w:rsidR="00842376" w:rsidRPr="00E1098B" w:rsidRDefault="00842376" w:rsidP="00842376">
            <w:pPr>
              <w:pStyle w:val="TableParagraph"/>
              <w:spacing w:before="28"/>
              <w:ind w:right="9"/>
              <w:rPr>
                <w:rFonts w:ascii="Times New Roman" w:hAnsi="Times New Roman" w:cs="Times New Roman"/>
                <w:b/>
                <w:sz w:val="20"/>
                <w:szCs w:val="20"/>
              </w:rPr>
            </w:pPr>
            <w:r w:rsidRPr="00E1098B">
              <w:rPr>
                <w:rFonts w:ascii="Times New Roman" w:hAnsi="Times New Roman" w:cs="Times New Roman"/>
                <w:b/>
                <w:spacing w:val="-2"/>
                <w:sz w:val="20"/>
                <w:szCs w:val="20"/>
              </w:rPr>
              <w:t>15-</w:t>
            </w:r>
            <w:r w:rsidRPr="00E1098B">
              <w:rPr>
                <w:rFonts w:ascii="Times New Roman" w:hAnsi="Times New Roman" w:cs="Times New Roman"/>
                <w:b/>
                <w:spacing w:val="-7"/>
                <w:sz w:val="20"/>
                <w:szCs w:val="20"/>
              </w:rPr>
              <w:t>30</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720" w:type="dxa"/>
          </w:tcPr>
          <w:p w:rsidR="00842376" w:rsidRPr="00E1098B" w:rsidRDefault="00842376" w:rsidP="00842376">
            <w:pPr>
              <w:pStyle w:val="TableParagraph"/>
              <w:spacing w:before="28"/>
              <w:ind w:right="10"/>
              <w:rPr>
                <w:rFonts w:ascii="Times New Roman" w:hAnsi="Times New Roman" w:cs="Times New Roman"/>
                <w:b/>
                <w:sz w:val="20"/>
                <w:szCs w:val="20"/>
              </w:rPr>
            </w:pPr>
            <w:r w:rsidRPr="00E1098B">
              <w:rPr>
                <w:rFonts w:ascii="Times New Roman" w:hAnsi="Times New Roman" w:cs="Times New Roman"/>
                <w:b/>
                <w:spacing w:val="-2"/>
                <w:sz w:val="20"/>
                <w:szCs w:val="20"/>
              </w:rPr>
              <w:t>30-</w:t>
            </w:r>
            <w:r w:rsidRPr="00E1098B">
              <w:rPr>
                <w:rFonts w:ascii="Times New Roman" w:hAnsi="Times New Roman" w:cs="Times New Roman"/>
                <w:b/>
                <w:spacing w:val="-7"/>
                <w:sz w:val="20"/>
                <w:szCs w:val="20"/>
              </w:rPr>
              <w:t>45</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630" w:type="dxa"/>
          </w:tcPr>
          <w:p w:rsidR="00842376" w:rsidRPr="00E1098B" w:rsidRDefault="00842376" w:rsidP="00842376">
            <w:pPr>
              <w:pStyle w:val="TableParagraph"/>
              <w:spacing w:before="28"/>
              <w:ind w:left="259"/>
              <w:jc w:val="left"/>
              <w:rPr>
                <w:rFonts w:ascii="Times New Roman" w:hAnsi="Times New Roman" w:cs="Times New Roman"/>
                <w:b/>
                <w:sz w:val="20"/>
                <w:szCs w:val="20"/>
              </w:rPr>
            </w:pPr>
            <w:r w:rsidRPr="00E1098B">
              <w:rPr>
                <w:rFonts w:ascii="Times New Roman" w:hAnsi="Times New Roman" w:cs="Times New Roman"/>
                <w:b/>
                <w:spacing w:val="-2"/>
                <w:sz w:val="20"/>
                <w:szCs w:val="20"/>
              </w:rPr>
              <w:t>0-</w:t>
            </w:r>
            <w:r w:rsidRPr="00E1098B">
              <w:rPr>
                <w:rFonts w:ascii="Times New Roman" w:hAnsi="Times New Roman" w:cs="Times New Roman"/>
                <w:b/>
                <w:spacing w:val="-5"/>
                <w:sz w:val="20"/>
                <w:szCs w:val="20"/>
              </w:rPr>
              <w:t>15</w:t>
            </w:r>
          </w:p>
          <w:p w:rsidR="00842376" w:rsidRPr="00E1098B" w:rsidRDefault="00842376" w:rsidP="00842376">
            <w:pPr>
              <w:pStyle w:val="TableParagraph"/>
              <w:spacing w:before="0"/>
              <w:ind w:left="316"/>
              <w:jc w:val="left"/>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719" w:type="dxa"/>
          </w:tcPr>
          <w:p w:rsidR="00842376" w:rsidRPr="00E1098B" w:rsidRDefault="00842376" w:rsidP="00842376">
            <w:pPr>
              <w:pStyle w:val="TableParagraph"/>
              <w:spacing w:before="28"/>
              <w:ind w:right="9"/>
              <w:rPr>
                <w:rFonts w:ascii="Times New Roman" w:hAnsi="Times New Roman" w:cs="Times New Roman"/>
                <w:b/>
                <w:sz w:val="20"/>
                <w:szCs w:val="20"/>
              </w:rPr>
            </w:pPr>
            <w:r w:rsidRPr="00E1098B">
              <w:rPr>
                <w:rFonts w:ascii="Times New Roman" w:hAnsi="Times New Roman" w:cs="Times New Roman"/>
                <w:b/>
                <w:spacing w:val="-2"/>
                <w:sz w:val="20"/>
                <w:szCs w:val="20"/>
              </w:rPr>
              <w:t>15-</w:t>
            </w:r>
            <w:r w:rsidRPr="00E1098B">
              <w:rPr>
                <w:rFonts w:ascii="Times New Roman" w:hAnsi="Times New Roman" w:cs="Times New Roman"/>
                <w:b/>
                <w:spacing w:val="-7"/>
                <w:sz w:val="20"/>
                <w:szCs w:val="20"/>
              </w:rPr>
              <w:t>30</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631" w:type="dxa"/>
          </w:tcPr>
          <w:p w:rsidR="00842376" w:rsidRPr="00E1098B" w:rsidRDefault="00842376" w:rsidP="00842376">
            <w:pPr>
              <w:pStyle w:val="TableParagraph"/>
              <w:spacing w:before="28"/>
              <w:ind w:right="10"/>
              <w:rPr>
                <w:rFonts w:ascii="Times New Roman" w:hAnsi="Times New Roman" w:cs="Times New Roman"/>
                <w:b/>
                <w:sz w:val="20"/>
                <w:szCs w:val="20"/>
              </w:rPr>
            </w:pPr>
            <w:r w:rsidRPr="00E1098B">
              <w:rPr>
                <w:rFonts w:ascii="Times New Roman" w:hAnsi="Times New Roman" w:cs="Times New Roman"/>
                <w:b/>
                <w:spacing w:val="-2"/>
                <w:sz w:val="20"/>
                <w:szCs w:val="20"/>
              </w:rPr>
              <w:t>30-</w:t>
            </w:r>
            <w:r w:rsidRPr="00E1098B">
              <w:rPr>
                <w:rFonts w:ascii="Times New Roman" w:hAnsi="Times New Roman" w:cs="Times New Roman"/>
                <w:b/>
                <w:spacing w:val="-7"/>
                <w:sz w:val="20"/>
                <w:szCs w:val="20"/>
              </w:rPr>
              <w:t>45</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800" w:type="dxa"/>
          </w:tcPr>
          <w:p w:rsidR="00842376" w:rsidRPr="00E1098B" w:rsidRDefault="00842376" w:rsidP="00842376">
            <w:pPr>
              <w:pStyle w:val="TableParagraph"/>
              <w:spacing w:before="28"/>
              <w:ind w:left="259"/>
              <w:jc w:val="left"/>
              <w:rPr>
                <w:rFonts w:ascii="Times New Roman" w:hAnsi="Times New Roman" w:cs="Times New Roman"/>
                <w:b/>
                <w:sz w:val="20"/>
                <w:szCs w:val="20"/>
              </w:rPr>
            </w:pPr>
            <w:r w:rsidRPr="00E1098B">
              <w:rPr>
                <w:rFonts w:ascii="Times New Roman" w:hAnsi="Times New Roman" w:cs="Times New Roman"/>
                <w:b/>
                <w:spacing w:val="-2"/>
                <w:sz w:val="20"/>
                <w:szCs w:val="20"/>
              </w:rPr>
              <w:t>0-</w:t>
            </w:r>
            <w:r w:rsidRPr="00E1098B">
              <w:rPr>
                <w:rFonts w:ascii="Times New Roman" w:hAnsi="Times New Roman" w:cs="Times New Roman"/>
                <w:b/>
                <w:spacing w:val="-5"/>
                <w:sz w:val="20"/>
                <w:szCs w:val="20"/>
              </w:rPr>
              <w:t>15</w:t>
            </w:r>
          </w:p>
          <w:p w:rsidR="00842376" w:rsidRPr="00E1098B" w:rsidRDefault="00842376" w:rsidP="00842376">
            <w:pPr>
              <w:pStyle w:val="TableParagraph"/>
              <w:spacing w:before="0"/>
              <w:ind w:left="316"/>
              <w:jc w:val="left"/>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720" w:type="dxa"/>
          </w:tcPr>
          <w:p w:rsidR="00842376" w:rsidRPr="00E1098B" w:rsidRDefault="00842376" w:rsidP="00842376">
            <w:pPr>
              <w:pStyle w:val="TableParagraph"/>
              <w:spacing w:before="28"/>
              <w:ind w:right="9"/>
              <w:rPr>
                <w:rFonts w:ascii="Times New Roman" w:hAnsi="Times New Roman" w:cs="Times New Roman"/>
                <w:b/>
                <w:sz w:val="20"/>
                <w:szCs w:val="20"/>
              </w:rPr>
            </w:pPr>
            <w:r w:rsidRPr="00E1098B">
              <w:rPr>
                <w:rFonts w:ascii="Times New Roman" w:hAnsi="Times New Roman" w:cs="Times New Roman"/>
                <w:b/>
                <w:spacing w:val="-2"/>
                <w:sz w:val="20"/>
                <w:szCs w:val="20"/>
              </w:rPr>
              <w:t>15-</w:t>
            </w:r>
            <w:r w:rsidRPr="00E1098B">
              <w:rPr>
                <w:rFonts w:ascii="Times New Roman" w:hAnsi="Times New Roman" w:cs="Times New Roman"/>
                <w:b/>
                <w:spacing w:val="-7"/>
                <w:sz w:val="20"/>
                <w:szCs w:val="20"/>
              </w:rPr>
              <w:t>30</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810" w:type="dxa"/>
          </w:tcPr>
          <w:p w:rsidR="00842376" w:rsidRPr="00E1098B" w:rsidRDefault="00842376" w:rsidP="00842376">
            <w:pPr>
              <w:pStyle w:val="TableParagraph"/>
              <w:spacing w:before="28"/>
              <w:ind w:right="10"/>
              <w:rPr>
                <w:rFonts w:ascii="Times New Roman" w:hAnsi="Times New Roman" w:cs="Times New Roman"/>
                <w:b/>
                <w:sz w:val="20"/>
                <w:szCs w:val="20"/>
              </w:rPr>
            </w:pPr>
            <w:r w:rsidRPr="00E1098B">
              <w:rPr>
                <w:rFonts w:ascii="Times New Roman" w:hAnsi="Times New Roman" w:cs="Times New Roman"/>
                <w:b/>
                <w:spacing w:val="-2"/>
                <w:sz w:val="20"/>
                <w:szCs w:val="20"/>
              </w:rPr>
              <w:t>30-</w:t>
            </w:r>
            <w:r w:rsidRPr="00E1098B">
              <w:rPr>
                <w:rFonts w:ascii="Times New Roman" w:hAnsi="Times New Roman" w:cs="Times New Roman"/>
                <w:b/>
                <w:spacing w:val="-7"/>
                <w:sz w:val="20"/>
                <w:szCs w:val="20"/>
              </w:rPr>
              <w:t>45</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720" w:type="dxa"/>
          </w:tcPr>
          <w:p w:rsidR="00842376" w:rsidRPr="00E1098B" w:rsidRDefault="00842376" w:rsidP="00842376">
            <w:pPr>
              <w:pStyle w:val="TableParagraph"/>
              <w:spacing w:before="28"/>
              <w:ind w:left="259"/>
              <w:jc w:val="left"/>
              <w:rPr>
                <w:rFonts w:ascii="Times New Roman" w:hAnsi="Times New Roman" w:cs="Times New Roman"/>
                <w:b/>
                <w:sz w:val="20"/>
                <w:szCs w:val="20"/>
              </w:rPr>
            </w:pPr>
            <w:r w:rsidRPr="00E1098B">
              <w:rPr>
                <w:rFonts w:ascii="Times New Roman" w:hAnsi="Times New Roman" w:cs="Times New Roman"/>
                <w:b/>
                <w:spacing w:val="-2"/>
                <w:sz w:val="20"/>
                <w:szCs w:val="20"/>
              </w:rPr>
              <w:t>0-</w:t>
            </w:r>
            <w:r w:rsidRPr="00E1098B">
              <w:rPr>
                <w:rFonts w:ascii="Times New Roman" w:hAnsi="Times New Roman" w:cs="Times New Roman"/>
                <w:b/>
                <w:spacing w:val="-5"/>
                <w:sz w:val="20"/>
                <w:szCs w:val="20"/>
              </w:rPr>
              <w:t>15</w:t>
            </w:r>
          </w:p>
          <w:p w:rsidR="00842376" w:rsidRPr="00E1098B" w:rsidRDefault="00842376" w:rsidP="00842376">
            <w:pPr>
              <w:pStyle w:val="TableParagraph"/>
              <w:spacing w:before="0"/>
              <w:ind w:left="316"/>
              <w:jc w:val="left"/>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720" w:type="dxa"/>
          </w:tcPr>
          <w:p w:rsidR="00842376" w:rsidRPr="00E1098B" w:rsidRDefault="00842376" w:rsidP="00842376">
            <w:pPr>
              <w:pStyle w:val="TableParagraph"/>
              <w:spacing w:before="28"/>
              <w:ind w:right="9"/>
              <w:rPr>
                <w:rFonts w:ascii="Times New Roman" w:hAnsi="Times New Roman" w:cs="Times New Roman"/>
                <w:b/>
                <w:sz w:val="20"/>
                <w:szCs w:val="20"/>
              </w:rPr>
            </w:pPr>
            <w:r w:rsidRPr="00E1098B">
              <w:rPr>
                <w:rFonts w:ascii="Times New Roman" w:hAnsi="Times New Roman" w:cs="Times New Roman"/>
                <w:b/>
                <w:spacing w:val="-2"/>
                <w:sz w:val="20"/>
                <w:szCs w:val="20"/>
              </w:rPr>
              <w:t>15-</w:t>
            </w:r>
            <w:r w:rsidRPr="00E1098B">
              <w:rPr>
                <w:rFonts w:ascii="Times New Roman" w:hAnsi="Times New Roman" w:cs="Times New Roman"/>
                <w:b/>
                <w:spacing w:val="-7"/>
                <w:sz w:val="20"/>
                <w:szCs w:val="20"/>
              </w:rPr>
              <w:t>30</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c>
          <w:tcPr>
            <w:tcW w:w="669" w:type="dxa"/>
          </w:tcPr>
          <w:p w:rsidR="00842376" w:rsidRPr="00E1098B" w:rsidRDefault="00842376" w:rsidP="00842376">
            <w:pPr>
              <w:pStyle w:val="TableParagraph"/>
              <w:spacing w:before="28"/>
              <w:ind w:right="10"/>
              <w:rPr>
                <w:rFonts w:ascii="Times New Roman" w:hAnsi="Times New Roman" w:cs="Times New Roman"/>
                <w:b/>
                <w:sz w:val="20"/>
                <w:szCs w:val="20"/>
              </w:rPr>
            </w:pPr>
            <w:r w:rsidRPr="00E1098B">
              <w:rPr>
                <w:rFonts w:ascii="Times New Roman" w:hAnsi="Times New Roman" w:cs="Times New Roman"/>
                <w:b/>
                <w:spacing w:val="-2"/>
                <w:sz w:val="20"/>
                <w:szCs w:val="20"/>
              </w:rPr>
              <w:t>30-</w:t>
            </w:r>
            <w:r w:rsidRPr="00E1098B">
              <w:rPr>
                <w:rFonts w:ascii="Times New Roman" w:hAnsi="Times New Roman" w:cs="Times New Roman"/>
                <w:b/>
                <w:spacing w:val="-7"/>
                <w:sz w:val="20"/>
                <w:szCs w:val="20"/>
              </w:rPr>
              <w:t>45</w:t>
            </w:r>
          </w:p>
          <w:p w:rsidR="00842376" w:rsidRPr="00E1098B" w:rsidRDefault="00842376" w:rsidP="00842376">
            <w:pPr>
              <w:pStyle w:val="TableParagraph"/>
              <w:spacing w:before="0"/>
              <w:ind w:left="18" w:right="3"/>
              <w:rPr>
                <w:rFonts w:ascii="Times New Roman" w:hAnsi="Times New Roman" w:cs="Times New Roman"/>
                <w:b/>
                <w:sz w:val="20"/>
                <w:szCs w:val="20"/>
              </w:rPr>
            </w:pPr>
            <w:r w:rsidRPr="00E1098B">
              <w:rPr>
                <w:rFonts w:ascii="Times New Roman" w:hAnsi="Times New Roman" w:cs="Times New Roman"/>
                <w:b/>
                <w:spacing w:val="-5"/>
                <w:sz w:val="20"/>
                <w:szCs w:val="20"/>
              </w:rPr>
              <w:t>cm</w:t>
            </w:r>
          </w:p>
        </w:tc>
      </w:tr>
      <w:tr w:rsidR="008D2D3D" w:rsidRPr="00E1098B" w:rsidTr="00CB26B2">
        <w:trPr>
          <w:trHeight w:val="476"/>
        </w:trPr>
        <w:tc>
          <w:tcPr>
            <w:tcW w:w="360" w:type="dxa"/>
          </w:tcPr>
          <w:p w:rsidR="008D2D3D" w:rsidRPr="00E1098B" w:rsidRDefault="008D2D3D" w:rsidP="008D2D3D">
            <w:pPr>
              <w:pStyle w:val="TableParagraph"/>
              <w:spacing w:before="111"/>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1</w:t>
            </w:r>
          </w:p>
          <w:p w:rsidR="008D2D3D" w:rsidRPr="00E1098B" w:rsidRDefault="008D2D3D" w:rsidP="008D2D3D">
            <w:pPr>
              <w:rPr>
                <w:rFonts w:ascii="Times New Roman" w:hAnsi="Times New Roman" w:cs="Times New Roman"/>
                <w:sz w:val="20"/>
                <w:szCs w:val="20"/>
              </w:rPr>
            </w:pPr>
          </w:p>
        </w:tc>
        <w:tc>
          <w:tcPr>
            <w:tcW w:w="1715" w:type="dxa"/>
          </w:tcPr>
          <w:p w:rsidR="008D2D3D" w:rsidRPr="00ED4B57" w:rsidRDefault="008D2D3D" w:rsidP="008D2D3D">
            <w:pPr>
              <w:spacing w:before="114"/>
              <w:ind w:left="105"/>
              <w:rPr>
                <w:rFonts w:ascii="Times New Roman" w:eastAsia="Arial" w:hAnsi="Times New Roman" w:cs="Times New Roman"/>
                <w:b/>
                <w:sz w:val="20"/>
                <w:szCs w:val="20"/>
              </w:rPr>
            </w:pPr>
            <w:r w:rsidRPr="00ED4B57">
              <w:rPr>
                <w:rFonts w:ascii="Times New Roman" w:eastAsia="Arial" w:hAnsi="Times New Roman" w:cs="Times New Roman"/>
                <w:b/>
                <w:spacing w:val="-2"/>
                <w:sz w:val="20"/>
                <w:szCs w:val="20"/>
              </w:rPr>
              <w:t>Control</w:t>
            </w:r>
          </w:p>
        </w:tc>
        <w:tc>
          <w:tcPr>
            <w:tcW w:w="715" w:type="dxa"/>
          </w:tcPr>
          <w:p w:rsidR="008D2D3D" w:rsidRPr="00E1098B" w:rsidRDefault="008D2D3D" w:rsidP="008D2D3D">
            <w:pPr>
              <w:pStyle w:val="TableParagraph"/>
              <w:spacing w:before="217"/>
              <w:ind w:right="99"/>
              <w:rPr>
                <w:rFonts w:ascii="Times New Roman" w:hAnsi="Times New Roman" w:cs="Times New Roman"/>
                <w:sz w:val="20"/>
                <w:szCs w:val="20"/>
              </w:rPr>
            </w:pPr>
            <w:r w:rsidRPr="00E1098B">
              <w:rPr>
                <w:rFonts w:ascii="Times New Roman" w:hAnsi="Times New Roman" w:cs="Times New Roman"/>
                <w:sz w:val="20"/>
                <w:szCs w:val="20"/>
              </w:rPr>
              <w:t>159.52</w:t>
            </w:r>
          </w:p>
        </w:tc>
        <w:tc>
          <w:tcPr>
            <w:tcW w:w="810" w:type="dxa"/>
          </w:tcPr>
          <w:p w:rsidR="008D2D3D" w:rsidRPr="00E1098B" w:rsidRDefault="008D2D3D" w:rsidP="008D2D3D">
            <w:pPr>
              <w:pStyle w:val="TableParagraph"/>
              <w:spacing w:before="217"/>
              <w:ind w:right="98"/>
              <w:rPr>
                <w:rFonts w:ascii="Times New Roman" w:hAnsi="Times New Roman" w:cs="Times New Roman"/>
                <w:sz w:val="20"/>
                <w:szCs w:val="20"/>
              </w:rPr>
            </w:pPr>
            <w:r w:rsidRPr="00E1098B">
              <w:rPr>
                <w:rFonts w:ascii="Times New Roman" w:hAnsi="Times New Roman" w:cs="Times New Roman"/>
                <w:sz w:val="20"/>
                <w:szCs w:val="20"/>
              </w:rPr>
              <w:t>156.23</w:t>
            </w:r>
          </w:p>
        </w:tc>
        <w:tc>
          <w:tcPr>
            <w:tcW w:w="720" w:type="dxa"/>
          </w:tcPr>
          <w:p w:rsidR="008D2D3D" w:rsidRPr="00E1098B" w:rsidRDefault="008D2D3D" w:rsidP="008D2D3D">
            <w:pPr>
              <w:pStyle w:val="TableParagraph"/>
              <w:spacing w:before="217"/>
              <w:ind w:right="155"/>
              <w:rPr>
                <w:rFonts w:ascii="Times New Roman" w:hAnsi="Times New Roman" w:cs="Times New Roman"/>
                <w:sz w:val="20"/>
                <w:szCs w:val="20"/>
              </w:rPr>
            </w:pPr>
            <w:r w:rsidRPr="00E1098B">
              <w:rPr>
                <w:rFonts w:ascii="Times New Roman" w:hAnsi="Times New Roman" w:cs="Times New Roman"/>
                <w:sz w:val="20"/>
                <w:szCs w:val="20"/>
              </w:rPr>
              <w:t>152.99</w:t>
            </w:r>
          </w:p>
        </w:tc>
        <w:tc>
          <w:tcPr>
            <w:tcW w:w="630" w:type="dxa"/>
          </w:tcPr>
          <w:p w:rsidR="008D2D3D" w:rsidRPr="00E1098B" w:rsidRDefault="008D2D3D" w:rsidP="008D2D3D">
            <w:pPr>
              <w:pStyle w:val="TableParagraph"/>
              <w:spacing w:before="211"/>
              <w:ind w:left="84" w:right="79"/>
              <w:rPr>
                <w:rFonts w:ascii="Times New Roman" w:hAnsi="Times New Roman" w:cs="Times New Roman"/>
                <w:sz w:val="20"/>
                <w:szCs w:val="20"/>
              </w:rPr>
            </w:pPr>
            <w:r w:rsidRPr="00E1098B">
              <w:rPr>
                <w:rFonts w:ascii="Times New Roman" w:hAnsi="Times New Roman" w:cs="Times New Roman"/>
                <w:sz w:val="20"/>
                <w:szCs w:val="20"/>
              </w:rPr>
              <w:t>9.64</w:t>
            </w:r>
          </w:p>
        </w:tc>
        <w:tc>
          <w:tcPr>
            <w:tcW w:w="719" w:type="dxa"/>
          </w:tcPr>
          <w:p w:rsidR="008D2D3D" w:rsidRPr="00E1098B" w:rsidRDefault="008D2D3D" w:rsidP="008D2D3D">
            <w:pPr>
              <w:pStyle w:val="TableParagraph"/>
              <w:spacing w:before="211"/>
              <w:ind w:left="238"/>
              <w:rPr>
                <w:rFonts w:ascii="Times New Roman" w:hAnsi="Times New Roman" w:cs="Times New Roman"/>
                <w:sz w:val="20"/>
                <w:szCs w:val="20"/>
              </w:rPr>
            </w:pPr>
            <w:r w:rsidRPr="00E1098B">
              <w:rPr>
                <w:rFonts w:ascii="Times New Roman" w:hAnsi="Times New Roman" w:cs="Times New Roman"/>
                <w:sz w:val="20"/>
                <w:szCs w:val="20"/>
              </w:rPr>
              <w:t>7.94</w:t>
            </w:r>
          </w:p>
        </w:tc>
        <w:tc>
          <w:tcPr>
            <w:tcW w:w="631" w:type="dxa"/>
          </w:tcPr>
          <w:p w:rsidR="008D2D3D" w:rsidRPr="00E1098B" w:rsidRDefault="008D2D3D" w:rsidP="008D2D3D">
            <w:pPr>
              <w:pStyle w:val="TableParagraph"/>
              <w:spacing w:before="211"/>
              <w:ind w:left="83" w:right="76"/>
              <w:rPr>
                <w:rFonts w:ascii="Times New Roman" w:hAnsi="Times New Roman" w:cs="Times New Roman"/>
                <w:sz w:val="20"/>
                <w:szCs w:val="20"/>
              </w:rPr>
            </w:pPr>
            <w:r w:rsidRPr="00E1098B">
              <w:rPr>
                <w:rFonts w:ascii="Times New Roman" w:hAnsi="Times New Roman" w:cs="Times New Roman"/>
                <w:sz w:val="20"/>
                <w:szCs w:val="20"/>
              </w:rPr>
              <w:t>6.02</w:t>
            </w:r>
          </w:p>
        </w:tc>
        <w:tc>
          <w:tcPr>
            <w:tcW w:w="800" w:type="dxa"/>
          </w:tcPr>
          <w:p w:rsidR="008D2D3D" w:rsidRPr="00E1098B" w:rsidRDefault="008D2D3D" w:rsidP="008D2D3D">
            <w:pPr>
              <w:pStyle w:val="TableParagraph"/>
              <w:spacing w:before="190"/>
              <w:ind w:left="95" w:right="84"/>
              <w:rPr>
                <w:rFonts w:ascii="Times New Roman" w:hAnsi="Times New Roman" w:cs="Times New Roman"/>
                <w:sz w:val="20"/>
                <w:szCs w:val="20"/>
              </w:rPr>
            </w:pPr>
            <w:r w:rsidRPr="00E1098B">
              <w:rPr>
                <w:rFonts w:ascii="Times New Roman" w:hAnsi="Times New Roman" w:cs="Times New Roman"/>
                <w:sz w:val="20"/>
                <w:szCs w:val="20"/>
              </w:rPr>
              <w:t>229.27</w:t>
            </w:r>
          </w:p>
        </w:tc>
        <w:tc>
          <w:tcPr>
            <w:tcW w:w="720" w:type="dxa"/>
          </w:tcPr>
          <w:p w:rsidR="008D2D3D" w:rsidRPr="00E1098B" w:rsidRDefault="008D2D3D" w:rsidP="008D2D3D">
            <w:pPr>
              <w:pStyle w:val="TableParagraph"/>
              <w:spacing w:before="190"/>
              <w:ind w:left="80" w:right="70"/>
              <w:rPr>
                <w:rFonts w:ascii="Times New Roman" w:hAnsi="Times New Roman" w:cs="Times New Roman"/>
                <w:sz w:val="20"/>
                <w:szCs w:val="20"/>
              </w:rPr>
            </w:pPr>
            <w:r w:rsidRPr="00E1098B">
              <w:rPr>
                <w:rFonts w:ascii="Times New Roman" w:hAnsi="Times New Roman" w:cs="Times New Roman"/>
                <w:sz w:val="20"/>
                <w:szCs w:val="20"/>
              </w:rPr>
              <w:t>223.22</w:t>
            </w:r>
          </w:p>
        </w:tc>
        <w:tc>
          <w:tcPr>
            <w:tcW w:w="810" w:type="dxa"/>
          </w:tcPr>
          <w:p w:rsidR="008D2D3D" w:rsidRPr="00E1098B" w:rsidRDefault="008D2D3D" w:rsidP="008D2D3D">
            <w:pPr>
              <w:pStyle w:val="TableParagraph"/>
              <w:spacing w:before="190"/>
              <w:ind w:left="89" w:right="76"/>
              <w:rPr>
                <w:rFonts w:ascii="Times New Roman" w:hAnsi="Times New Roman" w:cs="Times New Roman"/>
                <w:sz w:val="20"/>
                <w:szCs w:val="20"/>
              </w:rPr>
            </w:pPr>
            <w:r w:rsidRPr="00E1098B">
              <w:rPr>
                <w:rFonts w:ascii="Times New Roman" w:hAnsi="Times New Roman" w:cs="Times New Roman"/>
                <w:sz w:val="20"/>
                <w:szCs w:val="20"/>
              </w:rPr>
              <w:t>214.12</w:t>
            </w:r>
          </w:p>
        </w:tc>
        <w:tc>
          <w:tcPr>
            <w:tcW w:w="720" w:type="dxa"/>
          </w:tcPr>
          <w:p w:rsidR="008D2D3D" w:rsidRPr="00E1098B" w:rsidRDefault="008D2D3D" w:rsidP="008D2D3D">
            <w:pPr>
              <w:pStyle w:val="TableParagraph"/>
              <w:spacing w:before="226"/>
              <w:ind w:left="86" w:right="79"/>
              <w:rPr>
                <w:rFonts w:ascii="Times New Roman" w:hAnsi="Times New Roman" w:cs="Times New Roman"/>
                <w:sz w:val="20"/>
                <w:szCs w:val="20"/>
              </w:rPr>
            </w:pPr>
            <w:r w:rsidRPr="00E1098B">
              <w:rPr>
                <w:rFonts w:ascii="Times New Roman" w:hAnsi="Times New Roman" w:cs="Times New Roman"/>
                <w:sz w:val="20"/>
                <w:szCs w:val="20"/>
              </w:rPr>
              <w:t>7.90</w:t>
            </w:r>
          </w:p>
        </w:tc>
        <w:tc>
          <w:tcPr>
            <w:tcW w:w="720" w:type="dxa"/>
          </w:tcPr>
          <w:p w:rsidR="008D2D3D" w:rsidRPr="00E1098B" w:rsidRDefault="008D2D3D" w:rsidP="008D2D3D">
            <w:pPr>
              <w:pStyle w:val="TableParagraph"/>
              <w:spacing w:before="226"/>
              <w:ind w:left="237"/>
              <w:rPr>
                <w:rFonts w:ascii="Times New Roman" w:hAnsi="Times New Roman" w:cs="Times New Roman"/>
                <w:sz w:val="20"/>
                <w:szCs w:val="20"/>
              </w:rPr>
            </w:pPr>
            <w:r w:rsidRPr="00E1098B">
              <w:rPr>
                <w:rFonts w:ascii="Times New Roman" w:hAnsi="Times New Roman" w:cs="Times New Roman"/>
                <w:sz w:val="20"/>
                <w:szCs w:val="20"/>
              </w:rPr>
              <w:t>6.43</w:t>
            </w:r>
          </w:p>
        </w:tc>
        <w:tc>
          <w:tcPr>
            <w:tcW w:w="669" w:type="dxa"/>
          </w:tcPr>
          <w:p w:rsidR="008D2D3D" w:rsidRPr="00E1098B" w:rsidRDefault="008D2D3D" w:rsidP="008D2D3D">
            <w:pPr>
              <w:pStyle w:val="TableParagraph"/>
              <w:spacing w:before="226"/>
              <w:ind w:left="87" w:right="88"/>
              <w:rPr>
                <w:rFonts w:ascii="Times New Roman" w:hAnsi="Times New Roman" w:cs="Times New Roman"/>
                <w:sz w:val="20"/>
                <w:szCs w:val="20"/>
              </w:rPr>
            </w:pPr>
            <w:r w:rsidRPr="00E1098B">
              <w:rPr>
                <w:rFonts w:ascii="Times New Roman" w:hAnsi="Times New Roman" w:cs="Times New Roman"/>
                <w:sz w:val="20"/>
                <w:szCs w:val="20"/>
              </w:rPr>
              <w:t>4.38</w:t>
            </w:r>
          </w:p>
        </w:tc>
      </w:tr>
      <w:tr w:rsidR="008D2D3D" w:rsidRPr="00E1098B" w:rsidTr="00CB26B2">
        <w:trPr>
          <w:trHeight w:val="625"/>
        </w:trPr>
        <w:tc>
          <w:tcPr>
            <w:tcW w:w="360" w:type="dxa"/>
          </w:tcPr>
          <w:p w:rsidR="008D2D3D" w:rsidRPr="00E1098B" w:rsidRDefault="008D2D3D" w:rsidP="008D2D3D">
            <w:pPr>
              <w:pStyle w:val="TableParagraph"/>
              <w:spacing w:before="39"/>
              <w:jc w:val="left"/>
              <w:rPr>
                <w:rFonts w:ascii="Times New Roman" w:hAnsi="Times New Roman" w:cs="Times New Roman"/>
                <w:b/>
                <w:sz w:val="20"/>
                <w:szCs w:val="20"/>
              </w:rPr>
            </w:pPr>
          </w:p>
          <w:p w:rsidR="008D2D3D" w:rsidRPr="00E1098B" w:rsidRDefault="008D2D3D" w:rsidP="008D2D3D">
            <w:pPr>
              <w:pStyle w:val="TableParagraph"/>
              <w:spacing w:before="0"/>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2</w:t>
            </w:r>
          </w:p>
        </w:tc>
        <w:tc>
          <w:tcPr>
            <w:tcW w:w="1715" w:type="dxa"/>
          </w:tcPr>
          <w:p w:rsidR="008D2D3D" w:rsidRPr="00ED4B57" w:rsidRDefault="008D2D3D" w:rsidP="008D2D3D">
            <w:pPr>
              <w:spacing w:before="71"/>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GRD</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(120N:80P</w:t>
            </w:r>
            <w:r w:rsidRPr="00ED4B57">
              <w:rPr>
                <w:rFonts w:ascii="Times New Roman" w:eastAsia="Arial" w:hAnsi="Times New Roman" w:cs="Times New Roman"/>
                <w:b/>
                <w:sz w:val="20"/>
                <w:szCs w:val="20"/>
                <w:vertAlign w:val="subscript"/>
              </w:rPr>
              <w:t>2</w:t>
            </w:r>
            <w:r w:rsidRPr="00ED4B57">
              <w:rPr>
                <w:rFonts w:ascii="Times New Roman" w:eastAsia="Arial" w:hAnsi="Times New Roman" w:cs="Times New Roman"/>
                <w:b/>
                <w:sz w:val="20"/>
                <w:szCs w:val="20"/>
              </w:rPr>
              <w:t>O</w:t>
            </w:r>
            <w:r w:rsidRPr="00ED4B57">
              <w:rPr>
                <w:rFonts w:ascii="Times New Roman" w:eastAsia="Arial" w:hAnsi="Times New Roman" w:cs="Times New Roman"/>
                <w:b/>
                <w:sz w:val="20"/>
                <w:szCs w:val="20"/>
                <w:vertAlign w:val="subscript"/>
              </w:rPr>
              <w:t>5</w:t>
            </w:r>
            <w:r w:rsidRPr="00ED4B57">
              <w:rPr>
                <w:rFonts w:ascii="Times New Roman" w:eastAsia="Arial" w:hAnsi="Times New Roman" w:cs="Times New Roman"/>
                <w:b/>
                <w:sz w:val="20"/>
                <w:szCs w:val="20"/>
              </w:rPr>
              <w:t>:</w:t>
            </w:r>
            <w:r w:rsidRPr="00ED4B57">
              <w:rPr>
                <w:rFonts w:ascii="Times New Roman" w:eastAsia="Arial" w:hAnsi="Times New Roman" w:cs="Times New Roman"/>
                <w:b/>
                <w:spacing w:val="-5"/>
                <w:sz w:val="20"/>
                <w:szCs w:val="20"/>
              </w:rPr>
              <w:t>60</w:t>
            </w:r>
          </w:p>
          <w:p w:rsidR="008D2D3D" w:rsidRPr="00ED4B57" w:rsidRDefault="008D2D3D" w:rsidP="008D2D3D">
            <w:pPr>
              <w:spacing w:before="1"/>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K</w:t>
            </w:r>
            <w:r w:rsidRPr="00ED4B57">
              <w:rPr>
                <w:rFonts w:ascii="Times New Roman" w:eastAsia="Arial" w:hAnsi="Times New Roman" w:cs="Times New Roman"/>
                <w:b/>
                <w:sz w:val="20"/>
                <w:szCs w:val="20"/>
                <w:vertAlign w:val="subscript"/>
              </w:rPr>
              <w:t>2</w:t>
            </w:r>
            <w:r w:rsidRPr="00ED4B57">
              <w:rPr>
                <w:rFonts w:ascii="Times New Roman" w:eastAsia="Arial" w:hAnsi="Times New Roman" w:cs="Times New Roman"/>
                <w:b/>
                <w:sz w:val="20"/>
                <w:szCs w:val="20"/>
              </w:rPr>
              <w:t>O</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kg</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5"/>
                <w:sz w:val="20"/>
                <w:szCs w:val="20"/>
                <w:vertAlign w:val="superscript"/>
              </w:rPr>
              <w:t>1</w:t>
            </w:r>
            <w:r w:rsidRPr="00ED4B57">
              <w:rPr>
                <w:rFonts w:ascii="Times New Roman" w:eastAsia="Arial" w:hAnsi="Times New Roman" w:cs="Times New Roman"/>
                <w:b/>
                <w:spacing w:val="-5"/>
                <w:sz w:val="20"/>
                <w:szCs w:val="20"/>
              </w:rPr>
              <w:t>)</w:t>
            </w:r>
          </w:p>
        </w:tc>
        <w:tc>
          <w:tcPr>
            <w:tcW w:w="715"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right="99"/>
              <w:rPr>
                <w:rFonts w:ascii="Times New Roman" w:hAnsi="Times New Roman" w:cs="Times New Roman"/>
                <w:sz w:val="20"/>
                <w:szCs w:val="20"/>
              </w:rPr>
            </w:pPr>
            <w:r w:rsidRPr="00E1098B">
              <w:rPr>
                <w:rFonts w:ascii="Times New Roman" w:hAnsi="Times New Roman" w:cs="Times New Roman"/>
                <w:sz w:val="20"/>
                <w:szCs w:val="20"/>
              </w:rPr>
              <w:t>180.15</w:t>
            </w:r>
          </w:p>
        </w:tc>
        <w:tc>
          <w:tcPr>
            <w:tcW w:w="81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right="98"/>
              <w:rPr>
                <w:rFonts w:ascii="Times New Roman" w:hAnsi="Times New Roman" w:cs="Times New Roman"/>
                <w:sz w:val="20"/>
                <w:szCs w:val="20"/>
              </w:rPr>
            </w:pPr>
            <w:r w:rsidRPr="00E1098B">
              <w:rPr>
                <w:rFonts w:ascii="Times New Roman" w:hAnsi="Times New Roman" w:cs="Times New Roman"/>
                <w:sz w:val="20"/>
                <w:szCs w:val="20"/>
              </w:rPr>
              <w:t>175.51</w:t>
            </w:r>
          </w:p>
        </w:tc>
        <w:tc>
          <w:tcPr>
            <w:tcW w:w="72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right="155"/>
              <w:rPr>
                <w:rFonts w:ascii="Times New Roman" w:hAnsi="Times New Roman" w:cs="Times New Roman"/>
                <w:sz w:val="20"/>
                <w:szCs w:val="20"/>
              </w:rPr>
            </w:pPr>
            <w:r w:rsidRPr="00E1098B">
              <w:rPr>
                <w:rFonts w:ascii="Times New Roman" w:hAnsi="Times New Roman" w:cs="Times New Roman"/>
                <w:sz w:val="20"/>
                <w:szCs w:val="20"/>
              </w:rPr>
              <w:t>170.34</w:t>
            </w:r>
          </w:p>
        </w:tc>
        <w:tc>
          <w:tcPr>
            <w:tcW w:w="630" w:type="dxa"/>
          </w:tcPr>
          <w:p w:rsidR="008D2D3D" w:rsidRPr="00E1098B" w:rsidRDefault="008D2D3D" w:rsidP="008D2D3D">
            <w:pPr>
              <w:pStyle w:val="TableParagraph"/>
              <w:spacing w:before="202"/>
              <w:ind w:left="86" w:right="78"/>
              <w:rPr>
                <w:rFonts w:ascii="Times New Roman" w:hAnsi="Times New Roman" w:cs="Times New Roman"/>
                <w:sz w:val="20"/>
                <w:szCs w:val="20"/>
              </w:rPr>
            </w:pPr>
            <w:r w:rsidRPr="00E1098B">
              <w:rPr>
                <w:rFonts w:ascii="Times New Roman" w:hAnsi="Times New Roman" w:cs="Times New Roman"/>
                <w:sz w:val="20"/>
                <w:szCs w:val="20"/>
              </w:rPr>
              <w:t>17.44</w:t>
            </w:r>
          </w:p>
        </w:tc>
        <w:tc>
          <w:tcPr>
            <w:tcW w:w="719" w:type="dxa"/>
          </w:tcPr>
          <w:p w:rsidR="008D2D3D" w:rsidRPr="00E1098B" w:rsidRDefault="008D2D3D" w:rsidP="008D2D3D">
            <w:pPr>
              <w:pStyle w:val="TableParagraph"/>
              <w:spacing w:before="202"/>
              <w:ind w:left="173"/>
              <w:rPr>
                <w:rFonts w:ascii="Times New Roman" w:hAnsi="Times New Roman" w:cs="Times New Roman"/>
                <w:sz w:val="20"/>
                <w:szCs w:val="20"/>
              </w:rPr>
            </w:pPr>
            <w:r w:rsidRPr="00E1098B">
              <w:rPr>
                <w:rFonts w:ascii="Times New Roman" w:hAnsi="Times New Roman" w:cs="Times New Roman"/>
                <w:sz w:val="20"/>
                <w:szCs w:val="20"/>
              </w:rPr>
              <w:t>13.68</w:t>
            </w:r>
          </w:p>
        </w:tc>
        <w:tc>
          <w:tcPr>
            <w:tcW w:w="631" w:type="dxa"/>
          </w:tcPr>
          <w:p w:rsidR="008D2D3D" w:rsidRPr="00E1098B" w:rsidRDefault="008D2D3D" w:rsidP="008D2D3D">
            <w:pPr>
              <w:pStyle w:val="TableParagraph"/>
              <w:spacing w:before="202"/>
              <w:ind w:left="83" w:right="76"/>
              <w:rPr>
                <w:rFonts w:ascii="Times New Roman" w:hAnsi="Times New Roman" w:cs="Times New Roman"/>
                <w:sz w:val="20"/>
                <w:szCs w:val="20"/>
              </w:rPr>
            </w:pPr>
            <w:r w:rsidRPr="00E1098B">
              <w:rPr>
                <w:rFonts w:ascii="Times New Roman" w:hAnsi="Times New Roman" w:cs="Times New Roman"/>
                <w:sz w:val="20"/>
                <w:szCs w:val="20"/>
              </w:rPr>
              <w:t>9.70</w:t>
            </w:r>
          </w:p>
        </w:tc>
        <w:tc>
          <w:tcPr>
            <w:tcW w:w="800" w:type="dxa"/>
          </w:tcPr>
          <w:p w:rsidR="008D2D3D" w:rsidRPr="00E1098B" w:rsidRDefault="008D2D3D" w:rsidP="008D2D3D">
            <w:pPr>
              <w:pStyle w:val="TableParagraph"/>
              <w:spacing w:before="9"/>
              <w:rPr>
                <w:rFonts w:ascii="Times New Roman" w:hAnsi="Times New Roman" w:cs="Times New Roman"/>
                <w:b/>
                <w:sz w:val="20"/>
                <w:szCs w:val="20"/>
              </w:rPr>
            </w:pPr>
          </w:p>
          <w:p w:rsidR="008D2D3D" w:rsidRPr="00E1098B" w:rsidRDefault="008D2D3D" w:rsidP="008D2D3D">
            <w:pPr>
              <w:pStyle w:val="TableParagraph"/>
              <w:spacing w:before="1"/>
              <w:ind w:left="95" w:right="84"/>
              <w:rPr>
                <w:rFonts w:ascii="Times New Roman" w:hAnsi="Times New Roman" w:cs="Times New Roman"/>
                <w:sz w:val="20"/>
                <w:szCs w:val="20"/>
              </w:rPr>
            </w:pPr>
            <w:r w:rsidRPr="00E1098B">
              <w:rPr>
                <w:rFonts w:ascii="Times New Roman" w:hAnsi="Times New Roman" w:cs="Times New Roman"/>
                <w:sz w:val="20"/>
                <w:szCs w:val="20"/>
              </w:rPr>
              <w:t>256.07</w:t>
            </w:r>
          </w:p>
        </w:tc>
        <w:tc>
          <w:tcPr>
            <w:tcW w:w="720" w:type="dxa"/>
          </w:tcPr>
          <w:p w:rsidR="008D2D3D" w:rsidRPr="00E1098B" w:rsidRDefault="008D2D3D" w:rsidP="008D2D3D">
            <w:pPr>
              <w:pStyle w:val="TableParagraph"/>
              <w:spacing w:before="9"/>
              <w:rPr>
                <w:rFonts w:ascii="Times New Roman" w:hAnsi="Times New Roman" w:cs="Times New Roman"/>
                <w:b/>
                <w:sz w:val="20"/>
                <w:szCs w:val="20"/>
              </w:rPr>
            </w:pPr>
          </w:p>
          <w:p w:rsidR="008D2D3D" w:rsidRPr="00E1098B" w:rsidRDefault="008D2D3D" w:rsidP="008D2D3D">
            <w:pPr>
              <w:pStyle w:val="TableParagraph"/>
              <w:spacing w:before="1"/>
              <w:ind w:left="80" w:right="70"/>
              <w:rPr>
                <w:rFonts w:ascii="Times New Roman" w:hAnsi="Times New Roman" w:cs="Times New Roman"/>
                <w:sz w:val="20"/>
                <w:szCs w:val="20"/>
              </w:rPr>
            </w:pPr>
            <w:r w:rsidRPr="00E1098B">
              <w:rPr>
                <w:rFonts w:ascii="Times New Roman" w:hAnsi="Times New Roman" w:cs="Times New Roman"/>
                <w:sz w:val="20"/>
                <w:szCs w:val="20"/>
              </w:rPr>
              <w:t>246.13</w:t>
            </w:r>
          </w:p>
        </w:tc>
        <w:tc>
          <w:tcPr>
            <w:tcW w:w="810" w:type="dxa"/>
          </w:tcPr>
          <w:p w:rsidR="008D2D3D" w:rsidRPr="00E1098B" w:rsidRDefault="008D2D3D" w:rsidP="008D2D3D">
            <w:pPr>
              <w:pStyle w:val="TableParagraph"/>
              <w:spacing w:before="9"/>
              <w:rPr>
                <w:rFonts w:ascii="Times New Roman" w:hAnsi="Times New Roman" w:cs="Times New Roman"/>
                <w:b/>
                <w:sz w:val="20"/>
                <w:szCs w:val="20"/>
              </w:rPr>
            </w:pPr>
          </w:p>
          <w:p w:rsidR="008D2D3D" w:rsidRPr="00E1098B" w:rsidRDefault="008D2D3D" w:rsidP="008D2D3D">
            <w:pPr>
              <w:pStyle w:val="TableParagraph"/>
              <w:spacing w:before="1"/>
              <w:ind w:left="89" w:right="76"/>
              <w:rPr>
                <w:rFonts w:ascii="Times New Roman" w:hAnsi="Times New Roman" w:cs="Times New Roman"/>
                <w:sz w:val="20"/>
                <w:szCs w:val="20"/>
              </w:rPr>
            </w:pPr>
            <w:r w:rsidRPr="00E1098B">
              <w:rPr>
                <w:rFonts w:ascii="Times New Roman" w:hAnsi="Times New Roman" w:cs="Times New Roman"/>
                <w:sz w:val="20"/>
                <w:szCs w:val="20"/>
              </w:rPr>
              <w:t>240.67</w:t>
            </w:r>
          </w:p>
        </w:tc>
        <w:tc>
          <w:tcPr>
            <w:tcW w:w="72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spacing w:before="1"/>
              <w:ind w:left="86" w:right="77"/>
              <w:rPr>
                <w:rFonts w:ascii="Times New Roman" w:hAnsi="Times New Roman" w:cs="Times New Roman"/>
                <w:sz w:val="20"/>
                <w:szCs w:val="20"/>
              </w:rPr>
            </w:pPr>
            <w:r w:rsidRPr="00E1098B">
              <w:rPr>
                <w:rFonts w:ascii="Times New Roman" w:hAnsi="Times New Roman" w:cs="Times New Roman"/>
                <w:sz w:val="20"/>
                <w:szCs w:val="20"/>
              </w:rPr>
              <w:t>11.78</w:t>
            </w:r>
          </w:p>
        </w:tc>
        <w:tc>
          <w:tcPr>
            <w:tcW w:w="72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spacing w:before="1"/>
              <w:ind w:left="237"/>
              <w:rPr>
                <w:rFonts w:ascii="Times New Roman" w:hAnsi="Times New Roman" w:cs="Times New Roman"/>
                <w:sz w:val="20"/>
                <w:szCs w:val="20"/>
              </w:rPr>
            </w:pPr>
            <w:r w:rsidRPr="00E1098B">
              <w:rPr>
                <w:rFonts w:ascii="Times New Roman" w:hAnsi="Times New Roman" w:cs="Times New Roman"/>
                <w:sz w:val="20"/>
                <w:szCs w:val="20"/>
              </w:rPr>
              <w:t>8.45</w:t>
            </w:r>
          </w:p>
        </w:tc>
        <w:tc>
          <w:tcPr>
            <w:tcW w:w="669"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spacing w:before="1"/>
              <w:ind w:left="87" w:right="88"/>
              <w:rPr>
                <w:rFonts w:ascii="Times New Roman" w:hAnsi="Times New Roman" w:cs="Times New Roman"/>
                <w:sz w:val="20"/>
                <w:szCs w:val="20"/>
              </w:rPr>
            </w:pPr>
            <w:r w:rsidRPr="00E1098B">
              <w:rPr>
                <w:rFonts w:ascii="Times New Roman" w:hAnsi="Times New Roman" w:cs="Times New Roman"/>
                <w:sz w:val="20"/>
                <w:szCs w:val="20"/>
              </w:rPr>
              <w:t>5.91</w:t>
            </w:r>
          </w:p>
        </w:tc>
      </w:tr>
      <w:tr w:rsidR="008D2D3D" w:rsidRPr="00E1098B" w:rsidTr="00CB26B2">
        <w:trPr>
          <w:trHeight w:val="572"/>
        </w:trPr>
        <w:tc>
          <w:tcPr>
            <w:tcW w:w="360" w:type="dxa"/>
          </w:tcPr>
          <w:p w:rsidR="008D2D3D" w:rsidRPr="00E1098B" w:rsidRDefault="008D2D3D" w:rsidP="008D2D3D">
            <w:pPr>
              <w:pStyle w:val="TableParagraph"/>
              <w:spacing w:before="10"/>
              <w:jc w:val="left"/>
              <w:rPr>
                <w:rFonts w:ascii="Times New Roman" w:hAnsi="Times New Roman" w:cs="Times New Roman"/>
                <w:b/>
                <w:sz w:val="20"/>
                <w:szCs w:val="20"/>
              </w:rPr>
            </w:pPr>
          </w:p>
          <w:p w:rsidR="008D2D3D" w:rsidRPr="00E1098B" w:rsidRDefault="008D2D3D" w:rsidP="008D2D3D">
            <w:pPr>
              <w:pStyle w:val="TableParagraph"/>
              <w:spacing w:before="0"/>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3</w:t>
            </w:r>
          </w:p>
        </w:tc>
        <w:tc>
          <w:tcPr>
            <w:tcW w:w="1715" w:type="dxa"/>
          </w:tcPr>
          <w:p w:rsidR="008D2D3D" w:rsidRPr="00ED4B57" w:rsidRDefault="008D2D3D" w:rsidP="008D2D3D">
            <w:pPr>
              <w:spacing w:before="158"/>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4.5</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10"/>
                <w:sz w:val="20"/>
                <w:szCs w:val="20"/>
                <w:vertAlign w:val="superscript"/>
              </w:rPr>
              <w:t>1</w:t>
            </w:r>
          </w:p>
        </w:tc>
        <w:tc>
          <w:tcPr>
            <w:tcW w:w="715" w:type="dxa"/>
          </w:tcPr>
          <w:p w:rsidR="008D2D3D" w:rsidRPr="00E1098B" w:rsidRDefault="008D2D3D" w:rsidP="008D2D3D">
            <w:pPr>
              <w:pStyle w:val="TableParagraph"/>
              <w:spacing w:before="3"/>
              <w:rPr>
                <w:rFonts w:ascii="Times New Roman" w:hAnsi="Times New Roman" w:cs="Times New Roman"/>
                <w:b/>
                <w:sz w:val="20"/>
                <w:szCs w:val="20"/>
              </w:rPr>
            </w:pPr>
          </w:p>
          <w:p w:rsidR="008D2D3D" w:rsidRPr="00E1098B" w:rsidRDefault="008D2D3D" w:rsidP="008D2D3D">
            <w:pPr>
              <w:pStyle w:val="TableParagraph"/>
              <w:ind w:right="99"/>
              <w:rPr>
                <w:rFonts w:ascii="Times New Roman" w:hAnsi="Times New Roman" w:cs="Times New Roman"/>
                <w:sz w:val="20"/>
                <w:szCs w:val="20"/>
              </w:rPr>
            </w:pPr>
            <w:r w:rsidRPr="00E1098B">
              <w:rPr>
                <w:rFonts w:ascii="Times New Roman" w:hAnsi="Times New Roman" w:cs="Times New Roman"/>
                <w:sz w:val="20"/>
                <w:szCs w:val="20"/>
              </w:rPr>
              <w:t>207.47</w:t>
            </w:r>
          </w:p>
        </w:tc>
        <w:tc>
          <w:tcPr>
            <w:tcW w:w="810" w:type="dxa"/>
          </w:tcPr>
          <w:p w:rsidR="008D2D3D" w:rsidRPr="00E1098B" w:rsidRDefault="008D2D3D" w:rsidP="008D2D3D">
            <w:pPr>
              <w:pStyle w:val="TableParagraph"/>
              <w:spacing w:before="3"/>
              <w:rPr>
                <w:rFonts w:ascii="Times New Roman" w:hAnsi="Times New Roman" w:cs="Times New Roman"/>
                <w:b/>
                <w:sz w:val="20"/>
                <w:szCs w:val="20"/>
              </w:rPr>
            </w:pPr>
          </w:p>
          <w:p w:rsidR="008D2D3D" w:rsidRPr="00E1098B" w:rsidRDefault="008D2D3D" w:rsidP="008D2D3D">
            <w:pPr>
              <w:pStyle w:val="TableParagraph"/>
              <w:ind w:right="98"/>
              <w:rPr>
                <w:rFonts w:ascii="Times New Roman" w:hAnsi="Times New Roman" w:cs="Times New Roman"/>
                <w:sz w:val="20"/>
                <w:szCs w:val="20"/>
              </w:rPr>
            </w:pPr>
            <w:r w:rsidRPr="00E1098B">
              <w:rPr>
                <w:rFonts w:ascii="Times New Roman" w:hAnsi="Times New Roman" w:cs="Times New Roman"/>
                <w:sz w:val="20"/>
                <w:szCs w:val="20"/>
              </w:rPr>
              <w:t>201.57</w:t>
            </w:r>
          </w:p>
        </w:tc>
        <w:tc>
          <w:tcPr>
            <w:tcW w:w="720" w:type="dxa"/>
          </w:tcPr>
          <w:p w:rsidR="008D2D3D" w:rsidRPr="00E1098B" w:rsidRDefault="008D2D3D" w:rsidP="008D2D3D">
            <w:pPr>
              <w:pStyle w:val="TableParagraph"/>
              <w:spacing w:before="3"/>
              <w:rPr>
                <w:rFonts w:ascii="Times New Roman" w:hAnsi="Times New Roman" w:cs="Times New Roman"/>
                <w:b/>
                <w:sz w:val="20"/>
                <w:szCs w:val="20"/>
              </w:rPr>
            </w:pPr>
          </w:p>
          <w:p w:rsidR="008D2D3D" w:rsidRPr="00E1098B" w:rsidRDefault="008D2D3D" w:rsidP="008D2D3D">
            <w:pPr>
              <w:pStyle w:val="TableParagraph"/>
              <w:ind w:right="155"/>
              <w:rPr>
                <w:rFonts w:ascii="Times New Roman" w:hAnsi="Times New Roman" w:cs="Times New Roman"/>
                <w:sz w:val="20"/>
                <w:szCs w:val="20"/>
              </w:rPr>
            </w:pPr>
            <w:r w:rsidRPr="00E1098B">
              <w:rPr>
                <w:rFonts w:ascii="Times New Roman" w:hAnsi="Times New Roman" w:cs="Times New Roman"/>
                <w:sz w:val="20"/>
                <w:szCs w:val="20"/>
              </w:rPr>
              <w:t>193.90</w:t>
            </w:r>
          </w:p>
        </w:tc>
        <w:tc>
          <w:tcPr>
            <w:tcW w:w="630" w:type="dxa"/>
          </w:tcPr>
          <w:p w:rsidR="008D2D3D" w:rsidRPr="00E1098B" w:rsidRDefault="008D2D3D" w:rsidP="008D2D3D">
            <w:pPr>
              <w:pStyle w:val="TableParagraph"/>
              <w:spacing w:before="202"/>
              <w:ind w:left="86" w:right="78"/>
              <w:rPr>
                <w:rFonts w:ascii="Times New Roman" w:hAnsi="Times New Roman" w:cs="Times New Roman"/>
                <w:sz w:val="20"/>
                <w:szCs w:val="20"/>
              </w:rPr>
            </w:pPr>
            <w:r w:rsidRPr="00E1098B">
              <w:rPr>
                <w:rFonts w:ascii="Times New Roman" w:hAnsi="Times New Roman" w:cs="Times New Roman"/>
                <w:sz w:val="20"/>
                <w:szCs w:val="20"/>
              </w:rPr>
              <w:t>20.36</w:t>
            </w:r>
          </w:p>
        </w:tc>
        <w:tc>
          <w:tcPr>
            <w:tcW w:w="719" w:type="dxa"/>
          </w:tcPr>
          <w:p w:rsidR="008D2D3D" w:rsidRPr="00E1098B" w:rsidRDefault="008D2D3D" w:rsidP="008D2D3D">
            <w:pPr>
              <w:pStyle w:val="TableParagraph"/>
              <w:spacing w:before="202"/>
              <w:ind w:left="173"/>
              <w:rPr>
                <w:rFonts w:ascii="Times New Roman" w:hAnsi="Times New Roman" w:cs="Times New Roman"/>
                <w:sz w:val="20"/>
                <w:szCs w:val="20"/>
              </w:rPr>
            </w:pPr>
            <w:r w:rsidRPr="00E1098B">
              <w:rPr>
                <w:rFonts w:ascii="Times New Roman" w:hAnsi="Times New Roman" w:cs="Times New Roman"/>
                <w:sz w:val="20"/>
                <w:szCs w:val="20"/>
              </w:rPr>
              <w:t>18.00</w:t>
            </w:r>
          </w:p>
        </w:tc>
        <w:tc>
          <w:tcPr>
            <w:tcW w:w="631" w:type="dxa"/>
          </w:tcPr>
          <w:p w:rsidR="008D2D3D" w:rsidRPr="00E1098B" w:rsidRDefault="008D2D3D" w:rsidP="008D2D3D">
            <w:pPr>
              <w:pStyle w:val="TableParagraph"/>
              <w:spacing w:before="202"/>
              <w:ind w:left="85" w:right="76"/>
              <w:rPr>
                <w:rFonts w:ascii="Times New Roman" w:hAnsi="Times New Roman" w:cs="Times New Roman"/>
                <w:sz w:val="20"/>
                <w:szCs w:val="20"/>
              </w:rPr>
            </w:pPr>
            <w:r w:rsidRPr="00E1098B">
              <w:rPr>
                <w:rFonts w:ascii="Times New Roman" w:hAnsi="Times New Roman" w:cs="Times New Roman"/>
                <w:sz w:val="20"/>
                <w:szCs w:val="20"/>
              </w:rPr>
              <w:t>12.05</w:t>
            </w:r>
          </w:p>
        </w:tc>
        <w:tc>
          <w:tcPr>
            <w:tcW w:w="80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95" w:right="84"/>
              <w:rPr>
                <w:rFonts w:ascii="Times New Roman" w:hAnsi="Times New Roman" w:cs="Times New Roman"/>
                <w:sz w:val="20"/>
                <w:szCs w:val="20"/>
              </w:rPr>
            </w:pPr>
            <w:r w:rsidRPr="00E1098B">
              <w:rPr>
                <w:rFonts w:ascii="Times New Roman" w:hAnsi="Times New Roman" w:cs="Times New Roman"/>
                <w:sz w:val="20"/>
                <w:szCs w:val="20"/>
              </w:rPr>
              <w:t>267.58</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0" w:right="70"/>
              <w:rPr>
                <w:rFonts w:ascii="Times New Roman" w:hAnsi="Times New Roman" w:cs="Times New Roman"/>
                <w:sz w:val="20"/>
                <w:szCs w:val="20"/>
              </w:rPr>
            </w:pPr>
            <w:r w:rsidRPr="00E1098B">
              <w:rPr>
                <w:rFonts w:ascii="Times New Roman" w:hAnsi="Times New Roman" w:cs="Times New Roman"/>
                <w:sz w:val="20"/>
                <w:szCs w:val="20"/>
              </w:rPr>
              <w:t>251.49</w:t>
            </w:r>
          </w:p>
        </w:tc>
        <w:tc>
          <w:tcPr>
            <w:tcW w:w="81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9" w:right="76"/>
              <w:rPr>
                <w:rFonts w:ascii="Times New Roman" w:hAnsi="Times New Roman" w:cs="Times New Roman"/>
                <w:sz w:val="20"/>
                <w:szCs w:val="20"/>
              </w:rPr>
            </w:pPr>
            <w:r w:rsidRPr="00E1098B">
              <w:rPr>
                <w:rFonts w:ascii="Times New Roman" w:hAnsi="Times New Roman" w:cs="Times New Roman"/>
                <w:sz w:val="20"/>
                <w:szCs w:val="20"/>
              </w:rPr>
              <w:t>246.64</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6" w:right="77"/>
              <w:rPr>
                <w:rFonts w:ascii="Times New Roman" w:hAnsi="Times New Roman" w:cs="Times New Roman"/>
                <w:sz w:val="20"/>
                <w:szCs w:val="20"/>
              </w:rPr>
            </w:pPr>
            <w:r w:rsidRPr="00E1098B">
              <w:rPr>
                <w:rFonts w:ascii="Times New Roman" w:hAnsi="Times New Roman" w:cs="Times New Roman"/>
                <w:sz w:val="20"/>
                <w:szCs w:val="20"/>
              </w:rPr>
              <w:t>14.11</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173"/>
              <w:rPr>
                <w:rFonts w:ascii="Times New Roman" w:hAnsi="Times New Roman" w:cs="Times New Roman"/>
                <w:sz w:val="20"/>
                <w:szCs w:val="20"/>
              </w:rPr>
            </w:pPr>
            <w:r w:rsidRPr="00E1098B">
              <w:rPr>
                <w:rFonts w:ascii="Times New Roman" w:hAnsi="Times New Roman" w:cs="Times New Roman"/>
                <w:sz w:val="20"/>
                <w:szCs w:val="20"/>
              </w:rPr>
              <w:t>10.46</w:t>
            </w:r>
          </w:p>
        </w:tc>
        <w:tc>
          <w:tcPr>
            <w:tcW w:w="669"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7" w:right="88"/>
              <w:rPr>
                <w:rFonts w:ascii="Times New Roman" w:hAnsi="Times New Roman" w:cs="Times New Roman"/>
                <w:sz w:val="20"/>
                <w:szCs w:val="20"/>
              </w:rPr>
            </w:pPr>
            <w:r w:rsidRPr="00E1098B">
              <w:rPr>
                <w:rFonts w:ascii="Times New Roman" w:hAnsi="Times New Roman" w:cs="Times New Roman"/>
                <w:sz w:val="20"/>
                <w:szCs w:val="20"/>
              </w:rPr>
              <w:t>7.93</w:t>
            </w:r>
          </w:p>
        </w:tc>
      </w:tr>
      <w:tr w:rsidR="008D2D3D" w:rsidRPr="00E1098B" w:rsidTr="00CB26B2">
        <w:trPr>
          <w:trHeight w:val="572"/>
        </w:trPr>
        <w:tc>
          <w:tcPr>
            <w:tcW w:w="360" w:type="dxa"/>
          </w:tcPr>
          <w:p w:rsidR="008D2D3D" w:rsidRPr="00E1098B" w:rsidRDefault="008D2D3D" w:rsidP="008D2D3D">
            <w:pPr>
              <w:pStyle w:val="TableParagraph"/>
              <w:spacing w:before="10"/>
              <w:jc w:val="left"/>
              <w:rPr>
                <w:rFonts w:ascii="Times New Roman" w:hAnsi="Times New Roman" w:cs="Times New Roman"/>
                <w:b/>
                <w:sz w:val="20"/>
                <w:szCs w:val="20"/>
              </w:rPr>
            </w:pPr>
          </w:p>
          <w:p w:rsidR="008D2D3D" w:rsidRPr="00E1098B" w:rsidRDefault="008D2D3D" w:rsidP="008D2D3D">
            <w:pPr>
              <w:pStyle w:val="TableParagraph"/>
              <w:spacing w:before="0"/>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4</w:t>
            </w:r>
          </w:p>
        </w:tc>
        <w:tc>
          <w:tcPr>
            <w:tcW w:w="1715" w:type="dxa"/>
          </w:tcPr>
          <w:p w:rsidR="008D2D3D" w:rsidRPr="00ED4B57" w:rsidRDefault="008D2D3D" w:rsidP="008D2D3D">
            <w:pPr>
              <w:spacing w:before="158"/>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6</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w:t>
            </w:r>
            <w:r w:rsidRPr="00ED4B57">
              <w:rPr>
                <w:rFonts w:ascii="Times New Roman" w:eastAsia="Arial" w:hAnsi="Times New Roman" w:cs="Times New Roman"/>
                <w:b/>
                <w:spacing w:val="-10"/>
                <w:sz w:val="20"/>
                <w:szCs w:val="20"/>
                <w:vertAlign w:val="superscript"/>
              </w:rPr>
              <w:t>1</w:t>
            </w:r>
          </w:p>
        </w:tc>
        <w:tc>
          <w:tcPr>
            <w:tcW w:w="715"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right="99"/>
              <w:rPr>
                <w:rFonts w:ascii="Times New Roman" w:hAnsi="Times New Roman" w:cs="Times New Roman"/>
                <w:sz w:val="20"/>
                <w:szCs w:val="20"/>
              </w:rPr>
            </w:pPr>
            <w:r w:rsidRPr="00E1098B">
              <w:rPr>
                <w:rFonts w:ascii="Times New Roman" w:hAnsi="Times New Roman" w:cs="Times New Roman"/>
                <w:sz w:val="20"/>
                <w:szCs w:val="20"/>
              </w:rPr>
              <w:t>214.72</w:t>
            </w:r>
          </w:p>
        </w:tc>
        <w:tc>
          <w:tcPr>
            <w:tcW w:w="81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right="98"/>
              <w:rPr>
                <w:rFonts w:ascii="Times New Roman" w:hAnsi="Times New Roman" w:cs="Times New Roman"/>
                <w:sz w:val="20"/>
                <w:szCs w:val="20"/>
              </w:rPr>
            </w:pPr>
            <w:r w:rsidRPr="00E1098B">
              <w:rPr>
                <w:rFonts w:ascii="Times New Roman" w:hAnsi="Times New Roman" w:cs="Times New Roman"/>
                <w:sz w:val="20"/>
                <w:szCs w:val="20"/>
              </w:rPr>
              <w:t>208.71</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right="155"/>
              <w:rPr>
                <w:rFonts w:ascii="Times New Roman" w:hAnsi="Times New Roman" w:cs="Times New Roman"/>
                <w:sz w:val="20"/>
                <w:szCs w:val="20"/>
              </w:rPr>
            </w:pPr>
            <w:r w:rsidRPr="00E1098B">
              <w:rPr>
                <w:rFonts w:ascii="Times New Roman" w:hAnsi="Times New Roman" w:cs="Times New Roman"/>
                <w:sz w:val="20"/>
                <w:szCs w:val="20"/>
              </w:rPr>
              <w:t>201.69</w:t>
            </w:r>
          </w:p>
        </w:tc>
        <w:tc>
          <w:tcPr>
            <w:tcW w:w="630" w:type="dxa"/>
          </w:tcPr>
          <w:p w:rsidR="008D2D3D" w:rsidRPr="00E1098B" w:rsidRDefault="008D2D3D" w:rsidP="008D2D3D">
            <w:pPr>
              <w:pStyle w:val="TableParagraph"/>
              <w:spacing w:before="233"/>
              <w:ind w:left="86" w:right="78"/>
              <w:rPr>
                <w:rFonts w:ascii="Times New Roman" w:hAnsi="Times New Roman" w:cs="Times New Roman"/>
                <w:sz w:val="20"/>
                <w:szCs w:val="20"/>
              </w:rPr>
            </w:pPr>
            <w:r w:rsidRPr="00E1098B">
              <w:rPr>
                <w:rFonts w:ascii="Times New Roman" w:hAnsi="Times New Roman" w:cs="Times New Roman"/>
                <w:sz w:val="20"/>
                <w:szCs w:val="20"/>
              </w:rPr>
              <w:t>26.92</w:t>
            </w:r>
          </w:p>
        </w:tc>
        <w:tc>
          <w:tcPr>
            <w:tcW w:w="719" w:type="dxa"/>
          </w:tcPr>
          <w:p w:rsidR="008D2D3D" w:rsidRPr="00E1098B" w:rsidRDefault="008D2D3D" w:rsidP="008D2D3D">
            <w:pPr>
              <w:pStyle w:val="TableParagraph"/>
              <w:spacing w:before="233"/>
              <w:ind w:left="173"/>
              <w:rPr>
                <w:rFonts w:ascii="Times New Roman" w:hAnsi="Times New Roman" w:cs="Times New Roman"/>
                <w:sz w:val="20"/>
                <w:szCs w:val="20"/>
              </w:rPr>
            </w:pPr>
            <w:r w:rsidRPr="00E1098B">
              <w:rPr>
                <w:rFonts w:ascii="Times New Roman" w:hAnsi="Times New Roman" w:cs="Times New Roman"/>
                <w:sz w:val="20"/>
                <w:szCs w:val="20"/>
              </w:rPr>
              <w:t>23.11</w:t>
            </w:r>
          </w:p>
        </w:tc>
        <w:tc>
          <w:tcPr>
            <w:tcW w:w="631" w:type="dxa"/>
          </w:tcPr>
          <w:p w:rsidR="008D2D3D" w:rsidRPr="00E1098B" w:rsidRDefault="008D2D3D" w:rsidP="008D2D3D">
            <w:pPr>
              <w:pStyle w:val="TableParagraph"/>
              <w:spacing w:before="233"/>
              <w:ind w:left="85" w:right="76"/>
              <w:rPr>
                <w:rFonts w:ascii="Times New Roman" w:hAnsi="Times New Roman" w:cs="Times New Roman"/>
                <w:sz w:val="20"/>
                <w:szCs w:val="20"/>
              </w:rPr>
            </w:pPr>
            <w:r w:rsidRPr="00E1098B">
              <w:rPr>
                <w:rFonts w:ascii="Times New Roman" w:hAnsi="Times New Roman" w:cs="Times New Roman"/>
                <w:sz w:val="20"/>
                <w:szCs w:val="20"/>
              </w:rPr>
              <w:t>16.59</w:t>
            </w:r>
          </w:p>
        </w:tc>
        <w:tc>
          <w:tcPr>
            <w:tcW w:w="80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left="95" w:right="84"/>
              <w:rPr>
                <w:rFonts w:ascii="Times New Roman" w:hAnsi="Times New Roman" w:cs="Times New Roman"/>
                <w:sz w:val="20"/>
                <w:szCs w:val="20"/>
              </w:rPr>
            </w:pPr>
            <w:r w:rsidRPr="00E1098B">
              <w:rPr>
                <w:rFonts w:ascii="Times New Roman" w:hAnsi="Times New Roman" w:cs="Times New Roman"/>
                <w:sz w:val="20"/>
                <w:szCs w:val="20"/>
              </w:rPr>
              <w:t>280.79</w:t>
            </w:r>
          </w:p>
        </w:tc>
        <w:tc>
          <w:tcPr>
            <w:tcW w:w="72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left="80" w:right="70"/>
              <w:rPr>
                <w:rFonts w:ascii="Times New Roman" w:hAnsi="Times New Roman" w:cs="Times New Roman"/>
                <w:sz w:val="20"/>
                <w:szCs w:val="20"/>
              </w:rPr>
            </w:pPr>
            <w:r w:rsidRPr="00E1098B">
              <w:rPr>
                <w:rFonts w:ascii="Times New Roman" w:hAnsi="Times New Roman" w:cs="Times New Roman"/>
                <w:sz w:val="20"/>
                <w:szCs w:val="20"/>
              </w:rPr>
              <w:t>260.42</w:t>
            </w:r>
          </w:p>
        </w:tc>
        <w:tc>
          <w:tcPr>
            <w:tcW w:w="810" w:type="dxa"/>
          </w:tcPr>
          <w:p w:rsidR="008D2D3D" w:rsidRPr="00E1098B" w:rsidRDefault="008D2D3D" w:rsidP="008D2D3D">
            <w:pPr>
              <w:pStyle w:val="TableParagraph"/>
              <w:spacing w:before="2"/>
              <w:rPr>
                <w:rFonts w:ascii="Times New Roman" w:hAnsi="Times New Roman" w:cs="Times New Roman"/>
                <w:b/>
                <w:sz w:val="20"/>
                <w:szCs w:val="20"/>
              </w:rPr>
            </w:pPr>
          </w:p>
          <w:p w:rsidR="008D2D3D" w:rsidRPr="00E1098B" w:rsidRDefault="008D2D3D" w:rsidP="008D2D3D">
            <w:pPr>
              <w:pStyle w:val="TableParagraph"/>
              <w:ind w:left="89" w:right="76"/>
              <w:rPr>
                <w:rFonts w:ascii="Times New Roman" w:hAnsi="Times New Roman" w:cs="Times New Roman"/>
                <w:sz w:val="20"/>
                <w:szCs w:val="20"/>
              </w:rPr>
            </w:pPr>
            <w:r w:rsidRPr="00E1098B">
              <w:rPr>
                <w:rFonts w:ascii="Times New Roman" w:hAnsi="Times New Roman" w:cs="Times New Roman"/>
                <w:sz w:val="20"/>
                <w:szCs w:val="20"/>
              </w:rPr>
              <w:t>251.95</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6" w:right="77"/>
              <w:rPr>
                <w:rFonts w:ascii="Times New Roman" w:hAnsi="Times New Roman" w:cs="Times New Roman"/>
                <w:sz w:val="20"/>
                <w:szCs w:val="20"/>
              </w:rPr>
            </w:pPr>
            <w:r w:rsidRPr="00E1098B">
              <w:rPr>
                <w:rFonts w:ascii="Times New Roman" w:hAnsi="Times New Roman" w:cs="Times New Roman"/>
                <w:sz w:val="20"/>
                <w:szCs w:val="20"/>
              </w:rPr>
              <w:t>16.25</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173"/>
              <w:rPr>
                <w:rFonts w:ascii="Times New Roman" w:hAnsi="Times New Roman" w:cs="Times New Roman"/>
                <w:sz w:val="20"/>
                <w:szCs w:val="20"/>
              </w:rPr>
            </w:pPr>
            <w:r w:rsidRPr="00E1098B">
              <w:rPr>
                <w:rFonts w:ascii="Times New Roman" w:hAnsi="Times New Roman" w:cs="Times New Roman"/>
                <w:sz w:val="20"/>
                <w:szCs w:val="20"/>
              </w:rPr>
              <w:t>11.20</w:t>
            </w:r>
          </w:p>
        </w:tc>
        <w:tc>
          <w:tcPr>
            <w:tcW w:w="669"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7" w:right="88"/>
              <w:rPr>
                <w:rFonts w:ascii="Times New Roman" w:hAnsi="Times New Roman" w:cs="Times New Roman"/>
                <w:sz w:val="20"/>
                <w:szCs w:val="20"/>
              </w:rPr>
            </w:pPr>
            <w:r w:rsidRPr="00E1098B">
              <w:rPr>
                <w:rFonts w:ascii="Times New Roman" w:hAnsi="Times New Roman" w:cs="Times New Roman"/>
                <w:sz w:val="20"/>
                <w:szCs w:val="20"/>
              </w:rPr>
              <w:t>8.47</w:t>
            </w:r>
          </w:p>
        </w:tc>
      </w:tr>
      <w:tr w:rsidR="008D2D3D" w:rsidRPr="00E1098B" w:rsidTr="00CB26B2">
        <w:trPr>
          <w:trHeight w:val="572"/>
        </w:trPr>
        <w:tc>
          <w:tcPr>
            <w:tcW w:w="360" w:type="dxa"/>
          </w:tcPr>
          <w:p w:rsidR="008D2D3D" w:rsidRPr="00E1098B" w:rsidRDefault="008D2D3D" w:rsidP="008D2D3D">
            <w:pPr>
              <w:pStyle w:val="TableParagraph"/>
              <w:spacing w:before="10"/>
              <w:jc w:val="left"/>
              <w:rPr>
                <w:rFonts w:ascii="Times New Roman" w:hAnsi="Times New Roman" w:cs="Times New Roman"/>
                <w:b/>
                <w:sz w:val="20"/>
                <w:szCs w:val="20"/>
              </w:rPr>
            </w:pPr>
          </w:p>
          <w:p w:rsidR="008D2D3D" w:rsidRPr="00E1098B" w:rsidRDefault="008D2D3D" w:rsidP="008D2D3D">
            <w:pPr>
              <w:pStyle w:val="TableParagraph"/>
              <w:spacing w:before="0"/>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5</w:t>
            </w:r>
          </w:p>
        </w:tc>
        <w:tc>
          <w:tcPr>
            <w:tcW w:w="1715" w:type="dxa"/>
          </w:tcPr>
          <w:p w:rsidR="008D2D3D" w:rsidRPr="00ED4B57" w:rsidRDefault="008D2D3D" w:rsidP="008D2D3D">
            <w:pPr>
              <w:spacing w:before="42"/>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4.5</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-1</w:t>
            </w:r>
            <w:r>
              <w:rPr>
                <w:rFonts w:ascii="Times New Roman" w:eastAsia="Arial" w:hAnsi="Times New Roman" w:cs="Times New Roman"/>
                <w:b/>
                <w:sz w:val="20"/>
                <w:szCs w:val="20"/>
                <w:vertAlign w:val="superscript"/>
              </w:rPr>
              <w:t xml:space="preserve"> </w:t>
            </w:r>
            <w:r w:rsidRPr="00ED4B57">
              <w:rPr>
                <w:rFonts w:ascii="Times New Roman" w:eastAsia="Arial" w:hAnsi="Times New Roman" w:cs="Times New Roman"/>
                <w:b/>
                <w:sz w:val="20"/>
                <w:szCs w:val="20"/>
              </w:rPr>
              <w:t>+ FYM 5 t ha</w:t>
            </w:r>
            <w:r w:rsidRPr="00ED4B57">
              <w:rPr>
                <w:rFonts w:ascii="Times New Roman" w:eastAsia="Arial" w:hAnsi="Times New Roman" w:cs="Times New Roman"/>
                <w:b/>
                <w:sz w:val="20"/>
                <w:szCs w:val="20"/>
                <w:vertAlign w:val="superscript"/>
              </w:rPr>
              <w:t>-1</w:t>
            </w:r>
          </w:p>
        </w:tc>
        <w:tc>
          <w:tcPr>
            <w:tcW w:w="715"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99"/>
              <w:rPr>
                <w:rFonts w:ascii="Times New Roman" w:hAnsi="Times New Roman" w:cs="Times New Roman"/>
                <w:sz w:val="20"/>
                <w:szCs w:val="20"/>
              </w:rPr>
            </w:pPr>
            <w:r w:rsidRPr="00E1098B">
              <w:rPr>
                <w:rFonts w:ascii="Times New Roman" w:hAnsi="Times New Roman" w:cs="Times New Roman"/>
                <w:sz w:val="20"/>
                <w:szCs w:val="20"/>
              </w:rPr>
              <w:t>237.95</w:t>
            </w:r>
          </w:p>
        </w:tc>
        <w:tc>
          <w:tcPr>
            <w:tcW w:w="810"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98"/>
              <w:rPr>
                <w:rFonts w:ascii="Times New Roman" w:hAnsi="Times New Roman" w:cs="Times New Roman"/>
                <w:sz w:val="20"/>
                <w:szCs w:val="20"/>
              </w:rPr>
            </w:pPr>
            <w:r w:rsidRPr="00E1098B">
              <w:rPr>
                <w:rFonts w:ascii="Times New Roman" w:hAnsi="Times New Roman" w:cs="Times New Roman"/>
                <w:sz w:val="20"/>
                <w:szCs w:val="20"/>
              </w:rPr>
              <w:t>230.28</w:t>
            </w:r>
          </w:p>
        </w:tc>
        <w:tc>
          <w:tcPr>
            <w:tcW w:w="720"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155"/>
              <w:rPr>
                <w:rFonts w:ascii="Times New Roman" w:hAnsi="Times New Roman" w:cs="Times New Roman"/>
                <w:sz w:val="20"/>
                <w:szCs w:val="20"/>
              </w:rPr>
            </w:pPr>
            <w:r w:rsidRPr="00E1098B">
              <w:rPr>
                <w:rFonts w:ascii="Times New Roman" w:hAnsi="Times New Roman" w:cs="Times New Roman"/>
                <w:sz w:val="20"/>
                <w:szCs w:val="20"/>
              </w:rPr>
              <w:t>224.29</w:t>
            </w:r>
          </w:p>
        </w:tc>
        <w:tc>
          <w:tcPr>
            <w:tcW w:w="630" w:type="dxa"/>
          </w:tcPr>
          <w:p w:rsidR="008D2D3D" w:rsidRPr="00E1098B" w:rsidRDefault="008D2D3D" w:rsidP="008D2D3D">
            <w:pPr>
              <w:pStyle w:val="TableParagraph"/>
              <w:spacing w:before="206"/>
              <w:ind w:left="86" w:right="78"/>
              <w:rPr>
                <w:rFonts w:ascii="Times New Roman" w:hAnsi="Times New Roman" w:cs="Times New Roman"/>
                <w:sz w:val="20"/>
                <w:szCs w:val="20"/>
              </w:rPr>
            </w:pPr>
            <w:r w:rsidRPr="00E1098B">
              <w:rPr>
                <w:rFonts w:ascii="Times New Roman" w:hAnsi="Times New Roman" w:cs="Times New Roman"/>
                <w:sz w:val="20"/>
                <w:szCs w:val="20"/>
              </w:rPr>
              <w:t>27.39</w:t>
            </w:r>
          </w:p>
        </w:tc>
        <w:tc>
          <w:tcPr>
            <w:tcW w:w="719" w:type="dxa"/>
          </w:tcPr>
          <w:p w:rsidR="008D2D3D" w:rsidRPr="00E1098B" w:rsidRDefault="008D2D3D" w:rsidP="008D2D3D">
            <w:pPr>
              <w:pStyle w:val="TableParagraph"/>
              <w:spacing w:before="206"/>
              <w:ind w:left="173"/>
              <w:rPr>
                <w:rFonts w:ascii="Times New Roman" w:hAnsi="Times New Roman" w:cs="Times New Roman"/>
                <w:sz w:val="20"/>
                <w:szCs w:val="20"/>
              </w:rPr>
            </w:pPr>
            <w:r w:rsidRPr="00E1098B">
              <w:rPr>
                <w:rFonts w:ascii="Times New Roman" w:hAnsi="Times New Roman" w:cs="Times New Roman"/>
                <w:sz w:val="20"/>
                <w:szCs w:val="20"/>
              </w:rPr>
              <w:t>25.53</w:t>
            </w:r>
          </w:p>
        </w:tc>
        <w:tc>
          <w:tcPr>
            <w:tcW w:w="631" w:type="dxa"/>
          </w:tcPr>
          <w:p w:rsidR="008D2D3D" w:rsidRPr="00E1098B" w:rsidRDefault="008D2D3D" w:rsidP="008D2D3D">
            <w:pPr>
              <w:pStyle w:val="TableParagraph"/>
              <w:spacing w:before="206"/>
              <w:ind w:left="85" w:right="76"/>
              <w:rPr>
                <w:rFonts w:ascii="Times New Roman" w:hAnsi="Times New Roman" w:cs="Times New Roman"/>
                <w:sz w:val="20"/>
                <w:szCs w:val="20"/>
              </w:rPr>
            </w:pPr>
            <w:r w:rsidRPr="00E1098B">
              <w:rPr>
                <w:rFonts w:ascii="Times New Roman" w:hAnsi="Times New Roman" w:cs="Times New Roman"/>
                <w:sz w:val="20"/>
                <w:szCs w:val="20"/>
              </w:rPr>
              <w:t>19.37</w:t>
            </w:r>
          </w:p>
        </w:tc>
        <w:tc>
          <w:tcPr>
            <w:tcW w:w="80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95" w:right="84"/>
              <w:rPr>
                <w:rFonts w:ascii="Times New Roman" w:hAnsi="Times New Roman" w:cs="Times New Roman"/>
                <w:sz w:val="20"/>
                <w:szCs w:val="20"/>
              </w:rPr>
            </w:pPr>
            <w:r w:rsidRPr="00E1098B">
              <w:rPr>
                <w:rFonts w:ascii="Times New Roman" w:hAnsi="Times New Roman" w:cs="Times New Roman"/>
                <w:sz w:val="20"/>
                <w:szCs w:val="20"/>
              </w:rPr>
              <w:t>284.44</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0" w:right="70"/>
              <w:rPr>
                <w:rFonts w:ascii="Times New Roman" w:hAnsi="Times New Roman" w:cs="Times New Roman"/>
                <w:sz w:val="20"/>
                <w:szCs w:val="20"/>
              </w:rPr>
            </w:pPr>
            <w:r w:rsidRPr="00E1098B">
              <w:rPr>
                <w:rFonts w:ascii="Times New Roman" w:hAnsi="Times New Roman" w:cs="Times New Roman"/>
                <w:sz w:val="20"/>
                <w:szCs w:val="20"/>
              </w:rPr>
              <w:t>264.01</w:t>
            </w:r>
          </w:p>
        </w:tc>
        <w:tc>
          <w:tcPr>
            <w:tcW w:w="81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9" w:right="76"/>
              <w:rPr>
                <w:rFonts w:ascii="Times New Roman" w:hAnsi="Times New Roman" w:cs="Times New Roman"/>
                <w:sz w:val="20"/>
                <w:szCs w:val="20"/>
              </w:rPr>
            </w:pPr>
            <w:r w:rsidRPr="00E1098B">
              <w:rPr>
                <w:rFonts w:ascii="Times New Roman" w:hAnsi="Times New Roman" w:cs="Times New Roman"/>
                <w:sz w:val="20"/>
                <w:szCs w:val="20"/>
              </w:rPr>
              <w:t>255.16</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6" w:right="77"/>
              <w:rPr>
                <w:rFonts w:ascii="Times New Roman" w:hAnsi="Times New Roman" w:cs="Times New Roman"/>
                <w:sz w:val="20"/>
                <w:szCs w:val="20"/>
              </w:rPr>
            </w:pPr>
            <w:r w:rsidRPr="00E1098B">
              <w:rPr>
                <w:rFonts w:ascii="Times New Roman" w:hAnsi="Times New Roman" w:cs="Times New Roman"/>
                <w:sz w:val="20"/>
                <w:szCs w:val="20"/>
              </w:rPr>
              <w:t>16.97</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173"/>
              <w:rPr>
                <w:rFonts w:ascii="Times New Roman" w:hAnsi="Times New Roman" w:cs="Times New Roman"/>
                <w:sz w:val="20"/>
                <w:szCs w:val="20"/>
              </w:rPr>
            </w:pPr>
            <w:r w:rsidRPr="00E1098B">
              <w:rPr>
                <w:rFonts w:ascii="Times New Roman" w:hAnsi="Times New Roman" w:cs="Times New Roman"/>
                <w:sz w:val="20"/>
                <w:szCs w:val="20"/>
              </w:rPr>
              <w:t>11.93</w:t>
            </w:r>
          </w:p>
        </w:tc>
        <w:tc>
          <w:tcPr>
            <w:tcW w:w="669"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7" w:right="88"/>
              <w:rPr>
                <w:rFonts w:ascii="Times New Roman" w:hAnsi="Times New Roman" w:cs="Times New Roman"/>
                <w:sz w:val="20"/>
                <w:szCs w:val="20"/>
              </w:rPr>
            </w:pPr>
            <w:r w:rsidRPr="00E1098B">
              <w:rPr>
                <w:rFonts w:ascii="Times New Roman" w:hAnsi="Times New Roman" w:cs="Times New Roman"/>
                <w:sz w:val="20"/>
                <w:szCs w:val="20"/>
              </w:rPr>
              <w:t>9.24</w:t>
            </w:r>
          </w:p>
        </w:tc>
      </w:tr>
      <w:tr w:rsidR="008D2D3D" w:rsidRPr="00E1098B" w:rsidTr="00CB26B2">
        <w:trPr>
          <w:trHeight w:val="572"/>
        </w:trPr>
        <w:tc>
          <w:tcPr>
            <w:tcW w:w="360" w:type="dxa"/>
          </w:tcPr>
          <w:p w:rsidR="008D2D3D" w:rsidRPr="00E1098B" w:rsidRDefault="008D2D3D" w:rsidP="008D2D3D">
            <w:pPr>
              <w:pStyle w:val="TableParagraph"/>
              <w:spacing w:before="10"/>
              <w:jc w:val="left"/>
              <w:rPr>
                <w:rFonts w:ascii="Times New Roman" w:hAnsi="Times New Roman" w:cs="Times New Roman"/>
                <w:b/>
                <w:sz w:val="20"/>
                <w:szCs w:val="20"/>
              </w:rPr>
            </w:pPr>
          </w:p>
          <w:p w:rsidR="008D2D3D" w:rsidRPr="00E1098B" w:rsidRDefault="008D2D3D" w:rsidP="008D2D3D">
            <w:pPr>
              <w:pStyle w:val="TableParagraph"/>
              <w:spacing w:before="0"/>
              <w:ind w:right="62"/>
              <w:rPr>
                <w:rFonts w:ascii="Times New Roman" w:hAnsi="Times New Roman" w:cs="Times New Roman"/>
                <w:b/>
                <w:sz w:val="20"/>
                <w:szCs w:val="20"/>
              </w:rPr>
            </w:pPr>
            <w:r w:rsidRPr="00E1098B">
              <w:rPr>
                <w:rFonts w:ascii="Times New Roman" w:hAnsi="Times New Roman" w:cs="Times New Roman"/>
                <w:b/>
                <w:spacing w:val="-5"/>
                <w:sz w:val="20"/>
                <w:szCs w:val="20"/>
              </w:rPr>
              <w:t>T</w:t>
            </w:r>
            <w:r w:rsidRPr="00E1098B">
              <w:rPr>
                <w:rFonts w:ascii="Times New Roman" w:hAnsi="Times New Roman" w:cs="Times New Roman"/>
                <w:b/>
                <w:spacing w:val="-5"/>
                <w:sz w:val="20"/>
                <w:szCs w:val="20"/>
                <w:vertAlign w:val="subscript"/>
              </w:rPr>
              <w:t>6</w:t>
            </w:r>
          </w:p>
        </w:tc>
        <w:tc>
          <w:tcPr>
            <w:tcW w:w="1715" w:type="dxa"/>
          </w:tcPr>
          <w:p w:rsidR="008D2D3D" w:rsidRPr="00ED4B57" w:rsidRDefault="008D2D3D" w:rsidP="008D2D3D">
            <w:pPr>
              <w:spacing w:before="42"/>
              <w:ind w:left="105"/>
              <w:rPr>
                <w:rFonts w:ascii="Times New Roman" w:eastAsia="Arial" w:hAnsi="Times New Roman" w:cs="Times New Roman"/>
                <w:b/>
                <w:sz w:val="20"/>
                <w:szCs w:val="20"/>
              </w:rPr>
            </w:pPr>
            <w:r w:rsidRPr="00ED4B57">
              <w:rPr>
                <w:rFonts w:ascii="Times New Roman" w:eastAsia="Arial" w:hAnsi="Times New Roman" w:cs="Times New Roman"/>
                <w:b/>
                <w:sz w:val="20"/>
                <w:szCs w:val="20"/>
              </w:rPr>
              <w:t>Target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Yield</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6</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ha</w:t>
            </w:r>
            <w:r w:rsidRPr="00ED4B57">
              <w:rPr>
                <w:rFonts w:ascii="Times New Roman" w:eastAsia="Arial" w:hAnsi="Times New Roman" w:cs="Times New Roman"/>
                <w:b/>
                <w:sz w:val="20"/>
                <w:szCs w:val="20"/>
                <w:vertAlign w:val="superscript"/>
              </w:rPr>
              <w:t>-1</w:t>
            </w:r>
            <w:r>
              <w:rPr>
                <w:rFonts w:ascii="Times New Roman" w:eastAsia="Arial" w:hAnsi="Times New Roman" w:cs="Times New Roman"/>
                <w:b/>
                <w:sz w:val="20"/>
                <w:szCs w:val="20"/>
                <w:vertAlign w:val="superscript"/>
              </w:rPr>
              <w:t xml:space="preserve"> </w:t>
            </w:r>
            <w:r w:rsidRPr="00ED4B57">
              <w:rPr>
                <w:rFonts w:ascii="Times New Roman" w:eastAsia="Arial" w:hAnsi="Times New Roman" w:cs="Times New Roman"/>
                <w:b/>
                <w:sz w:val="20"/>
                <w:szCs w:val="20"/>
              </w:rPr>
              <w:t>+</w:t>
            </w:r>
            <w:r>
              <w:rPr>
                <w:rFonts w:ascii="Times New Roman" w:eastAsia="Arial" w:hAnsi="Times New Roman" w:cs="Times New Roman"/>
                <w:b/>
                <w:sz w:val="20"/>
                <w:szCs w:val="20"/>
              </w:rPr>
              <w:t xml:space="preserve"> </w:t>
            </w:r>
            <w:r w:rsidRPr="00ED4B57">
              <w:rPr>
                <w:rFonts w:ascii="Times New Roman" w:eastAsia="Arial" w:hAnsi="Times New Roman" w:cs="Times New Roman"/>
                <w:b/>
                <w:sz w:val="20"/>
                <w:szCs w:val="20"/>
              </w:rPr>
              <w:t>FYM 5 t ha</w:t>
            </w:r>
            <w:r w:rsidRPr="00ED4B57">
              <w:rPr>
                <w:rFonts w:ascii="Times New Roman" w:eastAsia="Arial" w:hAnsi="Times New Roman" w:cs="Times New Roman"/>
                <w:b/>
                <w:sz w:val="20"/>
                <w:szCs w:val="20"/>
                <w:vertAlign w:val="superscript"/>
              </w:rPr>
              <w:t>-1</w:t>
            </w:r>
          </w:p>
        </w:tc>
        <w:tc>
          <w:tcPr>
            <w:tcW w:w="715"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99"/>
              <w:rPr>
                <w:rFonts w:ascii="Times New Roman" w:hAnsi="Times New Roman" w:cs="Times New Roman"/>
                <w:sz w:val="20"/>
                <w:szCs w:val="20"/>
              </w:rPr>
            </w:pPr>
            <w:r w:rsidRPr="00E1098B">
              <w:rPr>
                <w:rFonts w:ascii="Times New Roman" w:hAnsi="Times New Roman" w:cs="Times New Roman"/>
                <w:sz w:val="20"/>
                <w:szCs w:val="20"/>
              </w:rPr>
              <w:t>246.50</w:t>
            </w:r>
          </w:p>
        </w:tc>
        <w:tc>
          <w:tcPr>
            <w:tcW w:w="810"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98"/>
              <w:rPr>
                <w:rFonts w:ascii="Times New Roman" w:hAnsi="Times New Roman" w:cs="Times New Roman"/>
                <w:sz w:val="20"/>
                <w:szCs w:val="20"/>
              </w:rPr>
            </w:pPr>
            <w:r w:rsidRPr="00E1098B">
              <w:rPr>
                <w:rFonts w:ascii="Times New Roman" w:hAnsi="Times New Roman" w:cs="Times New Roman"/>
                <w:sz w:val="20"/>
                <w:szCs w:val="20"/>
              </w:rPr>
              <w:t>240.12</w:t>
            </w:r>
          </w:p>
        </w:tc>
        <w:tc>
          <w:tcPr>
            <w:tcW w:w="720" w:type="dxa"/>
          </w:tcPr>
          <w:p w:rsidR="008D2D3D" w:rsidRPr="00E1098B" w:rsidRDefault="008D2D3D" w:rsidP="008D2D3D">
            <w:pPr>
              <w:pStyle w:val="TableParagraph"/>
              <w:rPr>
                <w:rFonts w:ascii="Times New Roman" w:hAnsi="Times New Roman" w:cs="Times New Roman"/>
                <w:b/>
                <w:sz w:val="20"/>
                <w:szCs w:val="20"/>
              </w:rPr>
            </w:pPr>
          </w:p>
          <w:p w:rsidR="008D2D3D" w:rsidRPr="00E1098B" w:rsidRDefault="008D2D3D" w:rsidP="008D2D3D">
            <w:pPr>
              <w:pStyle w:val="TableParagraph"/>
              <w:spacing w:before="1"/>
              <w:ind w:right="155"/>
              <w:rPr>
                <w:rFonts w:ascii="Times New Roman" w:hAnsi="Times New Roman" w:cs="Times New Roman"/>
                <w:sz w:val="20"/>
                <w:szCs w:val="20"/>
              </w:rPr>
            </w:pPr>
            <w:r w:rsidRPr="00E1098B">
              <w:rPr>
                <w:rFonts w:ascii="Times New Roman" w:hAnsi="Times New Roman" w:cs="Times New Roman"/>
                <w:sz w:val="20"/>
                <w:szCs w:val="20"/>
              </w:rPr>
              <w:t>232.85</w:t>
            </w:r>
          </w:p>
        </w:tc>
        <w:tc>
          <w:tcPr>
            <w:tcW w:w="630" w:type="dxa"/>
          </w:tcPr>
          <w:p w:rsidR="008D2D3D" w:rsidRPr="00E1098B" w:rsidRDefault="008D2D3D" w:rsidP="008D2D3D">
            <w:pPr>
              <w:pStyle w:val="TableParagraph"/>
              <w:spacing w:before="8"/>
              <w:rPr>
                <w:rFonts w:ascii="Times New Roman" w:hAnsi="Times New Roman" w:cs="Times New Roman"/>
                <w:b/>
                <w:sz w:val="20"/>
                <w:szCs w:val="20"/>
              </w:rPr>
            </w:pPr>
          </w:p>
          <w:p w:rsidR="008D2D3D" w:rsidRPr="00E1098B" w:rsidRDefault="008D2D3D" w:rsidP="008D2D3D">
            <w:pPr>
              <w:pStyle w:val="TableParagraph"/>
              <w:ind w:left="86" w:right="78"/>
              <w:rPr>
                <w:rFonts w:ascii="Times New Roman" w:hAnsi="Times New Roman" w:cs="Times New Roman"/>
                <w:sz w:val="20"/>
                <w:szCs w:val="20"/>
              </w:rPr>
            </w:pPr>
            <w:r w:rsidRPr="00E1098B">
              <w:rPr>
                <w:rFonts w:ascii="Times New Roman" w:hAnsi="Times New Roman" w:cs="Times New Roman"/>
                <w:sz w:val="20"/>
                <w:szCs w:val="20"/>
              </w:rPr>
              <w:t>30.03</w:t>
            </w:r>
          </w:p>
        </w:tc>
        <w:tc>
          <w:tcPr>
            <w:tcW w:w="719" w:type="dxa"/>
          </w:tcPr>
          <w:p w:rsidR="008D2D3D" w:rsidRPr="00E1098B" w:rsidRDefault="008D2D3D" w:rsidP="008D2D3D">
            <w:pPr>
              <w:pStyle w:val="TableParagraph"/>
              <w:spacing w:before="8"/>
              <w:rPr>
                <w:rFonts w:ascii="Times New Roman" w:hAnsi="Times New Roman" w:cs="Times New Roman"/>
                <w:b/>
                <w:sz w:val="20"/>
                <w:szCs w:val="20"/>
              </w:rPr>
            </w:pPr>
          </w:p>
          <w:p w:rsidR="008D2D3D" w:rsidRPr="00E1098B" w:rsidRDefault="008D2D3D" w:rsidP="008D2D3D">
            <w:pPr>
              <w:pStyle w:val="TableParagraph"/>
              <w:ind w:left="173"/>
              <w:rPr>
                <w:rFonts w:ascii="Times New Roman" w:hAnsi="Times New Roman" w:cs="Times New Roman"/>
                <w:sz w:val="20"/>
                <w:szCs w:val="20"/>
              </w:rPr>
            </w:pPr>
            <w:r w:rsidRPr="00E1098B">
              <w:rPr>
                <w:rFonts w:ascii="Times New Roman" w:hAnsi="Times New Roman" w:cs="Times New Roman"/>
                <w:sz w:val="20"/>
                <w:szCs w:val="20"/>
              </w:rPr>
              <w:t>27.30</w:t>
            </w:r>
          </w:p>
        </w:tc>
        <w:tc>
          <w:tcPr>
            <w:tcW w:w="631" w:type="dxa"/>
          </w:tcPr>
          <w:p w:rsidR="008D2D3D" w:rsidRPr="00E1098B" w:rsidRDefault="008D2D3D" w:rsidP="008D2D3D">
            <w:pPr>
              <w:pStyle w:val="TableParagraph"/>
              <w:spacing w:before="8"/>
              <w:rPr>
                <w:rFonts w:ascii="Times New Roman" w:hAnsi="Times New Roman" w:cs="Times New Roman"/>
                <w:b/>
                <w:sz w:val="20"/>
                <w:szCs w:val="20"/>
              </w:rPr>
            </w:pPr>
          </w:p>
          <w:p w:rsidR="008D2D3D" w:rsidRPr="00E1098B" w:rsidRDefault="008D2D3D" w:rsidP="008D2D3D">
            <w:pPr>
              <w:pStyle w:val="TableParagraph"/>
              <w:ind w:left="85" w:right="76"/>
              <w:rPr>
                <w:rFonts w:ascii="Times New Roman" w:hAnsi="Times New Roman" w:cs="Times New Roman"/>
                <w:sz w:val="20"/>
                <w:szCs w:val="20"/>
              </w:rPr>
            </w:pPr>
            <w:r w:rsidRPr="00E1098B">
              <w:rPr>
                <w:rFonts w:ascii="Times New Roman" w:hAnsi="Times New Roman" w:cs="Times New Roman"/>
                <w:sz w:val="20"/>
                <w:szCs w:val="20"/>
              </w:rPr>
              <w:t>19.50</w:t>
            </w:r>
          </w:p>
        </w:tc>
        <w:tc>
          <w:tcPr>
            <w:tcW w:w="80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95" w:right="84"/>
              <w:rPr>
                <w:rFonts w:ascii="Times New Roman" w:hAnsi="Times New Roman" w:cs="Times New Roman"/>
                <w:sz w:val="20"/>
                <w:szCs w:val="20"/>
              </w:rPr>
            </w:pPr>
            <w:r w:rsidRPr="00E1098B">
              <w:rPr>
                <w:rFonts w:ascii="Times New Roman" w:hAnsi="Times New Roman" w:cs="Times New Roman"/>
                <w:sz w:val="20"/>
                <w:szCs w:val="20"/>
              </w:rPr>
              <w:t>291.17</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0" w:right="70"/>
              <w:rPr>
                <w:rFonts w:ascii="Times New Roman" w:hAnsi="Times New Roman" w:cs="Times New Roman"/>
                <w:sz w:val="20"/>
                <w:szCs w:val="20"/>
              </w:rPr>
            </w:pPr>
            <w:r w:rsidRPr="00E1098B">
              <w:rPr>
                <w:rFonts w:ascii="Times New Roman" w:hAnsi="Times New Roman" w:cs="Times New Roman"/>
                <w:sz w:val="20"/>
                <w:szCs w:val="20"/>
              </w:rPr>
              <w:t>269.79</w:t>
            </w:r>
          </w:p>
        </w:tc>
        <w:tc>
          <w:tcPr>
            <w:tcW w:w="81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9" w:right="76"/>
              <w:rPr>
                <w:rFonts w:ascii="Times New Roman" w:hAnsi="Times New Roman" w:cs="Times New Roman"/>
                <w:sz w:val="20"/>
                <w:szCs w:val="20"/>
              </w:rPr>
            </w:pPr>
            <w:r w:rsidRPr="00E1098B">
              <w:rPr>
                <w:rFonts w:ascii="Times New Roman" w:hAnsi="Times New Roman" w:cs="Times New Roman"/>
                <w:sz w:val="20"/>
                <w:szCs w:val="20"/>
              </w:rPr>
              <w:t>259.07</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6" w:right="77"/>
              <w:rPr>
                <w:rFonts w:ascii="Times New Roman" w:hAnsi="Times New Roman" w:cs="Times New Roman"/>
                <w:sz w:val="20"/>
                <w:szCs w:val="20"/>
              </w:rPr>
            </w:pPr>
            <w:r w:rsidRPr="00E1098B">
              <w:rPr>
                <w:rFonts w:ascii="Times New Roman" w:hAnsi="Times New Roman" w:cs="Times New Roman"/>
                <w:sz w:val="20"/>
                <w:szCs w:val="20"/>
              </w:rPr>
              <w:t>17.95</w:t>
            </w:r>
          </w:p>
        </w:tc>
        <w:tc>
          <w:tcPr>
            <w:tcW w:w="720"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173"/>
              <w:rPr>
                <w:rFonts w:ascii="Times New Roman" w:hAnsi="Times New Roman" w:cs="Times New Roman"/>
                <w:sz w:val="20"/>
                <w:szCs w:val="20"/>
              </w:rPr>
            </w:pPr>
            <w:r w:rsidRPr="00E1098B">
              <w:rPr>
                <w:rFonts w:ascii="Times New Roman" w:hAnsi="Times New Roman" w:cs="Times New Roman"/>
                <w:sz w:val="20"/>
                <w:szCs w:val="20"/>
              </w:rPr>
              <w:t>12.34</w:t>
            </w:r>
          </w:p>
        </w:tc>
        <w:tc>
          <w:tcPr>
            <w:tcW w:w="669" w:type="dxa"/>
          </w:tcPr>
          <w:p w:rsidR="008D2D3D" w:rsidRPr="00E1098B" w:rsidRDefault="008D2D3D" w:rsidP="008D2D3D">
            <w:pPr>
              <w:pStyle w:val="TableParagraph"/>
              <w:spacing w:before="1"/>
              <w:rPr>
                <w:rFonts w:ascii="Times New Roman" w:hAnsi="Times New Roman" w:cs="Times New Roman"/>
                <w:b/>
                <w:sz w:val="20"/>
                <w:szCs w:val="20"/>
              </w:rPr>
            </w:pPr>
          </w:p>
          <w:p w:rsidR="008D2D3D" w:rsidRPr="00E1098B" w:rsidRDefault="008D2D3D" w:rsidP="008D2D3D">
            <w:pPr>
              <w:pStyle w:val="TableParagraph"/>
              <w:ind w:left="87" w:right="88"/>
              <w:rPr>
                <w:rFonts w:ascii="Times New Roman" w:hAnsi="Times New Roman" w:cs="Times New Roman"/>
                <w:sz w:val="20"/>
                <w:szCs w:val="20"/>
              </w:rPr>
            </w:pPr>
            <w:r w:rsidRPr="00E1098B">
              <w:rPr>
                <w:rFonts w:ascii="Times New Roman" w:hAnsi="Times New Roman" w:cs="Times New Roman"/>
                <w:sz w:val="20"/>
                <w:szCs w:val="20"/>
              </w:rPr>
              <w:t>9.81</w:t>
            </w:r>
          </w:p>
        </w:tc>
      </w:tr>
      <w:tr w:rsidR="008D2D3D" w:rsidRPr="00E1098B" w:rsidTr="00CB26B2">
        <w:trPr>
          <w:trHeight w:val="499"/>
        </w:trPr>
        <w:tc>
          <w:tcPr>
            <w:tcW w:w="2075" w:type="dxa"/>
            <w:gridSpan w:val="2"/>
          </w:tcPr>
          <w:p w:rsidR="008D2D3D" w:rsidRPr="00E1098B" w:rsidRDefault="008D2D3D" w:rsidP="008D2D3D">
            <w:pPr>
              <w:pStyle w:val="TableParagraph"/>
              <w:spacing w:before="121"/>
              <w:ind w:left="614"/>
              <w:jc w:val="left"/>
              <w:rPr>
                <w:rFonts w:ascii="Times New Roman" w:hAnsi="Times New Roman" w:cs="Times New Roman"/>
                <w:b/>
                <w:sz w:val="20"/>
                <w:szCs w:val="20"/>
              </w:rPr>
            </w:pPr>
            <w:proofErr w:type="spellStart"/>
            <w:r w:rsidRPr="00E1098B">
              <w:rPr>
                <w:rFonts w:ascii="Times New Roman" w:hAnsi="Times New Roman" w:cs="Times New Roman"/>
                <w:b/>
                <w:sz w:val="20"/>
                <w:szCs w:val="20"/>
              </w:rPr>
              <w:t>SEm</w:t>
            </w:r>
            <w:proofErr w:type="spellEnd"/>
            <w:r w:rsidRPr="00E1098B">
              <w:rPr>
                <w:rFonts w:ascii="Times New Roman" w:hAnsi="Times New Roman" w:cs="Times New Roman"/>
                <w:b/>
                <w:spacing w:val="-10"/>
                <w:sz w:val="20"/>
                <w:szCs w:val="20"/>
              </w:rPr>
              <w:t>±</w:t>
            </w:r>
          </w:p>
        </w:tc>
        <w:tc>
          <w:tcPr>
            <w:tcW w:w="715" w:type="dxa"/>
          </w:tcPr>
          <w:p w:rsidR="008D2D3D" w:rsidRPr="00E1098B" w:rsidRDefault="008D2D3D" w:rsidP="008D2D3D">
            <w:pPr>
              <w:pStyle w:val="TableParagraph"/>
              <w:spacing w:before="6"/>
              <w:rPr>
                <w:rFonts w:ascii="Times New Roman" w:hAnsi="Times New Roman" w:cs="Times New Roman"/>
                <w:b/>
                <w:sz w:val="20"/>
                <w:szCs w:val="20"/>
              </w:rPr>
            </w:pPr>
          </w:p>
          <w:p w:rsidR="008D2D3D" w:rsidRPr="00E1098B" w:rsidRDefault="008D2D3D" w:rsidP="008D2D3D">
            <w:pPr>
              <w:pStyle w:val="TableParagraph"/>
              <w:ind w:left="241"/>
              <w:rPr>
                <w:rFonts w:ascii="Times New Roman" w:hAnsi="Times New Roman" w:cs="Times New Roman"/>
                <w:sz w:val="20"/>
                <w:szCs w:val="20"/>
              </w:rPr>
            </w:pPr>
            <w:r w:rsidRPr="00E1098B">
              <w:rPr>
                <w:rFonts w:ascii="Times New Roman" w:hAnsi="Times New Roman" w:cs="Times New Roman"/>
                <w:sz w:val="20"/>
                <w:szCs w:val="20"/>
              </w:rPr>
              <w:t>3.90</w:t>
            </w:r>
          </w:p>
        </w:tc>
        <w:tc>
          <w:tcPr>
            <w:tcW w:w="810" w:type="dxa"/>
          </w:tcPr>
          <w:p w:rsidR="008D2D3D" w:rsidRPr="00E1098B" w:rsidRDefault="008D2D3D" w:rsidP="008D2D3D">
            <w:pPr>
              <w:pStyle w:val="TableParagraph"/>
              <w:ind w:left="241"/>
              <w:rPr>
                <w:rFonts w:ascii="Times New Roman" w:hAnsi="Times New Roman" w:cs="Times New Roman"/>
                <w:sz w:val="20"/>
                <w:szCs w:val="20"/>
              </w:rPr>
            </w:pPr>
            <w:r w:rsidRPr="00E1098B">
              <w:rPr>
                <w:rFonts w:ascii="Times New Roman" w:hAnsi="Times New Roman" w:cs="Times New Roman"/>
                <w:sz w:val="20"/>
                <w:szCs w:val="20"/>
              </w:rPr>
              <w:t>3.68</w:t>
            </w:r>
          </w:p>
        </w:tc>
        <w:tc>
          <w:tcPr>
            <w:tcW w:w="720" w:type="dxa"/>
          </w:tcPr>
          <w:p w:rsidR="008D2D3D" w:rsidRPr="00E1098B" w:rsidRDefault="008D2D3D" w:rsidP="008D2D3D">
            <w:pPr>
              <w:pStyle w:val="TableParagraph"/>
              <w:spacing w:before="6"/>
              <w:rPr>
                <w:rFonts w:ascii="Times New Roman" w:hAnsi="Times New Roman" w:cs="Times New Roman"/>
                <w:b/>
                <w:sz w:val="20"/>
                <w:szCs w:val="20"/>
              </w:rPr>
            </w:pPr>
          </w:p>
          <w:p w:rsidR="008D2D3D" w:rsidRPr="00E1098B" w:rsidRDefault="008D2D3D" w:rsidP="008D2D3D">
            <w:pPr>
              <w:pStyle w:val="TableParagraph"/>
              <w:ind w:left="289"/>
              <w:rPr>
                <w:rFonts w:ascii="Times New Roman" w:hAnsi="Times New Roman" w:cs="Times New Roman"/>
                <w:sz w:val="20"/>
                <w:szCs w:val="20"/>
              </w:rPr>
            </w:pPr>
            <w:r w:rsidRPr="00E1098B">
              <w:rPr>
                <w:rFonts w:ascii="Times New Roman" w:hAnsi="Times New Roman" w:cs="Times New Roman"/>
                <w:sz w:val="20"/>
                <w:szCs w:val="20"/>
              </w:rPr>
              <w:t>3.43</w:t>
            </w:r>
          </w:p>
        </w:tc>
        <w:tc>
          <w:tcPr>
            <w:tcW w:w="630" w:type="dxa"/>
          </w:tcPr>
          <w:p w:rsidR="008D2D3D" w:rsidRPr="00E1098B" w:rsidRDefault="008D2D3D" w:rsidP="008D2D3D">
            <w:pPr>
              <w:pStyle w:val="TableParagraph"/>
              <w:spacing w:before="218"/>
              <w:ind w:left="84" w:right="79"/>
              <w:rPr>
                <w:rFonts w:ascii="Times New Roman" w:hAnsi="Times New Roman" w:cs="Times New Roman"/>
                <w:sz w:val="20"/>
                <w:szCs w:val="20"/>
              </w:rPr>
            </w:pPr>
            <w:r w:rsidRPr="00E1098B">
              <w:rPr>
                <w:rFonts w:ascii="Times New Roman" w:hAnsi="Times New Roman" w:cs="Times New Roman"/>
                <w:sz w:val="20"/>
                <w:szCs w:val="20"/>
              </w:rPr>
              <w:t>1.16</w:t>
            </w:r>
          </w:p>
        </w:tc>
        <w:tc>
          <w:tcPr>
            <w:tcW w:w="719" w:type="dxa"/>
          </w:tcPr>
          <w:p w:rsidR="008D2D3D" w:rsidRPr="00E1098B" w:rsidRDefault="008D2D3D" w:rsidP="008D2D3D">
            <w:pPr>
              <w:pStyle w:val="TableParagraph"/>
              <w:spacing w:before="218"/>
              <w:ind w:left="238"/>
              <w:rPr>
                <w:rFonts w:ascii="Times New Roman" w:hAnsi="Times New Roman" w:cs="Times New Roman"/>
                <w:sz w:val="20"/>
                <w:szCs w:val="20"/>
              </w:rPr>
            </w:pPr>
            <w:r w:rsidRPr="00E1098B">
              <w:rPr>
                <w:rFonts w:ascii="Times New Roman" w:hAnsi="Times New Roman" w:cs="Times New Roman"/>
                <w:sz w:val="20"/>
                <w:szCs w:val="20"/>
              </w:rPr>
              <w:t>0.64</w:t>
            </w:r>
          </w:p>
        </w:tc>
        <w:tc>
          <w:tcPr>
            <w:tcW w:w="631" w:type="dxa"/>
          </w:tcPr>
          <w:p w:rsidR="008D2D3D" w:rsidRPr="00E1098B" w:rsidRDefault="008D2D3D" w:rsidP="008D2D3D">
            <w:pPr>
              <w:pStyle w:val="TableParagraph"/>
              <w:spacing w:before="218"/>
              <w:ind w:left="83" w:right="76"/>
              <w:rPr>
                <w:rFonts w:ascii="Times New Roman" w:hAnsi="Times New Roman" w:cs="Times New Roman"/>
                <w:sz w:val="20"/>
                <w:szCs w:val="20"/>
              </w:rPr>
            </w:pPr>
            <w:r w:rsidRPr="00E1098B">
              <w:rPr>
                <w:rFonts w:ascii="Times New Roman" w:hAnsi="Times New Roman" w:cs="Times New Roman"/>
                <w:sz w:val="20"/>
                <w:szCs w:val="20"/>
              </w:rPr>
              <w:t>0.47</w:t>
            </w:r>
          </w:p>
        </w:tc>
        <w:tc>
          <w:tcPr>
            <w:tcW w:w="800" w:type="dxa"/>
          </w:tcPr>
          <w:p w:rsidR="008D2D3D" w:rsidRPr="00E1098B" w:rsidRDefault="008D2D3D" w:rsidP="008D2D3D">
            <w:pPr>
              <w:pStyle w:val="TableParagraph"/>
              <w:spacing w:before="190"/>
              <w:ind w:left="93" w:right="84"/>
              <w:rPr>
                <w:rFonts w:ascii="Times New Roman" w:hAnsi="Times New Roman" w:cs="Times New Roman"/>
                <w:sz w:val="20"/>
                <w:szCs w:val="20"/>
              </w:rPr>
            </w:pPr>
            <w:r w:rsidRPr="00E1098B">
              <w:rPr>
                <w:rFonts w:ascii="Times New Roman" w:hAnsi="Times New Roman" w:cs="Times New Roman"/>
                <w:sz w:val="20"/>
                <w:szCs w:val="20"/>
              </w:rPr>
              <w:t>4.91</w:t>
            </w:r>
          </w:p>
        </w:tc>
        <w:tc>
          <w:tcPr>
            <w:tcW w:w="720" w:type="dxa"/>
          </w:tcPr>
          <w:p w:rsidR="008D2D3D" w:rsidRPr="00E1098B" w:rsidRDefault="008D2D3D" w:rsidP="008D2D3D">
            <w:pPr>
              <w:pStyle w:val="TableParagraph"/>
              <w:spacing w:before="190"/>
              <w:ind w:left="93" w:right="84"/>
              <w:rPr>
                <w:rFonts w:ascii="Times New Roman" w:hAnsi="Times New Roman" w:cs="Times New Roman"/>
                <w:sz w:val="20"/>
                <w:szCs w:val="20"/>
              </w:rPr>
            </w:pPr>
            <w:r w:rsidRPr="00E1098B">
              <w:rPr>
                <w:rFonts w:ascii="Times New Roman" w:hAnsi="Times New Roman" w:cs="Times New Roman"/>
                <w:sz w:val="20"/>
                <w:szCs w:val="20"/>
              </w:rPr>
              <w:t>3.80</w:t>
            </w:r>
          </w:p>
        </w:tc>
        <w:tc>
          <w:tcPr>
            <w:tcW w:w="810" w:type="dxa"/>
          </w:tcPr>
          <w:p w:rsidR="008D2D3D" w:rsidRPr="00E1098B" w:rsidRDefault="008D2D3D" w:rsidP="008D2D3D">
            <w:pPr>
              <w:pStyle w:val="TableParagraph"/>
              <w:spacing w:before="190"/>
              <w:ind w:left="89" w:right="78"/>
              <w:rPr>
                <w:rFonts w:ascii="Times New Roman" w:hAnsi="Times New Roman" w:cs="Times New Roman"/>
                <w:sz w:val="20"/>
                <w:szCs w:val="20"/>
              </w:rPr>
            </w:pPr>
            <w:r w:rsidRPr="00E1098B">
              <w:rPr>
                <w:rFonts w:ascii="Times New Roman" w:hAnsi="Times New Roman" w:cs="Times New Roman"/>
                <w:sz w:val="20"/>
                <w:szCs w:val="20"/>
              </w:rPr>
              <w:t>4.07</w:t>
            </w:r>
          </w:p>
        </w:tc>
        <w:tc>
          <w:tcPr>
            <w:tcW w:w="720" w:type="dxa"/>
          </w:tcPr>
          <w:p w:rsidR="008D2D3D" w:rsidRPr="00E1098B" w:rsidRDefault="008D2D3D" w:rsidP="008D2D3D">
            <w:pPr>
              <w:pStyle w:val="TableParagraph"/>
              <w:spacing w:before="6"/>
              <w:rPr>
                <w:rFonts w:ascii="Times New Roman" w:hAnsi="Times New Roman" w:cs="Times New Roman"/>
                <w:b/>
                <w:sz w:val="20"/>
                <w:szCs w:val="20"/>
              </w:rPr>
            </w:pPr>
          </w:p>
          <w:p w:rsidR="008D2D3D" w:rsidRPr="00E1098B" w:rsidRDefault="008D2D3D" w:rsidP="008D2D3D">
            <w:pPr>
              <w:pStyle w:val="TableParagraph"/>
              <w:ind w:left="86" w:right="79"/>
              <w:rPr>
                <w:rFonts w:ascii="Times New Roman" w:hAnsi="Times New Roman" w:cs="Times New Roman"/>
                <w:sz w:val="20"/>
                <w:szCs w:val="20"/>
              </w:rPr>
            </w:pPr>
            <w:r w:rsidRPr="00E1098B">
              <w:rPr>
                <w:rFonts w:ascii="Times New Roman" w:hAnsi="Times New Roman" w:cs="Times New Roman"/>
                <w:sz w:val="20"/>
                <w:szCs w:val="20"/>
              </w:rPr>
              <w:t>0.51</w:t>
            </w:r>
          </w:p>
        </w:tc>
        <w:tc>
          <w:tcPr>
            <w:tcW w:w="720" w:type="dxa"/>
          </w:tcPr>
          <w:p w:rsidR="008D2D3D" w:rsidRPr="00E1098B" w:rsidRDefault="008D2D3D" w:rsidP="008D2D3D">
            <w:pPr>
              <w:pStyle w:val="TableParagraph"/>
              <w:spacing w:before="6"/>
              <w:rPr>
                <w:rFonts w:ascii="Times New Roman" w:hAnsi="Times New Roman" w:cs="Times New Roman"/>
                <w:b/>
                <w:sz w:val="20"/>
                <w:szCs w:val="20"/>
              </w:rPr>
            </w:pPr>
          </w:p>
          <w:p w:rsidR="008D2D3D" w:rsidRPr="00E1098B" w:rsidRDefault="008D2D3D" w:rsidP="008D2D3D">
            <w:pPr>
              <w:pStyle w:val="TableParagraph"/>
              <w:ind w:left="237"/>
              <w:rPr>
                <w:rFonts w:ascii="Times New Roman" w:hAnsi="Times New Roman" w:cs="Times New Roman"/>
                <w:sz w:val="20"/>
                <w:szCs w:val="20"/>
              </w:rPr>
            </w:pPr>
            <w:r w:rsidRPr="00E1098B">
              <w:rPr>
                <w:rFonts w:ascii="Times New Roman" w:hAnsi="Times New Roman" w:cs="Times New Roman"/>
                <w:sz w:val="20"/>
                <w:szCs w:val="20"/>
              </w:rPr>
              <w:t>0.43</w:t>
            </w:r>
          </w:p>
        </w:tc>
        <w:tc>
          <w:tcPr>
            <w:tcW w:w="669" w:type="dxa"/>
          </w:tcPr>
          <w:p w:rsidR="008D2D3D" w:rsidRPr="00E1098B" w:rsidRDefault="008D2D3D" w:rsidP="008D2D3D">
            <w:pPr>
              <w:pStyle w:val="TableParagraph"/>
              <w:spacing w:before="6"/>
              <w:rPr>
                <w:rFonts w:ascii="Times New Roman" w:hAnsi="Times New Roman" w:cs="Times New Roman"/>
                <w:b/>
                <w:sz w:val="20"/>
                <w:szCs w:val="20"/>
              </w:rPr>
            </w:pPr>
          </w:p>
          <w:p w:rsidR="008D2D3D" w:rsidRPr="00E1098B" w:rsidRDefault="008D2D3D" w:rsidP="008D2D3D">
            <w:pPr>
              <w:pStyle w:val="TableParagraph"/>
              <w:ind w:left="87" w:right="88"/>
              <w:rPr>
                <w:rFonts w:ascii="Times New Roman" w:hAnsi="Times New Roman" w:cs="Times New Roman"/>
                <w:sz w:val="20"/>
                <w:szCs w:val="20"/>
              </w:rPr>
            </w:pPr>
            <w:r w:rsidRPr="00E1098B">
              <w:rPr>
                <w:rFonts w:ascii="Times New Roman" w:hAnsi="Times New Roman" w:cs="Times New Roman"/>
                <w:sz w:val="20"/>
                <w:szCs w:val="20"/>
              </w:rPr>
              <w:t>0.37</w:t>
            </w:r>
          </w:p>
        </w:tc>
      </w:tr>
      <w:tr w:rsidR="008D2D3D" w:rsidRPr="00E1098B" w:rsidTr="00CB26B2">
        <w:trPr>
          <w:trHeight w:val="476"/>
        </w:trPr>
        <w:tc>
          <w:tcPr>
            <w:tcW w:w="2075" w:type="dxa"/>
            <w:gridSpan w:val="2"/>
          </w:tcPr>
          <w:p w:rsidR="008D2D3D" w:rsidRPr="00E1098B" w:rsidRDefault="008D2D3D" w:rsidP="008D2D3D">
            <w:pPr>
              <w:pStyle w:val="TableParagraph"/>
              <w:spacing w:before="114"/>
              <w:ind w:left="503"/>
              <w:jc w:val="left"/>
              <w:rPr>
                <w:rFonts w:ascii="Times New Roman" w:hAnsi="Times New Roman" w:cs="Times New Roman"/>
                <w:b/>
                <w:sz w:val="20"/>
                <w:szCs w:val="20"/>
              </w:rPr>
            </w:pPr>
            <w:r w:rsidRPr="00E1098B">
              <w:rPr>
                <w:rFonts w:ascii="Times New Roman" w:hAnsi="Times New Roman" w:cs="Times New Roman"/>
                <w:b/>
                <w:sz w:val="20"/>
                <w:szCs w:val="20"/>
              </w:rPr>
              <w:t>CD</w:t>
            </w:r>
            <w:r w:rsidRPr="00E1098B">
              <w:rPr>
                <w:rFonts w:ascii="Times New Roman" w:hAnsi="Times New Roman" w:cs="Times New Roman"/>
                <w:b/>
                <w:spacing w:val="-2"/>
                <w:sz w:val="20"/>
                <w:szCs w:val="20"/>
              </w:rPr>
              <w:t xml:space="preserve"> (p=0.05)</w:t>
            </w:r>
          </w:p>
        </w:tc>
        <w:tc>
          <w:tcPr>
            <w:tcW w:w="715" w:type="dxa"/>
          </w:tcPr>
          <w:p w:rsidR="008D2D3D" w:rsidRPr="00E1098B" w:rsidRDefault="008D2D3D" w:rsidP="008D2D3D">
            <w:pPr>
              <w:pStyle w:val="TableParagraph"/>
              <w:spacing w:before="216"/>
              <w:ind w:right="165"/>
              <w:rPr>
                <w:rFonts w:ascii="Times New Roman" w:hAnsi="Times New Roman" w:cs="Times New Roman"/>
                <w:sz w:val="20"/>
                <w:szCs w:val="20"/>
              </w:rPr>
            </w:pPr>
            <w:r w:rsidRPr="00E1098B">
              <w:rPr>
                <w:rFonts w:ascii="Times New Roman" w:hAnsi="Times New Roman" w:cs="Times New Roman"/>
                <w:sz w:val="20"/>
                <w:szCs w:val="20"/>
              </w:rPr>
              <w:t>11.26</w:t>
            </w:r>
          </w:p>
        </w:tc>
        <w:tc>
          <w:tcPr>
            <w:tcW w:w="810" w:type="dxa"/>
          </w:tcPr>
          <w:p w:rsidR="008D2D3D" w:rsidRPr="00E1098B" w:rsidRDefault="008D2D3D" w:rsidP="008D2D3D">
            <w:pPr>
              <w:pStyle w:val="TableParagraph"/>
              <w:spacing w:before="216"/>
              <w:ind w:right="165"/>
              <w:rPr>
                <w:rFonts w:ascii="Times New Roman" w:hAnsi="Times New Roman" w:cs="Times New Roman"/>
                <w:sz w:val="20"/>
                <w:szCs w:val="20"/>
              </w:rPr>
            </w:pPr>
            <w:r w:rsidRPr="00E1098B">
              <w:rPr>
                <w:rFonts w:ascii="Times New Roman" w:hAnsi="Times New Roman" w:cs="Times New Roman"/>
                <w:sz w:val="20"/>
                <w:szCs w:val="20"/>
              </w:rPr>
              <w:t>10.63</w:t>
            </w:r>
          </w:p>
        </w:tc>
        <w:tc>
          <w:tcPr>
            <w:tcW w:w="720" w:type="dxa"/>
          </w:tcPr>
          <w:p w:rsidR="008D2D3D" w:rsidRPr="00E1098B" w:rsidRDefault="008D2D3D" w:rsidP="008D2D3D">
            <w:pPr>
              <w:pStyle w:val="TableParagraph"/>
              <w:spacing w:before="216"/>
              <w:ind w:left="289"/>
              <w:rPr>
                <w:rFonts w:ascii="Times New Roman" w:hAnsi="Times New Roman" w:cs="Times New Roman"/>
                <w:sz w:val="20"/>
                <w:szCs w:val="20"/>
              </w:rPr>
            </w:pPr>
            <w:r w:rsidRPr="00E1098B">
              <w:rPr>
                <w:rFonts w:ascii="Times New Roman" w:hAnsi="Times New Roman" w:cs="Times New Roman"/>
                <w:sz w:val="20"/>
                <w:szCs w:val="20"/>
              </w:rPr>
              <w:t>9.91</w:t>
            </w:r>
          </w:p>
        </w:tc>
        <w:tc>
          <w:tcPr>
            <w:tcW w:w="630" w:type="dxa"/>
          </w:tcPr>
          <w:p w:rsidR="008D2D3D" w:rsidRPr="00E1098B" w:rsidRDefault="008D2D3D" w:rsidP="008D2D3D">
            <w:pPr>
              <w:pStyle w:val="TableParagraph"/>
              <w:spacing w:before="192"/>
              <w:ind w:left="84" w:right="79"/>
              <w:rPr>
                <w:rFonts w:ascii="Times New Roman" w:hAnsi="Times New Roman" w:cs="Times New Roman"/>
                <w:sz w:val="20"/>
                <w:szCs w:val="20"/>
              </w:rPr>
            </w:pPr>
            <w:r w:rsidRPr="00E1098B">
              <w:rPr>
                <w:rFonts w:ascii="Times New Roman" w:hAnsi="Times New Roman" w:cs="Times New Roman"/>
                <w:sz w:val="20"/>
                <w:szCs w:val="20"/>
              </w:rPr>
              <w:t>3.35</w:t>
            </w:r>
          </w:p>
        </w:tc>
        <w:tc>
          <w:tcPr>
            <w:tcW w:w="719" w:type="dxa"/>
          </w:tcPr>
          <w:p w:rsidR="008D2D3D" w:rsidRPr="00E1098B" w:rsidRDefault="008D2D3D" w:rsidP="008D2D3D">
            <w:pPr>
              <w:pStyle w:val="TableParagraph"/>
              <w:spacing w:before="192"/>
              <w:ind w:left="238"/>
              <w:rPr>
                <w:rFonts w:ascii="Times New Roman" w:hAnsi="Times New Roman" w:cs="Times New Roman"/>
                <w:sz w:val="20"/>
                <w:szCs w:val="20"/>
              </w:rPr>
            </w:pPr>
            <w:r w:rsidRPr="00E1098B">
              <w:rPr>
                <w:rFonts w:ascii="Times New Roman" w:hAnsi="Times New Roman" w:cs="Times New Roman"/>
                <w:sz w:val="20"/>
                <w:szCs w:val="20"/>
              </w:rPr>
              <w:t>1.85</w:t>
            </w:r>
          </w:p>
        </w:tc>
        <w:tc>
          <w:tcPr>
            <w:tcW w:w="631" w:type="dxa"/>
          </w:tcPr>
          <w:p w:rsidR="008D2D3D" w:rsidRPr="00E1098B" w:rsidRDefault="008D2D3D" w:rsidP="008D2D3D">
            <w:pPr>
              <w:pStyle w:val="TableParagraph"/>
              <w:spacing w:before="192"/>
              <w:ind w:left="83" w:right="76"/>
              <w:rPr>
                <w:rFonts w:ascii="Times New Roman" w:hAnsi="Times New Roman" w:cs="Times New Roman"/>
                <w:sz w:val="20"/>
                <w:szCs w:val="20"/>
              </w:rPr>
            </w:pPr>
            <w:r w:rsidRPr="00E1098B">
              <w:rPr>
                <w:rFonts w:ascii="Times New Roman" w:hAnsi="Times New Roman" w:cs="Times New Roman"/>
                <w:sz w:val="20"/>
                <w:szCs w:val="20"/>
              </w:rPr>
              <w:t>1.36</w:t>
            </w:r>
          </w:p>
        </w:tc>
        <w:tc>
          <w:tcPr>
            <w:tcW w:w="800" w:type="dxa"/>
          </w:tcPr>
          <w:p w:rsidR="008D2D3D" w:rsidRPr="00E1098B" w:rsidRDefault="008D2D3D" w:rsidP="008D2D3D">
            <w:pPr>
              <w:pStyle w:val="TableParagraph"/>
              <w:spacing w:before="199"/>
              <w:ind w:left="95" w:right="83"/>
              <w:rPr>
                <w:rFonts w:ascii="Times New Roman" w:hAnsi="Times New Roman" w:cs="Times New Roman"/>
                <w:sz w:val="20"/>
                <w:szCs w:val="20"/>
              </w:rPr>
            </w:pPr>
            <w:r w:rsidRPr="00E1098B">
              <w:rPr>
                <w:rFonts w:ascii="Times New Roman" w:hAnsi="Times New Roman" w:cs="Times New Roman"/>
                <w:sz w:val="20"/>
                <w:szCs w:val="20"/>
              </w:rPr>
              <w:t>14.19</w:t>
            </w:r>
          </w:p>
        </w:tc>
        <w:tc>
          <w:tcPr>
            <w:tcW w:w="720" w:type="dxa"/>
          </w:tcPr>
          <w:p w:rsidR="008D2D3D" w:rsidRPr="00E1098B" w:rsidRDefault="008D2D3D" w:rsidP="008D2D3D">
            <w:pPr>
              <w:pStyle w:val="TableParagraph"/>
              <w:spacing w:before="199"/>
              <w:ind w:left="95" w:right="83"/>
              <w:rPr>
                <w:rFonts w:ascii="Times New Roman" w:hAnsi="Times New Roman" w:cs="Times New Roman"/>
                <w:sz w:val="20"/>
                <w:szCs w:val="20"/>
              </w:rPr>
            </w:pPr>
            <w:r w:rsidRPr="00E1098B">
              <w:rPr>
                <w:rFonts w:ascii="Times New Roman" w:hAnsi="Times New Roman" w:cs="Times New Roman"/>
                <w:sz w:val="20"/>
                <w:szCs w:val="20"/>
              </w:rPr>
              <w:t>10.96</w:t>
            </w:r>
          </w:p>
        </w:tc>
        <w:tc>
          <w:tcPr>
            <w:tcW w:w="810" w:type="dxa"/>
          </w:tcPr>
          <w:p w:rsidR="008D2D3D" w:rsidRPr="00E1098B" w:rsidRDefault="008D2D3D" w:rsidP="008D2D3D">
            <w:pPr>
              <w:pStyle w:val="TableParagraph"/>
              <w:ind w:right="176"/>
              <w:rPr>
                <w:rFonts w:ascii="Times New Roman" w:hAnsi="Times New Roman" w:cs="Times New Roman"/>
                <w:sz w:val="20"/>
                <w:szCs w:val="20"/>
              </w:rPr>
            </w:pPr>
            <w:r w:rsidRPr="00E1098B">
              <w:rPr>
                <w:rFonts w:ascii="Times New Roman" w:hAnsi="Times New Roman" w:cs="Times New Roman"/>
                <w:sz w:val="20"/>
                <w:szCs w:val="20"/>
              </w:rPr>
              <w:t>11.76</w:t>
            </w:r>
          </w:p>
        </w:tc>
        <w:tc>
          <w:tcPr>
            <w:tcW w:w="720" w:type="dxa"/>
          </w:tcPr>
          <w:p w:rsidR="008D2D3D" w:rsidRPr="00E1098B" w:rsidRDefault="008D2D3D" w:rsidP="008D2D3D">
            <w:pPr>
              <w:pStyle w:val="TableParagraph"/>
              <w:spacing w:before="228"/>
              <w:ind w:left="86" w:right="79"/>
              <w:rPr>
                <w:rFonts w:ascii="Times New Roman" w:hAnsi="Times New Roman" w:cs="Times New Roman"/>
                <w:sz w:val="20"/>
                <w:szCs w:val="20"/>
              </w:rPr>
            </w:pPr>
            <w:r w:rsidRPr="00E1098B">
              <w:rPr>
                <w:rFonts w:ascii="Times New Roman" w:hAnsi="Times New Roman" w:cs="Times New Roman"/>
                <w:sz w:val="20"/>
                <w:szCs w:val="20"/>
              </w:rPr>
              <w:t>1.47</w:t>
            </w:r>
          </w:p>
        </w:tc>
        <w:tc>
          <w:tcPr>
            <w:tcW w:w="720" w:type="dxa"/>
          </w:tcPr>
          <w:p w:rsidR="008D2D3D" w:rsidRPr="00E1098B" w:rsidRDefault="008D2D3D" w:rsidP="008D2D3D">
            <w:pPr>
              <w:pStyle w:val="TableParagraph"/>
              <w:spacing w:before="228"/>
              <w:ind w:left="237"/>
              <w:rPr>
                <w:rFonts w:ascii="Times New Roman" w:hAnsi="Times New Roman" w:cs="Times New Roman"/>
                <w:sz w:val="20"/>
                <w:szCs w:val="20"/>
              </w:rPr>
            </w:pPr>
            <w:r w:rsidRPr="00E1098B">
              <w:rPr>
                <w:rFonts w:ascii="Times New Roman" w:hAnsi="Times New Roman" w:cs="Times New Roman"/>
                <w:sz w:val="20"/>
                <w:szCs w:val="20"/>
              </w:rPr>
              <w:t>1.23</w:t>
            </w:r>
          </w:p>
        </w:tc>
        <w:tc>
          <w:tcPr>
            <w:tcW w:w="669" w:type="dxa"/>
          </w:tcPr>
          <w:p w:rsidR="008D2D3D" w:rsidRPr="00E1098B" w:rsidRDefault="008D2D3D" w:rsidP="008D2D3D">
            <w:pPr>
              <w:pStyle w:val="TableParagraph"/>
              <w:spacing w:before="228"/>
              <w:ind w:left="87" w:right="88"/>
              <w:rPr>
                <w:rFonts w:ascii="Times New Roman" w:hAnsi="Times New Roman" w:cs="Times New Roman"/>
                <w:sz w:val="20"/>
                <w:szCs w:val="20"/>
              </w:rPr>
            </w:pPr>
            <w:r w:rsidRPr="00E1098B">
              <w:rPr>
                <w:rFonts w:ascii="Times New Roman" w:hAnsi="Times New Roman" w:cs="Times New Roman"/>
                <w:sz w:val="20"/>
                <w:szCs w:val="20"/>
              </w:rPr>
              <w:t>1.06</w:t>
            </w:r>
          </w:p>
        </w:tc>
      </w:tr>
    </w:tbl>
    <w:p w:rsidR="008D2D3D" w:rsidRDefault="008D2D3D" w:rsidP="00E1098B">
      <w:pPr>
        <w:widowControl/>
        <w:pBdr>
          <w:top w:val="single" w:sz="6" w:space="1" w:color="auto"/>
        </w:pBdr>
        <w:autoSpaceDE/>
        <w:autoSpaceDN/>
        <w:jc w:val="center"/>
        <w:rPr>
          <w:rFonts w:ascii="Arial" w:eastAsia="Times New Roman" w:hAnsi="Arial" w:cs="Mangal"/>
          <w:sz w:val="16"/>
          <w:szCs w:val="14"/>
          <w:lang w:bidi="hi-IN"/>
        </w:rPr>
      </w:pPr>
    </w:p>
    <w:p w:rsidR="00E1098B" w:rsidRPr="00E1098B" w:rsidRDefault="00E1098B" w:rsidP="00E1098B">
      <w:pPr>
        <w:widowControl/>
        <w:pBdr>
          <w:top w:val="single" w:sz="6" w:space="1" w:color="auto"/>
        </w:pBdr>
        <w:autoSpaceDE/>
        <w:autoSpaceDN/>
        <w:jc w:val="center"/>
        <w:rPr>
          <w:rFonts w:ascii="Arial" w:eastAsia="Times New Roman" w:hAnsi="Arial" w:cs="Mangal"/>
          <w:vanish/>
          <w:sz w:val="16"/>
          <w:szCs w:val="14"/>
          <w:lang w:bidi="hi-IN"/>
        </w:rPr>
      </w:pPr>
      <w:r w:rsidRPr="00E1098B">
        <w:rPr>
          <w:rFonts w:ascii="Arial" w:eastAsia="Times New Roman" w:hAnsi="Arial" w:cs="Mangal"/>
          <w:vanish/>
          <w:sz w:val="16"/>
          <w:szCs w:val="14"/>
          <w:lang w:bidi="hi-IN"/>
        </w:rPr>
        <w:t>Bottom of Form</w:t>
      </w:r>
    </w:p>
    <w:p w:rsidR="00E1098B" w:rsidRDefault="00440132" w:rsidP="00440132">
      <w:pPr>
        <w:pStyle w:val="Heading2"/>
        <w:tabs>
          <w:tab w:val="left" w:pos="439"/>
        </w:tabs>
      </w:pPr>
      <w:r>
        <w:rPr>
          <w:spacing w:val="-2"/>
        </w:rPr>
        <w:t>4.</w:t>
      </w:r>
      <w:r w:rsidR="00E1098B">
        <w:rPr>
          <w:spacing w:val="-2"/>
        </w:rPr>
        <w:t>CONCLUSION</w:t>
      </w:r>
    </w:p>
    <w:p w:rsidR="00070507" w:rsidRDefault="00E1098B" w:rsidP="00070507">
      <w:pPr>
        <w:pStyle w:val="NormalWeb"/>
        <w:spacing w:line="360" w:lineRule="auto"/>
        <w:ind w:firstLine="450"/>
        <w:jc w:val="both"/>
        <w:rPr>
          <w:rFonts w:ascii="Arial MT" w:eastAsia="Arial MT" w:hAnsi="Arial MT" w:cs="Arial MT"/>
          <w:sz w:val="20"/>
          <w:szCs w:val="20"/>
          <w:lang w:bidi="ar-SA"/>
        </w:rPr>
      </w:pPr>
      <w:r w:rsidRPr="00E1098B">
        <w:rPr>
          <w:rFonts w:ascii="Arial MT" w:eastAsia="Arial MT" w:hAnsi="Arial MT" w:cs="Arial MT"/>
          <w:sz w:val="20"/>
          <w:szCs w:val="20"/>
          <w:lang w:bidi="ar-SA"/>
        </w:rPr>
        <w:t xml:space="preserve">The study concluded that long-term STCR-based nutrient management significantly improved soil chemical properties, particularly organic carbon and availability of N, P, K, and S, in </w:t>
      </w:r>
      <w:proofErr w:type="spellStart"/>
      <w:r w:rsidRPr="00E1098B">
        <w:rPr>
          <w:rFonts w:ascii="Arial MT" w:eastAsia="Arial MT" w:hAnsi="Arial MT" w:cs="Arial MT"/>
          <w:sz w:val="20"/>
          <w:szCs w:val="20"/>
          <w:lang w:bidi="ar-SA"/>
        </w:rPr>
        <w:t>Vertisols</w:t>
      </w:r>
      <w:proofErr w:type="spellEnd"/>
      <w:r w:rsidRPr="00E1098B">
        <w:rPr>
          <w:rFonts w:ascii="Arial MT" w:eastAsia="Arial MT" w:hAnsi="Arial MT" w:cs="Arial MT"/>
          <w:sz w:val="20"/>
          <w:szCs w:val="20"/>
          <w:lang w:bidi="ar-SA"/>
        </w:rPr>
        <w:t xml:space="preserve"> under wheat crop, while pH and EC remained non-significant. Integrated application of NPK along with FYM proved more effective than sole fertilizer use. The treatment with target yield of 6.0 t ha</w:t>
      </w:r>
      <w:r w:rsidRPr="00E1098B">
        <w:rPr>
          <w:rFonts w:ascii="Cambria Math" w:eastAsia="Arial MT" w:hAnsi="Cambria Math" w:cs="Cambria Math"/>
          <w:sz w:val="20"/>
          <w:szCs w:val="20"/>
          <w:lang w:bidi="ar-SA"/>
        </w:rPr>
        <w:t>⁻</w:t>
      </w:r>
      <w:r w:rsidRPr="00E1098B">
        <w:rPr>
          <w:rFonts w:ascii="Arial MT" w:eastAsia="Arial MT" w:hAnsi="Arial MT" w:cs="Arial MT"/>
          <w:sz w:val="20"/>
          <w:szCs w:val="20"/>
          <w:lang w:bidi="ar-SA"/>
        </w:rPr>
        <w:t>¹ + FYM @ 5 t ha</w:t>
      </w:r>
      <w:r w:rsidRPr="00E1098B">
        <w:rPr>
          <w:rFonts w:ascii="Cambria Math" w:eastAsia="Arial MT" w:hAnsi="Cambria Math" w:cs="Cambria Math"/>
          <w:sz w:val="20"/>
          <w:szCs w:val="20"/>
          <w:lang w:bidi="ar-SA"/>
        </w:rPr>
        <w:t>⁻</w:t>
      </w:r>
      <w:r w:rsidRPr="00E1098B">
        <w:rPr>
          <w:rFonts w:ascii="Arial" w:eastAsia="Arial MT" w:hAnsi="Arial" w:cs="Arial"/>
          <w:sz w:val="20"/>
          <w:szCs w:val="20"/>
          <w:lang w:bidi="ar-SA"/>
        </w:rPr>
        <w:t>¹ recorded the highest nutrient status. Overall, integrated nutrient management is a sustainable approach for maintaining soil fertility and enhancing productivity of wheat</w:t>
      </w:r>
      <w:r w:rsidR="00597443">
        <w:rPr>
          <w:rFonts w:ascii="Arial MT" w:eastAsia="Arial MT" w:hAnsi="Arial MT" w:cs="Arial MT"/>
          <w:sz w:val="20"/>
          <w:szCs w:val="20"/>
          <w:lang w:bidi="ar-SA"/>
        </w:rPr>
        <w:t>.</w:t>
      </w:r>
    </w:p>
    <w:p w:rsidR="00070507" w:rsidRPr="00070507" w:rsidRDefault="00070507" w:rsidP="00070507">
      <w:pPr>
        <w:pStyle w:val="NormalWeb"/>
        <w:spacing w:line="360" w:lineRule="auto"/>
        <w:jc w:val="both"/>
        <w:rPr>
          <w:b/>
          <w:bCs/>
        </w:rPr>
      </w:pPr>
      <w:r w:rsidRPr="00070507">
        <w:rPr>
          <w:b/>
          <w:bCs/>
        </w:rPr>
        <w:t xml:space="preserve">Disclaimer (Artificial Intelligence) </w:t>
      </w:r>
    </w:p>
    <w:p w:rsidR="00070507" w:rsidRDefault="00070507" w:rsidP="00070507">
      <w:pPr>
        <w:pStyle w:val="NormalWeb"/>
        <w:spacing w:line="360" w:lineRule="auto"/>
        <w:jc w:val="both"/>
      </w:pPr>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070507" w:rsidRPr="00070507" w:rsidRDefault="00070507" w:rsidP="00070507">
      <w:pPr>
        <w:pStyle w:val="NormalWeb"/>
        <w:spacing w:line="360" w:lineRule="auto"/>
        <w:jc w:val="both"/>
        <w:rPr>
          <w:b/>
          <w:bCs/>
        </w:rPr>
      </w:pPr>
      <w:r w:rsidRPr="00070507">
        <w:rPr>
          <w:b/>
          <w:bCs/>
        </w:rPr>
        <w:t xml:space="preserve">Competing Interests </w:t>
      </w:r>
    </w:p>
    <w:p w:rsidR="00070507" w:rsidRDefault="00070507" w:rsidP="00070507">
      <w:pPr>
        <w:pStyle w:val="NormalWeb"/>
        <w:spacing w:line="360" w:lineRule="auto"/>
        <w:jc w:val="both"/>
      </w:pPr>
      <w:r>
        <w:t>Authors have declared that no competing interests exist.</w:t>
      </w:r>
    </w:p>
    <w:p w:rsidR="00E1098B" w:rsidRDefault="00E1098B" w:rsidP="002E75A1">
      <w:pPr>
        <w:pStyle w:val="Heading2"/>
        <w:spacing w:before="1"/>
        <w:ind w:left="0" w:firstLine="0"/>
        <w:rPr>
          <w:spacing w:val="-2"/>
        </w:rPr>
      </w:pPr>
      <w:r>
        <w:rPr>
          <w:spacing w:val="-2"/>
        </w:rPr>
        <w:t>REFERENCES</w:t>
      </w:r>
    </w:p>
    <w:p w:rsidR="008952AF" w:rsidRDefault="008952AF" w:rsidP="002E75A1">
      <w:pPr>
        <w:pStyle w:val="Heading2"/>
        <w:spacing w:before="1"/>
        <w:ind w:left="0" w:firstLine="0"/>
      </w:pPr>
    </w:p>
    <w:p w:rsidR="008952AF" w:rsidRDefault="008952AF" w:rsidP="008952AF">
      <w:pPr>
        <w:pStyle w:val="NormalWeb"/>
        <w:spacing w:before="0" w:beforeAutospacing="0" w:after="120" w:afterAutospacing="0" w:line="276" w:lineRule="auto"/>
      </w:pPr>
      <w:proofErr w:type="spellStart"/>
      <w:r>
        <w:t>Antil</w:t>
      </w:r>
      <w:proofErr w:type="spellEnd"/>
      <w:r>
        <w:t xml:space="preserve">, R. S., &amp; </w:t>
      </w:r>
      <w:proofErr w:type="spellStart"/>
      <w:r>
        <w:t>Narwal</w:t>
      </w:r>
      <w:proofErr w:type="spellEnd"/>
      <w:r>
        <w:t xml:space="preserve">, R. P. (2007). Integrated nutrient management for sustainable soil health and crop productivity. </w:t>
      </w:r>
      <w:r>
        <w:rPr>
          <w:rStyle w:val="Emphasis"/>
        </w:rPr>
        <w:t>Indian Journal of Fertilizers, 3</w:t>
      </w:r>
      <w:r>
        <w:t>(9), 111–122.</w:t>
      </w:r>
    </w:p>
    <w:p w:rsidR="008952AF" w:rsidRDefault="008952AF" w:rsidP="008952AF">
      <w:pPr>
        <w:pStyle w:val="NormalWeb"/>
        <w:spacing w:before="0" w:beforeAutospacing="0" w:after="120" w:afterAutospacing="0" w:line="276" w:lineRule="auto"/>
      </w:pPr>
      <w:proofErr w:type="spellStart"/>
      <w:r>
        <w:t>Ausari</w:t>
      </w:r>
      <w:proofErr w:type="spellEnd"/>
      <w:r>
        <w:t xml:space="preserve">, D. K., Singh, B., Aakash, </w:t>
      </w:r>
      <w:proofErr w:type="spellStart"/>
      <w:r>
        <w:t>Kumawat</w:t>
      </w:r>
      <w:proofErr w:type="spellEnd"/>
      <w:r>
        <w:t xml:space="preserve">, R., &amp; </w:t>
      </w:r>
      <w:proofErr w:type="spellStart"/>
      <w:r>
        <w:t>Gehlot</w:t>
      </w:r>
      <w:proofErr w:type="spellEnd"/>
      <w:r>
        <w:t xml:space="preserve">, Y. (2020). GIS based mapping of soil fertility status of Tehsil </w:t>
      </w:r>
      <w:proofErr w:type="spellStart"/>
      <w:r>
        <w:t>Jobat</w:t>
      </w:r>
      <w:proofErr w:type="spellEnd"/>
      <w:r>
        <w:t xml:space="preserve">, District </w:t>
      </w:r>
      <w:proofErr w:type="spellStart"/>
      <w:r>
        <w:t>Alirajpur</w:t>
      </w:r>
      <w:proofErr w:type="spellEnd"/>
      <w:r>
        <w:t xml:space="preserve">, Madhya Pradesh, India. </w:t>
      </w:r>
      <w:r>
        <w:rPr>
          <w:rStyle w:val="Emphasis"/>
        </w:rPr>
        <w:t>International Journal of Current Microbiology and Applied Sciences, 9</w:t>
      </w:r>
      <w:r>
        <w:t xml:space="preserve">(10), 60–69. </w:t>
      </w:r>
      <w:hyperlink r:id="rId8" w:tgtFrame="_new" w:history="1">
        <w:r>
          <w:rPr>
            <w:rStyle w:val="Hyperlink"/>
          </w:rPr>
          <w:t>https://doi.org/10.20546/ijcmas.2020.910.009</w:t>
        </w:r>
      </w:hyperlink>
    </w:p>
    <w:p w:rsidR="008952AF" w:rsidRDefault="008952AF" w:rsidP="008952AF">
      <w:pPr>
        <w:pStyle w:val="NormalWeb"/>
        <w:spacing w:before="0" w:beforeAutospacing="0" w:after="120" w:afterAutospacing="0" w:line="276" w:lineRule="auto"/>
      </w:pPr>
      <w:proofErr w:type="spellStart"/>
      <w:r>
        <w:t>Barthwal</w:t>
      </w:r>
      <w:proofErr w:type="spellEnd"/>
      <w:r>
        <w:t xml:space="preserve">, A., Bhardwaj, A. K., Chaturvedi, S., &amp; </w:t>
      </w:r>
      <w:proofErr w:type="spellStart"/>
      <w:r>
        <w:t>Pandiaraj</w:t>
      </w:r>
      <w:proofErr w:type="spellEnd"/>
      <w:r>
        <w:t>, T. (2013). Site-specific NPK recommendation in wheat (</w:t>
      </w:r>
      <w:r>
        <w:rPr>
          <w:rStyle w:val="Emphasis"/>
        </w:rPr>
        <w:t xml:space="preserve">Triticum </w:t>
      </w:r>
      <w:proofErr w:type="spellStart"/>
      <w:r>
        <w:rPr>
          <w:rStyle w:val="Emphasis"/>
        </w:rPr>
        <w:t>aestivum</w:t>
      </w:r>
      <w:proofErr w:type="spellEnd"/>
      <w:r>
        <w:t xml:space="preserve"> L.) for sustained crop and soil productivity in </w:t>
      </w:r>
      <w:proofErr w:type="spellStart"/>
      <w:r>
        <w:t>Mollisols</w:t>
      </w:r>
      <w:proofErr w:type="spellEnd"/>
      <w:r>
        <w:t xml:space="preserve"> of </w:t>
      </w:r>
      <w:proofErr w:type="spellStart"/>
      <w:r>
        <w:t>Tarai</w:t>
      </w:r>
      <w:proofErr w:type="spellEnd"/>
      <w:r>
        <w:t xml:space="preserve"> region. </w:t>
      </w:r>
      <w:r>
        <w:rPr>
          <w:rStyle w:val="Emphasis"/>
        </w:rPr>
        <w:t>Indian Journal of Agronomy, 58</w:t>
      </w:r>
      <w:r>
        <w:t>(2), 208–214.</w:t>
      </w:r>
    </w:p>
    <w:p w:rsidR="008952AF" w:rsidRDefault="008952AF" w:rsidP="008952AF">
      <w:pPr>
        <w:pStyle w:val="NormalWeb"/>
        <w:spacing w:before="0" w:beforeAutospacing="0" w:after="120" w:afterAutospacing="0" w:line="276" w:lineRule="auto"/>
      </w:pPr>
      <w:proofErr w:type="spellStart"/>
      <w:r>
        <w:t>Belete</w:t>
      </w:r>
      <w:proofErr w:type="spellEnd"/>
      <w:r>
        <w:t xml:space="preserve">, F., </w:t>
      </w:r>
      <w:proofErr w:type="spellStart"/>
      <w:r>
        <w:t>Dechassa</w:t>
      </w:r>
      <w:proofErr w:type="spellEnd"/>
      <w:r>
        <w:t xml:space="preserve">, N., </w:t>
      </w:r>
      <w:proofErr w:type="spellStart"/>
      <w:r>
        <w:t>Molla</w:t>
      </w:r>
      <w:proofErr w:type="spellEnd"/>
      <w:r>
        <w:t>, A., &amp; Tana, T. (2018). Effect of nitrogen fertilizer rates on grain yield and nitrogen uptake and use efficiency of bread wheat (</w:t>
      </w:r>
      <w:r>
        <w:rPr>
          <w:rStyle w:val="Emphasis"/>
        </w:rPr>
        <w:t xml:space="preserve">Triticum </w:t>
      </w:r>
      <w:proofErr w:type="spellStart"/>
      <w:r>
        <w:rPr>
          <w:rStyle w:val="Emphasis"/>
        </w:rPr>
        <w:t>aestivum</w:t>
      </w:r>
      <w:proofErr w:type="spellEnd"/>
      <w:r>
        <w:t xml:space="preserve"> L.) varieties on the </w:t>
      </w:r>
      <w:proofErr w:type="spellStart"/>
      <w:r>
        <w:t>Vertisols</w:t>
      </w:r>
      <w:proofErr w:type="spellEnd"/>
      <w:r>
        <w:t xml:space="preserve"> of central highlands of Ethiopia. </w:t>
      </w:r>
      <w:r>
        <w:rPr>
          <w:rStyle w:val="Emphasis"/>
        </w:rPr>
        <w:t>Agriculture and Food Security, 7</w:t>
      </w:r>
      <w:r>
        <w:t>(1), 1–12.</w:t>
      </w:r>
    </w:p>
    <w:p w:rsidR="008952AF" w:rsidRDefault="008952AF" w:rsidP="008952AF">
      <w:pPr>
        <w:pStyle w:val="NormalWeb"/>
        <w:spacing w:before="0" w:beforeAutospacing="0" w:after="120" w:afterAutospacing="0" w:line="276" w:lineRule="auto"/>
      </w:pPr>
      <w:proofErr w:type="spellStart"/>
      <w:r>
        <w:t>Bhayal</w:t>
      </w:r>
      <w:proofErr w:type="spellEnd"/>
      <w:r>
        <w:t xml:space="preserve">, L., Aakash, Jain, M. P., </w:t>
      </w:r>
      <w:proofErr w:type="spellStart"/>
      <w:r>
        <w:t>Bhayal</w:t>
      </w:r>
      <w:proofErr w:type="spellEnd"/>
      <w:r>
        <w:t xml:space="preserve">, D., &amp; Meena, K. (2022). Impact of foliar spray of NPK and Zn on soybean for growth, yield, quality, energetics and carbon footprint under dryland condition at Indore. </w:t>
      </w:r>
      <w:r>
        <w:rPr>
          <w:rStyle w:val="Emphasis"/>
        </w:rPr>
        <w:t>Legume Research, 45</w:t>
      </w:r>
      <w:r>
        <w:t xml:space="preserve">(2), 174–181. </w:t>
      </w:r>
      <w:hyperlink r:id="rId9" w:tgtFrame="_new" w:history="1">
        <w:r>
          <w:rPr>
            <w:rStyle w:val="Hyperlink"/>
          </w:rPr>
          <w:t>http://dx.doi.org/10.18805/LR-4748</w:t>
        </w:r>
      </w:hyperlink>
    </w:p>
    <w:p w:rsidR="008952AF" w:rsidRDefault="008952AF" w:rsidP="008952AF">
      <w:pPr>
        <w:pStyle w:val="NormalWeb"/>
        <w:spacing w:before="0" w:beforeAutospacing="0" w:after="120" w:afterAutospacing="0" w:line="276" w:lineRule="auto"/>
      </w:pPr>
      <w:proofErr w:type="spellStart"/>
      <w:r>
        <w:t>Bhayal</w:t>
      </w:r>
      <w:proofErr w:type="spellEnd"/>
      <w:r>
        <w:t xml:space="preserve">, L., </w:t>
      </w:r>
      <w:proofErr w:type="spellStart"/>
      <w:r>
        <w:t>Kewat</w:t>
      </w:r>
      <w:proofErr w:type="spellEnd"/>
      <w:r>
        <w:t xml:space="preserve">, M. L., </w:t>
      </w:r>
      <w:proofErr w:type="spellStart"/>
      <w:r>
        <w:t>Bhayal</w:t>
      </w:r>
      <w:proofErr w:type="spellEnd"/>
      <w:r>
        <w:t xml:space="preserve">, D., Aakash, Jha, A. K., &amp; </w:t>
      </w:r>
      <w:proofErr w:type="spellStart"/>
      <w:r>
        <w:t>Badkul</w:t>
      </w:r>
      <w:proofErr w:type="spellEnd"/>
      <w:r>
        <w:t>, A. J. (2022). Influence of different sowing dates and nutrient management on yield attributes and yield of wheat (</w:t>
      </w:r>
      <w:r>
        <w:rPr>
          <w:rStyle w:val="Emphasis"/>
        </w:rPr>
        <w:t xml:space="preserve">Triticum </w:t>
      </w:r>
      <w:proofErr w:type="spellStart"/>
      <w:r>
        <w:rPr>
          <w:rStyle w:val="Emphasis"/>
        </w:rPr>
        <w:t>aestivum</w:t>
      </w:r>
      <w:proofErr w:type="spellEnd"/>
      <w:r>
        <w:t xml:space="preserve"> L.). </w:t>
      </w:r>
      <w:r>
        <w:rPr>
          <w:rStyle w:val="Emphasis"/>
        </w:rPr>
        <w:t>International Journal of Plant &amp; Soil Science, 34</w:t>
      </w:r>
      <w:r>
        <w:t xml:space="preserve">(22), 362–367. </w:t>
      </w:r>
      <w:hyperlink r:id="rId10" w:tgtFrame="_new" w:history="1">
        <w:r>
          <w:rPr>
            <w:rStyle w:val="Hyperlink"/>
          </w:rPr>
          <w:t>https://doi.org/10.9734/ijpss/2022/v34i2231385</w:t>
        </w:r>
      </w:hyperlink>
    </w:p>
    <w:p w:rsidR="008952AF" w:rsidRDefault="008952AF" w:rsidP="008952AF">
      <w:pPr>
        <w:pStyle w:val="NormalWeb"/>
        <w:spacing w:before="0" w:beforeAutospacing="0" w:after="120" w:afterAutospacing="0" w:line="276" w:lineRule="auto"/>
      </w:pPr>
      <w:proofErr w:type="spellStart"/>
      <w:r>
        <w:t>Buah</w:t>
      </w:r>
      <w:proofErr w:type="spellEnd"/>
      <w:r>
        <w:t xml:space="preserve">, S. S., &amp; </w:t>
      </w:r>
      <w:proofErr w:type="spellStart"/>
      <w:r>
        <w:t>Mwinkaara</w:t>
      </w:r>
      <w:proofErr w:type="spellEnd"/>
      <w:r>
        <w:t xml:space="preserve">, S. (2009). Response of sorghum to nitrogen fertilizer and plant density in the Guinea savanna zone. </w:t>
      </w:r>
      <w:r>
        <w:rPr>
          <w:rStyle w:val="Emphasis"/>
        </w:rPr>
        <w:t>Journal of Agronomy, 8</w:t>
      </w:r>
      <w:r>
        <w:t>(4), 124–130.</w:t>
      </w:r>
    </w:p>
    <w:p w:rsidR="008952AF" w:rsidRDefault="008952AF" w:rsidP="008952AF">
      <w:pPr>
        <w:pStyle w:val="NormalWeb"/>
        <w:spacing w:before="0" w:beforeAutospacing="0" w:after="120" w:afterAutospacing="0" w:line="276" w:lineRule="auto"/>
      </w:pPr>
      <w:proofErr w:type="spellStart"/>
      <w:r>
        <w:t>Chesnin</w:t>
      </w:r>
      <w:proofErr w:type="spellEnd"/>
      <w:r>
        <w:t xml:space="preserve">, L., &amp; </w:t>
      </w:r>
      <w:proofErr w:type="spellStart"/>
      <w:r>
        <w:t>Yien</w:t>
      </w:r>
      <w:proofErr w:type="spellEnd"/>
      <w:r>
        <w:t xml:space="preserve">, C. H. (1951). Turbidimetric determination of available sulphate. </w:t>
      </w:r>
      <w:r>
        <w:rPr>
          <w:rStyle w:val="Emphasis"/>
        </w:rPr>
        <w:t>Soil Science Society of America Proceedings, 15</w:t>
      </w:r>
      <w:r>
        <w:t>, 149–151.</w:t>
      </w:r>
    </w:p>
    <w:p w:rsidR="008952AF" w:rsidRDefault="008952AF" w:rsidP="008952AF">
      <w:pPr>
        <w:pStyle w:val="NormalWeb"/>
        <w:spacing w:before="0" w:beforeAutospacing="0" w:after="120" w:afterAutospacing="0" w:line="276" w:lineRule="auto"/>
      </w:pPr>
      <w:r>
        <w:t xml:space="preserve">Dutta, J., </w:t>
      </w:r>
      <w:proofErr w:type="spellStart"/>
      <w:r>
        <w:t>Sankhyan</w:t>
      </w:r>
      <w:proofErr w:type="spellEnd"/>
      <w:r>
        <w:t xml:space="preserve">, N. K., Sharma, S. P., Sharma, G. D., &amp; Sharma, S. K. (2013). Sulphur fractions in acid soil continuously fertilized under maize–wheat system. </w:t>
      </w:r>
      <w:r>
        <w:rPr>
          <w:rStyle w:val="Emphasis"/>
        </w:rPr>
        <w:t>Journal of the Indian Society of Soil Science, 61</w:t>
      </w:r>
      <w:r>
        <w:t>, 195–201.</w:t>
      </w:r>
    </w:p>
    <w:p w:rsidR="008952AF" w:rsidRDefault="008952AF" w:rsidP="008952AF">
      <w:pPr>
        <w:pStyle w:val="NormalWeb"/>
        <w:spacing w:before="0" w:beforeAutospacing="0" w:after="120" w:afterAutospacing="0" w:line="276" w:lineRule="auto"/>
      </w:pPr>
      <w:proofErr w:type="spellStart"/>
      <w:r>
        <w:lastRenderedPageBreak/>
        <w:t>Gehlot</w:t>
      </w:r>
      <w:proofErr w:type="spellEnd"/>
      <w:r>
        <w:t xml:space="preserve">, Y., Aakash, </w:t>
      </w:r>
      <w:proofErr w:type="spellStart"/>
      <w:r>
        <w:t>Gallani</w:t>
      </w:r>
      <w:proofErr w:type="spellEnd"/>
      <w:r>
        <w:t xml:space="preserve">, R., </w:t>
      </w:r>
      <w:proofErr w:type="spellStart"/>
      <w:r>
        <w:t>Bangar</w:t>
      </w:r>
      <w:proofErr w:type="spellEnd"/>
      <w:r>
        <w:t xml:space="preserve">, K. S., &amp; </w:t>
      </w:r>
      <w:proofErr w:type="spellStart"/>
      <w:r>
        <w:t>Kirar</w:t>
      </w:r>
      <w:proofErr w:type="spellEnd"/>
      <w:r>
        <w:t xml:space="preserve">, S. K. (2019). Nature of soil reaction and status of EC, OC and macronutrients in Ujjain Tehsil of Madhya Pradesh. </w:t>
      </w:r>
      <w:r>
        <w:rPr>
          <w:rStyle w:val="Emphasis"/>
        </w:rPr>
        <w:t>International Journal of Chemical Studies, 7</w:t>
      </w:r>
      <w:r>
        <w:t>(6), 1323–1326.</w:t>
      </w:r>
    </w:p>
    <w:p w:rsidR="008952AF" w:rsidRDefault="008952AF" w:rsidP="008952AF">
      <w:pPr>
        <w:pStyle w:val="NormalWeb"/>
        <w:spacing w:before="0" w:beforeAutospacing="0" w:after="120" w:afterAutospacing="0" w:line="276" w:lineRule="auto"/>
      </w:pPr>
      <w:proofErr w:type="spellStart"/>
      <w:r>
        <w:t>Gehlot</w:t>
      </w:r>
      <w:proofErr w:type="spellEnd"/>
      <w:r>
        <w:t xml:space="preserve">, Y., Aakash, </w:t>
      </w:r>
      <w:proofErr w:type="spellStart"/>
      <w:r>
        <w:t>Gallani</w:t>
      </w:r>
      <w:proofErr w:type="spellEnd"/>
      <w:r>
        <w:t xml:space="preserve">, R., Jadon, P., Singh, V., </w:t>
      </w:r>
      <w:proofErr w:type="spellStart"/>
      <w:r>
        <w:t>Kamle</w:t>
      </w:r>
      <w:proofErr w:type="spellEnd"/>
      <w:r>
        <w:t xml:space="preserve">, S., </w:t>
      </w:r>
      <w:proofErr w:type="spellStart"/>
      <w:r>
        <w:t>Kamle</w:t>
      </w:r>
      <w:proofErr w:type="spellEnd"/>
      <w:r>
        <w:t xml:space="preserve">, R., &amp; </w:t>
      </w:r>
      <w:proofErr w:type="spellStart"/>
      <w:r>
        <w:t>Mandloi</w:t>
      </w:r>
      <w:proofErr w:type="spellEnd"/>
      <w:r>
        <w:t xml:space="preserve">, S. (2023). Spatial variability of soil macronutrients and chemical properties in Ujjain Tehsil of Ujjain District of Madhya Pradesh, India. </w:t>
      </w:r>
      <w:r>
        <w:rPr>
          <w:rStyle w:val="Emphasis"/>
        </w:rPr>
        <w:t>International Journal of Plant &amp; Soil Science, 35</w:t>
      </w:r>
      <w:r>
        <w:t xml:space="preserve">(21), 325–335. </w:t>
      </w:r>
      <w:hyperlink r:id="rId11" w:tgtFrame="_new" w:history="1">
        <w:r>
          <w:rPr>
            <w:rStyle w:val="Hyperlink"/>
          </w:rPr>
          <w:t>https://doi.org/10.9734/ijpss/2023/v35i213980</w:t>
        </w:r>
      </w:hyperlink>
    </w:p>
    <w:p w:rsidR="008952AF" w:rsidRDefault="008952AF" w:rsidP="008952AF">
      <w:pPr>
        <w:pStyle w:val="NormalWeb"/>
        <w:spacing w:before="0" w:beforeAutospacing="0" w:after="120" w:afterAutospacing="0" w:line="276" w:lineRule="auto"/>
      </w:pPr>
      <w:proofErr w:type="spellStart"/>
      <w:r>
        <w:t>Gudadhe</w:t>
      </w:r>
      <w:proofErr w:type="spellEnd"/>
      <w:r>
        <w:t xml:space="preserve">, N., </w:t>
      </w:r>
      <w:proofErr w:type="spellStart"/>
      <w:r>
        <w:t>Dhonde</w:t>
      </w:r>
      <w:proofErr w:type="spellEnd"/>
      <w:r>
        <w:t xml:space="preserve">, M. B., &amp; </w:t>
      </w:r>
      <w:proofErr w:type="spellStart"/>
      <w:r>
        <w:t>Hirwe</w:t>
      </w:r>
      <w:proofErr w:type="spellEnd"/>
      <w:r>
        <w:t xml:space="preserve">, N. A. (2015). Effect of integrated nutrient management on soil properties under cotton–chickpea cropping sequence in </w:t>
      </w:r>
      <w:proofErr w:type="spellStart"/>
      <w:r>
        <w:t>Vertisols</w:t>
      </w:r>
      <w:proofErr w:type="spellEnd"/>
      <w:r>
        <w:t xml:space="preserve"> of Deccan plateau. </w:t>
      </w:r>
      <w:r>
        <w:rPr>
          <w:rStyle w:val="Emphasis"/>
        </w:rPr>
        <w:t>Indian Journal of Agricultural Research, 49</w:t>
      </w:r>
      <w:r>
        <w:t>(3), 207–214.</w:t>
      </w:r>
    </w:p>
    <w:p w:rsidR="008952AF" w:rsidRDefault="008952AF" w:rsidP="008952AF">
      <w:pPr>
        <w:pStyle w:val="NormalWeb"/>
        <w:spacing w:before="0" w:beforeAutospacing="0" w:after="120" w:afterAutospacing="0" w:line="276" w:lineRule="auto"/>
      </w:pPr>
      <w:proofErr w:type="spellStart"/>
      <w:r>
        <w:t>Hati</w:t>
      </w:r>
      <w:proofErr w:type="spellEnd"/>
      <w:r>
        <w:t xml:space="preserve">, K. M., Swarup, A., Dwivedi, A. K., &amp; </w:t>
      </w:r>
      <w:proofErr w:type="spellStart"/>
      <w:r>
        <w:t>Misra</w:t>
      </w:r>
      <w:proofErr w:type="spellEnd"/>
      <w:r>
        <w:t xml:space="preserve">, A. K. (2007). Changes in soil physical properties and organic carbon status after 28 years of continuous cropping and fertilization in a </w:t>
      </w:r>
      <w:proofErr w:type="spellStart"/>
      <w:r>
        <w:t>Vertisol</w:t>
      </w:r>
      <w:proofErr w:type="spellEnd"/>
      <w:r>
        <w:t xml:space="preserve">. </w:t>
      </w:r>
      <w:r>
        <w:rPr>
          <w:rStyle w:val="Emphasis"/>
        </w:rPr>
        <w:t>Agriculture, Ecosystems &amp; Environment, 119</w:t>
      </w:r>
      <w:r>
        <w:t>, 127–134.</w:t>
      </w:r>
    </w:p>
    <w:p w:rsidR="008952AF" w:rsidRDefault="008952AF" w:rsidP="008952AF">
      <w:pPr>
        <w:pStyle w:val="NormalWeb"/>
        <w:spacing w:before="0" w:beforeAutospacing="0" w:after="120" w:afterAutospacing="0" w:line="276" w:lineRule="auto"/>
      </w:pPr>
      <w:r>
        <w:t>Jabbar, A., Aziz, T., Bhatti, I. H., Virk, Z. A., &amp; Khan, M. M. (2009). Effect of potassium application on yield and protein contents of late sown wheat (</w:t>
      </w:r>
      <w:r>
        <w:rPr>
          <w:rStyle w:val="Emphasis"/>
        </w:rPr>
        <w:t xml:space="preserve">Triticum </w:t>
      </w:r>
      <w:proofErr w:type="spellStart"/>
      <w:r>
        <w:rPr>
          <w:rStyle w:val="Emphasis"/>
        </w:rPr>
        <w:t>aestivum</w:t>
      </w:r>
      <w:proofErr w:type="spellEnd"/>
      <w:r>
        <w:t xml:space="preserve"> L.) under field conditions. </w:t>
      </w:r>
      <w:r>
        <w:rPr>
          <w:rStyle w:val="Emphasis"/>
        </w:rPr>
        <w:t>Soil and Environment, 28</w:t>
      </w:r>
      <w:r>
        <w:t>(2), 193–196.</w:t>
      </w:r>
    </w:p>
    <w:p w:rsidR="008952AF" w:rsidRDefault="008952AF" w:rsidP="008952AF">
      <w:pPr>
        <w:pStyle w:val="NormalWeb"/>
        <w:spacing w:before="0" w:beforeAutospacing="0" w:after="120" w:afterAutospacing="0" w:line="276" w:lineRule="auto"/>
      </w:pPr>
      <w:r>
        <w:t xml:space="preserve">Jackson, M. L. (1973). </w:t>
      </w:r>
      <w:r>
        <w:rPr>
          <w:rStyle w:val="Emphasis"/>
        </w:rPr>
        <w:t>Soil chemical analysis</w:t>
      </w:r>
      <w:r>
        <w:t>. New Delhi: Prentice Hall of India Pvt. Ltd.</w:t>
      </w:r>
    </w:p>
    <w:p w:rsidR="008952AF" w:rsidRDefault="008952AF" w:rsidP="008952AF">
      <w:pPr>
        <w:pStyle w:val="NormalWeb"/>
        <w:spacing w:before="0" w:beforeAutospacing="0" w:after="120" w:afterAutospacing="0" w:line="276" w:lineRule="auto"/>
      </w:pPr>
      <w:r>
        <w:t xml:space="preserve">Kumar, A., Aakash, Chauhan, R. S., </w:t>
      </w:r>
      <w:proofErr w:type="spellStart"/>
      <w:r>
        <w:t>Ruhela</w:t>
      </w:r>
      <w:proofErr w:type="spellEnd"/>
      <w:r>
        <w:t>, S., Yadav, S., Maheshwari, H., Kumar, R., &amp; Maheshwari, D. K. (2025). Growth and yield attributes of wheat (</w:t>
      </w:r>
      <w:r>
        <w:rPr>
          <w:rStyle w:val="Emphasis"/>
        </w:rPr>
        <w:t xml:space="preserve">Triticum </w:t>
      </w:r>
      <w:proofErr w:type="spellStart"/>
      <w:r>
        <w:rPr>
          <w:rStyle w:val="Emphasis"/>
        </w:rPr>
        <w:t>aestivum</w:t>
      </w:r>
      <w:proofErr w:type="spellEnd"/>
      <w:r>
        <w:t xml:space="preserve"> L.) as influenced by different sowing methods in </w:t>
      </w:r>
      <w:proofErr w:type="spellStart"/>
      <w:r>
        <w:t>Dhampur</w:t>
      </w:r>
      <w:proofErr w:type="spellEnd"/>
      <w:r>
        <w:t xml:space="preserve"> condition. </w:t>
      </w:r>
      <w:r>
        <w:rPr>
          <w:rStyle w:val="Emphasis"/>
        </w:rPr>
        <w:t>Journal of Experimental Agriculture International, 47</w:t>
      </w:r>
      <w:r>
        <w:t xml:space="preserve">(10), 566–575. </w:t>
      </w:r>
      <w:hyperlink r:id="rId12" w:tgtFrame="_new" w:history="1">
        <w:r>
          <w:rPr>
            <w:rStyle w:val="Hyperlink"/>
          </w:rPr>
          <w:t>https://doi.org/10.9734/jeai/2025/v47i103838</w:t>
        </w:r>
      </w:hyperlink>
    </w:p>
    <w:p w:rsidR="008952AF" w:rsidRDefault="008952AF" w:rsidP="008952AF">
      <w:pPr>
        <w:pStyle w:val="NormalWeb"/>
        <w:spacing w:before="0" w:beforeAutospacing="0" w:after="120" w:afterAutospacing="0" w:line="276" w:lineRule="auto"/>
      </w:pPr>
      <w:r>
        <w:t xml:space="preserve">Kumar, V., Singh, M. K., Lakshmi, D. U., Aakash, </w:t>
      </w:r>
      <w:proofErr w:type="spellStart"/>
      <w:r>
        <w:t>Saikia</w:t>
      </w:r>
      <w:proofErr w:type="spellEnd"/>
      <w:r>
        <w:t>, N., &amp; Kumari, A. (2022). Response of N, P, S doses and urea foliar spray on lentil under guava (</w:t>
      </w:r>
      <w:r>
        <w:rPr>
          <w:rStyle w:val="Emphasis"/>
        </w:rPr>
        <w:t xml:space="preserve">Psidium </w:t>
      </w:r>
      <w:proofErr w:type="spellStart"/>
      <w:r>
        <w:rPr>
          <w:rStyle w:val="Emphasis"/>
        </w:rPr>
        <w:t>guajava</w:t>
      </w:r>
      <w:proofErr w:type="spellEnd"/>
      <w:r>
        <w:t>) + lentil (</w:t>
      </w:r>
      <w:r>
        <w:rPr>
          <w:rStyle w:val="Emphasis"/>
        </w:rPr>
        <w:t xml:space="preserve">Lens </w:t>
      </w:r>
      <w:proofErr w:type="spellStart"/>
      <w:r>
        <w:rPr>
          <w:rStyle w:val="Emphasis"/>
        </w:rPr>
        <w:t>culinaris</w:t>
      </w:r>
      <w:proofErr w:type="spellEnd"/>
      <w:r>
        <w:t xml:space="preserve">) based </w:t>
      </w:r>
      <w:proofErr w:type="spellStart"/>
      <w:r>
        <w:t>agri-horti</w:t>
      </w:r>
      <w:proofErr w:type="spellEnd"/>
      <w:r>
        <w:t xml:space="preserve"> system. </w:t>
      </w:r>
      <w:r>
        <w:rPr>
          <w:rStyle w:val="Emphasis"/>
        </w:rPr>
        <w:t>The Indian Journal of Agricultural Sciences, 92</w:t>
      </w:r>
      <w:r>
        <w:t xml:space="preserve">(11), 1410–1412. </w:t>
      </w:r>
      <w:hyperlink r:id="rId13" w:tgtFrame="_new" w:history="1">
        <w:r>
          <w:rPr>
            <w:rStyle w:val="Hyperlink"/>
          </w:rPr>
          <w:t>https://doi.org/10.56093/ijas.v92i11.127891</w:t>
        </w:r>
      </w:hyperlink>
    </w:p>
    <w:p w:rsidR="008952AF" w:rsidRDefault="008952AF" w:rsidP="008952AF">
      <w:pPr>
        <w:pStyle w:val="NormalWeb"/>
        <w:spacing w:before="0" w:beforeAutospacing="0" w:after="120" w:afterAutospacing="0" w:line="276" w:lineRule="auto"/>
      </w:pPr>
      <w:r>
        <w:t xml:space="preserve">Kundu, D. K., Mazumdar, S. P., Ghosh, D., </w:t>
      </w:r>
      <w:proofErr w:type="spellStart"/>
      <w:r>
        <w:t>Saha</w:t>
      </w:r>
      <w:proofErr w:type="spellEnd"/>
      <w:r>
        <w:t xml:space="preserve">, A. R., Majumdar, B., </w:t>
      </w:r>
      <w:proofErr w:type="spellStart"/>
      <w:r>
        <w:t>Ghorai</w:t>
      </w:r>
      <w:proofErr w:type="spellEnd"/>
      <w:r>
        <w:t xml:space="preserve">, A. K., et al. (2016). Long-term effects of fertilizer and manure application on soil quality in jute–rice–wheat system. </w:t>
      </w:r>
      <w:r>
        <w:rPr>
          <w:rStyle w:val="Emphasis"/>
        </w:rPr>
        <w:t>Journal of Applied and Natural Science, 8</w:t>
      </w:r>
      <w:r>
        <w:t>(4), 1793–1800.</w:t>
      </w:r>
    </w:p>
    <w:p w:rsidR="008952AF" w:rsidRDefault="008952AF" w:rsidP="008952AF">
      <w:pPr>
        <w:pStyle w:val="NormalWeb"/>
        <w:spacing w:before="0" w:beforeAutospacing="0" w:after="120" w:afterAutospacing="0" w:line="276" w:lineRule="auto"/>
      </w:pPr>
      <w:r>
        <w:t>Maheshwari, H., Chauhan, R. S., Aakash, Yadav, P. K., Maheshwari, D. K., Kumar, A., Ranjan, H., et al. (2025). Effect of integrated nitrogen management on growth and yield attributes of wheat (</w:t>
      </w:r>
      <w:r>
        <w:rPr>
          <w:rStyle w:val="Emphasis"/>
        </w:rPr>
        <w:t xml:space="preserve">Triticum </w:t>
      </w:r>
      <w:proofErr w:type="spellStart"/>
      <w:r>
        <w:rPr>
          <w:rStyle w:val="Emphasis"/>
        </w:rPr>
        <w:t>aestivum</w:t>
      </w:r>
      <w:proofErr w:type="spellEnd"/>
      <w:r>
        <w:t xml:space="preserve"> L.) under late sown condition. </w:t>
      </w:r>
      <w:r>
        <w:rPr>
          <w:rStyle w:val="Emphasis"/>
        </w:rPr>
        <w:t>Journal of Advances in Biology &amp; Biotechnology, 28</w:t>
      </w:r>
      <w:r>
        <w:t xml:space="preserve">(10), 831–839. </w:t>
      </w:r>
      <w:hyperlink r:id="rId14" w:tgtFrame="_new" w:history="1">
        <w:r>
          <w:rPr>
            <w:rStyle w:val="Hyperlink"/>
          </w:rPr>
          <w:t>https://doi.org/10.9734/jabb/2025/v28i103107</w:t>
        </w:r>
      </w:hyperlink>
    </w:p>
    <w:p w:rsidR="008952AF" w:rsidRDefault="008952AF" w:rsidP="008952AF">
      <w:pPr>
        <w:pStyle w:val="NormalWeb"/>
        <w:spacing w:before="0" w:beforeAutospacing="0" w:after="120" w:afterAutospacing="0" w:line="276" w:lineRule="auto"/>
      </w:pPr>
      <w:r>
        <w:t>Maheshwari, D. K., Chauhan, R. S., Aakash, Ravi, H. R., Sharma, V., Maheshwari, H., Kumar, A., et al. (2025). Effect of nitrogen, organic manures and zinc foliar spray on different growth parameters of two-row barley (</w:t>
      </w:r>
      <w:proofErr w:type="spellStart"/>
      <w:r>
        <w:rPr>
          <w:rStyle w:val="Emphasis"/>
        </w:rPr>
        <w:t>Hordeum</w:t>
      </w:r>
      <w:proofErr w:type="spellEnd"/>
      <w:r>
        <w:rPr>
          <w:rStyle w:val="Emphasis"/>
        </w:rPr>
        <w:t xml:space="preserve"> </w:t>
      </w:r>
      <w:proofErr w:type="spellStart"/>
      <w:r>
        <w:rPr>
          <w:rStyle w:val="Emphasis"/>
        </w:rPr>
        <w:t>distichon</w:t>
      </w:r>
      <w:proofErr w:type="spellEnd"/>
      <w:r>
        <w:t xml:space="preserve"> L.). </w:t>
      </w:r>
      <w:r>
        <w:rPr>
          <w:rStyle w:val="Emphasis"/>
        </w:rPr>
        <w:t xml:space="preserve">International </w:t>
      </w:r>
      <w:r>
        <w:rPr>
          <w:rStyle w:val="Emphasis"/>
        </w:rPr>
        <w:lastRenderedPageBreak/>
        <w:t>Journal of Plant &amp; Soil Science, 37</w:t>
      </w:r>
      <w:r>
        <w:t xml:space="preserve">(10), 91–100. </w:t>
      </w:r>
      <w:hyperlink r:id="rId15" w:tgtFrame="_new" w:history="1">
        <w:r>
          <w:rPr>
            <w:rStyle w:val="Hyperlink"/>
          </w:rPr>
          <w:t>https://doi.org/10.9734/ijpss/2025/v37i105765</w:t>
        </w:r>
      </w:hyperlink>
    </w:p>
    <w:p w:rsidR="008952AF" w:rsidRDefault="008952AF" w:rsidP="008952AF">
      <w:pPr>
        <w:pStyle w:val="NormalWeb"/>
        <w:spacing w:before="0" w:beforeAutospacing="0" w:after="120" w:afterAutospacing="0" w:line="276" w:lineRule="auto"/>
      </w:pPr>
      <w:r>
        <w:t xml:space="preserve">Olsen, S. R., Cole, C. V., Watanabe, F. S., &amp; Dean, L. A. (1954). </w:t>
      </w:r>
      <w:r>
        <w:rPr>
          <w:rStyle w:val="Emphasis"/>
        </w:rPr>
        <w:t>Estimation of available phosphorus in soils by extraction with sodium carbonate</w:t>
      </w:r>
      <w:r>
        <w:t>. Washington, D.C.: U.S. Department of Agriculture.</w:t>
      </w:r>
    </w:p>
    <w:p w:rsidR="008952AF" w:rsidRDefault="008952AF" w:rsidP="008952AF">
      <w:pPr>
        <w:pStyle w:val="NormalWeb"/>
        <w:spacing w:before="0" w:beforeAutospacing="0" w:after="120" w:afterAutospacing="0" w:line="276" w:lineRule="auto"/>
      </w:pPr>
      <w:r>
        <w:t xml:space="preserve">Rajput, P. S., Srivastava, S., Sharma, B. L., </w:t>
      </w:r>
      <w:proofErr w:type="spellStart"/>
      <w:r>
        <w:t>Sachidanand</w:t>
      </w:r>
      <w:proofErr w:type="spellEnd"/>
      <w:r>
        <w:t xml:space="preserve">, B., Dey, P., </w:t>
      </w:r>
      <w:proofErr w:type="spellStart"/>
      <w:r>
        <w:t>Aher</w:t>
      </w:r>
      <w:proofErr w:type="spellEnd"/>
      <w:r>
        <w:t xml:space="preserve">, S. B., &amp; </w:t>
      </w:r>
      <w:proofErr w:type="spellStart"/>
      <w:r>
        <w:t>Yashona</w:t>
      </w:r>
      <w:proofErr w:type="spellEnd"/>
      <w:r>
        <w:t xml:space="preserve">, D. S. (2016). Effect of soil-test-based long-term fertilization on soil health and rice productivity in </w:t>
      </w:r>
      <w:proofErr w:type="spellStart"/>
      <w:r>
        <w:t>Vertisols</w:t>
      </w:r>
      <w:proofErr w:type="spellEnd"/>
      <w:r>
        <w:t xml:space="preserve">. </w:t>
      </w:r>
      <w:r>
        <w:rPr>
          <w:rStyle w:val="Emphasis"/>
        </w:rPr>
        <w:t>International Journal of Agriculture, Environment and Biotechnology, 9</w:t>
      </w:r>
      <w:r>
        <w:t>(5), 801–806.</w:t>
      </w:r>
    </w:p>
    <w:p w:rsidR="008952AF" w:rsidRDefault="008952AF" w:rsidP="008952AF">
      <w:pPr>
        <w:pStyle w:val="NormalWeb"/>
        <w:spacing w:before="0" w:beforeAutospacing="0" w:after="120" w:afterAutospacing="0" w:line="276" w:lineRule="auto"/>
      </w:pPr>
      <w:r>
        <w:t xml:space="preserve">Ramachandran, S., &amp; Biswas, D. R. (2016). Nutrient management effects on crop productivity and soil organic carbon in maize–wheat system. </w:t>
      </w:r>
      <w:r>
        <w:rPr>
          <w:rStyle w:val="Emphasis"/>
        </w:rPr>
        <w:t>Journal of Plant Nutrition, 39</w:t>
      </w:r>
      <w:r>
        <w:t>(8), 1039–1056.</w:t>
      </w:r>
    </w:p>
    <w:p w:rsidR="008952AF" w:rsidRDefault="008952AF" w:rsidP="008952AF">
      <w:pPr>
        <w:pStyle w:val="NormalWeb"/>
        <w:spacing w:before="0" w:beforeAutospacing="0" w:after="120" w:afterAutospacing="0" w:line="276" w:lineRule="auto"/>
      </w:pPr>
      <w:proofErr w:type="spellStart"/>
      <w:r>
        <w:t>Ramamoorthy</w:t>
      </w:r>
      <w:proofErr w:type="spellEnd"/>
      <w:r>
        <w:t xml:space="preserve">, B., </w:t>
      </w:r>
      <w:proofErr w:type="spellStart"/>
      <w:r>
        <w:t>Narasimham</w:t>
      </w:r>
      <w:proofErr w:type="spellEnd"/>
      <w:r>
        <w:t xml:space="preserve">, R. L., &amp; Dinesh, R. S. (1967). Fertilizer application for specific yield targets on Sonora-64 wheat. </w:t>
      </w:r>
      <w:r>
        <w:rPr>
          <w:rStyle w:val="Emphasis"/>
        </w:rPr>
        <w:t>Indian Farming, 17</w:t>
      </w:r>
      <w:r>
        <w:t>(5), 43–45.</w:t>
      </w:r>
    </w:p>
    <w:p w:rsidR="008952AF" w:rsidRDefault="008952AF" w:rsidP="008952AF">
      <w:pPr>
        <w:pStyle w:val="NormalWeb"/>
        <w:spacing w:before="0" w:beforeAutospacing="0" w:after="120" w:afterAutospacing="0" w:line="276" w:lineRule="auto"/>
      </w:pPr>
      <w:r>
        <w:t xml:space="preserve">Rawal, N., </w:t>
      </w:r>
      <w:proofErr w:type="spellStart"/>
      <w:r>
        <w:t>Chalise</w:t>
      </w:r>
      <w:proofErr w:type="spellEnd"/>
      <w:r>
        <w:t xml:space="preserve">, D., &amp; Khatri, N. (2016). Response of promising wheat genotypes under different nitrogen levels. </w:t>
      </w:r>
      <w:r>
        <w:rPr>
          <w:rStyle w:val="Emphasis"/>
        </w:rPr>
        <w:t>International Journal of Applied Sciences and Biotechnology, 4</w:t>
      </w:r>
      <w:r>
        <w:t>(4), 489–497.</w:t>
      </w:r>
    </w:p>
    <w:p w:rsidR="008952AF" w:rsidRDefault="008952AF" w:rsidP="008952AF">
      <w:pPr>
        <w:pStyle w:val="NormalWeb"/>
        <w:spacing w:before="0" w:beforeAutospacing="0" w:after="120" w:afterAutospacing="0" w:line="276" w:lineRule="auto"/>
      </w:pPr>
      <w:proofErr w:type="spellStart"/>
      <w:r>
        <w:t>Sawarkar</w:t>
      </w:r>
      <w:proofErr w:type="spellEnd"/>
      <w:r>
        <w:t xml:space="preserve">, S. D., </w:t>
      </w:r>
      <w:proofErr w:type="spellStart"/>
      <w:r>
        <w:t>Khamparia</w:t>
      </w:r>
      <w:proofErr w:type="spellEnd"/>
      <w:r>
        <w:t xml:space="preserve">, N. K., Thakur, R., </w:t>
      </w:r>
      <w:proofErr w:type="spellStart"/>
      <w:r>
        <w:t>Dewda</w:t>
      </w:r>
      <w:proofErr w:type="spellEnd"/>
      <w:r>
        <w:t xml:space="preserve">, M. S., &amp; Singh, M. (2013). Effect of long-term fertilization on potassium fractions in soybean–wheat system in </w:t>
      </w:r>
      <w:proofErr w:type="spellStart"/>
      <w:r>
        <w:t>Vertisol</w:t>
      </w:r>
      <w:proofErr w:type="spellEnd"/>
      <w:r>
        <w:t xml:space="preserve">. </w:t>
      </w:r>
      <w:r>
        <w:rPr>
          <w:rStyle w:val="Emphasis"/>
        </w:rPr>
        <w:t>Journal of the Indian Society of Soil Science, 61</w:t>
      </w:r>
      <w:r>
        <w:t>, 94–98.</w:t>
      </w:r>
    </w:p>
    <w:p w:rsidR="008952AF" w:rsidRDefault="008952AF" w:rsidP="008952AF">
      <w:pPr>
        <w:pStyle w:val="NormalWeb"/>
        <w:spacing w:before="0" w:beforeAutospacing="0" w:after="120" w:afterAutospacing="0" w:line="276" w:lineRule="auto"/>
      </w:pPr>
      <w:r>
        <w:t xml:space="preserve">Sharma, A., Gupta, P. K., </w:t>
      </w:r>
      <w:proofErr w:type="spellStart"/>
      <w:r>
        <w:t>Dongre</w:t>
      </w:r>
      <w:proofErr w:type="spellEnd"/>
      <w:r>
        <w:t xml:space="preserve">, P., Aakash, Parihar, N., </w:t>
      </w:r>
      <w:proofErr w:type="spellStart"/>
      <w:r>
        <w:t>Dangi</w:t>
      </w:r>
      <w:proofErr w:type="spellEnd"/>
      <w:r>
        <w:t xml:space="preserve">, J. P. S., &amp; </w:t>
      </w:r>
      <w:proofErr w:type="spellStart"/>
      <w:r>
        <w:t>Bhayal</w:t>
      </w:r>
      <w:proofErr w:type="spellEnd"/>
      <w:r>
        <w:t>, D. (2023). Effect of micronutrients and biofertilizers on yield and its attributes of coriander (</w:t>
      </w:r>
      <w:r>
        <w:rPr>
          <w:rStyle w:val="Emphasis"/>
        </w:rPr>
        <w:t>Coriandrum sativum</w:t>
      </w:r>
      <w:r>
        <w:t xml:space="preserve"> L.) cv. RCR-41. </w:t>
      </w:r>
      <w:r>
        <w:rPr>
          <w:rStyle w:val="Emphasis"/>
        </w:rPr>
        <w:t>International Journal of Environment and Climate Change, 13</w:t>
      </w:r>
      <w:r>
        <w:t xml:space="preserve">(11), 4250–4260. </w:t>
      </w:r>
      <w:hyperlink r:id="rId16" w:tgtFrame="_new" w:history="1">
        <w:r>
          <w:rPr>
            <w:rStyle w:val="Hyperlink"/>
          </w:rPr>
          <w:t>https://doi.org/10.9734/ijecc/2023/v13i113605</w:t>
        </w:r>
      </w:hyperlink>
    </w:p>
    <w:p w:rsidR="008952AF" w:rsidRDefault="008952AF" w:rsidP="008952AF">
      <w:pPr>
        <w:pStyle w:val="NormalWeb"/>
        <w:spacing w:before="0" w:beforeAutospacing="0" w:after="120" w:afterAutospacing="0" w:line="276" w:lineRule="auto"/>
      </w:pPr>
      <w:r>
        <w:t xml:space="preserve">Sharma, U., &amp; </w:t>
      </w:r>
      <w:proofErr w:type="spellStart"/>
      <w:r>
        <w:t>Paliyal</w:t>
      </w:r>
      <w:proofErr w:type="spellEnd"/>
      <w:r>
        <w:t xml:space="preserve">, S. S. (2015). Forms of soil potassium under long-term fertilization in maize–wheat system. </w:t>
      </w:r>
      <w:r>
        <w:rPr>
          <w:rStyle w:val="Emphasis"/>
        </w:rPr>
        <w:t>Journal of Krishi Vigyan, 3</w:t>
      </w:r>
      <w:r>
        <w:t>, 48–53.</w:t>
      </w:r>
    </w:p>
    <w:p w:rsidR="008952AF" w:rsidRDefault="008952AF" w:rsidP="008952AF">
      <w:pPr>
        <w:pStyle w:val="NormalWeb"/>
        <w:spacing w:before="0" w:beforeAutospacing="0" w:after="120" w:afterAutospacing="0" w:line="276" w:lineRule="auto"/>
      </w:pPr>
      <w:r>
        <w:t>Singh, S. R., Singh, M. K., Aakash, Meena, K., &amp; Vishwakarma, S. P. (2021). Effect of different NPK levels on fodder production of Sudan grass (</w:t>
      </w:r>
      <w:r>
        <w:rPr>
          <w:rStyle w:val="Emphasis"/>
        </w:rPr>
        <w:t>Sorghum bicolor</w:t>
      </w:r>
      <w:r>
        <w:t xml:space="preserve"> var. Sudanese). </w:t>
      </w:r>
      <w:r>
        <w:rPr>
          <w:rStyle w:val="Emphasis"/>
        </w:rPr>
        <w:t>International Journal of Bio-resource and Stress Management, 12</w:t>
      </w:r>
      <w:r>
        <w:t xml:space="preserve">(3), 199–204. </w:t>
      </w:r>
      <w:hyperlink r:id="rId17" w:tgtFrame="_new" w:history="1">
        <w:r>
          <w:rPr>
            <w:rStyle w:val="Hyperlink"/>
          </w:rPr>
          <w:t>https://doi.org/10.23910/1.2021.2229</w:t>
        </w:r>
      </w:hyperlink>
    </w:p>
    <w:p w:rsidR="008952AF" w:rsidRDefault="008952AF" w:rsidP="008952AF">
      <w:pPr>
        <w:pStyle w:val="NormalWeb"/>
        <w:spacing w:before="0" w:beforeAutospacing="0" w:after="120" w:afterAutospacing="0" w:line="276" w:lineRule="auto"/>
      </w:pPr>
      <w:r>
        <w:t xml:space="preserve">Subbiah, B. V., &amp; </w:t>
      </w:r>
      <w:proofErr w:type="spellStart"/>
      <w:r>
        <w:t>Asija</w:t>
      </w:r>
      <w:proofErr w:type="spellEnd"/>
      <w:r>
        <w:t xml:space="preserve">, G. L. (1956). A rapid method for estimation of nitrogen in soils. </w:t>
      </w:r>
      <w:r>
        <w:rPr>
          <w:rStyle w:val="Emphasis"/>
        </w:rPr>
        <w:t>Current Science, 25</w:t>
      </w:r>
      <w:r>
        <w:t>, 259–260.</w:t>
      </w:r>
    </w:p>
    <w:p w:rsidR="008952AF" w:rsidRDefault="008952AF" w:rsidP="008952AF">
      <w:pPr>
        <w:pStyle w:val="NormalWeb"/>
        <w:spacing w:before="0" w:beforeAutospacing="0" w:after="120" w:afterAutospacing="0" w:line="276" w:lineRule="auto"/>
      </w:pPr>
      <w:r>
        <w:t xml:space="preserve">Swarup, A., &amp; </w:t>
      </w:r>
      <w:proofErr w:type="spellStart"/>
      <w:r>
        <w:t>Yaduvanshi</w:t>
      </w:r>
      <w:proofErr w:type="spellEnd"/>
      <w:r>
        <w:t xml:space="preserve">, N. P. S. (2000). Effect of integrated nutrient management on soil properties and yield of rice in alkali soil. </w:t>
      </w:r>
      <w:r>
        <w:rPr>
          <w:rStyle w:val="Emphasis"/>
        </w:rPr>
        <w:t>Journal of the Indian Society of Soil Science, 48</w:t>
      </w:r>
      <w:r>
        <w:t>(2), 279–282.</w:t>
      </w:r>
    </w:p>
    <w:p w:rsidR="008952AF" w:rsidRDefault="008952AF" w:rsidP="008952AF">
      <w:pPr>
        <w:pStyle w:val="NormalWeb"/>
        <w:spacing w:before="0" w:beforeAutospacing="0" w:after="120" w:afterAutospacing="0" w:line="276" w:lineRule="auto"/>
      </w:pPr>
      <w:r>
        <w:t xml:space="preserve">Thakur, R., </w:t>
      </w:r>
      <w:proofErr w:type="spellStart"/>
      <w:r>
        <w:t>Sawarkar</w:t>
      </w:r>
      <w:proofErr w:type="spellEnd"/>
      <w:r>
        <w:t xml:space="preserve">, S. D., Vaishya, U. K., &amp; Singh, M. (2011). Impact of continuous use of fertilizers and manure on soil properties in soybean–wheat system in </w:t>
      </w:r>
      <w:proofErr w:type="spellStart"/>
      <w:r>
        <w:t>Vertisol</w:t>
      </w:r>
      <w:proofErr w:type="spellEnd"/>
      <w:r>
        <w:t xml:space="preserve">. </w:t>
      </w:r>
      <w:r>
        <w:rPr>
          <w:rStyle w:val="Emphasis"/>
        </w:rPr>
        <w:t>Journal of the Indian Society of Soil Science, 59</w:t>
      </w:r>
      <w:r>
        <w:t>(1), 74–81.</w:t>
      </w:r>
    </w:p>
    <w:p w:rsidR="008952AF" w:rsidRDefault="008952AF" w:rsidP="008952AF">
      <w:pPr>
        <w:pStyle w:val="NormalWeb"/>
        <w:spacing w:before="0" w:beforeAutospacing="0" w:after="120" w:afterAutospacing="0" w:line="276" w:lineRule="auto"/>
      </w:pPr>
      <w:r>
        <w:lastRenderedPageBreak/>
        <w:t xml:space="preserve">Upadhyay, V. B., &amp; Vishwakarma, S. K. (2014). Long-term effect of integrated nutrient management in rice–wheat cropping system. </w:t>
      </w:r>
      <w:r>
        <w:rPr>
          <w:rStyle w:val="Emphasis"/>
        </w:rPr>
        <w:t>Indian Journal of Agronomy, 59</w:t>
      </w:r>
      <w:r>
        <w:t>(2), 209–214.</w:t>
      </w:r>
    </w:p>
    <w:p w:rsidR="008952AF" w:rsidRDefault="008952AF" w:rsidP="008952AF">
      <w:pPr>
        <w:pStyle w:val="NormalWeb"/>
        <w:spacing w:before="0" w:beforeAutospacing="0" w:after="120" w:afterAutospacing="0" w:line="276" w:lineRule="auto"/>
      </w:pPr>
      <w:r>
        <w:t xml:space="preserve">Walkley, A., &amp; Black, C. A. (1934). An examination of methods for determining soil organic matter and a proposed modification of the chromic acid titration method. </w:t>
      </w:r>
      <w:r>
        <w:rPr>
          <w:rStyle w:val="Emphasis"/>
        </w:rPr>
        <w:t>Soil Science, 37</w:t>
      </w:r>
      <w:r>
        <w:t>, 29–38.</w:t>
      </w:r>
    </w:p>
    <w:p w:rsidR="00E1098B" w:rsidRDefault="00E1098B" w:rsidP="00E1098B">
      <w:pPr>
        <w:pStyle w:val="BodyText"/>
        <w:spacing w:before="43"/>
        <w:rPr>
          <w:rFonts w:ascii="Arial"/>
          <w:b/>
        </w:rPr>
      </w:pPr>
    </w:p>
    <w:p w:rsidR="008D2D3D" w:rsidRPr="00D83141" w:rsidRDefault="008D2D3D" w:rsidP="008D2D3D">
      <w:pPr>
        <w:pStyle w:val="NormalWeb"/>
        <w:ind w:left="360"/>
        <w:jc w:val="both"/>
        <w:rPr>
          <w:sz w:val="20"/>
          <w:szCs w:val="20"/>
        </w:rPr>
      </w:pPr>
    </w:p>
    <w:sectPr w:rsidR="008D2D3D" w:rsidRPr="00D83141" w:rsidSect="00440132">
      <w:headerReference w:type="even" r:id="rId18"/>
      <w:headerReference w:type="default" r:id="rId19"/>
      <w:footerReference w:type="even" r:id="rId20"/>
      <w:footerReference w:type="default" r:id="rId21"/>
      <w:headerReference w:type="first" r:id="rId22"/>
      <w:footerReference w:type="first" r:id="rId23"/>
      <w:pgSz w:w="12240" w:h="15840"/>
      <w:pgMar w:top="1360" w:right="180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93F" w:rsidRPr="00E1098B" w:rsidRDefault="0054393F" w:rsidP="00E1098B">
      <w:pPr>
        <w:pStyle w:val="NormalWeb"/>
        <w:spacing w:before="0" w:after="0"/>
        <w:rPr>
          <w:rFonts w:ascii="Arial MT" w:eastAsia="Arial MT" w:hAnsi="Arial MT" w:cs="Arial MT"/>
          <w:sz w:val="22"/>
          <w:szCs w:val="22"/>
          <w:lang w:bidi="ar-SA"/>
        </w:rPr>
      </w:pPr>
      <w:r>
        <w:separator/>
      </w:r>
    </w:p>
  </w:endnote>
  <w:endnote w:type="continuationSeparator" w:id="0">
    <w:p w:rsidR="0054393F" w:rsidRPr="00E1098B" w:rsidRDefault="0054393F" w:rsidP="00E1098B">
      <w:pPr>
        <w:pStyle w:val="NormalWeb"/>
        <w:spacing w:before="0" w:after="0"/>
        <w:rPr>
          <w:rFonts w:ascii="Arial MT" w:eastAsia="Arial MT" w:hAnsi="Arial MT" w:cs="Arial MT"/>
          <w:sz w:val="22"/>
          <w:szCs w:val="22"/>
          <w:lang w:bidi="ar-S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542" w:rsidRDefault="00402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40C" w:rsidRDefault="0054393F">
    <w:pPr>
      <w:pStyle w:val="BodyText"/>
      <w:spacing w:line="14" w:lineRule="auto"/>
    </w:pPr>
    <w:r>
      <w:rPr>
        <w:sz w:val="24"/>
      </w:rPr>
      <w:pict>
        <v:shapetype id="_x0000_t202" coordsize="21600,21600" o:spt="202" path="m,l,21600r21600,l21600,xe">
          <v:stroke joinstyle="miter"/>
          <v:path gradientshapeok="t" o:connecttype="rect"/>
        </v:shapetype>
        <v:shape id="_x0000_s2049" type="#_x0000_t202" style="position:absolute;margin-left:288.55pt;margin-top:791.55pt;width:18.25pt;height:14.35pt;z-index:-251658752;mso-position-horizontal-relative:page;mso-position-vertical-relative:page" filled="f" stroked="f">
          <v:textbox style="mso-next-textbox:#_x0000_s2049" inset="0,0,0,0">
            <w:txbxContent>
              <w:p w:rsidR="001A640C" w:rsidRDefault="001A640C">
                <w:pPr>
                  <w:spacing w:before="13"/>
                  <w:ind w:left="60"/>
                </w:pPr>
                <w:r>
                  <w:fldChar w:fldCharType="begin"/>
                </w:r>
                <w:r>
                  <w:instrText xml:space="preserve"> PAGE </w:instrText>
                </w:r>
                <w:r>
                  <w:fldChar w:fldCharType="separate"/>
                </w:r>
                <w:r w:rsidR="0055176B">
                  <w:rPr>
                    <w:noProof/>
                  </w:rPr>
                  <w:t>8</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542" w:rsidRDefault="00402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93F" w:rsidRPr="00E1098B" w:rsidRDefault="0054393F" w:rsidP="00E1098B">
      <w:pPr>
        <w:pStyle w:val="NormalWeb"/>
        <w:spacing w:before="0" w:after="0"/>
        <w:rPr>
          <w:rFonts w:ascii="Arial MT" w:eastAsia="Arial MT" w:hAnsi="Arial MT" w:cs="Arial MT"/>
          <w:sz w:val="22"/>
          <w:szCs w:val="22"/>
          <w:lang w:bidi="ar-SA"/>
        </w:rPr>
      </w:pPr>
      <w:r>
        <w:separator/>
      </w:r>
    </w:p>
  </w:footnote>
  <w:footnote w:type="continuationSeparator" w:id="0">
    <w:p w:rsidR="0054393F" w:rsidRPr="00E1098B" w:rsidRDefault="0054393F" w:rsidP="00E1098B">
      <w:pPr>
        <w:pStyle w:val="NormalWeb"/>
        <w:spacing w:before="0" w:after="0"/>
        <w:rPr>
          <w:rFonts w:ascii="Arial MT" w:eastAsia="Arial MT" w:hAnsi="Arial MT" w:cs="Arial MT"/>
          <w:sz w:val="22"/>
          <w:szCs w:val="22"/>
          <w:lang w:bidi="ar-S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542" w:rsidRDefault="004025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17422" o:spid="_x0000_s2052" type="#_x0000_t136" style="position:absolute;margin-left:0;margin-top:0;width:547.25pt;height:61.75pt;rotation:315;z-index:-25165465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542" w:rsidRDefault="004025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17423" o:spid="_x0000_s2053" type="#_x0000_t136" style="position:absolute;margin-left:0;margin-top:0;width:547.25pt;height:61.75pt;rotation:315;z-index:-25165260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542" w:rsidRDefault="004025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17421" o:spid="_x0000_s2051" type="#_x0000_t136" style="position:absolute;margin-left:0;margin-top:0;width:547.25pt;height:61.75pt;rotation:315;z-index:-25165670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3354F"/>
    <w:multiLevelType w:val="multilevel"/>
    <w:tmpl w:val="A02C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96CFD"/>
    <w:multiLevelType w:val="hybridMultilevel"/>
    <w:tmpl w:val="0DDC0C14"/>
    <w:lvl w:ilvl="0" w:tplc="C166F356">
      <w:start w:val="1"/>
      <w:numFmt w:val="decimal"/>
      <w:lvlText w:val="%1."/>
      <w:lvlJc w:val="left"/>
      <w:pPr>
        <w:ind w:left="936" w:hanging="360"/>
      </w:pPr>
      <w:rPr>
        <w:rFonts w:ascii="Arial MT" w:eastAsia="Arial MT" w:hAnsi="Arial MT" w:cs="Arial MT" w:hint="default"/>
        <w:b w:val="0"/>
        <w:bCs w:val="0"/>
        <w:i w:val="0"/>
        <w:iCs w:val="0"/>
        <w:spacing w:val="-2"/>
        <w:w w:val="100"/>
        <w:sz w:val="20"/>
        <w:szCs w:val="20"/>
        <w:lang w:val="en-US" w:eastAsia="en-US" w:bidi="ar-SA"/>
      </w:rPr>
    </w:lvl>
    <w:lvl w:ilvl="1" w:tplc="EED4F958">
      <w:numFmt w:val="bullet"/>
      <w:lvlText w:val="•"/>
      <w:lvlJc w:val="left"/>
      <w:pPr>
        <w:ind w:left="1710" w:hanging="360"/>
      </w:pPr>
      <w:rPr>
        <w:rFonts w:hint="default"/>
        <w:lang w:val="en-US" w:eastAsia="en-US" w:bidi="ar-SA"/>
      </w:rPr>
    </w:lvl>
    <w:lvl w:ilvl="2" w:tplc="38B86052">
      <w:numFmt w:val="bullet"/>
      <w:lvlText w:val="•"/>
      <w:lvlJc w:val="left"/>
      <w:pPr>
        <w:ind w:left="2480" w:hanging="360"/>
      </w:pPr>
      <w:rPr>
        <w:rFonts w:hint="default"/>
        <w:lang w:val="en-US" w:eastAsia="en-US" w:bidi="ar-SA"/>
      </w:rPr>
    </w:lvl>
    <w:lvl w:ilvl="3" w:tplc="942E11A4">
      <w:numFmt w:val="bullet"/>
      <w:lvlText w:val="•"/>
      <w:lvlJc w:val="left"/>
      <w:pPr>
        <w:ind w:left="3250" w:hanging="360"/>
      </w:pPr>
      <w:rPr>
        <w:rFonts w:hint="default"/>
        <w:lang w:val="en-US" w:eastAsia="en-US" w:bidi="ar-SA"/>
      </w:rPr>
    </w:lvl>
    <w:lvl w:ilvl="4" w:tplc="1DA238AA">
      <w:numFmt w:val="bullet"/>
      <w:lvlText w:val="•"/>
      <w:lvlJc w:val="left"/>
      <w:pPr>
        <w:ind w:left="4020" w:hanging="360"/>
      </w:pPr>
      <w:rPr>
        <w:rFonts w:hint="default"/>
        <w:lang w:val="en-US" w:eastAsia="en-US" w:bidi="ar-SA"/>
      </w:rPr>
    </w:lvl>
    <w:lvl w:ilvl="5" w:tplc="30DCB194">
      <w:numFmt w:val="bullet"/>
      <w:lvlText w:val="•"/>
      <w:lvlJc w:val="left"/>
      <w:pPr>
        <w:ind w:left="4790" w:hanging="360"/>
      </w:pPr>
      <w:rPr>
        <w:rFonts w:hint="default"/>
        <w:lang w:val="en-US" w:eastAsia="en-US" w:bidi="ar-SA"/>
      </w:rPr>
    </w:lvl>
    <w:lvl w:ilvl="6" w:tplc="EC46FE3A">
      <w:numFmt w:val="bullet"/>
      <w:lvlText w:val="•"/>
      <w:lvlJc w:val="left"/>
      <w:pPr>
        <w:ind w:left="5560" w:hanging="360"/>
      </w:pPr>
      <w:rPr>
        <w:rFonts w:hint="default"/>
        <w:lang w:val="en-US" w:eastAsia="en-US" w:bidi="ar-SA"/>
      </w:rPr>
    </w:lvl>
    <w:lvl w:ilvl="7" w:tplc="919E0756">
      <w:numFmt w:val="bullet"/>
      <w:lvlText w:val="•"/>
      <w:lvlJc w:val="left"/>
      <w:pPr>
        <w:ind w:left="6330" w:hanging="360"/>
      </w:pPr>
      <w:rPr>
        <w:rFonts w:hint="default"/>
        <w:lang w:val="en-US" w:eastAsia="en-US" w:bidi="ar-SA"/>
      </w:rPr>
    </w:lvl>
    <w:lvl w:ilvl="8" w:tplc="E318BF86">
      <w:numFmt w:val="bullet"/>
      <w:lvlText w:val="•"/>
      <w:lvlJc w:val="left"/>
      <w:pPr>
        <w:ind w:left="7100" w:hanging="360"/>
      </w:pPr>
      <w:rPr>
        <w:rFonts w:hint="default"/>
        <w:lang w:val="en-US" w:eastAsia="en-US" w:bidi="ar-SA"/>
      </w:rPr>
    </w:lvl>
  </w:abstractNum>
  <w:abstractNum w:abstractNumId="2" w15:restartNumberingAfterBreak="0">
    <w:nsid w:val="2A1C3268"/>
    <w:multiLevelType w:val="hybridMultilevel"/>
    <w:tmpl w:val="B78293C6"/>
    <w:lvl w:ilvl="0" w:tplc="82F4330E">
      <w:start w:val="1"/>
      <w:numFmt w:val="decimal"/>
      <w:lvlText w:val="%1."/>
      <w:lvlJc w:val="left"/>
      <w:pPr>
        <w:ind w:left="2430" w:hanging="360"/>
        <w:jc w:val="right"/>
      </w:pPr>
      <w:rPr>
        <w:rFonts w:hint="default"/>
        <w:spacing w:val="0"/>
        <w:w w:val="100"/>
        <w:lang w:val="en-US" w:eastAsia="en-US" w:bidi="ar-SA"/>
      </w:rPr>
    </w:lvl>
    <w:lvl w:ilvl="1" w:tplc="159C7352">
      <w:numFmt w:val="none"/>
      <w:lvlText w:val=""/>
      <w:lvlJc w:val="left"/>
      <w:pPr>
        <w:tabs>
          <w:tab w:val="num" w:pos="234"/>
        </w:tabs>
      </w:pPr>
    </w:lvl>
    <w:lvl w:ilvl="2" w:tplc="A82EA076">
      <w:numFmt w:val="bullet"/>
      <w:lvlText w:val="•"/>
      <w:lvlJc w:val="left"/>
      <w:pPr>
        <w:ind w:left="814" w:hanging="337"/>
      </w:pPr>
      <w:rPr>
        <w:rFonts w:hint="default"/>
        <w:lang w:val="en-US" w:eastAsia="en-US" w:bidi="ar-SA"/>
      </w:rPr>
    </w:lvl>
    <w:lvl w:ilvl="3" w:tplc="6BE46F18">
      <w:numFmt w:val="bullet"/>
      <w:lvlText w:val="•"/>
      <w:lvlJc w:val="left"/>
      <w:pPr>
        <w:ind w:left="1776" w:hanging="337"/>
      </w:pPr>
      <w:rPr>
        <w:rFonts w:hint="default"/>
        <w:lang w:val="en-US" w:eastAsia="en-US" w:bidi="ar-SA"/>
      </w:rPr>
    </w:lvl>
    <w:lvl w:ilvl="4" w:tplc="8E56DC72">
      <w:numFmt w:val="bullet"/>
      <w:lvlText w:val="•"/>
      <w:lvlJc w:val="left"/>
      <w:pPr>
        <w:ind w:left="2739" w:hanging="337"/>
      </w:pPr>
      <w:rPr>
        <w:rFonts w:hint="default"/>
        <w:lang w:val="en-US" w:eastAsia="en-US" w:bidi="ar-SA"/>
      </w:rPr>
    </w:lvl>
    <w:lvl w:ilvl="5" w:tplc="A2C857B0">
      <w:numFmt w:val="bullet"/>
      <w:lvlText w:val="•"/>
      <w:lvlJc w:val="left"/>
      <w:pPr>
        <w:ind w:left="3701" w:hanging="337"/>
      </w:pPr>
      <w:rPr>
        <w:rFonts w:hint="default"/>
        <w:lang w:val="en-US" w:eastAsia="en-US" w:bidi="ar-SA"/>
      </w:rPr>
    </w:lvl>
    <w:lvl w:ilvl="6" w:tplc="5B040026">
      <w:numFmt w:val="bullet"/>
      <w:lvlText w:val="•"/>
      <w:lvlJc w:val="left"/>
      <w:pPr>
        <w:ind w:left="4664" w:hanging="337"/>
      </w:pPr>
      <w:rPr>
        <w:rFonts w:hint="default"/>
        <w:lang w:val="en-US" w:eastAsia="en-US" w:bidi="ar-SA"/>
      </w:rPr>
    </w:lvl>
    <w:lvl w:ilvl="7" w:tplc="F7F405D8">
      <w:numFmt w:val="bullet"/>
      <w:lvlText w:val="•"/>
      <w:lvlJc w:val="left"/>
      <w:pPr>
        <w:ind w:left="5626" w:hanging="337"/>
      </w:pPr>
      <w:rPr>
        <w:rFonts w:hint="default"/>
        <w:lang w:val="en-US" w:eastAsia="en-US" w:bidi="ar-SA"/>
      </w:rPr>
    </w:lvl>
    <w:lvl w:ilvl="8" w:tplc="7E40F3BA">
      <w:numFmt w:val="bullet"/>
      <w:lvlText w:val="•"/>
      <w:lvlJc w:val="left"/>
      <w:pPr>
        <w:ind w:left="6589" w:hanging="337"/>
      </w:pPr>
      <w:rPr>
        <w:rFonts w:hint="default"/>
        <w:lang w:val="en-US" w:eastAsia="en-US" w:bidi="ar-SA"/>
      </w:rPr>
    </w:lvl>
  </w:abstractNum>
  <w:abstractNum w:abstractNumId="3" w15:restartNumberingAfterBreak="0">
    <w:nsid w:val="46D51C35"/>
    <w:multiLevelType w:val="hybridMultilevel"/>
    <w:tmpl w:val="883A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710DD"/>
    <w:multiLevelType w:val="hybridMultilevel"/>
    <w:tmpl w:val="202EC5B6"/>
    <w:lvl w:ilvl="0" w:tplc="D5F4701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CA2B00"/>
    <w:multiLevelType w:val="hybridMultilevel"/>
    <w:tmpl w:val="E4E23F4C"/>
    <w:lvl w:ilvl="0" w:tplc="CD526498">
      <w:start w:val="4"/>
      <w:numFmt w:val="decimal"/>
      <w:lvlText w:val="%1"/>
      <w:lvlJc w:val="left"/>
      <w:pPr>
        <w:ind w:left="720" w:hanging="505"/>
      </w:pPr>
      <w:rPr>
        <w:rFonts w:hint="default"/>
        <w:lang w:val="en-US" w:eastAsia="en-US" w:bidi="ar-SA"/>
      </w:rPr>
    </w:lvl>
    <w:lvl w:ilvl="1" w:tplc="94167910">
      <w:numFmt w:val="none"/>
      <w:lvlText w:val=""/>
      <w:lvlJc w:val="left"/>
      <w:pPr>
        <w:tabs>
          <w:tab w:val="num" w:pos="360"/>
        </w:tabs>
      </w:pPr>
    </w:lvl>
    <w:lvl w:ilvl="2" w:tplc="F942151C">
      <w:numFmt w:val="none"/>
      <w:lvlText w:val=""/>
      <w:lvlJc w:val="left"/>
      <w:pPr>
        <w:tabs>
          <w:tab w:val="num" w:pos="360"/>
        </w:tabs>
      </w:pPr>
    </w:lvl>
    <w:lvl w:ilvl="3" w:tplc="18F26880">
      <w:numFmt w:val="bullet"/>
      <w:lvlText w:val="•"/>
      <w:lvlJc w:val="left"/>
      <w:pPr>
        <w:ind w:left="3096" w:hanging="505"/>
      </w:pPr>
      <w:rPr>
        <w:rFonts w:hint="default"/>
        <w:lang w:val="en-US" w:eastAsia="en-US" w:bidi="ar-SA"/>
      </w:rPr>
    </w:lvl>
    <w:lvl w:ilvl="4" w:tplc="56125D62">
      <w:numFmt w:val="bullet"/>
      <w:lvlText w:val="•"/>
      <w:lvlJc w:val="left"/>
      <w:pPr>
        <w:ind w:left="3888" w:hanging="505"/>
      </w:pPr>
      <w:rPr>
        <w:rFonts w:hint="default"/>
        <w:lang w:val="en-US" w:eastAsia="en-US" w:bidi="ar-SA"/>
      </w:rPr>
    </w:lvl>
    <w:lvl w:ilvl="5" w:tplc="FF1C884E">
      <w:numFmt w:val="bullet"/>
      <w:lvlText w:val="•"/>
      <w:lvlJc w:val="left"/>
      <w:pPr>
        <w:ind w:left="4680" w:hanging="505"/>
      </w:pPr>
      <w:rPr>
        <w:rFonts w:hint="default"/>
        <w:lang w:val="en-US" w:eastAsia="en-US" w:bidi="ar-SA"/>
      </w:rPr>
    </w:lvl>
    <w:lvl w:ilvl="6" w:tplc="9022E5E8">
      <w:numFmt w:val="bullet"/>
      <w:lvlText w:val="•"/>
      <w:lvlJc w:val="left"/>
      <w:pPr>
        <w:ind w:left="5472" w:hanging="505"/>
      </w:pPr>
      <w:rPr>
        <w:rFonts w:hint="default"/>
        <w:lang w:val="en-US" w:eastAsia="en-US" w:bidi="ar-SA"/>
      </w:rPr>
    </w:lvl>
    <w:lvl w:ilvl="7" w:tplc="A6F461D4">
      <w:numFmt w:val="bullet"/>
      <w:lvlText w:val="•"/>
      <w:lvlJc w:val="left"/>
      <w:pPr>
        <w:ind w:left="6264" w:hanging="505"/>
      </w:pPr>
      <w:rPr>
        <w:rFonts w:hint="default"/>
        <w:lang w:val="en-US" w:eastAsia="en-US" w:bidi="ar-SA"/>
      </w:rPr>
    </w:lvl>
    <w:lvl w:ilvl="8" w:tplc="89841A32">
      <w:numFmt w:val="bullet"/>
      <w:lvlText w:val="•"/>
      <w:lvlJc w:val="left"/>
      <w:pPr>
        <w:ind w:left="7056" w:hanging="505"/>
      </w:pPr>
      <w:rPr>
        <w:rFonts w:hint="default"/>
        <w:lang w:val="en-US" w:eastAsia="en-US" w:bidi="ar-SA"/>
      </w:rPr>
    </w:lvl>
  </w:abstractNum>
  <w:abstractNum w:abstractNumId="6" w15:restartNumberingAfterBreak="0">
    <w:nsid w:val="7F4722B8"/>
    <w:multiLevelType w:val="hybridMultilevel"/>
    <w:tmpl w:val="B78293C6"/>
    <w:lvl w:ilvl="0" w:tplc="82F4330E">
      <w:start w:val="1"/>
      <w:numFmt w:val="decimal"/>
      <w:lvlText w:val="%1."/>
      <w:lvlJc w:val="left"/>
      <w:pPr>
        <w:ind w:left="2430" w:hanging="360"/>
        <w:jc w:val="right"/>
      </w:pPr>
      <w:rPr>
        <w:rFonts w:hint="default"/>
        <w:spacing w:val="0"/>
        <w:w w:val="100"/>
        <w:lang w:val="en-US" w:eastAsia="en-US" w:bidi="ar-SA"/>
      </w:rPr>
    </w:lvl>
    <w:lvl w:ilvl="1" w:tplc="159C7352">
      <w:numFmt w:val="none"/>
      <w:lvlText w:val=""/>
      <w:lvlJc w:val="left"/>
      <w:pPr>
        <w:tabs>
          <w:tab w:val="num" w:pos="234"/>
        </w:tabs>
      </w:pPr>
    </w:lvl>
    <w:lvl w:ilvl="2" w:tplc="A82EA076">
      <w:numFmt w:val="bullet"/>
      <w:lvlText w:val="•"/>
      <w:lvlJc w:val="left"/>
      <w:pPr>
        <w:ind w:left="814" w:hanging="337"/>
      </w:pPr>
      <w:rPr>
        <w:rFonts w:hint="default"/>
        <w:lang w:val="en-US" w:eastAsia="en-US" w:bidi="ar-SA"/>
      </w:rPr>
    </w:lvl>
    <w:lvl w:ilvl="3" w:tplc="6BE46F18">
      <w:numFmt w:val="bullet"/>
      <w:lvlText w:val="•"/>
      <w:lvlJc w:val="left"/>
      <w:pPr>
        <w:ind w:left="1776" w:hanging="337"/>
      </w:pPr>
      <w:rPr>
        <w:rFonts w:hint="default"/>
        <w:lang w:val="en-US" w:eastAsia="en-US" w:bidi="ar-SA"/>
      </w:rPr>
    </w:lvl>
    <w:lvl w:ilvl="4" w:tplc="8E56DC72">
      <w:numFmt w:val="bullet"/>
      <w:lvlText w:val="•"/>
      <w:lvlJc w:val="left"/>
      <w:pPr>
        <w:ind w:left="2739" w:hanging="337"/>
      </w:pPr>
      <w:rPr>
        <w:rFonts w:hint="default"/>
        <w:lang w:val="en-US" w:eastAsia="en-US" w:bidi="ar-SA"/>
      </w:rPr>
    </w:lvl>
    <w:lvl w:ilvl="5" w:tplc="A2C857B0">
      <w:numFmt w:val="bullet"/>
      <w:lvlText w:val="•"/>
      <w:lvlJc w:val="left"/>
      <w:pPr>
        <w:ind w:left="3701" w:hanging="337"/>
      </w:pPr>
      <w:rPr>
        <w:rFonts w:hint="default"/>
        <w:lang w:val="en-US" w:eastAsia="en-US" w:bidi="ar-SA"/>
      </w:rPr>
    </w:lvl>
    <w:lvl w:ilvl="6" w:tplc="5B040026">
      <w:numFmt w:val="bullet"/>
      <w:lvlText w:val="•"/>
      <w:lvlJc w:val="left"/>
      <w:pPr>
        <w:ind w:left="4664" w:hanging="337"/>
      </w:pPr>
      <w:rPr>
        <w:rFonts w:hint="default"/>
        <w:lang w:val="en-US" w:eastAsia="en-US" w:bidi="ar-SA"/>
      </w:rPr>
    </w:lvl>
    <w:lvl w:ilvl="7" w:tplc="F7F405D8">
      <w:numFmt w:val="bullet"/>
      <w:lvlText w:val="•"/>
      <w:lvlJc w:val="left"/>
      <w:pPr>
        <w:ind w:left="5626" w:hanging="337"/>
      </w:pPr>
      <w:rPr>
        <w:rFonts w:hint="default"/>
        <w:lang w:val="en-US" w:eastAsia="en-US" w:bidi="ar-SA"/>
      </w:rPr>
    </w:lvl>
    <w:lvl w:ilvl="8" w:tplc="7E40F3BA">
      <w:numFmt w:val="bullet"/>
      <w:lvlText w:val="•"/>
      <w:lvlJc w:val="left"/>
      <w:pPr>
        <w:ind w:left="6589" w:hanging="337"/>
      </w:pPr>
      <w:rPr>
        <w:rFonts w:hint="default"/>
        <w:lang w:val="en-US" w:eastAsia="en-US" w:bidi="ar-SA"/>
      </w:r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3640F"/>
    <w:rsid w:val="00070507"/>
    <w:rsid w:val="0007475E"/>
    <w:rsid w:val="000869DD"/>
    <w:rsid w:val="001442B7"/>
    <w:rsid w:val="001A640C"/>
    <w:rsid w:val="002360F5"/>
    <w:rsid w:val="00281BD0"/>
    <w:rsid w:val="002B6E68"/>
    <w:rsid w:val="002E75A1"/>
    <w:rsid w:val="002F0545"/>
    <w:rsid w:val="003413DA"/>
    <w:rsid w:val="00357023"/>
    <w:rsid w:val="003678EE"/>
    <w:rsid w:val="003B1412"/>
    <w:rsid w:val="003D2867"/>
    <w:rsid w:val="003E0769"/>
    <w:rsid w:val="00402542"/>
    <w:rsid w:val="00431406"/>
    <w:rsid w:val="00440132"/>
    <w:rsid w:val="00500801"/>
    <w:rsid w:val="00500AAB"/>
    <w:rsid w:val="0054393F"/>
    <w:rsid w:val="0055176B"/>
    <w:rsid w:val="0059666A"/>
    <w:rsid w:val="00597443"/>
    <w:rsid w:val="005A17C0"/>
    <w:rsid w:val="005D1D3B"/>
    <w:rsid w:val="006834D4"/>
    <w:rsid w:val="00684CE8"/>
    <w:rsid w:val="0069553B"/>
    <w:rsid w:val="007027AC"/>
    <w:rsid w:val="007E6D09"/>
    <w:rsid w:val="00842376"/>
    <w:rsid w:val="008547F7"/>
    <w:rsid w:val="008952AF"/>
    <w:rsid w:val="008D2D3D"/>
    <w:rsid w:val="00920F4F"/>
    <w:rsid w:val="00966810"/>
    <w:rsid w:val="009A56F3"/>
    <w:rsid w:val="00A07541"/>
    <w:rsid w:val="00A72AFC"/>
    <w:rsid w:val="00B9612F"/>
    <w:rsid w:val="00BF114C"/>
    <w:rsid w:val="00C404B3"/>
    <w:rsid w:val="00C53FB9"/>
    <w:rsid w:val="00CB26B2"/>
    <w:rsid w:val="00CB7C1E"/>
    <w:rsid w:val="00D0057A"/>
    <w:rsid w:val="00D524F2"/>
    <w:rsid w:val="00D83141"/>
    <w:rsid w:val="00DA4CD0"/>
    <w:rsid w:val="00DB7D8A"/>
    <w:rsid w:val="00E1098B"/>
    <w:rsid w:val="00E91019"/>
    <w:rsid w:val="00ED4B57"/>
    <w:rsid w:val="00F16C96"/>
    <w:rsid w:val="00F3640F"/>
    <w:rsid w:val="00F435E6"/>
    <w:rsid w:val="00FA160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4FF29AA"/>
  <w15:docId w15:val="{3C3A9F2E-A2A6-4FEE-8B1E-FC86D882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3640F"/>
    <w:rPr>
      <w:rFonts w:ascii="Arial MT" w:eastAsia="Arial MT" w:hAnsi="Arial MT" w:cs="Arial MT"/>
    </w:rPr>
  </w:style>
  <w:style w:type="paragraph" w:styleId="Heading1">
    <w:name w:val="heading 1"/>
    <w:basedOn w:val="Normal"/>
    <w:uiPriority w:val="1"/>
    <w:qFormat/>
    <w:rsid w:val="00F3640F"/>
    <w:pPr>
      <w:ind w:right="211" w:hanging="92"/>
      <w:jc w:val="right"/>
      <w:outlineLvl w:val="0"/>
    </w:pPr>
    <w:rPr>
      <w:rFonts w:ascii="Arial" w:eastAsia="Arial" w:hAnsi="Arial" w:cs="Arial"/>
      <w:b/>
      <w:bCs/>
      <w:sz w:val="28"/>
      <w:szCs w:val="28"/>
    </w:rPr>
  </w:style>
  <w:style w:type="paragraph" w:styleId="Heading2">
    <w:name w:val="heading 2"/>
    <w:basedOn w:val="Normal"/>
    <w:uiPriority w:val="1"/>
    <w:qFormat/>
    <w:rsid w:val="00F3640F"/>
    <w:pPr>
      <w:ind w:left="463" w:hanging="248"/>
      <w:outlineLvl w:val="1"/>
    </w:pPr>
    <w:rPr>
      <w:rFonts w:ascii="Arial" w:eastAsia="Arial" w:hAnsi="Arial" w:cs="Arial"/>
      <w:b/>
      <w:bCs/>
    </w:rPr>
  </w:style>
  <w:style w:type="paragraph" w:styleId="Heading3">
    <w:name w:val="heading 3"/>
    <w:basedOn w:val="Normal"/>
    <w:uiPriority w:val="1"/>
    <w:qFormat/>
    <w:rsid w:val="00F3640F"/>
    <w:pPr>
      <w:ind w:left="215"/>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640F"/>
    <w:rPr>
      <w:sz w:val="20"/>
      <w:szCs w:val="20"/>
    </w:rPr>
  </w:style>
  <w:style w:type="paragraph" w:styleId="ListParagraph">
    <w:name w:val="List Paragraph"/>
    <w:basedOn w:val="Normal"/>
    <w:uiPriority w:val="1"/>
    <w:qFormat/>
    <w:rsid w:val="00F3640F"/>
    <w:pPr>
      <w:ind w:left="936" w:hanging="360"/>
      <w:jc w:val="both"/>
    </w:pPr>
  </w:style>
  <w:style w:type="paragraph" w:customStyle="1" w:styleId="TableParagraph">
    <w:name w:val="Table Paragraph"/>
    <w:basedOn w:val="Normal"/>
    <w:uiPriority w:val="1"/>
    <w:qFormat/>
    <w:rsid w:val="00F3640F"/>
    <w:pPr>
      <w:spacing w:before="162"/>
      <w:jc w:val="center"/>
    </w:pPr>
    <w:rPr>
      <w:rFonts w:ascii="Arial" w:eastAsia="Arial" w:hAnsi="Arial" w:cs="Arial"/>
    </w:rPr>
  </w:style>
  <w:style w:type="paragraph" w:styleId="NormalWeb">
    <w:name w:val="Normal (Web)"/>
    <w:basedOn w:val="Normal"/>
    <w:uiPriority w:val="99"/>
    <w:unhideWhenUsed/>
    <w:rsid w:val="00FA1608"/>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FA1608"/>
    <w:rPr>
      <w:i/>
      <w:iCs/>
    </w:rPr>
  </w:style>
  <w:style w:type="character" w:customStyle="1" w:styleId="whitespace-normal">
    <w:name w:val="whitespace-normal"/>
    <w:basedOn w:val="DefaultParagraphFont"/>
    <w:rsid w:val="00FA1608"/>
  </w:style>
  <w:style w:type="paragraph" w:styleId="z-TopofForm">
    <w:name w:val="HTML Top of Form"/>
    <w:basedOn w:val="Normal"/>
    <w:next w:val="Normal"/>
    <w:link w:val="z-TopofFormChar"/>
    <w:hidden/>
    <w:uiPriority w:val="99"/>
    <w:semiHidden/>
    <w:unhideWhenUsed/>
    <w:rsid w:val="00E1098B"/>
    <w:pPr>
      <w:widowControl/>
      <w:pBdr>
        <w:bottom w:val="single" w:sz="6" w:space="1" w:color="auto"/>
      </w:pBdr>
      <w:autoSpaceDE/>
      <w:autoSpaceDN/>
      <w:jc w:val="center"/>
    </w:pPr>
    <w:rPr>
      <w:rFonts w:ascii="Arial" w:eastAsia="Times New Roman" w:hAnsi="Arial" w:cs="Mangal"/>
      <w:vanish/>
      <w:sz w:val="16"/>
      <w:szCs w:val="14"/>
      <w:lang w:bidi="hi-IN"/>
    </w:rPr>
  </w:style>
  <w:style w:type="character" w:customStyle="1" w:styleId="z-TopofFormChar">
    <w:name w:val="z-Top of Form Char"/>
    <w:basedOn w:val="DefaultParagraphFont"/>
    <w:link w:val="z-TopofForm"/>
    <w:uiPriority w:val="99"/>
    <w:semiHidden/>
    <w:rsid w:val="00E1098B"/>
    <w:rPr>
      <w:rFonts w:ascii="Arial" w:eastAsia="Times New Roman" w:hAnsi="Arial" w:cs="Mangal"/>
      <w:vanish/>
      <w:sz w:val="16"/>
      <w:szCs w:val="14"/>
      <w:lang w:bidi="hi-IN"/>
    </w:rPr>
  </w:style>
  <w:style w:type="paragraph" w:customStyle="1" w:styleId="placeholder">
    <w:name w:val="placeholder"/>
    <w:basedOn w:val="Normal"/>
    <w:rsid w:val="00E1098B"/>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paragraph" w:styleId="z-BottomofForm">
    <w:name w:val="HTML Bottom of Form"/>
    <w:basedOn w:val="Normal"/>
    <w:next w:val="Normal"/>
    <w:link w:val="z-BottomofFormChar"/>
    <w:hidden/>
    <w:uiPriority w:val="99"/>
    <w:semiHidden/>
    <w:unhideWhenUsed/>
    <w:rsid w:val="00E1098B"/>
    <w:pPr>
      <w:widowControl/>
      <w:pBdr>
        <w:top w:val="single" w:sz="6" w:space="1" w:color="auto"/>
      </w:pBdr>
      <w:autoSpaceDE/>
      <w:autoSpaceDN/>
      <w:jc w:val="center"/>
    </w:pPr>
    <w:rPr>
      <w:rFonts w:ascii="Arial" w:eastAsia="Times New Roman" w:hAnsi="Arial" w:cs="Mangal"/>
      <w:vanish/>
      <w:sz w:val="16"/>
      <w:szCs w:val="14"/>
      <w:lang w:bidi="hi-IN"/>
    </w:rPr>
  </w:style>
  <w:style w:type="character" w:customStyle="1" w:styleId="z-BottomofFormChar">
    <w:name w:val="z-Bottom of Form Char"/>
    <w:basedOn w:val="DefaultParagraphFont"/>
    <w:link w:val="z-BottomofForm"/>
    <w:uiPriority w:val="99"/>
    <w:semiHidden/>
    <w:rsid w:val="00E1098B"/>
    <w:rPr>
      <w:rFonts w:ascii="Arial" w:eastAsia="Times New Roman" w:hAnsi="Arial" w:cs="Mangal"/>
      <w:vanish/>
      <w:sz w:val="16"/>
      <w:szCs w:val="14"/>
      <w:lang w:bidi="hi-IN"/>
    </w:rPr>
  </w:style>
  <w:style w:type="paragraph" w:customStyle="1" w:styleId="Style1">
    <w:name w:val="Style1"/>
    <w:basedOn w:val="Normal"/>
    <w:link w:val="Style1Char"/>
    <w:uiPriority w:val="1"/>
    <w:qFormat/>
    <w:rsid w:val="00E1098B"/>
    <w:pPr>
      <w:widowControl/>
      <w:pBdr>
        <w:bottom w:val="single" w:sz="6" w:space="1" w:color="auto"/>
      </w:pBdr>
      <w:autoSpaceDE/>
      <w:autoSpaceDN/>
      <w:jc w:val="center"/>
    </w:pPr>
    <w:rPr>
      <w:rFonts w:ascii="Arial" w:eastAsia="Times New Roman" w:hAnsi="Arial" w:cs="Mangal"/>
      <w:sz w:val="16"/>
      <w:szCs w:val="14"/>
      <w:lang w:bidi="hi-IN"/>
    </w:rPr>
  </w:style>
  <w:style w:type="paragraph" w:styleId="Header">
    <w:name w:val="header"/>
    <w:basedOn w:val="Normal"/>
    <w:link w:val="HeaderChar"/>
    <w:uiPriority w:val="99"/>
    <w:unhideWhenUsed/>
    <w:rsid w:val="00E1098B"/>
    <w:pPr>
      <w:tabs>
        <w:tab w:val="center" w:pos="4680"/>
        <w:tab w:val="right" w:pos="9360"/>
      </w:tabs>
    </w:pPr>
  </w:style>
  <w:style w:type="character" w:customStyle="1" w:styleId="Style1Char">
    <w:name w:val="Style1 Char"/>
    <w:basedOn w:val="DefaultParagraphFont"/>
    <w:link w:val="Style1"/>
    <w:uiPriority w:val="1"/>
    <w:rsid w:val="00E1098B"/>
    <w:rPr>
      <w:rFonts w:ascii="Arial" w:eastAsia="Times New Roman" w:hAnsi="Arial" w:cs="Mangal"/>
      <w:sz w:val="16"/>
      <w:szCs w:val="14"/>
      <w:lang w:bidi="hi-IN"/>
    </w:rPr>
  </w:style>
  <w:style w:type="character" w:customStyle="1" w:styleId="HeaderChar">
    <w:name w:val="Header Char"/>
    <w:basedOn w:val="DefaultParagraphFont"/>
    <w:link w:val="Header"/>
    <w:uiPriority w:val="99"/>
    <w:rsid w:val="00E1098B"/>
    <w:rPr>
      <w:rFonts w:ascii="Arial MT" w:eastAsia="Arial MT" w:hAnsi="Arial MT" w:cs="Arial MT"/>
    </w:rPr>
  </w:style>
  <w:style w:type="paragraph" w:styleId="Footer">
    <w:name w:val="footer"/>
    <w:basedOn w:val="Normal"/>
    <w:link w:val="FooterChar"/>
    <w:uiPriority w:val="99"/>
    <w:unhideWhenUsed/>
    <w:rsid w:val="00E1098B"/>
    <w:pPr>
      <w:tabs>
        <w:tab w:val="center" w:pos="4680"/>
        <w:tab w:val="right" w:pos="9360"/>
      </w:tabs>
    </w:pPr>
  </w:style>
  <w:style w:type="character" w:customStyle="1" w:styleId="FooterChar">
    <w:name w:val="Footer Char"/>
    <w:basedOn w:val="DefaultParagraphFont"/>
    <w:link w:val="Footer"/>
    <w:uiPriority w:val="99"/>
    <w:rsid w:val="00E1098B"/>
    <w:rPr>
      <w:rFonts w:ascii="Arial MT" w:eastAsia="Arial MT" w:hAnsi="Arial MT" w:cs="Arial MT"/>
    </w:rPr>
  </w:style>
  <w:style w:type="paragraph" w:styleId="BalloonText">
    <w:name w:val="Balloon Text"/>
    <w:basedOn w:val="Normal"/>
    <w:link w:val="BalloonTextChar"/>
    <w:uiPriority w:val="99"/>
    <w:semiHidden/>
    <w:unhideWhenUsed/>
    <w:rsid w:val="00684CE8"/>
    <w:rPr>
      <w:rFonts w:ascii="Tahoma" w:hAnsi="Tahoma" w:cs="Tahoma"/>
      <w:sz w:val="16"/>
      <w:szCs w:val="16"/>
    </w:rPr>
  </w:style>
  <w:style w:type="character" w:customStyle="1" w:styleId="BalloonTextChar">
    <w:name w:val="Balloon Text Char"/>
    <w:basedOn w:val="DefaultParagraphFont"/>
    <w:link w:val="BalloonText"/>
    <w:uiPriority w:val="99"/>
    <w:semiHidden/>
    <w:rsid w:val="00684CE8"/>
    <w:rPr>
      <w:rFonts w:ascii="Tahoma" w:eastAsia="Arial MT" w:hAnsi="Tahoma" w:cs="Tahoma"/>
      <w:sz w:val="16"/>
      <w:szCs w:val="16"/>
    </w:rPr>
  </w:style>
  <w:style w:type="paragraph" w:styleId="NoSpacing">
    <w:name w:val="No Spacing"/>
    <w:uiPriority w:val="1"/>
    <w:qFormat/>
    <w:rsid w:val="00966810"/>
    <w:rPr>
      <w:rFonts w:ascii="Arial MT" w:eastAsia="Arial MT" w:hAnsi="Arial MT" w:cs="Arial MT"/>
    </w:rPr>
  </w:style>
  <w:style w:type="character" w:styleId="Strong">
    <w:name w:val="Strong"/>
    <w:basedOn w:val="DefaultParagraphFont"/>
    <w:uiPriority w:val="22"/>
    <w:qFormat/>
    <w:rsid w:val="002F0545"/>
    <w:rPr>
      <w:b/>
      <w:bCs/>
    </w:rPr>
  </w:style>
  <w:style w:type="character" w:styleId="Hyperlink">
    <w:name w:val="Hyperlink"/>
    <w:basedOn w:val="DefaultParagraphFont"/>
    <w:uiPriority w:val="99"/>
    <w:unhideWhenUsed/>
    <w:rsid w:val="00500801"/>
    <w:rPr>
      <w:color w:val="0000FF" w:themeColor="hyperlink"/>
      <w:u w:val="single"/>
    </w:rPr>
  </w:style>
  <w:style w:type="table" w:styleId="TableGrid">
    <w:name w:val="Table Grid"/>
    <w:basedOn w:val="TableNormal"/>
    <w:uiPriority w:val="59"/>
    <w:rsid w:val="00BF114C"/>
    <w:pPr>
      <w:widowControl/>
      <w:autoSpaceDE/>
      <w:autoSpaceDN/>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04B3"/>
    <w:rPr>
      <w:color w:val="800080" w:themeColor="followedHyperlink"/>
      <w:u w:val="single"/>
    </w:rPr>
  </w:style>
  <w:style w:type="character" w:styleId="UnresolvedMention">
    <w:name w:val="Unresolved Mention"/>
    <w:basedOn w:val="DefaultParagraphFont"/>
    <w:uiPriority w:val="99"/>
    <w:semiHidden/>
    <w:unhideWhenUsed/>
    <w:rsid w:val="00D5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5981">
      <w:bodyDiv w:val="1"/>
      <w:marLeft w:val="0"/>
      <w:marRight w:val="0"/>
      <w:marTop w:val="0"/>
      <w:marBottom w:val="0"/>
      <w:divBdr>
        <w:top w:val="none" w:sz="0" w:space="0" w:color="auto"/>
        <w:left w:val="none" w:sz="0" w:space="0" w:color="auto"/>
        <w:bottom w:val="none" w:sz="0" w:space="0" w:color="auto"/>
        <w:right w:val="none" w:sz="0" w:space="0" w:color="auto"/>
      </w:divBdr>
    </w:div>
    <w:div w:id="229119629">
      <w:bodyDiv w:val="1"/>
      <w:marLeft w:val="0"/>
      <w:marRight w:val="0"/>
      <w:marTop w:val="0"/>
      <w:marBottom w:val="0"/>
      <w:divBdr>
        <w:top w:val="none" w:sz="0" w:space="0" w:color="auto"/>
        <w:left w:val="none" w:sz="0" w:space="0" w:color="auto"/>
        <w:bottom w:val="none" w:sz="0" w:space="0" w:color="auto"/>
        <w:right w:val="none" w:sz="0" w:space="0" w:color="auto"/>
      </w:divBdr>
    </w:div>
    <w:div w:id="590165111">
      <w:bodyDiv w:val="1"/>
      <w:marLeft w:val="0"/>
      <w:marRight w:val="0"/>
      <w:marTop w:val="0"/>
      <w:marBottom w:val="0"/>
      <w:divBdr>
        <w:top w:val="none" w:sz="0" w:space="0" w:color="auto"/>
        <w:left w:val="none" w:sz="0" w:space="0" w:color="auto"/>
        <w:bottom w:val="none" w:sz="0" w:space="0" w:color="auto"/>
        <w:right w:val="none" w:sz="0" w:space="0" w:color="auto"/>
      </w:divBdr>
    </w:div>
    <w:div w:id="624120136">
      <w:bodyDiv w:val="1"/>
      <w:marLeft w:val="0"/>
      <w:marRight w:val="0"/>
      <w:marTop w:val="0"/>
      <w:marBottom w:val="0"/>
      <w:divBdr>
        <w:top w:val="none" w:sz="0" w:space="0" w:color="auto"/>
        <w:left w:val="none" w:sz="0" w:space="0" w:color="auto"/>
        <w:bottom w:val="none" w:sz="0" w:space="0" w:color="auto"/>
        <w:right w:val="none" w:sz="0" w:space="0" w:color="auto"/>
      </w:divBdr>
    </w:div>
    <w:div w:id="667824703">
      <w:bodyDiv w:val="1"/>
      <w:marLeft w:val="0"/>
      <w:marRight w:val="0"/>
      <w:marTop w:val="0"/>
      <w:marBottom w:val="0"/>
      <w:divBdr>
        <w:top w:val="none" w:sz="0" w:space="0" w:color="auto"/>
        <w:left w:val="none" w:sz="0" w:space="0" w:color="auto"/>
        <w:bottom w:val="none" w:sz="0" w:space="0" w:color="auto"/>
        <w:right w:val="none" w:sz="0" w:space="0" w:color="auto"/>
      </w:divBdr>
      <w:divsChild>
        <w:div w:id="498231161">
          <w:marLeft w:val="0"/>
          <w:marRight w:val="0"/>
          <w:marTop w:val="0"/>
          <w:marBottom w:val="0"/>
          <w:divBdr>
            <w:top w:val="none" w:sz="0" w:space="0" w:color="auto"/>
            <w:left w:val="none" w:sz="0" w:space="0" w:color="auto"/>
            <w:bottom w:val="none" w:sz="0" w:space="0" w:color="auto"/>
            <w:right w:val="none" w:sz="0" w:space="0" w:color="auto"/>
          </w:divBdr>
          <w:divsChild>
            <w:div w:id="1842502139">
              <w:marLeft w:val="0"/>
              <w:marRight w:val="0"/>
              <w:marTop w:val="0"/>
              <w:marBottom w:val="0"/>
              <w:divBdr>
                <w:top w:val="none" w:sz="0" w:space="0" w:color="auto"/>
                <w:left w:val="none" w:sz="0" w:space="0" w:color="auto"/>
                <w:bottom w:val="none" w:sz="0" w:space="0" w:color="auto"/>
                <w:right w:val="none" w:sz="0" w:space="0" w:color="auto"/>
              </w:divBdr>
              <w:divsChild>
                <w:div w:id="71700831">
                  <w:marLeft w:val="0"/>
                  <w:marRight w:val="0"/>
                  <w:marTop w:val="0"/>
                  <w:marBottom w:val="0"/>
                  <w:divBdr>
                    <w:top w:val="none" w:sz="0" w:space="0" w:color="auto"/>
                    <w:left w:val="none" w:sz="0" w:space="0" w:color="auto"/>
                    <w:bottom w:val="none" w:sz="0" w:space="0" w:color="auto"/>
                    <w:right w:val="none" w:sz="0" w:space="0" w:color="auto"/>
                  </w:divBdr>
                  <w:divsChild>
                    <w:div w:id="1358893794">
                      <w:marLeft w:val="0"/>
                      <w:marRight w:val="0"/>
                      <w:marTop w:val="0"/>
                      <w:marBottom w:val="0"/>
                      <w:divBdr>
                        <w:top w:val="none" w:sz="0" w:space="0" w:color="auto"/>
                        <w:left w:val="none" w:sz="0" w:space="0" w:color="auto"/>
                        <w:bottom w:val="none" w:sz="0" w:space="0" w:color="auto"/>
                        <w:right w:val="none" w:sz="0" w:space="0" w:color="auto"/>
                      </w:divBdr>
                      <w:divsChild>
                        <w:div w:id="1376388499">
                          <w:marLeft w:val="0"/>
                          <w:marRight w:val="0"/>
                          <w:marTop w:val="0"/>
                          <w:marBottom w:val="0"/>
                          <w:divBdr>
                            <w:top w:val="none" w:sz="0" w:space="0" w:color="auto"/>
                            <w:left w:val="none" w:sz="0" w:space="0" w:color="auto"/>
                            <w:bottom w:val="none" w:sz="0" w:space="0" w:color="auto"/>
                            <w:right w:val="none" w:sz="0" w:space="0" w:color="auto"/>
                          </w:divBdr>
                          <w:divsChild>
                            <w:div w:id="13420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775868">
      <w:bodyDiv w:val="1"/>
      <w:marLeft w:val="0"/>
      <w:marRight w:val="0"/>
      <w:marTop w:val="0"/>
      <w:marBottom w:val="0"/>
      <w:divBdr>
        <w:top w:val="none" w:sz="0" w:space="0" w:color="auto"/>
        <w:left w:val="none" w:sz="0" w:space="0" w:color="auto"/>
        <w:bottom w:val="none" w:sz="0" w:space="0" w:color="auto"/>
        <w:right w:val="none" w:sz="0" w:space="0" w:color="auto"/>
      </w:divBdr>
      <w:divsChild>
        <w:div w:id="1613627967">
          <w:marLeft w:val="0"/>
          <w:marRight w:val="0"/>
          <w:marTop w:val="0"/>
          <w:marBottom w:val="0"/>
          <w:divBdr>
            <w:top w:val="none" w:sz="0" w:space="0" w:color="auto"/>
            <w:left w:val="none" w:sz="0" w:space="0" w:color="auto"/>
            <w:bottom w:val="none" w:sz="0" w:space="0" w:color="auto"/>
            <w:right w:val="none" w:sz="0" w:space="0" w:color="auto"/>
          </w:divBdr>
          <w:divsChild>
            <w:div w:id="291592140">
              <w:marLeft w:val="0"/>
              <w:marRight w:val="0"/>
              <w:marTop w:val="0"/>
              <w:marBottom w:val="0"/>
              <w:divBdr>
                <w:top w:val="none" w:sz="0" w:space="0" w:color="auto"/>
                <w:left w:val="none" w:sz="0" w:space="0" w:color="auto"/>
                <w:bottom w:val="none" w:sz="0" w:space="0" w:color="auto"/>
                <w:right w:val="none" w:sz="0" w:space="0" w:color="auto"/>
              </w:divBdr>
              <w:divsChild>
                <w:div w:id="580452926">
                  <w:marLeft w:val="0"/>
                  <w:marRight w:val="0"/>
                  <w:marTop w:val="0"/>
                  <w:marBottom w:val="0"/>
                  <w:divBdr>
                    <w:top w:val="none" w:sz="0" w:space="0" w:color="auto"/>
                    <w:left w:val="none" w:sz="0" w:space="0" w:color="auto"/>
                    <w:bottom w:val="none" w:sz="0" w:space="0" w:color="auto"/>
                    <w:right w:val="none" w:sz="0" w:space="0" w:color="auto"/>
                  </w:divBdr>
                  <w:divsChild>
                    <w:div w:id="1098217708">
                      <w:marLeft w:val="0"/>
                      <w:marRight w:val="0"/>
                      <w:marTop w:val="0"/>
                      <w:marBottom w:val="0"/>
                      <w:divBdr>
                        <w:top w:val="none" w:sz="0" w:space="0" w:color="auto"/>
                        <w:left w:val="none" w:sz="0" w:space="0" w:color="auto"/>
                        <w:bottom w:val="none" w:sz="0" w:space="0" w:color="auto"/>
                        <w:right w:val="none" w:sz="0" w:space="0" w:color="auto"/>
                      </w:divBdr>
                      <w:divsChild>
                        <w:div w:id="1823425806">
                          <w:marLeft w:val="0"/>
                          <w:marRight w:val="0"/>
                          <w:marTop w:val="0"/>
                          <w:marBottom w:val="0"/>
                          <w:divBdr>
                            <w:top w:val="none" w:sz="0" w:space="0" w:color="auto"/>
                            <w:left w:val="none" w:sz="0" w:space="0" w:color="auto"/>
                            <w:bottom w:val="none" w:sz="0" w:space="0" w:color="auto"/>
                            <w:right w:val="none" w:sz="0" w:space="0" w:color="auto"/>
                          </w:divBdr>
                          <w:divsChild>
                            <w:div w:id="1245605712">
                              <w:marLeft w:val="0"/>
                              <w:marRight w:val="0"/>
                              <w:marTop w:val="0"/>
                              <w:marBottom w:val="0"/>
                              <w:divBdr>
                                <w:top w:val="none" w:sz="0" w:space="0" w:color="auto"/>
                                <w:left w:val="none" w:sz="0" w:space="0" w:color="auto"/>
                                <w:bottom w:val="none" w:sz="0" w:space="0" w:color="auto"/>
                                <w:right w:val="none" w:sz="0" w:space="0" w:color="auto"/>
                              </w:divBdr>
                              <w:divsChild>
                                <w:div w:id="1881017717">
                                  <w:marLeft w:val="0"/>
                                  <w:marRight w:val="0"/>
                                  <w:marTop w:val="0"/>
                                  <w:marBottom w:val="0"/>
                                  <w:divBdr>
                                    <w:top w:val="none" w:sz="0" w:space="0" w:color="auto"/>
                                    <w:left w:val="none" w:sz="0" w:space="0" w:color="auto"/>
                                    <w:bottom w:val="none" w:sz="0" w:space="0" w:color="auto"/>
                                    <w:right w:val="none" w:sz="0" w:space="0" w:color="auto"/>
                                  </w:divBdr>
                                  <w:divsChild>
                                    <w:div w:id="12581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077752">
                  <w:marLeft w:val="0"/>
                  <w:marRight w:val="0"/>
                  <w:marTop w:val="0"/>
                  <w:marBottom w:val="0"/>
                  <w:divBdr>
                    <w:top w:val="none" w:sz="0" w:space="0" w:color="auto"/>
                    <w:left w:val="none" w:sz="0" w:space="0" w:color="auto"/>
                    <w:bottom w:val="none" w:sz="0" w:space="0" w:color="auto"/>
                    <w:right w:val="none" w:sz="0" w:space="0" w:color="auto"/>
                  </w:divBdr>
                  <w:divsChild>
                    <w:div w:id="409156126">
                      <w:marLeft w:val="0"/>
                      <w:marRight w:val="0"/>
                      <w:marTop w:val="0"/>
                      <w:marBottom w:val="0"/>
                      <w:divBdr>
                        <w:top w:val="none" w:sz="0" w:space="0" w:color="auto"/>
                        <w:left w:val="none" w:sz="0" w:space="0" w:color="auto"/>
                        <w:bottom w:val="none" w:sz="0" w:space="0" w:color="auto"/>
                        <w:right w:val="none" w:sz="0" w:space="0" w:color="auto"/>
                      </w:divBdr>
                      <w:divsChild>
                        <w:div w:id="135268230">
                          <w:marLeft w:val="0"/>
                          <w:marRight w:val="0"/>
                          <w:marTop w:val="0"/>
                          <w:marBottom w:val="0"/>
                          <w:divBdr>
                            <w:top w:val="none" w:sz="0" w:space="0" w:color="auto"/>
                            <w:left w:val="none" w:sz="0" w:space="0" w:color="auto"/>
                            <w:bottom w:val="none" w:sz="0" w:space="0" w:color="auto"/>
                            <w:right w:val="none" w:sz="0" w:space="0" w:color="auto"/>
                          </w:divBdr>
                          <w:divsChild>
                            <w:div w:id="1279410978">
                              <w:marLeft w:val="0"/>
                              <w:marRight w:val="0"/>
                              <w:marTop w:val="0"/>
                              <w:marBottom w:val="0"/>
                              <w:divBdr>
                                <w:top w:val="none" w:sz="0" w:space="0" w:color="auto"/>
                                <w:left w:val="none" w:sz="0" w:space="0" w:color="auto"/>
                                <w:bottom w:val="none" w:sz="0" w:space="0" w:color="auto"/>
                                <w:right w:val="none" w:sz="0" w:space="0" w:color="auto"/>
                              </w:divBdr>
                              <w:divsChild>
                                <w:div w:id="732775104">
                                  <w:marLeft w:val="0"/>
                                  <w:marRight w:val="0"/>
                                  <w:marTop w:val="0"/>
                                  <w:marBottom w:val="0"/>
                                  <w:divBdr>
                                    <w:top w:val="none" w:sz="0" w:space="0" w:color="auto"/>
                                    <w:left w:val="none" w:sz="0" w:space="0" w:color="auto"/>
                                    <w:bottom w:val="none" w:sz="0" w:space="0" w:color="auto"/>
                                    <w:right w:val="none" w:sz="0" w:space="0" w:color="auto"/>
                                  </w:divBdr>
                                  <w:divsChild>
                                    <w:div w:id="274991539">
                                      <w:marLeft w:val="0"/>
                                      <w:marRight w:val="0"/>
                                      <w:marTop w:val="0"/>
                                      <w:marBottom w:val="0"/>
                                      <w:divBdr>
                                        <w:top w:val="none" w:sz="0" w:space="0" w:color="auto"/>
                                        <w:left w:val="none" w:sz="0" w:space="0" w:color="auto"/>
                                        <w:bottom w:val="none" w:sz="0" w:space="0" w:color="auto"/>
                                        <w:right w:val="none" w:sz="0" w:space="0" w:color="auto"/>
                                      </w:divBdr>
                                      <w:divsChild>
                                        <w:div w:id="4668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676951">
          <w:marLeft w:val="0"/>
          <w:marRight w:val="0"/>
          <w:marTop w:val="0"/>
          <w:marBottom w:val="0"/>
          <w:divBdr>
            <w:top w:val="none" w:sz="0" w:space="0" w:color="auto"/>
            <w:left w:val="none" w:sz="0" w:space="0" w:color="auto"/>
            <w:bottom w:val="none" w:sz="0" w:space="0" w:color="auto"/>
            <w:right w:val="none" w:sz="0" w:space="0" w:color="auto"/>
          </w:divBdr>
          <w:divsChild>
            <w:div w:id="1481924999">
              <w:marLeft w:val="0"/>
              <w:marRight w:val="0"/>
              <w:marTop w:val="0"/>
              <w:marBottom w:val="0"/>
              <w:divBdr>
                <w:top w:val="none" w:sz="0" w:space="0" w:color="auto"/>
                <w:left w:val="none" w:sz="0" w:space="0" w:color="auto"/>
                <w:bottom w:val="none" w:sz="0" w:space="0" w:color="auto"/>
                <w:right w:val="none" w:sz="0" w:space="0" w:color="auto"/>
              </w:divBdr>
              <w:divsChild>
                <w:div w:id="1980302725">
                  <w:marLeft w:val="0"/>
                  <w:marRight w:val="0"/>
                  <w:marTop w:val="0"/>
                  <w:marBottom w:val="0"/>
                  <w:divBdr>
                    <w:top w:val="none" w:sz="0" w:space="0" w:color="auto"/>
                    <w:left w:val="none" w:sz="0" w:space="0" w:color="auto"/>
                    <w:bottom w:val="none" w:sz="0" w:space="0" w:color="auto"/>
                    <w:right w:val="none" w:sz="0" w:space="0" w:color="auto"/>
                  </w:divBdr>
                  <w:divsChild>
                    <w:div w:id="1575965985">
                      <w:marLeft w:val="0"/>
                      <w:marRight w:val="0"/>
                      <w:marTop w:val="0"/>
                      <w:marBottom w:val="0"/>
                      <w:divBdr>
                        <w:top w:val="none" w:sz="0" w:space="0" w:color="auto"/>
                        <w:left w:val="none" w:sz="0" w:space="0" w:color="auto"/>
                        <w:bottom w:val="none" w:sz="0" w:space="0" w:color="auto"/>
                        <w:right w:val="none" w:sz="0" w:space="0" w:color="auto"/>
                      </w:divBdr>
                      <w:divsChild>
                        <w:div w:id="1866090647">
                          <w:marLeft w:val="0"/>
                          <w:marRight w:val="0"/>
                          <w:marTop w:val="0"/>
                          <w:marBottom w:val="0"/>
                          <w:divBdr>
                            <w:top w:val="none" w:sz="0" w:space="0" w:color="auto"/>
                            <w:left w:val="none" w:sz="0" w:space="0" w:color="auto"/>
                            <w:bottom w:val="none" w:sz="0" w:space="0" w:color="auto"/>
                            <w:right w:val="none" w:sz="0" w:space="0" w:color="auto"/>
                          </w:divBdr>
                          <w:divsChild>
                            <w:div w:id="1837303815">
                              <w:marLeft w:val="0"/>
                              <w:marRight w:val="0"/>
                              <w:marTop w:val="0"/>
                              <w:marBottom w:val="0"/>
                              <w:divBdr>
                                <w:top w:val="none" w:sz="0" w:space="0" w:color="auto"/>
                                <w:left w:val="none" w:sz="0" w:space="0" w:color="auto"/>
                                <w:bottom w:val="none" w:sz="0" w:space="0" w:color="auto"/>
                                <w:right w:val="none" w:sz="0" w:space="0" w:color="auto"/>
                              </w:divBdr>
                              <w:divsChild>
                                <w:div w:id="2031753791">
                                  <w:marLeft w:val="0"/>
                                  <w:marRight w:val="0"/>
                                  <w:marTop w:val="0"/>
                                  <w:marBottom w:val="0"/>
                                  <w:divBdr>
                                    <w:top w:val="none" w:sz="0" w:space="0" w:color="auto"/>
                                    <w:left w:val="none" w:sz="0" w:space="0" w:color="auto"/>
                                    <w:bottom w:val="none" w:sz="0" w:space="0" w:color="auto"/>
                                    <w:right w:val="none" w:sz="0" w:space="0" w:color="auto"/>
                                  </w:divBdr>
                                  <w:divsChild>
                                    <w:div w:id="1801799748">
                                      <w:marLeft w:val="0"/>
                                      <w:marRight w:val="0"/>
                                      <w:marTop w:val="0"/>
                                      <w:marBottom w:val="0"/>
                                      <w:divBdr>
                                        <w:top w:val="none" w:sz="0" w:space="0" w:color="auto"/>
                                        <w:left w:val="none" w:sz="0" w:space="0" w:color="auto"/>
                                        <w:bottom w:val="none" w:sz="0" w:space="0" w:color="auto"/>
                                        <w:right w:val="none" w:sz="0" w:space="0" w:color="auto"/>
                                      </w:divBdr>
                                      <w:divsChild>
                                        <w:div w:id="2093888034">
                                          <w:marLeft w:val="0"/>
                                          <w:marRight w:val="0"/>
                                          <w:marTop w:val="0"/>
                                          <w:marBottom w:val="0"/>
                                          <w:divBdr>
                                            <w:top w:val="none" w:sz="0" w:space="0" w:color="auto"/>
                                            <w:left w:val="none" w:sz="0" w:space="0" w:color="auto"/>
                                            <w:bottom w:val="none" w:sz="0" w:space="0" w:color="auto"/>
                                            <w:right w:val="none" w:sz="0" w:space="0" w:color="auto"/>
                                          </w:divBdr>
                                          <w:divsChild>
                                            <w:div w:id="525366600">
                                              <w:marLeft w:val="0"/>
                                              <w:marRight w:val="0"/>
                                              <w:marTop w:val="0"/>
                                              <w:marBottom w:val="0"/>
                                              <w:divBdr>
                                                <w:top w:val="none" w:sz="0" w:space="0" w:color="auto"/>
                                                <w:left w:val="none" w:sz="0" w:space="0" w:color="auto"/>
                                                <w:bottom w:val="none" w:sz="0" w:space="0" w:color="auto"/>
                                                <w:right w:val="none" w:sz="0" w:space="0" w:color="auto"/>
                                              </w:divBdr>
                                              <w:divsChild>
                                                <w:div w:id="933627939">
                                                  <w:marLeft w:val="0"/>
                                                  <w:marRight w:val="0"/>
                                                  <w:marTop w:val="0"/>
                                                  <w:marBottom w:val="0"/>
                                                  <w:divBdr>
                                                    <w:top w:val="none" w:sz="0" w:space="0" w:color="auto"/>
                                                    <w:left w:val="none" w:sz="0" w:space="0" w:color="auto"/>
                                                    <w:bottom w:val="none" w:sz="0" w:space="0" w:color="auto"/>
                                                    <w:right w:val="none" w:sz="0" w:space="0" w:color="auto"/>
                                                  </w:divBdr>
                                                  <w:divsChild>
                                                    <w:div w:id="11193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762583">
      <w:bodyDiv w:val="1"/>
      <w:marLeft w:val="0"/>
      <w:marRight w:val="0"/>
      <w:marTop w:val="0"/>
      <w:marBottom w:val="0"/>
      <w:divBdr>
        <w:top w:val="none" w:sz="0" w:space="0" w:color="auto"/>
        <w:left w:val="none" w:sz="0" w:space="0" w:color="auto"/>
        <w:bottom w:val="none" w:sz="0" w:space="0" w:color="auto"/>
        <w:right w:val="none" w:sz="0" w:space="0" w:color="auto"/>
      </w:divBdr>
    </w:div>
    <w:div w:id="804474073">
      <w:bodyDiv w:val="1"/>
      <w:marLeft w:val="0"/>
      <w:marRight w:val="0"/>
      <w:marTop w:val="0"/>
      <w:marBottom w:val="0"/>
      <w:divBdr>
        <w:top w:val="none" w:sz="0" w:space="0" w:color="auto"/>
        <w:left w:val="none" w:sz="0" w:space="0" w:color="auto"/>
        <w:bottom w:val="none" w:sz="0" w:space="0" w:color="auto"/>
        <w:right w:val="none" w:sz="0" w:space="0" w:color="auto"/>
      </w:divBdr>
    </w:div>
    <w:div w:id="837429146">
      <w:bodyDiv w:val="1"/>
      <w:marLeft w:val="0"/>
      <w:marRight w:val="0"/>
      <w:marTop w:val="0"/>
      <w:marBottom w:val="0"/>
      <w:divBdr>
        <w:top w:val="none" w:sz="0" w:space="0" w:color="auto"/>
        <w:left w:val="none" w:sz="0" w:space="0" w:color="auto"/>
        <w:bottom w:val="none" w:sz="0" w:space="0" w:color="auto"/>
        <w:right w:val="none" w:sz="0" w:space="0" w:color="auto"/>
      </w:divBdr>
    </w:div>
    <w:div w:id="980812459">
      <w:bodyDiv w:val="1"/>
      <w:marLeft w:val="0"/>
      <w:marRight w:val="0"/>
      <w:marTop w:val="0"/>
      <w:marBottom w:val="0"/>
      <w:divBdr>
        <w:top w:val="none" w:sz="0" w:space="0" w:color="auto"/>
        <w:left w:val="none" w:sz="0" w:space="0" w:color="auto"/>
        <w:bottom w:val="none" w:sz="0" w:space="0" w:color="auto"/>
        <w:right w:val="none" w:sz="0" w:space="0" w:color="auto"/>
      </w:divBdr>
      <w:divsChild>
        <w:div w:id="524096823">
          <w:marLeft w:val="0"/>
          <w:marRight w:val="0"/>
          <w:marTop w:val="0"/>
          <w:marBottom w:val="0"/>
          <w:divBdr>
            <w:top w:val="none" w:sz="0" w:space="0" w:color="auto"/>
            <w:left w:val="none" w:sz="0" w:space="0" w:color="auto"/>
            <w:bottom w:val="none" w:sz="0" w:space="0" w:color="auto"/>
            <w:right w:val="none" w:sz="0" w:space="0" w:color="auto"/>
          </w:divBdr>
          <w:divsChild>
            <w:div w:id="288903575">
              <w:marLeft w:val="0"/>
              <w:marRight w:val="0"/>
              <w:marTop w:val="0"/>
              <w:marBottom w:val="0"/>
              <w:divBdr>
                <w:top w:val="none" w:sz="0" w:space="0" w:color="auto"/>
                <w:left w:val="none" w:sz="0" w:space="0" w:color="auto"/>
                <w:bottom w:val="none" w:sz="0" w:space="0" w:color="auto"/>
                <w:right w:val="none" w:sz="0" w:space="0" w:color="auto"/>
              </w:divBdr>
              <w:divsChild>
                <w:div w:id="2137985816">
                  <w:marLeft w:val="0"/>
                  <w:marRight w:val="0"/>
                  <w:marTop w:val="0"/>
                  <w:marBottom w:val="0"/>
                  <w:divBdr>
                    <w:top w:val="none" w:sz="0" w:space="0" w:color="auto"/>
                    <w:left w:val="none" w:sz="0" w:space="0" w:color="auto"/>
                    <w:bottom w:val="none" w:sz="0" w:space="0" w:color="auto"/>
                    <w:right w:val="none" w:sz="0" w:space="0" w:color="auto"/>
                  </w:divBdr>
                  <w:divsChild>
                    <w:div w:id="208344526">
                      <w:marLeft w:val="0"/>
                      <w:marRight w:val="0"/>
                      <w:marTop w:val="0"/>
                      <w:marBottom w:val="0"/>
                      <w:divBdr>
                        <w:top w:val="none" w:sz="0" w:space="0" w:color="auto"/>
                        <w:left w:val="none" w:sz="0" w:space="0" w:color="auto"/>
                        <w:bottom w:val="none" w:sz="0" w:space="0" w:color="auto"/>
                        <w:right w:val="none" w:sz="0" w:space="0" w:color="auto"/>
                      </w:divBdr>
                      <w:divsChild>
                        <w:div w:id="467012959">
                          <w:marLeft w:val="0"/>
                          <w:marRight w:val="0"/>
                          <w:marTop w:val="0"/>
                          <w:marBottom w:val="0"/>
                          <w:divBdr>
                            <w:top w:val="none" w:sz="0" w:space="0" w:color="auto"/>
                            <w:left w:val="none" w:sz="0" w:space="0" w:color="auto"/>
                            <w:bottom w:val="none" w:sz="0" w:space="0" w:color="auto"/>
                            <w:right w:val="none" w:sz="0" w:space="0" w:color="auto"/>
                          </w:divBdr>
                          <w:divsChild>
                            <w:div w:id="1630361276">
                              <w:marLeft w:val="0"/>
                              <w:marRight w:val="0"/>
                              <w:marTop w:val="0"/>
                              <w:marBottom w:val="0"/>
                              <w:divBdr>
                                <w:top w:val="none" w:sz="0" w:space="0" w:color="auto"/>
                                <w:left w:val="none" w:sz="0" w:space="0" w:color="auto"/>
                                <w:bottom w:val="none" w:sz="0" w:space="0" w:color="auto"/>
                                <w:right w:val="none" w:sz="0" w:space="0" w:color="auto"/>
                              </w:divBdr>
                              <w:divsChild>
                                <w:div w:id="1039620718">
                                  <w:marLeft w:val="0"/>
                                  <w:marRight w:val="0"/>
                                  <w:marTop w:val="0"/>
                                  <w:marBottom w:val="0"/>
                                  <w:divBdr>
                                    <w:top w:val="none" w:sz="0" w:space="0" w:color="auto"/>
                                    <w:left w:val="none" w:sz="0" w:space="0" w:color="auto"/>
                                    <w:bottom w:val="none" w:sz="0" w:space="0" w:color="auto"/>
                                    <w:right w:val="none" w:sz="0" w:space="0" w:color="auto"/>
                                  </w:divBdr>
                                  <w:divsChild>
                                    <w:div w:id="5740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366246">
          <w:marLeft w:val="0"/>
          <w:marRight w:val="0"/>
          <w:marTop w:val="0"/>
          <w:marBottom w:val="0"/>
          <w:divBdr>
            <w:top w:val="none" w:sz="0" w:space="0" w:color="auto"/>
            <w:left w:val="none" w:sz="0" w:space="0" w:color="auto"/>
            <w:bottom w:val="none" w:sz="0" w:space="0" w:color="auto"/>
            <w:right w:val="none" w:sz="0" w:space="0" w:color="auto"/>
          </w:divBdr>
          <w:divsChild>
            <w:div w:id="1463960829">
              <w:marLeft w:val="0"/>
              <w:marRight w:val="0"/>
              <w:marTop w:val="0"/>
              <w:marBottom w:val="0"/>
              <w:divBdr>
                <w:top w:val="none" w:sz="0" w:space="0" w:color="auto"/>
                <w:left w:val="none" w:sz="0" w:space="0" w:color="auto"/>
                <w:bottom w:val="none" w:sz="0" w:space="0" w:color="auto"/>
                <w:right w:val="none" w:sz="0" w:space="0" w:color="auto"/>
              </w:divBdr>
              <w:divsChild>
                <w:div w:id="1810320351">
                  <w:marLeft w:val="0"/>
                  <w:marRight w:val="0"/>
                  <w:marTop w:val="0"/>
                  <w:marBottom w:val="0"/>
                  <w:divBdr>
                    <w:top w:val="none" w:sz="0" w:space="0" w:color="auto"/>
                    <w:left w:val="none" w:sz="0" w:space="0" w:color="auto"/>
                    <w:bottom w:val="none" w:sz="0" w:space="0" w:color="auto"/>
                    <w:right w:val="none" w:sz="0" w:space="0" w:color="auto"/>
                  </w:divBdr>
                  <w:divsChild>
                    <w:div w:id="1965573351">
                      <w:marLeft w:val="0"/>
                      <w:marRight w:val="0"/>
                      <w:marTop w:val="0"/>
                      <w:marBottom w:val="0"/>
                      <w:divBdr>
                        <w:top w:val="none" w:sz="0" w:space="0" w:color="auto"/>
                        <w:left w:val="none" w:sz="0" w:space="0" w:color="auto"/>
                        <w:bottom w:val="none" w:sz="0" w:space="0" w:color="auto"/>
                        <w:right w:val="none" w:sz="0" w:space="0" w:color="auto"/>
                      </w:divBdr>
                      <w:divsChild>
                        <w:div w:id="1047991304">
                          <w:marLeft w:val="0"/>
                          <w:marRight w:val="0"/>
                          <w:marTop w:val="0"/>
                          <w:marBottom w:val="0"/>
                          <w:divBdr>
                            <w:top w:val="none" w:sz="0" w:space="0" w:color="auto"/>
                            <w:left w:val="none" w:sz="0" w:space="0" w:color="auto"/>
                            <w:bottom w:val="none" w:sz="0" w:space="0" w:color="auto"/>
                            <w:right w:val="none" w:sz="0" w:space="0" w:color="auto"/>
                          </w:divBdr>
                          <w:divsChild>
                            <w:div w:id="1648900031">
                              <w:marLeft w:val="0"/>
                              <w:marRight w:val="0"/>
                              <w:marTop w:val="0"/>
                              <w:marBottom w:val="0"/>
                              <w:divBdr>
                                <w:top w:val="none" w:sz="0" w:space="0" w:color="auto"/>
                                <w:left w:val="none" w:sz="0" w:space="0" w:color="auto"/>
                                <w:bottom w:val="none" w:sz="0" w:space="0" w:color="auto"/>
                                <w:right w:val="none" w:sz="0" w:space="0" w:color="auto"/>
                              </w:divBdr>
                              <w:divsChild>
                                <w:div w:id="1667632852">
                                  <w:marLeft w:val="0"/>
                                  <w:marRight w:val="0"/>
                                  <w:marTop w:val="0"/>
                                  <w:marBottom w:val="0"/>
                                  <w:divBdr>
                                    <w:top w:val="none" w:sz="0" w:space="0" w:color="auto"/>
                                    <w:left w:val="none" w:sz="0" w:space="0" w:color="auto"/>
                                    <w:bottom w:val="none" w:sz="0" w:space="0" w:color="auto"/>
                                    <w:right w:val="none" w:sz="0" w:space="0" w:color="auto"/>
                                  </w:divBdr>
                                  <w:divsChild>
                                    <w:div w:id="970088390">
                                      <w:marLeft w:val="0"/>
                                      <w:marRight w:val="0"/>
                                      <w:marTop w:val="0"/>
                                      <w:marBottom w:val="0"/>
                                      <w:divBdr>
                                        <w:top w:val="none" w:sz="0" w:space="0" w:color="auto"/>
                                        <w:left w:val="none" w:sz="0" w:space="0" w:color="auto"/>
                                        <w:bottom w:val="none" w:sz="0" w:space="0" w:color="auto"/>
                                        <w:right w:val="none" w:sz="0" w:space="0" w:color="auto"/>
                                      </w:divBdr>
                                      <w:divsChild>
                                        <w:div w:id="2127969623">
                                          <w:marLeft w:val="0"/>
                                          <w:marRight w:val="0"/>
                                          <w:marTop w:val="0"/>
                                          <w:marBottom w:val="0"/>
                                          <w:divBdr>
                                            <w:top w:val="none" w:sz="0" w:space="0" w:color="auto"/>
                                            <w:left w:val="none" w:sz="0" w:space="0" w:color="auto"/>
                                            <w:bottom w:val="none" w:sz="0" w:space="0" w:color="auto"/>
                                            <w:right w:val="none" w:sz="0" w:space="0" w:color="auto"/>
                                          </w:divBdr>
                                          <w:divsChild>
                                            <w:div w:id="961426566">
                                              <w:marLeft w:val="0"/>
                                              <w:marRight w:val="0"/>
                                              <w:marTop w:val="0"/>
                                              <w:marBottom w:val="0"/>
                                              <w:divBdr>
                                                <w:top w:val="none" w:sz="0" w:space="0" w:color="auto"/>
                                                <w:left w:val="none" w:sz="0" w:space="0" w:color="auto"/>
                                                <w:bottom w:val="none" w:sz="0" w:space="0" w:color="auto"/>
                                                <w:right w:val="none" w:sz="0" w:space="0" w:color="auto"/>
                                              </w:divBdr>
                                              <w:divsChild>
                                                <w:div w:id="1365473290">
                                                  <w:marLeft w:val="0"/>
                                                  <w:marRight w:val="0"/>
                                                  <w:marTop w:val="0"/>
                                                  <w:marBottom w:val="0"/>
                                                  <w:divBdr>
                                                    <w:top w:val="none" w:sz="0" w:space="0" w:color="auto"/>
                                                    <w:left w:val="none" w:sz="0" w:space="0" w:color="auto"/>
                                                    <w:bottom w:val="none" w:sz="0" w:space="0" w:color="auto"/>
                                                    <w:right w:val="none" w:sz="0" w:space="0" w:color="auto"/>
                                                  </w:divBdr>
                                                  <w:divsChild>
                                                    <w:div w:id="21092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682650">
      <w:bodyDiv w:val="1"/>
      <w:marLeft w:val="0"/>
      <w:marRight w:val="0"/>
      <w:marTop w:val="0"/>
      <w:marBottom w:val="0"/>
      <w:divBdr>
        <w:top w:val="none" w:sz="0" w:space="0" w:color="auto"/>
        <w:left w:val="none" w:sz="0" w:space="0" w:color="auto"/>
        <w:bottom w:val="none" w:sz="0" w:space="0" w:color="auto"/>
        <w:right w:val="none" w:sz="0" w:space="0" w:color="auto"/>
      </w:divBdr>
    </w:div>
    <w:div w:id="1498569139">
      <w:bodyDiv w:val="1"/>
      <w:marLeft w:val="0"/>
      <w:marRight w:val="0"/>
      <w:marTop w:val="0"/>
      <w:marBottom w:val="0"/>
      <w:divBdr>
        <w:top w:val="none" w:sz="0" w:space="0" w:color="auto"/>
        <w:left w:val="none" w:sz="0" w:space="0" w:color="auto"/>
        <w:bottom w:val="none" w:sz="0" w:space="0" w:color="auto"/>
        <w:right w:val="none" w:sz="0" w:space="0" w:color="auto"/>
      </w:divBdr>
    </w:div>
    <w:div w:id="1512985645">
      <w:bodyDiv w:val="1"/>
      <w:marLeft w:val="0"/>
      <w:marRight w:val="0"/>
      <w:marTop w:val="0"/>
      <w:marBottom w:val="0"/>
      <w:divBdr>
        <w:top w:val="none" w:sz="0" w:space="0" w:color="auto"/>
        <w:left w:val="none" w:sz="0" w:space="0" w:color="auto"/>
        <w:bottom w:val="none" w:sz="0" w:space="0" w:color="auto"/>
        <w:right w:val="none" w:sz="0" w:space="0" w:color="auto"/>
      </w:divBdr>
    </w:div>
    <w:div w:id="1689602174">
      <w:bodyDiv w:val="1"/>
      <w:marLeft w:val="0"/>
      <w:marRight w:val="0"/>
      <w:marTop w:val="0"/>
      <w:marBottom w:val="0"/>
      <w:divBdr>
        <w:top w:val="none" w:sz="0" w:space="0" w:color="auto"/>
        <w:left w:val="none" w:sz="0" w:space="0" w:color="auto"/>
        <w:bottom w:val="none" w:sz="0" w:space="0" w:color="auto"/>
        <w:right w:val="none" w:sz="0" w:space="0" w:color="auto"/>
      </w:divBdr>
    </w:div>
    <w:div w:id="1714034852">
      <w:bodyDiv w:val="1"/>
      <w:marLeft w:val="0"/>
      <w:marRight w:val="0"/>
      <w:marTop w:val="0"/>
      <w:marBottom w:val="0"/>
      <w:divBdr>
        <w:top w:val="none" w:sz="0" w:space="0" w:color="auto"/>
        <w:left w:val="none" w:sz="0" w:space="0" w:color="auto"/>
        <w:bottom w:val="none" w:sz="0" w:space="0" w:color="auto"/>
        <w:right w:val="none" w:sz="0" w:space="0" w:color="auto"/>
      </w:divBdr>
    </w:div>
    <w:div w:id="1832721465">
      <w:bodyDiv w:val="1"/>
      <w:marLeft w:val="0"/>
      <w:marRight w:val="0"/>
      <w:marTop w:val="0"/>
      <w:marBottom w:val="0"/>
      <w:divBdr>
        <w:top w:val="none" w:sz="0" w:space="0" w:color="auto"/>
        <w:left w:val="none" w:sz="0" w:space="0" w:color="auto"/>
        <w:bottom w:val="none" w:sz="0" w:space="0" w:color="auto"/>
        <w:right w:val="none" w:sz="0" w:space="0" w:color="auto"/>
      </w:divBdr>
      <w:divsChild>
        <w:div w:id="969021351">
          <w:marLeft w:val="0"/>
          <w:marRight w:val="0"/>
          <w:marTop w:val="0"/>
          <w:marBottom w:val="0"/>
          <w:divBdr>
            <w:top w:val="none" w:sz="0" w:space="0" w:color="auto"/>
            <w:left w:val="none" w:sz="0" w:space="0" w:color="auto"/>
            <w:bottom w:val="none" w:sz="0" w:space="0" w:color="auto"/>
            <w:right w:val="none" w:sz="0" w:space="0" w:color="auto"/>
          </w:divBdr>
          <w:divsChild>
            <w:div w:id="1648706583">
              <w:marLeft w:val="0"/>
              <w:marRight w:val="0"/>
              <w:marTop w:val="0"/>
              <w:marBottom w:val="0"/>
              <w:divBdr>
                <w:top w:val="none" w:sz="0" w:space="0" w:color="auto"/>
                <w:left w:val="none" w:sz="0" w:space="0" w:color="auto"/>
                <w:bottom w:val="none" w:sz="0" w:space="0" w:color="auto"/>
                <w:right w:val="none" w:sz="0" w:space="0" w:color="auto"/>
              </w:divBdr>
              <w:divsChild>
                <w:div w:id="804782553">
                  <w:marLeft w:val="0"/>
                  <w:marRight w:val="0"/>
                  <w:marTop w:val="0"/>
                  <w:marBottom w:val="0"/>
                  <w:divBdr>
                    <w:top w:val="none" w:sz="0" w:space="0" w:color="auto"/>
                    <w:left w:val="none" w:sz="0" w:space="0" w:color="auto"/>
                    <w:bottom w:val="none" w:sz="0" w:space="0" w:color="auto"/>
                    <w:right w:val="none" w:sz="0" w:space="0" w:color="auto"/>
                  </w:divBdr>
                  <w:divsChild>
                    <w:div w:id="556665284">
                      <w:marLeft w:val="0"/>
                      <w:marRight w:val="0"/>
                      <w:marTop w:val="0"/>
                      <w:marBottom w:val="0"/>
                      <w:divBdr>
                        <w:top w:val="none" w:sz="0" w:space="0" w:color="auto"/>
                        <w:left w:val="none" w:sz="0" w:space="0" w:color="auto"/>
                        <w:bottom w:val="none" w:sz="0" w:space="0" w:color="auto"/>
                        <w:right w:val="none" w:sz="0" w:space="0" w:color="auto"/>
                      </w:divBdr>
                      <w:divsChild>
                        <w:div w:id="1654065297">
                          <w:marLeft w:val="0"/>
                          <w:marRight w:val="0"/>
                          <w:marTop w:val="0"/>
                          <w:marBottom w:val="0"/>
                          <w:divBdr>
                            <w:top w:val="none" w:sz="0" w:space="0" w:color="auto"/>
                            <w:left w:val="none" w:sz="0" w:space="0" w:color="auto"/>
                            <w:bottom w:val="none" w:sz="0" w:space="0" w:color="auto"/>
                            <w:right w:val="none" w:sz="0" w:space="0" w:color="auto"/>
                          </w:divBdr>
                          <w:divsChild>
                            <w:div w:id="6504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843314">
      <w:bodyDiv w:val="1"/>
      <w:marLeft w:val="0"/>
      <w:marRight w:val="0"/>
      <w:marTop w:val="0"/>
      <w:marBottom w:val="0"/>
      <w:divBdr>
        <w:top w:val="none" w:sz="0" w:space="0" w:color="auto"/>
        <w:left w:val="none" w:sz="0" w:space="0" w:color="auto"/>
        <w:bottom w:val="none" w:sz="0" w:space="0" w:color="auto"/>
        <w:right w:val="none" w:sz="0" w:space="0" w:color="auto"/>
      </w:divBdr>
    </w:div>
    <w:div w:id="2032024316">
      <w:bodyDiv w:val="1"/>
      <w:marLeft w:val="0"/>
      <w:marRight w:val="0"/>
      <w:marTop w:val="0"/>
      <w:marBottom w:val="0"/>
      <w:divBdr>
        <w:top w:val="none" w:sz="0" w:space="0" w:color="auto"/>
        <w:left w:val="none" w:sz="0" w:space="0" w:color="auto"/>
        <w:bottom w:val="none" w:sz="0" w:space="0" w:color="auto"/>
        <w:right w:val="none" w:sz="0" w:space="0" w:color="auto"/>
      </w:divBdr>
      <w:divsChild>
        <w:div w:id="1687252279">
          <w:marLeft w:val="0"/>
          <w:marRight w:val="0"/>
          <w:marTop w:val="0"/>
          <w:marBottom w:val="0"/>
          <w:divBdr>
            <w:top w:val="none" w:sz="0" w:space="0" w:color="auto"/>
            <w:left w:val="none" w:sz="0" w:space="0" w:color="auto"/>
            <w:bottom w:val="none" w:sz="0" w:space="0" w:color="auto"/>
            <w:right w:val="none" w:sz="0" w:space="0" w:color="auto"/>
          </w:divBdr>
          <w:divsChild>
            <w:div w:id="1573586463">
              <w:marLeft w:val="0"/>
              <w:marRight w:val="0"/>
              <w:marTop w:val="0"/>
              <w:marBottom w:val="0"/>
              <w:divBdr>
                <w:top w:val="none" w:sz="0" w:space="0" w:color="auto"/>
                <w:left w:val="none" w:sz="0" w:space="0" w:color="auto"/>
                <w:bottom w:val="none" w:sz="0" w:space="0" w:color="auto"/>
                <w:right w:val="none" w:sz="0" w:space="0" w:color="auto"/>
              </w:divBdr>
              <w:divsChild>
                <w:div w:id="1683896777">
                  <w:marLeft w:val="0"/>
                  <w:marRight w:val="0"/>
                  <w:marTop w:val="0"/>
                  <w:marBottom w:val="0"/>
                  <w:divBdr>
                    <w:top w:val="none" w:sz="0" w:space="0" w:color="auto"/>
                    <w:left w:val="none" w:sz="0" w:space="0" w:color="auto"/>
                    <w:bottom w:val="none" w:sz="0" w:space="0" w:color="auto"/>
                    <w:right w:val="none" w:sz="0" w:space="0" w:color="auto"/>
                  </w:divBdr>
                  <w:divsChild>
                    <w:div w:id="1123112595">
                      <w:marLeft w:val="0"/>
                      <w:marRight w:val="0"/>
                      <w:marTop w:val="0"/>
                      <w:marBottom w:val="0"/>
                      <w:divBdr>
                        <w:top w:val="none" w:sz="0" w:space="0" w:color="auto"/>
                        <w:left w:val="none" w:sz="0" w:space="0" w:color="auto"/>
                        <w:bottom w:val="none" w:sz="0" w:space="0" w:color="auto"/>
                        <w:right w:val="none" w:sz="0" w:space="0" w:color="auto"/>
                      </w:divBdr>
                      <w:divsChild>
                        <w:div w:id="2056926323">
                          <w:marLeft w:val="0"/>
                          <w:marRight w:val="0"/>
                          <w:marTop w:val="0"/>
                          <w:marBottom w:val="0"/>
                          <w:divBdr>
                            <w:top w:val="none" w:sz="0" w:space="0" w:color="auto"/>
                            <w:left w:val="none" w:sz="0" w:space="0" w:color="auto"/>
                            <w:bottom w:val="none" w:sz="0" w:space="0" w:color="auto"/>
                            <w:right w:val="none" w:sz="0" w:space="0" w:color="auto"/>
                          </w:divBdr>
                          <w:divsChild>
                            <w:div w:id="3270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0.910.009" TargetMode="External"/><Relationship Id="rId13" Type="http://schemas.openxmlformats.org/officeDocument/2006/relationships/hyperlink" Target="https://doi.org/10.56093/ijas.v92i11.12789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9734/jeai/2025/v47i103838" TargetMode="External"/><Relationship Id="rId17" Type="http://schemas.openxmlformats.org/officeDocument/2006/relationships/hyperlink" Target="https://doi.org/10.23910/1.2021.222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ijecc/2023/v13i11360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3/v35i21398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ijpss/2025/v37i105765" TargetMode="External"/><Relationship Id="rId23" Type="http://schemas.openxmlformats.org/officeDocument/2006/relationships/footer" Target="footer3.xml"/><Relationship Id="rId10" Type="http://schemas.openxmlformats.org/officeDocument/2006/relationships/hyperlink" Target="https://doi.org/10.9734/ijpss/2022/v34i223138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x.doi.org/10.18805/LR-4748" TargetMode="External"/><Relationship Id="rId14" Type="http://schemas.openxmlformats.org/officeDocument/2006/relationships/hyperlink" Target="https://doi.org/10.9734/jabb/2025/v28i10310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C5B72-BF11-4148-B55F-3341DAAB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3872</Words>
  <Characters>22074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Microsoft Word - Rev_IJPSS_91300_Rol_A</vt:lpstr>
    </vt:vector>
  </TitlesOfParts>
  <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Rev_IJPSS_91300_Rol_A</dc:title>
  <dc:creator>User</dc:creator>
  <cp:lastModifiedBy>SDI 1084</cp:lastModifiedBy>
  <cp:revision>68</cp:revision>
  <dcterms:created xsi:type="dcterms:W3CDTF">2026-04-25T09:51:00Z</dcterms:created>
  <dcterms:modified xsi:type="dcterms:W3CDTF">2026-04-27T09:56:00Z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2022-09-01T00:00:00Z</vt:filetime>
  </property>
  <property fmtid="{D5CDD505-2E9C-101B-9397-08002B2CF9AE}" pid="4" name="Creator">
    <vt:lpwstr>Microsoft Word - Rev_IJPSS_91300_Rol_A</vt:lpwstr>
  </property>
  <property fmtid="{D5CDD505-2E9C-101B-9397-08002B2CF9AE}" pid="5" name="Producer">
    <vt:lpwstr>doPDF Ver 7.1 Build 330 (Windows 7 (Service Pack 1) - Version: 6.1.7601 (Platform: x64))</vt:lpwstr>
  </property>
  <property fmtid="{D5CDD505-2E9C-101B-9397-08002B2CF9AE}" pid="6" name="LastSaved">
    <vt:filetime>2022-09-01T00:00:00Z</vt:filetime>
  </property>
</Properties>
</file>