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CCAA1A" w14:textId="77777777" w:rsidR="00DA0EE0" w:rsidRDefault="005F555D">
      <w:pPr>
        <w:rPr>
          <w:lang w:val="tr-TR"/>
        </w:rPr>
      </w:pPr>
      <w:r>
        <w:rPr>
          <w:rFonts w:ascii="Calibri" w:hAnsi="Calibri"/>
          <w:sz w:val="22"/>
          <w:szCs w:val="22"/>
        </w:rPr>
        <w:t>Review Article</w:t>
      </w:r>
    </w:p>
    <w:p w14:paraId="00A6571B" w14:textId="77777777" w:rsidR="00961088" w:rsidRDefault="00961088" w:rsidP="00293450">
      <w:pPr>
        <w:spacing w:before="100" w:beforeAutospacing="1" w:after="100" w:afterAutospacing="1"/>
        <w:ind w:left="567"/>
        <w:jc w:val="both"/>
        <w:rPr>
          <w:b/>
          <w:bCs/>
          <w:sz w:val="32"/>
          <w:szCs w:val="32"/>
        </w:rPr>
      </w:pPr>
      <w:r w:rsidRPr="00293450">
        <w:rPr>
          <w:b/>
          <w:bCs/>
          <w:sz w:val="32"/>
          <w:szCs w:val="32"/>
        </w:rPr>
        <w:t xml:space="preserve">Rethinking Nanoparticle Therapeutics: Phytochemical Self-Aggregation as a Hidden Driver of Biological Performance </w:t>
      </w:r>
    </w:p>
    <w:p w14:paraId="08684802" w14:textId="77777777" w:rsidR="00BD1802" w:rsidRPr="00293450" w:rsidRDefault="00BD1802" w:rsidP="00293450">
      <w:pPr>
        <w:spacing w:before="100" w:beforeAutospacing="1" w:after="100" w:afterAutospacing="1"/>
        <w:ind w:left="567"/>
        <w:jc w:val="both"/>
        <w:rPr>
          <w:b/>
          <w:bCs/>
          <w:sz w:val="32"/>
          <w:szCs w:val="32"/>
        </w:rPr>
      </w:pPr>
    </w:p>
    <w:p w14:paraId="30DBFCE3" w14:textId="77777777" w:rsidR="00426A5D" w:rsidRPr="00530FF1" w:rsidRDefault="00426A5D" w:rsidP="00530FF1">
      <w:pPr>
        <w:spacing w:before="100" w:beforeAutospacing="1" w:after="100" w:afterAutospacing="1"/>
        <w:ind w:left="567"/>
        <w:jc w:val="both"/>
        <w:outlineLvl w:val="1"/>
        <w:rPr>
          <w:b/>
          <w:bCs/>
          <w:sz w:val="22"/>
          <w:szCs w:val="22"/>
        </w:rPr>
      </w:pPr>
      <w:r w:rsidRPr="00530FF1">
        <w:rPr>
          <w:b/>
          <w:bCs/>
          <w:sz w:val="22"/>
          <w:szCs w:val="22"/>
        </w:rPr>
        <w:t>Abstract</w:t>
      </w:r>
    </w:p>
    <w:p w14:paraId="02815999" w14:textId="77777777" w:rsidR="00426A5D" w:rsidRPr="00530FF1" w:rsidRDefault="00426A5D" w:rsidP="00530FF1">
      <w:pPr>
        <w:spacing w:before="100" w:beforeAutospacing="1" w:after="100" w:afterAutospacing="1"/>
        <w:ind w:left="567"/>
        <w:jc w:val="both"/>
        <w:outlineLvl w:val="1"/>
        <w:rPr>
          <w:b/>
          <w:bCs/>
          <w:sz w:val="22"/>
          <w:szCs w:val="22"/>
        </w:rPr>
      </w:pPr>
      <w:r w:rsidRPr="00530FF1">
        <w:rPr>
          <w:sz w:val="22"/>
          <w:szCs w:val="22"/>
        </w:rPr>
        <w:br/>
        <w:t>Natural products remain a cornerstone of drug discovery, providing structurally diverse bioactive compounds with significant therapeutic potential. Their incorporation into nanomedicine, either as active pharmaceutical ingredients or functional excipients, has expanded rapidly due to their ability to improve solubility, bioavailability, and targeted delivery. However, a fundamental assumption persists in current research: phytochemicals are typically treated as discrete, chemically uniform, and molecularly dispersed prior to nanoparticle formulation. This reductionist view overlooks the inherent complexity of natural extracts, which exist as multicomponent and dynamically interacting systems.</w:t>
      </w:r>
    </w:p>
    <w:p w14:paraId="375700D9" w14:textId="77777777" w:rsidR="00426A5D" w:rsidRPr="00530FF1" w:rsidRDefault="00426A5D" w:rsidP="00530FF1">
      <w:pPr>
        <w:pStyle w:val="NormalWeb"/>
        <w:ind w:left="567"/>
        <w:jc w:val="both"/>
        <w:rPr>
          <w:sz w:val="22"/>
          <w:szCs w:val="22"/>
        </w:rPr>
      </w:pPr>
      <w:r w:rsidRPr="00530FF1">
        <w:rPr>
          <w:sz w:val="22"/>
          <w:szCs w:val="22"/>
        </w:rPr>
        <w:t>In this work, we propose a hypothesis that challenges this assumption by introducing the concept of pre-nanoparticle molecular organization (PNMO). We suggest that phytochemicals in crude or semi-purified extracts undergo intrinsic self-aggregation and supramolecular assembly before nanoparticle fabrication. These assemblies are governed by non-covalent interactions, including hydrogen bonding, π–π stacking, hydrophobic forces, and electrostatic interactions, resulting in pre-formed molecular clusters.</w:t>
      </w:r>
    </w:p>
    <w:p w14:paraId="1FC85C81" w14:textId="77777777" w:rsidR="00426A5D" w:rsidRPr="00530FF1" w:rsidRDefault="00426A5D" w:rsidP="00530FF1">
      <w:pPr>
        <w:pStyle w:val="NormalWeb"/>
        <w:ind w:left="567"/>
        <w:jc w:val="both"/>
        <w:rPr>
          <w:sz w:val="22"/>
          <w:szCs w:val="22"/>
        </w:rPr>
      </w:pPr>
      <w:r w:rsidRPr="00530FF1">
        <w:rPr>
          <w:sz w:val="22"/>
          <w:szCs w:val="22"/>
        </w:rPr>
        <w:t>We argue that PNMO critically influences key nanoparticle characteristics such as size distribution, morphology, colloidal stability, and drug loading efficiency, as well as downstream biological performance. Neglecting this pre-formulation state may lead to inconsistencies in physicochemical characterization, poor reproducibility, and challenges in quality control. Moreover, PNMO may alter biodistribution, cellular uptake, and therapeutic outcomes, complicating structure–activity relationship analyses.</w:t>
      </w:r>
    </w:p>
    <w:p w14:paraId="649178E8" w14:textId="77777777" w:rsidR="00426A5D" w:rsidRPr="00530FF1" w:rsidRDefault="00426A5D" w:rsidP="00530FF1">
      <w:pPr>
        <w:pStyle w:val="NormalWeb"/>
        <w:ind w:left="567"/>
        <w:jc w:val="both"/>
        <w:rPr>
          <w:sz w:val="22"/>
          <w:szCs w:val="22"/>
        </w:rPr>
      </w:pPr>
      <w:r w:rsidRPr="00530FF1">
        <w:rPr>
          <w:sz w:val="22"/>
          <w:szCs w:val="22"/>
        </w:rPr>
        <w:t>By integrating principles from supramolecular chemistry and nanomedicine, this review highlights PNMO as an essential yet overlooked design parameter. Its systematic characterization and control may enable more reproducible formulations and facilitate the rational development and clinical translation of phytochemical-based nanotherapeutics.</w:t>
      </w:r>
    </w:p>
    <w:p w14:paraId="3BD85764" w14:textId="77777777" w:rsidR="00426A5D" w:rsidRPr="00530FF1" w:rsidRDefault="00426A5D" w:rsidP="00530FF1">
      <w:pPr>
        <w:spacing w:before="100" w:beforeAutospacing="1" w:after="100" w:afterAutospacing="1"/>
        <w:ind w:left="567"/>
        <w:jc w:val="both"/>
        <w:outlineLvl w:val="1"/>
        <w:rPr>
          <w:sz w:val="22"/>
          <w:szCs w:val="22"/>
          <w:lang w:val="tr-TR"/>
        </w:rPr>
      </w:pPr>
      <w:r w:rsidRPr="00530FF1">
        <w:rPr>
          <w:b/>
          <w:bCs/>
          <w:i/>
          <w:iCs/>
          <w:sz w:val="22"/>
          <w:szCs w:val="22"/>
        </w:rPr>
        <w:t>Keywords</w:t>
      </w:r>
      <w:r w:rsidRPr="00530FF1">
        <w:rPr>
          <w:b/>
          <w:bCs/>
          <w:sz w:val="22"/>
          <w:szCs w:val="22"/>
          <w:lang w:val="tr-TR"/>
        </w:rPr>
        <w:t xml:space="preserve">: </w:t>
      </w:r>
      <w:r w:rsidRPr="00530FF1">
        <w:rPr>
          <w:sz w:val="22"/>
          <w:szCs w:val="22"/>
        </w:rPr>
        <w:t>Natural products</w:t>
      </w:r>
      <w:r w:rsidRPr="00530FF1">
        <w:rPr>
          <w:sz w:val="22"/>
          <w:szCs w:val="22"/>
          <w:lang w:val="tr-TR"/>
        </w:rPr>
        <w:t>;</w:t>
      </w:r>
      <w:r w:rsidRPr="00530FF1">
        <w:rPr>
          <w:sz w:val="22"/>
          <w:szCs w:val="22"/>
        </w:rPr>
        <w:t xml:space="preserve"> Nanomedicine</w:t>
      </w:r>
      <w:r w:rsidRPr="00530FF1">
        <w:rPr>
          <w:sz w:val="22"/>
          <w:szCs w:val="22"/>
          <w:lang w:val="tr-TR"/>
        </w:rPr>
        <w:t>;</w:t>
      </w:r>
      <w:r w:rsidRPr="00530FF1">
        <w:rPr>
          <w:sz w:val="22"/>
          <w:szCs w:val="22"/>
        </w:rPr>
        <w:t xml:space="preserve"> Phytochemicals</w:t>
      </w:r>
      <w:r w:rsidRPr="00530FF1">
        <w:rPr>
          <w:sz w:val="22"/>
          <w:szCs w:val="22"/>
          <w:lang w:val="tr-TR"/>
        </w:rPr>
        <w:t>;</w:t>
      </w:r>
      <w:r w:rsidRPr="00530FF1">
        <w:rPr>
          <w:sz w:val="22"/>
          <w:szCs w:val="22"/>
        </w:rPr>
        <w:t xml:space="preserve"> Supramolecular assembly</w:t>
      </w:r>
      <w:r w:rsidRPr="00530FF1">
        <w:rPr>
          <w:sz w:val="22"/>
          <w:szCs w:val="22"/>
          <w:lang w:val="tr-TR"/>
        </w:rPr>
        <w:t>;</w:t>
      </w:r>
      <w:r w:rsidRPr="00530FF1">
        <w:rPr>
          <w:sz w:val="22"/>
          <w:szCs w:val="22"/>
        </w:rPr>
        <w:t xml:space="preserve"> Pre-nanoparticle molecular organization (PNMO)</w:t>
      </w:r>
      <w:r w:rsidRPr="00530FF1">
        <w:rPr>
          <w:sz w:val="22"/>
          <w:szCs w:val="22"/>
          <w:lang w:val="tr-TR"/>
        </w:rPr>
        <w:t>;</w:t>
      </w:r>
      <w:r w:rsidRPr="00530FF1">
        <w:rPr>
          <w:sz w:val="22"/>
          <w:szCs w:val="22"/>
        </w:rPr>
        <w:t xml:space="preserve"> </w:t>
      </w:r>
      <w:r w:rsidRPr="00530FF1">
        <w:rPr>
          <w:sz w:val="22"/>
          <w:szCs w:val="22"/>
          <w:lang w:val="tr-TR"/>
        </w:rPr>
        <w:t>Nanoparticle d</w:t>
      </w:r>
      <w:r w:rsidRPr="00530FF1">
        <w:rPr>
          <w:sz w:val="22"/>
          <w:szCs w:val="22"/>
        </w:rPr>
        <w:t>rug delivery</w:t>
      </w:r>
      <w:r w:rsidRPr="00530FF1">
        <w:rPr>
          <w:sz w:val="22"/>
          <w:szCs w:val="22"/>
          <w:lang w:val="tr-TR"/>
        </w:rPr>
        <w:t>.</w:t>
      </w:r>
    </w:p>
    <w:p w14:paraId="759D5B83" w14:textId="77777777" w:rsidR="00293450" w:rsidRDefault="00293450" w:rsidP="00530FF1">
      <w:pPr>
        <w:spacing w:before="100" w:beforeAutospacing="1" w:after="100" w:afterAutospacing="1" w:line="276" w:lineRule="auto"/>
        <w:ind w:left="567"/>
        <w:jc w:val="both"/>
        <w:outlineLvl w:val="1"/>
        <w:rPr>
          <w:b/>
          <w:bCs/>
          <w:sz w:val="22"/>
          <w:szCs w:val="22"/>
          <w:lang w:val="tr-TR"/>
        </w:rPr>
      </w:pPr>
    </w:p>
    <w:p w14:paraId="30CC95AB" w14:textId="77777777" w:rsidR="00BC25E2" w:rsidRPr="00530FF1" w:rsidRDefault="00BC25E2" w:rsidP="00530FF1">
      <w:pPr>
        <w:spacing w:before="100" w:beforeAutospacing="1" w:after="100" w:afterAutospacing="1" w:line="276" w:lineRule="auto"/>
        <w:ind w:left="567"/>
        <w:jc w:val="both"/>
        <w:outlineLvl w:val="1"/>
        <w:rPr>
          <w:b/>
          <w:bCs/>
          <w:sz w:val="22"/>
          <w:szCs w:val="22"/>
          <w:lang w:val="tr-TR"/>
        </w:rPr>
      </w:pPr>
      <w:r w:rsidRPr="00530FF1">
        <w:rPr>
          <w:b/>
          <w:bCs/>
          <w:sz w:val="22"/>
          <w:szCs w:val="22"/>
          <w:lang w:val="tr-TR"/>
        </w:rPr>
        <w:t>Graphical Abstract</w:t>
      </w:r>
    </w:p>
    <w:p w14:paraId="33969C4F" w14:textId="77777777" w:rsidR="00805668" w:rsidRDefault="00BC25E2" w:rsidP="00530FF1">
      <w:pPr>
        <w:spacing w:before="100" w:beforeAutospacing="1" w:after="100" w:afterAutospacing="1" w:line="480" w:lineRule="auto"/>
        <w:ind w:left="567"/>
        <w:jc w:val="both"/>
        <w:outlineLvl w:val="2"/>
        <w:rPr>
          <w:b/>
          <w:bCs/>
          <w:sz w:val="27"/>
          <w:szCs w:val="27"/>
        </w:rPr>
      </w:pPr>
      <w:r w:rsidRPr="00BC25E2">
        <w:rPr>
          <w:b/>
          <w:bCs/>
          <w:noProof/>
          <w:sz w:val="27"/>
          <w:szCs w:val="27"/>
        </w:rPr>
        <w:lastRenderedPageBreak/>
        <w:drawing>
          <wp:inline distT="0" distB="0" distL="0" distR="0" wp14:anchorId="2F7129B5" wp14:editId="2359C2A6">
            <wp:extent cx="5559399" cy="3697357"/>
            <wp:effectExtent l="0" t="0" r="3810" b="0"/>
            <wp:docPr id="1304930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30508" name=""/>
                    <pic:cNvPicPr/>
                  </pic:nvPicPr>
                  <pic:blipFill>
                    <a:blip r:embed="rId7"/>
                    <a:stretch>
                      <a:fillRect/>
                    </a:stretch>
                  </pic:blipFill>
                  <pic:spPr>
                    <a:xfrm>
                      <a:off x="0" y="0"/>
                      <a:ext cx="5607179" cy="3729134"/>
                    </a:xfrm>
                    <a:prstGeom prst="rect">
                      <a:avLst/>
                    </a:prstGeom>
                  </pic:spPr>
                </pic:pic>
              </a:graphicData>
            </a:graphic>
          </wp:inline>
        </w:drawing>
      </w:r>
    </w:p>
    <w:p w14:paraId="33F75EB6" w14:textId="77777777" w:rsidR="00293450" w:rsidRDefault="00293450" w:rsidP="00293450">
      <w:pPr>
        <w:spacing w:before="100" w:beforeAutospacing="1" w:after="100" w:afterAutospacing="1"/>
        <w:jc w:val="both"/>
        <w:outlineLvl w:val="2"/>
        <w:rPr>
          <w:b/>
          <w:bCs/>
          <w:sz w:val="22"/>
          <w:szCs w:val="22"/>
        </w:rPr>
      </w:pPr>
    </w:p>
    <w:p w14:paraId="33F9480E" w14:textId="77777777" w:rsidR="00725EEC" w:rsidRDefault="00725EEC" w:rsidP="00FC1466">
      <w:pPr>
        <w:spacing w:before="100" w:beforeAutospacing="1" w:after="100" w:afterAutospacing="1"/>
        <w:ind w:left="567"/>
        <w:jc w:val="both"/>
        <w:outlineLvl w:val="2"/>
        <w:rPr>
          <w:b/>
          <w:bCs/>
          <w:sz w:val="22"/>
          <w:szCs w:val="22"/>
        </w:rPr>
      </w:pPr>
    </w:p>
    <w:p w14:paraId="7D4E160D" w14:textId="77777777" w:rsidR="005273C2" w:rsidRPr="00FC1466" w:rsidRDefault="005273C2" w:rsidP="00FC1466">
      <w:pPr>
        <w:spacing w:before="100" w:beforeAutospacing="1" w:after="100" w:afterAutospacing="1"/>
        <w:ind w:left="567"/>
        <w:jc w:val="both"/>
        <w:outlineLvl w:val="2"/>
        <w:rPr>
          <w:b/>
          <w:bCs/>
          <w:sz w:val="22"/>
          <w:szCs w:val="22"/>
        </w:rPr>
      </w:pPr>
      <w:r w:rsidRPr="00FC1466">
        <w:rPr>
          <w:b/>
          <w:bCs/>
          <w:sz w:val="22"/>
          <w:szCs w:val="22"/>
        </w:rPr>
        <w:t>1. Introduction</w:t>
      </w:r>
    </w:p>
    <w:p w14:paraId="37B0F02D" w14:textId="77777777" w:rsidR="005273C2" w:rsidRPr="00FC1466" w:rsidRDefault="005273C2" w:rsidP="00FC1466">
      <w:pPr>
        <w:spacing w:before="100" w:beforeAutospacing="1" w:after="100" w:afterAutospacing="1"/>
        <w:ind w:left="567"/>
        <w:jc w:val="both"/>
        <w:rPr>
          <w:sz w:val="22"/>
          <w:szCs w:val="22"/>
        </w:rPr>
      </w:pPr>
      <w:r w:rsidRPr="00FC1466">
        <w:rPr>
          <w:sz w:val="22"/>
          <w:szCs w:val="22"/>
        </w:rPr>
        <w:t>Nanoparticle-based drug delivery systems have profoundly transformed modern pharmaceutical technology, particularly in oncology, by enhancing the solubility of poorly water-soluble drugs, prolonging systemic circulation, enabling both passive and active tumor targeting, and reducing systemic toxicity. Breakthrough developments in cancer nanomedicine—including liposomes, polymeric nanoparticles, and albumin-bound nanocarriers—have demonstrated that nanoscale control over drug delivery can significantly influence pharmacokinetics and the therapeutic index</w:t>
      </w:r>
      <w:r w:rsidR="00BC25E2" w:rsidRPr="00FC1466">
        <w:rPr>
          <w:sz w:val="22"/>
          <w:szCs w:val="22"/>
          <w:lang w:val="tr-TR"/>
        </w:rPr>
        <w:t xml:space="preserve"> </w:t>
      </w:r>
      <w:r w:rsidR="00A02124" w:rsidRPr="00FC1466">
        <w:rPr>
          <w:sz w:val="22"/>
          <w:szCs w:val="22"/>
          <w:lang w:val="tr-TR"/>
        </w:rPr>
        <w:t>(Peer et al., 2007; Blanco et al., 2015; Ventola, 2017)</w:t>
      </w:r>
      <w:r w:rsidRPr="00FC1466">
        <w:rPr>
          <w:sz w:val="22"/>
          <w:szCs w:val="22"/>
        </w:rPr>
        <w:t>. These advances have established nanotechnology as a cornerstone of contemporary drug development.</w:t>
      </w:r>
    </w:p>
    <w:p w14:paraId="19FAC724" w14:textId="77777777" w:rsidR="005273C2" w:rsidRPr="00FC1466" w:rsidRDefault="005273C2" w:rsidP="00FC1466">
      <w:pPr>
        <w:spacing w:before="100" w:beforeAutospacing="1" w:after="100" w:afterAutospacing="1"/>
        <w:ind w:left="567"/>
        <w:jc w:val="both"/>
        <w:rPr>
          <w:sz w:val="22"/>
          <w:szCs w:val="22"/>
        </w:rPr>
      </w:pPr>
      <w:r w:rsidRPr="00FC1466">
        <w:rPr>
          <w:sz w:val="22"/>
          <w:szCs w:val="22"/>
        </w:rPr>
        <w:t xml:space="preserve">In parallel, there has been renewed and growing interest in natural products and plant-derived compounds as sources of anticancer agents and adjuvant therapeutics. Natural products continue to inspire both direct drug candidates and lead structures for semi-synthetic optimization due to their unique structural diversity, stereochemical complexity, and demonstrated biospecificity </w:t>
      </w:r>
      <w:r w:rsidR="00A02124" w:rsidRPr="00FC1466">
        <w:rPr>
          <w:sz w:val="22"/>
          <w:szCs w:val="22"/>
          <w:lang w:val="tr-TR"/>
        </w:rPr>
        <w:t>(Newman et al., 2012; Atasanov et al., 2015)</w:t>
      </w:r>
      <w:r w:rsidRPr="00FC1466">
        <w:rPr>
          <w:sz w:val="22"/>
          <w:szCs w:val="22"/>
        </w:rPr>
        <w:t>. However, many phytochemicals exhibit low oral bioavailability owing to poor water solubility, chemical instability, and rapid metabolism. These limitations have driven increasing efforts to incorporate such compounds into nanoparticle-based delivery systems.</w:t>
      </w:r>
    </w:p>
    <w:p w14:paraId="44B66CEC" w14:textId="77777777" w:rsidR="005273C2" w:rsidRPr="00FC1466" w:rsidRDefault="005273C2" w:rsidP="00FC1466">
      <w:pPr>
        <w:spacing w:before="100" w:beforeAutospacing="1" w:after="100" w:afterAutospacing="1"/>
        <w:ind w:left="567"/>
        <w:jc w:val="both"/>
        <w:rPr>
          <w:sz w:val="22"/>
          <w:szCs w:val="22"/>
        </w:rPr>
      </w:pPr>
      <w:r w:rsidRPr="00FC1466">
        <w:rPr>
          <w:sz w:val="22"/>
          <w:szCs w:val="22"/>
        </w:rPr>
        <w:t xml:space="preserve">Despite this apparent convergence between nanotechnology and natural product research, a fundamental conceptual mismatch persists. Nanotechnology typically relies on well-defined, </w:t>
      </w:r>
      <w:r w:rsidRPr="00FC1466">
        <w:rPr>
          <w:sz w:val="22"/>
          <w:szCs w:val="22"/>
        </w:rPr>
        <w:lastRenderedPageBreak/>
        <w:t xml:space="preserve">controllable, and reproducible molecular building blocks, whereas natural compounds inherently exist as multi-component, chemically dynamic systems. Many phytochemicals undergo spontaneous assembly through non-covalent interactions—such as hydrogen bonding, π–π stacking, hydrophobic interactions, and electrostatic forces—leading to the formation of supramolecular structures and time-dependent aggregation in solution. Although such behaviors are well documented in supramolecular and natural product chemistry, they remain insufficiently integrated into pharmaceutical nanotechnology workflows </w:t>
      </w:r>
      <w:r w:rsidR="009D0966" w:rsidRPr="00FC1466">
        <w:rPr>
          <w:sz w:val="22"/>
          <w:szCs w:val="22"/>
          <w:lang w:val="tr-TR"/>
        </w:rPr>
        <w:t>(Hou et al., 2022; Wang et al., 2022</w:t>
      </w:r>
      <w:r w:rsidR="00EC5E96" w:rsidRPr="00FC1466">
        <w:rPr>
          <w:sz w:val="22"/>
          <w:szCs w:val="22"/>
          <w:lang w:val="tr-TR"/>
        </w:rPr>
        <w:t>)</w:t>
      </w:r>
      <w:r w:rsidRPr="00FC1466">
        <w:rPr>
          <w:sz w:val="22"/>
          <w:szCs w:val="22"/>
        </w:rPr>
        <w:t>.</w:t>
      </w:r>
    </w:p>
    <w:p w14:paraId="257D6018" w14:textId="77777777" w:rsidR="00B730CA" w:rsidRPr="00FC1466" w:rsidRDefault="005273C2" w:rsidP="00FC1466">
      <w:pPr>
        <w:spacing w:before="100" w:beforeAutospacing="1" w:after="100" w:afterAutospacing="1"/>
        <w:ind w:left="567"/>
        <w:jc w:val="both"/>
        <w:rPr>
          <w:sz w:val="22"/>
          <w:szCs w:val="22"/>
        </w:rPr>
      </w:pPr>
      <w:r w:rsidRPr="00FC1466">
        <w:rPr>
          <w:sz w:val="22"/>
          <w:szCs w:val="22"/>
        </w:rPr>
        <w:t>Consequently, most current reviews tend to overlook the molecular organization of natural compounds prior to nanoparticle formation, instead emphasizing downstream parameters such as fabrication techniques, surface modification, and targeting strategies. Pre-formulation aggregation states, despite their profound influence on nucleation mechanisms, particle growth, internal architecture, and batch-to-batch reproducibility, are rarely characterized. This review challenges the traditional linear paradigm (molecule → nanoparticle → biological effect) and proposes instead a circular, feedback-driven model in which molecular self-aggregation and supramolecular organization precede, guide, and constrain nanoparticle formation, ultimately determining physicochemical properties and downstream biological performance.</w:t>
      </w:r>
    </w:p>
    <w:p w14:paraId="55DC41B3" w14:textId="77777777" w:rsidR="005273C2" w:rsidRPr="00FC1466" w:rsidRDefault="005273C2" w:rsidP="00FC1466">
      <w:pPr>
        <w:spacing w:before="100" w:beforeAutospacing="1" w:after="100" w:afterAutospacing="1"/>
        <w:ind w:left="567"/>
        <w:jc w:val="both"/>
        <w:outlineLvl w:val="2"/>
        <w:rPr>
          <w:b/>
          <w:bCs/>
          <w:sz w:val="22"/>
          <w:szCs w:val="22"/>
        </w:rPr>
      </w:pPr>
      <w:r w:rsidRPr="00FC1466">
        <w:rPr>
          <w:b/>
          <w:bCs/>
          <w:sz w:val="22"/>
          <w:szCs w:val="22"/>
        </w:rPr>
        <w:t>2. Hypothesis</w:t>
      </w:r>
    </w:p>
    <w:p w14:paraId="7DD146B7" w14:textId="77777777" w:rsidR="00B730CA" w:rsidRPr="00FC1466" w:rsidRDefault="005273C2" w:rsidP="00FC1466">
      <w:pPr>
        <w:spacing w:before="100" w:beforeAutospacing="1" w:after="100" w:afterAutospacing="1"/>
        <w:ind w:left="567"/>
        <w:jc w:val="both"/>
        <w:rPr>
          <w:sz w:val="22"/>
          <w:szCs w:val="22"/>
        </w:rPr>
      </w:pPr>
      <w:r w:rsidRPr="00FC1466">
        <w:rPr>
          <w:sz w:val="22"/>
          <w:szCs w:val="22"/>
        </w:rPr>
        <w:t>Phytochemicals and glycoalkaloids exhibit a natural tendency to spontaneously aggregate in solution, forming supramolecular clusters that function as “pre-assembled nuclei” during nanoparticle preparation. These structures may govern key parameters such as particle size, heterogeneity, drug loading efficiency, and biological behavior. This hypothesis introduces the concept of Pre-Nanoparticle Molecular Organization</w:t>
      </w:r>
      <w:r w:rsidRPr="00FC1466">
        <w:rPr>
          <w:b/>
          <w:bCs/>
          <w:sz w:val="22"/>
          <w:szCs w:val="22"/>
        </w:rPr>
        <w:t xml:space="preserve"> </w:t>
      </w:r>
      <w:r w:rsidRPr="00FC1466">
        <w:rPr>
          <w:sz w:val="22"/>
          <w:szCs w:val="22"/>
        </w:rPr>
        <w:t>(PNMO), defined as the spontaneous, non-covalent assembly of biologically active molecules prior to any external nanotechnological intervention.</w:t>
      </w:r>
    </w:p>
    <w:p w14:paraId="6092E0C0" w14:textId="77777777" w:rsidR="005273C2" w:rsidRPr="00FC1466" w:rsidRDefault="005273C2" w:rsidP="00FC1466">
      <w:pPr>
        <w:spacing w:before="100" w:beforeAutospacing="1" w:after="100" w:afterAutospacing="1"/>
        <w:ind w:left="567"/>
        <w:jc w:val="both"/>
        <w:outlineLvl w:val="2"/>
        <w:rPr>
          <w:b/>
          <w:bCs/>
          <w:sz w:val="22"/>
          <w:szCs w:val="22"/>
        </w:rPr>
      </w:pPr>
      <w:r w:rsidRPr="00FC1466">
        <w:rPr>
          <w:b/>
          <w:bCs/>
          <w:sz w:val="22"/>
          <w:szCs w:val="22"/>
        </w:rPr>
        <w:t>3. Physicochemical Basis of Spontaneous Aggregation of Phytochemicals</w:t>
      </w:r>
    </w:p>
    <w:p w14:paraId="7DC512C4" w14:textId="77777777" w:rsidR="005273C2" w:rsidRPr="00FC1466" w:rsidRDefault="005273C2" w:rsidP="00FC1466">
      <w:pPr>
        <w:spacing w:before="100" w:beforeAutospacing="1" w:after="100" w:afterAutospacing="1"/>
        <w:ind w:left="567"/>
        <w:jc w:val="both"/>
        <w:rPr>
          <w:sz w:val="22"/>
          <w:szCs w:val="22"/>
        </w:rPr>
      </w:pPr>
      <w:r w:rsidRPr="00FC1466">
        <w:rPr>
          <w:sz w:val="22"/>
          <w:szCs w:val="22"/>
        </w:rPr>
        <w:t xml:space="preserve">The spontaneous aggregation of phytochemicals does not arise from a single dominant interaction but rather from the cooperative interplay of multiple weak, non-covalent forces that collectively stabilize supramolecular structures. This phenomenon is particularly evident in amphiphilic and steroidal plant compounds characterized by hydrophobic cores and multiple polar or charged functional groups, such as glycoalkaloids, saponins, and polyphenols. In aqueous or mixed solvent systems, these molecules tend to self-assemble to minimize free energy, leading to the spontaneous formation of dimers, oligomers, or higher-order aggregates, even at relatively low concentrations </w:t>
      </w:r>
      <w:r w:rsidR="00A53A36" w:rsidRPr="00FC1466">
        <w:rPr>
          <w:sz w:val="22"/>
          <w:szCs w:val="22"/>
          <w:lang w:val="tr-TR"/>
        </w:rPr>
        <w:t>(Gupta et al., 2025)</w:t>
      </w:r>
      <w:r w:rsidRPr="00FC1466">
        <w:rPr>
          <w:sz w:val="22"/>
          <w:szCs w:val="22"/>
        </w:rPr>
        <w:t>.</w:t>
      </w:r>
    </w:p>
    <w:p w14:paraId="0C6DF46C" w14:textId="77777777" w:rsidR="005273C2" w:rsidRPr="00FC1466" w:rsidRDefault="005273C2" w:rsidP="00FC1466">
      <w:pPr>
        <w:spacing w:before="100" w:beforeAutospacing="1" w:after="100" w:afterAutospacing="1"/>
        <w:ind w:left="567"/>
        <w:jc w:val="both"/>
        <w:rPr>
          <w:sz w:val="22"/>
          <w:szCs w:val="22"/>
        </w:rPr>
      </w:pPr>
      <w:r w:rsidRPr="00FC1466">
        <w:rPr>
          <w:sz w:val="22"/>
          <w:szCs w:val="22"/>
        </w:rPr>
        <w:t xml:space="preserve">From a supramolecular chemistry perspective, such clustering reflects a balance between enthalpic stabilization—arising from hydrogen bonding, π–π interactions, and van der Waals forces—and entropic penalties associated with molecular organization. Importantly, these interactions act synergistically rather than independently; disruption of a single interaction is typically insufficient to destabilize the entire assembly. This cooperative behavior explains the remarkable stability and persistence of phytochemical clusters during pharmaceutical processes, including dilution, solvent exchange, and nanoparticle fabrication. Similar aggregation mechanisms have been widely reported for natural steroids, flavonoids, alkaloids, and glycosylated secondary metabolites </w:t>
      </w:r>
      <w:r w:rsidR="00A53A36" w:rsidRPr="00FC1466">
        <w:rPr>
          <w:sz w:val="22"/>
          <w:szCs w:val="22"/>
          <w:lang w:val="tr-TR"/>
        </w:rPr>
        <w:t>(Kurbah et al., 2025; Hajiashrafi et al., 2019; Van Megen et al., 2016; Ahmed et al., 2024; Biedermann et al., 2016)</w:t>
      </w:r>
      <w:r w:rsidRPr="00FC1466">
        <w:rPr>
          <w:sz w:val="22"/>
          <w:szCs w:val="22"/>
        </w:rPr>
        <w:t>.</w:t>
      </w:r>
    </w:p>
    <w:p w14:paraId="71469997" w14:textId="77777777" w:rsidR="005273C2" w:rsidRPr="00FC1466" w:rsidRDefault="005273C2" w:rsidP="00FC1466">
      <w:pPr>
        <w:spacing w:before="100" w:beforeAutospacing="1" w:after="100" w:afterAutospacing="1"/>
        <w:ind w:left="567"/>
        <w:jc w:val="both"/>
        <w:rPr>
          <w:sz w:val="22"/>
          <w:szCs w:val="22"/>
        </w:rPr>
      </w:pPr>
      <w:r w:rsidRPr="00FC1466">
        <w:rPr>
          <w:sz w:val="22"/>
          <w:szCs w:val="22"/>
        </w:rPr>
        <w:t xml:space="preserve">Steroidal glycoalkaloids, in particular, represent an extreme case of self-aggregation due to the combination of hydrophobic steroidal cores and hydrophilic sugar moieties. Experimental and </w:t>
      </w:r>
      <w:r w:rsidRPr="00FC1466">
        <w:rPr>
          <w:sz w:val="22"/>
          <w:szCs w:val="22"/>
        </w:rPr>
        <w:lastRenderedPageBreak/>
        <w:t xml:space="preserve">computational studies have demonstrated that these molecules readily assemble into micelle-like or fibrous structures via hydrophobic collapse of the aglycone core, stabilized by extensive hydrogen-bonding networks among the sugar chains </w:t>
      </w:r>
      <w:r w:rsidR="00A53A36" w:rsidRPr="00FC1466">
        <w:rPr>
          <w:sz w:val="22"/>
          <w:szCs w:val="22"/>
          <w:lang w:val="tr-TR"/>
        </w:rPr>
        <w:t xml:space="preserve">(Milner et al., 2011; </w:t>
      </w:r>
      <w:r w:rsidR="00AD05AB" w:rsidRPr="00FC1466">
        <w:rPr>
          <w:sz w:val="22"/>
          <w:szCs w:val="22"/>
          <w:lang w:val="tr-TR"/>
        </w:rPr>
        <w:t>Blankemeyer et al., 1998; Delbrouck et al., 2023)</w:t>
      </w:r>
      <w:r w:rsidRPr="00FC1466">
        <w:rPr>
          <w:sz w:val="22"/>
          <w:szCs w:val="22"/>
        </w:rPr>
        <w:t>. These assemblies can reach nanometer to sub-micrometer dimensions, placing them within the size range relevant to nanoparticle nucleation (Table 1).</w:t>
      </w:r>
    </w:p>
    <w:p w14:paraId="3C7F2533" w14:textId="77777777" w:rsidR="00BE4972" w:rsidRPr="00FC1466" w:rsidRDefault="00BE4972" w:rsidP="00FC1466">
      <w:pPr>
        <w:pStyle w:val="HTMLPreformatted"/>
        <w:shd w:val="clear" w:color="auto" w:fill="F8F9FA"/>
        <w:ind w:left="567"/>
        <w:jc w:val="both"/>
        <w:rPr>
          <w:rFonts w:ascii="Times New Roman" w:hAnsi="Times New Roman" w:cs="Times New Roman"/>
          <w:sz w:val="22"/>
          <w:szCs w:val="22"/>
        </w:rPr>
      </w:pPr>
      <w:r w:rsidRPr="00FC1466">
        <w:rPr>
          <w:rFonts w:ascii="Times New Roman" w:hAnsi="Times New Roman" w:cs="Times New Roman"/>
          <w:b/>
          <w:bCs/>
          <w:color w:val="1F1F1F"/>
          <w:sz w:val="22"/>
          <w:szCs w:val="22"/>
          <w:lang w:val="tr-TR"/>
        </w:rPr>
        <w:t>Table 1.</w:t>
      </w:r>
      <w:r w:rsidRPr="00FC1466">
        <w:rPr>
          <w:rFonts w:ascii="Times New Roman" w:hAnsi="Times New Roman" w:cs="Times New Roman"/>
          <w:color w:val="1F1F1F"/>
          <w:sz w:val="22"/>
          <w:szCs w:val="22"/>
          <w:lang w:val="tr-TR"/>
        </w:rPr>
        <w:t xml:space="preserve"> </w:t>
      </w:r>
      <w:r w:rsidRPr="00FC1466">
        <w:rPr>
          <w:rFonts w:ascii="Times New Roman" w:hAnsi="Times New Roman" w:cs="Times New Roman"/>
          <w:sz w:val="22"/>
          <w:szCs w:val="22"/>
        </w:rPr>
        <w:t xml:space="preserve">Molecular Forces Driving Phytochemical Self-Aggregation </w:t>
      </w:r>
    </w:p>
    <w:p w14:paraId="74C2EC5E" w14:textId="77777777" w:rsidR="00BE4972" w:rsidRPr="00FC1466" w:rsidRDefault="00BE4972" w:rsidP="00FC1466">
      <w:pPr>
        <w:pStyle w:val="HTMLPreformatted"/>
        <w:shd w:val="clear" w:color="auto" w:fill="F8F9FA"/>
        <w:ind w:left="567"/>
        <w:jc w:val="both"/>
        <w:rPr>
          <w:rFonts w:ascii="Times New Roman" w:hAnsi="Times New Roman" w:cs="Times New Roman"/>
          <w:sz w:val="22"/>
          <w:szCs w:val="22"/>
        </w:rPr>
      </w:pPr>
    </w:p>
    <w:tbl>
      <w:tblPr>
        <w:tblStyle w:val="TableGrid"/>
        <w:tblW w:w="0" w:type="auto"/>
        <w:tblInd w:w="562" w:type="dxa"/>
        <w:tblLook w:val="04A0" w:firstRow="1" w:lastRow="0" w:firstColumn="1" w:lastColumn="0" w:noHBand="0" w:noVBand="1"/>
      </w:tblPr>
      <w:tblGrid>
        <w:gridCol w:w="1488"/>
        <w:gridCol w:w="1773"/>
        <w:gridCol w:w="2693"/>
        <w:gridCol w:w="2834"/>
      </w:tblGrid>
      <w:tr w:rsidR="00BE4972" w:rsidRPr="00FC1466" w14:paraId="52652D11" w14:textId="77777777" w:rsidTr="00AD05AB">
        <w:tc>
          <w:tcPr>
            <w:tcW w:w="1488" w:type="dxa"/>
          </w:tcPr>
          <w:p w14:paraId="74F2BFFE" w14:textId="77777777" w:rsidR="00BE4972" w:rsidRPr="00FC1466" w:rsidRDefault="00BE4972" w:rsidP="00725EEC">
            <w:pPr>
              <w:pStyle w:val="HTMLPreformatted"/>
              <w:tabs>
                <w:tab w:val="clear" w:pos="916"/>
                <w:tab w:val="clear" w:pos="1832"/>
                <w:tab w:val="clear" w:pos="3664"/>
                <w:tab w:val="clear" w:pos="4580"/>
                <w:tab w:val="clear" w:pos="5496"/>
                <w:tab w:val="clear" w:pos="6412"/>
                <w:tab w:val="clear" w:pos="8244"/>
              </w:tabs>
              <w:jc w:val="both"/>
              <w:rPr>
                <w:rFonts w:ascii="Times New Roman" w:hAnsi="Times New Roman" w:cs="Times New Roman"/>
                <w:b/>
                <w:bCs/>
                <w:color w:val="1F1F1F"/>
                <w:sz w:val="22"/>
                <w:szCs w:val="22"/>
                <w:lang w:val="tr-TR"/>
              </w:rPr>
            </w:pPr>
            <w:r w:rsidRPr="00FC1466">
              <w:rPr>
                <w:rFonts w:ascii="Times New Roman" w:hAnsi="Times New Roman" w:cs="Times New Roman"/>
                <w:b/>
                <w:bCs/>
                <w:color w:val="1F1F1F"/>
                <w:sz w:val="22"/>
                <w:szCs w:val="22"/>
                <w:lang w:val="tr-TR"/>
              </w:rPr>
              <w:t>Interaction Type</w:t>
            </w:r>
          </w:p>
        </w:tc>
        <w:tc>
          <w:tcPr>
            <w:tcW w:w="1773" w:type="dxa"/>
          </w:tcPr>
          <w:p w14:paraId="1FBC5834" w14:textId="77777777" w:rsidR="00BE4972" w:rsidRPr="00FC1466" w:rsidRDefault="00BE4972" w:rsidP="00725EEC">
            <w:pPr>
              <w:pStyle w:val="HTMLPreformatted"/>
              <w:tabs>
                <w:tab w:val="clear" w:pos="916"/>
                <w:tab w:val="clear" w:pos="1832"/>
                <w:tab w:val="clear" w:pos="3664"/>
                <w:tab w:val="clear" w:pos="4580"/>
                <w:tab w:val="clear" w:pos="5496"/>
                <w:tab w:val="clear" w:pos="6412"/>
                <w:tab w:val="clear" w:pos="8244"/>
              </w:tabs>
              <w:jc w:val="both"/>
              <w:rPr>
                <w:rFonts w:ascii="Times New Roman" w:hAnsi="Times New Roman" w:cs="Times New Roman"/>
                <w:b/>
                <w:bCs/>
                <w:color w:val="1F1F1F"/>
                <w:sz w:val="22"/>
                <w:szCs w:val="22"/>
                <w:lang w:val="tr-TR"/>
              </w:rPr>
            </w:pPr>
            <w:r w:rsidRPr="00FC1466">
              <w:rPr>
                <w:rFonts w:ascii="Times New Roman" w:hAnsi="Times New Roman" w:cs="Times New Roman"/>
                <w:b/>
                <w:bCs/>
                <w:color w:val="1F1F1F"/>
                <w:sz w:val="22"/>
                <w:szCs w:val="22"/>
                <w:lang w:val="tr-TR"/>
              </w:rPr>
              <w:t>Molecular Origin</w:t>
            </w:r>
          </w:p>
        </w:tc>
        <w:tc>
          <w:tcPr>
            <w:tcW w:w="2693" w:type="dxa"/>
          </w:tcPr>
          <w:p w14:paraId="17909025" w14:textId="77777777" w:rsidR="00BE4972" w:rsidRPr="00FC1466" w:rsidRDefault="00BE4972" w:rsidP="00725EEC">
            <w:pPr>
              <w:pStyle w:val="HTMLPreformatted"/>
              <w:tabs>
                <w:tab w:val="clear" w:pos="916"/>
                <w:tab w:val="clear" w:pos="1832"/>
                <w:tab w:val="clear" w:pos="3664"/>
                <w:tab w:val="clear" w:pos="4580"/>
                <w:tab w:val="clear" w:pos="5496"/>
                <w:tab w:val="clear" w:pos="6412"/>
                <w:tab w:val="clear" w:pos="8244"/>
              </w:tabs>
              <w:jc w:val="both"/>
              <w:rPr>
                <w:rFonts w:ascii="Times New Roman" w:hAnsi="Times New Roman" w:cs="Times New Roman"/>
                <w:b/>
                <w:bCs/>
                <w:color w:val="1F1F1F"/>
                <w:sz w:val="22"/>
                <w:szCs w:val="22"/>
                <w:lang w:val="tr-TR"/>
              </w:rPr>
            </w:pPr>
            <w:r w:rsidRPr="00FC1466">
              <w:rPr>
                <w:rFonts w:ascii="Times New Roman" w:hAnsi="Times New Roman" w:cs="Times New Roman"/>
                <w:b/>
                <w:bCs/>
                <w:color w:val="1F1F1F"/>
                <w:sz w:val="22"/>
                <w:szCs w:val="22"/>
                <w:lang w:val="tr-TR"/>
              </w:rPr>
              <w:t>Effect on Aggregation</w:t>
            </w:r>
          </w:p>
        </w:tc>
        <w:tc>
          <w:tcPr>
            <w:tcW w:w="2834" w:type="dxa"/>
          </w:tcPr>
          <w:p w14:paraId="1FF69956" w14:textId="77777777" w:rsidR="00BE4972" w:rsidRPr="00FC1466" w:rsidRDefault="00BE4972" w:rsidP="00725EEC">
            <w:pPr>
              <w:pStyle w:val="HTMLPreformatted"/>
              <w:tabs>
                <w:tab w:val="clear" w:pos="916"/>
                <w:tab w:val="clear" w:pos="1832"/>
                <w:tab w:val="clear" w:pos="3664"/>
                <w:tab w:val="clear" w:pos="4580"/>
                <w:tab w:val="clear" w:pos="5496"/>
                <w:tab w:val="clear" w:pos="6412"/>
                <w:tab w:val="clear" w:pos="8244"/>
              </w:tabs>
              <w:jc w:val="both"/>
              <w:rPr>
                <w:rFonts w:ascii="Times New Roman" w:hAnsi="Times New Roman" w:cs="Times New Roman"/>
                <w:b/>
                <w:bCs/>
                <w:color w:val="1F1F1F"/>
                <w:sz w:val="22"/>
                <w:szCs w:val="22"/>
                <w:lang w:val="tr-TR"/>
              </w:rPr>
            </w:pPr>
            <w:r w:rsidRPr="00FC1466">
              <w:rPr>
                <w:rFonts w:ascii="Times New Roman" w:hAnsi="Times New Roman" w:cs="Times New Roman"/>
                <w:b/>
                <w:bCs/>
                <w:color w:val="1F1F1F"/>
                <w:sz w:val="22"/>
                <w:szCs w:val="22"/>
                <w:lang w:val="tr-TR"/>
              </w:rPr>
              <w:t>References</w:t>
            </w:r>
          </w:p>
        </w:tc>
      </w:tr>
      <w:tr w:rsidR="00BE4972" w:rsidRPr="00FC1466" w14:paraId="776142A9" w14:textId="77777777" w:rsidTr="00AD05AB">
        <w:tc>
          <w:tcPr>
            <w:tcW w:w="1488" w:type="dxa"/>
          </w:tcPr>
          <w:p w14:paraId="0E7EC131" w14:textId="77777777" w:rsidR="00BE4972" w:rsidRPr="00FC1466" w:rsidRDefault="00BE4972" w:rsidP="00725EEC">
            <w:pPr>
              <w:pStyle w:val="HTMLPreformatted"/>
              <w:tabs>
                <w:tab w:val="clear" w:pos="916"/>
                <w:tab w:val="clear" w:pos="1832"/>
                <w:tab w:val="clear" w:pos="3664"/>
                <w:tab w:val="clear" w:pos="4580"/>
                <w:tab w:val="clear" w:pos="5496"/>
                <w:tab w:val="clear" w:pos="6412"/>
                <w:tab w:val="clear" w:pos="8244"/>
              </w:tabs>
              <w:jc w:val="both"/>
              <w:rPr>
                <w:rFonts w:ascii="Times New Roman" w:hAnsi="Times New Roman" w:cs="Times New Roman"/>
                <w:color w:val="1F1F1F"/>
                <w:sz w:val="22"/>
                <w:szCs w:val="22"/>
                <w:lang w:val="tr-TR"/>
              </w:rPr>
            </w:pPr>
            <w:r w:rsidRPr="00FC1466">
              <w:rPr>
                <w:rFonts w:ascii="Times New Roman" w:hAnsi="Times New Roman" w:cs="Times New Roman"/>
                <w:color w:val="1F1F1F"/>
                <w:sz w:val="22"/>
                <w:szCs w:val="22"/>
                <w:lang w:val="tr-TR"/>
              </w:rPr>
              <w:t>Hydrogen bonding</w:t>
            </w:r>
          </w:p>
        </w:tc>
        <w:tc>
          <w:tcPr>
            <w:tcW w:w="1773" w:type="dxa"/>
          </w:tcPr>
          <w:p w14:paraId="2FC62A60" w14:textId="77777777" w:rsidR="00BE4972" w:rsidRPr="00FC1466" w:rsidRDefault="00BE4972" w:rsidP="00725EEC">
            <w:pPr>
              <w:pStyle w:val="HTMLPreformatted"/>
              <w:tabs>
                <w:tab w:val="clear" w:pos="916"/>
                <w:tab w:val="clear" w:pos="1832"/>
                <w:tab w:val="clear" w:pos="3664"/>
                <w:tab w:val="clear" w:pos="4580"/>
                <w:tab w:val="clear" w:pos="5496"/>
                <w:tab w:val="clear" w:pos="6412"/>
                <w:tab w:val="clear" w:pos="8244"/>
              </w:tabs>
              <w:jc w:val="both"/>
              <w:rPr>
                <w:rFonts w:ascii="Times New Roman" w:hAnsi="Times New Roman" w:cs="Times New Roman"/>
                <w:color w:val="1F1F1F"/>
                <w:sz w:val="22"/>
                <w:szCs w:val="22"/>
                <w:lang w:val="tr-TR"/>
              </w:rPr>
            </w:pPr>
            <w:r w:rsidRPr="00FC1466">
              <w:rPr>
                <w:rFonts w:ascii="Times New Roman" w:hAnsi="Times New Roman" w:cs="Times New Roman"/>
                <w:color w:val="1F1F1F"/>
                <w:sz w:val="22"/>
                <w:szCs w:val="22"/>
                <w:lang w:val="tr-TR"/>
              </w:rPr>
              <w:t>Hydroxyl and glycosidic groups</w:t>
            </w:r>
          </w:p>
        </w:tc>
        <w:tc>
          <w:tcPr>
            <w:tcW w:w="2693" w:type="dxa"/>
          </w:tcPr>
          <w:p w14:paraId="605479D8" w14:textId="77777777" w:rsidR="00BE4972" w:rsidRPr="00FC1466" w:rsidRDefault="00BE4972" w:rsidP="00725EEC">
            <w:pPr>
              <w:pStyle w:val="HTMLPreformatted"/>
              <w:tabs>
                <w:tab w:val="clear" w:pos="916"/>
                <w:tab w:val="clear" w:pos="1832"/>
                <w:tab w:val="clear" w:pos="3664"/>
                <w:tab w:val="clear" w:pos="4580"/>
                <w:tab w:val="clear" w:pos="5496"/>
                <w:tab w:val="clear" w:pos="6412"/>
                <w:tab w:val="clear" w:pos="8244"/>
              </w:tabs>
              <w:jc w:val="both"/>
              <w:rPr>
                <w:rFonts w:ascii="Times New Roman" w:hAnsi="Times New Roman" w:cs="Times New Roman"/>
                <w:color w:val="1F1F1F"/>
                <w:sz w:val="22"/>
                <w:szCs w:val="22"/>
                <w:lang w:val="tr-TR"/>
              </w:rPr>
            </w:pPr>
            <w:r w:rsidRPr="00FC1466">
              <w:rPr>
                <w:rFonts w:ascii="Times New Roman" w:hAnsi="Times New Roman" w:cs="Times New Roman"/>
                <w:color w:val="1F1F1F"/>
                <w:sz w:val="22"/>
                <w:szCs w:val="22"/>
                <w:lang w:val="tr-TR"/>
              </w:rPr>
              <w:t>Stabilization of supramolecular clusters and networks</w:t>
            </w:r>
          </w:p>
        </w:tc>
        <w:tc>
          <w:tcPr>
            <w:tcW w:w="2834" w:type="dxa"/>
          </w:tcPr>
          <w:p w14:paraId="23D32C8F" w14:textId="77777777" w:rsidR="00BE4972" w:rsidRPr="00FC1466" w:rsidRDefault="00AD05AB" w:rsidP="00725EEC">
            <w:pPr>
              <w:pStyle w:val="HTMLPreformatted"/>
              <w:tabs>
                <w:tab w:val="clear" w:pos="916"/>
                <w:tab w:val="clear" w:pos="1832"/>
                <w:tab w:val="clear" w:pos="3664"/>
                <w:tab w:val="clear" w:pos="4580"/>
                <w:tab w:val="clear" w:pos="5496"/>
                <w:tab w:val="clear" w:pos="6412"/>
                <w:tab w:val="clear" w:pos="8244"/>
              </w:tabs>
              <w:jc w:val="both"/>
              <w:rPr>
                <w:rFonts w:ascii="Times New Roman" w:hAnsi="Times New Roman" w:cs="Times New Roman"/>
                <w:color w:val="1F1F1F"/>
                <w:sz w:val="22"/>
                <w:szCs w:val="22"/>
                <w:lang w:val="tr-TR"/>
              </w:rPr>
            </w:pPr>
            <w:r w:rsidRPr="00FC1466">
              <w:rPr>
                <w:rFonts w:ascii="Times New Roman" w:hAnsi="Times New Roman" w:cs="Times New Roman"/>
                <w:color w:val="1F1F1F"/>
                <w:sz w:val="22"/>
                <w:szCs w:val="22"/>
                <w:lang w:val="tr-TR"/>
              </w:rPr>
              <w:t>(Atasanov et al., 2015; Biedermann et al., 2016)</w:t>
            </w:r>
          </w:p>
        </w:tc>
      </w:tr>
      <w:tr w:rsidR="00BE4972" w:rsidRPr="00FC1466" w14:paraId="72D0335B" w14:textId="77777777" w:rsidTr="00AD05AB">
        <w:tc>
          <w:tcPr>
            <w:tcW w:w="1488" w:type="dxa"/>
          </w:tcPr>
          <w:p w14:paraId="69474FFE" w14:textId="77777777" w:rsidR="00BE4972" w:rsidRPr="00FC1466" w:rsidRDefault="00BE4972" w:rsidP="00725EEC">
            <w:pPr>
              <w:pStyle w:val="HTMLPreformatted"/>
              <w:tabs>
                <w:tab w:val="clear" w:pos="916"/>
                <w:tab w:val="clear" w:pos="1832"/>
                <w:tab w:val="clear" w:pos="3664"/>
                <w:tab w:val="clear" w:pos="4580"/>
                <w:tab w:val="clear" w:pos="5496"/>
                <w:tab w:val="clear" w:pos="6412"/>
                <w:tab w:val="clear" w:pos="8244"/>
              </w:tabs>
              <w:jc w:val="both"/>
              <w:rPr>
                <w:rFonts w:ascii="Times New Roman" w:hAnsi="Times New Roman" w:cs="Times New Roman"/>
                <w:color w:val="1F1F1F"/>
                <w:sz w:val="22"/>
                <w:szCs w:val="22"/>
                <w:lang w:val="tr-TR"/>
              </w:rPr>
            </w:pPr>
            <w:r w:rsidRPr="00FC1466">
              <w:rPr>
                <w:rFonts w:ascii="Times New Roman" w:hAnsi="Times New Roman" w:cs="Times New Roman"/>
                <w:sz w:val="22"/>
                <w:szCs w:val="22"/>
              </w:rPr>
              <w:t>Hydrophobic interactions</w:t>
            </w:r>
          </w:p>
        </w:tc>
        <w:tc>
          <w:tcPr>
            <w:tcW w:w="1773" w:type="dxa"/>
          </w:tcPr>
          <w:p w14:paraId="6FD4B430" w14:textId="77777777" w:rsidR="00BE4972" w:rsidRPr="00FC1466" w:rsidRDefault="00BE4972" w:rsidP="00725EEC">
            <w:pPr>
              <w:pStyle w:val="HTMLPreformatted"/>
              <w:tabs>
                <w:tab w:val="clear" w:pos="916"/>
                <w:tab w:val="clear" w:pos="1832"/>
                <w:tab w:val="clear" w:pos="3664"/>
                <w:tab w:val="clear" w:pos="4580"/>
                <w:tab w:val="clear" w:pos="5496"/>
                <w:tab w:val="clear" w:pos="6412"/>
                <w:tab w:val="clear" w:pos="8244"/>
              </w:tabs>
              <w:jc w:val="both"/>
              <w:rPr>
                <w:rFonts w:ascii="Times New Roman" w:hAnsi="Times New Roman" w:cs="Times New Roman"/>
                <w:color w:val="1F1F1F"/>
                <w:sz w:val="22"/>
                <w:szCs w:val="22"/>
                <w:lang w:val="tr-TR"/>
              </w:rPr>
            </w:pPr>
            <w:r w:rsidRPr="00FC1466">
              <w:rPr>
                <w:rFonts w:ascii="Times New Roman" w:hAnsi="Times New Roman" w:cs="Times New Roman"/>
                <w:sz w:val="22"/>
                <w:szCs w:val="22"/>
              </w:rPr>
              <w:t>Steroidal or aromatic cores</w:t>
            </w:r>
          </w:p>
        </w:tc>
        <w:tc>
          <w:tcPr>
            <w:tcW w:w="2693" w:type="dxa"/>
          </w:tcPr>
          <w:p w14:paraId="4E118B60" w14:textId="77777777" w:rsidR="00BE4972" w:rsidRPr="00FC1466" w:rsidRDefault="00BE4972" w:rsidP="00725EEC">
            <w:pPr>
              <w:pStyle w:val="HTMLPreformatted"/>
              <w:tabs>
                <w:tab w:val="clear" w:pos="916"/>
                <w:tab w:val="clear" w:pos="1832"/>
                <w:tab w:val="clear" w:pos="3664"/>
                <w:tab w:val="clear" w:pos="4580"/>
                <w:tab w:val="clear" w:pos="5496"/>
                <w:tab w:val="clear" w:pos="6412"/>
                <w:tab w:val="clear" w:pos="8244"/>
              </w:tabs>
              <w:jc w:val="both"/>
              <w:rPr>
                <w:rFonts w:ascii="Times New Roman" w:hAnsi="Times New Roman" w:cs="Times New Roman"/>
                <w:color w:val="1F1F1F"/>
                <w:sz w:val="22"/>
                <w:szCs w:val="22"/>
                <w:lang w:val="tr-TR"/>
              </w:rPr>
            </w:pPr>
            <w:r w:rsidRPr="00FC1466">
              <w:rPr>
                <w:rFonts w:ascii="Times New Roman" w:hAnsi="Times New Roman" w:cs="Times New Roman"/>
                <w:sz w:val="22"/>
                <w:szCs w:val="22"/>
              </w:rPr>
              <w:t>Formation of hydrophobic cores and micelle-like assemblies</w:t>
            </w:r>
          </w:p>
        </w:tc>
        <w:tc>
          <w:tcPr>
            <w:tcW w:w="2834" w:type="dxa"/>
          </w:tcPr>
          <w:p w14:paraId="121CB81F" w14:textId="77777777" w:rsidR="00BE4972" w:rsidRPr="00FC1466" w:rsidRDefault="00AD05AB" w:rsidP="00725EEC">
            <w:pPr>
              <w:pStyle w:val="HTMLPreformatted"/>
              <w:tabs>
                <w:tab w:val="clear" w:pos="916"/>
                <w:tab w:val="clear" w:pos="1832"/>
                <w:tab w:val="clear" w:pos="3664"/>
                <w:tab w:val="clear" w:pos="4580"/>
                <w:tab w:val="clear" w:pos="5496"/>
                <w:tab w:val="clear" w:pos="6412"/>
                <w:tab w:val="clear" w:pos="8244"/>
              </w:tabs>
              <w:jc w:val="both"/>
              <w:rPr>
                <w:rFonts w:ascii="Times New Roman" w:hAnsi="Times New Roman" w:cs="Times New Roman"/>
                <w:color w:val="1F1F1F"/>
                <w:sz w:val="22"/>
                <w:szCs w:val="22"/>
                <w:lang w:val="tr-TR"/>
              </w:rPr>
            </w:pPr>
            <w:r w:rsidRPr="00FC1466">
              <w:rPr>
                <w:rFonts w:ascii="Times New Roman" w:hAnsi="Times New Roman" w:cs="Times New Roman"/>
                <w:sz w:val="22"/>
                <w:szCs w:val="22"/>
                <w:lang w:val="tr-TR"/>
              </w:rPr>
              <w:t>(Hou et al., 2022; Milner et al., 2011; He et al., 2013)</w:t>
            </w:r>
          </w:p>
        </w:tc>
      </w:tr>
      <w:tr w:rsidR="00BE4972" w:rsidRPr="00FC1466" w14:paraId="12A155E9" w14:textId="77777777" w:rsidTr="00AD05AB">
        <w:tc>
          <w:tcPr>
            <w:tcW w:w="1488" w:type="dxa"/>
          </w:tcPr>
          <w:p w14:paraId="384F2FCE" w14:textId="77777777" w:rsidR="00BE4972" w:rsidRPr="00FC1466" w:rsidRDefault="00BE4972" w:rsidP="00725EEC">
            <w:pPr>
              <w:pStyle w:val="HTMLPreformatted"/>
              <w:tabs>
                <w:tab w:val="clear" w:pos="916"/>
                <w:tab w:val="clear" w:pos="1832"/>
                <w:tab w:val="clear" w:pos="3664"/>
                <w:tab w:val="clear" w:pos="4580"/>
                <w:tab w:val="clear" w:pos="5496"/>
                <w:tab w:val="clear" w:pos="6412"/>
                <w:tab w:val="clear" w:pos="8244"/>
              </w:tabs>
              <w:jc w:val="both"/>
              <w:rPr>
                <w:rFonts w:ascii="Times New Roman" w:hAnsi="Times New Roman" w:cs="Times New Roman"/>
                <w:color w:val="1F1F1F"/>
                <w:sz w:val="22"/>
                <w:szCs w:val="22"/>
                <w:lang w:val="tr-TR"/>
              </w:rPr>
            </w:pPr>
            <w:r w:rsidRPr="00FC1466">
              <w:rPr>
                <w:rFonts w:ascii="Times New Roman" w:hAnsi="Times New Roman" w:cs="Times New Roman"/>
                <w:sz w:val="22"/>
                <w:szCs w:val="22"/>
              </w:rPr>
              <w:t>π–π stacking</w:t>
            </w:r>
          </w:p>
        </w:tc>
        <w:tc>
          <w:tcPr>
            <w:tcW w:w="1773" w:type="dxa"/>
            <w:vAlign w:val="center"/>
          </w:tcPr>
          <w:p w14:paraId="50E9D484" w14:textId="77777777" w:rsidR="00BE4972" w:rsidRPr="00FC1466" w:rsidRDefault="00BE4972" w:rsidP="00725EEC">
            <w:pPr>
              <w:jc w:val="both"/>
              <w:rPr>
                <w:sz w:val="22"/>
                <w:szCs w:val="22"/>
              </w:rPr>
            </w:pPr>
            <w:r w:rsidRPr="00FC1466">
              <w:rPr>
                <w:sz w:val="22"/>
                <w:szCs w:val="22"/>
              </w:rPr>
              <w:t>Conjugated aromatic rings</w:t>
            </w:r>
          </w:p>
        </w:tc>
        <w:tc>
          <w:tcPr>
            <w:tcW w:w="2693" w:type="dxa"/>
            <w:vAlign w:val="center"/>
          </w:tcPr>
          <w:p w14:paraId="358AAE43" w14:textId="77777777" w:rsidR="00BE4972" w:rsidRPr="00FC1466" w:rsidRDefault="00BE4972" w:rsidP="00725EEC">
            <w:pPr>
              <w:jc w:val="both"/>
              <w:rPr>
                <w:sz w:val="22"/>
                <w:szCs w:val="22"/>
              </w:rPr>
            </w:pPr>
            <w:r w:rsidRPr="00FC1466">
              <w:rPr>
                <w:sz w:val="22"/>
                <w:szCs w:val="22"/>
              </w:rPr>
              <w:t>Ordered stacking and anisotropic aggregate growth</w:t>
            </w:r>
          </w:p>
        </w:tc>
        <w:tc>
          <w:tcPr>
            <w:tcW w:w="2834" w:type="dxa"/>
            <w:vAlign w:val="center"/>
          </w:tcPr>
          <w:p w14:paraId="244BFFCE" w14:textId="77777777" w:rsidR="00BE4972" w:rsidRPr="00FC1466" w:rsidRDefault="00AD05AB" w:rsidP="00725EEC">
            <w:pPr>
              <w:jc w:val="both"/>
              <w:rPr>
                <w:sz w:val="22"/>
                <w:szCs w:val="22"/>
              </w:rPr>
            </w:pPr>
            <w:r w:rsidRPr="00FC1466">
              <w:rPr>
                <w:sz w:val="22"/>
                <w:szCs w:val="22"/>
                <w:lang w:val="tr-TR"/>
              </w:rPr>
              <w:t>(Hajiashrafi et al., 2019; Van Megen et al., 2016; Ahmed et al., 2024; Martinez et al., 2012; Hunter et al., 1990)</w:t>
            </w:r>
            <w:r w:rsidR="00BE4972" w:rsidRPr="00FC1466">
              <w:rPr>
                <w:sz w:val="22"/>
                <w:szCs w:val="22"/>
              </w:rPr>
              <w:t xml:space="preserve"> </w:t>
            </w:r>
          </w:p>
        </w:tc>
      </w:tr>
      <w:tr w:rsidR="00BE4972" w:rsidRPr="00FC1466" w14:paraId="11E4C086" w14:textId="77777777" w:rsidTr="00AD05AB">
        <w:tc>
          <w:tcPr>
            <w:tcW w:w="1488" w:type="dxa"/>
            <w:vAlign w:val="center"/>
          </w:tcPr>
          <w:p w14:paraId="5269777A" w14:textId="77777777" w:rsidR="00BE4972" w:rsidRPr="00FC1466" w:rsidRDefault="00BE4972" w:rsidP="00725EEC">
            <w:pPr>
              <w:jc w:val="both"/>
              <w:rPr>
                <w:sz w:val="22"/>
                <w:szCs w:val="22"/>
              </w:rPr>
            </w:pPr>
            <w:r w:rsidRPr="00FC1466">
              <w:rPr>
                <w:sz w:val="22"/>
                <w:szCs w:val="22"/>
              </w:rPr>
              <w:t>Van der Waals forces</w:t>
            </w:r>
          </w:p>
        </w:tc>
        <w:tc>
          <w:tcPr>
            <w:tcW w:w="1773" w:type="dxa"/>
            <w:vAlign w:val="center"/>
          </w:tcPr>
          <w:p w14:paraId="33196720" w14:textId="77777777" w:rsidR="00BE4972" w:rsidRPr="00FC1466" w:rsidRDefault="00BE4972" w:rsidP="00725EEC">
            <w:pPr>
              <w:jc w:val="both"/>
              <w:rPr>
                <w:sz w:val="22"/>
                <w:szCs w:val="22"/>
              </w:rPr>
            </w:pPr>
            <w:r w:rsidRPr="00FC1466">
              <w:rPr>
                <w:sz w:val="22"/>
                <w:szCs w:val="22"/>
              </w:rPr>
              <w:t>Large, planar molecular surfaces</w:t>
            </w:r>
          </w:p>
        </w:tc>
        <w:tc>
          <w:tcPr>
            <w:tcW w:w="2693" w:type="dxa"/>
            <w:vAlign w:val="center"/>
          </w:tcPr>
          <w:p w14:paraId="70960E5D" w14:textId="77777777" w:rsidR="00BE4972" w:rsidRPr="00FC1466" w:rsidRDefault="00BE4972" w:rsidP="00725EEC">
            <w:pPr>
              <w:jc w:val="both"/>
              <w:rPr>
                <w:sz w:val="22"/>
                <w:szCs w:val="22"/>
              </w:rPr>
            </w:pPr>
            <w:r w:rsidRPr="00FC1466">
              <w:rPr>
                <w:sz w:val="22"/>
                <w:szCs w:val="22"/>
              </w:rPr>
              <w:t>Aggregate compaction and mechanical stability</w:t>
            </w:r>
          </w:p>
        </w:tc>
        <w:tc>
          <w:tcPr>
            <w:tcW w:w="2834" w:type="dxa"/>
            <w:vAlign w:val="center"/>
          </w:tcPr>
          <w:p w14:paraId="47B1FA86" w14:textId="77777777" w:rsidR="00BE4972" w:rsidRPr="00FC1466" w:rsidRDefault="00AD05AB" w:rsidP="00725EEC">
            <w:pPr>
              <w:jc w:val="both"/>
              <w:rPr>
                <w:sz w:val="22"/>
                <w:szCs w:val="22"/>
              </w:rPr>
            </w:pPr>
            <w:r w:rsidRPr="00FC1466">
              <w:rPr>
                <w:sz w:val="22"/>
                <w:szCs w:val="22"/>
                <w:lang w:val="tr-TR"/>
              </w:rPr>
              <w:t>Israelachvili, 2011</w:t>
            </w:r>
          </w:p>
        </w:tc>
      </w:tr>
      <w:tr w:rsidR="00BE4972" w:rsidRPr="00FC1466" w14:paraId="0AE9E79A" w14:textId="77777777" w:rsidTr="00AD05AB">
        <w:tc>
          <w:tcPr>
            <w:tcW w:w="1488" w:type="dxa"/>
            <w:vAlign w:val="center"/>
          </w:tcPr>
          <w:p w14:paraId="0FBA7FFE" w14:textId="77777777" w:rsidR="00BE4972" w:rsidRPr="00FC1466" w:rsidRDefault="00BE4972" w:rsidP="00725EEC">
            <w:pPr>
              <w:jc w:val="both"/>
              <w:rPr>
                <w:sz w:val="22"/>
                <w:szCs w:val="22"/>
              </w:rPr>
            </w:pPr>
            <w:r w:rsidRPr="00FC1466">
              <w:rPr>
                <w:sz w:val="22"/>
                <w:szCs w:val="22"/>
              </w:rPr>
              <w:t>Electrostatic interactions</w:t>
            </w:r>
          </w:p>
        </w:tc>
        <w:tc>
          <w:tcPr>
            <w:tcW w:w="1773" w:type="dxa"/>
            <w:vAlign w:val="center"/>
          </w:tcPr>
          <w:p w14:paraId="00CCE64E" w14:textId="77777777" w:rsidR="00BE4972" w:rsidRPr="00FC1466" w:rsidRDefault="00BE4972" w:rsidP="00725EEC">
            <w:pPr>
              <w:jc w:val="both"/>
              <w:rPr>
                <w:sz w:val="22"/>
                <w:szCs w:val="22"/>
              </w:rPr>
            </w:pPr>
            <w:r w:rsidRPr="00FC1466">
              <w:rPr>
                <w:sz w:val="22"/>
                <w:szCs w:val="22"/>
              </w:rPr>
              <w:t>Charged or ionizable sugar moieties</w:t>
            </w:r>
          </w:p>
        </w:tc>
        <w:tc>
          <w:tcPr>
            <w:tcW w:w="2693" w:type="dxa"/>
            <w:vAlign w:val="center"/>
          </w:tcPr>
          <w:p w14:paraId="4FABE632" w14:textId="77777777" w:rsidR="00BE4972" w:rsidRPr="00FC1466" w:rsidRDefault="00BE4972" w:rsidP="00725EEC">
            <w:pPr>
              <w:jc w:val="both"/>
              <w:rPr>
                <w:sz w:val="22"/>
                <w:szCs w:val="22"/>
              </w:rPr>
            </w:pPr>
            <w:r w:rsidRPr="00FC1466">
              <w:rPr>
                <w:sz w:val="22"/>
                <w:szCs w:val="22"/>
              </w:rPr>
              <w:t>Modulation of aggregate size and sensitivity to pH/ionic strength</w:t>
            </w:r>
          </w:p>
        </w:tc>
        <w:tc>
          <w:tcPr>
            <w:tcW w:w="2834" w:type="dxa"/>
            <w:vAlign w:val="center"/>
          </w:tcPr>
          <w:p w14:paraId="10AAFE49" w14:textId="77777777" w:rsidR="00BE4972" w:rsidRPr="00FC1466" w:rsidRDefault="00AB488F" w:rsidP="00725EEC">
            <w:pPr>
              <w:jc w:val="both"/>
              <w:rPr>
                <w:sz w:val="22"/>
                <w:szCs w:val="22"/>
                <w:lang w:val="tr-TR"/>
              </w:rPr>
            </w:pPr>
            <w:r w:rsidRPr="00FC1466">
              <w:rPr>
                <w:sz w:val="22"/>
                <w:szCs w:val="22"/>
                <w:lang w:val="tr-TR"/>
              </w:rPr>
              <w:t>(Milner et al., 2011; Blankemeyer et al., 1998; Nair et al., 2026)</w:t>
            </w:r>
          </w:p>
        </w:tc>
      </w:tr>
    </w:tbl>
    <w:p w14:paraId="4A66B172" w14:textId="77777777" w:rsidR="00BE4972" w:rsidRPr="00FC1466" w:rsidRDefault="00BE4972" w:rsidP="00FC1466">
      <w:pPr>
        <w:spacing w:before="100" w:beforeAutospacing="1" w:after="100" w:afterAutospacing="1"/>
        <w:jc w:val="both"/>
        <w:rPr>
          <w:sz w:val="22"/>
          <w:szCs w:val="22"/>
        </w:rPr>
      </w:pPr>
    </w:p>
    <w:p w14:paraId="60B24C96" w14:textId="77777777" w:rsidR="00C87B62" w:rsidRPr="00FC1466" w:rsidRDefault="00C87B62" w:rsidP="00FC1466">
      <w:pPr>
        <w:pStyle w:val="Heading3"/>
        <w:ind w:left="567"/>
        <w:jc w:val="both"/>
        <w:rPr>
          <w:sz w:val="22"/>
          <w:szCs w:val="22"/>
        </w:rPr>
      </w:pPr>
      <w:r w:rsidRPr="00FC1466">
        <w:rPr>
          <w:rStyle w:val="Strong"/>
          <w:b/>
          <w:bCs/>
          <w:sz w:val="22"/>
          <w:szCs w:val="22"/>
        </w:rPr>
        <w:t>4. From Molecular Clusters to Nanoparticles: A Hidden Continuum</w:t>
      </w:r>
    </w:p>
    <w:p w14:paraId="3330FF18" w14:textId="77777777" w:rsidR="00C87B62" w:rsidRPr="00FC1466" w:rsidRDefault="00C87B62" w:rsidP="00FC1466">
      <w:pPr>
        <w:pStyle w:val="NormalWeb"/>
        <w:ind w:left="567"/>
        <w:jc w:val="both"/>
        <w:rPr>
          <w:sz w:val="22"/>
          <w:szCs w:val="22"/>
        </w:rPr>
      </w:pPr>
      <w:r w:rsidRPr="00FC1466">
        <w:rPr>
          <w:sz w:val="22"/>
          <w:szCs w:val="22"/>
        </w:rPr>
        <w:t xml:space="preserve">Traditional nanoparticle preparation methods—such as nanoprecipitation, emulsification–solvent evaporation, and ionic gelation—are conceptually grounded in the assumption that the active compound exists as a molecularly dispersed species in the formulation medium prior to nanoparticle formation. Within this classical framework, nanoparticle formation is treated as a bottom-up process in which individual molecules undergo nucleation and growth, primarily governed by external process parameters, including solvent diffusion rate, polymer concentration, surfactant content, mixing intensity, and ionic strength. This assumption underpins most mechanistic models of nanoparticle formation described in the pharmaceutical technology literature and formulation guidelines </w:t>
      </w:r>
      <w:r w:rsidR="00AB488F" w:rsidRPr="00FC1466">
        <w:rPr>
          <w:sz w:val="22"/>
          <w:szCs w:val="22"/>
          <w:lang w:val="tr-TR"/>
        </w:rPr>
        <w:t>(Mora-Huertas et al, 2010; Beck-Broichsitter et al., 2012)</w:t>
      </w:r>
      <w:r w:rsidRPr="00FC1466">
        <w:rPr>
          <w:sz w:val="22"/>
          <w:szCs w:val="22"/>
        </w:rPr>
        <w:t>.</w:t>
      </w:r>
    </w:p>
    <w:p w14:paraId="79B70512" w14:textId="77777777" w:rsidR="008D4DE0" w:rsidRPr="00FC1466" w:rsidRDefault="005E211D" w:rsidP="00FC1466">
      <w:pPr>
        <w:pStyle w:val="NormalWeb"/>
        <w:ind w:left="567"/>
        <w:jc w:val="both"/>
        <w:rPr>
          <w:sz w:val="22"/>
          <w:szCs w:val="22"/>
        </w:rPr>
      </w:pPr>
      <w:r w:rsidRPr="00FC1466">
        <w:rPr>
          <w:sz w:val="22"/>
          <w:szCs w:val="22"/>
        </w:rPr>
        <w:t xml:space="preserve">However, in practice, this assumption is frequently violated when working with natural products and plant-derived phytochemicals. Accumulating experimental evidence indicates that many phytochemicals do not exist as isolated monomeric species in solution; instead, they form pre-assembled supramolecular aggregates through cooperative non-covalent interactions. These aggregates have been detected using techniques such as dynamic light scattering, NMR diffusion spectroscopy, and various spectroscopic methods. Their hydrodynamic diameters have been reported to range from several tens to several hundred nanometers even before any nanoparticle fabrication step. Such behavior has been particularly documented for polyphenols, alkaloids, saponins, and </w:t>
      </w:r>
      <w:r w:rsidRPr="00FC1466">
        <w:rPr>
          <w:sz w:val="22"/>
          <w:szCs w:val="22"/>
        </w:rPr>
        <w:lastRenderedPageBreak/>
        <w:t xml:space="preserve">steroidal glycoalkaloids in aqueous or hydroalcoholic solvent systems commonly employed in nanoparticle preparation </w:t>
      </w:r>
      <w:r w:rsidR="00AB488F" w:rsidRPr="00FC1466">
        <w:rPr>
          <w:sz w:val="22"/>
          <w:szCs w:val="22"/>
          <w:lang w:val="tr-TR"/>
        </w:rPr>
        <w:t>(Hou et al., 2022; Oliver et al., 2016)</w:t>
      </w:r>
      <w:r w:rsidRPr="00FC1466">
        <w:rPr>
          <w:sz w:val="22"/>
          <w:szCs w:val="22"/>
        </w:rPr>
        <w:t>.</w:t>
      </w:r>
    </w:p>
    <w:p w14:paraId="7D4A7D12" w14:textId="77777777" w:rsidR="008D4DE0" w:rsidRPr="00FC1466" w:rsidRDefault="005E211D" w:rsidP="00FC1466">
      <w:pPr>
        <w:pStyle w:val="NormalWeb"/>
        <w:ind w:left="567"/>
        <w:jc w:val="both"/>
        <w:rPr>
          <w:sz w:val="22"/>
          <w:szCs w:val="22"/>
        </w:rPr>
      </w:pPr>
      <w:r w:rsidRPr="00FC1466">
        <w:rPr>
          <w:sz w:val="22"/>
          <w:szCs w:val="22"/>
        </w:rPr>
        <w:t xml:space="preserve">In light of these findings, nanoparticle formation from phytochemicals should be reconceptualized not as a bottom-up assembly from individual molecules, but rather as a reorganization of pre-existing molecular clusters. These clusters may function as nucleation templates, heterogeneous nuclei, or structural scaffolds during nanoparticle formation, thereby transferring their size, density, and internal organization to the final nanocarrier system. This perspective highlights a critical but often overlooked dimension captured by the concept of </w:t>
      </w:r>
      <w:r w:rsidRPr="00FC1466">
        <w:rPr>
          <w:rStyle w:val="Strong"/>
          <w:b w:val="0"/>
          <w:bCs w:val="0"/>
          <w:sz w:val="22"/>
          <w:szCs w:val="22"/>
        </w:rPr>
        <w:t>Pre-Nanoparticle Molecular Organization</w:t>
      </w:r>
      <w:r w:rsidRPr="00FC1466">
        <w:rPr>
          <w:rStyle w:val="Strong"/>
          <w:sz w:val="22"/>
          <w:szCs w:val="22"/>
        </w:rPr>
        <w:t xml:space="preserve"> </w:t>
      </w:r>
      <w:r w:rsidRPr="00FC1466">
        <w:rPr>
          <w:rStyle w:val="Strong"/>
          <w:b w:val="0"/>
          <w:bCs w:val="0"/>
          <w:sz w:val="22"/>
          <w:szCs w:val="22"/>
        </w:rPr>
        <w:t>(PNMO)</w:t>
      </w:r>
      <w:r w:rsidRPr="00FC1466">
        <w:rPr>
          <w:sz w:val="22"/>
          <w:szCs w:val="22"/>
        </w:rPr>
        <w:t>,</w:t>
      </w:r>
      <w:r w:rsidRPr="00FC1466">
        <w:rPr>
          <w:b/>
          <w:bCs/>
          <w:sz w:val="22"/>
          <w:szCs w:val="22"/>
        </w:rPr>
        <w:t xml:space="preserve"> </w:t>
      </w:r>
      <w:r w:rsidRPr="00FC1466">
        <w:rPr>
          <w:sz w:val="22"/>
          <w:szCs w:val="22"/>
        </w:rPr>
        <w:t>wherein the physicochemical properties of the resulting nanoparticles depend not only on production parameters but also on the molecular state of the system prior to formulation</w:t>
      </w:r>
      <w:r w:rsidR="00DA0EE0" w:rsidRPr="00FC1466">
        <w:rPr>
          <w:sz w:val="22"/>
          <w:szCs w:val="22"/>
          <w:lang w:val="tr-TR"/>
        </w:rPr>
        <w:t xml:space="preserve"> (Table 2)</w:t>
      </w:r>
      <w:r w:rsidRPr="00FC1466">
        <w:rPr>
          <w:sz w:val="22"/>
          <w:szCs w:val="22"/>
        </w:rPr>
        <w:t xml:space="preserve"> </w:t>
      </w:r>
      <w:r w:rsidR="004723F4" w:rsidRPr="00FC1466">
        <w:rPr>
          <w:sz w:val="22"/>
          <w:szCs w:val="22"/>
          <w:lang w:val="tr-TR"/>
        </w:rPr>
        <w:t>(Zeng, 2023)</w:t>
      </w:r>
      <w:r w:rsidRPr="00FC1466">
        <w:rPr>
          <w:sz w:val="22"/>
          <w:szCs w:val="22"/>
        </w:rPr>
        <w:t>.</w:t>
      </w:r>
    </w:p>
    <w:p w14:paraId="2DAD0D5B" w14:textId="77777777" w:rsidR="00DA0EE0" w:rsidRPr="00FC1466" w:rsidRDefault="00DA0EE0" w:rsidP="00FC1466">
      <w:pPr>
        <w:pStyle w:val="NormalWeb"/>
        <w:ind w:left="567"/>
        <w:jc w:val="both"/>
        <w:rPr>
          <w:sz w:val="22"/>
          <w:szCs w:val="22"/>
        </w:rPr>
      </w:pPr>
      <w:r w:rsidRPr="00FC1466">
        <w:rPr>
          <w:rStyle w:val="y2iqfc"/>
          <w:b/>
          <w:bCs/>
          <w:color w:val="1F1F1F"/>
          <w:sz w:val="22"/>
          <w:szCs w:val="22"/>
          <w:lang w:val="en"/>
        </w:rPr>
        <w:t>Table 2.</w:t>
      </w:r>
      <w:r w:rsidRPr="00FC1466">
        <w:rPr>
          <w:rStyle w:val="y2iqfc"/>
          <w:color w:val="1F1F1F"/>
          <w:sz w:val="22"/>
          <w:szCs w:val="22"/>
          <w:lang w:val="en"/>
        </w:rPr>
        <w:t xml:space="preserve"> </w:t>
      </w:r>
      <w:r w:rsidRPr="00FC1466">
        <w:rPr>
          <w:sz w:val="22"/>
          <w:szCs w:val="22"/>
        </w:rPr>
        <w:t xml:space="preserve">Comparison </w:t>
      </w:r>
      <w:r w:rsidR="008D4DE0" w:rsidRPr="00FC1466">
        <w:rPr>
          <w:sz w:val="22"/>
          <w:szCs w:val="22"/>
          <w:lang w:val="tr-TR"/>
        </w:rPr>
        <w:t>of</w:t>
      </w:r>
      <w:r w:rsidRPr="00FC1466">
        <w:rPr>
          <w:sz w:val="22"/>
          <w:szCs w:val="22"/>
        </w:rPr>
        <w:t xml:space="preserve"> Classical Nanoparticle Formation Assumptions and the PNMO Model</w:t>
      </w:r>
    </w:p>
    <w:tbl>
      <w:tblPr>
        <w:tblStyle w:val="TableGrid"/>
        <w:tblW w:w="0" w:type="auto"/>
        <w:tblInd w:w="562" w:type="dxa"/>
        <w:tblLook w:val="04A0" w:firstRow="1" w:lastRow="0" w:firstColumn="1" w:lastColumn="0" w:noHBand="0" w:noVBand="1"/>
      </w:tblPr>
      <w:tblGrid>
        <w:gridCol w:w="1728"/>
        <w:gridCol w:w="2227"/>
        <w:gridCol w:w="2930"/>
        <w:gridCol w:w="1903"/>
      </w:tblGrid>
      <w:tr w:rsidR="00DA0EE0" w:rsidRPr="00FC1466" w14:paraId="1A10D53D" w14:textId="77777777" w:rsidTr="00BE4972">
        <w:tc>
          <w:tcPr>
            <w:tcW w:w="1728" w:type="dxa"/>
          </w:tcPr>
          <w:p w14:paraId="62E63299" w14:textId="77777777" w:rsidR="00DA0EE0" w:rsidRPr="00FC1466" w:rsidRDefault="00DA0EE0" w:rsidP="00725EEC">
            <w:pPr>
              <w:pStyle w:val="HTMLPreformatted"/>
              <w:tabs>
                <w:tab w:val="clear" w:pos="916"/>
                <w:tab w:val="clear" w:pos="1832"/>
                <w:tab w:val="clear" w:pos="3664"/>
                <w:tab w:val="clear" w:pos="4580"/>
                <w:tab w:val="clear" w:pos="5496"/>
                <w:tab w:val="clear" w:pos="6412"/>
                <w:tab w:val="clear" w:pos="7328"/>
                <w:tab w:val="clear" w:pos="8244"/>
                <w:tab w:val="left" w:pos="1541"/>
              </w:tabs>
              <w:ind w:left="31"/>
              <w:jc w:val="both"/>
              <w:rPr>
                <w:rFonts w:ascii="Times New Roman" w:hAnsi="Times New Roman" w:cs="Times New Roman"/>
                <w:b/>
                <w:bCs/>
                <w:color w:val="1F1F1F"/>
                <w:sz w:val="22"/>
                <w:szCs w:val="22"/>
                <w:lang w:val="tr-TR"/>
              </w:rPr>
            </w:pPr>
            <w:r w:rsidRPr="00FC1466">
              <w:rPr>
                <w:rFonts w:ascii="Times New Roman" w:hAnsi="Times New Roman" w:cs="Times New Roman"/>
                <w:b/>
                <w:bCs/>
                <w:color w:val="1F1F1F"/>
                <w:sz w:val="22"/>
                <w:szCs w:val="22"/>
                <w:lang w:val="tr-TR"/>
              </w:rPr>
              <w:t>Aspect</w:t>
            </w:r>
          </w:p>
        </w:tc>
        <w:tc>
          <w:tcPr>
            <w:tcW w:w="2227" w:type="dxa"/>
          </w:tcPr>
          <w:p w14:paraId="34300FEB" w14:textId="77777777" w:rsidR="00DA0EE0" w:rsidRPr="00FC1466" w:rsidRDefault="00DA0EE0" w:rsidP="00725EEC">
            <w:pPr>
              <w:pStyle w:val="HTMLPreformatted"/>
              <w:tabs>
                <w:tab w:val="clear" w:pos="916"/>
                <w:tab w:val="clear" w:pos="1832"/>
                <w:tab w:val="clear" w:pos="3664"/>
                <w:tab w:val="clear" w:pos="4580"/>
                <w:tab w:val="clear" w:pos="5496"/>
                <w:tab w:val="clear" w:pos="6412"/>
                <w:tab w:val="clear" w:pos="7328"/>
                <w:tab w:val="clear" w:pos="8244"/>
                <w:tab w:val="left" w:pos="1541"/>
              </w:tabs>
              <w:ind w:left="31"/>
              <w:jc w:val="both"/>
              <w:rPr>
                <w:rFonts w:ascii="Times New Roman" w:hAnsi="Times New Roman" w:cs="Times New Roman"/>
                <w:b/>
                <w:bCs/>
                <w:color w:val="1F1F1F"/>
                <w:sz w:val="22"/>
                <w:szCs w:val="22"/>
                <w:lang w:val="tr-TR"/>
              </w:rPr>
            </w:pPr>
            <w:r w:rsidRPr="00FC1466">
              <w:rPr>
                <w:rFonts w:ascii="Times New Roman" w:hAnsi="Times New Roman" w:cs="Times New Roman"/>
                <w:b/>
                <w:bCs/>
                <w:color w:val="1F1F1F"/>
                <w:sz w:val="22"/>
                <w:szCs w:val="22"/>
                <w:lang w:val="tr-TR"/>
              </w:rPr>
              <w:t>Classical Model</w:t>
            </w:r>
          </w:p>
        </w:tc>
        <w:tc>
          <w:tcPr>
            <w:tcW w:w="2930" w:type="dxa"/>
          </w:tcPr>
          <w:p w14:paraId="32DF7946" w14:textId="77777777" w:rsidR="00DA0EE0" w:rsidRPr="00FC1466" w:rsidRDefault="00DA0EE0" w:rsidP="00725EEC">
            <w:pPr>
              <w:pStyle w:val="HTMLPreformatted"/>
              <w:tabs>
                <w:tab w:val="clear" w:pos="916"/>
                <w:tab w:val="clear" w:pos="1832"/>
                <w:tab w:val="clear" w:pos="3664"/>
                <w:tab w:val="clear" w:pos="4580"/>
                <w:tab w:val="clear" w:pos="5496"/>
                <w:tab w:val="clear" w:pos="6412"/>
                <w:tab w:val="clear" w:pos="7328"/>
                <w:tab w:val="clear" w:pos="8244"/>
                <w:tab w:val="left" w:pos="1541"/>
              </w:tabs>
              <w:ind w:left="31"/>
              <w:jc w:val="both"/>
              <w:rPr>
                <w:rFonts w:ascii="Times New Roman" w:hAnsi="Times New Roman" w:cs="Times New Roman"/>
                <w:b/>
                <w:bCs/>
                <w:color w:val="1F1F1F"/>
                <w:sz w:val="22"/>
                <w:szCs w:val="22"/>
                <w:lang w:val="tr-TR"/>
              </w:rPr>
            </w:pPr>
            <w:r w:rsidRPr="00FC1466">
              <w:rPr>
                <w:rFonts w:ascii="Times New Roman" w:hAnsi="Times New Roman" w:cs="Times New Roman"/>
                <w:b/>
                <w:bCs/>
                <w:color w:val="1F1F1F"/>
                <w:sz w:val="22"/>
                <w:szCs w:val="22"/>
                <w:lang w:val="tr-TR"/>
              </w:rPr>
              <w:t>PNMO-Based Model</w:t>
            </w:r>
          </w:p>
        </w:tc>
        <w:tc>
          <w:tcPr>
            <w:tcW w:w="1903" w:type="dxa"/>
          </w:tcPr>
          <w:p w14:paraId="423C302C" w14:textId="77777777" w:rsidR="00DA0EE0" w:rsidRPr="00FC1466" w:rsidRDefault="00DA0EE0" w:rsidP="00725EEC">
            <w:pPr>
              <w:pStyle w:val="HTMLPreformatted"/>
              <w:tabs>
                <w:tab w:val="clear" w:pos="916"/>
              </w:tabs>
              <w:jc w:val="both"/>
              <w:rPr>
                <w:rFonts w:ascii="Times New Roman" w:hAnsi="Times New Roman" w:cs="Times New Roman"/>
                <w:b/>
                <w:bCs/>
                <w:color w:val="1F1F1F"/>
                <w:sz w:val="22"/>
                <w:szCs w:val="22"/>
                <w:lang w:val="tr-TR"/>
              </w:rPr>
            </w:pPr>
            <w:r w:rsidRPr="00FC1466">
              <w:rPr>
                <w:rFonts w:ascii="Times New Roman" w:hAnsi="Times New Roman" w:cs="Times New Roman"/>
                <w:b/>
                <w:bCs/>
                <w:color w:val="1F1F1F"/>
                <w:sz w:val="22"/>
                <w:szCs w:val="22"/>
                <w:lang w:val="tr-TR"/>
              </w:rPr>
              <w:t>References</w:t>
            </w:r>
          </w:p>
        </w:tc>
      </w:tr>
      <w:tr w:rsidR="00DA0EE0" w:rsidRPr="00FC1466" w14:paraId="72221C86" w14:textId="77777777" w:rsidTr="00BE4972">
        <w:tc>
          <w:tcPr>
            <w:tcW w:w="1728" w:type="dxa"/>
            <w:vAlign w:val="center"/>
          </w:tcPr>
          <w:p w14:paraId="12D1430E" w14:textId="77777777" w:rsidR="00DA0EE0" w:rsidRPr="00FC1466" w:rsidRDefault="00DA0EE0" w:rsidP="00725EEC">
            <w:pPr>
              <w:tabs>
                <w:tab w:val="left" w:pos="1541"/>
              </w:tabs>
              <w:ind w:left="31"/>
              <w:jc w:val="both"/>
              <w:rPr>
                <w:sz w:val="22"/>
                <w:szCs w:val="22"/>
              </w:rPr>
            </w:pPr>
            <w:r w:rsidRPr="00FC1466">
              <w:rPr>
                <w:sz w:val="22"/>
                <w:szCs w:val="22"/>
              </w:rPr>
              <w:t>Starting material</w:t>
            </w:r>
          </w:p>
        </w:tc>
        <w:tc>
          <w:tcPr>
            <w:tcW w:w="2227" w:type="dxa"/>
            <w:vAlign w:val="center"/>
          </w:tcPr>
          <w:p w14:paraId="010624EA" w14:textId="77777777" w:rsidR="00DA0EE0" w:rsidRPr="00FC1466" w:rsidRDefault="00DA0EE0" w:rsidP="00725EEC">
            <w:pPr>
              <w:tabs>
                <w:tab w:val="left" w:pos="1541"/>
              </w:tabs>
              <w:ind w:left="31"/>
              <w:jc w:val="both"/>
              <w:rPr>
                <w:sz w:val="22"/>
                <w:szCs w:val="22"/>
              </w:rPr>
            </w:pPr>
            <w:r w:rsidRPr="00FC1466">
              <w:rPr>
                <w:sz w:val="22"/>
                <w:szCs w:val="22"/>
              </w:rPr>
              <w:t>Individual, molecularly dispersed molecules</w:t>
            </w:r>
          </w:p>
        </w:tc>
        <w:tc>
          <w:tcPr>
            <w:tcW w:w="2930" w:type="dxa"/>
            <w:vAlign w:val="center"/>
          </w:tcPr>
          <w:p w14:paraId="63C2DAA8" w14:textId="77777777" w:rsidR="00DA0EE0" w:rsidRPr="00FC1466" w:rsidRDefault="00DA0EE0" w:rsidP="00725EEC">
            <w:pPr>
              <w:tabs>
                <w:tab w:val="left" w:pos="1541"/>
              </w:tabs>
              <w:ind w:left="31"/>
              <w:jc w:val="both"/>
              <w:rPr>
                <w:sz w:val="22"/>
                <w:szCs w:val="22"/>
              </w:rPr>
            </w:pPr>
            <w:r w:rsidRPr="00FC1466">
              <w:rPr>
                <w:sz w:val="22"/>
                <w:szCs w:val="22"/>
              </w:rPr>
              <w:t>Pre-existing supramolecular clusters</w:t>
            </w:r>
          </w:p>
        </w:tc>
        <w:tc>
          <w:tcPr>
            <w:tcW w:w="1903" w:type="dxa"/>
            <w:vAlign w:val="center"/>
          </w:tcPr>
          <w:p w14:paraId="454B3AF8" w14:textId="77777777" w:rsidR="00DA0EE0" w:rsidRPr="00FC1466" w:rsidRDefault="004723F4" w:rsidP="00725EEC">
            <w:pPr>
              <w:jc w:val="both"/>
              <w:rPr>
                <w:sz w:val="22"/>
                <w:szCs w:val="22"/>
              </w:rPr>
            </w:pPr>
            <w:r w:rsidRPr="00FC1466">
              <w:rPr>
                <w:sz w:val="22"/>
                <w:szCs w:val="22"/>
                <w:lang w:val="tr-TR"/>
              </w:rPr>
              <w:t>(Hou et al., 2022; Mora-Huertas et al, 2010)</w:t>
            </w:r>
          </w:p>
        </w:tc>
      </w:tr>
      <w:tr w:rsidR="00DA0EE0" w:rsidRPr="00FC1466" w14:paraId="10376771" w14:textId="77777777" w:rsidTr="00BE4972">
        <w:tc>
          <w:tcPr>
            <w:tcW w:w="1728" w:type="dxa"/>
            <w:vAlign w:val="center"/>
          </w:tcPr>
          <w:p w14:paraId="21AD381E" w14:textId="77777777" w:rsidR="00DA0EE0" w:rsidRPr="00FC1466" w:rsidRDefault="00DA0EE0" w:rsidP="00725EEC">
            <w:pPr>
              <w:tabs>
                <w:tab w:val="left" w:pos="1541"/>
              </w:tabs>
              <w:ind w:left="31"/>
              <w:jc w:val="both"/>
              <w:rPr>
                <w:sz w:val="22"/>
                <w:szCs w:val="22"/>
              </w:rPr>
            </w:pPr>
            <w:r w:rsidRPr="00FC1466">
              <w:rPr>
                <w:sz w:val="22"/>
                <w:szCs w:val="22"/>
              </w:rPr>
              <w:t>Size control</w:t>
            </w:r>
          </w:p>
        </w:tc>
        <w:tc>
          <w:tcPr>
            <w:tcW w:w="2227" w:type="dxa"/>
            <w:vAlign w:val="center"/>
          </w:tcPr>
          <w:p w14:paraId="0D4E9F0F" w14:textId="77777777" w:rsidR="00DA0EE0" w:rsidRPr="00FC1466" w:rsidRDefault="00DA0EE0" w:rsidP="00725EEC">
            <w:pPr>
              <w:tabs>
                <w:tab w:val="left" w:pos="1541"/>
              </w:tabs>
              <w:ind w:left="31"/>
              <w:jc w:val="both"/>
              <w:rPr>
                <w:sz w:val="22"/>
                <w:szCs w:val="22"/>
              </w:rPr>
            </w:pPr>
            <w:r w:rsidRPr="00FC1466">
              <w:rPr>
                <w:sz w:val="22"/>
                <w:szCs w:val="22"/>
              </w:rPr>
              <w:t>Dominated by processing parameters</w:t>
            </w:r>
          </w:p>
        </w:tc>
        <w:tc>
          <w:tcPr>
            <w:tcW w:w="2930" w:type="dxa"/>
            <w:vAlign w:val="center"/>
          </w:tcPr>
          <w:p w14:paraId="1C38B2DB" w14:textId="77777777" w:rsidR="00DA0EE0" w:rsidRPr="00FC1466" w:rsidRDefault="00DA0EE0" w:rsidP="00725EEC">
            <w:pPr>
              <w:tabs>
                <w:tab w:val="left" w:pos="1541"/>
              </w:tabs>
              <w:ind w:left="31"/>
              <w:jc w:val="both"/>
              <w:rPr>
                <w:sz w:val="22"/>
                <w:szCs w:val="22"/>
              </w:rPr>
            </w:pPr>
            <w:r w:rsidRPr="00FC1466">
              <w:rPr>
                <w:sz w:val="22"/>
                <w:szCs w:val="22"/>
              </w:rPr>
              <w:t>Processing parameters + molecular history</w:t>
            </w:r>
          </w:p>
        </w:tc>
        <w:tc>
          <w:tcPr>
            <w:tcW w:w="1903" w:type="dxa"/>
            <w:vAlign w:val="center"/>
          </w:tcPr>
          <w:p w14:paraId="46323C12" w14:textId="77777777" w:rsidR="00DA0EE0" w:rsidRPr="00FC1466" w:rsidRDefault="0012149B" w:rsidP="00725EEC">
            <w:pPr>
              <w:jc w:val="both"/>
              <w:rPr>
                <w:sz w:val="22"/>
                <w:szCs w:val="22"/>
              </w:rPr>
            </w:pPr>
            <w:r w:rsidRPr="00FC1466">
              <w:rPr>
                <w:sz w:val="22"/>
                <w:szCs w:val="22"/>
                <w:lang w:val="tr-TR"/>
              </w:rPr>
              <w:t>(Beck-Broichsitter et al., 2012; Zeng, 2023)</w:t>
            </w:r>
          </w:p>
        </w:tc>
      </w:tr>
      <w:tr w:rsidR="00DA0EE0" w:rsidRPr="00FC1466" w14:paraId="10B88B01" w14:textId="77777777" w:rsidTr="00BE4972">
        <w:tc>
          <w:tcPr>
            <w:tcW w:w="1728" w:type="dxa"/>
            <w:vAlign w:val="center"/>
          </w:tcPr>
          <w:p w14:paraId="388818EB" w14:textId="77777777" w:rsidR="00DA0EE0" w:rsidRPr="00FC1466" w:rsidRDefault="00DA0EE0" w:rsidP="00725EEC">
            <w:pPr>
              <w:tabs>
                <w:tab w:val="left" w:pos="1541"/>
              </w:tabs>
              <w:ind w:left="31"/>
              <w:jc w:val="both"/>
              <w:rPr>
                <w:sz w:val="22"/>
                <w:szCs w:val="22"/>
              </w:rPr>
            </w:pPr>
            <w:r w:rsidRPr="00FC1466">
              <w:rPr>
                <w:sz w:val="22"/>
                <w:szCs w:val="22"/>
              </w:rPr>
              <w:t>Reproducibility</w:t>
            </w:r>
          </w:p>
        </w:tc>
        <w:tc>
          <w:tcPr>
            <w:tcW w:w="2227" w:type="dxa"/>
            <w:vAlign w:val="center"/>
          </w:tcPr>
          <w:p w14:paraId="5830B20E" w14:textId="77777777" w:rsidR="00DA0EE0" w:rsidRPr="00FC1466" w:rsidRDefault="00DA0EE0" w:rsidP="00725EEC">
            <w:pPr>
              <w:tabs>
                <w:tab w:val="left" w:pos="1541"/>
              </w:tabs>
              <w:ind w:left="31"/>
              <w:jc w:val="both"/>
              <w:rPr>
                <w:sz w:val="22"/>
                <w:szCs w:val="22"/>
              </w:rPr>
            </w:pPr>
            <w:r w:rsidRPr="00FC1466">
              <w:rPr>
                <w:sz w:val="22"/>
                <w:szCs w:val="22"/>
              </w:rPr>
              <w:t>High in theory under fixed conditions</w:t>
            </w:r>
          </w:p>
        </w:tc>
        <w:tc>
          <w:tcPr>
            <w:tcW w:w="2930" w:type="dxa"/>
            <w:vAlign w:val="center"/>
          </w:tcPr>
          <w:p w14:paraId="5F2BB640" w14:textId="77777777" w:rsidR="00DA0EE0" w:rsidRPr="00FC1466" w:rsidRDefault="00DA0EE0" w:rsidP="00725EEC">
            <w:pPr>
              <w:tabs>
                <w:tab w:val="left" w:pos="1541"/>
              </w:tabs>
              <w:ind w:left="31"/>
              <w:jc w:val="both"/>
              <w:rPr>
                <w:sz w:val="22"/>
                <w:szCs w:val="22"/>
              </w:rPr>
            </w:pPr>
            <w:r w:rsidRPr="00FC1466">
              <w:rPr>
                <w:sz w:val="22"/>
                <w:szCs w:val="22"/>
              </w:rPr>
              <w:t>Variable without PNMO characterization</w:t>
            </w:r>
          </w:p>
        </w:tc>
        <w:tc>
          <w:tcPr>
            <w:tcW w:w="1903" w:type="dxa"/>
            <w:vAlign w:val="center"/>
          </w:tcPr>
          <w:p w14:paraId="2AFB960F" w14:textId="77777777" w:rsidR="00DA0EE0" w:rsidRPr="00FC1466" w:rsidRDefault="004A1F71" w:rsidP="00725EEC">
            <w:pPr>
              <w:jc w:val="both"/>
              <w:rPr>
                <w:sz w:val="22"/>
                <w:szCs w:val="22"/>
              </w:rPr>
            </w:pPr>
            <w:r w:rsidRPr="00FC1466">
              <w:rPr>
                <w:sz w:val="22"/>
                <w:szCs w:val="22"/>
                <w:lang w:val="tr-TR"/>
              </w:rPr>
              <w:t>(Blanco et al., 2015; Desai et al., 2025)</w:t>
            </w:r>
          </w:p>
        </w:tc>
      </w:tr>
      <w:tr w:rsidR="00DA0EE0" w:rsidRPr="00FC1466" w14:paraId="24237FEF" w14:textId="77777777" w:rsidTr="00BE4972">
        <w:tc>
          <w:tcPr>
            <w:tcW w:w="1728" w:type="dxa"/>
            <w:vAlign w:val="center"/>
          </w:tcPr>
          <w:p w14:paraId="12B958C4" w14:textId="77777777" w:rsidR="00DA0EE0" w:rsidRPr="00FC1466" w:rsidRDefault="00DA0EE0" w:rsidP="00725EEC">
            <w:pPr>
              <w:tabs>
                <w:tab w:val="left" w:pos="1541"/>
              </w:tabs>
              <w:ind w:left="31"/>
              <w:jc w:val="both"/>
              <w:rPr>
                <w:sz w:val="22"/>
                <w:szCs w:val="22"/>
              </w:rPr>
            </w:pPr>
            <w:r w:rsidRPr="00FC1466">
              <w:rPr>
                <w:sz w:val="22"/>
                <w:szCs w:val="22"/>
              </w:rPr>
              <w:t>Biological predictability</w:t>
            </w:r>
          </w:p>
        </w:tc>
        <w:tc>
          <w:tcPr>
            <w:tcW w:w="2227" w:type="dxa"/>
            <w:vAlign w:val="center"/>
          </w:tcPr>
          <w:p w14:paraId="6B8F21E8" w14:textId="77777777" w:rsidR="00DA0EE0" w:rsidRPr="00FC1466" w:rsidRDefault="00DA0EE0" w:rsidP="00725EEC">
            <w:pPr>
              <w:tabs>
                <w:tab w:val="left" w:pos="1541"/>
              </w:tabs>
              <w:ind w:left="31"/>
              <w:jc w:val="both"/>
              <w:rPr>
                <w:sz w:val="22"/>
                <w:szCs w:val="22"/>
              </w:rPr>
            </w:pPr>
            <w:r w:rsidRPr="00FC1466">
              <w:rPr>
                <w:sz w:val="22"/>
                <w:szCs w:val="22"/>
              </w:rPr>
              <w:t>Largely linear correlations</w:t>
            </w:r>
          </w:p>
        </w:tc>
        <w:tc>
          <w:tcPr>
            <w:tcW w:w="2930" w:type="dxa"/>
            <w:vAlign w:val="center"/>
          </w:tcPr>
          <w:p w14:paraId="6D149ECA" w14:textId="77777777" w:rsidR="00DA0EE0" w:rsidRPr="00FC1466" w:rsidRDefault="00DA0EE0" w:rsidP="00725EEC">
            <w:pPr>
              <w:tabs>
                <w:tab w:val="left" w:pos="1541"/>
              </w:tabs>
              <w:ind w:left="31"/>
              <w:jc w:val="both"/>
              <w:rPr>
                <w:sz w:val="22"/>
                <w:szCs w:val="22"/>
              </w:rPr>
            </w:pPr>
            <w:r w:rsidRPr="00FC1466">
              <w:rPr>
                <w:sz w:val="22"/>
                <w:szCs w:val="22"/>
              </w:rPr>
              <w:t>Non-linear, history-dependent outcomes</w:t>
            </w:r>
          </w:p>
        </w:tc>
        <w:tc>
          <w:tcPr>
            <w:tcW w:w="1903" w:type="dxa"/>
            <w:vAlign w:val="center"/>
          </w:tcPr>
          <w:p w14:paraId="4B1C9F99" w14:textId="77777777" w:rsidR="00DA0EE0" w:rsidRPr="00FC1466" w:rsidRDefault="004A1F71" w:rsidP="00725EEC">
            <w:pPr>
              <w:jc w:val="both"/>
              <w:rPr>
                <w:sz w:val="22"/>
                <w:szCs w:val="22"/>
              </w:rPr>
            </w:pPr>
            <w:r w:rsidRPr="00FC1466">
              <w:rPr>
                <w:sz w:val="22"/>
                <w:szCs w:val="22"/>
                <w:lang w:val="tr-TR"/>
              </w:rPr>
              <w:t>(Peer et al., 2007; Oliver et al., 2016)</w:t>
            </w:r>
          </w:p>
        </w:tc>
      </w:tr>
    </w:tbl>
    <w:p w14:paraId="00EFB504" w14:textId="77777777" w:rsidR="006829E0" w:rsidRPr="00FC1466" w:rsidRDefault="006829E0" w:rsidP="00FC1466">
      <w:pPr>
        <w:pStyle w:val="NormalWeb"/>
        <w:ind w:left="567"/>
        <w:jc w:val="both"/>
        <w:rPr>
          <w:sz w:val="22"/>
          <w:szCs w:val="22"/>
        </w:rPr>
      </w:pPr>
    </w:p>
    <w:p w14:paraId="07000EFB" w14:textId="77777777" w:rsidR="00BE4972" w:rsidRPr="00FC1466" w:rsidRDefault="005E211D" w:rsidP="00FC1466">
      <w:pPr>
        <w:pStyle w:val="NormalWeb"/>
        <w:ind w:left="567"/>
        <w:jc w:val="both"/>
        <w:rPr>
          <w:sz w:val="22"/>
          <w:szCs w:val="22"/>
        </w:rPr>
      </w:pPr>
      <w:r w:rsidRPr="00FC1466">
        <w:rPr>
          <w:sz w:val="22"/>
          <w:szCs w:val="22"/>
        </w:rPr>
        <w:t xml:space="preserve">Failure to recognize and control PNMO introduces significant nonlinearity into the relationship between formulation parameters and performance. Subtle and often unmonitored variations in solvent composition, concentration, storage time, or temperature prior to nanoparticle production can induce substantial changes in aggregate structure. These variations may, in turn, lead to disproportionate effects on particle size distribution, polydispersity, encapsulation efficiency, and biological behavior. This framework provides a mechanistic explanation for the frequently reported inconsistencies in biological outcomes of natural product-based nanopharmaceuticals, even when standardized production protocols are employed </w:t>
      </w:r>
      <w:r w:rsidR="004A1F71" w:rsidRPr="00FC1466">
        <w:rPr>
          <w:sz w:val="22"/>
          <w:szCs w:val="22"/>
          <w:lang w:val="tr-TR"/>
        </w:rPr>
        <w:t>(Peer et al., 2007; Blanco et al., 2015; Desai et al., 2025)</w:t>
      </w:r>
      <w:r w:rsidRPr="00FC1466">
        <w:rPr>
          <w:sz w:val="22"/>
          <w:szCs w:val="22"/>
        </w:rPr>
        <w:t>.</w:t>
      </w:r>
    </w:p>
    <w:p w14:paraId="284B7353" w14:textId="77777777" w:rsidR="009F4B15" w:rsidRPr="00FC1466" w:rsidRDefault="009F4B15" w:rsidP="00FC1466">
      <w:pPr>
        <w:pStyle w:val="Heading3"/>
        <w:ind w:left="567"/>
        <w:jc w:val="both"/>
        <w:rPr>
          <w:sz w:val="22"/>
          <w:szCs w:val="22"/>
        </w:rPr>
      </w:pPr>
      <w:r w:rsidRPr="00FC1466">
        <w:rPr>
          <w:rStyle w:val="Strong"/>
          <w:b/>
          <w:bCs/>
          <w:sz w:val="22"/>
          <w:szCs w:val="22"/>
        </w:rPr>
        <w:t>5. Effect of PNMO on Nanoparticle Properties</w:t>
      </w:r>
    </w:p>
    <w:p w14:paraId="719408B6" w14:textId="77777777" w:rsidR="009F4B15" w:rsidRPr="00FC1466" w:rsidRDefault="009F4B15" w:rsidP="00FC1466">
      <w:pPr>
        <w:pStyle w:val="NormalWeb"/>
        <w:ind w:left="567"/>
        <w:jc w:val="both"/>
        <w:rPr>
          <w:sz w:val="22"/>
          <w:szCs w:val="22"/>
        </w:rPr>
      </w:pPr>
      <w:r w:rsidRPr="00FC1466">
        <w:rPr>
          <w:sz w:val="22"/>
          <w:szCs w:val="22"/>
        </w:rPr>
        <w:t>Spontaneously aggregated phytochemicals do not enter nanoparticle formulations as passive, molecularly dispersed species. Instead, they frequently exist as pre-formed supramolecular aggregates that act as heterogeneous nucleation centers during nanoparticle production. From a thermodynamic perspective, these aggregates reduce the energy barrier for nucleation while simultaneously imposing their intrinsic dimensions, shapes, and internal organization on the developing nanoparticles</w:t>
      </w:r>
      <w:r w:rsidR="00982480" w:rsidRPr="00FC1466">
        <w:rPr>
          <w:sz w:val="22"/>
          <w:szCs w:val="22"/>
          <w:lang w:val="tr-TR"/>
        </w:rPr>
        <w:t xml:space="preserve"> </w:t>
      </w:r>
      <w:r w:rsidR="00245082" w:rsidRPr="00FC1466">
        <w:rPr>
          <w:sz w:val="22"/>
          <w:szCs w:val="22"/>
          <w:lang w:val="tr-TR"/>
        </w:rPr>
        <w:t>(Yu et al., 2026)</w:t>
      </w:r>
      <w:r w:rsidRPr="00FC1466">
        <w:rPr>
          <w:sz w:val="22"/>
          <w:szCs w:val="22"/>
        </w:rPr>
        <w:t>. Consequently, nanoparticle growth is no longer governed solely by formulation parameters but is also strongly influenced by the size and stability of pre-existing phytochemical aggregates.</w:t>
      </w:r>
    </w:p>
    <w:p w14:paraId="571F103C" w14:textId="77777777" w:rsidR="009F4B15" w:rsidRPr="00FC1466" w:rsidRDefault="009F4B15" w:rsidP="00FC1466">
      <w:pPr>
        <w:pStyle w:val="NormalWeb"/>
        <w:ind w:left="567"/>
        <w:jc w:val="both"/>
        <w:rPr>
          <w:sz w:val="22"/>
          <w:szCs w:val="22"/>
        </w:rPr>
      </w:pPr>
      <w:r w:rsidRPr="00FC1466">
        <w:rPr>
          <w:sz w:val="22"/>
          <w:szCs w:val="22"/>
        </w:rPr>
        <w:lastRenderedPageBreak/>
        <w:t xml:space="preserve">When nanoparticles are prepared from crude plant extracts, chemical heterogeneity and the coexistence of multiple aggregation-prone compounds further intensify this phenomenon. Large supramolecular assemblies—typically in the 100–300 nm range—can act as oversized nucleation centers, within which polymers, lipids, or surfactants become concentrated. As a result, the resulting nanoparticles often exhibit increased average size, broad or multimodal size distributions, and elevated polydispersity indices. This behavior has been consistently observed for polyphenols, alkaloids, and steroidal glycoalkaloids, where crude extracts yield significantly larger and less homogeneous nanoparticles compared to purified compounds processed under identical conditions </w:t>
      </w:r>
      <w:r w:rsidR="00245082" w:rsidRPr="00FC1466">
        <w:rPr>
          <w:sz w:val="22"/>
          <w:szCs w:val="22"/>
          <w:lang w:val="tr-TR"/>
        </w:rPr>
        <w:t>(Hou et al., 2022; Zhu et al., 2022)</w:t>
      </w:r>
      <w:r w:rsidRPr="00FC1466">
        <w:rPr>
          <w:sz w:val="22"/>
          <w:szCs w:val="22"/>
        </w:rPr>
        <w:t>.</w:t>
      </w:r>
    </w:p>
    <w:p w14:paraId="5DBEB56C" w14:textId="77777777" w:rsidR="009F4B15" w:rsidRPr="00FC1466" w:rsidRDefault="009F4B15" w:rsidP="00FC1466">
      <w:pPr>
        <w:pStyle w:val="NormalWeb"/>
        <w:ind w:left="567"/>
        <w:jc w:val="both"/>
        <w:rPr>
          <w:sz w:val="22"/>
          <w:szCs w:val="22"/>
        </w:rPr>
      </w:pPr>
      <w:r w:rsidRPr="00FC1466">
        <w:rPr>
          <w:sz w:val="22"/>
          <w:szCs w:val="22"/>
        </w:rPr>
        <w:t xml:space="preserve">In contrast, purified phytochemicals—particularly when pre-treated to disrupt supramolecular assemblies—exhibit lower levels of </w:t>
      </w:r>
      <w:r w:rsidRPr="00FC1466">
        <w:rPr>
          <w:rStyle w:val="Strong"/>
          <w:b w:val="0"/>
          <w:bCs w:val="0"/>
          <w:sz w:val="22"/>
          <w:szCs w:val="22"/>
        </w:rPr>
        <w:t>Pre-Nanoparticle Molecular Organization (PNMO)</w:t>
      </w:r>
      <w:r w:rsidRPr="00FC1466">
        <w:rPr>
          <w:b/>
          <w:bCs/>
          <w:sz w:val="22"/>
          <w:szCs w:val="22"/>
        </w:rPr>
        <w:t xml:space="preserve"> </w:t>
      </w:r>
      <w:r w:rsidRPr="00FC1466">
        <w:rPr>
          <w:sz w:val="22"/>
          <w:szCs w:val="22"/>
        </w:rPr>
        <w:t xml:space="preserve">and more closely align with the assumptions of classical nanoparticle formation theory. Under such conditions, nucleation proceeds more uniformly, resulting in nanoparticles within the optimal sub-200 nm size range, characterized by narrow size distributions and improved colloidal stability. This provides a mechanistic explanation for the frequently observed inferior performance of extract-based nanoparticles in terms of stability, reproducibility, and biopredictability </w:t>
      </w:r>
      <w:r w:rsidR="00471226" w:rsidRPr="00FC1466">
        <w:rPr>
          <w:sz w:val="22"/>
          <w:szCs w:val="22"/>
          <w:lang w:val="tr-TR"/>
        </w:rPr>
        <w:t>(Blanco et al., 2015; Mora-Huertas et al, 2010)</w:t>
      </w:r>
      <w:r w:rsidRPr="00FC1466">
        <w:rPr>
          <w:sz w:val="22"/>
          <w:szCs w:val="22"/>
        </w:rPr>
        <w:t>.</w:t>
      </w:r>
    </w:p>
    <w:p w14:paraId="7842D216" w14:textId="77777777" w:rsidR="00BE4972" w:rsidRPr="00FC1466" w:rsidRDefault="009F4B15" w:rsidP="00FC1466">
      <w:pPr>
        <w:pStyle w:val="NormalWeb"/>
        <w:ind w:left="567"/>
        <w:jc w:val="both"/>
        <w:rPr>
          <w:sz w:val="22"/>
          <w:szCs w:val="22"/>
        </w:rPr>
      </w:pPr>
      <w:r w:rsidRPr="00FC1466">
        <w:rPr>
          <w:sz w:val="22"/>
          <w:szCs w:val="22"/>
        </w:rPr>
        <w:t xml:space="preserve">Drug loading behavior is particularly sensitive to PNMO. In systems with low PNMO, drug incorporation follows relatively predictable compartmentalization and encapsulation mechanisms. In contrast, in systems with high PNMO, a substantial fraction of the active compound may already be sequestered within densely packed supramolecular clusters. This results in irregular loading efficiencies, increased batch-to-batch variability, and nonlinear loading profiles. Such effects are increasingly recognized as significant contributors to the limited translational success of natural product-based nanomedicines (Table 3) </w:t>
      </w:r>
      <w:r w:rsidR="00E749BD" w:rsidRPr="00FC1466">
        <w:rPr>
          <w:sz w:val="22"/>
          <w:szCs w:val="22"/>
          <w:lang w:val="tr-TR"/>
        </w:rPr>
        <w:t>(Zhu et al., 2022; Elmowafy et al., 2023)</w:t>
      </w:r>
      <w:r w:rsidRPr="00FC1466">
        <w:rPr>
          <w:sz w:val="22"/>
          <w:szCs w:val="22"/>
        </w:rPr>
        <w:t>.</w:t>
      </w:r>
    </w:p>
    <w:p w14:paraId="36829EBD" w14:textId="77777777" w:rsidR="00A91743" w:rsidRPr="00FC1466" w:rsidRDefault="00A91743" w:rsidP="00FC1466">
      <w:pPr>
        <w:spacing w:before="100" w:beforeAutospacing="1" w:after="100" w:afterAutospacing="1"/>
        <w:ind w:left="567"/>
        <w:jc w:val="both"/>
        <w:outlineLvl w:val="2"/>
        <w:rPr>
          <w:b/>
          <w:bCs/>
          <w:sz w:val="22"/>
          <w:szCs w:val="22"/>
        </w:rPr>
      </w:pPr>
      <w:r w:rsidRPr="00FC1466">
        <w:rPr>
          <w:b/>
          <w:bCs/>
          <w:sz w:val="22"/>
          <w:szCs w:val="22"/>
        </w:rPr>
        <w:t>6. Biological Outcomes in Cancer Treatment</w:t>
      </w:r>
    </w:p>
    <w:p w14:paraId="4C107F2B" w14:textId="77777777" w:rsidR="00A91743" w:rsidRPr="00FC1466" w:rsidRDefault="00A91743" w:rsidP="00FC1466">
      <w:pPr>
        <w:spacing w:before="100" w:beforeAutospacing="1" w:after="100" w:afterAutospacing="1"/>
        <w:ind w:left="567"/>
        <w:jc w:val="both"/>
        <w:rPr>
          <w:sz w:val="22"/>
          <w:szCs w:val="22"/>
        </w:rPr>
      </w:pPr>
      <w:r w:rsidRPr="00FC1466">
        <w:rPr>
          <w:sz w:val="22"/>
          <w:szCs w:val="22"/>
        </w:rPr>
        <w:t>Nanoparticle size, internal architecture, and surface heterogeneity are critical determinants of in vivo biodistribution, tumor penetration, and cellular uptake. Nanoparticles formed under controlled Pre-Nanoparticle Molecular Organization</w:t>
      </w:r>
      <w:r w:rsidRPr="00FC1466">
        <w:rPr>
          <w:b/>
          <w:bCs/>
          <w:sz w:val="22"/>
          <w:szCs w:val="22"/>
        </w:rPr>
        <w:t xml:space="preserve"> (PNMO)</w:t>
      </w:r>
      <w:r w:rsidRPr="00FC1466">
        <w:rPr>
          <w:sz w:val="22"/>
          <w:szCs w:val="22"/>
        </w:rPr>
        <w:t xml:space="preserve"> conditions typically fall within the optimal size range (≈50–200 nm), exhibit homogeneous internal drug distribution, and maintain stable surface properties, all of which support prolonged systemic circulation and effective tumor accumulation via the enhanced permeability and retention (EPR) effect </w:t>
      </w:r>
      <w:r w:rsidR="00E749BD" w:rsidRPr="00FC1466">
        <w:rPr>
          <w:sz w:val="22"/>
          <w:szCs w:val="22"/>
          <w:lang w:val="tr-TR"/>
        </w:rPr>
        <w:t>(Peer et al., 2007; Blanco et al., 2015)</w:t>
      </w:r>
      <w:r w:rsidRPr="00FC1466">
        <w:rPr>
          <w:sz w:val="22"/>
          <w:szCs w:val="22"/>
        </w:rPr>
        <w:t>.</w:t>
      </w:r>
    </w:p>
    <w:p w14:paraId="2FEB6B8A" w14:textId="77777777" w:rsidR="00725EEC" w:rsidRDefault="00725EEC" w:rsidP="00FC1466">
      <w:pPr>
        <w:pStyle w:val="HTMLPreformatted"/>
        <w:shd w:val="clear" w:color="auto" w:fill="F8F9FA"/>
        <w:ind w:left="567"/>
        <w:jc w:val="both"/>
        <w:rPr>
          <w:rStyle w:val="y2iqfc"/>
          <w:rFonts w:ascii="Times New Roman" w:hAnsi="Times New Roman" w:cs="Times New Roman"/>
          <w:b/>
          <w:bCs/>
          <w:color w:val="1F1F1F"/>
          <w:sz w:val="22"/>
          <w:szCs w:val="22"/>
          <w:lang w:val="en"/>
        </w:rPr>
      </w:pPr>
    </w:p>
    <w:p w14:paraId="75895B94" w14:textId="77777777" w:rsidR="00426A5D" w:rsidRPr="00FC1466" w:rsidRDefault="00426A5D" w:rsidP="00FC1466">
      <w:pPr>
        <w:pStyle w:val="HTMLPreformatted"/>
        <w:shd w:val="clear" w:color="auto" w:fill="F8F9FA"/>
        <w:ind w:left="567"/>
        <w:jc w:val="both"/>
        <w:rPr>
          <w:rStyle w:val="Strong"/>
          <w:rFonts w:ascii="Times New Roman" w:hAnsi="Times New Roman" w:cs="Times New Roman"/>
          <w:sz w:val="22"/>
          <w:szCs w:val="22"/>
          <w:lang w:val="tr-TR"/>
        </w:rPr>
      </w:pPr>
      <w:r w:rsidRPr="00FC1466">
        <w:rPr>
          <w:rStyle w:val="y2iqfc"/>
          <w:rFonts w:ascii="Times New Roman" w:hAnsi="Times New Roman" w:cs="Times New Roman"/>
          <w:b/>
          <w:bCs/>
          <w:color w:val="1F1F1F"/>
          <w:sz w:val="22"/>
          <w:szCs w:val="22"/>
          <w:lang w:val="en"/>
        </w:rPr>
        <w:t xml:space="preserve">Table 3. </w:t>
      </w:r>
      <w:r w:rsidRPr="00FC1466">
        <w:rPr>
          <w:rStyle w:val="Strong"/>
          <w:rFonts w:ascii="Times New Roman" w:hAnsi="Times New Roman" w:cs="Times New Roman"/>
          <w:sz w:val="22"/>
          <w:szCs w:val="22"/>
        </w:rPr>
        <w:t>Influence of PNMO on Key Nanoparticle Properties</w:t>
      </w:r>
      <w:r w:rsidRPr="00FC1466">
        <w:rPr>
          <w:rStyle w:val="Strong"/>
          <w:rFonts w:ascii="Times New Roman" w:hAnsi="Times New Roman" w:cs="Times New Roman"/>
          <w:sz w:val="22"/>
          <w:szCs w:val="22"/>
          <w:lang w:val="tr-TR"/>
        </w:rPr>
        <w:t>.</w:t>
      </w:r>
    </w:p>
    <w:p w14:paraId="318B43CA" w14:textId="77777777" w:rsidR="00B26A34" w:rsidRPr="00FC1466" w:rsidRDefault="00B26A34" w:rsidP="00FC1466">
      <w:pPr>
        <w:pStyle w:val="HTMLPreformatted"/>
        <w:shd w:val="clear" w:color="auto" w:fill="F8F9FA"/>
        <w:ind w:left="567"/>
        <w:jc w:val="both"/>
        <w:rPr>
          <w:rFonts w:ascii="Times New Roman" w:hAnsi="Times New Roman" w:cs="Times New Roman"/>
          <w:b/>
          <w:bCs/>
          <w:color w:val="1F1F1F"/>
          <w:sz w:val="22"/>
          <w:szCs w:val="22"/>
          <w:lang w:val="tr-TR"/>
        </w:rPr>
      </w:pPr>
    </w:p>
    <w:tbl>
      <w:tblPr>
        <w:tblStyle w:val="TableGrid"/>
        <w:tblW w:w="0" w:type="auto"/>
        <w:tblInd w:w="562" w:type="dxa"/>
        <w:tblLook w:val="04A0" w:firstRow="1" w:lastRow="0" w:firstColumn="1" w:lastColumn="0" w:noHBand="0" w:noVBand="1"/>
      </w:tblPr>
      <w:tblGrid>
        <w:gridCol w:w="1648"/>
        <w:gridCol w:w="1896"/>
        <w:gridCol w:w="2552"/>
        <w:gridCol w:w="2692"/>
      </w:tblGrid>
      <w:tr w:rsidR="00426A5D" w:rsidRPr="00FC1466" w14:paraId="2E34FDD3" w14:textId="77777777" w:rsidTr="00E749BD">
        <w:tc>
          <w:tcPr>
            <w:tcW w:w="1648" w:type="dxa"/>
            <w:vAlign w:val="center"/>
          </w:tcPr>
          <w:p w14:paraId="46B45C26" w14:textId="77777777" w:rsidR="00426A5D" w:rsidRPr="00FC1466" w:rsidRDefault="00426A5D" w:rsidP="00725EEC">
            <w:pPr>
              <w:jc w:val="both"/>
              <w:rPr>
                <w:b/>
                <w:bCs/>
                <w:sz w:val="22"/>
                <w:szCs w:val="22"/>
              </w:rPr>
            </w:pPr>
            <w:r w:rsidRPr="00FC1466">
              <w:rPr>
                <w:rStyle w:val="Strong"/>
                <w:sz w:val="22"/>
                <w:szCs w:val="22"/>
              </w:rPr>
              <w:t>Property</w:t>
            </w:r>
          </w:p>
        </w:tc>
        <w:tc>
          <w:tcPr>
            <w:tcW w:w="1896" w:type="dxa"/>
            <w:vAlign w:val="center"/>
          </w:tcPr>
          <w:p w14:paraId="103FE763" w14:textId="77777777" w:rsidR="00426A5D" w:rsidRPr="00FC1466" w:rsidRDefault="00426A5D" w:rsidP="00725EEC">
            <w:pPr>
              <w:jc w:val="both"/>
              <w:rPr>
                <w:b/>
                <w:bCs/>
                <w:sz w:val="22"/>
                <w:szCs w:val="22"/>
              </w:rPr>
            </w:pPr>
            <w:r w:rsidRPr="00FC1466">
              <w:rPr>
                <w:rStyle w:val="Strong"/>
                <w:sz w:val="22"/>
                <w:szCs w:val="22"/>
              </w:rPr>
              <w:t>Low PNMO</w:t>
            </w:r>
          </w:p>
        </w:tc>
        <w:tc>
          <w:tcPr>
            <w:tcW w:w="2552" w:type="dxa"/>
            <w:vAlign w:val="center"/>
          </w:tcPr>
          <w:p w14:paraId="7E9C82AC" w14:textId="77777777" w:rsidR="00426A5D" w:rsidRPr="00FC1466" w:rsidRDefault="00426A5D" w:rsidP="00725EEC">
            <w:pPr>
              <w:jc w:val="both"/>
              <w:rPr>
                <w:b/>
                <w:bCs/>
                <w:sz w:val="22"/>
                <w:szCs w:val="22"/>
              </w:rPr>
            </w:pPr>
            <w:r w:rsidRPr="00FC1466">
              <w:rPr>
                <w:rStyle w:val="Strong"/>
                <w:sz w:val="22"/>
                <w:szCs w:val="22"/>
              </w:rPr>
              <w:t>High PNMO</w:t>
            </w:r>
          </w:p>
        </w:tc>
        <w:tc>
          <w:tcPr>
            <w:tcW w:w="2692" w:type="dxa"/>
            <w:vAlign w:val="center"/>
          </w:tcPr>
          <w:p w14:paraId="554E0C26" w14:textId="77777777" w:rsidR="00426A5D" w:rsidRPr="00FC1466" w:rsidRDefault="00426A5D" w:rsidP="00725EEC">
            <w:pPr>
              <w:jc w:val="both"/>
              <w:rPr>
                <w:b/>
                <w:bCs/>
                <w:sz w:val="22"/>
                <w:szCs w:val="22"/>
              </w:rPr>
            </w:pPr>
            <w:r w:rsidRPr="00FC1466">
              <w:rPr>
                <w:rStyle w:val="Strong"/>
                <w:sz w:val="22"/>
                <w:szCs w:val="22"/>
              </w:rPr>
              <w:t>References</w:t>
            </w:r>
          </w:p>
        </w:tc>
      </w:tr>
      <w:tr w:rsidR="00426A5D" w:rsidRPr="00FC1466" w14:paraId="0BD6F112" w14:textId="77777777" w:rsidTr="00E749BD">
        <w:tc>
          <w:tcPr>
            <w:tcW w:w="1648" w:type="dxa"/>
            <w:vAlign w:val="center"/>
          </w:tcPr>
          <w:p w14:paraId="41FA5055" w14:textId="77777777" w:rsidR="00426A5D" w:rsidRPr="00FC1466" w:rsidRDefault="00426A5D" w:rsidP="00725EEC">
            <w:pPr>
              <w:jc w:val="both"/>
              <w:rPr>
                <w:sz w:val="22"/>
                <w:szCs w:val="22"/>
              </w:rPr>
            </w:pPr>
            <w:r w:rsidRPr="00FC1466">
              <w:rPr>
                <w:sz w:val="22"/>
                <w:szCs w:val="22"/>
              </w:rPr>
              <w:t>Particle size</w:t>
            </w:r>
          </w:p>
        </w:tc>
        <w:tc>
          <w:tcPr>
            <w:tcW w:w="1896" w:type="dxa"/>
            <w:vAlign w:val="center"/>
          </w:tcPr>
          <w:p w14:paraId="3AE8AE10" w14:textId="77777777" w:rsidR="00426A5D" w:rsidRPr="00FC1466" w:rsidRDefault="00426A5D" w:rsidP="00725EEC">
            <w:pPr>
              <w:jc w:val="both"/>
              <w:rPr>
                <w:sz w:val="22"/>
                <w:szCs w:val="22"/>
              </w:rPr>
            </w:pPr>
            <w:r w:rsidRPr="00FC1466">
              <w:rPr>
                <w:sz w:val="22"/>
                <w:szCs w:val="22"/>
              </w:rPr>
              <w:t>&lt;200 nm</w:t>
            </w:r>
          </w:p>
        </w:tc>
        <w:tc>
          <w:tcPr>
            <w:tcW w:w="2552" w:type="dxa"/>
            <w:vAlign w:val="center"/>
          </w:tcPr>
          <w:p w14:paraId="0B6A65D8" w14:textId="77777777" w:rsidR="00426A5D" w:rsidRPr="00FC1466" w:rsidRDefault="00426A5D" w:rsidP="00725EEC">
            <w:pPr>
              <w:jc w:val="both"/>
              <w:rPr>
                <w:sz w:val="22"/>
                <w:szCs w:val="22"/>
              </w:rPr>
            </w:pPr>
            <w:r w:rsidRPr="00FC1466">
              <w:rPr>
                <w:sz w:val="22"/>
                <w:szCs w:val="22"/>
              </w:rPr>
              <w:t>&gt;300 nm or multimodal</w:t>
            </w:r>
          </w:p>
        </w:tc>
        <w:tc>
          <w:tcPr>
            <w:tcW w:w="2692" w:type="dxa"/>
            <w:vAlign w:val="center"/>
          </w:tcPr>
          <w:p w14:paraId="0BD1D4A2" w14:textId="77777777" w:rsidR="00426A5D" w:rsidRPr="00FC1466" w:rsidRDefault="00E749BD" w:rsidP="00725EEC">
            <w:pPr>
              <w:jc w:val="both"/>
              <w:rPr>
                <w:sz w:val="22"/>
                <w:szCs w:val="22"/>
              </w:rPr>
            </w:pPr>
            <w:r w:rsidRPr="00FC1466">
              <w:rPr>
                <w:sz w:val="22"/>
                <w:szCs w:val="22"/>
                <w:lang w:val="tr-TR"/>
              </w:rPr>
              <w:t>(Hou et al., 2022;</w:t>
            </w:r>
            <w:r w:rsidR="0019330A" w:rsidRPr="00FC1466">
              <w:rPr>
                <w:sz w:val="22"/>
                <w:szCs w:val="22"/>
                <w:lang w:val="tr-TR"/>
              </w:rPr>
              <w:t xml:space="preserve"> Mora-Huertas et al, 2010)</w:t>
            </w:r>
          </w:p>
        </w:tc>
      </w:tr>
      <w:tr w:rsidR="00426A5D" w:rsidRPr="00FC1466" w14:paraId="588EE1CB" w14:textId="77777777" w:rsidTr="00E749BD">
        <w:tc>
          <w:tcPr>
            <w:tcW w:w="1648" w:type="dxa"/>
            <w:vAlign w:val="center"/>
          </w:tcPr>
          <w:p w14:paraId="4FEAE514" w14:textId="77777777" w:rsidR="00426A5D" w:rsidRPr="00FC1466" w:rsidRDefault="00426A5D" w:rsidP="00725EEC">
            <w:pPr>
              <w:jc w:val="both"/>
              <w:rPr>
                <w:sz w:val="22"/>
                <w:szCs w:val="22"/>
              </w:rPr>
            </w:pPr>
            <w:r w:rsidRPr="00FC1466">
              <w:rPr>
                <w:sz w:val="22"/>
                <w:szCs w:val="22"/>
              </w:rPr>
              <w:t>Polydispersity index</w:t>
            </w:r>
          </w:p>
        </w:tc>
        <w:tc>
          <w:tcPr>
            <w:tcW w:w="1896" w:type="dxa"/>
            <w:vAlign w:val="center"/>
          </w:tcPr>
          <w:p w14:paraId="01630A2F" w14:textId="77777777" w:rsidR="00426A5D" w:rsidRPr="00FC1466" w:rsidRDefault="00426A5D" w:rsidP="00725EEC">
            <w:pPr>
              <w:jc w:val="both"/>
              <w:rPr>
                <w:sz w:val="22"/>
                <w:szCs w:val="22"/>
              </w:rPr>
            </w:pPr>
            <w:r w:rsidRPr="00FC1466">
              <w:rPr>
                <w:sz w:val="22"/>
                <w:szCs w:val="22"/>
              </w:rPr>
              <w:t>Low (PDI &lt; 0.2)</w:t>
            </w:r>
          </w:p>
        </w:tc>
        <w:tc>
          <w:tcPr>
            <w:tcW w:w="2552" w:type="dxa"/>
            <w:vAlign w:val="center"/>
          </w:tcPr>
          <w:p w14:paraId="4F8A5F5A" w14:textId="77777777" w:rsidR="00426A5D" w:rsidRPr="00FC1466" w:rsidRDefault="00426A5D" w:rsidP="00725EEC">
            <w:pPr>
              <w:jc w:val="both"/>
              <w:rPr>
                <w:sz w:val="22"/>
                <w:szCs w:val="22"/>
              </w:rPr>
            </w:pPr>
            <w:r w:rsidRPr="00FC1466">
              <w:rPr>
                <w:sz w:val="22"/>
                <w:szCs w:val="22"/>
              </w:rPr>
              <w:t>High (PDI &gt; 0.3)</w:t>
            </w:r>
          </w:p>
        </w:tc>
        <w:tc>
          <w:tcPr>
            <w:tcW w:w="2692" w:type="dxa"/>
            <w:vAlign w:val="center"/>
          </w:tcPr>
          <w:p w14:paraId="0A78D4F8" w14:textId="77777777" w:rsidR="00426A5D" w:rsidRPr="00FC1466" w:rsidRDefault="0019330A" w:rsidP="00725EEC">
            <w:pPr>
              <w:jc w:val="both"/>
              <w:rPr>
                <w:sz w:val="22"/>
                <w:szCs w:val="22"/>
              </w:rPr>
            </w:pPr>
            <w:r w:rsidRPr="00FC1466">
              <w:rPr>
                <w:sz w:val="22"/>
                <w:szCs w:val="22"/>
                <w:lang w:val="tr-TR"/>
              </w:rPr>
              <w:t xml:space="preserve">(Beck-Broichsitter et al., 2010; Huang et al., 2022) </w:t>
            </w:r>
          </w:p>
        </w:tc>
      </w:tr>
      <w:tr w:rsidR="00426A5D" w:rsidRPr="00FC1466" w14:paraId="03B8CA0B" w14:textId="77777777" w:rsidTr="00E749BD">
        <w:tc>
          <w:tcPr>
            <w:tcW w:w="1648" w:type="dxa"/>
            <w:vAlign w:val="center"/>
          </w:tcPr>
          <w:p w14:paraId="7C790F52" w14:textId="77777777" w:rsidR="00426A5D" w:rsidRPr="00FC1466" w:rsidRDefault="00426A5D" w:rsidP="00725EEC">
            <w:pPr>
              <w:jc w:val="both"/>
              <w:rPr>
                <w:sz w:val="22"/>
                <w:szCs w:val="22"/>
              </w:rPr>
            </w:pPr>
            <w:r w:rsidRPr="00FC1466">
              <w:rPr>
                <w:sz w:val="22"/>
                <w:szCs w:val="22"/>
              </w:rPr>
              <w:t>Drug loading</w:t>
            </w:r>
          </w:p>
        </w:tc>
        <w:tc>
          <w:tcPr>
            <w:tcW w:w="1896" w:type="dxa"/>
            <w:vAlign w:val="center"/>
          </w:tcPr>
          <w:p w14:paraId="4B4DB02E" w14:textId="77777777" w:rsidR="00426A5D" w:rsidRPr="00FC1466" w:rsidRDefault="00426A5D" w:rsidP="00725EEC">
            <w:pPr>
              <w:jc w:val="both"/>
              <w:rPr>
                <w:sz w:val="22"/>
                <w:szCs w:val="22"/>
              </w:rPr>
            </w:pPr>
            <w:r w:rsidRPr="00FC1466">
              <w:rPr>
                <w:sz w:val="22"/>
                <w:szCs w:val="22"/>
              </w:rPr>
              <w:t>Predictable and scalable</w:t>
            </w:r>
          </w:p>
        </w:tc>
        <w:tc>
          <w:tcPr>
            <w:tcW w:w="2552" w:type="dxa"/>
            <w:vAlign w:val="center"/>
          </w:tcPr>
          <w:p w14:paraId="7E6CA40E" w14:textId="77777777" w:rsidR="00426A5D" w:rsidRPr="00FC1466" w:rsidRDefault="00426A5D" w:rsidP="00725EEC">
            <w:pPr>
              <w:jc w:val="both"/>
              <w:rPr>
                <w:sz w:val="22"/>
                <w:szCs w:val="22"/>
              </w:rPr>
            </w:pPr>
            <w:r w:rsidRPr="00FC1466">
              <w:rPr>
                <w:sz w:val="22"/>
                <w:szCs w:val="22"/>
              </w:rPr>
              <w:t>Erratic and history-dependent</w:t>
            </w:r>
          </w:p>
        </w:tc>
        <w:tc>
          <w:tcPr>
            <w:tcW w:w="2692" w:type="dxa"/>
            <w:vAlign w:val="center"/>
          </w:tcPr>
          <w:p w14:paraId="28DEBB00" w14:textId="77777777" w:rsidR="00426A5D" w:rsidRPr="00FC1466" w:rsidRDefault="0019330A" w:rsidP="00725EEC">
            <w:pPr>
              <w:jc w:val="both"/>
              <w:rPr>
                <w:sz w:val="22"/>
                <w:szCs w:val="22"/>
              </w:rPr>
            </w:pPr>
            <w:r w:rsidRPr="00FC1466">
              <w:rPr>
                <w:sz w:val="22"/>
                <w:szCs w:val="22"/>
                <w:lang w:val="tr-TR"/>
              </w:rPr>
              <w:t>(Hou et al., 2022; Elmowafi et al., 2023)</w:t>
            </w:r>
          </w:p>
        </w:tc>
      </w:tr>
      <w:tr w:rsidR="00426A5D" w:rsidRPr="00FC1466" w14:paraId="2271F68E" w14:textId="77777777" w:rsidTr="00E749BD">
        <w:tc>
          <w:tcPr>
            <w:tcW w:w="1648" w:type="dxa"/>
            <w:vAlign w:val="center"/>
          </w:tcPr>
          <w:p w14:paraId="632BAFB5" w14:textId="77777777" w:rsidR="00426A5D" w:rsidRPr="00FC1466" w:rsidRDefault="00426A5D" w:rsidP="00725EEC">
            <w:pPr>
              <w:jc w:val="both"/>
              <w:rPr>
                <w:sz w:val="22"/>
                <w:szCs w:val="22"/>
              </w:rPr>
            </w:pPr>
            <w:r w:rsidRPr="00FC1466">
              <w:rPr>
                <w:sz w:val="22"/>
                <w:szCs w:val="22"/>
              </w:rPr>
              <w:t>Colloidal stability</w:t>
            </w:r>
          </w:p>
        </w:tc>
        <w:tc>
          <w:tcPr>
            <w:tcW w:w="1896" w:type="dxa"/>
            <w:vAlign w:val="center"/>
          </w:tcPr>
          <w:p w14:paraId="1E0096EF" w14:textId="77777777" w:rsidR="00426A5D" w:rsidRPr="00FC1466" w:rsidRDefault="00426A5D" w:rsidP="00725EEC">
            <w:pPr>
              <w:jc w:val="both"/>
              <w:rPr>
                <w:sz w:val="22"/>
                <w:szCs w:val="22"/>
              </w:rPr>
            </w:pPr>
            <w:r w:rsidRPr="00FC1466">
              <w:rPr>
                <w:sz w:val="22"/>
                <w:szCs w:val="22"/>
              </w:rPr>
              <w:t>High</w:t>
            </w:r>
          </w:p>
        </w:tc>
        <w:tc>
          <w:tcPr>
            <w:tcW w:w="2552" w:type="dxa"/>
            <w:vAlign w:val="center"/>
          </w:tcPr>
          <w:p w14:paraId="17AB230C" w14:textId="77777777" w:rsidR="00426A5D" w:rsidRPr="00FC1466" w:rsidRDefault="00426A5D" w:rsidP="00725EEC">
            <w:pPr>
              <w:jc w:val="both"/>
              <w:rPr>
                <w:sz w:val="22"/>
                <w:szCs w:val="22"/>
              </w:rPr>
            </w:pPr>
            <w:r w:rsidRPr="00FC1466">
              <w:rPr>
                <w:sz w:val="22"/>
                <w:szCs w:val="22"/>
              </w:rPr>
              <w:t>Low, aggregation-prone</w:t>
            </w:r>
          </w:p>
        </w:tc>
        <w:tc>
          <w:tcPr>
            <w:tcW w:w="2692" w:type="dxa"/>
            <w:vAlign w:val="center"/>
          </w:tcPr>
          <w:p w14:paraId="1B6C3D22" w14:textId="77777777" w:rsidR="00426A5D" w:rsidRPr="00FC1466" w:rsidRDefault="009560AC" w:rsidP="00725EEC">
            <w:pPr>
              <w:jc w:val="both"/>
              <w:rPr>
                <w:sz w:val="22"/>
                <w:szCs w:val="22"/>
              </w:rPr>
            </w:pPr>
            <w:r w:rsidRPr="00FC1466">
              <w:rPr>
                <w:sz w:val="22"/>
                <w:szCs w:val="22"/>
                <w:lang w:val="tr-TR"/>
              </w:rPr>
              <w:t xml:space="preserve">(Blanco et al., 2015; Mora-Huertas et al, 2010) </w:t>
            </w:r>
          </w:p>
        </w:tc>
      </w:tr>
      <w:tr w:rsidR="00426A5D" w:rsidRPr="00FC1466" w14:paraId="2DEF501F" w14:textId="77777777" w:rsidTr="00E749BD">
        <w:tc>
          <w:tcPr>
            <w:tcW w:w="1648" w:type="dxa"/>
            <w:vAlign w:val="center"/>
          </w:tcPr>
          <w:p w14:paraId="090C57B7" w14:textId="77777777" w:rsidR="00426A5D" w:rsidRPr="00FC1466" w:rsidRDefault="00426A5D" w:rsidP="00725EEC">
            <w:pPr>
              <w:jc w:val="both"/>
              <w:rPr>
                <w:sz w:val="22"/>
                <w:szCs w:val="22"/>
              </w:rPr>
            </w:pPr>
            <w:r w:rsidRPr="00FC1466">
              <w:rPr>
                <w:sz w:val="22"/>
                <w:szCs w:val="22"/>
              </w:rPr>
              <w:t>Batch reproducibility</w:t>
            </w:r>
          </w:p>
        </w:tc>
        <w:tc>
          <w:tcPr>
            <w:tcW w:w="1896" w:type="dxa"/>
            <w:vAlign w:val="center"/>
          </w:tcPr>
          <w:p w14:paraId="398DCED0" w14:textId="77777777" w:rsidR="00426A5D" w:rsidRPr="00FC1466" w:rsidRDefault="00426A5D" w:rsidP="00725EEC">
            <w:pPr>
              <w:jc w:val="both"/>
              <w:rPr>
                <w:sz w:val="22"/>
                <w:szCs w:val="22"/>
              </w:rPr>
            </w:pPr>
            <w:r w:rsidRPr="00FC1466">
              <w:rPr>
                <w:sz w:val="22"/>
                <w:szCs w:val="22"/>
              </w:rPr>
              <w:t>High</w:t>
            </w:r>
          </w:p>
        </w:tc>
        <w:tc>
          <w:tcPr>
            <w:tcW w:w="2552" w:type="dxa"/>
            <w:vAlign w:val="center"/>
          </w:tcPr>
          <w:p w14:paraId="1043D868" w14:textId="77777777" w:rsidR="00426A5D" w:rsidRPr="00FC1466" w:rsidRDefault="00426A5D" w:rsidP="00725EEC">
            <w:pPr>
              <w:jc w:val="both"/>
              <w:rPr>
                <w:sz w:val="22"/>
                <w:szCs w:val="22"/>
              </w:rPr>
            </w:pPr>
            <w:r w:rsidRPr="00FC1466">
              <w:rPr>
                <w:sz w:val="22"/>
                <w:szCs w:val="22"/>
              </w:rPr>
              <w:t>Poor without PNMO control</w:t>
            </w:r>
          </w:p>
        </w:tc>
        <w:tc>
          <w:tcPr>
            <w:tcW w:w="2692" w:type="dxa"/>
            <w:vAlign w:val="center"/>
          </w:tcPr>
          <w:p w14:paraId="15D1D544" w14:textId="77777777" w:rsidR="00426A5D" w:rsidRPr="00FC1466" w:rsidRDefault="00D84CB9" w:rsidP="00725EEC">
            <w:pPr>
              <w:jc w:val="both"/>
              <w:rPr>
                <w:sz w:val="22"/>
                <w:szCs w:val="22"/>
              </w:rPr>
            </w:pPr>
            <w:r w:rsidRPr="00FC1466">
              <w:rPr>
                <w:sz w:val="22"/>
                <w:szCs w:val="22"/>
                <w:lang w:val="tr-TR"/>
              </w:rPr>
              <w:t>(Blanco et al., 2015; Hou et al., 2022; Zhu et al., 2022)</w:t>
            </w:r>
          </w:p>
        </w:tc>
      </w:tr>
    </w:tbl>
    <w:p w14:paraId="50E17480" w14:textId="77777777" w:rsidR="00E76DF1" w:rsidRPr="00FC1466" w:rsidRDefault="00E76DF1" w:rsidP="0012528C">
      <w:pPr>
        <w:spacing w:before="100" w:beforeAutospacing="1" w:after="100" w:afterAutospacing="1"/>
        <w:ind w:left="567"/>
        <w:jc w:val="both"/>
        <w:rPr>
          <w:sz w:val="22"/>
          <w:szCs w:val="22"/>
        </w:rPr>
      </w:pPr>
      <w:r w:rsidRPr="00FC1466">
        <w:rPr>
          <w:sz w:val="22"/>
          <w:szCs w:val="22"/>
        </w:rPr>
        <w:lastRenderedPageBreak/>
        <w:t xml:space="preserve">In contrast, PNMO-guided nanoparticles formed under uncontrolled supramolecular aggregation conditions often exceed this optimal size range and display significant structural heterogeneity, resulting in impaired tumor penetration and reduced intratumoral distribution. Excessively large or highly polydisperse nanoparticles are more readily recognized and cleared by the mononuclear phagocyte system, particularly in the liver and spleen, thereby reducing therapeutic efficacy at the tumor site </w:t>
      </w:r>
      <w:r w:rsidR="00F840D2" w:rsidRPr="00FC1466">
        <w:rPr>
          <w:sz w:val="22"/>
          <w:szCs w:val="22"/>
          <w:lang w:val="tr-TR"/>
        </w:rPr>
        <w:t>(Wilhelm et al., 2016; Dai et al., 2018)</w:t>
      </w:r>
      <w:r w:rsidRPr="00FC1466">
        <w:rPr>
          <w:sz w:val="22"/>
          <w:szCs w:val="22"/>
        </w:rPr>
        <w:t>.</w:t>
      </w:r>
    </w:p>
    <w:p w14:paraId="743F3806" w14:textId="77777777" w:rsidR="00E76DF1" w:rsidRPr="00FC1466" w:rsidRDefault="00E76DF1" w:rsidP="00FC1466">
      <w:pPr>
        <w:spacing w:before="100" w:beforeAutospacing="1" w:after="100" w:afterAutospacing="1"/>
        <w:ind w:left="567"/>
        <w:jc w:val="both"/>
        <w:rPr>
          <w:sz w:val="22"/>
          <w:szCs w:val="22"/>
        </w:rPr>
      </w:pPr>
      <w:r w:rsidRPr="00FC1466">
        <w:rPr>
          <w:sz w:val="22"/>
          <w:szCs w:val="22"/>
        </w:rPr>
        <w:t xml:space="preserve">Cellular internalization is likewise influenced by PNMO. Nanoparticles produced under optimized PNMO conditions typically exhibit uniform surface characteristics that facilitate predictable endocytic uptake pathways. In contrast, uncontrolled PNMO can disrupt receptor-mediated uptake due to heterogeneous surface presentation and disordered drug localization, thereby reducing intracellular transport efficiency and increasing lysosomal sequestration </w:t>
      </w:r>
      <w:r w:rsidR="00CF48BE" w:rsidRPr="00FC1466">
        <w:rPr>
          <w:sz w:val="22"/>
          <w:szCs w:val="22"/>
          <w:lang w:val="tr-TR"/>
        </w:rPr>
        <w:t>(Albanese et al., 2012; Behzadi et al., 2017)</w:t>
      </w:r>
      <w:r w:rsidRPr="00FC1466">
        <w:rPr>
          <w:sz w:val="22"/>
          <w:szCs w:val="22"/>
        </w:rPr>
        <w:t>.</w:t>
      </w:r>
    </w:p>
    <w:p w14:paraId="3855431A" w14:textId="77777777" w:rsidR="00EC507B" w:rsidRPr="00FC1466" w:rsidRDefault="00E76DF1" w:rsidP="00FC1466">
      <w:pPr>
        <w:spacing w:before="100" w:beforeAutospacing="1" w:after="100" w:afterAutospacing="1"/>
        <w:ind w:left="567"/>
        <w:jc w:val="both"/>
        <w:rPr>
          <w:sz w:val="22"/>
          <w:szCs w:val="22"/>
        </w:rPr>
      </w:pPr>
      <w:r w:rsidRPr="00FC1466">
        <w:rPr>
          <w:sz w:val="22"/>
          <w:szCs w:val="22"/>
        </w:rPr>
        <w:t xml:space="preserve">Importantly, PNMO also affects the balance between therapeutic efficacy and toxicity. Uncontrolled PNMO may lead to off-target accumulation or premature destabilization of nanoparticles, resulting in the release of bioactive phytochemicals at high local concentrations in non-diseased tissues. Such effects increase the risk of cytotoxicity, inflammatory responses, and organ-specific toxicity, particularly in the liver and kidneys. These observations provide a mechanistic explanation for why certain phytochemical-based nanomedicines demonstrate promising in vitro activity yet fail to achieve acceptable safety profiles in vivo (Table 4) </w:t>
      </w:r>
      <w:r w:rsidR="00CF48BE" w:rsidRPr="00FC1466">
        <w:rPr>
          <w:sz w:val="22"/>
          <w:szCs w:val="22"/>
          <w:lang w:val="tr-TR"/>
        </w:rPr>
        <w:t>(Blanco et al., 2015; Wilhelm et al., 2016)</w:t>
      </w:r>
      <w:r w:rsidRPr="00FC1466">
        <w:rPr>
          <w:sz w:val="22"/>
          <w:szCs w:val="22"/>
        </w:rPr>
        <w:t>.</w:t>
      </w:r>
    </w:p>
    <w:p w14:paraId="39FC1F47" w14:textId="77777777" w:rsidR="00EC507B" w:rsidRPr="00FC1466" w:rsidRDefault="00EC507B" w:rsidP="00FC1466">
      <w:pPr>
        <w:spacing w:before="100" w:beforeAutospacing="1" w:after="100" w:afterAutospacing="1"/>
        <w:ind w:left="567"/>
        <w:jc w:val="both"/>
        <w:outlineLvl w:val="2"/>
        <w:rPr>
          <w:b/>
          <w:bCs/>
          <w:sz w:val="22"/>
          <w:szCs w:val="22"/>
        </w:rPr>
      </w:pPr>
      <w:r w:rsidRPr="00FC1466">
        <w:rPr>
          <w:b/>
          <w:bCs/>
          <w:sz w:val="22"/>
          <w:szCs w:val="22"/>
        </w:rPr>
        <w:t>7. Analytical Tools for Detecting Pre-Nanoparticle Aggregation</w:t>
      </w:r>
    </w:p>
    <w:p w14:paraId="1848B0AD" w14:textId="77777777" w:rsidR="00EC5E96" w:rsidRPr="00FC1466" w:rsidRDefault="00EC507B" w:rsidP="00FC1466">
      <w:pPr>
        <w:spacing w:before="100" w:beforeAutospacing="1" w:after="100" w:afterAutospacing="1"/>
        <w:ind w:left="567"/>
        <w:jc w:val="both"/>
        <w:rPr>
          <w:rStyle w:val="Strong"/>
          <w:b w:val="0"/>
          <w:bCs w:val="0"/>
          <w:sz w:val="22"/>
          <w:szCs w:val="22"/>
        </w:rPr>
      </w:pPr>
      <w:r w:rsidRPr="00FC1466">
        <w:rPr>
          <w:sz w:val="22"/>
          <w:szCs w:val="22"/>
        </w:rPr>
        <w:t>Despite its central role in determining nanoparticle formation and performance, Pre-Nanoparticle Molecular Organization</w:t>
      </w:r>
      <w:r w:rsidRPr="00FC1466">
        <w:rPr>
          <w:b/>
          <w:bCs/>
          <w:sz w:val="22"/>
          <w:szCs w:val="22"/>
        </w:rPr>
        <w:t xml:space="preserve"> </w:t>
      </w:r>
      <w:r w:rsidRPr="00FC1466">
        <w:rPr>
          <w:sz w:val="22"/>
          <w:szCs w:val="22"/>
        </w:rPr>
        <w:t>(PNMO) is rarely characterized during formulation development. This limitation arises largely because PNMO exists at the interface between molecular and colloidal length scales, rendering it less accessible to conventional analytical techniques that typically focus either on discrete molecular species or fully formed nanoparticles.</w:t>
      </w:r>
    </w:p>
    <w:p w14:paraId="37AE9412" w14:textId="77777777" w:rsidR="00426A5D" w:rsidRPr="00FC1466" w:rsidRDefault="00426A5D" w:rsidP="00FC1466">
      <w:pPr>
        <w:pStyle w:val="Heading3"/>
        <w:ind w:left="567"/>
        <w:jc w:val="both"/>
        <w:rPr>
          <w:rStyle w:val="y2iqfc"/>
          <w:sz w:val="22"/>
          <w:szCs w:val="22"/>
        </w:rPr>
      </w:pPr>
      <w:r w:rsidRPr="00FC1466">
        <w:rPr>
          <w:rStyle w:val="Strong"/>
          <w:b/>
          <w:bCs/>
          <w:sz w:val="22"/>
          <w:szCs w:val="22"/>
        </w:rPr>
        <w:t>Table 4</w:t>
      </w:r>
      <w:r w:rsidRPr="00FC1466">
        <w:rPr>
          <w:rStyle w:val="Strong"/>
          <w:b/>
          <w:bCs/>
          <w:sz w:val="22"/>
          <w:szCs w:val="22"/>
          <w:lang w:val="tr-TR"/>
        </w:rPr>
        <w:t>.</w:t>
      </w:r>
      <w:r w:rsidRPr="00FC1466">
        <w:rPr>
          <w:rStyle w:val="Strong"/>
          <w:sz w:val="22"/>
          <w:szCs w:val="22"/>
        </w:rPr>
        <w:t xml:space="preserve"> PNMO-Dependent Biological Outcomes</w:t>
      </w:r>
    </w:p>
    <w:tbl>
      <w:tblPr>
        <w:tblStyle w:val="TableGrid"/>
        <w:tblW w:w="0" w:type="auto"/>
        <w:tblInd w:w="562" w:type="dxa"/>
        <w:tblLook w:val="04A0" w:firstRow="1" w:lastRow="0" w:firstColumn="1" w:lastColumn="0" w:noHBand="0" w:noVBand="1"/>
      </w:tblPr>
      <w:tblGrid>
        <w:gridCol w:w="1985"/>
        <w:gridCol w:w="1701"/>
        <w:gridCol w:w="1701"/>
        <w:gridCol w:w="3401"/>
      </w:tblGrid>
      <w:tr w:rsidR="00426A5D" w:rsidRPr="00FC1466" w14:paraId="6B57972A" w14:textId="77777777" w:rsidTr="00ED1D04">
        <w:tc>
          <w:tcPr>
            <w:tcW w:w="1985" w:type="dxa"/>
            <w:vAlign w:val="center"/>
          </w:tcPr>
          <w:p w14:paraId="3F734B5C" w14:textId="77777777" w:rsidR="00426A5D" w:rsidRPr="00FC1466" w:rsidRDefault="00426A5D" w:rsidP="0012528C">
            <w:pPr>
              <w:ind w:left="34"/>
              <w:jc w:val="both"/>
              <w:rPr>
                <w:b/>
                <w:bCs/>
                <w:sz w:val="22"/>
                <w:szCs w:val="22"/>
              </w:rPr>
            </w:pPr>
            <w:r w:rsidRPr="00FC1466">
              <w:rPr>
                <w:rStyle w:val="Strong"/>
                <w:sz w:val="22"/>
                <w:szCs w:val="22"/>
              </w:rPr>
              <w:t>Parameter</w:t>
            </w:r>
          </w:p>
        </w:tc>
        <w:tc>
          <w:tcPr>
            <w:tcW w:w="1701" w:type="dxa"/>
            <w:vAlign w:val="center"/>
          </w:tcPr>
          <w:p w14:paraId="451ED393" w14:textId="77777777" w:rsidR="00426A5D" w:rsidRPr="00FC1466" w:rsidRDefault="00426A5D" w:rsidP="0012528C">
            <w:pPr>
              <w:ind w:left="34"/>
              <w:jc w:val="both"/>
              <w:rPr>
                <w:b/>
                <w:bCs/>
                <w:sz w:val="22"/>
                <w:szCs w:val="22"/>
              </w:rPr>
            </w:pPr>
            <w:r w:rsidRPr="00FC1466">
              <w:rPr>
                <w:rStyle w:val="Strong"/>
                <w:sz w:val="22"/>
                <w:szCs w:val="22"/>
              </w:rPr>
              <w:t>Optimized PNMO</w:t>
            </w:r>
          </w:p>
        </w:tc>
        <w:tc>
          <w:tcPr>
            <w:tcW w:w="1701" w:type="dxa"/>
            <w:vAlign w:val="center"/>
          </w:tcPr>
          <w:p w14:paraId="4AA78F5C" w14:textId="77777777" w:rsidR="00426A5D" w:rsidRPr="00FC1466" w:rsidRDefault="00426A5D" w:rsidP="0012528C">
            <w:pPr>
              <w:ind w:left="34"/>
              <w:jc w:val="both"/>
              <w:rPr>
                <w:b/>
                <w:bCs/>
                <w:sz w:val="22"/>
                <w:szCs w:val="22"/>
              </w:rPr>
            </w:pPr>
            <w:r w:rsidRPr="00FC1466">
              <w:rPr>
                <w:rStyle w:val="Strong"/>
                <w:sz w:val="22"/>
                <w:szCs w:val="22"/>
              </w:rPr>
              <w:t>Uncontrolled PNMO</w:t>
            </w:r>
          </w:p>
        </w:tc>
        <w:tc>
          <w:tcPr>
            <w:tcW w:w="3401" w:type="dxa"/>
            <w:vAlign w:val="center"/>
          </w:tcPr>
          <w:p w14:paraId="193397E9" w14:textId="77777777" w:rsidR="00426A5D" w:rsidRPr="00FC1466" w:rsidRDefault="00426A5D" w:rsidP="0012528C">
            <w:pPr>
              <w:ind w:left="34"/>
              <w:jc w:val="both"/>
              <w:rPr>
                <w:b/>
                <w:bCs/>
                <w:sz w:val="22"/>
                <w:szCs w:val="22"/>
              </w:rPr>
            </w:pPr>
            <w:r w:rsidRPr="00FC1466">
              <w:rPr>
                <w:rStyle w:val="Strong"/>
                <w:sz w:val="22"/>
                <w:szCs w:val="22"/>
              </w:rPr>
              <w:t>References</w:t>
            </w:r>
          </w:p>
        </w:tc>
      </w:tr>
      <w:tr w:rsidR="00426A5D" w:rsidRPr="00FC1466" w14:paraId="17D6F864" w14:textId="77777777" w:rsidTr="00ED1D04">
        <w:tc>
          <w:tcPr>
            <w:tcW w:w="1985" w:type="dxa"/>
            <w:vAlign w:val="center"/>
          </w:tcPr>
          <w:p w14:paraId="1A4F1814" w14:textId="77777777" w:rsidR="00426A5D" w:rsidRPr="00FC1466" w:rsidRDefault="00426A5D" w:rsidP="0012528C">
            <w:pPr>
              <w:ind w:left="34"/>
              <w:jc w:val="both"/>
              <w:rPr>
                <w:sz w:val="22"/>
                <w:szCs w:val="22"/>
              </w:rPr>
            </w:pPr>
            <w:r w:rsidRPr="00FC1466">
              <w:rPr>
                <w:sz w:val="22"/>
                <w:szCs w:val="22"/>
              </w:rPr>
              <w:t>Tumor accumulation</w:t>
            </w:r>
          </w:p>
        </w:tc>
        <w:tc>
          <w:tcPr>
            <w:tcW w:w="1701" w:type="dxa"/>
            <w:vAlign w:val="center"/>
          </w:tcPr>
          <w:p w14:paraId="675B6771" w14:textId="77777777" w:rsidR="00426A5D" w:rsidRPr="00FC1466" w:rsidRDefault="00426A5D" w:rsidP="0012528C">
            <w:pPr>
              <w:ind w:left="34"/>
              <w:jc w:val="both"/>
              <w:rPr>
                <w:sz w:val="22"/>
                <w:szCs w:val="22"/>
              </w:rPr>
            </w:pPr>
            <w:r w:rsidRPr="00FC1466">
              <w:rPr>
                <w:sz w:val="22"/>
                <w:szCs w:val="22"/>
              </w:rPr>
              <w:t>Enhanced</w:t>
            </w:r>
          </w:p>
        </w:tc>
        <w:tc>
          <w:tcPr>
            <w:tcW w:w="1701" w:type="dxa"/>
            <w:vAlign w:val="center"/>
          </w:tcPr>
          <w:p w14:paraId="389C5263" w14:textId="77777777" w:rsidR="00426A5D" w:rsidRPr="00FC1466" w:rsidRDefault="00426A5D" w:rsidP="0012528C">
            <w:pPr>
              <w:ind w:left="34"/>
              <w:jc w:val="both"/>
              <w:rPr>
                <w:sz w:val="22"/>
                <w:szCs w:val="22"/>
              </w:rPr>
            </w:pPr>
            <w:r w:rsidRPr="00FC1466">
              <w:rPr>
                <w:sz w:val="22"/>
                <w:szCs w:val="22"/>
              </w:rPr>
              <w:t>Reduced</w:t>
            </w:r>
          </w:p>
        </w:tc>
        <w:tc>
          <w:tcPr>
            <w:tcW w:w="3401" w:type="dxa"/>
            <w:vAlign w:val="center"/>
          </w:tcPr>
          <w:p w14:paraId="60116EDD" w14:textId="77777777" w:rsidR="00426A5D" w:rsidRPr="00FC1466" w:rsidRDefault="00ED1D04" w:rsidP="0012528C">
            <w:pPr>
              <w:ind w:left="34"/>
              <w:jc w:val="both"/>
              <w:rPr>
                <w:sz w:val="22"/>
                <w:szCs w:val="22"/>
              </w:rPr>
            </w:pPr>
            <w:r w:rsidRPr="00FC1466">
              <w:rPr>
                <w:sz w:val="22"/>
                <w:szCs w:val="22"/>
                <w:lang w:val="tr-TR"/>
              </w:rPr>
              <w:t xml:space="preserve">(Peer et al., 2007; </w:t>
            </w:r>
            <w:r w:rsidR="0078452F" w:rsidRPr="00FC1466">
              <w:rPr>
                <w:sz w:val="22"/>
                <w:szCs w:val="22"/>
                <w:lang w:val="tr-TR"/>
              </w:rPr>
              <w:t>Wilhelm et al., 2016)</w:t>
            </w:r>
          </w:p>
        </w:tc>
      </w:tr>
      <w:tr w:rsidR="00426A5D" w:rsidRPr="00FC1466" w14:paraId="7EAFB6CF" w14:textId="77777777" w:rsidTr="00ED1D04">
        <w:tc>
          <w:tcPr>
            <w:tcW w:w="1985" w:type="dxa"/>
            <w:vAlign w:val="center"/>
          </w:tcPr>
          <w:p w14:paraId="2D03E195" w14:textId="77777777" w:rsidR="00426A5D" w:rsidRPr="00FC1466" w:rsidRDefault="00426A5D" w:rsidP="0012528C">
            <w:pPr>
              <w:ind w:left="34"/>
              <w:jc w:val="both"/>
              <w:rPr>
                <w:sz w:val="22"/>
                <w:szCs w:val="22"/>
              </w:rPr>
            </w:pPr>
            <w:r w:rsidRPr="00FC1466">
              <w:rPr>
                <w:sz w:val="22"/>
                <w:szCs w:val="22"/>
              </w:rPr>
              <w:t>RES uptake</w:t>
            </w:r>
          </w:p>
        </w:tc>
        <w:tc>
          <w:tcPr>
            <w:tcW w:w="1701" w:type="dxa"/>
            <w:vAlign w:val="center"/>
          </w:tcPr>
          <w:p w14:paraId="08F1CF06" w14:textId="77777777" w:rsidR="00426A5D" w:rsidRPr="00FC1466" w:rsidRDefault="00426A5D" w:rsidP="0012528C">
            <w:pPr>
              <w:ind w:left="34"/>
              <w:jc w:val="both"/>
              <w:rPr>
                <w:sz w:val="22"/>
                <w:szCs w:val="22"/>
              </w:rPr>
            </w:pPr>
            <w:r w:rsidRPr="00FC1466">
              <w:rPr>
                <w:sz w:val="22"/>
                <w:szCs w:val="22"/>
              </w:rPr>
              <w:t>Low</w:t>
            </w:r>
          </w:p>
        </w:tc>
        <w:tc>
          <w:tcPr>
            <w:tcW w:w="1701" w:type="dxa"/>
            <w:vAlign w:val="center"/>
          </w:tcPr>
          <w:p w14:paraId="3F9FCE01" w14:textId="77777777" w:rsidR="00426A5D" w:rsidRPr="00FC1466" w:rsidRDefault="00426A5D" w:rsidP="0012528C">
            <w:pPr>
              <w:ind w:left="34"/>
              <w:jc w:val="both"/>
              <w:rPr>
                <w:sz w:val="22"/>
                <w:szCs w:val="22"/>
              </w:rPr>
            </w:pPr>
            <w:r w:rsidRPr="00FC1466">
              <w:rPr>
                <w:sz w:val="22"/>
                <w:szCs w:val="22"/>
              </w:rPr>
              <w:t>High</w:t>
            </w:r>
          </w:p>
        </w:tc>
        <w:tc>
          <w:tcPr>
            <w:tcW w:w="3401" w:type="dxa"/>
            <w:vAlign w:val="center"/>
          </w:tcPr>
          <w:p w14:paraId="70AED85F" w14:textId="77777777" w:rsidR="00426A5D" w:rsidRPr="00FC1466" w:rsidRDefault="0078452F" w:rsidP="0012528C">
            <w:pPr>
              <w:ind w:left="34"/>
              <w:jc w:val="both"/>
              <w:rPr>
                <w:sz w:val="22"/>
                <w:szCs w:val="22"/>
              </w:rPr>
            </w:pPr>
            <w:r w:rsidRPr="00FC1466">
              <w:rPr>
                <w:sz w:val="22"/>
                <w:szCs w:val="22"/>
                <w:lang w:val="tr-TR"/>
              </w:rPr>
              <w:t>(Blanco et al., 2015; Dai et al., 2018)</w:t>
            </w:r>
          </w:p>
        </w:tc>
      </w:tr>
      <w:tr w:rsidR="00426A5D" w:rsidRPr="00FC1466" w14:paraId="6F40DF1D" w14:textId="77777777" w:rsidTr="00ED1D04">
        <w:tc>
          <w:tcPr>
            <w:tcW w:w="1985" w:type="dxa"/>
            <w:vAlign w:val="center"/>
          </w:tcPr>
          <w:p w14:paraId="36051E9B" w14:textId="77777777" w:rsidR="00426A5D" w:rsidRPr="00FC1466" w:rsidRDefault="00426A5D" w:rsidP="0012528C">
            <w:pPr>
              <w:ind w:left="34"/>
              <w:jc w:val="both"/>
              <w:rPr>
                <w:sz w:val="22"/>
                <w:szCs w:val="22"/>
              </w:rPr>
            </w:pPr>
            <w:r w:rsidRPr="00FC1466">
              <w:rPr>
                <w:sz w:val="22"/>
                <w:szCs w:val="22"/>
              </w:rPr>
              <w:t>Cellular internalization</w:t>
            </w:r>
          </w:p>
        </w:tc>
        <w:tc>
          <w:tcPr>
            <w:tcW w:w="1701" w:type="dxa"/>
            <w:vAlign w:val="center"/>
          </w:tcPr>
          <w:p w14:paraId="7D740070" w14:textId="77777777" w:rsidR="00426A5D" w:rsidRPr="00FC1466" w:rsidRDefault="00426A5D" w:rsidP="0012528C">
            <w:pPr>
              <w:ind w:left="34"/>
              <w:jc w:val="both"/>
              <w:rPr>
                <w:sz w:val="22"/>
                <w:szCs w:val="22"/>
              </w:rPr>
            </w:pPr>
            <w:r w:rsidRPr="00FC1466">
              <w:rPr>
                <w:sz w:val="22"/>
                <w:szCs w:val="22"/>
              </w:rPr>
              <w:t>Efficient</w:t>
            </w:r>
          </w:p>
        </w:tc>
        <w:tc>
          <w:tcPr>
            <w:tcW w:w="1701" w:type="dxa"/>
            <w:vAlign w:val="center"/>
          </w:tcPr>
          <w:p w14:paraId="6641CA9C" w14:textId="77777777" w:rsidR="00426A5D" w:rsidRPr="00FC1466" w:rsidRDefault="00426A5D" w:rsidP="0012528C">
            <w:pPr>
              <w:ind w:left="34"/>
              <w:jc w:val="both"/>
              <w:rPr>
                <w:sz w:val="22"/>
                <w:szCs w:val="22"/>
              </w:rPr>
            </w:pPr>
            <w:r w:rsidRPr="00FC1466">
              <w:rPr>
                <w:sz w:val="22"/>
                <w:szCs w:val="22"/>
              </w:rPr>
              <w:t>Impaired</w:t>
            </w:r>
          </w:p>
        </w:tc>
        <w:tc>
          <w:tcPr>
            <w:tcW w:w="3401" w:type="dxa"/>
            <w:vAlign w:val="center"/>
          </w:tcPr>
          <w:p w14:paraId="0506C1AE" w14:textId="77777777" w:rsidR="00426A5D" w:rsidRPr="00FC1466" w:rsidRDefault="0078452F" w:rsidP="0012528C">
            <w:pPr>
              <w:ind w:left="34"/>
              <w:jc w:val="both"/>
              <w:rPr>
                <w:sz w:val="22"/>
                <w:szCs w:val="22"/>
              </w:rPr>
            </w:pPr>
            <w:r w:rsidRPr="00FC1466">
              <w:rPr>
                <w:sz w:val="22"/>
                <w:szCs w:val="22"/>
                <w:lang w:val="tr-TR"/>
              </w:rPr>
              <w:t>(Albanese et al., 2012; Behzadi et al., 2017)</w:t>
            </w:r>
          </w:p>
        </w:tc>
      </w:tr>
      <w:tr w:rsidR="00426A5D" w:rsidRPr="00FC1466" w14:paraId="38325DDA" w14:textId="77777777" w:rsidTr="00ED1D04">
        <w:tc>
          <w:tcPr>
            <w:tcW w:w="1985" w:type="dxa"/>
            <w:vAlign w:val="center"/>
          </w:tcPr>
          <w:p w14:paraId="26BC5080" w14:textId="77777777" w:rsidR="00426A5D" w:rsidRPr="00FC1466" w:rsidRDefault="00426A5D" w:rsidP="0012528C">
            <w:pPr>
              <w:ind w:left="34"/>
              <w:jc w:val="both"/>
              <w:rPr>
                <w:sz w:val="22"/>
                <w:szCs w:val="22"/>
              </w:rPr>
            </w:pPr>
            <w:r w:rsidRPr="00FC1466">
              <w:rPr>
                <w:sz w:val="22"/>
                <w:szCs w:val="22"/>
              </w:rPr>
              <w:t>Off-target toxicity</w:t>
            </w:r>
          </w:p>
        </w:tc>
        <w:tc>
          <w:tcPr>
            <w:tcW w:w="1701" w:type="dxa"/>
            <w:vAlign w:val="center"/>
          </w:tcPr>
          <w:p w14:paraId="216906CF" w14:textId="77777777" w:rsidR="00426A5D" w:rsidRPr="00FC1466" w:rsidRDefault="00426A5D" w:rsidP="0012528C">
            <w:pPr>
              <w:ind w:left="34"/>
              <w:jc w:val="both"/>
              <w:rPr>
                <w:sz w:val="22"/>
                <w:szCs w:val="22"/>
              </w:rPr>
            </w:pPr>
            <w:r w:rsidRPr="00FC1466">
              <w:rPr>
                <w:sz w:val="22"/>
                <w:szCs w:val="22"/>
              </w:rPr>
              <w:t>Minimal</w:t>
            </w:r>
          </w:p>
        </w:tc>
        <w:tc>
          <w:tcPr>
            <w:tcW w:w="1701" w:type="dxa"/>
            <w:vAlign w:val="center"/>
          </w:tcPr>
          <w:p w14:paraId="5536F18A" w14:textId="77777777" w:rsidR="00426A5D" w:rsidRPr="00FC1466" w:rsidRDefault="00426A5D" w:rsidP="0012528C">
            <w:pPr>
              <w:ind w:left="34"/>
              <w:jc w:val="both"/>
              <w:rPr>
                <w:sz w:val="22"/>
                <w:szCs w:val="22"/>
              </w:rPr>
            </w:pPr>
            <w:r w:rsidRPr="00FC1466">
              <w:rPr>
                <w:sz w:val="22"/>
                <w:szCs w:val="22"/>
              </w:rPr>
              <w:t>Elevated</w:t>
            </w:r>
          </w:p>
        </w:tc>
        <w:tc>
          <w:tcPr>
            <w:tcW w:w="3401" w:type="dxa"/>
            <w:vAlign w:val="center"/>
          </w:tcPr>
          <w:p w14:paraId="37DD19C5" w14:textId="77777777" w:rsidR="00426A5D" w:rsidRPr="00FC1466" w:rsidRDefault="0078452F" w:rsidP="0012528C">
            <w:pPr>
              <w:ind w:left="34"/>
              <w:jc w:val="both"/>
              <w:rPr>
                <w:sz w:val="22"/>
                <w:szCs w:val="22"/>
              </w:rPr>
            </w:pPr>
            <w:r w:rsidRPr="00FC1466">
              <w:rPr>
                <w:sz w:val="22"/>
                <w:szCs w:val="22"/>
                <w:lang w:val="tr-TR"/>
              </w:rPr>
              <w:t>(Blanco et al., 2015; Wilhelm et al., 2016)</w:t>
            </w:r>
          </w:p>
        </w:tc>
      </w:tr>
    </w:tbl>
    <w:p w14:paraId="7F475260" w14:textId="77777777" w:rsidR="00E76DF1" w:rsidRPr="00FC1466" w:rsidRDefault="00E76DF1" w:rsidP="0012528C">
      <w:pPr>
        <w:spacing w:before="100" w:beforeAutospacing="1" w:after="100" w:afterAutospacing="1"/>
        <w:ind w:left="567"/>
        <w:jc w:val="both"/>
        <w:rPr>
          <w:sz w:val="22"/>
          <w:szCs w:val="22"/>
        </w:rPr>
      </w:pPr>
      <w:r w:rsidRPr="00FC1466">
        <w:rPr>
          <w:sz w:val="22"/>
          <w:szCs w:val="22"/>
        </w:rPr>
        <w:t>Nevertheless, several established physicochemical methods can be adapted to detect early-stage aggregation and supramolecular organization of phytochemicals prior to nanoparticle production (Table 5).</w:t>
      </w:r>
    </w:p>
    <w:p w14:paraId="6E303970" w14:textId="77777777" w:rsidR="00E63DAC" w:rsidRPr="00FC1466" w:rsidRDefault="00E63DAC" w:rsidP="00FC1466">
      <w:pPr>
        <w:spacing w:before="100" w:beforeAutospacing="1" w:after="100" w:afterAutospacing="1"/>
        <w:ind w:left="567"/>
        <w:jc w:val="both"/>
        <w:rPr>
          <w:sz w:val="22"/>
          <w:szCs w:val="22"/>
        </w:rPr>
      </w:pPr>
      <w:r w:rsidRPr="00FC1466">
        <w:rPr>
          <w:sz w:val="22"/>
          <w:szCs w:val="22"/>
        </w:rPr>
        <w:t>Dynamic light scattering (DLS) is one of the most widely used techniques for detecting Pre-Nanoparticle Molecular Organization</w:t>
      </w:r>
      <w:r w:rsidRPr="00FC1466">
        <w:rPr>
          <w:b/>
          <w:bCs/>
          <w:sz w:val="22"/>
          <w:szCs w:val="22"/>
        </w:rPr>
        <w:t xml:space="preserve"> </w:t>
      </w:r>
      <w:r w:rsidRPr="00FC1466">
        <w:rPr>
          <w:sz w:val="22"/>
          <w:szCs w:val="22"/>
        </w:rPr>
        <w:t xml:space="preserve">(PNMO), as it rapidly provides hydrodynamic size distributions of aggregates in solution. DLS is particularly sensitive to the presence of large </w:t>
      </w:r>
      <w:r w:rsidRPr="00FC1466">
        <w:rPr>
          <w:sz w:val="22"/>
          <w:szCs w:val="22"/>
        </w:rPr>
        <w:lastRenderedPageBreak/>
        <w:t>supramolecular clusters and can reveal concentration- or solvent-dependent aggregation behavior. However, its high sensitivity to dust particles and its bias toward larger scatterers limit its ability to accurately resolve highly polydisperse or weakly interacting systems.</w:t>
      </w:r>
    </w:p>
    <w:p w14:paraId="4B187499" w14:textId="77777777" w:rsidR="00EC5E96" w:rsidRPr="00FC1466" w:rsidRDefault="00EC5E96" w:rsidP="00FC1466">
      <w:pPr>
        <w:pStyle w:val="HTMLPreformatted"/>
        <w:shd w:val="clear" w:color="auto" w:fill="F8F9FA"/>
        <w:ind w:left="567"/>
        <w:jc w:val="both"/>
        <w:rPr>
          <w:rFonts w:ascii="Times New Roman" w:hAnsi="Times New Roman" w:cs="Times New Roman"/>
          <w:sz w:val="22"/>
          <w:szCs w:val="22"/>
        </w:rPr>
      </w:pPr>
      <w:r w:rsidRPr="00FC1466">
        <w:rPr>
          <w:rStyle w:val="y2iqfc"/>
          <w:rFonts w:ascii="Times New Roman" w:hAnsi="Times New Roman" w:cs="Times New Roman"/>
          <w:b/>
          <w:bCs/>
          <w:color w:val="1F1F1F"/>
          <w:sz w:val="22"/>
          <w:szCs w:val="22"/>
          <w:lang w:val="en"/>
        </w:rPr>
        <w:t>Table 5.</w:t>
      </w:r>
      <w:r w:rsidRPr="00FC1466">
        <w:rPr>
          <w:rStyle w:val="y2iqfc"/>
          <w:rFonts w:ascii="Times New Roman" w:hAnsi="Times New Roman" w:cs="Times New Roman"/>
          <w:color w:val="1F1F1F"/>
          <w:sz w:val="22"/>
          <w:szCs w:val="22"/>
          <w:lang w:val="en"/>
        </w:rPr>
        <w:t xml:space="preserve"> </w:t>
      </w:r>
      <w:r w:rsidRPr="00FC1466">
        <w:rPr>
          <w:rFonts w:ascii="Times New Roman" w:hAnsi="Times New Roman" w:cs="Times New Roman"/>
          <w:sz w:val="22"/>
          <w:szCs w:val="22"/>
        </w:rPr>
        <w:t>Techniques for PNMO Characterization</w:t>
      </w:r>
    </w:p>
    <w:p w14:paraId="043DF59E" w14:textId="77777777" w:rsidR="00E63DAC" w:rsidRPr="00FC1466" w:rsidRDefault="00E63DAC" w:rsidP="00FC1466">
      <w:pPr>
        <w:pStyle w:val="HTMLPreformatted"/>
        <w:shd w:val="clear" w:color="auto" w:fill="F8F9FA"/>
        <w:ind w:left="567"/>
        <w:jc w:val="both"/>
        <w:rPr>
          <w:rStyle w:val="y2iqfc"/>
          <w:rFonts w:ascii="Times New Roman" w:hAnsi="Times New Roman" w:cs="Times New Roman"/>
          <w:color w:val="1F1F1F"/>
          <w:sz w:val="22"/>
          <w:szCs w:val="22"/>
          <w:lang w:val="en"/>
        </w:rPr>
      </w:pPr>
    </w:p>
    <w:tbl>
      <w:tblPr>
        <w:tblStyle w:val="TableGrid"/>
        <w:tblW w:w="0" w:type="auto"/>
        <w:tblInd w:w="562" w:type="dxa"/>
        <w:tblLook w:val="04A0" w:firstRow="1" w:lastRow="0" w:firstColumn="1" w:lastColumn="0" w:noHBand="0" w:noVBand="1"/>
      </w:tblPr>
      <w:tblGrid>
        <w:gridCol w:w="1497"/>
        <w:gridCol w:w="2727"/>
        <w:gridCol w:w="2297"/>
        <w:gridCol w:w="2267"/>
      </w:tblGrid>
      <w:tr w:rsidR="00EC5E96" w:rsidRPr="00FC1466" w14:paraId="294DC344" w14:textId="77777777" w:rsidTr="00E63DAC">
        <w:trPr>
          <w:trHeight w:val="656"/>
        </w:trPr>
        <w:tc>
          <w:tcPr>
            <w:tcW w:w="1497" w:type="dxa"/>
            <w:vAlign w:val="center"/>
          </w:tcPr>
          <w:p w14:paraId="58044E51" w14:textId="77777777" w:rsidR="00EC5E96" w:rsidRPr="00FC1466" w:rsidRDefault="00EC5E96" w:rsidP="0012528C">
            <w:pPr>
              <w:ind w:left="28"/>
              <w:jc w:val="both"/>
              <w:rPr>
                <w:b/>
                <w:bCs/>
                <w:sz w:val="22"/>
                <w:szCs w:val="22"/>
              </w:rPr>
            </w:pPr>
            <w:r w:rsidRPr="00FC1466">
              <w:rPr>
                <w:b/>
                <w:bCs/>
                <w:sz w:val="22"/>
                <w:szCs w:val="22"/>
              </w:rPr>
              <w:t>Technique</w:t>
            </w:r>
          </w:p>
        </w:tc>
        <w:tc>
          <w:tcPr>
            <w:tcW w:w="2727" w:type="dxa"/>
            <w:vAlign w:val="center"/>
          </w:tcPr>
          <w:p w14:paraId="383D61CD" w14:textId="77777777" w:rsidR="00EC5E96" w:rsidRPr="00FC1466" w:rsidRDefault="00EC5E96" w:rsidP="0012528C">
            <w:pPr>
              <w:ind w:left="28"/>
              <w:jc w:val="both"/>
              <w:rPr>
                <w:b/>
                <w:bCs/>
                <w:sz w:val="22"/>
                <w:szCs w:val="22"/>
              </w:rPr>
            </w:pPr>
            <w:r w:rsidRPr="00FC1466">
              <w:rPr>
                <w:b/>
                <w:bCs/>
                <w:sz w:val="22"/>
                <w:szCs w:val="22"/>
              </w:rPr>
              <w:t>Information Provided</w:t>
            </w:r>
          </w:p>
        </w:tc>
        <w:tc>
          <w:tcPr>
            <w:tcW w:w="2297" w:type="dxa"/>
            <w:vAlign w:val="center"/>
          </w:tcPr>
          <w:p w14:paraId="25DDD04A" w14:textId="77777777" w:rsidR="00EC5E96" w:rsidRPr="00FC1466" w:rsidRDefault="00EC5E96" w:rsidP="0012528C">
            <w:pPr>
              <w:ind w:left="28"/>
              <w:jc w:val="both"/>
              <w:rPr>
                <w:b/>
                <w:bCs/>
                <w:sz w:val="22"/>
                <w:szCs w:val="22"/>
              </w:rPr>
            </w:pPr>
            <w:r w:rsidRPr="00FC1466">
              <w:rPr>
                <w:b/>
                <w:bCs/>
                <w:sz w:val="22"/>
                <w:szCs w:val="22"/>
              </w:rPr>
              <w:t>Limitation</w:t>
            </w:r>
          </w:p>
        </w:tc>
        <w:tc>
          <w:tcPr>
            <w:tcW w:w="2267" w:type="dxa"/>
            <w:vAlign w:val="center"/>
          </w:tcPr>
          <w:p w14:paraId="498C600E" w14:textId="77777777" w:rsidR="00EC5E96" w:rsidRPr="00FC1466" w:rsidRDefault="00EC5E96" w:rsidP="0012528C">
            <w:pPr>
              <w:ind w:left="28"/>
              <w:jc w:val="both"/>
              <w:rPr>
                <w:b/>
                <w:bCs/>
                <w:sz w:val="22"/>
                <w:szCs w:val="22"/>
              </w:rPr>
            </w:pPr>
            <w:r w:rsidRPr="00FC1466">
              <w:rPr>
                <w:b/>
                <w:bCs/>
                <w:sz w:val="22"/>
                <w:szCs w:val="22"/>
              </w:rPr>
              <w:t>References</w:t>
            </w:r>
          </w:p>
        </w:tc>
      </w:tr>
      <w:tr w:rsidR="00EC5E96" w:rsidRPr="00FC1466" w14:paraId="2FE7A6F8" w14:textId="77777777" w:rsidTr="00E63DAC">
        <w:tc>
          <w:tcPr>
            <w:tcW w:w="1497" w:type="dxa"/>
            <w:vAlign w:val="center"/>
          </w:tcPr>
          <w:p w14:paraId="2748DACD" w14:textId="77777777" w:rsidR="00EC5E96" w:rsidRPr="00FC1466" w:rsidRDefault="00EC5E96" w:rsidP="0012528C">
            <w:pPr>
              <w:ind w:left="28"/>
              <w:jc w:val="both"/>
              <w:rPr>
                <w:sz w:val="22"/>
                <w:szCs w:val="22"/>
              </w:rPr>
            </w:pPr>
            <w:r w:rsidRPr="00FC1466">
              <w:rPr>
                <w:sz w:val="22"/>
                <w:szCs w:val="22"/>
              </w:rPr>
              <w:t>Dynamic light scattering (DLS)</w:t>
            </w:r>
          </w:p>
        </w:tc>
        <w:tc>
          <w:tcPr>
            <w:tcW w:w="2727" w:type="dxa"/>
            <w:vAlign w:val="center"/>
          </w:tcPr>
          <w:p w14:paraId="30FEAECF" w14:textId="77777777" w:rsidR="00EC5E96" w:rsidRPr="00FC1466" w:rsidRDefault="00EC5E96" w:rsidP="0012528C">
            <w:pPr>
              <w:ind w:left="28"/>
              <w:jc w:val="both"/>
              <w:rPr>
                <w:sz w:val="22"/>
                <w:szCs w:val="22"/>
              </w:rPr>
            </w:pPr>
            <w:r w:rsidRPr="00FC1466">
              <w:rPr>
                <w:sz w:val="22"/>
                <w:szCs w:val="22"/>
              </w:rPr>
              <w:t>Hydrodynamic aggregate size and distribution</w:t>
            </w:r>
          </w:p>
        </w:tc>
        <w:tc>
          <w:tcPr>
            <w:tcW w:w="2297" w:type="dxa"/>
            <w:vAlign w:val="center"/>
          </w:tcPr>
          <w:p w14:paraId="358507DA" w14:textId="77777777" w:rsidR="00EC5E96" w:rsidRPr="00FC1466" w:rsidRDefault="00EC5E96" w:rsidP="0012528C">
            <w:pPr>
              <w:ind w:left="28"/>
              <w:jc w:val="both"/>
              <w:rPr>
                <w:sz w:val="22"/>
                <w:szCs w:val="22"/>
              </w:rPr>
            </w:pPr>
            <w:r w:rsidRPr="00FC1466">
              <w:rPr>
                <w:sz w:val="22"/>
                <w:szCs w:val="22"/>
              </w:rPr>
              <w:t>Highly sensitive to dust and large scatterers</w:t>
            </w:r>
          </w:p>
        </w:tc>
        <w:tc>
          <w:tcPr>
            <w:tcW w:w="2267" w:type="dxa"/>
            <w:vAlign w:val="center"/>
          </w:tcPr>
          <w:p w14:paraId="4B8B0911" w14:textId="77777777" w:rsidR="00EC5E96" w:rsidRPr="00FC1466" w:rsidRDefault="00EC5E96" w:rsidP="0012528C">
            <w:pPr>
              <w:ind w:left="28"/>
              <w:jc w:val="both"/>
              <w:rPr>
                <w:sz w:val="22"/>
                <w:szCs w:val="22"/>
                <w:lang w:val="tr-TR"/>
              </w:rPr>
            </w:pPr>
            <w:r w:rsidRPr="00FC1466">
              <w:rPr>
                <w:sz w:val="22"/>
                <w:szCs w:val="22"/>
                <w:lang w:val="tr-TR"/>
              </w:rPr>
              <w:t>(Stetefeld et al., 2015)</w:t>
            </w:r>
          </w:p>
        </w:tc>
      </w:tr>
      <w:tr w:rsidR="00EC5E96" w:rsidRPr="00FC1466" w14:paraId="53921AC2" w14:textId="77777777" w:rsidTr="00E63DAC">
        <w:tc>
          <w:tcPr>
            <w:tcW w:w="1497" w:type="dxa"/>
            <w:vAlign w:val="center"/>
          </w:tcPr>
          <w:p w14:paraId="64FD511B" w14:textId="77777777" w:rsidR="00EC5E96" w:rsidRPr="00FC1466" w:rsidRDefault="00EC5E96" w:rsidP="0012528C">
            <w:pPr>
              <w:ind w:left="28"/>
              <w:jc w:val="both"/>
              <w:rPr>
                <w:sz w:val="22"/>
                <w:szCs w:val="22"/>
              </w:rPr>
            </w:pPr>
            <w:r w:rsidRPr="00FC1466">
              <w:rPr>
                <w:sz w:val="22"/>
                <w:szCs w:val="22"/>
              </w:rPr>
              <w:t>Cryo-TEM</w:t>
            </w:r>
          </w:p>
        </w:tc>
        <w:tc>
          <w:tcPr>
            <w:tcW w:w="2727" w:type="dxa"/>
            <w:vAlign w:val="center"/>
          </w:tcPr>
          <w:p w14:paraId="651D70EB" w14:textId="77777777" w:rsidR="00EC5E96" w:rsidRPr="00FC1466" w:rsidRDefault="00EC5E96" w:rsidP="0012528C">
            <w:pPr>
              <w:ind w:left="28"/>
              <w:jc w:val="both"/>
              <w:rPr>
                <w:sz w:val="22"/>
                <w:szCs w:val="22"/>
              </w:rPr>
            </w:pPr>
            <w:r w:rsidRPr="00FC1466">
              <w:rPr>
                <w:sz w:val="22"/>
                <w:szCs w:val="22"/>
              </w:rPr>
              <w:t>Aggregate morphology and internal structure</w:t>
            </w:r>
          </w:p>
        </w:tc>
        <w:tc>
          <w:tcPr>
            <w:tcW w:w="2297" w:type="dxa"/>
            <w:vAlign w:val="center"/>
          </w:tcPr>
          <w:p w14:paraId="3581C7BB" w14:textId="77777777" w:rsidR="00EC5E96" w:rsidRPr="00FC1466" w:rsidRDefault="00EC5E96" w:rsidP="0012528C">
            <w:pPr>
              <w:ind w:left="28"/>
              <w:jc w:val="both"/>
              <w:rPr>
                <w:sz w:val="22"/>
                <w:szCs w:val="22"/>
              </w:rPr>
            </w:pPr>
            <w:r w:rsidRPr="00FC1466">
              <w:rPr>
                <w:sz w:val="22"/>
                <w:szCs w:val="22"/>
              </w:rPr>
              <w:t>High cost, low throughput, specialist skills</w:t>
            </w:r>
          </w:p>
        </w:tc>
        <w:tc>
          <w:tcPr>
            <w:tcW w:w="2267" w:type="dxa"/>
            <w:vAlign w:val="center"/>
          </w:tcPr>
          <w:p w14:paraId="4ED81B09" w14:textId="77777777" w:rsidR="00EC5E96" w:rsidRPr="00FC1466" w:rsidRDefault="00EC5E96" w:rsidP="0012528C">
            <w:pPr>
              <w:ind w:left="28"/>
              <w:jc w:val="both"/>
              <w:rPr>
                <w:sz w:val="22"/>
                <w:szCs w:val="22"/>
              </w:rPr>
            </w:pPr>
            <w:r w:rsidRPr="00FC1466">
              <w:rPr>
                <w:sz w:val="22"/>
                <w:szCs w:val="22"/>
                <w:lang w:val="tr-TR"/>
              </w:rPr>
              <w:t>(Dubochet et al., 1988; Manaia et al., 2017)</w:t>
            </w:r>
          </w:p>
        </w:tc>
      </w:tr>
      <w:tr w:rsidR="00EC5E96" w:rsidRPr="00FC1466" w14:paraId="0B887526" w14:textId="77777777" w:rsidTr="00E63DAC">
        <w:tc>
          <w:tcPr>
            <w:tcW w:w="1497" w:type="dxa"/>
            <w:vAlign w:val="center"/>
          </w:tcPr>
          <w:p w14:paraId="2719734C" w14:textId="77777777" w:rsidR="00EC5E96" w:rsidRPr="00FC1466" w:rsidRDefault="00EC5E96" w:rsidP="0012528C">
            <w:pPr>
              <w:ind w:left="28"/>
              <w:jc w:val="both"/>
              <w:rPr>
                <w:sz w:val="22"/>
                <w:szCs w:val="22"/>
              </w:rPr>
            </w:pPr>
            <w:r w:rsidRPr="00FC1466">
              <w:rPr>
                <w:sz w:val="22"/>
                <w:szCs w:val="22"/>
              </w:rPr>
              <w:t>NMR diffusion (DOSY)</w:t>
            </w:r>
          </w:p>
        </w:tc>
        <w:tc>
          <w:tcPr>
            <w:tcW w:w="2727" w:type="dxa"/>
            <w:vAlign w:val="center"/>
          </w:tcPr>
          <w:p w14:paraId="1668F6E4" w14:textId="77777777" w:rsidR="00EC5E96" w:rsidRPr="00FC1466" w:rsidRDefault="00EC5E96" w:rsidP="0012528C">
            <w:pPr>
              <w:ind w:left="28"/>
              <w:jc w:val="both"/>
              <w:rPr>
                <w:sz w:val="22"/>
                <w:szCs w:val="22"/>
              </w:rPr>
            </w:pPr>
            <w:r w:rsidRPr="00FC1466">
              <w:rPr>
                <w:sz w:val="22"/>
                <w:szCs w:val="22"/>
              </w:rPr>
              <w:t>Molecular association and aggregation state</w:t>
            </w:r>
          </w:p>
        </w:tc>
        <w:tc>
          <w:tcPr>
            <w:tcW w:w="2297" w:type="dxa"/>
            <w:vAlign w:val="center"/>
          </w:tcPr>
          <w:p w14:paraId="53D438DB" w14:textId="77777777" w:rsidR="00EC5E96" w:rsidRPr="00FC1466" w:rsidRDefault="00EC5E96" w:rsidP="0012528C">
            <w:pPr>
              <w:ind w:left="28"/>
              <w:jc w:val="both"/>
              <w:rPr>
                <w:sz w:val="22"/>
                <w:szCs w:val="22"/>
              </w:rPr>
            </w:pPr>
            <w:r w:rsidRPr="00FC1466">
              <w:rPr>
                <w:sz w:val="22"/>
                <w:szCs w:val="22"/>
              </w:rPr>
              <w:t>Complex analysis; purity requirements</w:t>
            </w:r>
          </w:p>
        </w:tc>
        <w:tc>
          <w:tcPr>
            <w:tcW w:w="2267" w:type="dxa"/>
            <w:vAlign w:val="center"/>
          </w:tcPr>
          <w:p w14:paraId="0F9613F6" w14:textId="77777777" w:rsidR="00EC5E96" w:rsidRPr="00FC1466" w:rsidRDefault="00EC5E96" w:rsidP="0012528C">
            <w:pPr>
              <w:ind w:left="28"/>
              <w:jc w:val="both"/>
              <w:rPr>
                <w:sz w:val="22"/>
                <w:szCs w:val="22"/>
              </w:rPr>
            </w:pPr>
            <w:r w:rsidRPr="00FC1466">
              <w:rPr>
                <w:sz w:val="22"/>
                <w:szCs w:val="22"/>
                <w:lang w:val="tr-TR"/>
              </w:rPr>
              <w:t>(Morris et al., 1992; Claridge, 2016)</w:t>
            </w:r>
          </w:p>
        </w:tc>
      </w:tr>
      <w:tr w:rsidR="00EC5E96" w:rsidRPr="00FC1466" w14:paraId="61241F57" w14:textId="77777777" w:rsidTr="00E63DAC">
        <w:tc>
          <w:tcPr>
            <w:tcW w:w="1497" w:type="dxa"/>
            <w:vAlign w:val="center"/>
          </w:tcPr>
          <w:p w14:paraId="0D02EFCD" w14:textId="77777777" w:rsidR="00EC5E96" w:rsidRPr="00FC1466" w:rsidRDefault="00EC5E96" w:rsidP="0012528C">
            <w:pPr>
              <w:ind w:left="28"/>
              <w:jc w:val="both"/>
              <w:rPr>
                <w:sz w:val="22"/>
                <w:szCs w:val="22"/>
              </w:rPr>
            </w:pPr>
            <w:r w:rsidRPr="00FC1466">
              <w:rPr>
                <w:sz w:val="22"/>
                <w:szCs w:val="22"/>
              </w:rPr>
              <w:t>UV–Vis spectroscopy</w:t>
            </w:r>
          </w:p>
        </w:tc>
        <w:tc>
          <w:tcPr>
            <w:tcW w:w="2727" w:type="dxa"/>
            <w:vAlign w:val="center"/>
          </w:tcPr>
          <w:p w14:paraId="44B63967" w14:textId="77777777" w:rsidR="00EC5E96" w:rsidRPr="00FC1466" w:rsidRDefault="00EC5E96" w:rsidP="0012528C">
            <w:pPr>
              <w:ind w:left="28"/>
              <w:jc w:val="both"/>
              <w:rPr>
                <w:sz w:val="22"/>
                <w:szCs w:val="22"/>
              </w:rPr>
            </w:pPr>
            <w:r w:rsidRPr="00FC1466">
              <w:rPr>
                <w:sz w:val="22"/>
                <w:szCs w:val="22"/>
              </w:rPr>
              <w:t>Self-association and stacking trends (spectral shifts, band shapes)</w:t>
            </w:r>
          </w:p>
        </w:tc>
        <w:tc>
          <w:tcPr>
            <w:tcW w:w="2297" w:type="dxa"/>
            <w:vAlign w:val="center"/>
          </w:tcPr>
          <w:p w14:paraId="1DC50B86" w14:textId="77777777" w:rsidR="00EC5E96" w:rsidRPr="00FC1466" w:rsidRDefault="00EC5E96" w:rsidP="0012528C">
            <w:pPr>
              <w:ind w:left="28"/>
              <w:jc w:val="both"/>
              <w:rPr>
                <w:sz w:val="22"/>
                <w:szCs w:val="22"/>
              </w:rPr>
            </w:pPr>
            <w:r w:rsidRPr="00FC1466">
              <w:rPr>
                <w:sz w:val="22"/>
                <w:szCs w:val="22"/>
              </w:rPr>
              <w:t>Indirect and largely qualitative</w:t>
            </w:r>
          </w:p>
        </w:tc>
        <w:tc>
          <w:tcPr>
            <w:tcW w:w="2267" w:type="dxa"/>
            <w:vAlign w:val="center"/>
          </w:tcPr>
          <w:p w14:paraId="2B57C4C2" w14:textId="77777777" w:rsidR="00EC5E96" w:rsidRPr="00FC1466" w:rsidRDefault="00EC5E96" w:rsidP="0012528C">
            <w:pPr>
              <w:ind w:left="28"/>
              <w:jc w:val="both"/>
              <w:rPr>
                <w:sz w:val="22"/>
                <w:szCs w:val="22"/>
              </w:rPr>
            </w:pPr>
            <w:r w:rsidRPr="00FC1466">
              <w:rPr>
                <w:sz w:val="22"/>
                <w:szCs w:val="22"/>
                <w:lang w:val="tr-TR"/>
              </w:rPr>
              <w:t>(Kuciauskas et al., 2009; Ishigaki et al., 2017)</w:t>
            </w:r>
          </w:p>
        </w:tc>
      </w:tr>
      <w:tr w:rsidR="00EC5E96" w:rsidRPr="00FC1466" w14:paraId="2E65F636" w14:textId="77777777" w:rsidTr="00E63DAC">
        <w:tc>
          <w:tcPr>
            <w:tcW w:w="1497" w:type="dxa"/>
            <w:vAlign w:val="center"/>
          </w:tcPr>
          <w:p w14:paraId="41D336C7" w14:textId="77777777" w:rsidR="00EC5E96" w:rsidRPr="00FC1466" w:rsidRDefault="00EC5E96" w:rsidP="0012528C">
            <w:pPr>
              <w:ind w:left="28"/>
              <w:jc w:val="both"/>
              <w:rPr>
                <w:sz w:val="22"/>
                <w:szCs w:val="22"/>
              </w:rPr>
            </w:pPr>
            <w:r w:rsidRPr="00FC1466">
              <w:rPr>
                <w:sz w:val="22"/>
                <w:szCs w:val="22"/>
              </w:rPr>
              <w:t>Zeta potential</w:t>
            </w:r>
          </w:p>
        </w:tc>
        <w:tc>
          <w:tcPr>
            <w:tcW w:w="2727" w:type="dxa"/>
            <w:vAlign w:val="center"/>
          </w:tcPr>
          <w:p w14:paraId="5EE958E4" w14:textId="77777777" w:rsidR="00EC5E96" w:rsidRPr="00FC1466" w:rsidRDefault="00EC5E96" w:rsidP="0012528C">
            <w:pPr>
              <w:ind w:left="28"/>
              <w:jc w:val="both"/>
              <w:rPr>
                <w:sz w:val="22"/>
                <w:szCs w:val="22"/>
              </w:rPr>
            </w:pPr>
            <w:r w:rsidRPr="00FC1466">
              <w:rPr>
                <w:sz w:val="22"/>
                <w:szCs w:val="22"/>
              </w:rPr>
              <w:t>Surface charge behavior and colloidal stability</w:t>
            </w:r>
          </w:p>
        </w:tc>
        <w:tc>
          <w:tcPr>
            <w:tcW w:w="2297" w:type="dxa"/>
            <w:vAlign w:val="center"/>
          </w:tcPr>
          <w:p w14:paraId="3904128C" w14:textId="77777777" w:rsidR="00EC5E96" w:rsidRPr="00FC1466" w:rsidRDefault="00EC5E96" w:rsidP="0012528C">
            <w:pPr>
              <w:ind w:left="28"/>
              <w:jc w:val="both"/>
              <w:rPr>
                <w:sz w:val="22"/>
                <w:szCs w:val="22"/>
              </w:rPr>
            </w:pPr>
            <w:r w:rsidRPr="00FC1466">
              <w:rPr>
                <w:sz w:val="22"/>
                <w:szCs w:val="22"/>
              </w:rPr>
              <w:t>Not structure-specific</w:t>
            </w:r>
          </w:p>
        </w:tc>
        <w:tc>
          <w:tcPr>
            <w:tcW w:w="2267" w:type="dxa"/>
            <w:vAlign w:val="center"/>
          </w:tcPr>
          <w:p w14:paraId="6C485807" w14:textId="77777777" w:rsidR="00EC5E96" w:rsidRPr="00FC1466" w:rsidRDefault="00EC5E96" w:rsidP="0012528C">
            <w:pPr>
              <w:ind w:left="28"/>
              <w:jc w:val="both"/>
              <w:rPr>
                <w:sz w:val="22"/>
                <w:szCs w:val="22"/>
              </w:rPr>
            </w:pPr>
            <w:r w:rsidRPr="00FC1466">
              <w:rPr>
                <w:sz w:val="22"/>
                <w:szCs w:val="22"/>
                <w:lang w:val="tr-TR"/>
              </w:rPr>
              <w:t>(Mora-Huertas et al., 2010; Hunter, 1981)</w:t>
            </w:r>
          </w:p>
        </w:tc>
      </w:tr>
    </w:tbl>
    <w:p w14:paraId="18A33E3A" w14:textId="77777777" w:rsidR="00EC5E96" w:rsidRPr="00FC1466" w:rsidRDefault="00EC5E96" w:rsidP="00FC1466">
      <w:pPr>
        <w:spacing w:before="100" w:beforeAutospacing="1" w:after="100" w:afterAutospacing="1"/>
        <w:jc w:val="both"/>
        <w:rPr>
          <w:sz w:val="22"/>
          <w:szCs w:val="22"/>
        </w:rPr>
      </w:pPr>
    </w:p>
    <w:p w14:paraId="4996EAEC" w14:textId="77777777" w:rsidR="00E76DF1" w:rsidRPr="00FC1466" w:rsidRDefault="00E76DF1" w:rsidP="00FC1466">
      <w:pPr>
        <w:spacing w:before="100" w:beforeAutospacing="1" w:after="100" w:afterAutospacing="1"/>
        <w:ind w:left="567"/>
        <w:jc w:val="both"/>
        <w:rPr>
          <w:sz w:val="22"/>
          <w:szCs w:val="22"/>
        </w:rPr>
      </w:pPr>
      <w:r w:rsidRPr="00FC1466">
        <w:rPr>
          <w:sz w:val="22"/>
          <w:szCs w:val="22"/>
        </w:rPr>
        <w:t>Cryogenic transmission electron microscopy (cryo-TEM) enables direct visualization of phytochemical aggregates in their native aqueous state, allowing detailed characterization of aggregate morphology, internal structure, and heterogeneity. This technique has proven effective in identifying micelle-like, fibrillar, and amorphous assemblies in various soft matter and nanocarrier systems. Nevertheless, its application is constrained by high cost, low throughput, and the requirement for specialized expertise</w:t>
      </w:r>
      <w:r w:rsidR="00FD3D27" w:rsidRPr="00FC1466">
        <w:rPr>
          <w:sz w:val="22"/>
          <w:szCs w:val="22"/>
          <w:lang w:val="tr-TR"/>
        </w:rPr>
        <w:t xml:space="preserve"> </w:t>
      </w:r>
      <w:r w:rsidR="0049110E" w:rsidRPr="00FC1466">
        <w:rPr>
          <w:sz w:val="22"/>
          <w:szCs w:val="22"/>
          <w:lang w:val="tr-TR"/>
        </w:rPr>
        <w:t>(Dubochet et al., 1988; Manaia et al., 2017)</w:t>
      </w:r>
      <w:r w:rsidRPr="00FC1466">
        <w:rPr>
          <w:sz w:val="22"/>
          <w:szCs w:val="22"/>
        </w:rPr>
        <w:t>.</w:t>
      </w:r>
    </w:p>
    <w:p w14:paraId="3DBF2DE3" w14:textId="77777777" w:rsidR="00E76DF1" w:rsidRPr="00FC1466" w:rsidRDefault="00E76DF1" w:rsidP="00FC1466">
      <w:pPr>
        <w:spacing w:before="100" w:beforeAutospacing="1" w:after="100" w:afterAutospacing="1"/>
        <w:ind w:left="567"/>
        <w:jc w:val="both"/>
        <w:rPr>
          <w:sz w:val="22"/>
          <w:szCs w:val="22"/>
        </w:rPr>
      </w:pPr>
      <w:r w:rsidRPr="00FC1466">
        <w:rPr>
          <w:sz w:val="22"/>
          <w:szCs w:val="22"/>
        </w:rPr>
        <w:t>Diffusion-ordered spectroscopy nuclear magnetic resonance (DOSY-NMR) provides molecular-level insight into self-assembly processes by measuring diffusion coefficients associated with aggregate size and intermolecular interactions in solution. It is particularly useful for distinguishing monomeric species from oligomeric forms and for investigating reversible aggregation phenomena. However, the technique generally requires high sample purity and sophisticated data interpretation, which limits its routine application in complex crude extracts</w:t>
      </w:r>
      <w:r w:rsidR="00FD3D27" w:rsidRPr="00FC1466">
        <w:rPr>
          <w:sz w:val="22"/>
          <w:szCs w:val="22"/>
          <w:lang w:val="tr-TR"/>
        </w:rPr>
        <w:t xml:space="preserve"> </w:t>
      </w:r>
      <w:r w:rsidR="000A35AD" w:rsidRPr="00FC1466">
        <w:rPr>
          <w:sz w:val="22"/>
          <w:szCs w:val="22"/>
          <w:lang w:val="tr-TR"/>
        </w:rPr>
        <w:t>(Morris et al., 1992; Claridge, 2016)</w:t>
      </w:r>
      <w:r w:rsidRPr="00FC1466">
        <w:rPr>
          <w:sz w:val="22"/>
          <w:szCs w:val="22"/>
        </w:rPr>
        <w:t>.</w:t>
      </w:r>
    </w:p>
    <w:p w14:paraId="6A50223F" w14:textId="77777777" w:rsidR="00E76DF1" w:rsidRPr="00FC1466" w:rsidRDefault="00E76DF1" w:rsidP="00FC1466">
      <w:pPr>
        <w:spacing w:before="100" w:beforeAutospacing="1" w:after="100" w:afterAutospacing="1"/>
        <w:ind w:left="567"/>
        <w:jc w:val="both"/>
        <w:rPr>
          <w:sz w:val="22"/>
          <w:szCs w:val="22"/>
        </w:rPr>
      </w:pPr>
      <w:r w:rsidRPr="00FC1466">
        <w:rPr>
          <w:sz w:val="22"/>
          <w:szCs w:val="22"/>
        </w:rPr>
        <w:t>Ultraviolet–visible (UV–Vis) spectroscopy can be employed to indirectly probe PNMO in aromatic phytochemicals through changes in absorbance intensity, spectral shifts, and band broadening associated with π–π stacking and excitonic coupling. Many chromophoric systems, including porphyrins and carotenoids, exhibit characteristic hypochromic or bathochromic shifts, as well as peak sharpening or broadening upon self-assembly, providing a useful spectroscopic signature of aggregation. While this method is rapid and cost-effective, it typically yields only qualitative or semi-quantitative information and should therefore be complemented by other analytical techniques</w:t>
      </w:r>
      <w:r w:rsidR="00FD3D27" w:rsidRPr="00FC1466">
        <w:rPr>
          <w:sz w:val="22"/>
          <w:szCs w:val="22"/>
          <w:lang w:val="tr-TR"/>
        </w:rPr>
        <w:t xml:space="preserve"> </w:t>
      </w:r>
      <w:r w:rsidR="00B11943" w:rsidRPr="00FC1466">
        <w:rPr>
          <w:sz w:val="22"/>
          <w:szCs w:val="22"/>
          <w:lang w:val="tr-TR"/>
        </w:rPr>
        <w:t>(Kuciauskas et al., 2009; Ishigaki et al., 2017)</w:t>
      </w:r>
      <w:r w:rsidRPr="00FC1466">
        <w:rPr>
          <w:sz w:val="22"/>
          <w:szCs w:val="22"/>
        </w:rPr>
        <w:t>.</w:t>
      </w:r>
    </w:p>
    <w:p w14:paraId="1F3EC15A" w14:textId="77777777" w:rsidR="00E63DAC" w:rsidRPr="00FC1466" w:rsidRDefault="00E76DF1" w:rsidP="0012528C">
      <w:pPr>
        <w:spacing w:before="100" w:beforeAutospacing="1" w:after="100" w:afterAutospacing="1"/>
        <w:ind w:left="567"/>
        <w:jc w:val="both"/>
        <w:rPr>
          <w:sz w:val="22"/>
          <w:szCs w:val="22"/>
        </w:rPr>
      </w:pPr>
      <w:r w:rsidRPr="00FC1466">
        <w:rPr>
          <w:sz w:val="22"/>
          <w:szCs w:val="22"/>
        </w:rPr>
        <w:lastRenderedPageBreak/>
        <w:t>Finally, zeta potential measurements provide insight into the surface charge characteristics of phytochemical aggregates and their sensitivity to pH and ionic strength. Although zeta potential does not directly reveal aggregate structure, variations in surface charge can indicate aggregation, charge redistribution, or destabilization processes associated with PNMO. In nanoparticle formulation, zeta potential is routinely used as an indicator of colloidal stability; values greater than +30 mV or less than –30 mV are generally associated with reduced aggregation tendencies</w:t>
      </w:r>
      <w:r w:rsidR="00FD3D27" w:rsidRPr="00FC1466">
        <w:rPr>
          <w:sz w:val="22"/>
          <w:szCs w:val="22"/>
          <w:lang w:val="tr-TR"/>
        </w:rPr>
        <w:t xml:space="preserve"> </w:t>
      </w:r>
      <w:r w:rsidR="00C707D8" w:rsidRPr="00FC1466">
        <w:rPr>
          <w:sz w:val="22"/>
          <w:szCs w:val="22"/>
          <w:lang w:val="tr-TR"/>
        </w:rPr>
        <w:t>(Mora-Huertas et al., 2010; Hunter, 1981</w:t>
      </w:r>
      <w:r w:rsidR="00EC5E96" w:rsidRPr="00FC1466">
        <w:rPr>
          <w:sz w:val="22"/>
          <w:szCs w:val="22"/>
          <w:lang w:val="tr-TR"/>
        </w:rPr>
        <w:t>)</w:t>
      </w:r>
      <w:r w:rsidRPr="00FC1466">
        <w:rPr>
          <w:sz w:val="22"/>
          <w:szCs w:val="22"/>
        </w:rPr>
        <w:t>.</w:t>
      </w:r>
    </w:p>
    <w:p w14:paraId="458C53D7" w14:textId="77777777" w:rsidR="00E76DF1" w:rsidRPr="00FC1466" w:rsidRDefault="00E76DF1" w:rsidP="00FC1466">
      <w:pPr>
        <w:spacing w:before="100" w:beforeAutospacing="1" w:after="100" w:afterAutospacing="1"/>
        <w:ind w:left="567"/>
        <w:jc w:val="both"/>
        <w:outlineLvl w:val="2"/>
        <w:rPr>
          <w:b/>
          <w:bCs/>
          <w:sz w:val="22"/>
          <w:szCs w:val="22"/>
        </w:rPr>
      </w:pPr>
      <w:r w:rsidRPr="00FC1466">
        <w:rPr>
          <w:b/>
          <w:bCs/>
          <w:sz w:val="22"/>
          <w:szCs w:val="22"/>
        </w:rPr>
        <w:t>8. A Novel Design Strategy: Nanoparticle Engineering Guided by PNMO</w:t>
      </w:r>
    </w:p>
    <w:p w14:paraId="33793726" w14:textId="77777777" w:rsidR="00E76DF1" w:rsidRPr="00FC1466" w:rsidRDefault="00E76DF1" w:rsidP="00FC1466">
      <w:pPr>
        <w:spacing w:before="100" w:beforeAutospacing="1" w:after="100" w:afterAutospacing="1"/>
        <w:ind w:left="567"/>
        <w:jc w:val="both"/>
        <w:rPr>
          <w:sz w:val="22"/>
          <w:szCs w:val="22"/>
        </w:rPr>
      </w:pPr>
      <w:r w:rsidRPr="00FC1466">
        <w:rPr>
          <w:sz w:val="22"/>
          <w:szCs w:val="22"/>
        </w:rPr>
        <w:t>We propose that control of Pre-Nanoparticle Molecular Organization</w:t>
      </w:r>
      <w:r w:rsidRPr="00FC1466">
        <w:rPr>
          <w:b/>
          <w:bCs/>
          <w:sz w:val="22"/>
          <w:szCs w:val="22"/>
        </w:rPr>
        <w:t xml:space="preserve"> </w:t>
      </w:r>
      <w:r w:rsidRPr="00FC1466">
        <w:rPr>
          <w:sz w:val="22"/>
          <w:szCs w:val="22"/>
        </w:rPr>
        <w:t>(PNMO) should be explicitly incorporated as an upstream design parameter in nanoparticle formulation development, rather than being treated as incidental or overlooked. By deliberately modulating the supramolecular organization of phytochemicals prior to nanoparticle formation, it becomes possible to decouple molecular aggregation behavior from nanoparticle growth kinetics, thereby improving predictability, reproducibility, and rational control over final particle properties. This perspective reframes nanoparticle engineering as a two-stage process: (i) control of molecular organization, followed by (ii) nanostructure formation.</w:t>
      </w:r>
    </w:p>
    <w:p w14:paraId="4C4570B0" w14:textId="77777777" w:rsidR="00E76DF1" w:rsidRPr="00FC1466" w:rsidRDefault="00E76DF1" w:rsidP="00FC1466">
      <w:pPr>
        <w:spacing w:before="100" w:beforeAutospacing="1" w:after="100" w:afterAutospacing="1"/>
        <w:ind w:left="567"/>
        <w:jc w:val="both"/>
        <w:rPr>
          <w:sz w:val="22"/>
          <w:szCs w:val="22"/>
        </w:rPr>
      </w:pPr>
      <w:r w:rsidRPr="00FC1466">
        <w:rPr>
          <w:sz w:val="22"/>
          <w:szCs w:val="22"/>
        </w:rPr>
        <w:t xml:space="preserve">One of the most direct approaches to PNMO modulation is solvent polarity tuning, in which solvent composition is adjusted to weaken hydrophobic interactions and π–π stacking that stabilize phytochemical aggregates. For example, the controlled incorporation of auxiliary solvents such as ethanol in aqueous systems has been shown to significantly reduce aggregate size in polyphenols such as curcumin, thereby providing more homogeneous and controllable nucleation conditions for nanoparticle formation </w:t>
      </w:r>
      <w:r w:rsidR="00C707D8" w:rsidRPr="00FC1466">
        <w:rPr>
          <w:sz w:val="22"/>
          <w:szCs w:val="22"/>
          <w:lang w:val="tr-TR"/>
        </w:rPr>
        <w:t>(Pereira et al., 2022; Manasa et al., 2023)</w:t>
      </w:r>
      <w:r w:rsidRPr="00FC1466">
        <w:rPr>
          <w:sz w:val="22"/>
          <w:szCs w:val="22"/>
        </w:rPr>
        <w:t>.</w:t>
      </w:r>
    </w:p>
    <w:p w14:paraId="1F00FF82" w14:textId="77777777" w:rsidR="00E76DF1" w:rsidRPr="00FC1466" w:rsidRDefault="00E76DF1" w:rsidP="00FC1466">
      <w:pPr>
        <w:spacing w:before="100" w:beforeAutospacing="1" w:after="100" w:afterAutospacing="1"/>
        <w:ind w:left="567"/>
        <w:jc w:val="both"/>
        <w:rPr>
          <w:sz w:val="22"/>
          <w:szCs w:val="22"/>
        </w:rPr>
      </w:pPr>
      <w:r w:rsidRPr="00FC1466">
        <w:rPr>
          <w:sz w:val="22"/>
          <w:szCs w:val="22"/>
        </w:rPr>
        <w:t xml:space="preserve">Enzymatic modification represents a more targeted strategy, particularly for glycosylated phytochemicals such as saponins and glycoalkaloids. Partial removal or selective addition of sugar moieties can modulate steric hindrance and intermolecular hydrogen-bonding networks, thereby regulating aggregation behavior and promoting more uniform nanoparticle formation. Enzymatic approaches offer additional advantages, including high selectivity and mild reaction conditions, as demonstrated in the modification of curcuminoids to enhance their formulation properties </w:t>
      </w:r>
      <w:r w:rsidR="009D3D71" w:rsidRPr="00FC1466">
        <w:rPr>
          <w:sz w:val="22"/>
          <w:szCs w:val="22"/>
          <w:lang w:val="tr-TR"/>
        </w:rPr>
        <w:t>(Milner et al., 2011; Rachmawati et al., 2013)</w:t>
      </w:r>
      <w:r w:rsidRPr="00FC1466">
        <w:rPr>
          <w:sz w:val="22"/>
          <w:szCs w:val="22"/>
        </w:rPr>
        <w:t>.</w:t>
      </w:r>
    </w:p>
    <w:p w14:paraId="0456E377" w14:textId="77777777" w:rsidR="00E76DF1" w:rsidRPr="00FC1466" w:rsidRDefault="00E76DF1" w:rsidP="00FC1466">
      <w:pPr>
        <w:spacing w:before="100" w:beforeAutospacing="1" w:after="100" w:afterAutospacing="1"/>
        <w:ind w:left="567"/>
        <w:jc w:val="both"/>
        <w:rPr>
          <w:sz w:val="22"/>
          <w:szCs w:val="22"/>
          <w:lang w:val="tr-TR"/>
        </w:rPr>
      </w:pPr>
      <w:r w:rsidRPr="00FC1466">
        <w:rPr>
          <w:sz w:val="22"/>
          <w:szCs w:val="22"/>
        </w:rPr>
        <w:t xml:space="preserve">Cyclodextrin complexation provides a supramolecular strategy for transient molecular isolation by encapsulating hydrophobic regions of phytochemicals within the cyclodextrin cavity. This “molecular shielding” approach effectively protects aggregation-prone domains, increases apparent solubility, and prevents premature self-assembly. Cyclodextrin-assisted formulations have been widely reported to enhance the reproducibility, stability, and drug loading efficiency of natural product-based nanocarriers (Table 6) </w:t>
      </w:r>
      <w:r w:rsidR="00F433E4" w:rsidRPr="00FC1466">
        <w:rPr>
          <w:sz w:val="22"/>
          <w:szCs w:val="22"/>
          <w:lang w:val="tr-TR"/>
        </w:rPr>
        <w:t>(Loftsson et al., 2010; Gadade et al., 2020; Gao et al., 2025)</w:t>
      </w:r>
      <w:r w:rsidR="00F91438" w:rsidRPr="00FC1466">
        <w:rPr>
          <w:sz w:val="22"/>
          <w:szCs w:val="22"/>
          <w:lang w:val="tr-TR"/>
        </w:rPr>
        <w:t>.</w:t>
      </w:r>
    </w:p>
    <w:p w14:paraId="1460F96A" w14:textId="77777777" w:rsidR="006829E0" w:rsidRPr="00FC1466" w:rsidRDefault="006829E0" w:rsidP="00FC1466">
      <w:pPr>
        <w:pStyle w:val="HTMLPreformatted"/>
        <w:shd w:val="clear" w:color="auto" w:fill="F8F9FA"/>
        <w:tabs>
          <w:tab w:val="clear" w:pos="1832"/>
          <w:tab w:val="clear" w:pos="2748"/>
          <w:tab w:val="clear" w:pos="4580"/>
          <w:tab w:val="clear" w:pos="5496"/>
          <w:tab w:val="clear" w:pos="6412"/>
          <w:tab w:val="clear" w:pos="8244"/>
          <w:tab w:val="clear" w:pos="9160"/>
        </w:tabs>
        <w:ind w:left="567"/>
        <w:jc w:val="both"/>
        <w:rPr>
          <w:rStyle w:val="y2iqfc"/>
          <w:rFonts w:ascii="Times New Roman" w:hAnsi="Times New Roman" w:cs="Times New Roman"/>
          <w:color w:val="1F1F1F"/>
          <w:sz w:val="22"/>
          <w:szCs w:val="22"/>
          <w:lang w:val="tr-TR"/>
        </w:rPr>
      </w:pPr>
      <w:r w:rsidRPr="00FC1466">
        <w:rPr>
          <w:rStyle w:val="y2iqfc"/>
          <w:rFonts w:ascii="Times New Roman" w:hAnsi="Times New Roman" w:cs="Times New Roman"/>
          <w:b/>
          <w:bCs/>
          <w:color w:val="1F1F1F"/>
          <w:sz w:val="22"/>
          <w:szCs w:val="22"/>
          <w:lang w:val="en"/>
        </w:rPr>
        <w:t>Table 6.</w:t>
      </w:r>
      <w:r w:rsidRPr="00FC1466">
        <w:rPr>
          <w:rStyle w:val="y2iqfc"/>
          <w:rFonts w:ascii="Times New Roman" w:hAnsi="Times New Roman" w:cs="Times New Roman"/>
          <w:color w:val="1F1F1F"/>
          <w:sz w:val="22"/>
          <w:szCs w:val="22"/>
          <w:lang w:val="en"/>
        </w:rPr>
        <w:t xml:space="preserve"> </w:t>
      </w:r>
      <w:r w:rsidRPr="00FC1466">
        <w:rPr>
          <w:rFonts w:ascii="Times New Roman" w:hAnsi="Times New Roman" w:cs="Times New Roman"/>
          <w:sz w:val="22"/>
          <w:szCs w:val="22"/>
        </w:rPr>
        <w:t>PNMO C</w:t>
      </w:r>
      <w:r w:rsidRPr="00FC1466">
        <w:rPr>
          <w:rFonts w:ascii="Times New Roman" w:hAnsi="Times New Roman" w:cs="Times New Roman"/>
          <w:sz w:val="22"/>
          <w:szCs w:val="22"/>
          <w:lang w:val="tr-TR"/>
        </w:rPr>
        <w:t>ontrol Strategies</w:t>
      </w:r>
    </w:p>
    <w:p w14:paraId="674D1F49" w14:textId="77777777" w:rsidR="006829E0" w:rsidRPr="00FC1466" w:rsidRDefault="006829E0" w:rsidP="00FC1466">
      <w:pPr>
        <w:pStyle w:val="HTMLPreformatted"/>
        <w:shd w:val="clear" w:color="auto" w:fill="F8F9FA"/>
        <w:tabs>
          <w:tab w:val="clear" w:pos="1832"/>
          <w:tab w:val="clear" w:pos="2748"/>
          <w:tab w:val="clear" w:pos="4580"/>
          <w:tab w:val="clear" w:pos="5496"/>
          <w:tab w:val="clear" w:pos="6412"/>
          <w:tab w:val="clear" w:pos="8244"/>
          <w:tab w:val="clear" w:pos="9160"/>
        </w:tabs>
        <w:ind w:left="567"/>
        <w:jc w:val="both"/>
        <w:rPr>
          <w:rStyle w:val="y2iqfc"/>
          <w:rFonts w:ascii="Times New Roman" w:hAnsi="Times New Roman" w:cs="Times New Roman"/>
          <w:color w:val="1F1F1F"/>
          <w:sz w:val="22"/>
          <w:szCs w:val="22"/>
          <w:lang w:val="en"/>
        </w:rPr>
      </w:pPr>
    </w:p>
    <w:tbl>
      <w:tblPr>
        <w:tblStyle w:val="TableGrid"/>
        <w:tblW w:w="0" w:type="auto"/>
        <w:tblInd w:w="562" w:type="dxa"/>
        <w:tblLook w:val="04A0" w:firstRow="1" w:lastRow="0" w:firstColumn="1" w:lastColumn="0" w:noHBand="0" w:noVBand="1"/>
      </w:tblPr>
      <w:tblGrid>
        <w:gridCol w:w="1581"/>
        <w:gridCol w:w="2574"/>
        <w:gridCol w:w="2730"/>
        <w:gridCol w:w="1903"/>
      </w:tblGrid>
      <w:tr w:rsidR="00BE4972" w:rsidRPr="00FC1466" w14:paraId="2B4903F3" w14:textId="77777777" w:rsidTr="00BE4972">
        <w:tc>
          <w:tcPr>
            <w:tcW w:w="1581" w:type="dxa"/>
            <w:vAlign w:val="center"/>
          </w:tcPr>
          <w:p w14:paraId="14B6342D" w14:textId="77777777" w:rsidR="006829E0" w:rsidRPr="00FC1466" w:rsidRDefault="006829E0" w:rsidP="0012528C">
            <w:pPr>
              <w:jc w:val="both"/>
              <w:rPr>
                <w:b/>
                <w:bCs/>
                <w:sz w:val="22"/>
                <w:szCs w:val="22"/>
              </w:rPr>
            </w:pPr>
            <w:r w:rsidRPr="00FC1466">
              <w:rPr>
                <w:b/>
                <w:bCs/>
                <w:sz w:val="22"/>
                <w:szCs w:val="22"/>
              </w:rPr>
              <w:t>Strategy</w:t>
            </w:r>
          </w:p>
        </w:tc>
        <w:tc>
          <w:tcPr>
            <w:tcW w:w="2574" w:type="dxa"/>
            <w:vAlign w:val="center"/>
          </w:tcPr>
          <w:p w14:paraId="2CFC511B" w14:textId="77777777" w:rsidR="006829E0" w:rsidRPr="00FC1466" w:rsidRDefault="006829E0" w:rsidP="0012528C">
            <w:pPr>
              <w:jc w:val="both"/>
              <w:rPr>
                <w:b/>
                <w:bCs/>
                <w:sz w:val="22"/>
                <w:szCs w:val="22"/>
              </w:rPr>
            </w:pPr>
            <w:r w:rsidRPr="00FC1466">
              <w:rPr>
                <w:b/>
                <w:bCs/>
                <w:sz w:val="22"/>
                <w:szCs w:val="22"/>
              </w:rPr>
              <w:t>Mechanism</w:t>
            </w:r>
          </w:p>
        </w:tc>
        <w:tc>
          <w:tcPr>
            <w:tcW w:w="2730" w:type="dxa"/>
            <w:vAlign w:val="center"/>
          </w:tcPr>
          <w:p w14:paraId="66C03978" w14:textId="77777777" w:rsidR="006829E0" w:rsidRPr="00FC1466" w:rsidRDefault="006829E0" w:rsidP="0012528C">
            <w:pPr>
              <w:jc w:val="both"/>
              <w:rPr>
                <w:b/>
                <w:bCs/>
                <w:sz w:val="22"/>
                <w:szCs w:val="22"/>
              </w:rPr>
            </w:pPr>
            <w:r w:rsidRPr="00FC1466">
              <w:rPr>
                <w:b/>
                <w:bCs/>
                <w:sz w:val="22"/>
                <w:szCs w:val="22"/>
              </w:rPr>
              <w:t>Expected Outcome</w:t>
            </w:r>
          </w:p>
        </w:tc>
        <w:tc>
          <w:tcPr>
            <w:tcW w:w="1903" w:type="dxa"/>
            <w:vAlign w:val="center"/>
          </w:tcPr>
          <w:p w14:paraId="7769A76D" w14:textId="77777777" w:rsidR="006829E0" w:rsidRPr="00FC1466" w:rsidRDefault="006829E0" w:rsidP="0012528C">
            <w:pPr>
              <w:jc w:val="both"/>
              <w:rPr>
                <w:b/>
                <w:bCs/>
                <w:sz w:val="22"/>
                <w:szCs w:val="22"/>
              </w:rPr>
            </w:pPr>
            <w:r w:rsidRPr="00FC1466">
              <w:rPr>
                <w:b/>
                <w:bCs/>
                <w:sz w:val="22"/>
                <w:szCs w:val="22"/>
              </w:rPr>
              <w:t>References</w:t>
            </w:r>
          </w:p>
        </w:tc>
      </w:tr>
      <w:tr w:rsidR="00BE4972" w:rsidRPr="00FC1466" w14:paraId="0C461062" w14:textId="77777777" w:rsidTr="00BE4972">
        <w:tc>
          <w:tcPr>
            <w:tcW w:w="1581" w:type="dxa"/>
            <w:vAlign w:val="center"/>
          </w:tcPr>
          <w:p w14:paraId="2B2944CA" w14:textId="77777777" w:rsidR="006829E0" w:rsidRPr="00FC1466" w:rsidRDefault="006829E0" w:rsidP="0012528C">
            <w:pPr>
              <w:jc w:val="both"/>
              <w:rPr>
                <w:sz w:val="22"/>
                <w:szCs w:val="22"/>
              </w:rPr>
            </w:pPr>
            <w:r w:rsidRPr="00FC1466">
              <w:rPr>
                <w:sz w:val="22"/>
                <w:szCs w:val="22"/>
              </w:rPr>
              <w:t>Solvent Polarity Tuning</w:t>
            </w:r>
          </w:p>
        </w:tc>
        <w:tc>
          <w:tcPr>
            <w:tcW w:w="2574" w:type="dxa"/>
            <w:vAlign w:val="center"/>
          </w:tcPr>
          <w:p w14:paraId="6940C61B" w14:textId="77777777" w:rsidR="006829E0" w:rsidRPr="00FC1466" w:rsidRDefault="006829E0" w:rsidP="0012528C">
            <w:pPr>
              <w:jc w:val="both"/>
              <w:rPr>
                <w:sz w:val="22"/>
                <w:szCs w:val="22"/>
              </w:rPr>
            </w:pPr>
            <w:r w:rsidRPr="00FC1466">
              <w:rPr>
                <w:sz w:val="22"/>
                <w:szCs w:val="22"/>
              </w:rPr>
              <w:t>Disruption of hydrophobic cores and π–π stacking</w:t>
            </w:r>
          </w:p>
        </w:tc>
        <w:tc>
          <w:tcPr>
            <w:tcW w:w="2730" w:type="dxa"/>
            <w:vAlign w:val="center"/>
          </w:tcPr>
          <w:p w14:paraId="74FCFA02" w14:textId="77777777" w:rsidR="006829E0" w:rsidRPr="00FC1466" w:rsidRDefault="006829E0" w:rsidP="0012528C">
            <w:pPr>
              <w:jc w:val="both"/>
              <w:rPr>
                <w:sz w:val="22"/>
                <w:szCs w:val="22"/>
              </w:rPr>
            </w:pPr>
            <w:r w:rsidRPr="00FC1466">
              <w:rPr>
                <w:sz w:val="22"/>
                <w:szCs w:val="22"/>
              </w:rPr>
              <w:t>Smaller, less stable aggregates; improved uniformity</w:t>
            </w:r>
          </w:p>
        </w:tc>
        <w:tc>
          <w:tcPr>
            <w:tcW w:w="1903" w:type="dxa"/>
            <w:vAlign w:val="center"/>
          </w:tcPr>
          <w:p w14:paraId="281016C3" w14:textId="77777777" w:rsidR="006829E0" w:rsidRPr="00FC1466" w:rsidRDefault="00891886" w:rsidP="0012528C">
            <w:pPr>
              <w:jc w:val="both"/>
              <w:rPr>
                <w:sz w:val="22"/>
                <w:szCs w:val="22"/>
              </w:rPr>
            </w:pPr>
            <w:r w:rsidRPr="00FC1466">
              <w:rPr>
                <w:sz w:val="22"/>
                <w:szCs w:val="22"/>
                <w:lang w:val="tr-TR"/>
              </w:rPr>
              <w:t>(Pereira et al., 2022; Manasa et al., 2023)</w:t>
            </w:r>
          </w:p>
        </w:tc>
      </w:tr>
      <w:tr w:rsidR="00BE4972" w:rsidRPr="00FC1466" w14:paraId="7F6A8C5A" w14:textId="77777777" w:rsidTr="00BE4972">
        <w:tc>
          <w:tcPr>
            <w:tcW w:w="1581" w:type="dxa"/>
            <w:vAlign w:val="center"/>
          </w:tcPr>
          <w:p w14:paraId="76EF3566" w14:textId="77777777" w:rsidR="006829E0" w:rsidRPr="00FC1466" w:rsidRDefault="006829E0" w:rsidP="0012528C">
            <w:pPr>
              <w:jc w:val="both"/>
              <w:rPr>
                <w:sz w:val="22"/>
                <w:szCs w:val="22"/>
              </w:rPr>
            </w:pPr>
            <w:r w:rsidRPr="00FC1466">
              <w:rPr>
                <w:sz w:val="22"/>
                <w:szCs w:val="22"/>
              </w:rPr>
              <w:t>Enzymatic Modification</w:t>
            </w:r>
          </w:p>
        </w:tc>
        <w:tc>
          <w:tcPr>
            <w:tcW w:w="2574" w:type="dxa"/>
            <w:vAlign w:val="center"/>
          </w:tcPr>
          <w:p w14:paraId="51E073ED" w14:textId="77777777" w:rsidR="006829E0" w:rsidRPr="00FC1466" w:rsidRDefault="006829E0" w:rsidP="0012528C">
            <w:pPr>
              <w:jc w:val="both"/>
              <w:rPr>
                <w:sz w:val="22"/>
                <w:szCs w:val="22"/>
              </w:rPr>
            </w:pPr>
            <w:r w:rsidRPr="00FC1466">
              <w:rPr>
                <w:sz w:val="22"/>
                <w:szCs w:val="22"/>
              </w:rPr>
              <w:t>Alteration of steric hindrance and hydrogen bonding</w:t>
            </w:r>
          </w:p>
        </w:tc>
        <w:tc>
          <w:tcPr>
            <w:tcW w:w="2730" w:type="dxa"/>
            <w:vAlign w:val="center"/>
          </w:tcPr>
          <w:p w14:paraId="2ACC3E44" w14:textId="77777777" w:rsidR="006829E0" w:rsidRPr="00FC1466" w:rsidRDefault="006829E0" w:rsidP="0012528C">
            <w:pPr>
              <w:jc w:val="both"/>
              <w:rPr>
                <w:sz w:val="22"/>
                <w:szCs w:val="22"/>
              </w:rPr>
            </w:pPr>
            <w:r w:rsidRPr="00FC1466">
              <w:rPr>
                <w:sz w:val="22"/>
                <w:szCs w:val="22"/>
              </w:rPr>
              <w:t>More uniform nanoparticles; controlled aggregation</w:t>
            </w:r>
          </w:p>
        </w:tc>
        <w:tc>
          <w:tcPr>
            <w:tcW w:w="1903" w:type="dxa"/>
            <w:vAlign w:val="center"/>
          </w:tcPr>
          <w:p w14:paraId="787D7125" w14:textId="77777777" w:rsidR="006829E0" w:rsidRPr="00FC1466" w:rsidRDefault="00E60A98" w:rsidP="0012528C">
            <w:pPr>
              <w:jc w:val="both"/>
              <w:rPr>
                <w:sz w:val="22"/>
                <w:szCs w:val="22"/>
              </w:rPr>
            </w:pPr>
            <w:r w:rsidRPr="00FC1466">
              <w:rPr>
                <w:sz w:val="22"/>
                <w:szCs w:val="22"/>
                <w:lang w:val="tr-TR"/>
              </w:rPr>
              <w:t>(Milner et al., 2011; Rachmawati et al., 2013)</w:t>
            </w:r>
          </w:p>
        </w:tc>
      </w:tr>
      <w:tr w:rsidR="00BE4972" w:rsidRPr="00FC1466" w14:paraId="68B4BCBF" w14:textId="77777777" w:rsidTr="00BE4972">
        <w:tc>
          <w:tcPr>
            <w:tcW w:w="1581" w:type="dxa"/>
            <w:vAlign w:val="center"/>
          </w:tcPr>
          <w:p w14:paraId="359758E6" w14:textId="77777777" w:rsidR="006829E0" w:rsidRPr="00FC1466" w:rsidRDefault="006829E0" w:rsidP="0012528C">
            <w:pPr>
              <w:jc w:val="both"/>
              <w:rPr>
                <w:sz w:val="22"/>
                <w:szCs w:val="22"/>
              </w:rPr>
            </w:pPr>
            <w:r w:rsidRPr="00FC1466">
              <w:rPr>
                <w:sz w:val="22"/>
                <w:szCs w:val="22"/>
              </w:rPr>
              <w:lastRenderedPageBreak/>
              <w:t>Cyclodextrin Complexation</w:t>
            </w:r>
          </w:p>
        </w:tc>
        <w:tc>
          <w:tcPr>
            <w:tcW w:w="2574" w:type="dxa"/>
            <w:vAlign w:val="center"/>
          </w:tcPr>
          <w:p w14:paraId="0A3A414E" w14:textId="77777777" w:rsidR="006829E0" w:rsidRPr="00FC1466" w:rsidRDefault="006829E0" w:rsidP="0012528C">
            <w:pPr>
              <w:jc w:val="both"/>
              <w:rPr>
                <w:sz w:val="22"/>
                <w:szCs w:val="22"/>
              </w:rPr>
            </w:pPr>
            <w:r w:rsidRPr="00FC1466">
              <w:rPr>
                <w:sz w:val="22"/>
                <w:szCs w:val="22"/>
              </w:rPr>
              <w:t>Transient molecular isolation of hydrophobic domains</w:t>
            </w:r>
          </w:p>
        </w:tc>
        <w:tc>
          <w:tcPr>
            <w:tcW w:w="2730" w:type="dxa"/>
            <w:vAlign w:val="center"/>
          </w:tcPr>
          <w:p w14:paraId="77E80754" w14:textId="77777777" w:rsidR="006829E0" w:rsidRPr="00FC1466" w:rsidRDefault="006829E0" w:rsidP="0012528C">
            <w:pPr>
              <w:jc w:val="both"/>
              <w:rPr>
                <w:sz w:val="22"/>
                <w:szCs w:val="22"/>
              </w:rPr>
            </w:pPr>
            <w:r w:rsidRPr="00FC1466">
              <w:rPr>
                <w:sz w:val="22"/>
                <w:szCs w:val="22"/>
              </w:rPr>
              <w:t>Improved drug loading and reproducibility; reduced aggregation</w:t>
            </w:r>
          </w:p>
        </w:tc>
        <w:tc>
          <w:tcPr>
            <w:tcW w:w="1903" w:type="dxa"/>
            <w:vAlign w:val="center"/>
          </w:tcPr>
          <w:p w14:paraId="1B6E11FC" w14:textId="77777777" w:rsidR="006829E0" w:rsidRPr="00FC1466" w:rsidRDefault="00E60A98" w:rsidP="0012528C">
            <w:pPr>
              <w:jc w:val="both"/>
              <w:rPr>
                <w:sz w:val="22"/>
                <w:szCs w:val="22"/>
              </w:rPr>
            </w:pPr>
            <w:r w:rsidRPr="00FC1466">
              <w:rPr>
                <w:sz w:val="22"/>
                <w:szCs w:val="22"/>
                <w:lang w:val="tr-TR"/>
              </w:rPr>
              <w:t>(Loftsson et al., 2010; Gadade et al., 2020)</w:t>
            </w:r>
          </w:p>
        </w:tc>
      </w:tr>
      <w:tr w:rsidR="00BE4972" w:rsidRPr="00FC1466" w14:paraId="3938DF93" w14:textId="77777777" w:rsidTr="00BE4972">
        <w:tc>
          <w:tcPr>
            <w:tcW w:w="1581" w:type="dxa"/>
            <w:vAlign w:val="center"/>
          </w:tcPr>
          <w:p w14:paraId="78B9E12C" w14:textId="77777777" w:rsidR="006829E0" w:rsidRPr="00FC1466" w:rsidRDefault="006829E0" w:rsidP="0012528C">
            <w:pPr>
              <w:jc w:val="both"/>
              <w:rPr>
                <w:sz w:val="22"/>
                <w:szCs w:val="22"/>
              </w:rPr>
            </w:pPr>
            <w:r w:rsidRPr="00FC1466">
              <w:rPr>
                <w:sz w:val="22"/>
                <w:szCs w:val="22"/>
              </w:rPr>
              <w:t>Sequential Filtration</w:t>
            </w:r>
          </w:p>
        </w:tc>
        <w:tc>
          <w:tcPr>
            <w:tcW w:w="2574" w:type="dxa"/>
            <w:vAlign w:val="center"/>
          </w:tcPr>
          <w:p w14:paraId="0E004382" w14:textId="77777777" w:rsidR="006829E0" w:rsidRPr="00FC1466" w:rsidRDefault="006829E0" w:rsidP="0012528C">
            <w:pPr>
              <w:jc w:val="both"/>
              <w:rPr>
                <w:sz w:val="22"/>
                <w:szCs w:val="22"/>
              </w:rPr>
            </w:pPr>
            <w:r w:rsidRPr="00FC1466">
              <w:rPr>
                <w:sz w:val="22"/>
                <w:szCs w:val="22"/>
              </w:rPr>
              <w:t>Physical removal of large supramolecular clusters</w:t>
            </w:r>
          </w:p>
        </w:tc>
        <w:tc>
          <w:tcPr>
            <w:tcW w:w="2730" w:type="dxa"/>
            <w:vAlign w:val="center"/>
          </w:tcPr>
          <w:p w14:paraId="3B2A82B5" w14:textId="77777777" w:rsidR="006829E0" w:rsidRPr="00FC1466" w:rsidRDefault="006829E0" w:rsidP="0012528C">
            <w:pPr>
              <w:jc w:val="both"/>
              <w:rPr>
                <w:sz w:val="22"/>
                <w:szCs w:val="22"/>
              </w:rPr>
            </w:pPr>
            <w:r w:rsidRPr="00FC1466">
              <w:rPr>
                <w:sz w:val="22"/>
                <w:szCs w:val="22"/>
              </w:rPr>
              <w:t>Narrower starting size distribution; improved batch consistency</w:t>
            </w:r>
          </w:p>
        </w:tc>
        <w:tc>
          <w:tcPr>
            <w:tcW w:w="1903" w:type="dxa"/>
            <w:vAlign w:val="center"/>
          </w:tcPr>
          <w:p w14:paraId="68E5213C" w14:textId="77777777" w:rsidR="006829E0" w:rsidRPr="00FC1466" w:rsidRDefault="00E60A98" w:rsidP="0012528C">
            <w:pPr>
              <w:jc w:val="both"/>
              <w:rPr>
                <w:sz w:val="22"/>
                <w:szCs w:val="22"/>
              </w:rPr>
            </w:pPr>
            <w:r w:rsidRPr="00FC1466">
              <w:rPr>
                <w:sz w:val="22"/>
                <w:szCs w:val="22"/>
                <w:lang w:val="tr-TR"/>
              </w:rPr>
              <w:t>(Mora-Huertas et al., 2010)</w:t>
            </w:r>
          </w:p>
        </w:tc>
      </w:tr>
    </w:tbl>
    <w:p w14:paraId="55E5F001" w14:textId="77777777" w:rsidR="00EC507B" w:rsidRPr="00FC1466" w:rsidRDefault="00E76DF1" w:rsidP="0012528C">
      <w:pPr>
        <w:spacing w:before="100" w:beforeAutospacing="1" w:after="100" w:afterAutospacing="1"/>
        <w:ind w:left="567"/>
        <w:jc w:val="both"/>
        <w:rPr>
          <w:sz w:val="22"/>
          <w:szCs w:val="22"/>
        </w:rPr>
      </w:pPr>
      <w:r w:rsidRPr="00FC1466">
        <w:rPr>
          <w:sz w:val="22"/>
          <w:szCs w:val="22"/>
        </w:rPr>
        <w:t xml:space="preserve">Finally, sequential filtration or size-exclusion pretreatment can be employed to physically remove large supramolecular clusters prior to nanoparticle preparation. Although this approach does not directly modify the underlying molecular aggregation mechanisms, it narrows the size distribution of the starting material and eliminates excessively large nucleation centers, thereby improving batch consistency and the scalability of processes such as nanoprecipitation </w:t>
      </w:r>
      <w:r w:rsidR="00BB0F5F" w:rsidRPr="00FC1466">
        <w:rPr>
          <w:sz w:val="22"/>
          <w:szCs w:val="22"/>
          <w:lang w:val="tr-TR"/>
        </w:rPr>
        <w:t>(Mora-Huertas et al., 2010)</w:t>
      </w:r>
      <w:r w:rsidRPr="00FC1466">
        <w:rPr>
          <w:sz w:val="22"/>
          <w:szCs w:val="22"/>
        </w:rPr>
        <w:t>.</w:t>
      </w:r>
    </w:p>
    <w:p w14:paraId="71353BE3" w14:textId="77777777" w:rsidR="00E76DF1" w:rsidRPr="00FC1466" w:rsidRDefault="00E76DF1" w:rsidP="00FC1466">
      <w:pPr>
        <w:spacing w:before="100" w:beforeAutospacing="1" w:after="100" w:afterAutospacing="1"/>
        <w:ind w:left="567"/>
        <w:jc w:val="both"/>
        <w:outlineLvl w:val="2"/>
        <w:rPr>
          <w:b/>
          <w:bCs/>
          <w:sz w:val="22"/>
          <w:szCs w:val="22"/>
        </w:rPr>
      </w:pPr>
      <w:r w:rsidRPr="00FC1466">
        <w:rPr>
          <w:b/>
          <w:bCs/>
          <w:sz w:val="22"/>
          <w:szCs w:val="22"/>
        </w:rPr>
        <w:t>9. Implications from a Regulatory Science and Reproducibility Perspective</w:t>
      </w:r>
    </w:p>
    <w:p w14:paraId="22477864" w14:textId="77777777" w:rsidR="00E76DF1" w:rsidRPr="00FC1466" w:rsidRDefault="00E76DF1" w:rsidP="00FC1466">
      <w:pPr>
        <w:spacing w:before="100" w:beforeAutospacing="1" w:after="100" w:afterAutospacing="1"/>
        <w:ind w:left="567"/>
        <w:jc w:val="both"/>
        <w:rPr>
          <w:sz w:val="22"/>
          <w:szCs w:val="22"/>
        </w:rPr>
      </w:pPr>
      <w:r w:rsidRPr="00FC1466">
        <w:rPr>
          <w:sz w:val="22"/>
          <w:szCs w:val="22"/>
        </w:rPr>
        <w:t>The neglect of Pre-Nanoparticle Molecular Organization</w:t>
      </w:r>
      <w:r w:rsidRPr="00FC1466">
        <w:rPr>
          <w:b/>
          <w:bCs/>
          <w:sz w:val="22"/>
          <w:szCs w:val="22"/>
        </w:rPr>
        <w:t xml:space="preserve"> </w:t>
      </w:r>
      <w:r w:rsidRPr="00FC1466">
        <w:rPr>
          <w:sz w:val="22"/>
          <w:szCs w:val="22"/>
        </w:rPr>
        <w:t>(PNMO) may provide a mechanistic explanation for why a substantial proportion of natural product-based nanomedicines fail to progress to clinical application despite promising preclinical efficacy. Current regulatory evaluation frameworks place considerable emphasis on chemical identity, purity, and the physicochemical properties of the final nanoparticle formulation, yet they largely overlook the molecular aggregation state of bioactive compounds prior to nanoparticle production. This gap is particularly critical for phytochemical-based systems, in which supramolecular self-assembly is intrinsic, dynamic, and highly sensitive to processing history.</w:t>
      </w:r>
    </w:p>
    <w:p w14:paraId="2AE250CC" w14:textId="77777777" w:rsidR="00BE4972" w:rsidRPr="00FC1466" w:rsidRDefault="00E76DF1" w:rsidP="00FC1466">
      <w:pPr>
        <w:spacing w:before="100" w:beforeAutospacing="1" w:after="100" w:afterAutospacing="1"/>
        <w:ind w:left="567"/>
        <w:jc w:val="both"/>
        <w:rPr>
          <w:rStyle w:val="y2iqfc"/>
          <w:sz w:val="22"/>
          <w:szCs w:val="22"/>
        </w:rPr>
      </w:pPr>
      <w:r w:rsidRPr="00FC1466">
        <w:rPr>
          <w:sz w:val="22"/>
          <w:szCs w:val="22"/>
        </w:rPr>
        <w:t xml:space="preserve">Existing regulatory paradigms in nanomedicine primarily focus on end-product critical quality attributes (CQAs), such as particle size, polydispersity, surface charge, and drug loading. While these parameters are essential, they represent only a static snapshot of the final formulation and fail to capture the upstream molecular processes governing nanoparticle nucleation and growth. As a result, formulations that meet nominal specifications for size and composition may still exhibit unpredictable in vivo behavior, inconsistent pharmacokinetics, or unanticipated toxicity profiles—phenomena that are frequently reported for natural product-based nanocarriers (Table 7) </w:t>
      </w:r>
      <w:r w:rsidR="00BB0F5F" w:rsidRPr="00FC1466">
        <w:rPr>
          <w:sz w:val="22"/>
          <w:szCs w:val="22"/>
          <w:lang w:val="tr-TR"/>
        </w:rPr>
        <w:t>(Blanco et al., 2015; Wilhelm et al., 2016)</w:t>
      </w:r>
      <w:r w:rsidRPr="00FC1466">
        <w:rPr>
          <w:sz w:val="22"/>
          <w:szCs w:val="22"/>
        </w:rPr>
        <w:t>.</w:t>
      </w:r>
    </w:p>
    <w:p w14:paraId="47426BFD" w14:textId="77777777" w:rsidR="00EA63D7" w:rsidRPr="00FC1466" w:rsidRDefault="00EA63D7" w:rsidP="00FC1466">
      <w:pPr>
        <w:pStyle w:val="HTMLPreformatted"/>
        <w:shd w:val="clear" w:color="auto" w:fill="F8F9FA"/>
        <w:ind w:left="567"/>
        <w:jc w:val="both"/>
        <w:rPr>
          <w:rFonts w:ascii="Times New Roman" w:hAnsi="Times New Roman" w:cs="Times New Roman"/>
          <w:sz w:val="22"/>
          <w:szCs w:val="22"/>
        </w:rPr>
      </w:pPr>
      <w:r w:rsidRPr="00FC1466">
        <w:rPr>
          <w:rStyle w:val="y2iqfc"/>
          <w:rFonts w:ascii="Times New Roman" w:hAnsi="Times New Roman" w:cs="Times New Roman"/>
          <w:b/>
          <w:bCs/>
          <w:color w:val="1F1F1F"/>
          <w:sz w:val="22"/>
          <w:szCs w:val="22"/>
          <w:lang w:val="en"/>
        </w:rPr>
        <w:t>Table 7.</w:t>
      </w:r>
      <w:r w:rsidRPr="00FC1466">
        <w:rPr>
          <w:rStyle w:val="y2iqfc"/>
          <w:rFonts w:ascii="Times New Roman" w:hAnsi="Times New Roman" w:cs="Times New Roman"/>
          <w:color w:val="1F1F1F"/>
          <w:sz w:val="22"/>
          <w:szCs w:val="22"/>
          <w:lang w:val="en"/>
        </w:rPr>
        <w:t xml:space="preserve"> </w:t>
      </w:r>
      <w:r w:rsidRPr="00FC1466">
        <w:rPr>
          <w:rFonts w:ascii="Times New Roman" w:hAnsi="Times New Roman" w:cs="Times New Roman"/>
          <w:sz w:val="22"/>
          <w:szCs w:val="22"/>
        </w:rPr>
        <w:t xml:space="preserve">PNMO </w:t>
      </w:r>
      <w:r w:rsidRPr="00FC1466">
        <w:rPr>
          <w:rFonts w:ascii="Times New Roman" w:hAnsi="Times New Roman" w:cs="Times New Roman"/>
          <w:sz w:val="22"/>
          <w:szCs w:val="22"/>
          <w:lang w:val="tr-TR"/>
        </w:rPr>
        <w:t>as a Missing Regulatory Parameter</w:t>
      </w:r>
    </w:p>
    <w:p w14:paraId="5A35A67F" w14:textId="77777777" w:rsidR="00EA63D7" w:rsidRPr="00FC1466" w:rsidRDefault="00EA63D7" w:rsidP="00FC1466">
      <w:pPr>
        <w:pStyle w:val="HTMLPreformatted"/>
        <w:shd w:val="clear" w:color="auto" w:fill="F8F9FA"/>
        <w:ind w:left="567"/>
        <w:jc w:val="both"/>
        <w:rPr>
          <w:rStyle w:val="y2iqfc"/>
          <w:rFonts w:ascii="Times New Roman" w:hAnsi="Times New Roman" w:cs="Times New Roman"/>
          <w:sz w:val="22"/>
          <w:szCs w:val="22"/>
        </w:rPr>
      </w:pPr>
    </w:p>
    <w:tbl>
      <w:tblPr>
        <w:tblStyle w:val="TableGrid"/>
        <w:tblW w:w="0" w:type="auto"/>
        <w:tblInd w:w="562" w:type="dxa"/>
        <w:tblLook w:val="04A0" w:firstRow="1" w:lastRow="0" w:firstColumn="1" w:lastColumn="0" w:noHBand="0" w:noVBand="1"/>
      </w:tblPr>
      <w:tblGrid>
        <w:gridCol w:w="1368"/>
        <w:gridCol w:w="2015"/>
        <w:gridCol w:w="3502"/>
        <w:gridCol w:w="1903"/>
      </w:tblGrid>
      <w:tr w:rsidR="00EA63D7" w:rsidRPr="00FC1466" w14:paraId="470771D1" w14:textId="77777777" w:rsidTr="00BE4972">
        <w:tc>
          <w:tcPr>
            <w:tcW w:w="1368" w:type="dxa"/>
            <w:vAlign w:val="center"/>
          </w:tcPr>
          <w:p w14:paraId="57412AF4" w14:textId="77777777" w:rsidR="00EA63D7" w:rsidRPr="00FC1466" w:rsidRDefault="00EA63D7" w:rsidP="0012528C">
            <w:pPr>
              <w:ind w:left="26"/>
              <w:jc w:val="both"/>
              <w:rPr>
                <w:b/>
                <w:bCs/>
                <w:sz w:val="22"/>
                <w:szCs w:val="22"/>
              </w:rPr>
            </w:pPr>
            <w:r w:rsidRPr="00FC1466">
              <w:rPr>
                <w:b/>
                <w:bCs/>
                <w:sz w:val="22"/>
                <w:szCs w:val="22"/>
              </w:rPr>
              <w:t>Regulatory Aspect</w:t>
            </w:r>
          </w:p>
        </w:tc>
        <w:tc>
          <w:tcPr>
            <w:tcW w:w="2015" w:type="dxa"/>
            <w:vAlign w:val="center"/>
          </w:tcPr>
          <w:p w14:paraId="7A19C427" w14:textId="77777777" w:rsidR="00EA63D7" w:rsidRPr="00FC1466" w:rsidRDefault="00EA63D7" w:rsidP="0012528C">
            <w:pPr>
              <w:ind w:left="-82"/>
              <w:jc w:val="both"/>
              <w:rPr>
                <w:b/>
                <w:bCs/>
                <w:sz w:val="22"/>
                <w:szCs w:val="22"/>
              </w:rPr>
            </w:pPr>
            <w:r w:rsidRPr="00FC1466">
              <w:rPr>
                <w:b/>
                <w:bCs/>
                <w:sz w:val="22"/>
                <w:szCs w:val="22"/>
              </w:rPr>
              <w:t>Current Status</w:t>
            </w:r>
          </w:p>
        </w:tc>
        <w:tc>
          <w:tcPr>
            <w:tcW w:w="3502" w:type="dxa"/>
            <w:vAlign w:val="center"/>
          </w:tcPr>
          <w:p w14:paraId="4987137D" w14:textId="77777777" w:rsidR="00EA63D7" w:rsidRPr="00FC1466" w:rsidRDefault="00EA63D7" w:rsidP="0012528C">
            <w:pPr>
              <w:ind w:left="-82"/>
              <w:jc w:val="both"/>
              <w:rPr>
                <w:b/>
                <w:bCs/>
                <w:sz w:val="22"/>
                <w:szCs w:val="22"/>
              </w:rPr>
            </w:pPr>
            <w:r w:rsidRPr="00FC1466">
              <w:rPr>
                <w:b/>
                <w:bCs/>
                <w:sz w:val="22"/>
                <w:szCs w:val="22"/>
              </w:rPr>
              <w:t>PNMO-Based Recommendation</w:t>
            </w:r>
          </w:p>
        </w:tc>
        <w:tc>
          <w:tcPr>
            <w:tcW w:w="1903" w:type="dxa"/>
            <w:vAlign w:val="center"/>
          </w:tcPr>
          <w:p w14:paraId="5E037E0C" w14:textId="77777777" w:rsidR="00EA63D7" w:rsidRPr="00FC1466" w:rsidRDefault="00EA63D7" w:rsidP="0012528C">
            <w:pPr>
              <w:ind w:left="-82"/>
              <w:jc w:val="both"/>
              <w:rPr>
                <w:b/>
                <w:bCs/>
                <w:sz w:val="22"/>
                <w:szCs w:val="22"/>
              </w:rPr>
            </w:pPr>
            <w:r w:rsidRPr="00FC1466">
              <w:rPr>
                <w:b/>
                <w:bCs/>
                <w:sz w:val="22"/>
                <w:szCs w:val="22"/>
              </w:rPr>
              <w:t>References</w:t>
            </w:r>
          </w:p>
        </w:tc>
      </w:tr>
      <w:tr w:rsidR="00EA63D7" w:rsidRPr="00FC1466" w14:paraId="46502E34" w14:textId="77777777" w:rsidTr="00BE4972">
        <w:tc>
          <w:tcPr>
            <w:tcW w:w="1368" w:type="dxa"/>
            <w:vAlign w:val="center"/>
          </w:tcPr>
          <w:p w14:paraId="03A64881" w14:textId="77777777" w:rsidR="00EA63D7" w:rsidRPr="00FC1466" w:rsidRDefault="00EA63D7" w:rsidP="0012528C">
            <w:pPr>
              <w:ind w:left="26"/>
              <w:jc w:val="both"/>
              <w:rPr>
                <w:sz w:val="22"/>
                <w:szCs w:val="22"/>
              </w:rPr>
            </w:pPr>
            <w:r w:rsidRPr="00FC1466">
              <w:rPr>
                <w:sz w:val="22"/>
                <w:szCs w:val="22"/>
              </w:rPr>
              <w:t>Raw Material Control</w:t>
            </w:r>
          </w:p>
        </w:tc>
        <w:tc>
          <w:tcPr>
            <w:tcW w:w="2015" w:type="dxa"/>
            <w:vAlign w:val="center"/>
          </w:tcPr>
          <w:p w14:paraId="1D382DB8" w14:textId="77777777" w:rsidR="00EA63D7" w:rsidRPr="00FC1466" w:rsidRDefault="00EA63D7" w:rsidP="0012528C">
            <w:pPr>
              <w:ind w:left="-82"/>
              <w:jc w:val="both"/>
              <w:rPr>
                <w:sz w:val="22"/>
                <w:szCs w:val="22"/>
              </w:rPr>
            </w:pPr>
            <w:r w:rsidRPr="00FC1466">
              <w:rPr>
                <w:sz w:val="22"/>
                <w:szCs w:val="22"/>
              </w:rPr>
              <w:t>Chemical identity and purity</w:t>
            </w:r>
          </w:p>
        </w:tc>
        <w:tc>
          <w:tcPr>
            <w:tcW w:w="3502" w:type="dxa"/>
            <w:vAlign w:val="center"/>
          </w:tcPr>
          <w:p w14:paraId="0F3EAFCF" w14:textId="77777777" w:rsidR="00EA63D7" w:rsidRPr="00FC1466" w:rsidRDefault="00EA63D7" w:rsidP="0012528C">
            <w:pPr>
              <w:ind w:left="-82"/>
              <w:jc w:val="both"/>
              <w:rPr>
                <w:sz w:val="22"/>
                <w:szCs w:val="22"/>
              </w:rPr>
            </w:pPr>
            <w:r w:rsidRPr="00FC1466">
              <w:rPr>
                <w:sz w:val="22"/>
                <w:szCs w:val="22"/>
              </w:rPr>
              <w:t>Chemical identity + aggregation state characterization</w:t>
            </w:r>
          </w:p>
        </w:tc>
        <w:tc>
          <w:tcPr>
            <w:tcW w:w="1903" w:type="dxa"/>
            <w:vAlign w:val="center"/>
          </w:tcPr>
          <w:p w14:paraId="72EB4202" w14:textId="77777777" w:rsidR="00EA63D7" w:rsidRPr="00FC1466" w:rsidRDefault="00BB0F5F" w:rsidP="0012528C">
            <w:pPr>
              <w:ind w:left="-82"/>
              <w:jc w:val="both"/>
              <w:rPr>
                <w:sz w:val="22"/>
                <w:szCs w:val="22"/>
              </w:rPr>
            </w:pPr>
            <w:r w:rsidRPr="00FC1466">
              <w:rPr>
                <w:sz w:val="22"/>
                <w:szCs w:val="22"/>
                <w:lang w:val="tr-TR"/>
              </w:rPr>
              <w:t>Zhu et al., 2022; Halamoda-Kenzaoui et al., 2019)</w:t>
            </w:r>
          </w:p>
        </w:tc>
      </w:tr>
      <w:tr w:rsidR="00EA63D7" w:rsidRPr="00FC1466" w14:paraId="4056FF96" w14:textId="77777777" w:rsidTr="00BE4972">
        <w:tc>
          <w:tcPr>
            <w:tcW w:w="1368" w:type="dxa"/>
            <w:vAlign w:val="center"/>
          </w:tcPr>
          <w:p w14:paraId="0D0954E4" w14:textId="77777777" w:rsidR="00EA63D7" w:rsidRPr="00FC1466" w:rsidRDefault="00EA63D7" w:rsidP="0012528C">
            <w:pPr>
              <w:ind w:left="26"/>
              <w:jc w:val="both"/>
              <w:rPr>
                <w:sz w:val="22"/>
                <w:szCs w:val="22"/>
              </w:rPr>
            </w:pPr>
            <w:r w:rsidRPr="00FC1466">
              <w:rPr>
                <w:sz w:val="22"/>
                <w:szCs w:val="22"/>
              </w:rPr>
              <w:t>Quality Attributes</w:t>
            </w:r>
          </w:p>
        </w:tc>
        <w:tc>
          <w:tcPr>
            <w:tcW w:w="2015" w:type="dxa"/>
            <w:vAlign w:val="center"/>
          </w:tcPr>
          <w:p w14:paraId="3A0A53B2" w14:textId="77777777" w:rsidR="00EA63D7" w:rsidRPr="00FC1466" w:rsidRDefault="00EA63D7" w:rsidP="0012528C">
            <w:pPr>
              <w:ind w:left="-82"/>
              <w:jc w:val="both"/>
              <w:rPr>
                <w:sz w:val="22"/>
                <w:szCs w:val="22"/>
              </w:rPr>
            </w:pPr>
            <w:r w:rsidRPr="00FC1466">
              <w:rPr>
                <w:sz w:val="22"/>
                <w:szCs w:val="22"/>
              </w:rPr>
              <w:t>Final particle size and PDI</w:t>
            </w:r>
          </w:p>
        </w:tc>
        <w:tc>
          <w:tcPr>
            <w:tcW w:w="3502" w:type="dxa"/>
            <w:vAlign w:val="center"/>
          </w:tcPr>
          <w:p w14:paraId="3939953A" w14:textId="77777777" w:rsidR="00EA63D7" w:rsidRPr="00FC1466" w:rsidRDefault="00EA63D7" w:rsidP="0012528C">
            <w:pPr>
              <w:ind w:left="-82"/>
              <w:jc w:val="both"/>
              <w:rPr>
                <w:sz w:val="22"/>
                <w:szCs w:val="22"/>
              </w:rPr>
            </w:pPr>
            <w:r w:rsidRPr="00FC1466">
              <w:rPr>
                <w:sz w:val="22"/>
                <w:szCs w:val="22"/>
              </w:rPr>
              <w:t>Particle size + pre-particle (PNMO) size and state</w:t>
            </w:r>
          </w:p>
        </w:tc>
        <w:tc>
          <w:tcPr>
            <w:tcW w:w="1903" w:type="dxa"/>
            <w:vAlign w:val="center"/>
          </w:tcPr>
          <w:p w14:paraId="711EA96F" w14:textId="77777777" w:rsidR="00EA63D7" w:rsidRPr="00FC1466" w:rsidRDefault="00BB0F5F" w:rsidP="0012528C">
            <w:pPr>
              <w:ind w:left="-82"/>
              <w:jc w:val="both"/>
              <w:rPr>
                <w:sz w:val="22"/>
                <w:szCs w:val="22"/>
              </w:rPr>
            </w:pPr>
            <w:r w:rsidRPr="00FC1466">
              <w:rPr>
                <w:sz w:val="22"/>
                <w:szCs w:val="22"/>
                <w:lang w:val="tr-TR"/>
              </w:rPr>
              <w:t>(Blanco et al., 2015; Wilhelm et al., 2016)</w:t>
            </w:r>
          </w:p>
        </w:tc>
      </w:tr>
      <w:tr w:rsidR="00EA63D7" w:rsidRPr="00FC1466" w14:paraId="48803445" w14:textId="77777777" w:rsidTr="00BE4972">
        <w:tc>
          <w:tcPr>
            <w:tcW w:w="1368" w:type="dxa"/>
            <w:vAlign w:val="center"/>
          </w:tcPr>
          <w:p w14:paraId="6497E57F" w14:textId="77777777" w:rsidR="00EA63D7" w:rsidRPr="00FC1466" w:rsidRDefault="00EA63D7" w:rsidP="0012528C">
            <w:pPr>
              <w:ind w:left="26"/>
              <w:jc w:val="both"/>
              <w:rPr>
                <w:sz w:val="22"/>
                <w:szCs w:val="22"/>
              </w:rPr>
            </w:pPr>
            <w:r w:rsidRPr="00FC1466">
              <w:rPr>
                <w:sz w:val="22"/>
                <w:szCs w:val="22"/>
              </w:rPr>
              <w:t>Batch Validation</w:t>
            </w:r>
          </w:p>
        </w:tc>
        <w:tc>
          <w:tcPr>
            <w:tcW w:w="2015" w:type="dxa"/>
            <w:vAlign w:val="center"/>
          </w:tcPr>
          <w:p w14:paraId="324C2855" w14:textId="77777777" w:rsidR="00EA63D7" w:rsidRPr="00FC1466" w:rsidRDefault="00EA63D7" w:rsidP="0012528C">
            <w:pPr>
              <w:ind w:left="-82"/>
              <w:jc w:val="both"/>
              <w:rPr>
                <w:sz w:val="22"/>
                <w:szCs w:val="22"/>
              </w:rPr>
            </w:pPr>
            <w:r w:rsidRPr="00FC1466">
              <w:rPr>
                <w:sz w:val="22"/>
                <w:szCs w:val="22"/>
              </w:rPr>
              <w:t>End-product testing</w:t>
            </w:r>
          </w:p>
        </w:tc>
        <w:tc>
          <w:tcPr>
            <w:tcW w:w="3502" w:type="dxa"/>
            <w:vAlign w:val="center"/>
          </w:tcPr>
          <w:p w14:paraId="2EB40DA3" w14:textId="77777777" w:rsidR="00EA63D7" w:rsidRPr="00FC1466" w:rsidRDefault="00EA63D7" w:rsidP="0012528C">
            <w:pPr>
              <w:ind w:left="-82"/>
              <w:jc w:val="both"/>
              <w:rPr>
                <w:sz w:val="22"/>
                <w:szCs w:val="22"/>
              </w:rPr>
            </w:pPr>
            <w:r w:rsidRPr="00FC1466">
              <w:rPr>
                <w:sz w:val="22"/>
                <w:szCs w:val="22"/>
              </w:rPr>
              <w:t>Inclusion of process controls and aggregation history</w:t>
            </w:r>
          </w:p>
        </w:tc>
        <w:tc>
          <w:tcPr>
            <w:tcW w:w="1903" w:type="dxa"/>
            <w:vAlign w:val="center"/>
          </w:tcPr>
          <w:p w14:paraId="4C7BE800" w14:textId="77777777" w:rsidR="00EA63D7" w:rsidRPr="00FC1466" w:rsidRDefault="009E6E73" w:rsidP="0012528C">
            <w:pPr>
              <w:ind w:left="-82"/>
              <w:jc w:val="both"/>
              <w:rPr>
                <w:sz w:val="22"/>
                <w:szCs w:val="22"/>
              </w:rPr>
            </w:pPr>
            <w:r w:rsidRPr="00FC1466">
              <w:rPr>
                <w:sz w:val="22"/>
                <w:szCs w:val="22"/>
                <w:lang w:val="tr-TR"/>
              </w:rPr>
              <w:t>(Mora-Huertas et al., 2010; FDA, 2011)</w:t>
            </w:r>
          </w:p>
        </w:tc>
      </w:tr>
    </w:tbl>
    <w:p w14:paraId="796226F6" w14:textId="77777777" w:rsidR="00E76DF1" w:rsidRPr="00FC1466" w:rsidRDefault="00E76DF1" w:rsidP="00FC1466">
      <w:pPr>
        <w:spacing w:before="100" w:beforeAutospacing="1" w:after="100" w:afterAutospacing="1"/>
        <w:ind w:left="567"/>
        <w:jc w:val="both"/>
        <w:rPr>
          <w:sz w:val="22"/>
          <w:szCs w:val="22"/>
        </w:rPr>
      </w:pPr>
      <w:r w:rsidRPr="00FC1466">
        <w:rPr>
          <w:sz w:val="22"/>
          <w:szCs w:val="22"/>
        </w:rPr>
        <w:t xml:space="preserve">Incorporating PNMO into regulatory assessment would enable a more process-oriented evaluation of nanomedical quality. Expanding raw material characterization to include aggregation state and </w:t>
      </w:r>
      <w:r w:rsidRPr="00FC1466">
        <w:rPr>
          <w:sz w:val="22"/>
          <w:szCs w:val="22"/>
        </w:rPr>
        <w:lastRenderedPageBreak/>
        <w:t xml:space="preserve">supramolecular organization would allow both regulators and manufacturers to better control batch-to-batch variability and establish more robust correlations between formulation parameters and clinical performance. Importantly, such an approach aligns with emerging regulatory science initiatives that emphasize manufacturing history, Quality by Design (QbD), and risk-based assessment in the development of complex pharmaceutical products </w:t>
      </w:r>
      <w:r w:rsidR="009E6E73" w:rsidRPr="00FC1466">
        <w:rPr>
          <w:sz w:val="22"/>
          <w:szCs w:val="22"/>
          <w:lang w:val="tr-TR"/>
        </w:rPr>
        <w:t>(Halamoda-Kenzaoui et al., 2019; FDA, 2011)</w:t>
      </w:r>
      <w:r w:rsidRPr="00FC1466">
        <w:rPr>
          <w:sz w:val="22"/>
          <w:szCs w:val="22"/>
        </w:rPr>
        <w:t>.</w:t>
      </w:r>
    </w:p>
    <w:p w14:paraId="457D9AC9" w14:textId="77777777" w:rsidR="00EC507B" w:rsidRPr="00FC1466" w:rsidRDefault="00E76DF1" w:rsidP="00FC1466">
      <w:pPr>
        <w:spacing w:before="100" w:beforeAutospacing="1" w:after="100" w:afterAutospacing="1"/>
        <w:ind w:left="567"/>
        <w:jc w:val="both"/>
        <w:rPr>
          <w:sz w:val="22"/>
          <w:szCs w:val="22"/>
        </w:rPr>
      </w:pPr>
      <w:r w:rsidRPr="00FC1466">
        <w:rPr>
          <w:sz w:val="22"/>
          <w:szCs w:val="22"/>
        </w:rPr>
        <w:t>Therefore, recognizing PNMO as a regulatory parameter should not be viewed as an additional burden, but rather as a logical extension of existing quality frameworks for natural product-based nanomedicines—particularly given that molecular self-organization is the rule rather than the exception in such systems.</w:t>
      </w:r>
    </w:p>
    <w:p w14:paraId="7EA7EEC0" w14:textId="77777777" w:rsidR="00E76DF1" w:rsidRPr="00FC1466" w:rsidRDefault="00E76DF1" w:rsidP="00FC1466">
      <w:pPr>
        <w:spacing w:before="100" w:beforeAutospacing="1" w:after="100" w:afterAutospacing="1"/>
        <w:ind w:left="567"/>
        <w:jc w:val="both"/>
        <w:outlineLvl w:val="2"/>
        <w:rPr>
          <w:b/>
          <w:bCs/>
          <w:sz w:val="22"/>
          <w:szCs w:val="22"/>
        </w:rPr>
      </w:pPr>
      <w:r w:rsidRPr="00FC1466">
        <w:rPr>
          <w:b/>
          <w:bCs/>
          <w:sz w:val="22"/>
          <w:szCs w:val="22"/>
        </w:rPr>
        <w:t>10. Future Trends and Testable Predictions</w:t>
      </w:r>
    </w:p>
    <w:p w14:paraId="0B7F44DF" w14:textId="77777777" w:rsidR="00E76DF1" w:rsidRPr="00FC1466" w:rsidRDefault="00E76DF1" w:rsidP="00FC1466">
      <w:pPr>
        <w:spacing w:before="100" w:beforeAutospacing="1" w:after="100" w:afterAutospacing="1"/>
        <w:ind w:left="567"/>
        <w:jc w:val="both"/>
        <w:rPr>
          <w:sz w:val="22"/>
          <w:szCs w:val="22"/>
        </w:rPr>
      </w:pPr>
      <w:r w:rsidRPr="00FC1466">
        <w:rPr>
          <w:sz w:val="22"/>
          <w:szCs w:val="22"/>
        </w:rPr>
        <w:t>This hypothesis generates a series of clear, falsifiable, and experimentally testable predictions that distinguish the PNMO framework from conventional formulation paradigms. First, intentional modulation or disruption of PNMO prior to nanoparticle production—through strategies such as solvent conditioning, supramolecular fragmentation, or molecular isolation—should result in a statistically significant reduction in nanoparticle size variability and polydispersity across independent batches, even when downstream processing parameters are held constant. Failure to observe such effects would directly challenge the proposed role of PNMO in nanoparticle nucleation.</w:t>
      </w:r>
    </w:p>
    <w:p w14:paraId="2C81E213" w14:textId="77777777" w:rsidR="00E76DF1" w:rsidRPr="00FC1466" w:rsidRDefault="00E76DF1" w:rsidP="00FC1466">
      <w:pPr>
        <w:spacing w:before="100" w:beforeAutospacing="1" w:after="100" w:afterAutospacing="1"/>
        <w:ind w:left="567"/>
        <w:jc w:val="both"/>
        <w:rPr>
          <w:sz w:val="22"/>
          <w:szCs w:val="22"/>
        </w:rPr>
      </w:pPr>
      <w:r w:rsidRPr="00FC1466">
        <w:rPr>
          <w:sz w:val="22"/>
          <w:szCs w:val="22"/>
        </w:rPr>
        <w:t>Second, PNMO profiles determined at the pre-formulation stage are expected to quantitatively correlate with in vivo biodistribution patterns, including tumor accumulation efficiency, uptake by the mononuclear phagocyte system, and organ-specific clearance. Specifically, formulations derived from low-PNMO states should exhibit prolonged circulation times and enhanced tumor penetration, whereas high-PNMO-derived nanoparticles are expected to undergo rapid sequestration in the liver and spleen. These correlations can be directly evaluated using established imaging, pharmacokinetic, and tissue distribution methodologies.</w:t>
      </w:r>
    </w:p>
    <w:p w14:paraId="0DCABC30" w14:textId="77777777" w:rsidR="00E76DF1" w:rsidRPr="00FC1466" w:rsidRDefault="00E76DF1" w:rsidP="00FC1466">
      <w:pPr>
        <w:spacing w:before="100" w:beforeAutospacing="1" w:after="100" w:afterAutospacing="1"/>
        <w:ind w:left="567"/>
        <w:jc w:val="both"/>
        <w:rPr>
          <w:sz w:val="22"/>
          <w:szCs w:val="22"/>
        </w:rPr>
      </w:pPr>
      <w:r w:rsidRPr="00FC1466">
        <w:rPr>
          <w:sz w:val="22"/>
          <w:szCs w:val="22"/>
        </w:rPr>
        <w:t>Third, formulations that explicitly account for PNMO are anticipated to demonstrate improved clinical and manufacturing reproducibility, characterized by reduced batch-to-batch variability in critical quality attributes, more predictable pharmacokinetics, and narrower therapeutic windows. Over extended production timelines, such formulations should exhibit greater robustness to minor variations in raw material sources, extraction conditions, or solvent history. This outcome would directly address a major barrier to the clinical translation of natural product-based nanomedicines.</w:t>
      </w:r>
    </w:p>
    <w:p w14:paraId="35A22347" w14:textId="77777777" w:rsidR="00EC507B" w:rsidRPr="00FC1466" w:rsidRDefault="00E76DF1" w:rsidP="00FC1466">
      <w:pPr>
        <w:spacing w:before="100" w:beforeAutospacing="1" w:after="100" w:afterAutospacing="1"/>
        <w:ind w:left="567"/>
        <w:jc w:val="both"/>
        <w:rPr>
          <w:sz w:val="22"/>
          <w:szCs w:val="22"/>
        </w:rPr>
      </w:pPr>
      <w:r w:rsidRPr="00FC1466">
        <w:rPr>
          <w:sz w:val="22"/>
          <w:szCs w:val="22"/>
        </w:rPr>
        <w:t>Collectively, validation of these predictions would provide strong evidence that PNMO functions as a causal, upstream determinant of nanoparticle performance rather than a secondary or correlative phenomenon. Conversely, failure to systematically observe these outcomes would necessitate revision or rejection of the PNMO hypothesis, underscoring its scientific rigor and suitability for experimental validation.</w:t>
      </w:r>
    </w:p>
    <w:p w14:paraId="28302A38" w14:textId="77777777" w:rsidR="00E76DF1" w:rsidRPr="00FC1466" w:rsidRDefault="00E76DF1" w:rsidP="00FC1466">
      <w:pPr>
        <w:spacing w:before="100" w:beforeAutospacing="1" w:after="100" w:afterAutospacing="1"/>
        <w:ind w:left="567"/>
        <w:jc w:val="both"/>
        <w:outlineLvl w:val="2"/>
        <w:rPr>
          <w:b/>
          <w:bCs/>
          <w:sz w:val="22"/>
          <w:szCs w:val="22"/>
        </w:rPr>
      </w:pPr>
      <w:r w:rsidRPr="00FC1466">
        <w:rPr>
          <w:b/>
          <w:bCs/>
          <w:sz w:val="22"/>
          <w:szCs w:val="22"/>
        </w:rPr>
        <w:t>11. Conclusion</w:t>
      </w:r>
    </w:p>
    <w:p w14:paraId="5AD06E80" w14:textId="77777777" w:rsidR="00E76DF1" w:rsidRPr="00FC1466" w:rsidRDefault="00E76DF1" w:rsidP="00FC1466">
      <w:pPr>
        <w:spacing w:before="100" w:beforeAutospacing="1" w:after="100" w:afterAutospacing="1"/>
        <w:ind w:left="567"/>
        <w:jc w:val="both"/>
        <w:rPr>
          <w:sz w:val="22"/>
          <w:szCs w:val="22"/>
        </w:rPr>
      </w:pPr>
      <w:r w:rsidRPr="00FC1466">
        <w:rPr>
          <w:sz w:val="22"/>
          <w:szCs w:val="22"/>
        </w:rPr>
        <w:t>This review introduces Pre-Nanoparticle Molecular Organization</w:t>
      </w:r>
      <w:r w:rsidRPr="00FC1466">
        <w:rPr>
          <w:b/>
          <w:bCs/>
          <w:sz w:val="22"/>
          <w:szCs w:val="22"/>
        </w:rPr>
        <w:t xml:space="preserve"> </w:t>
      </w:r>
      <w:r w:rsidRPr="00FC1466">
        <w:rPr>
          <w:sz w:val="22"/>
          <w:szCs w:val="22"/>
        </w:rPr>
        <w:t xml:space="preserve">(PNMO) as a previously underrecognized yet fundamentally important conceptual bridge between natural product chemistry and nanomedical performance. By shifting focus upstream—from fully formed nanoparticles to the molecular and supramolecular states that precede them—the PNMO framework provides a unifying </w:t>
      </w:r>
      <w:r w:rsidRPr="00FC1466">
        <w:rPr>
          <w:sz w:val="22"/>
          <w:szCs w:val="22"/>
        </w:rPr>
        <w:lastRenderedPageBreak/>
        <w:t>explanation for many longstanding challenges in phytochemical-based nanomedicine, including poor reproducibility, unpredictable toxicity, and limited clinical translation.</w:t>
      </w:r>
    </w:p>
    <w:p w14:paraId="092BFB45" w14:textId="77777777" w:rsidR="00E76DF1" w:rsidRPr="00FC1466" w:rsidRDefault="00E76DF1" w:rsidP="00FC1466">
      <w:pPr>
        <w:spacing w:before="100" w:beforeAutospacing="1" w:after="100" w:afterAutospacing="1"/>
        <w:ind w:left="567"/>
        <w:jc w:val="both"/>
        <w:rPr>
          <w:sz w:val="22"/>
          <w:szCs w:val="22"/>
        </w:rPr>
      </w:pPr>
      <w:r w:rsidRPr="00FC1466">
        <w:rPr>
          <w:sz w:val="22"/>
          <w:szCs w:val="22"/>
        </w:rPr>
        <w:t>Natural products are inherently complex and dynamic systems whose biological behavior cannot be fully understood by considering only isolated molecular structures. Phytochemicals frequently exist as self-assembling supramolecular entities in solution, stabilized by cooperative non-covalent interactions that persist throughout formulation processes and actively influence nanoparticle nucleation, growth, and internal architecture. By explicitly incorporating these phenomena, the PNMO framework challenges the prevailing reductionist paradigm in pharmaceutical nanotechnology, which assumes that molecules enter nanoparticle formation as discrete and well-defined units.</w:t>
      </w:r>
    </w:p>
    <w:p w14:paraId="77534694" w14:textId="77777777" w:rsidR="00E76DF1" w:rsidRPr="00FC1466" w:rsidRDefault="00E76DF1" w:rsidP="00FC1466">
      <w:pPr>
        <w:spacing w:before="100" w:beforeAutospacing="1" w:after="100" w:afterAutospacing="1"/>
        <w:ind w:left="567"/>
        <w:jc w:val="both"/>
        <w:rPr>
          <w:sz w:val="22"/>
          <w:szCs w:val="22"/>
        </w:rPr>
      </w:pPr>
      <w:r w:rsidRPr="00FC1466">
        <w:rPr>
          <w:sz w:val="22"/>
          <w:szCs w:val="22"/>
        </w:rPr>
        <w:t>Importantly, PNMO reframes nanoparticle engineering as a two-tiered design problem, in which control over supramolecular organization is as critical as control over formulation parameters. This perspective provides a mechanistic basis for understanding why chemically identical phytochemicals can yield nanoparticles with markedly different physicochemical properties and biological outcomes depending on solvent history, extraction methods, or pretreatment conditions. It also explains why crude extracts, despite their therapeutic potential, often produce nanocarriers with lower stability and less predictable in vivo performance compared to formulations based on purified compounds.</w:t>
      </w:r>
    </w:p>
    <w:p w14:paraId="50C784AA" w14:textId="77777777" w:rsidR="00E76DF1" w:rsidRPr="00FC1466" w:rsidRDefault="00E76DF1" w:rsidP="00FC1466">
      <w:pPr>
        <w:spacing w:before="100" w:beforeAutospacing="1" w:after="100" w:afterAutospacing="1"/>
        <w:ind w:left="567"/>
        <w:jc w:val="both"/>
        <w:rPr>
          <w:sz w:val="22"/>
          <w:szCs w:val="22"/>
        </w:rPr>
      </w:pPr>
      <w:r w:rsidRPr="00FC1466">
        <w:rPr>
          <w:sz w:val="22"/>
          <w:szCs w:val="22"/>
        </w:rPr>
        <w:t>From a translational standpoint, recognition and control of PNMO have significant implications for reproducibility, safety, and regulatory science. The PNMO framework offers a rational explanation for the frequent disconnect between promising in vitro results and disappointing clinical outcomes observed in natural product-based nanomedicines. Integrating PNMO characterization and control into formulation design and quality strategies could reduce batch variability, improve pharmacokinetic predictability, and enhance therapeutic performance—key requirements for successful clinical translation.</w:t>
      </w:r>
    </w:p>
    <w:p w14:paraId="113952FD" w14:textId="77777777" w:rsidR="00E76DF1" w:rsidRPr="00FC1466" w:rsidRDefault="00E76DF1" w:rsidP="00FC1466">
      <w:pPr>
        <w:spacing w:before="100" w:beforeAutospacing="1" w:after="100" w:afterAutospacing="1"/>
        <w:ind w:left="567"/>
        <w:jc w:val="both"/>
        <w:rPr>
          <w:sz w:val="22"/>
          <w:szCs w:val="22"/>
        </w:rPr>
      </w:pPr>
      <w:r w:rsidRPr="00FC1466">
        <w:rPr>
          <w:sz w:val="22"/>
          <w:szCs w:val="22"/>
        </w:rPr>
        <w:t>Beyond phytochemical systems, PNMO may represent a broadly applicable principle in pharmaceutical science. Many modern drug candidates, including biologics, peptides, and amphiphilic small molecules, exhibit self-assembly behaviors that can similarly influence nanocarrier formation and function. Accordingly, PNMO may serve as a generalizable framework across diverse classes of complex drug products.</w:t>
      </w:r>
    </w:p>
    <w:p w14:paraId="5F317698" w14:textId="77777777" w:rsidR="00B730CA" w:rsidRDefault="00E76DF1" w:rsidP="000F70F8">
      <w:pPr>
        <w:spacing w:before="100" w:beforeAutospacing="1" w:after="100" w:afterAutospacing="1"/>
        <w:ind w:left="567"/>
        <w:jc w:val="both"/>
        <w:rPr>
          <w:sz w:val="22"/>
          <w:szCs w:val="22"/>
        </w:rPr>
      </w:pPr>
      <w:r w:rsidRPr="00FC1466">
        <w:rPr>
          <w:sz w:val="22"/>
          <w:szCs w:val="22"/>
        </w:rPr>
        <w:t>In this context, controlling molecular self-assembly prior to nanoparticle formation should be regarded not merely as a technical optimization, but as a conceptual shift in how natural products are integrated into nanotherapeutic systems. By linking molecular organization, nanoscale structure, and biological outcome, the PNMO framework opens new avenues for rational nanomedicine design, promotes interdisciplinary collaboration, and supports the development of more robust, predictable, and clinically translatable natural product-based nanotherapies.</w:t>
      </w:r>
    </w:p>
    <w:p w14:paraId="079F9863" w14:textId="77777777" w:rsidR="00EF4ED8" w:rsidRDefault="00EF4ED8" w:rsidP="000F70F8">
      <w:pPr>
        <w:spacing w:before="100" w:beforeAutospacing="1" w:after="100" w:afterAutospacing="1"/>
        <w:ind w:left="567"/>
        <w:jc w:val="both"/>
        <w:rPr>
          <w:sz w:val="22"/>
          <w:szCs w:val="22"/>
        </w:rPr>
      </w:pPr>
    </w:p>
    <w:p w14:paraId="10A5C86A" w14:textId="77777777" w:rsidR="00EF4ED8" w:rsidRPr="00FC1466" w:rsidRDefault="00EF4ED8" w:rsidP="00EF4ED8">
      <w:pPr>
        <w:spacing w:before="100" w:beforeAutospacing="1" w:after="100" w:afterAutospacing="1"/>
        <w:ind w:left="851" w:hanging="284"/>
        <w:jc w:val="both"/>
        <w:outlineLvl w:val="2"/>
        <w:rPr>
          <w:b/>
          <w:bCs/>
          <w:sz w:val="22"/>
          <w:szCs w:val="22"/>
          <w:lang w:val="tr-TR"/>
        </w:rPr>
      </w:pPr>
      <w:r w:rsidRPr="00FC1466">
        <w:rPr>
          <w:b/>
          <w:bCs/>
          <w:sz w:val="22"/>
          <w:szCs w:val="22"/>
          <w:lang w:val="tr-TR"/>
        </w:rPr>
        <w:t>Highlights</w:t>
      </w:r>
    </w:p>
    <w:p w14:paraId="430631B2" w14:textId="77777777" w:rsidR="00EF4ED8" w:rsidRPr="00FC1466" w:rsidRDefault="00EF4ED8" w:rsidP="00EF4ED8">
      <w:pPr>
        <w:pStyle w:val="ListParagraph"/>
        <w:numPr>
          <w:ilvl w:val="0"/>
          <w:numId w:val="5"/>
        </w:numPr>
        <w:ind w:left="851" w:hanging="284"/>
        <w:jc w:val="both"/>
        <w:rPr>
          <w:sz w:val="22"/>
          <w:szCs w:val="22"/>
        </w:rPr>
      </w:pPr>
      <w:r w:rsidRPr="00FC1466">
        <w:rPr>
          <w:rStyle w:val="Strong"/>
          <w:b w:val="0"/>
          <w:bCs w:val="0"/>
          <w:sz w:val="22"/>
          <w:szCs w:val="22"/>
        </w:rPr>
        <w:t>Natural products continue to play a central role in drug discovery</w:t>
      </w:r>
      <w:r w:rsidRPr="00FC1466">
        <w:rPr>
          <w:sz w:val="22"/>
          <w:szCs w:val="22"/>
        </w:rPr>
        <w:t xml:space="preserve">, offering structurally diverse bioactive compounds with strong therapeutic potential for nanomedicine applications. </w:t>
      </w:r>
    </w:p>
    <w:p w14:paraId="5FAD536D" w14:textId="77777777" w:rsidR="00EF4ED8" w:rsidRPr="00FC1466" w:rsidRDefault="00EF4ED8" w:rsidP="00EF4ED8">
      <w:pPr>
        <w:pStyle w:val="ListParagraph"/>
        <w:numPr>
          <w:ilvl w:val="0"/>
          <w:numId w:val="5"/>
        </w:numPr>
        <w:ind w:left="851" w:hanging="284"/>
        <w:jc w:val="both"/>
        <w:rPr>
          <w:sz w:val="22"/>
          <w:szCs w:val="22"/>
        </w:rPr>
      </w:pPr>
      <w:r w:rsidRPr="00FC1466">
        <w:rPr>
          <w:rStyle w:val="Strong"/>
          <w:b w:val="0"/>
          <w:bCs w:val="0"/>
          <w:sz w:val="22"/>
          <w:szCs w:val="22"/>
        </w:rPr>
        <w:t>Phytochemicals are conventionally assumed to exist as chemically uniform and molecularly dispersed entities</w:t>
      </w:r>
      <w:r w:rsidRPr="00FC1466">
        <w:rPr>
          <w:sz w:val="22"/>
          <w:szCs w:val="22"/>
        </w:rPr>
        <w:t xml:space="preserve"> before nanoparticle formulation, which may oversimplify their actual behavior. </w:t>
      </w:r>
    </w:p>
    <w:p w14:paraId="17666DAB" w14:textId="77777777" w:rsidR="00EF4ED8" w:rsidRPr="00FC1466" w:rsidRDefault="00EF4ED8" w:rsidP="00EF4ED8">
      <w:pPr>
        <w:pStyle w:val="ListParagraph"/>
        <w:numPr>
          <w:ilvl w:val="0"/>
          <w:numId w:val="5"/>
        </w:numPr>
        <w:ind w:left="851" w:hanging="284"/>
        <w:jc w:val="both"/>
        <w:rPr>
          <w:sz w:val="22"/>
          <w:szCs w:val="22"/>
        </w:rPr>
      </w:pPr>
      <w:r w:rsidRPr="00FC1466">
        <w:rPr>
          <w:sz w:val="22"/>
          <w:szCs w:val="22"/>
        </w:rPr>
        <w:lastRenderedPageBreak/>
        <w:t xml:space="preserve">The study introduces the novel concept of </w:t>
      </w:r>
      <w:r w:rsidRPr="00FC1466">
        <w:rPr>
          <w:rStyle w:val="Strong"/>
          <w:b w:val="0"/>
          <w:bCs w:val="0"/>
          <w:sz w:val="22"/>
          <w:szCs w:val="22"/>
        </w:rPr>
        <w:t>Pre-Nanoparticle Molecular Organization (PNMO)</w:t>
      </w:r>
      <w:r w:rsidRPr="00FC1466">
        <w:rPr>
          <w:sz w:val="22"/>
          <w:szCs w:val="22"/>
        </w:rPr>
        <w:t xml:space="preserve">, proposing that phytochemicals undergo </w:t>
      </w:r>
      <w:r w:rsidRPr="00FC1466">
        <w:rPr>
          <w:rStyle w:val="Strong"/>
          <w:b w:val="0"/>
          <w:bCs w:val="0"/>
          <w:sz w:val="22"/>
          <w:szCs w:val="22"/>
        </w:rPr>
        <w:t>intrinsic self-aggregation and supramolecular assembly prior to nanoparticle fabrication</w:t>
      </w:r>
      <w:r w:rsidRPr="00FC1466">
        <w:rPr>
          <w:sz w:val="22"/>
          <w:szCs w:val="22"/>
        </w:rPr>
        <w:t xml:space="preserve">. </w:t>
      </w:r>
    </w:p>
    <w:p w14:paraId="4F89F045" w14:textId="77777777" w:rsidR="00EF4ED8" w:rsidRPr="00FC1466" w:rsidRDefault="00EF4ED8" w:rsidP="00EF4ED8">
      <w:pPr>
        <w:pStyle w:val="ListParagraph"/>
        <w:numPr>
          <w:ilvl w:val="0"/>
          <w:numId w:val="5"/>
        </w:numPr>
        <w:ind w:left="851" w:hanging="284"/>
        <w:jc w:val="both"/>
        <w:rPr>
          <w:sz w:val="22"/>
          <w:szCs w:val="22"/>
        </w:rPr>
      </w:pPr>
      <w:r w:rsidRPr="00FC1466">
        <w:rPr>
          <w:sz w:val="22"/>
          <w:szCs w:val="22"/>
        </w:rPr>
        <w:t xml:space="preserve">These pre-formed molecular assemblies are driven by </w:t>
      </w:r>
      <w:r w:rsidRPr="00FC1466">
        <w:rPr>
          <w:rStyle w:val="Strong"/>
          <w:b w:val="0"/>
          <w:bCs w:val="0"/>
          <w:sz w:val="22"/>
          <w:szCs w:val="22"/>
        </w:rPr>
        <w:t>non-covalent interactions</w:t>
      </w:r>
      <w:r w:rsidRPr="00FC1466">
        <w:rPr>
          <w:sz w:val="22"/>
          <w:szCs w:val="22"/>
        </w:rPr>
        <w:t xml:space="preserve">, including hydrogen bonding, π–π stacking, hydrophobic interactions, and electrostatic forces. </w:t>
      </w:r>
    </w:p>
    <w:p w14:paraId="79D354EA" w14:textId="77777777" w:rsidR="00EF4ED8" w:rsidRPr="00FC1466" w:rsidRDefault="00EF4ED8" w:rsidP="00EF4ED8">
      <w:pPr>
        <w:pStyle w:val="ListParagraph"/>
        <w:numPr>
          <w:ilvl w:val="0"/>
          <w:numId w:val="5"/>
        </w:numPr>
        <w:ind w:left="851" w:hanging="284"/>
        <w:jc w:val="both"/>
        <w:rPr>
          <w:sz w:val="22"/>
          <w:szCs w:val="22"/>
        </w:rPr>
      </w:pPr>
      <w:r w:rsidRPr="00FC1466">
        <w:rPr>
          <w:rStyle w:val="Strong"/>
          <w:b w:val="0"/>
          <w:bCs w:val="0"/>
          <w:sz w:val="22"/>
          <w:szCs w:val="22"/>
        </w:rPr>
        <w:t>PNMO significantly impacts nanoparticle properties</w:t>
      </w:r>
      <w:r w:rsidRPr="00FC1466">
        <w:rPr>
          <w:sz w:val="22"/>
          <w:szCs w:val="22"/>
        </w:rPr>
        <w:t xml:space="preserve">, including size distribution, morphology, colloidal stability, and drug loading efficiency. </w:t>
      </w:r>
    </w:p>
    <w:p w14:paraId="3B6D8AA5" w14:textId="77777777" w:rsidR="00EF4ED8" w:rsidRPr="00FC1466" w:rsidRDefault="00EF4ED8" w:rsidP="00EF4ED8">
      <w:pPr>
        <w:pStyle w:val="ListParagraph"/>
        <w:numPr>
          <w:ilvl w:val="0"/>
          <w:numId w:val="5"/>
        </w:numPr>
        <w:ind w:left="851" w:hanging="284"/>
        <w:jc w:val="both"/>
        <w:rPr>
          <w:sz w:val="22"/>
          <w:szCs w:val="22"/>
        </w:rPr>
      </w:pPr>
      <w:r w:rsidRPr="00FC1466">
        <w:rPr>
          <w:sz w:val="22"/>
          <w:szCs w:val="22"/>
        </w:rPr>
        <w:t xml:space="preserve">Ignoring PNMO may result in </w:t>
      </w:r>
      <w:r w:rsidRPr="00FC1466">
        <w:rPr>
          <w:rStyle w:val="Strong"/>
          <w:b w:val="0"/>
          <w:bCs w:val="0"/>
          <w:sz w:val="22"/>
          <w:szCs w:val="22"/>
        </w:rPr>
        <w:t>poor reproducibility, inconsistencies in physicochemical characterization, and quality control challenges</w:t>
      </w:r>
      <w:r w:rsidRPr="00FC1466">
        <w:rPr>
          <w:sz w:val="22"/>
          <w:szCs w:val="22"/>
        </w:rPr>
        <w:t xml:space="preserve"> during formulation development. </w:t>
      </w:r>
    </w:p>
    <w:p w14:paraId="746CBCAC" w14:textId="77777777" w:rsidR="00EF4ED8" w:rsidRPr="00FC1466" w:rsidRDefault="00EF4ED8" w:rsidP="00EF4ED8">
      <w:pPr>
        <w:pStyle w:val="ListParagraph"/>
        <w:numPr>
          <w:ilvl w:val="0"/>
          <w:numId w:val="5"/>
        </w:numPr>
        <w:ind w:left="851" w:hanging="284"/>
        <w:jc w:val="both"/>
        <w:rPr>
          <w:sz w:val="22"/>
          <w:szCs w:val="22"/>
        </w:rPr>
      </w:pPr>
      <w:r w:rsidRPr="00FC1466">
        <w:rPr>
          <w:sz w:val="22"/>
          <w:szCs w:val="22"/>
        </w:rPr>
        <w:t xml:space="preserve">PNMO may also influence </w:t>
      </w:r>
      <w:r w:rsidRPr="00FC1466">
        <w:rPr>
          <w:rStyle w:val="Strong"/>
          <w:b w:val="0"/>
          <w:bCs w:val="0"/>
          <w:sz w:val="22"/>
          <w:szCs w:val="22"/>
        </w:rPr>
        <w:t>biological performance</w:t>
      </w:r>
      <w:r w:rsidRPr="00FC1466">
        <w:rPr>
          <w:sz w:val="22"/>
          <w:szCs w:val="22"/>
        </w:rPr>
        <w:t xml:space="preserve">, affecting biodistribution, cellular uptake, therapeutic efficacy, and complicating structure–activity relationship analyses. </w:t>
      </w:r>
    </w:p>
    <w:p w14:paraId="0A8EFF6F" w14:textId="77777777" w:rsidR="00EF4ED8" w:rsidRPr="00FC1466" w:rsidRDefault="00EF4ED8" w:rsidP="00EF4ED8">
      <w:pPr>
        <w:pStyle w:val="ListParagraph"/>
        <w:numPr>
          <w:ilvl w:val="0"/>
          <w:numId w:val="5"/>
        </w:numPr>
        <w:spacing w:before="100" w:beforeAutospacing="1" w:after="100" w:afterAutospacing="1"/>
        <w:ind w:left="851" w:hanging="284"/>
        <w:jc w:val="both"/>
        <w:outlineLvl w:val="2"/>
        <w:rPr>
          <w:sz w:val="22"/>
          <w:szCs w:val="22"/>
        </w:rPr>
      </w:pPr>
      <w:r w:rsidRPr="00FC1466">
        <w:rPr>
          <w:sz w:val="22"/>
          <w:szCs w:val="22"/>
        </w:rPr>
        <w:t xml:space="preserve">The review identifies PNMO as an </w:t>
      </w:r>
      <w:r w:rsidRPr="00FC1466">
        <w:rPr>
          <w:rStyle w:val="Strong"/>
          <w:b w:val="0"/>
          <w:bCs w:val="0"/>
          <w:sz w:val="22"/>
          <w:szCs w:val="22"/>
        </w:rPr>
        <w:t>overlooked but critical design parameter</w:t>
      </w:r>
      <w:r w:rsidRPr="00FC1466">
        <w:rPr>
          <w:sz w:val="22"/>
          <w:szCs w:val="22"/>
        </w:rPr>
        <w:t xml:space="preserve">, emphasizing that its systematic characterization could improve formulation reproducibility and accelerate the </w:t>
      </w:r>
      <w:r w:rsidRPr="00FC1466">
        <w:rPr>
          <w:rStyle w:val="Strong"/>
          <w:b w:val="0"/>
          <w:bCs w:val="0"/>
          <w:sz w:val="22"/>
          <w:szCs w:val="22"/>
        </w:rPr>
        <w:t>clinical translation of phytochemical-based nanotherapeutics</w:t>
      </w:r>
      <w:r w:rsidRPr="00FC1466">
        <w:rPr>
          <w:sz w:val="22"/>
          <w:szCs w:val="22"/>
        </w:rPr>
        <w:t>.</w:t>
      </w:r>
    </w:p>
    <w:p w14:paraId="2AE9FCFF" w14:textId="77777777" w:rsidR="00EF4ED8" w:rsidRPr="00FC1466" w:rsidRDefault="00EF4ED8" w:rsidP="000F70F8">
      <w:pPr>
        <w:spacing w:before="100" w:beforeAutospacing="1" w:after="100" w:afterAutospacing="1"/>
        <w:ind w:left="567"/>
        <w:jc w:val="both"/>
        <w:rPr>
          <w:sz w:val="22"/>
          <w:szCs w:val="22"/>
        </w:rPr>
      </w:pPr>
    </w:p>
    <w:p w14:paraId="6D9B9AE6" w14:textId="77777777" w:rsidR="000F70F8" w:rsidRDefault="000F70F8" w:rsidP="00FC1466">
      <w:pPr>
        <w:ind w:left="567" w:right="283"/>
        <w:jc w:val="both"/>
        <w:rPr>
          <w:b/>
          <w:bCs/>
          <w:sz w:val="22"/>
          <w:szCs w:val="22"/>
          <w:lang w:val="en-AU"/>
        </w:rPr>
      </w:pPr>
    </w:p>
    <w:p w14:paraId="059268B6" w14:textId="77777777" w:rsidR="000C19DA" w:rsidRPr="00FC1466" w:rsidRDefault="000C19DA" w:rsidP="00FC1466">
      <w:pPr>
        <w:ind w:left="567" w:right="283"/>
        <w:jc w:val="both"/>
        <w:rPr>
          <w:b/>
          <w:bCs/>
          <w:sz w:val="22"/>
          <w:szCs w:val="22"/>
          <w:lang w:val="en-AU"/>
        </w:rPr>
      </w:pPr>
      <w:r w:rsidRPr="00FC1466">
        <w:rPr>
          <w:b/>
          <w:bCs/>
          <w:sz w:val="22"/>
          <w:szCs w:val="22"/>
          <w:lang w:val="en-AU"/>
        </w:rPr>
        <w:t>Declarations and statements</w:t>
      </w:r>
    </w:p>
    <w:p w14:paraId="5CC7CB08" w14:textId="77777777" w:rsidR="000C19DA" w:rsidRPr="00FC1466" w:rsidRDefault="000C19DA" w:rsidP="00FC1466">
      <w:pPr>
        <w:ind w:left="567" w:right="283"/>
        <w:jc w:val="both"/>
        <w:rPr>
          <w:sz w:val="22"/>
          <w:szCs w:val="22"/>
        </w:rPr>
      </w:pPr>
      <w:r w:rsidRPr="00FC1466">
        <w:rPr>
          <w:sz w:val="22"/>
          <w:szCs w:val="22"/>
        </w:rPr>
        <w:t>This study did not involve human or animal subjects; therefore, institutional review board (IRB) approval and informed consent were not required.</w:t>
      </w:r>
    </w:p>
    <w:p w14:paraId="77C4E598" w14:textId="77777777" w:rsidR="005A17AB" w:rsidRPr="00FC1466" w:rsidRDefault="005A17AB" w:rsidP="00FC1466">
      <w:pPr>
        <w:ind w:left="567" w:right="283"/>
        <w:jc w:val="both"/>
        <w:rPr>
          <w:sz w:val="22"/>
          <w:szCs w:val="22"/>
        </w:rPr>
      </w:pPr>
    </w:p>
    <w:p w14:paraId="57A8E371" w14:textId="77777777" w:rsidR="00135028" w:rsidRPr="00FC1466" w:rsidRDefault="000C19DA" w:rsidP="00FC1466">
      <w:pPr>
        <w:pStyle w:val="NormalWeb"/>
        <w:spacing w:before="0" w:beforeAutospacing="0" w:after="0" w:afterAutospacing="0"/>
        <w:ind w:left="567" w:right="284"/>
        <w:jc w:val="both"/>
        <w:rPr>
          <w:b/>
          <w:bCs/>
          <w:sz w:val="22"/>
          <w:szCs w:val="22"/>
        </w:rPr>
      </w:pPr>
      <w:r w:rsidRPr="00FC1466">
        <w:rPr>
          <w:b/>
          <w:bCs/>
          <w:sz w:val="22"/>
          <w:szCs w:val="22"/>
        </w:rPr>
        <w:t xml:space="preserve">Ethics </w:t>
      </w:r>
    </w:p>
    <w:p w14:paraId="052A3D32" w14:textId="77777777" w:rsidR="000C19DA" w:rsidRPr="00FC1466" w:rsidRDefault="000C19DA" w:rsidP="00FC1466">
      <w:pPr>
        <w:pStyle w:val="NormalWeb"/>
        <w:spacing w:before="0" w:beforeAutospacing="0" w:after="0" w:afterAutospacing="0"/>
        <w:ind w:left="567" w:right="284"/>
        <w:jc w:val="both"/>
        <w:rPr>
          <w:sz w:val="22"/>
          <w:szCs w:val="22"/>
        </w:rPr>
      </w:pPr>
      <w:r w:rsidRPr="00FC1466">
        <w:rPr>
          <w:sz w:val="22"/>
          <w:szCs w:val="22"/>
        </w:rPr>
        <w:t xml:space="preserve">A review article does not require ethics committee approval. </w:t>
      </w:r>
    </w:p>
    <w:p w14:paraId="407A6428" w14:textId="77777777" w:rsidR="005A17AB" w:rsidRPr="00FC1466" w:rsidRDefault="005A17AB" w:rsidP="00FC1466">
      <w:pPr>
        <w:pStyle w:val="NormalWeb"/>
        <w:spacing w:before="0" w:beforeAutospacing="0" w:after="0" w:afterAutospacing="0"/>
        <w:ind w:left="567" w:right="284"/>
        <w:jc w:val="both"/>
        <w:rPr>
          <w:b/>
          <w:bCs/>
          <w:sz w:val="22"/>
          <w:szCs w:val="22"/>
        </w:rPr>
      </w:pPr>
    </w:p>
    <w:p w14:paraId="326126D4" w14:textId="77777777" w:rsidR="005A17AB" w:rsidRPr="00FC1466" w:rsidRDefault="000C19DA" w:rsidP="00FC1466">
      <w:pPr>
        <w:ind w:left="567" w:right="283"/>
        <w:jc w:val="both"/>
        <w:rPr>
          <w:b/>
          <w:bCs/>
          <w:sz w:val="22"/>
          <w:szCs w:val="22"/>
          <w:lang w:val="tr-TR"/>
        </w:rPr>
      </w:pPr>
      <w:r w:rsidRPr="00FC1466">
        <w:rPr>
          <w:b/>
          <w:bCs/>
          <w:sz w:val="22"/>
          <w:szCs w:val="22"/>
          <w:lang w:val="tr-TR"/>
        </w:rPr>
        <w:t>Conflict of interest</w:t>
      </w:r>
    </w:p>
    <w:p w14:paraId="541B53C1" w14:textId="77777777" w:rsidR="000C19DA" w:rsidRPr="00FC1466" w:rsidRDefault="000C19DA" w:rsidP="00FC1466">
      <w:pPr>
        <w:ind w:left="567" w:right="283"/>
        <w:jc w:val="both"/>
        <w:rPr>
          <w:rFonts w:eastAsia="Calibri"/>
          <w:sz w:val="22"/>
          <w:szCs w:val="22"/>
        </w:rPr>
      </w:pPr>
      <w:r w:rsidRPr="00FC1466">
        <w:rPr>
          <w:sz w:val="22"/>
          <w:szCs w:val="22"/>
        </w:rPr>
        <w:t xml:space="preserve">The authors declare no conflict of interest related to this work. No financial support, services, or third-party payments were received for any aspect of the submitted manuscript. Furthermore, the authors report no relevant financial activities, patents, or relationships outside </w:t>
      </w:r>
      <w:r w:rsidRPr="00FC1466">
        <w:rPr>
          <w:rFonts w:eastAsia="Calibri"/>
          <w:sz w:val="22"/>
          <w:szCs w:val="22"/>
        </w:rPr>
        <w:t>of this work that could be broadly construed as pertinent to the manuscript.</w:t>
      </w:r>
    </w:p>
    <w:p w14:paraId="3768EA8E" w14:textId="77777777" w:rsidR="005A17AB" w:rsidRPr="00FC1466" w:rsidRDefault="005A17AB" w:rsidP="00FC1466">
      <w:pPr>
        <w:ind w:left="567" w:right="283"/>
        <w:jc w:val="both"/>
        <w:rPr>
          <w:rFonts w:eastAsia="Calibri"/>
          <w:sz w:val="22"/>
          <w:szCs w:val="22"/>
        </w:rPr>
      </w:pPr>
    </w:p>
    <w:p w14:paraId="4EFB2273" w14:textId="77777777" w:rsidR="00135028" w:rsidRPr="00FC1466" w:rsidRDefault="00135028" w:rsidP="00FC1466">
      <w:pPr>
        <w:ind w:left="567" w:right="283"/>
        <w:jc w:val="both"/>
        <w:rPr>
          <w:rFonts w:eastAsia="Calibri"/>
          <w:b/>
          <w:bCs/>
          <w:sz w:val="22"/>
          <w:szCs w:val="22"/>
          <w:lang w:val="tr-TR"/>
        </w:rPr>
      </w:pPr>
      <w:r w:rsidRPr="00FC1466">
        <w:rPr>
          <w:rFonts w:eastAsia="Calibri"/>
          <w:b/>
          <w:bCs/>
          <w:sz w:val="22"/>
          <w:szCs w:val="22"/>
          <w:lang w:val="tr-TR"/>
        </w:rPr>
        <w:t>Declarations</w:t>
      </w:r>
    </w:p>
    <w:p w14:paraId="13657FF4" w14:textId="77777777" w:rsidR="007F7559" w:rsidRPr="00FC1466" w:rsidRDefault="000C19DA" w:rsidP="00FC1466">
      <w:pPr>
        <w:ind w:left="567"/>
        <w:jc w:val="both"/>
        <w:rPr>
          <w:rFonts w:eastAsia="Calibri"/>
          <w:sz w:val="22"/>
          <w:szCs w:val="22"/>
        </w:rPr>
      </w:pPr>
      <w:r w:rsidRPr="00FC1466">
        <w:rPr>
          <w:rFonts w:eastAsia="Calibri"/>
          <w:sz w:val="22"/>
          <w:szCs w:val="22"/>
        </w:rPr>
        <w:t xml:space="preserve">Author(s) hereby declare that generative AI technologies such as Large Language Models and text-to-image generators have </w:t>
      </w:r>
      <w:r w:rsidR="002949D6" w:rsidRPr="00FC1466">
        <w:rPr>
          <w:rFonts w:eastAsia="Calibri"/>
          <w:sz w:val="22"/>
          <w:szCs w:val="22"/>
        </w:rPr>
        <w:t xml:space="preserve">not </w:t>
      </w:r>
      <w:r w:rsidRPr="00FC1466">
        <w:rPr>
          <w:rFonts w:eastAsia="Calibri"/>
          <w:sz w:val="22"/>
          <w:szCs w:val="22"/>
        </w:rPr>
        <w:t xml:space="preserve">been used during the writing. </w:t>
      </w:r>
    </w:p>
    <w:p w14:paraId="37EA75E1" w14:textId="77777777" w:rsidR="000C19DA" w:rsidRPr="00FC1466" w:rsidRDefault="000C19DA" w:rsidP="00FC1466">
      <w:pPr>
        <w:ind w:left="567"/>
        <w:jc w:val="both"/>
        <w:rPr>
          <w:rFonts w:eastAsia="Calibri"/>
          <w:sz w:val="22"/>
          <w:szCs w:val="22"/>
        </w:rPr>
      </w:pPr>
      <w:r w:rsidRPr="00FC1466">
        <w:rPr>
          <w:rFonts w:eastAsia="Calibri"/>
          <w:sz w:val="22"/>
          <w:szCs w:val="22"/>
        </w:rPr>
        <w:t xml:space="preserve">Chat GPT is used for </w:t>
      </w:r>
      <w:proofErr w:type="spellStart"/>
      <w:r w:rsidRPr="00FC1466">
        <w:rPr>
          <w:rFonts w:eastAsia="Calibri"/>
          <w:sz w:val="22"/>
          <w:szCs w:val="22"/>
        </w:rPr>
        <w:t>grammer</w:t>
      </w:r>
      <w:proofErr w:type="spellEnd"/>
      <w:r w:rsidRPr="00FC1466">
        <w:rPr>
          <w:rFonts w:eastAsia="Calibri"/>
          <w:sz w:val="22"/>
          <w:szCs w:val="22"/>
        </w:rPr>
        <w:t xml:space="preserve"> checking</w:t>
      </w:r>
      <w:r w:rsidR="00983B1B" w:rsidRPr="00FC1466">
        <w:rPr>
          <w:rFonts w:eastAsia="Calibri"/>
          <w:sz w:val="22"/>
          <w:szCs w:val="22"/>
        </w:rPr>
        <w:t xml:space="preserve"> and graphical abstract generation</w:t>
      </w:r>
      <w:r w:rsidRPr="00FC1466">
        <w:rPr>
          <w:rFonts w:eastAsia="Calibri"/>
          <w:sz w:val="22"/>
          <w:szCs w:val="22"/>
        </w:rPr>
        <w:t>.</w:t>
      </w:r>
    </w:p>
    <w:p w14:paraId="38B90218" w14:textId="77777777" w:rsidR="005A17AB" w:rsidRPr="00FC1466" w:rsidRDefault="005A17AB" w:rsidP="00FC1466">
      <w:pPr>
        <w:ind w:left="567"/>
        <w:jc w:val="both"/>
        <w:rPr>
          <w:rFonts w:eastAsia="Calibri"/>
          <w:sz w:val="22"/>
          <w:szCs w:val="22"/>
        </w:rPr>
      </w:pPr>
    </w:p>
    <w:p w14:paraId="72B54BE1" w14:textId="77777777" w:rsidR="00FC1466" w:rsidRPr="00FC1466" w:rsidRDefault="00FC1466" w:rsidP="00FC1466">
      <w:pPr>
        <w:ind w:left="567"/>
        <w:jc w:val="both"/>
        <w:rPr>
          <w:b/>
          <w:bCs/>
          <w:sz w:val="22"/>
          <w:szCs w:val="22"/>
        </w:rPr>
      </w:pPr>
    </w:p>
    <w:p w14:paraId="302CF059" w14:textId="77777777" w:rsidR="00FC1466" w:rsidRPr="00FC1466" w:rsidRDefault="00FC1466" w:rsidP="000F70F8">
      <w:pPr>
        <w:ind w:left="567"/>
        <w:jc w:val="both"/>
        <w:rPr>
          <w:sz w:val="22"/>
          <w:szCs w:val="22"/>
        </w:rPr>
      </w:pPr>
      <w:r w:rsidRPr="00FC1466">
        <w:rPr>
          <w:b/>
          <w:bCs/>
          <w:sz w:val="22"/>
          <w:szCs w:val="22"/>
        </w:rPr>
        <w:t>Declaration of competing interest</w:t>
      </w:r>
      <w:r w:rsidRPr="00FC1466">
        <w:rPr>
          <w:sz w:val="22"/>
          <w:szCs w:val="22"/>
        </w:rPr>
        <w:t xml:space="preserve"> </w:t>
      </w:r>
    </w:p>
    <w:p w14:paraId="470D58AE" w14:textId="77777777" w:rsidR="00FC1466" w:rsidRPr="00FC1466" w:rsidRDefault="00FC1466" w:rsidP="00FC1466">
      <w:pPr>
        <w:ind w:left="567"/>
        <w:jc w:val="both"/>
        <w:rPr>
          <w:b/>
          <w:sz w:val="22"/>
          <w:szCs w:val="22"/>
        </w:rPr>
      </w:pPr>
      <w:r w:rsidRPr="00FC1466">
        <w:rPr>
          <w:sz w:val="22"/>
          <w:szCs w:val="22"/>
        </w:rPr>
        <w:t>The authors declare that they have no known competing financial interests or personal relationships that could have appeared to influence the work reported in this paper.</w:t>
      </w:r>
    </w:p>
    <w:p w14:paraId="660FD696" w14:textId="77777777" w:rsidR="00FC1466" w:rsidRPr="00FC1466" w:rsidRDefault="00FC1466" w:rsidP="00FC1466">
      <w:pPr>
        <w:ind w:left="567"/>
        <w:jc w:val="both"/>
        <w:rPr>
          <w:b/>
          <w:bCs/>
          <w:sz w:val="22"/>
          <w:szCs w:val="22"/>
          <w:lang w:val="en-AU"/>
        </w:rPr>
      </w:pPr>
    </w:p>
    <w:p w14:paraId="08A82E5C" w14:textId="77777777" w:rsidR="00FC1466" w:rsidRPr="00FC1466" w:rsidRDefault="00FC1466" w:rsidP="000F70F8">
      <w:pPr>
        <w:ind w:left="567"/>
        <w:jc w:val="both"/>
        <w:rPr>
          <w:b/>
          <w:bCs/>
          <w:sz w:val="22"/>
          <w:szCs w:val="22"/>
          <w:lang w:val="en-AU"/>
        </w:rPr>
      </w:pPr>
      <w:r w:rsidRPr="00FC1466">
        <w:rPr>
          <w:b/>
          <w:bCs/>
          <w:sz w:val="22"/>
          <w:szCs w:val="22"/>
          <w:lang w:val="en-AU"/>
        </w:rPr>
        <w:t>Ethical approval</w:t>
      </w:r>
    </w:p>
    <w:p w14:paraId="3707282F" w14:textId="77777777" w:rsidR="00FC1466" w:rsidRPr="00FC1466" w:rsidRDefault="00FC1466" w:rsidP="00FC1466">
      <w:pPr>
        <w:ind w:left="567"/>
        <w:jc w:val="both"/>
        <w:rPr>
          <w:sz w:val="22"/>
          <w:szCs w:val="22"/>
          <w:lang w:val="en-AU"/>
        </w:rPr>
      </w:pPr>
      <w:r w:rsidRPr="00FC1466">
        <w:rPr>
          <w:sz w:val="22"/>
          <w:szCs w:val="22"/>
          <w:lang w:val="en-AU"/>
        </w:rPr>
        <w:t>Not applicable</w:t>
      </w:r>
    </w:p>
    <w:p w14:paraId="289D65B9" w14:textId="77777777" w:rsidR="00FC1466" w:rsidRPr="00FC1466" w:rsidRDefault="00FC1466" w:rsidP="00FC1466">
      <w:pPr>
        <w:ind w:left="567"/>
        <w:jc w:val="both"/>
        <w:rPr>
          <w:b/>
          <w:bCs/>
          <w:sz w:val="22"/>
          <w:szCs w:val="22"/>
        </w:rPr>
      </w:pPr>
    </w:p>
    <w:p w14:paraId="5D7586FF" w14:textId="77777777" w:rsidR="00BE4972" w:rsidRPr="00FC1466" w:rsidRDefault="00BE4972" w:rsidP="00FC1466">
      <w:pPr>
        <w:jc w:val="both"/>
        <w:rPr>
          <w:b/>
          <w:bCs/>
          <w:sz w:val="22"/>
          <w:szCs w:val="22"/>
          <w:lang w:val="tr-TR"/>
        </w:rPr>
      </w:pPr>
    </w:p>
    <w:p w14:paraId="00C8C54C" w14:textId="77777777" w:rsidR="00EA63D7" w:rsidRPr="00FC1466" w:rsidRDefault="00EA63D7" w:rsidP="00FC1466">
      <w:pPr>
        <w:ind w:left="1134" w:hanging="567"/>
        <w:jc w:val="both"/>
        <w:rPr>
          <w:b/>
          <w:bCs/>
          <w:sz w:val="22"/>
          <w:szCs w:val="22"/>
          <w:lang w:val="tr-TR"/>
        </w:rPr>
      </w:pPr>
      <w:r w:rsidRPr="00FC1466">
        <w:rPr>
          <w:b/>
          <w:bCs/>
          <w:sz w:val="22"/>
          <w:szCs w:val="22"/>
          <w:lang w:val="tr-TR"/>
        </w:rPr>
        <w:t>R</w:t>
      </w:r>
      <w:r w:rsidR="006829E0" w:rsidRPr="00FC1466">
        <w:rPr>
          <w:b/>
          <w:bCs/>
          <w:sz w:val="22"/>
          <w:szCs w:val="22"/>
          <w:lang w:val="tr-TR"/>
        </w:rPr>
        <w:t>efe</w:t>
      </w:r>
      <w:r w:rsidR="00E63DAC" w:rsidRPr="00FC1466">
        <w:rPr>
          <w:b/>
          <w:bCs/>
          <w:sz w:val="22"/>
          <w:szCs w:val="22"/>
          <w:lang w:val="tr-TR"/>
        </w:rPr>
        <w:t>re</w:t>
      </w:r>
      <w:r w:rsidR="006829E0" w:rsidRPr="00FC1466">
        <w:rPr>
          <w:b/>
          <w:bCs/>
          <w:sz w:val="22"/>
          <w:szCs w:val="22"/>
          <w:lang w:val="tr-TR"/>
        </w:rPr>
        <w:t>nces</w:t>
      </w:r>
    </w:p>
    <w:p w14:paraId="3145B43A" w14:textId="77777777" w:rsidR="00EA63D7" w:rsidRPr="00FC1466" w:rsidRDefault="00EA63D7" w:rsidP="00FC1466">
      <w:pPr>
        <w:ind w:left="1134" w:hanging="567"/>
        <w:jc w:val="both"/>
        <w:rPr>
          <w:sz w:val="22"/>
          <w:szCs w:val="22"/>
          <w:lang w:val="tr-TR"/>
        </w:rPr>
      </w:pPr>
    </w:p>
    <w:p w14:paraId="5A1FD0B7" w14:textId="77777777" w:rsidR="009E6E73" w:rsidRPr="00FC1466" w:rsidRDefault="009E6E73" w:rsidP="00FC1466">
      <w:pPr>
        <w:ind w:left="1134" w:hanging="567"/>
        <w:jc w:val="both"/>
        <w:rPr>
          <w:color w:val="0070C0"/>
          <w:sz w:val="22"/>
          <w:szCs w:val="22"/>
        </w:rPr>
      </w:pPr>
      <w:r w:rsidRPr="00FC1466">
        <w:rPr>
          <w:sz w:val="22"/>
          <w:szCs w:val="22"/>
        </w:rPr>
        <w:t xml:space="preserve">Ahmed U, Sundholm D, Johansson MP (2024). The effect of hydrogen bonding on the p depletion and the p-p stacking interaction. </w:t>
      </w:r>
      <w:r w:rsidRPr="00FC1466">
        <w:rPr>
          <w:i/>
          <w:iCs/>
          <w:sz w:val="22"/>
          <w:szCs w:val="22"/>
        </w:rPr>
        <w:t>Phys Chem Chem Phys.</w:t>
      </w:r>
      <w:r w:rsidRPr="00FC1466">
        <w:rPr>
          <w:sz w:val="22"/>
          <w:szCs w:val="22"/>
        </w:rPr>
        <w:t xml:space="preserve"> 24:27431-27438.</w:t>
      </w:r>
      <w:r w:rsidR="0012528C">
        <w:rPr>
          <w:sz w:val="22"/>
          <w:szCs w:val="22"/>
        </w:rPr>
        <w:tab/>
      </w:r>
      <w:r w:rsidRPr="00FC1466">
        <w:rPr>
          <w:sz w:val="22"/>
          <w:szCs w:val="22"/>
        </w:rPr>
        <w:t xml:space="preserve">       </w:t>
      </w:r>
      <w:r w:rsidR="0012528C">
        <w:rPr>
          <w:sz w:val="22"/>
          <w:szCs w:val="22"/>
          <w:lang w:val="tr-TR"/>
        </w:rPr>
        <w:t xml:space="preserve">                            </w:t>
      </w:r>
      <w:r w:rsidRPr="00FC1466">
        <w:rPr>
          <w:color w:val="0070C0"/>
          <w:sz w:val="22"/>
          <w:szCs w:val="22"/>
        </w:rPr>
        <w:t xml:space="preserve">Doi: 10.1039/d4cp02889a </w:t>
      </w:r>
    </w:p>
    <w:p w14:paraId="1196D1F0" w14:textId="77777777" w:rsidR="00D52C0A" w:rsidRPr="00FC1466" w:rsidRDefault="00D52C0A" w:rsidP="00FC1466">
      <w:pPr>
        <w:ind w:left="1134" w:hanging="567"/>
        <w:jc w:val="both"/>
        <w:rPr>
          <w:color w:val="0070C0"/>
          <w:sz w:val="22"/>
          <w:szCs w:val="22"/>
        </w:rPr>
      </w:pPr>
    </w:p>
    <w:p w14:paraId="6200B110" w14:textId="77777777" w:rsidR="009E6E73" w:rsidRPr="00FC1466" w:rsidRDefault="009E6E73" w:rsidP="00FC1466">
      <w:pPr>
        <w:ind w:left="1134" w:hanging="567"/>
        <w:jc w:val="both"/>
        <w:rPr>
          <w:color w:val="0070C0"/>
          <w:sz w:val="22"/>
          <w:szCs w:val="22"/>
          <w:shd w:val="clear" w:color="auto" w:fill="FFFFFF"/>
        </w:rPr>
      </w:pPr>
      <w:r w:rsidRPr="00FC1466">
        <w:rPr>
          <w:color w:val="212121"/>
          <w:sz w:val="22"/>
          <w:szCs w:val="22"/>
          <w:shd w:val="clear" w:color="auto" w:fill="FFFFFF"/>
        </w:rPr>
        <w:t xml:space="preserve">Albanese A, Tang PS, Chan WC. </w:t>
      </w:r>
      <w:r w:rsidRPr="00FC1466">
        <w:rPr>
          <w:color w:val="212121"/>
          <w:sz w:val="22"/>
          <w:szCs w:val="22"/>
          <w:shd w:val="clear" w:color="auto" w:fill="FFFFFF"/>
          <w:lang w:val="tr-TR"/>
        </w:rPr>
        <w:t xml:space="preserve">(2012). </w:t>
      </w:r>
      <w:r w:rsidRPr="00FC1466">
        <w:rPr>
          <w:color w:val="212121"/>
          <w:sz w:val="22"/>
          <w:szCs w:val="22"/>
          <w:shd w:val="clear" w:color="auto" w:fill="FFFFFF"/>
        </w:rPr>
        <w:t xml:space="preserve">The effect of nanoparticle size, shape, and surface chemistry on biological systems. </w:t>
      </w:r>
      <w:r w:rsidRPr="00FC1466">
        <w:rPr>
          <w:i/>
          <w:iCs/>
          <w:color w:val="212121"/>
          <w:sz w:val="22"/>
          <w:szCs w:val="22"/>
          <w:shd w:val="clear" w:color="auto" w:fill="FFFFFF"/>
        </w:rPr>
        <w:t>Annu Rev Biomed Eng.</w:t>
      </w:r>
      <w:r w:rsidRPr="00FC1466">
        <w:rPr>
          <w:color w:val="212121"/>
          <w:sz w:val="22"/>
          <w:szCs w:val="22"/>
          <w:shd w:val="clear" w:color="auto" w:fill="FFFFFF"/>
        </w:rPr>
        <w:t xml:space="preserve"> 2012;14:1-16.</w:t>
      </w:r>
      <w:r w:rsidRPr="00FC1466">
        <w:rPr>
          <w:color w:val="212121"/>
          <w:sz w:val="22"/>
          <w:szCs w:val="22"/>
          <w:shd w:val="clear" w:color="auto" w:fill="FFFFFF"/>
        </w:rPr>
        <w:tab/>
        <w:t xml:space="preserve"> </w:t>
      </w:r>
      <w:r w:rsidRPr="00FC1466">
        <w:rPr>
          <w:color w:val="212121"/>
          <w:sz w:val="22"/>
          <w:szCs w:val="22"/>
          <w:shd w:val="clear" w:color="auto" w:fill="FFFFFF"/>
          <w:lang w:val="tr-TR"/>
        </w:rPr>
        <w:t xml:space="preserve">                                    </w:t>
      </w:r>
      <w:r w:rsidRPr="00FC1466">
        <w:rPr>
          <w:color w:val="0070C0"/>
          <w:sz w:val="22"/>
          <w:szCs w:val="22"/>
          <w:shd w:val="clear" w:color="auto" w:fill="FFFFFF"/>
          <w:lang w:val="tr-TR"/>
        </w:rPr>
        <w:t>D</w:t>
      </w:r>
      <w:r w:rsidRPr="00FC1466">
        <w:rPr>
          <w:color w:val="0070C0"/>
          <w:sz w:val="22"/>
          <w:szCs w:val="22"/>
          <w:shd w:val="clear" w:color="auto" w:fill="FFFFFF"/>
        </w:rPr>
        <w:t>oi: 10.1146/annurev-bioeng-071811-150124</w:t>
      </w:r>
    </w:p>
    <w:p w14:paraId="4F959A96" w14:textId="77777777" w:rsidR="00D52C0A" w:rsidRPr="00FC1466" w:rsidRDefault="00D52C0A" w:rsidP="00FC1466">
      <w:pPr>
        <w:ind w:left="1134" w:hanging="567"/>
        <w:jc w:val="both"/>
        <w:rPr>
          <w:sz w:val="22"/>
          <w:szCs w:val="22"/>
          <w:lang w:val="tr-TR"/>
        </w:rPr>
      </w:pPr>
    </w:p>
    <w:p w14:paraId="39585C49" w14:textId="77777777" w:rsidR="009E6E73" w:rsidRPr="00FC1466" w:rsidRDefault="009E6E73" w:rsidP="00FC1466">
      <w:pPr>
        <w:ind w:left="1134" w:hanging="567"/>
        <w:jc w:val="both"/>
        <w:rPr>
          <w:rStyle w:val="Hyperlink"/>
          <w:sz w:val="22"/>
          <w:szCs w:val="22"/>
          <w:u w:val="none"/>
        </w:rPr>
      </w:pPr>
      <w:r w:rsidRPr="00FC1466">
        <w:rPr>
          <w:sz w:val="22"/>
          <w:szCs w:val="22"/>
        </w:rPr>
        <w:t xml:space="preserve">Atanasov, A.G., Waltenberger, B., Pferschy-Wenzig, E.M., et al. (2015). Discovery and resupply of pharmacologically active plant-derived natural products: A review. </w:t>
      </w:r>
      <w:r w:rsidRPr="00FC1466">
        <w:rPr>
          <w:i/>
          <w:iCs/>
          <w:sz w:val="22"/>
          <w:szCs w:val="22"/>
        </w:rPr>
        <w:t>Biotechnol Adv</w:t>
      </w:r>
      <w:r w:rsidRPr="00FC1466">
        <w:rPr>
          <w:sz w:val="22"/>
          <w:szCs w:val="22"/>
          <w:lang w:val="tr-TR"/>
        </w:rPr>
        <w:t>.</w:t>
      </w:r>
      <w:r w:rsidRPr="00FC1466">
        <w:rPr>
          <w:sz w:val="22"/>
          <w:szCs w:val="22"/>
        </w:rPr>
        <w:t xml:space="preserve"> 33(8)</w:t>
      </w:r>
      <w:r w:rsidRPr="00FC1466">
        <w:rPr>
          <w:sz w:val="22"/>
          <w:szCs w:val="22"/>
          <w:lang w:val="tr-TR"/>
        </w:rPr>
        <w:t>:</w:t>
      </w:r>
      <w:r w:rsidRPr="00FC1466">
        <w:rPr>
          <w:sz w:val="22"/>
          <w:szCs w:val="22"/>
        </w:rPr>
        <w:t>1582-1614.</w:t>
      </w:r>
      <w:r w:rsidRPr="00FC1466">
        <w:rPr>
          <w:sz w:val="22"/>
          <w:szCs w:val="22"/>
        </w:rPr>
        <w:tab/>
        <w:t xml:space="preserve"> </w:t>
      </w:r>
      <w:hyperlink r:id="rId8" w:history="1">
        <w:r w:rsidRPr="00FC1466">
          <w:rPr>
            <w:rStyle w:val="Hyperlink"/>
            <w:sz w:val="22"/>
            <w:szCs w:val="22"/>
            <w:u w:val="none"/>
          </w:rPr>
          <w:t>https://doi.org/10.1016/j.biotechadv.2015.08.001</w:t>
        </w:r>
      </w:hyperlink>
    </w:p>
    <w:p w14:paraId="0DD936A9" w14:textId="77777777" w:rsidR="00D52C0A" w:rsidRPr="00FC1466" w:rsidRDefault="00D52C0A" w:rsidP="00FC1466">
      <w:pPr>
        <w:ind w:left="1134" w:hanging="567"/>
        <w:jc w:val="both"/>
        <w:rPr>
          <w:sz w:val="22"/>
          <w:szCs w:val="22"/>
          <w:lang w:val="tr-TR"/>
        </w:rPr>
      </w:pPr>
    </w:p>
    <w:p w14:paraId="6112B893" w14:textId="77777777" w:rsidR="009E1B5A" w:rsidRPr="00FC1466" w:rsidRDefault="009E6E73" w:rsidP="00FC1466">
      <w:pPr>
        <w:ind w:left="1134" w:hanging="567"/>
        <w:jc w:val="both"/>
        <w:rPr>
          <w:rStyle w:val="Hyperlink"/>
          <w:sz w:val="22"/>
          <w:szCs w:val="22"/>
          <w:u w:val="none"/>
        </w:rPr>
      </w:pPr>
      <w:r w:rsidRPr="00FC1466">
        <w:rPr>
          <w:sz w:val="22"/>
          <w:szCs w:val="22"/>
        </w:rPr>
        <w:t xml:space="preserve">Beck-Broichsitter, M., Rytting, E., Lebhardt, T., Wang, X., &amp; Kissel, T. (2010). Preparation of nanoparticles by solvent displacement for drug delivery: A shift in the "ouzo region" upon drug loading. </w:t>
      </w:r>
      <w:r w:rsidRPr="00FC1466">
        <w:rPr>
          <w:i/>
          <w:iCs/>
          <w:sz w:val="22"/>
          <w:szCs w:val="22"/>
        </w:rPr>
        <w:t>Eur J Pharmaceut</w:t>
      </w:r>
      <w:r w:rsidRPr="00FC1466">
        <w:rPr>
          <w:i/>
          <w:iCs/>
          <w:sz w:val="22"/>
          <w:szCs w:val="22"/>
          <w:lang w:val="tr-TR"/>
        </w:rPr>
        <w:t>ics</w:t>
      </w:r>
      <w:r w:rsidRPr="00FC1466">
        <w:rPr>
          <w:i/>
          <w:iCs/>
          <w:sz w:val="22"/>
          <w:szCs w:val="22"/>
        </w:rPr>
        <w:t xml:space="preserve"> and Biopharmaceutics</w:t>
      </w:r>
      <w:r w:rsidRPr="00FC1466">
        <w:rPr>
          <w:i/>
          <w:iCs/>
          <w:sz w:val="22"/>
          <w:szCs w:val="22"/>
          <w:lang w:val="tr-TR"/>
        </w:rPr>
        <w:t>.</w:t>
      </w:r>
      <w:r w:rsidRPr="00FC1466">
        <w:rPr>
          <w:sz w:val="22"/>
          <w:szCs w:val="22"/>
        </w:rPr>
        <w:t xml:space="preserve"> 76(1)</w:t>
      </w:r>
      <w:r w:rsidRPr="00FC1466">
        <w:rPr>
          <w:sz w:val="22"/>
          <w:szCs w:val="22"/>
          <w:lang w:val="tr-TR"/>
        </w:rPr>
        <w:t>:</w:t>
      </w:r>
      <w:r w:rsidRPr="00FC1466">
        <w:rPr>
          <w:sz w:val="22"/>
          <w:szCs w:val="22"/>
        </w:rPr>
        <w:t>1-8.</w:t>
      </w:r>
      <w:r w:rsidR="0012528C">
        <w:rPr>
          <w:sz w:val="22"/>
          <w:szCs w:val="22"/>
        </w:rPr>
        <w:tab/>
      </w:r>
      <w:r w:rsidRPr="00FC1466">
        <w:rPr>
          <w:sz w:val="22"/>
          <w:szCs w:val="22"/>
          <w:lang w:val="tr-TR"/>
        </w:rPr>
        <w:t xml:space="preserve"> </w:t>
      </w:r>
      <w:hyperlink r:id="rId9" w:history="1">
        <w:r w:rsidRPr="00FC1466">
          <w:rPr>
            <w:rStyle w:val="Hyperlink"/>
            <w:sz w:val="22"/>
            <w:szCs w:val="22"/>
            <w:u w:val="none"/>
          </w:rPr>
          <w:t>https://doi.org/10.1016/j.ejpb.2010.05.009</w:t>
        </w:r>
      </w:hyperlink>
    </w:p>
    <w:p w14:paraId="263FCEAC" w14:textId="77777777" w:rsidR="00D52C0A" w:rsidRPr="00FC1466" w:rsidRDefault="00D52C0A" w:rsidP="00FC1466">
      <w:pPr>
        <w:ind w:left="1134" w:hanging="567"/>
        <w:jc w:val="both"/>
        <w:rPr>
          <w:rStyle w:val="Hyperlink"/>
          <w:sz w:val="22"/>
          <w:szCs w:val="22"/>
          <w:u w:val="none"/>
        </w:rPr>
      </w:pPr>
    </w:p>
    <w:p w14:paraId="78E86C34" w14:textId="77777777" w:rsidR="009E6E73" w:rsidRPr="00FC1466" w:rsidRDefault="009E6E73" w:rsidP="00FC1466">
      <w:pPr>
        <w:ind w:left="1134" w:hanging="567"/>
        <w:jc w:val="both"/>
        <w:rPr>
          <w:color w:val="0070C0"/>
          <w:sz w:val="22"/>
          <w:szCs w:val="22"/>
          <w:shd w:val="clear" w:color="auto" w:fill="FFFFFF"/>
        </w:rPr>
      </w:pPr>
      <w:r w:rsidRPr="00FC1466">
        <w:rPr>
          <w:color w:val="212121"/>
          <w:sz w:val="22"/>
          <w:szCs w:val="22"/>
          <w:shd w:val="clear" w:color="auto" w:fill="FFFFFF"/>
        </w:rPr>
        <w:t xml:space="preserve">Beck-Broichsitter M, Schweiger C, Schmehl T, Gessler T, Seeger W, Kissel T. (2012). Characterization of novel spray-dried polymeric particles for controlled pulmonary drug delivery. </w:t>
      </w:r>
      <w:r w:rsidRPr="00FC1466">
        <w:rPr>
          <w:i/>
          <w:iCs/>
          <w:color w:val="212121"/>
          <w:sz w:val="22"/>
          <w:szCs w:val="22"/>
          <w:shd w:val="clear" w:color="auto" w:fill="FFFFFF"/>
        </w:rPr>
        <w:t>J Control Release.</w:t>
      </w:r>
      <w:r w:rsidRPr="00FC1466">
        <w:rPr>
          <w:color w:val="212121"/>
          <w:sz w:val="22"/>
          <w:szCs w:val="22"/>
          <w:shd w:val="clear" w:color="auto" w:fill="FFFFFF"/>
        </w:rPr>
        <w:t xml:space="preserve"> 158(2):329-35. </w:t>
      </w:r>
      <w:r w:rsidRPr="00FC1466">
        <w:rPr>
          <w:color w:val="0070C0"/>
          <w:sz w:val="22"/>
          <w:szCs w:val="22"/>
          <w:shd w:val="clear" w:color="auto" w:fill="FFFFFF"/>
        </w:rPr>
        <w:t>Doi: 10.1016/j.jconrel.2011.10.030</w:t>
      </w:r>
    </w:p>
    <w:p w14:paraId="078C1149" w14:textId="77777777" w:rsidR="00D52C0A" w:rsidRPr="00FC1466" w:rsidRDefault="00D52C0A" w:rsidP="00FC1466">
      <w:pPr>
        <w:ind w:left="1134" w:hanging="567"/>
        <w:jc w:val="both"/>
        <w:rPr>
          <w:color w:val="0070C0"/>
          <w:sz w:val="22"/>
          <w:szCs w:val="22"/>
          <w:shd w:val="clear" w:color="auto" w:fill="FFFFFF"/>
        </w:rPr>
      </w:pPr>
    </w:p>
    <w:p w14:paraId="237FE3E1" w14:textId="77777777" w:rsidR="009E1B5A" w:rsidRPr="00FC1466" w:rsidRDefault="009E1B5A" w:rsidP="00FC1466">
      <w:pPr>
        <w:ind w:left="1134" w:hanging="567"/>
        <w:jc w:val="both"/>
        <w:rPr>
          <w:rStyle w:val="Hyperlink"/>
          <w:sz w:val="22"/>
          <w:szCs w:val="22"/>
          <w:u w:val="none"/>
        </w:rPr>
      </w:pPr>
      <w:r w:rsidRPr="00FC1466">
        <w:rPr>
          <w:sz w:val="22"/>
          <w:szCs w:val="22"/>
        </w:rPr>
        <w:t xml:space="preserve">Behzadi S, Serpooshan V, Tao W, Hamaly MA, Alkawareek MY, Dreaden EC, et al. (2017). Cellular uptake of nanoparticles: journey inside the cell. </w:t>
      </w:r>
      <w:r w:rsidRPr="00FC1466">
        <w:rPr>
          <w:i/>
          <w:iCs/>
          <w:sz w:val="22"/>
          <w:szCs w:val="22"/>
        </w:rPr>
        <w:t>Chem Soc Rev.</w:t>
      </w:r>
      <w:r w:rsidRPr="00FC1466">
        <w:rPr>
          <w:sz w:val="22"/>
          <w:szCs w:val="22"/>
        </w:rPr>
        <w:t xml:space="preserve"> 46(14):4218-4244.</w:t>
      </w:r>
      <w:r w:rsidR="0012528C">
        <w:rPr>
          <w:sz w:val="22"/>
          <w:szCs w:val="22"/>
        </w:rPr>
        <w:tab/>
      </w:r>
      <w:r w:rsidRPr="00FC1466">
        <w:rPr>
          <w:sz w:val="22"/>
          <w:szCs w:val="22"/>
        </w:rPr>
        <w:t xml:space="preserve"> </w:t>
      </w:r>
      <w:hyperlink r:id="rId10" w:tgtFrame="_new" w:history="1">
        <w:r w:rsidRPr="00FC1466">
          <w:rPr>
            <w:rStyle w:val="Hyperlink"/>
            <w:sz w:val="22"/>
            <w:szCs w:val="22"/>
            <w:u w:val="none"/>
          </w:rPr>
          <w:t>https://doi.org/10.1039/C6CS00636A</w:t>
        </w:r>
      </w:hyperlink>
    </w:p>
    <w:p w14:paraId="7C55F7B7" w14:textId="77777777" w:rsidR="00D52C0A" w:rsidRPr="00FC1466" w:rsidRDefault="00D52C0A" w:rsidP="00FC1466">
      <w:pPr>
        <w:ind w:left="1134" w:hanging="567"/>
        <w:jc w:val="both"/>
        <w:rPr>
          <w:rStyle w:val="Hyperlink"/>
          <w:sz w:val="22"/>
          <w:szCs w:val="22"/>
          <w:u w:val="none"/>
        </w:rPr>
      </w:pPr>
    </w:p>
    <w:p w14:paraId="090D248A" w14:textId="77777777" w:rsidR="009E6E73" w:rsidRPr="00FC1466" w:rsidRDefault="009E6E73" w:rsidP="00FC1466">
      <w:pPr>
        <w:ind w:left="1134" w:hanging="567"/>
        <w:jc w:val="both"/>
        <w:rPr>
          <w:color w:val="0070C0"/>
          <w:sz w:val="22"/>
          <w:szCs w:val="22"/>
          <w:shd w:val="clear" w:color="auto" w:fill="FFFFFF"/>
        </w:rPr>
      </w:pPr>
      <w:r w:rsidRPr="00FC1466">
        <w:rPr>
          <w:color w:val="212121"/>
          <w:sz w:val="22"/>
          <w:szCs w:val="22"/>
          <w:shd w:val="clear" w:color="auto" w:fill="FFFFFF"/>
        </w:rPr>
        <w:t xml:space="preserve">Biedermann F, Schneider HJ. (2016). Experimental Binding Energies in Supramolecular Complexes. </w:t>
      </w:r>
      <w:r w:rsidRPr="00FC1466">
        <w:rPr>
          <w:i/>
          <w:iCs/>
          <w:color w:val="212121"/>
          <w:sz w:val="22"/>
          <w:szCs w:val="22"/>
          <w:shd w:val="clear" w:color="auto" w:fill="FFFFFF"/>
        </w:rPr>
        <w:t>Chem Rev.</w:t>
      </w:r>
      <w:r w:rsidRPr="00FC1466">
        <w:rPr>
          <w:color w:val="212121"/>
          <w:sz w:val="22"/>
          <w:szCs w:val="22"/>
          <w:shd w:val="clear" w:color="auto" w:fill="FFFFFF"/>
        </w:rPr>
        <w:t xml:space="preserve"> 116(9):5216-300.</w:t>
      </w:r>
      <w:r w:rsidRPr="00FC1466">
        <w:rPr>
          <w:color w:val="212121"/>
          <w:sz w:val="22"/>
          <w:szCs w:val="22"/>
          <w:shd w:val="clear" w:color="auto" w:fill="FFFFFF"/>
          <w:lang w:val="tr-TR"/>
        </w:rPr>
        <w:t xml:space="preserve"> </w:t>
      </w:r>
      <w:r w:rsidRPr="00FC1466">
        <w:rPr>
          <w:color w:val="0070C0"/>
          <w:sz w:val="22"/>
          <w:szCs w:val="22"/>
          <w:shd w:val="clear" w:color="auto" w:fill="FFFFFF"/>
        </w:rPr>
        <w:t>Doi: 10.1021/acs.chemrev.5b00583</w:t>
      </w:r>
    </w:p>
    <w:p w14:paraId="583F7BC0" w14:textId="77777777" w:rsidR="00D52C0A" w:rsidRPr="00FC1466" w:rsidRDefault="00D52C0A" w:rsidP="00FC1466">
      <w:pPr>
        <w:ind w:left="1134" w:hanging="567"/>
        <w:jc w:val="both"/>
        <w:rPr>
          <w:color w:val="0070C0"/>
          <w:sz w:val="22"/>
          <w:szCs w:val="22"/>
          <w:shd w:val="clear" w:color="auto" w:fill="FFFFFF"/>
        </w:rPr>
      </w:pPr>
    </w:p>
    <w:p w14:paraId="167B68BE" w14:textId="77777777" w:rsidR="009E6E73" w:rsidRPr="00FC1466" w:rsidRDefault="009E6E73" w:rsidP="00FC1466">
      <w:pPr>
        <w:ind w:left="1134" w:hanging="567"/>
        <w:jc w:val="both"/>
        <w:rPr>
          <w:sz w:val="22"/>
          <w:szCs w:val="22"/>
        </w:rPr>
      </w:pPr>
      <w:r w:rsidRPr="00FC1466">
        <w:rPr>
          <w:sz w:val="22"/>
          <w:szCs w:val="22"/>
        </w:rPr>
        <w:t xml:space="preserve">Blanco, E., Shen, H., &amp; Ferrari, M. (2015). Principles of nanoparticle design for overcoming biological barriers to drug delivery. </w:t>
      </w:r>
      <w:r w:rsidRPr="00FC1466">
        <w:rPr>
          <w:i/>
          <w:iCs/>
          <w:sz w:val="22"/>
          <w:szCs w:val="22"/>
        </w:rPr>
        <w:t>Nat Biotechnol.</w:t>
      </w:r>
      <w:r w:rsidRPr="00FC1466">
        <w:rPr>
          <w:sz w:val="22"/>
          <w:szCs w:val="22"/>
        </w:rPr>
        <w:t xml:space="preserve"> 33(9):941-951.</w:t>
      </w:r>
      <w:r w:rsidRPr="00FC1466">
        <w:rPr>
          <w:sz w:val="22"/>
          <w:szCs w:val="22"/>
        </w:rPr>
        <w:tab/>
        <w:t xml:space="preserve"> </w:t>
      </w:r>
      <w:hyperlink r:id="rId11" w:history="1">
        <w:r w:rsidRPr="00FC1466">
          <w:rPr>
            <w:rStyle w:val="Hyperlink"/>
            <w:sz w:val="22"/>
            <w:szCs w:val="22"/>
            <w:u w:val="none"/>
          </w:rPr>
          <w:t>https://doi.org/10.1038/nbt.3330</w:t>
        </w:r>
      </w:hyperlink>
      <w:r w:rsidRPr="00FC1466">
        <w:rPr>
          <w:sz w:val="22"/>
          <w:szCs w:val="22"/>
        </w:rPr>
        <w:t xml:space="preserve"> </w:t>
      </w:r>
    </w:p>
    <w:p w14:paraId="176DFB65" w14:textId="77777777" w:rsidR="00D52C0A" w:rsidRPr="00FC1466" w:rsidRDefault="00D52C0A" w:rsidP="00FC1466">
      <w:pPr>
        <w:ind w:left="1134" w:hanging="567"/>
        <w:jc w:val="both"/>
        <w:rPr>
          <w:sz w:val="22"/>
          <w:szCs w:val="22"/>
        </w:rPr>
      </w:pPr>
    </w:p>
    <w:p w14:paraId="71521845" w14:textId="77777777" w:rsidR="009E6E73" w:rsidRPr="00FC1466" w:rsidRDefault="009E6E73" w:rsidP="00FC1466">
      <w:pPr>
        <w:ind w:left="1134" w:hanging="567"/>
        <w:jc w:val="both"/>
        <w:rPr>
          <w:color w:val="0070C0"/>
          <w:sz w:val="22"/>
          <w:szCs w:val="22"/>
          <w:shd w:val="clear" w:color="auto" w:fill="FFFFFF"/>
        </w:rPr>
      </w:pPr>
      <w:r w:rsidRPr="00FC1466">
        <w:rPr>
          <w:color w:val="212121"/>
          <w:sz w:val="22"/>
          <w:szCs w:val="22"/>
          <w:shd w:val="clear" w:color="auto" w:fill="FFFFFF"/>
        </w:rPr>
        <w:t xml:space="preserve">Blankemeyer JT, McWilliams ML, Rayburn JR, Weissenberg M, Friedman M. (1998).  Developmental toxicology of solamargine and solasonine glycoalkaloids in frog embryos. </w:t>
      </w:r>
      <w:r w:rsidRPr="00FC1466">
        <w:rPr>
          <w:i/>
          <w:iCs/>
          <w:color w:val="212121"/>
          <w:sz w:val="22"/>
          <w:szCs w:val="22"/>
          <w:shd w:val="clear" w:color="auto" w:fill="FFFFFF"/>
        </w:rPr>
        <w:t>Food Chem Toxicol</w:t>
      </w:r>
      <w:r w:rsidRPr="00FC1466">
        <w:rPr>
          <w:color w:val="212121"/>
          <w:sz w:val="22"/>
          <w:szCs w:val="22"/>
          <w:shd w:val="clear" w:color="auto" w:fill="FFFFFF"/>
        </w:rPr>
        <w:t xml:space="preserve">. 36(5):383-9. </w:t>
      </w:r>
      <w:r w:rsidRPr="00FC1466">
        <w:rPr>
          <w:color w:val="0070C0"/>
          <w:sz w:val="22"/>
          <w:szCs w:val="22"/>
          <w:shd w:val="clear" w:color="auto" w:fill="FFFFFF"/>
        </w:rPr>
        <w:t>Doi: 10.1016/s0278-6915(97)00164-6</w:t>
      </w:r>
    </w:p>
    <w:p w14:paraId="757A1350" w14:textId="77777777" w:rsidR="00D52C0A" w:rsidRPr="00FC1466" w:rsidRDefault="00D52C0A" w:rsidP="00FC1466">
      <w:pPr>
        <w:ind w:left="1134" w:hanging="567"/>
        <w:jc w:val="both"/>
        <w:rPr>
          <w:color w:val="0070C0"/>
          <w:sz w:val="22"/>
          <w:szCs w:val="22"/>
          <w:shd w:val="clear" w:color="auto" w:fill="FFFFFF"/>
        </w:rPr>
      </w:pPr>
    </w:p>
    <w:p w14:paraId="6743D4D4" w14:textId="77777777" w:rsidR="009E1B5A" w:rsidRPr="00FC1466" w:rsidRDefault="009E1B5A" w:rsidP="00FC1466">
      <w:pPr>
        <w:ind w:left="1134" w:hanging="567"/>
        <w:jc w:val="both"/>
        <w:rPr>
          <w:sz w:val="22"/>
          <w:szCs w:val="22"/>
        </w:rPr>
      </w:pPr>
      <w:r w:rsidRPr="00FC1466">
        <w:rPr>
          <w:sz w:val="22"/>
          <w:szCs w:val="22"/>
        </w:rPr>
        <w:t>Claridge TDW</w:t>
      </w:r>
      <w:r w:rsidRPr="00FC1466">
        <w:rPr>
          <w:sz w:val="22"/>
          <w:szCs w:val="22"/>
          <w:lang w:val="tr-TR"/>
        </w:rPr>
        <w:t xml:space="preserve"> (2016).</w:t>
      </w:r>
      <w:r w:rsidRPr="00FC1466">
        <w:rPr>
          <w:sz w:val="22"/>
          <w:szCs w:val="22"/>
        </w:rPr>
        <w:t xml:space="preserve"> High-Resolution NMR Techniques in Organic Chemistry, 3rd ed.; Elsevier: Amsterdam, </w:t>
      </w:r>
      <w:r w:rsidRPr="00FC1466">
        <w:rPr>
          <w:sz w:val="22"/>
          <w:szCs w:val="22"/>
          <w:lang w:val="tr-TR"/>
        </w:rPr>
        <w:t>Netherland</w:t>
      </w:r>
      <w:r w:rsidRPr="00FC1466">
        <w:rPr>
          <w:sz w:val="22"/>
          <w:szCs w:val="22"/>
        </w:rPr>
        <w:t>.</w:t>
      </w:r>
    </w:p>
    <w:p w14:paraId="3048B118" w14:textId="77777777" w:rsidR="00D52C0A" w:rsidRPr="00FC1466" w:rsidRDefault="00D52C0A" w:rsidP="00FC1466">
      <w:pPr>
        <w:ind w:left="1134" w:hanging="567"/>
        <w:jc w:val="both"/>
        <w:rPr>
          <w:sz w:val="22"/>
          <w:szCs w:val="22"/>
        </w:rPr>
      </w:pPr>
    </w:p>
    <w:p w14:paraId="6FBEA4A8" w14:textId="77777777" w:rsidR="009E1B5A" w:rsidRPr="00FC1466" w:rsidRDefault="009E1B5A" w:rsidP="00FC1466">
      <w:pPr>
        <w:ind w:left="1134" w:hanging="567"/>
        <w:jc w:val="both"/>
        <w:rPr>
          <w:color w:val="0070C0"/>
          <w:sz w:val="22"/>
          <w:szCs w:val="22"/>
          <w:shd w:val="clear" w:color="auto" w:fill="FFFFFF"/>
        </w:rPr>
      </w:pPr>
      <w:r w:rsidRPr="00FC1466">
        <w:rPr>
          <w:color w:val="212121"/>
          <w:sz w:val="22"/>
          <w:szCs w:val="22"/>
          <w:shd w:val="clear" w:color="auto" w:fill="FFFFFF"/>
        </w:rPr>
        <w:t xml:space="preserve">Dai Q, Wilhelm S, Ding D, Syed AM, Sindhwani S, Zhang Y, </w:t>
      </w:r>
      <w:r w:rsidRPr="00FC1466">
        <w:rPr>
          <w:color w:val="212121"/>
          <w:sz w:val="22"/>
          <w:szCs w:val="22"/>
          <w:shd w:val="clear" w:color="auto" w:fill="FFFFFF"/>
          <w:lang w:val="tr-TR"/>
        </w:rPr>
        <w:t>et al. (2018)</w:t>
      </w:r>
      <w:r w:rsidRPr="00FC1466">
        <w:rPr>
          <w:color w:val="212121"/>
          <w:sz w:val="22"/>
          <w:szCs w:val="22"/>
          <w:shd w:val="clear" w:color="auto" w:fill="FFFFFF"/>
        </w:rPr>
        <w:t xml:space="preserve">. Quantifying the Ligand-Coated Nanoparticle Delivery to Cancer Cells in Solid Tumors. </w:t>
      </w:r>
      <w:r w:rsidRPr="00FC1466">
        <w:rPr>
          <w:i/>
          <w:iCs/>
          <w:color w:val="212121"/>
          <w:sz w:val="22"/>
          <w:szCs w:val="22"/>
          <w:shd w:val="clear" w:color="auto" w:fill="FFFFFF"/>
        </w:rPr>
        <w:t>ACS Nano.</w:t>
      </w:r>
      <w:r w:rsidRPr="00FC1466">
        <w:rPr>
          <w:color w:val="212121"/>
          <w:sz w:val="22"/>
          <w:szCs w:val="22"/>
          <w:shd w:val="clear" w:color="auto" w:fill="FFFFFF"/>
        </w:rPr>
        <w:t xml:space="preserve"> 12(8):8423-8435</w:t>
      </w:r>
      <w:r w:rsidRPr="00FC1466">
        <w:rPr>
          <w:color w:val="212121"/>
          <w:sz w:val="22"/>
          <w:szCs w:val="22"/>
          <w:shd w:val="clear" w:color="auto" w:fill="FFFFFF"/>
          <w:lang w:val="tr-TR"/>
        </w:rPr>
        <w:t>.</w:t>
      </w:r>
      <w:r w:rsidRPr="00FC1466">
        <w:rPr>
          <w:color w:val="212121"/>
          <w:sz w:val="22"/>
          <w:szCs w:val="22"/>
          <w:shd w:val="clear" w:color="auto" w:fill="FFFFFF"/>
        </w:rPr>
        <w:t xml:space="preserve"> </w:t>
      </w:r>
      <w:r w:rsidRPr="00FC1466">
        <w:rPr>
          <w:color w:val="0070C0"/>
          <w:sz w:val="22"/>
          <w:szCs w:val="22"/>
          <w:shd w:val="clear" w:color="auto" w:fill="FFFFFF"/>
          <w:lang w:val="tr-TR"/>
        </w:rPr>
        <w:t>D</w:t>
      </w:r>
      <w:r w:rsidRPr="00FC1466">
        <w:rPr>
          <w:color w:val="0070C0"/>
          <w:sz w:val="22"/>
          <w:szCs w:val="22"/>
          <w:shd w:val="clear" w:color="auto" w:fill="FFFFFF"/>
        </w:rPr>
        <w:t>oi: 10.1021/acsnano.8b03900</w:t>
      </w:r>
    </w:p>
    <w:p w14:paraId="7FBFB10C" w14:textId="77777777" w:rsidR="00D52C0A" w:rsidRPr="00FC1466" w:rsidRDefault="00D52C0A" w:rsidP="00FC1466">
      <w:pPr>
        <w:ind w:left="1134" w:hanging="567"/>
        <w:jc w:val="both"/>
        <w:rPr>
          <w:color w:val="0070C0"/>
          <w:sz w:val="22"/>
          <w:szCs w:val="22"/>
          <w:shd w:val="clear" w:color="auto" w:fill="FFFFFF"/>
        </w:rPr>
      </w:pPr>
    </w:p>
    <w:p w14:paraId="77F8087A" w14:textId="77777777" w:rsidR="009E1B5A" w:rsidRPr="00FC1466" w:rsidRDefault="009E1B5A" w:rsidP="00FC1466">
      <w:pPr>
        <w:ind w:left="1134" w:hanging="567"/>
        <w:jc w:val="both"/>
        <w:rPr>
          <w:color w:val="0070C0"/>
          <w:sz w:val="22"/>
          <w:szCs w:val="22"/>
          <w:shd w:val="clear" w:color="auto" w:fill="FFFFFF"/>
        </w:rPr>
      </w:pPr>
      <w:r w:rsidRPr="00FC1466">
        <w:rPr>
          <w:color w:val="212121"/>
          <w:sz w:val="22"/>
          <w:szCs w:val="22"/>
          <w:shd w:val="clear" w:color="auto" w:fill="FFFFFF"/>
        </w:rPr>
        <w:t xml:space="preserve">Delbrouck JA, Desgagné M, Comeau C, Bouarab K, Malouin F, Boudreault PL. (2023). The Therapeutic Value of Solanum Steroidal (Glyco)Alkaloids: A 10-Year Comprehensive Review. </w:t>
      </w:r>
      <w:r w:rsidRPr="00FC1466">
        <w:rPr>
          <w:i/>
          <w:iCs/>
          <w:color w:val="212121"/>
          <w:sz w:val="22"/>
          <w:szCs w:val="22"/>
          <w:shd w:val="clear" w:color="auto" w:fill="FFFFFF"/>
        </w:rPr>
        <w:t>Molecules.</w:t>
      </w:r>
      <w:r w:rsidRPr="00FC1466">
        <w:rPr>
          <w:color w:val="212121"/>
          <w:sz w:val="22"/>
          <w:szCs w:val="22"/>
          <w:shd w:val="clear" w:color="auto" w:fill="FFFFFF"/>
        </w:rPr>
        <w:t xml:space="preserve"> 28(13):4957. </w:t>
      </w:r>
      <w:r w:rsidRPr="00FC1466">
        <w:rPr>
          <w:color w:val="0070C0"/>
          <w:sz w:val="22"/>
          <w:szCs w:val="22"/>
          <w:shd w:val="clear" w:color="auto" w:fill="FFFFFF"/>
        </w:rPr>
        <w:t>Doi: 10.3390/molecules28134957</w:t>
      </w:r>
    </w:p>
    <w:p w14:paraId="016A188D" w14:textId="77777777" w:rsidR="00D52C0A" w:rsidRPr="00FC1466" w:rsidRDefault="00D52C0A" w:rsidP="00FC1466">
      <w:pPr>
        <w:ind w:left="1134" w:hanging="567"/>
        <w:jc w:val="both"/>
        <w:rPr>
          <w:color w:val="0070C0"/>
          <w:sz w:val="22"/>
          <w:szCs w:val="22"/>
          <w:shd w:val="clear" w:color="auto" w:fill="FFFFFF"/>
        </w:rPr>
      </w:pPr>
    </w:p>
    <w:p w14:paraId="5E3C7FCF" w14:textId="77777777" w:rsidR="009E1B5A" w:rsidRPr="00FC1466" w:rsidRDefault="009E1B5A" w:rsidP="00FC1466">
      <w:pPr>
        <w:ind w:left="1134" w:hanging="567"/>
        <w:jc w:val="both"/>
        <w:rPr>
          <w:rStyle w:val="Hyperlink"/>
          <w:color w:val="0070C0"/>
          <w:sz w:val="22"/>
          <w:szCs w:val="22"/>
          <w:u w:val="none"/>
          <w:shd w:val="clear" w:color="auto" w:fill="FFFFFF"/>
        </w:rPr>
      </w:pPr>
      <w:r w:rsidRPr="00FC1466">
        <w:rPr>
          <w:color w:val="1C1D1E"/>
          <w:sz w:val="22"/>
          <w:szCs w:val="22"/>
          <w:shd w:val="clear" w:color="auto" w:fill="FFFFFF"/>
        </w:rPr>
        <w:t>Desai N, Rana D, Patel M, Bajwa N, Prasad R, Vora RL (2025). Nanoparticle Therapeutics in Clinical Perspective: Classification, Marketed Products, and Regulatory Landscape.</w:t>
      </w:r>
      <w:r w:rsidRPr="00FC1466">
        <w:rPr>
          <w:color w:val="1C1D1E"/>
          <w:sz w:val="22"/>
          <w:szCs w:val="22"/>
          <w:shd w:val="clear" w:color="auto" w:fill="FFFFFF"/>
          <w:lang w:val="tr-TR"/>
        </w:rPr>
        <w:t xml:space="preserve"> </w:t>
      </w:r>
      <w:r w:rsidRPr="00FC1466">
        <w:rPr>
          <w:i/>
          <w:iCs/>
          <w:color w:val="1C1D1E"/>
          <w:sz w:val="22"/>
          <w:szCs w:val="22"/>
          <w:shd w:val="clear" w:color="auto" w:fill="FFFFFF"/>
          <w:lang w:val="tr-TR"/>
        </w:rPr>
        <w:t>Small</w:t>
      </w:r>
      <w:r w:rsidRPr="00FC1466">
        <w:rPr>
          <w:color w:val="1C1D1E"/>
          <w:sz w:val="22"/>
          <w:szCs w:val="22"/>
          <w:shd w:val="clear" w:color="auto" w:fill="FFFFFF"/>
          <w:lang w:val="tr-TR"/>
        </w:rPr>
        <w:t xml:space="preserve">. 21(29):2502315. </w:t>
      </w:r>
      <w:hyperlink r:id="rId12" w:history="1">
        <w:r w:rsidRPr="00FC1466">
          <w:rPr>
            <w:rStyle w:val="Hyperlink"/>
            <w:color w:val="0070C0"/>
            <w:sz w:val="22"/>
            <w:szCs w:val="22"/>
            <w:u w:val="none"/>
            <w:shd w:val="clear" w:color="auto" w:fill="FFFFFF"/>
          </w:rPr>
          <w:t>https://doi.org/10.1002/smll.202502315</w:t>
        </w:r>
      </w:hyperlink>
    </w:p>
    <w:p w14:paraId="520016F2" w14:textId="77777777" w:rsidR="00D52C0A" w:rsidRPr="00FC1466" w:rsidRDefault="00D52C0A" w:rsidP="00FC1466">
      <w:pPr>
        <w:ind w:left="1134" w:hanging="567"/>
        <w:jc w:val="both"/>
        <w:rPr>
          <w:rStyle w:val="Hyperlink"/>
          <w:color w:val="0070C0"/>
          <w:sz w:val="22"/>
          <w:szCs w:val="22"/>
          <w:u w:val="none"/>
          <w:shd w:val="clear" w:color="auto" w:fill="FFFFFF"/>
        </w:rPr>
      </w:pPr>
    </w:p>
    <w:p w14:paraId="687D12AF" w14:textId="77777777" w:rsidR="009E1B5A" w:rsidRPr="00FC1466" w:rsidRDefault="009E1B5A" w:rsidP="00FC1466">
      <w:pPr>
        <w:ind w:left="1134" w:hanging="567"/>
        <w:jc w:val="both"/>
        <w:rPr>
          <w:color w:val="0070C0"/>
          <w:sz w:val="22"/>
          <w:szCs w:val="22"/>
          <w:shd w:val="clear" w:color="auto" w:fill="FFFFFF"/>
        </w:rPr>
      </w:pPr>
      <w:r w:rsidRPr="00FC1466">
        <w:rPr>
          <w:color w:val="212121"/>
          <w:sz w:val="22"/>
          <w:szCs w:val="22"/>
          <w:shd w:val="clear" w:color="auto" w:fill="FFFFFF"/>
        </w:rPr>
        <w:t xml:space="preserve">Dubochet J, Adrian M, Chang JJ, Homo JC, Lepault J, McDowall AW, </w:t>
      </w:r>
      <w:r w:rsidRPr="00FC1466">
        <w:rPr>
          <w:color w:val="212121"/>
          <w:sz w:val="22"/>
          <w:szCs w:val="22"/>
          <w:shd w:val="clear" w:color="auto" w:fill="FFFFFF"/>
          <w:lang w:val="tr-TR"/>
        </w:rPr>
        <w:t>et al. (1988).</w:t>
      </w:r>
      <w:r w:rsidRPr="00FC1466">
        <w:rPr>
          <w:color w:val="212121"/>
          <w:sz w:val="22"/>
          <w:szCs w:val="22"/>
          <w:shd w:val="clear" w:color="auto" w:fill="FFFFFF"/>
        </w:rPr>
        <w:t xml:space="preserve"> Cryo-electron microscopy of vitrified specimens. </w:t>
      </w:r>
      <w:r w:rsidRPr="00FC1466">
        <w:rPr>
          <w:i/>
          <w:iCs/>
          <w:color w:val="212121"/>
          <w:sz w:val="22"/>
          <w:szCs w:val="22"/>
          <w:shd w:val="clear" w:color="auto" w:fill="FFFFFF"/>
        </w:rPr>
        <w:t>Q Rev Biophys.</w:t>
      </w:r>
      <w:r w:rsidRPr="00FC1466">
        <w:rPr>
          <w:color w:val="212121"/>
          <w:sz w:val="22"/>
          <w:szCs w:val="22"/>
          <w:shd w:val="clear" w:color="auto" w:fill="FFFFFF"/>
        </w:rPr>
        <w:t xml:space="preserve"> 21(2):129-228.</w:t>
      </w:r>
      <w:r w:rsidR="0012528C">
        <w:rPr>
          <w:color w:val="212121"/>
          <w:sz w:val="22"/>
          <w:szCs w:val="22"/>
          <w:shd w:val="clear" w:color="auto" w:fill="FFFFFF"/>
        </w:rPr>
        <w:tab/>
      </w:r>
      <w:r w:rsidR="0012528C">
        <w:rPr>
          <w:color w:val="212121"/>
          <w:sz w:val="22"/>
          <w:szCs w:val="22"/>
          <w:shd w:val="clear" w:color="auto" w:fill="FFFFFF"/>
          <w:lang w:val="tr-TR"/>
        </w:rPr>
        <w:t xml:space="preserve">                                                    </w:t>
      </w:r>
      <w:r w:rsidRPr="00FC1466">
        <w:rPr>
          <w:color w:val="0070C0"/>
          <w:sz w:val="22"/>
          <w:szCs w:val="22"/>
          <w:shd w:val="clear" w:color="auto" w:fill="FFFFFF"/>
          <w:lang w:val="tr-TR"/>
        </w:rPr>
        <w:t>D</w:t>
      </w:r>
      <w:r w:rsidRPr="00FC1466">
        <w:rPr>
          <w:color w:val="0070C0"/>
          <w:sz w:val="22"/>
          <w:szCs w:val="22"/>
          <w:shd w:val="clear" w:color="auto" w:fill="FFFFFF"/>
        </w:rPr>
        <w:t>oi: 10.1017/s0033583500004297</w:t>
      </w:r>
    </w:p>
    <w:p w14:paraId="2142BC70" w14:textId="77777777" w:rsidR="00D52C0A" w:rsidRPr="00FC1466" w:rsidRDefault="00D52C0A" w:rsidP="00FC1466">
      <w:pPr>
        <w:ind w:left="1134" w:hanging="567"/>
        <w:jc w:val="both"/>
        <w:rPr>
          <w:color w:val="0070C0"/>
          <w:sz w:val="22"/>
          <w:szCs w:val="22"/>
          <w:shd w:val="clear" w:color="auto" w:fill="FFFFFF"/>
        </w:rPr>
      </w:pPr>
    </w:p>
    <w:p w14:paraId="1843C7A4" w14:textId="77777777" w:rsidR="009E1B5A" w:rsidRPr="00FC1466" w:rsidRDefault="009E1B5A" w:rsidP="00FC1466">
      <w:pPr>
        <w:ind w:left="1134" w:hanging="567"/>
        <w:jc w:val="both"/>
        <w:rPr>
          <w:color w:val="0070C0"/>
          <w:sz w:val="22"/>
          <w:szCs w:val="22"/>
          <w:shd w:val="clear" w:color="auto" w:fill="FFFFFF"/>
        </w:rPr>
      </w:pPr>
      <w:r w:rsidRPr="00FC1466">
        <w:rPr>
          <w:color w:val="212121"/>
          <w:sz w:val="22"/>
          <w:szCs w:val="22"/>
          <w:shd w:val="clear" w:color="auto" w:fill="FFFFFF"/>
        </w:rPr>
        <w:t xml:space="preserve">Elmowafy M, Shalaby K, Elkomy MH, Alsaidan OA, Gomaa HAM, Abdelgawad MA, et al. (2023). Polymeric Nanoparticles for Delivery of Natural Bioactive Agents: Recent Advances and Challenges. </w:t>
      </w:r>
      <w:r w:rsidRPr="00FC1466">
        <w:rPr>
          <w:i/>
          <w:iCs/>
          <w:color w:val="212121"/>
          <w:sz w:val="22"/>
          <w:szCs w:val="22"/>
          <w:shd w:val="clear" w:color="auto" w:fill="FFFFFF"/>
        </w:rPr>
        <w:t>Polymers (Basel).</w:t>
      </w:r>
      <w:r w:rsidRPr="00FC1466">
        <w:rPr>
          <w:color w:val="212121"/>
          <w:sz w:val="22"/>
          <w:szCs w:val="22"/>
          <w:shd w:val="clear" w:color="auto" w:fill="FFFFFF"/>
        </w:rPr>
        <w:t xml:space="preserve"> 15(5):1123.</w:t>
      </w:r>
      <w:r w:rsidR="0012528C">
        <w:rPr>
          <w:color w:val="212121"/>
          <w:sz w:val="22"/>
          <w:szCs w:val="22"/>
          <w:shd w:val="clear" w:color="auto" w:fill="FFFFFF"/>
          <w:lang w:val="tr-TR"/>
        </w:rPr>
        <w:t xml:space="preserve"> </w:t>
      </w:r>
      <w:r w:rsidRPr="00FC1466">
        <w:rPr>
          <w:color w:val="0070C0"/>
          <w:sz w:val="22"/>
          <w:szCs w:val="22"/>
          <w:shd w:val="clear" w:color="auto" w:fill="FFFFFF"/>
        </w:rPr>
        <w:t>Doi: 10.3390/polym15051123</w:t>
      </w:r>
    </w:p>
    <w:p w14:paraId="7B4EA5D5" w14:textId="77777777" w:rsidR="000F70F8" w:rsidRDefault="000F70F8" w:rsidP="00FC1466">
      <w:pPr>
        <w:ind w:left="1134" w:hanging="567"/>
        <w:jc w:val="both"/>
        <w:rPr>
          <w:sz w:val="22"/>
          <w:szCs w:val="22"/>
        </w:rPr>
      </w:pPr>
    </w:p>
    <w:p w14:paraId="133CD29E" w14:textId="77777777" w:rsidR="00B9710F" w:rsidRPr="00FC1466" w:rsidRDefault="00B9710F" w:rsidP="00FC1466">
      <w:pPr>
        <w:ind w:left="1134" w:hanging="567"/>
        <w:jc w:val="both"/>
        <w:rPr>
          <w:sz w:val="22"/>
          <w:szCs w:val="22"/>
        </w:rPr>
      </w:pPr>
      <w:r w:rsidRPr="00FC1466">
        <w:rPr>
          <w:sz w:val="22"/>
          <w:szCs w:val="22"/>
        </w:rPr>
        <w:t>U.S. Food and Drug Administration (FDA). (2011). Pharmaceutical Quality for the 21st Century: A Risk-Based Approach. Silver Spring, MD.</w:t>
      </w:r>
    </w:p>
    <w:p w14:paraId="1F68C327" w14:textId="77777777" w:rsidR="00FA42FD" w:rsidRPr="00FC1466" w:rsidRDefault="00FA42FD" w:rsidP="00FC1466">
      <w:pPr>
        <w:ind w:left="1134" w:hanging="567"/>
        <w:jc w:val="both"/>
        <w:rPr>
          <w:sz w:val="22"/>
          <w:szCs w:val="22"/>
        </w:rPr>
      </w:pPr>
    </w:p>
    <w:p w14:paraId="11137B26" w14:textId="77777777" w:rsidR="00E43941" w:rsidRPr="00FC1466" w:rsidRDefault="00E43941" w:rsidP="00FC1466">
      <w:pPr>
        <w:ind w:left="1134" w:hanging="567"/>
        <w:jc w:val="both"/>
        <w:rPr>
          <w:color w:val="0070C0"/>
          <w:sz w:val="22"/>
          <w:szCs w:val="22"/>
          <w:shd w:val="clear" w:color="auto" w:fill="FFFFFF"/>
        </w:rPr>
      </w:pPr>
      <w:r w:rsidRPr="00FC1466">
        <w:rPr>
          <w:color w:val="1B1B1B"/>
          <w:sz w:val="22"/>
          <w:szCs w:val="22"/>
          <w:shd w:val="clear" w:color="auto" w:fill="FFFFFF"/>
        </w:rPr>
        <w:t xml:space="preserve">Gadade DD, Pekamwar SS. </w:t>
      </w:r>
      <w:r w:rsidRPr="00FC1466">
        <w:rPr>
          <w:color w:val="1B1B1B"/>
          <w:sz w:val="22"/>
          <w:szCs w:val="22"/>
          <w:shd w:val="clear" w:color="auto" w:fill="FFFFFF"/>
          <w:lang w:val="tr-TR"/>
        </w:rPr>
        <w:t xml:space="preserve">(2020). </w:t>
      </w:r>
      <w:r w:rsidRPr="00FC1466">
        <w:rPr>
          <w:color w:val="1B1B1B"/>
          <w:sz w:val="22"/>
          <w:szCs w:val="22"/>
          <w:shd w:val="clear" w:color="auto" w:fill="FFFFFF"/>
        </w:rPr>
        <w:t xml:space="preserve">Cyclodextrin Based Nanoparticles for Drug Delivery and Theranostics. </w:t>
      </w:r>
      <w:r w:rsidRPr="00FC1466">
        <w:rPr>
          <w:i/>
          <w:iCs/>
          <w:color w:val="1B1B1B"/>
          <w:sz w:val="22"/>
          <w:szCs w:val="22"/>
          <w:shd w:val="clear" w:color="auto" w:fill="FFFFFF"/>
        </w:rPr>
        <w:t>Adv Pharm Bull.</w:t>
      </w:r>
      <w:r w:rsidRPr="00FC1466">
        <w:rPr>
          <w:color w:val="1B1B1B"/>
          <w:sz w:val="22"/>
          <w:szCs w:val="22"/>
          <w:shd w:val="clear" w:color="auto" w:fill="FFFFFF"/>
        </w:rPr>
        <w:t xml:space="preserve"> 10(2):166-183.</w:t>
      </w:r>
      <w:r w:rsidRPr="00FC1466">
        <w:rPr>
          <w:color w:val="1B1B1B"/>
          <w:sz w:val="22"/>
          <w:szCs w:val="22"/>
          <w:shd w:val="clear" w:color="auto" w:fill="FFFFFF"/>
          <w:lang w:val="tr-TR"/>
        </w:rPr>
        <w:t xml:space="preserve"> </w:t>
      </w:r>
      <w:r w:rsidRPr="00FC1466">
        <w:rPr>
          <w:color w:val="0070C0"/>
          <w:sz w:val="22"/>
          <w:szCs w:val="22"/>
          <w:shd w:val="clear" w:color="auto" w:fill="FFFFFF"/>
          <w:lang w:val="tr-TR"/>
        </w:rPr>
        <w:t>D</w:t>
      </w:r>
      <w:r w:rsidRPr="00FC1466">
        <w:rPr>
          <w:color w:val="0070C0"/>
          <w:sz w:val="22"/>
          <w:szCs w:val="22"/>
          <w:shd w:val="clear" w:color="auto" w:fill="FFFFFF"/>
        </w:rPr>
        <w:t>oi: 10.34172/apb.2020.022</w:t>
      </w:r>
    </w:p>
    <w:p w14:paraId="33681B53" w14:textId="77777777" w:rsidR="00D52C0A" w:rsidRPr="00FC1466" w:rsidRDefault="00D52C0A" w:rsidP="00FC1466">
      <w:pPr>
        <w:ind w:left="1134" w:hanging="567"/>
        <w:jc w:val="both"/>
        <w:rPr>
          <w:color w:val="0070C0"/>
          <w:sz w:val="22"/>
          <w:szCs w:val="22"/>
          <w:shd w:val="clear" w:color="auto" w:fill="FFFFFF"/>
        </w:rPr>
      </w:pPr>
    </w:p>
    <w:p w14:paraId="3BED13AC" w14:textId="77777777" w:rsidR="00F90E36" w:rsidRPr="00FC1466" w:rsidRDefault="00F90E36" w:rsidP="00FC1466">
      <w:pPr>
        <w:ind w:left="1134" w:hanging="567"/>
        <w:jc w:val="both"/>
        <w:rPr>
          <w:color w:val="0070C0"/>
          <w:sz w:val="22"/>
          <w:szCs w:val="22"/>
          <w:shd w:val="clear" w:color="auto" w:fill="FFFFFF"/>
        </w:rPr>
      </w:pPr>
      <w:r w:rsidRPr="00FC1466">
        <w:rPr>
          <w:color w:val="212121"/>
          <w:sz w:val="22"/>
          <w:szCs w:val="22"/>
          <w:shd w:val="clear" w:color="auto" w:fill="FFFFFF"/>
        </w:rPr>
        <w:t xml:space="preserve">Gao Y, Sun L, Qiao C, Liu Y, Wang Y, Feng R, </w:t>
      </w:r>
      <w:r w:rsidRPr="00FC1466">
        <w:rPr>
          <w:color w:val="212121"/>
          <w:sz w:val="22"/>
          <w:szCs w:val="22"/>
          <w:shd w:val="clear" w:color="auto" w:fill="FFFFFF"/>
          <w:lang w:val="tr-TR"/>
        </w:rPr>
        <w:t xml:space="preserve">et al. (2025). </w:t>
      </w:r>
      <w:r w:rsidRPr="00FC1466">
        <w:rPr>
          <w:color w:val="212121"/>
          <w:sz w:val="22"/>
          <w:szCs w:val="22"/>
          <w:shd w:val="clear" w:color="auto" w:fill="FFFFFF"/>
        </w:rPr>
        <w:t xml:space="preserve">Cyclodextrin-based delivery systems for chemical and genetic drugs: Current status and future. </w:t>
      </w:r>
      <w:r w:rsidRPr="00FC1466">
        <w:rPr>
          <w:i/>
          <w:iCs/>
          <w:color w:val="212121"/>
          <w:sz w:val="22"/>
          <w:szCs w:val="22"/>
          <w:shd w:val="clear" w:color="auto" w:fill="FFFFFF"/>
        </w:rPr>
        <w:t>Carbohydr Polym.</w:t>
      </w:r>
      <w:r w:rsidRPr="00FC1466">
        <w:rPr>
          <w:color w:val="212121"/>
          <w:sz w:val="22"/>
          <w:szCs w:val="22"/>
          <w:shd w:val="clear" w:color="auto" w:fill="FFFFFF"/>
        </w:rPr>
        <w:t xml:space="preserve"> 352:123174.</w:t>
      </w:r>
      <w:r w:rsidR="0012528C">
        <w:rPr>
          <w:color w:val="212121"/>
          <w:sz w:val="22"/>
          <w:szCs w:val="22"/>
          <w:shd w:val="clear" w:color="auto" w:fill="FFFFFF"/>
        </w:rPr>
        <w:tab/>
      </w:r>
      <w:r w:rsidRPr="00FC1466">
        <w:rPr>
          <w:color w:val="212121"/>
          <w:sz w:val="22"/>
          <w:szCs w:val="22"/>
          <w:shd w:val="clear" w:color="auto" w:fill="FFFFFF"/>
        </w:rPr>
        <w:t xml:space="preserve"> </w:t>
      </w:r>
      <w:r w:rsidR="0012528C">
        <w:rPr>
          <w:color w:val="212121"/>
          <w:sz w:val="22"/>
          <w:szCs w:val="22"/>
          <w:shd w:val="clear" w:color="auto" w:fill="FFFFFF"/>
          <w:lang w:val="tr-TR"/>
        </w:rPr>
        <w:t xml:space="preserve"> </w:t>
      </w:r>
      <w:r w:rsidRPr="00FC1466">
        <w:rPr>
          <w:color w:val="0070C0"/>
          <w:sz w:val="22"/>
          <w:szCs w:val="22"/>
          <w:shd w:val="clear" w:color="auto" w:fill="FFFFFF"/>
          <w:lang w:val="tr-TR"/>
        </w:rPr>
        <w:t>D</w:t>
      </w:r>
      <w:r w:rsidRPr="00FC1466">
        <w:rPr>
          <w:color w:val="0070C0"/>
          <w:sz w:val="22"/>
          <w:szCs w:val="22"/>
          <w:shd w:val="clear" w:color="auto" w:fill="FFFFFF"/>
        </w:rPr>
        <w:t>oi: 10.1016/j.carbpol.2024.123174</w:t>
      </w:r>
    </w:p>
    <w:p w14:paraId="11188321" w14:textId="77777777" w:rsidR="00D52C0A" w:rsidRPr="00FC1466" w:rsidRDefault="00D52C0A" w:rsidP="00FC1466">
      <w:pPr>
        <w:ind w:left="1134" w:hanging="567"/>
        <w:jc w:val="both"/>
        <w:rPr>
          <w:color w:val="0070C0"/>
          <w:sz w:val="22"/>
          <w:szCs w:val="22"/>
          <w:shd w:val="clear" w:color="auto" w:fill="FFFFFF"/>
        </w:rPr>
      </w:pPr>
    </w:p>
    <w:p w14:paraId="746B5410" w14:textId="77777777" w:rsidR="00E43941" w:rsidRPr="00FC1466" w:rsidRDefault="00E43941" w:rsidP="00FC1466">
      <w:pPr>
        <w:ind w:left="1134" w:hanging="567"/>
        <w:jc w:val="both"/>
        <w:rPr>
          <w:color w:val="0070C0"/>
          <w:sz w:val="22"/>
          <w:szCs w:val="22"/>
          <w:shd w:val="clear" w:color="auto" w:fill="FFFFFF"/>
        </w:rPr>
      </w:pPr>
      <w:r w:rsidRPr="00FC1466">
        <w:rPr>
          <w:color w:val="212121"/>
          <w:sz w:val="22"/>
          <w:szCs w:val="22"/>
          <w:shd w:val="clear" w:color="auto" w:fill="FFFFFF"/>
        </w:rPr>
        <w:t xml:space="preserve">Gupta G, Joshi D, Narayan G, Sharma S. </w:t>
      </w:r>
      <w:r w:rsidRPr="00FC1466">
        <w:rPr>
          <w:color w:val="212121"/>
          <w:sz w:val="22"/>
          <w:szCs w:val="22"/>
          <w:shd w:val="clear" w:color="auto" w:fill="FFFFFF"/>
          <w:lang w:val="tr-TR"/>
        </w:rPr>
        <w:t xml:space="preserve">(2025). </w:t>
      </w:r>
      <w:r w:rsidRPr="00FC1466">
        <w:rPr>
          <w:color w:val="212121"/>
          <w:sz w:val="22"/>
          <w:szCs w:val="22"/>
          <w:shd w:val="clear" w:color="auto" w:fill="FFFFFF"/>
        </w:rPr>
        <w:t xml:space="preserve">Exploration of novel phytochemicals as α-synuclein aggregation inhibitors in the context of Parkinson's disease therapy: an in-silico approach. </w:t>
      </w:r>
      <w:r w:rsidRPr="00FC1466">
        <w:rPr>
          <w:i/>
          <w:iCs/>
          <w:color w:val="212121"/>
          <w:sz w:val="22"/>
          <w:szCs w:val="22"/>
          <w:shd w:val="clear" w:color="auto" w:fill="FFFFFF"/>
        </w:rPr>
        <w:t>In Silico Pharmacol.</w:t>
      </w:r>
      <w:r w:rsidRPr="00FC1466">
        <w:rPr>
          <w:color w:val="212121"/>
          <w:sz w:val="22"/>
          <w:szCs w:val="22"/>
          <w:shd w:val="clear" w:color="auto" w:fill="FFFFFF"/>
        </w:rPr>
        <w:t xml:space="preserve"> 13(1):37. </w:t>
      </w:r>
      <w:r w:rsidRPr="00FC1466">
        <w:rPr>
          <w:color w:val="0070C0"/>
          <w:sz w:val="22"/>
          <w:szCs w:val="22"/>
          <w:shd w:val="clear" w:color="auto" w:fill="FFFFFF"/>
          <w:lang w:val="tr-TR"/>
        </w:rPr>
        <w:t>D</w:t>
      </w:r>
      <w:r w:rsidRPr="00FC1466">
        <w:rPr>
          <w:color w:val="0070C0"/>
          <w:sz w:val="22"/>
          <w:szCs w:val="22"/>
          <w:shd w:val="clear" w:color="auto" w:fill="FFFFFF"/>
        </w:rPr>
        <w:t>oi: 10.1007/s40203-025-00330-8</w:t>
      </w:r>
    </w:p>
    <w:p w14:paraId="5484EA2A" w14:textId="77777777" w:rsidR="00D52C0A" w:rsidRPr="00FC1466" w:rsidRDefault="00D52C0A" w:rsidP="00FC1466">
      <w:pPr>
        <w:ind w:left="1134" w:hanging="567"/>
        <w:jc w:val="both"/>
        <w:rPr>
          <w:color w:val="0070C0"/>
          <w:sz w:val="22"/>
          <w:szCs w:val="22"/>
          <w:shd w:val="clear" w:color="auto" w:fill="FFFFFF"/>
        </w:rPr>
      </w:pPr>
    </w:p>
    <w:p w14:paraId="0A182CF2" w14:textId="77777777" w:rsidR="00600CFD" w:rsidRPr="00FC1466" w:rsidRDefault="00600CFD" w:rsidP="00FC1466">
      <w:pPr>
        <w:ind w:left="1134" w:hanging="567"/>
        <w:jc w:val="both"/>
        <w:rPr>
          <w:color w:val="0070C0"/>
          <w:sz w:val="22"/>
          <w:szCs w:val="22"/>
          <w:shd w:val="clear" w:color="auto" w:fill="FFFFFF"/>
        </w:rPr>
      </w:pPr>
      <w:r w:rsidRPr="00FC1466">
        <w:rPr>
          <w:color w:val="212121"/>
          <w:sz w:val="22"/>
          <w:szCs w:val="22"/>
          <w:shd w:val="clear" w:color="auto" w:fill="FFFFFF"/>
        </w:rPr>
        <w:t xml:space="preserve">Hajiashrafi T, Zekriazadeh R, Flanagan KJ, Kia F, Bauzá A, Frontera A, et al. (2019). The role of π-π stacking and hydrogen-bonding interactions in the assembly of a series of isostructural group IIB coordination compounds. </w:t>
      </w:r>
      <w:r w:rsidRPr="00FC1466">
        <w:rPr>
          <w:i/>
          <w:iCs/>
          <w:color w:val="212121"/>
          <w:sz w:val="22"/>
          <w:szCs w:val="22"/>
          <w:shd w:val="clear" w:color="auto" w:fill="FFFFFF"/>
        </w:rPr>
        <w:t>Acta Crystallogr C Struct Chem</w:t>
      </w:r>
      <w:r w:rsidRPr="00FC1466">
        <w:rPr>
          <w:color w:val="212121"/>
          <w:sz w:val="22"/>
          <w:szCs w:val="22"/>
          <w:shd w:val="clear" w:color="auto" w:fill="FFFFFF"/>
        </w:rPr>
        <w:t>. 75(Pt 2):178-188.</w:t>
      </w:r>
      <w:r w:rsidR="000F70F8">
        <w:rPr>
          <w:color w:val="212121"/>
          <w:sz w:val="22"/>
          <w:szCs w:val="22"/>
          <w:shd w:val="clear" w:color="auto" w:fill="FFFFFF"/>
        </w:rPr>
        <w:tab/>
      </w:r>
      <w:r w:rsidRPr="00FC1466">
        <w:rPr>
          <w:color w:val="212121"/>
          <w:sz w:val="22"/>
          <w:szCs w:val="22"/>
          <w:shd w:val="clear" w:color="auto" w:fill="FFFFFF"/>
        </w:rPr>
        <w:t xml:space="preserve"> </w:t>
      </w:r>
      <w:r w:rsidR="000F70F8">
        <w:rPr>
          <w:color w:val="212121"/>
          <w:sz w:val="22"/>
          <w:szCs w:val="22"/>
          <w:shd w:val="clear" w:color="auto" w:fill="FFFFFF"/>
          <w:lang w:val="tr-TR"/>
        </w:rPr>
        <w:t xml:space="preserve">                    </w:t>
      </w:r>
      <w:r w:rsidRPr="00FC1466">
        <w:rPr>
          <w:color w:val="0070C0"/>
          <w:sz w:val="22"/>
          <w:szCs w:val="22"/>
          <w:shd w:val="clear" w:color="auto" w:fill="FFFFFF"/>
        </w:rPr>
        <w:t>Doi: 10.1107/S2053229618018314</w:t>
      </w:r>
    </w:p>
    <w:p w14:paraId="5C80F1AA" w14:textId="77777777" w:rsidR="00D52C0A" w:rsidRPr="00FC1466" w:rsidRDefault="00D52C0A" w:rsidP="00FC1466">
      <w:pPr>
        <w:ind w:left="1134" w:hanging="567"/>
        <w:jc w:val="both"/>
        <w:rPr>
          <w:color w:val="0070C0"/>
          <w:sz w:val="22"/>
          <w:szCs w:val="22"/>
          <w:shd w:val="clear" w:color="auto" w:fill="FFFFFF"/>
        </w:rPr>
      </w:pPr>
    </w:p>
    <w:p w14:paraId="59C3F7F9" w14:textId="77777777" w:rsidR="005C5ED2" w:rsidRPr="00FC1466" w:rsidRDefault="005C5ED2" w:rsidP="00FC1466">
      <w:pPr>
        <w:ind w:left="1134" w:hanging="567"/>
        <w:jc w:val="both"/>
        <w:rPr>
          <w:rStyle w:val="Hyperlink"/>
          <w:sz w:val="22"/>
          <w:szCs w:val="22"/>
          <w:u w:val="none"/>
          <w:shd w:val="clear" w:color="auto" w:fill="FFFFFF"/>
        </w:rPr>
      </w:pPr>
      <w:r w:rsidRPr="00FC1466">
        <w:rPr>
          <w:color w:val="1C1D1E"/>
          <w:sz w:val="22"/>
          <w:szCs w:val="22"/>
          <w:shd w:val="clear" w:color="auto" w:fill="FFFFFF"/>
        </w:rPr>
        <w:t xml:space="preserve">Halamoda-Kenzaoui B, Holzwarth U, Roebben G, Bogni A, Bremer-Hoffmann S. </w:t>
      </w:r>
      <w:r w:rsidRPr="00FC1466">
        <w:rPr>
          <w:color w:val="1C1D1E"/>
          <w:sz w:val="22"/>
          <w:szCs w:val="22"/>
          <w:shd w:val="clear" w:color="auto" w:fill="FFFFFF"/>
          <w:lang w:val="tr-TR"/>
        </w:rPr>
        <w:t xml:space="preserve">(2019). </w:t>
      </w:r>
      <w:r w:rsidRPr="00FC1466">
        <w:rPr>
          <w:color w:val="1C1D1E"/>
          <w:sz w:val="22"/>
          <w:szCs w:val="22"/>
          <w:shd w:val="clear" w:color="auto" w:fill="FFFFFF"/>
        </w:rPr>
        <w:t xml:space="preserve">Mapping of the available standards against the regulatory needs for nanomedicines. </w:t>
      </w:r>
      <w:r w:rsidRPr="00FC1466">
        <w:rPr>
          <w:i/>
          <w:iCs/>
          <w:color w:val="1C1D1E"/>
          <w:sz w:val="22"/>
          <w:szCs w:val="22"/>
          <w:shd w:val="clear" w:color="auto" w:fill="FFFFFF"/>
        </w:rPr>
        <w:t>WIREs Nanomed Nanobiotechnol</w:t>
      </w:r>
      <w:r w:rsidRPr="00FC1466">
        <w:rPr>
          <w:i/>
          <w:iCs/>
          <w:color w:val="1C1D1E"/>
          <w:sz w:val="22"/>
          <w:szCs w:val="22"/>
          <w:shd w:val="clear" w:color="auto" w:fill="FFFFFF"/>
          <w:lang w:val="tr-TR"/>
        </w:rPr>
        <w:t xml:space="preserve"> </w:t>
      </w:r>
      <w:r w:rsidRPr="00FC1466">
        <w:rPr>
          <w:color w:val="1C1D1E"/>
          <w:sz w:val="22"/>
          <w:szCs w:val="22"/>
          <w:shd w:val="clear" w:color="auto" w:fill="FFFFFF"/>
          <w:lang w:val="tr-TR"/>
        </w:rPr>
        <w:t xml:space="preserve">11:e1531. </w:t>
      </w:r>
      <w:hyperlink r:id="rId13" w:history="1">
        <w:r w:rsidRPr="00FC1466">
          <w:rPr>
            <w:rStyle w:val="Hyperlink"/>
            <w:sz w:val="22"/>
            <w:szCs w:val="22"/>
            <w:u w:val="none"/>
            <w:shd w:val="clear" w:color="auto" w:fill="FFFFFF"/>
          </w:rPr>
          <w:t>https://doi.org/10.1002/wnan.1531</w:t>
        </w:r>
      </w:hyperlink>
    </w:p>
    <w:p w14:paraId="4E0CF6E7" w14:textId="77777777" w:rsidR="00E63DAC" w:rsidRPr="00FC1466" w:rsidRDefault="00E63DAC" w:rsidP="00FC1466">
      <w:pPr>
        <w:ind w:left="1134" w:hanging="567"/>
        <w:jc w:val="both"/>
        <w:rPr>
          <w:rStyle w:val="Hyperlink"/>
          <w:sz w:val="22"/>
          <w:szCs w:val="22"/>
          <w:u w:val="none"/>
          <w:shd w:val="clear" w:color="auto" w:fill="FFFFFF"/>
        </w:rPr>
      </w:pPr>
    </w:p>
    <w:p w14:paraId="6268E7E3" w14:textId="77777777" w:rsidR="006205A1" w:rsidRPr="00FC1466" w:rsidRDefault="006205A1" w:rsidP="00FC1466">
      <w:pPr>
        <w:ind w:left="1134" w:hanging="567"/>
        <w:jc w:val="both"/>
        <w:rPr>
          <w:color w:val="0070C0"/>
          <w:sz w:val="22"/>
          <w:szCs w:val="22"/>
          <w:shd w:val="clear" w:color="auto" w:fill="FFFFFF"/>
        </w:rPr>
      </w:pPr>
      <w:r w:rsidRPr="00FC1466">
        <w:rPr>
          <w:color w:val="212121"/>
          <w:sz w:val="22"/>
          <w:szCs w:val="22"/>
          <w:shd w:val="clear" w:color="auto" w:fill="FFFFFF"/>
        </w:rPr>
        <w:t xml:space="preserve">He J, Huang X, Li YC, Liu Y, Babu T, Aronova MA, et al. (2013). Self-assembly of amphiphilic plasmonic micelle-like nanoparticles in selective solvents. </w:t>
      </w:r>
      <w:r w:rsidRPr="00FC1466">
        <w:rPr>
          <w:i/>
          <w:iCs/>
          <w:color w:val="212121"/>
          <w:sz w:val="22"/>
          <w:szCs w:val="22"/>
          <w:shd w:val="clear" w:color="auto" w:fill="FFFFFF"/>
        </w:rPr>
        <w:t>J Am Chem Soc</w:t>
      </w:r>
      <w:r w:rsidRPr="00FC1466">
        <w:rPr>
          <w:color w:val="212121"/>
          <w:sz w:val="22"/>
          <w:szCs w:val="22"/>
          <w:shd w:val="clear" w:color="auto" w:fill="FFFFFF"/>
        </w:rPr>
        <w:t xml:space="preserve">. 135(21):7974-84. </w:t>
      </w:r>
      <w:r w:rsidRPr="00FC1466">
        <w:rPr>
          <w:color w:val="0070C0"/>
          <w:sz w:val="22"/>
          <w:szCs w:val="22"/>
          <w:shd w:val="clear" w:color="auto" w:fill="FFFFFF"/>
        </w:rPr>
        <w:t>Doi: 10.1021/ja402015s</w:t>
      </w:r>
    </w:p>
    <w:p w14:paraId="6D94E5D9" w14:textId="77777777" w:rsidR="00D52C0A" w:rsidRPr="00FC1466" w:rsidRDefault="00D52C0A" w:rsidP="00FC1466">
      <w:pPr>
        <w:ind w:left="1134" w:hanging="567"/>
        <w:jc w:val="both"/>
        <w:rPr>
          <w:color w:val="0070C0"/>
          <w:sz w:val="22"/>
          <w:szCs w:val="22"/>
          <w:shd w:val="clear" w:color="auto" w:fill="FFFFFF"/>
        </w:rPr>
      </w:pPr>
    </w:p>
    <w:p w14:paraId="0442B5BD" w14:textId="77777777" w:rsidR="000E0D90" w:rsidRPr="00FC1466" w:rsidRDefault="000E0D90" w:rsidP="00FC1466">
      <w:pPr>
        <w:ind w:left="1134" w:hanging="567"/>
        <w:jc w:val="both"/>
        <w:rPr>
          <w:rStyle w:val="Hyperlink"/>
          <w:sz w:val="22"/>
          <w:szCs w:val="22"/>
          <w:u w:val="none"/>
        </w:rPr>
      </w:pPr>
      <w:r w:rsidRPr="00FC1466">
        <w:rPr>
          <w:sz w:val="22"/>
          <w:szCs w:val="22"/>
        </w:rPr>
        <w:t xml:space="preserve">Hou Y, Zou L, Li Q, Chen M, Ruan H, Sun Z, et al. (2022). Supramolecular assemblies based on natural small molecules: Union would be effective. </w:t>
      </w:r>
      <w:r w:rsidRPr="00FC1466">
        <w:rPr>
          <w:i/>
          <w:iCs/>
          <w:sz w:val="22"/>
          <w:szCs w:val="22"/>
        </w:rPr>
        <w:t>Materials Today Bio</w:t>
      </w:r>
      <w:r w:rsidRPr="00FC1466">
        <w:rPr>
          <w:sz w:val="22"/>
          <w:szCs w:val="22"/>
        </w:rPr>
        <w:t xml:space="preserve">. 15:100327. </w:t>
      </w:r>
      <w:hyperlink r:id="rId14" w:history="1">
        <w:r w:rsidRPr="00FC1466">
          <w:rPr>
            <w:rStyle w:val="Hyperlink"/>
            <w:sz w:val="22"/>
            <w:szCs w:val="22"/>
            <w:u w:val="none"/>
          </w:rPr>
          <w:t>https://doi.org/10.1016/j.mtbio.2022.100327</w:t>
        </w:r>
      </w:hyperlink>
    </w:p>
    <w:p w14:paraId="0E42C989" w14:textId="77777777" w:rsidR="00D52C0A" w:rsidRPr="00FC1466" w:rsidRDefault="00D52C0A" w:rsidP="00FC1466">
      <w:pPr>
        <w:ind w:left="1134" w:hanging="567"/>
        <w:jc w:val="both"/>
        <w:rPr>
          <w:rStyle w:val="Hyperlink"/>
          <w:sz w:val="22"/>
          <w:szCs w:val="22"/>
          <w:u w:val="none"/>
        </w:rPr>
      </w:pPr>
    </w:p>
    <w:p w14:paraId="333A5740" w14:textId="77777777" w:rsidR="009B49E1" w:rsidRPr="00FC1466" w:rsidRDefault="009B49E1" w:rsidP="00FC1466">
      <w:pPr>
        <w:ind w:left="1134" w:hanging="567"/>
        <w:jc w:val="both"/>
        <w:rPr>
          <w:color w:val="0070C0"/>
          <w:sz w:val="22"/>
          <w:szCs w:val="22"/>
          <w:shd w:val="clear" w:color="auto" w:fill="FFFFFF"/>
        </w:rPr>
      </w:pPr>
      <w:r w:rsidRPr="00FC1466">
        <w:rPr>
          <w:color w:val="222222"/>
          <w:sz w:val="22"/>
          <w:szCs w:val="22"/>
          <w:shd w:val="clear" w:color="auto" w:fill="FFFFFF"/>
        </w:rPr>
        <w:t>Huang X, Liu X, Lin X</w:t>
      </w:r>
      <w:r w:rsidRPr="00FC1466">
        <w:rPr>
          <w:color w:val="222222"/>
          <w:sz w:val="22"/>
          <w:szCs w:val="22"/>
          <w:shd w:val="clear" w:color="auto" w:fill="FFFFFF"/>
          <w:lang w:val="tr-TR"/>
        </w:rPr>
        <w:t xml:space="preserve">, Yuan Z, Zhang Y, Wang Z, </w:t>
      </w:r>
      <w:r w:rsidRPr="00FC1466">
        <w:rPr>
          <w:color w:val="222222"/>
          <w:sz w:val="22"/>
          <w:szCs w:val="22"/>
          <w:shd w:val="clear" w:color="auto" w:fill="FFFFFF"/>
        </w:rPr>
        <w:t>et al.</w:t>
      </w:r>
      <w:r w:rsidRPr="00FC1466">
        <w:rPr>
          <w:color w:val="222222"/>
          <w:sz w:val="22"/>
          <w:szCs w:val="22"/>
          <w:shd w:val="clear" w:color="auto" w:fill="FFFFFF"/>
          <w:lang w:val="tr-TR"/>
        </w:rPr>
        <w:t xml:space="preserve"> (2022).</w:t>
      </w:r>
      <w:r w:rsidRPr="00FC1466">
        <w:rPr>
          <w:color w:val="222222"/>
          <w:sz w:val="22"/>
          <w:szCs w:val="22"/>
          <w:shd w:val="clear" w:color="auto" w:fill="FFFFFF"/>
        </w:rPr>
        <w:t> Thermodynamics driving phytochemical self-assembly morphological change and efficacy enhancement originated from single and co-decoction of traditional chinese medicine. </w:t>
      </w:r>
      <w:r w:rsidRPr="00FC1466">
        <w:rPr>
          <w:i/>
          <w:iCs/>
          <w:color w:val="222222"/>
          <w:sz w:val="22"/>
          <w:szCs w:val="22"/>
          <w:shd w:val="clear" w:color="auto" w:fill="FFFFFF"/>
        </w:rPr>
        <w:t>J Nanobiotechnol</w:t>
      </w:r>
      <w:r w:rsidRPr="00FC1466">
        <w:rPr>
          <w:i/>
          <w:iCs/>
          <w:color w:val="222222"/>
          <w:sz w:val="22"/>
          <w:szCs w:val="22"/>
          <w:shd w:val="clear" w:color="auto" w:fill="FFFFFF"/>
          <w:lang w:val="tr-TR"/>
        </w:rPr>
        <w:t>.</w:t>
      </w:r>
      <w:r w:rsidRPr="00FC1466">
        <w:rPr>
          <w:color w:val="222222"/>
          <w:sz w:val="22"/>
          <w:szCs w:val="22"/>
          <w:shd w:val="clear" w:color="auto" w:fill="FFFFFF"/>
        </w:rPr>
        <w:t> 20</w:t>
      </w:r>
      <w:r w:rsidRPr="00FC1466">
        <w:rPr>
          <w:color w:val="222222"/>
          <w:sz w:val="22"/>
          <w:szCs w:val="22"/>
          <w:shd w:val="clear" w:color="auto" w:fill="FFFFFF"/>
          <w:lang w:val="tr-TR"/>
        </w:rPr>
        <w:t>:</w:t>
      </w:r>
      <w:r w:rsidRPr="00FC1466">
        <w:rPr>
          <w:color w:val="222222"/>
          <w:sz w:val="22"/>
          <w:szCs w:val="22"/>
          <w:shd w:val="clear" w:color="auto" w:fill="FFFFFF"/>
        </w:rPr>
        <w:t xml:space="preserve">527. </w:t>
      </w:r>
      <w:hyperlink r:id="rId15" w:history="1">
        <w:r w:rsidRPr="00FC1466">
          <w:rPr>
            <w:rStyle w:val="Hyperlink"/>
            <w:sz w:val="22"/>
            <w:szCs w:val="22"/>
            <w:u w:val="none"/>
            <w:shd w:val="clear" w:color="auto" w:fill="FFFFFF"/>
          </w:rPr>
          <w:t>https://doi.org/10.1186/s12951-022-01734-w</w:t>
        </w:r>
      </w:hyperlink>
    </w:p>
    <w:p w14:paraId="6031FADB" w14:textId="77777777" w:rsidR="00D52C0A" w:rsidRPr="00FC1466" w:rsidRDefault="00D52C0A" w:rsidP="00FC1466">
      <w:pPr>
        <w:ind w:left="1134" w:hanging="567"/>
        <w:jc w:val="both"/>
        <w:rPr>
          <w:color w:val="0070C0"/>
          <w:sz w:val="22"/>
          <w:szCs w:val="22"/>
          <w:shd w:val="clear" w:color="auto" w:fill="FFFFFF"/>
        </w:rPr>
      </w:pPr>
    </w:p>
    <w:p w14:paraId="78717DC5" w14:textId="77777777" w:rsidR="0012217B" w:rsidRPr="00FC1466" w:rsidRDefault="0012217B" w:rsidP="00FC1466">
      <w:pPr>
        <w:ind w:left="1134" w:hanging="567"/>
        <w:jc w:val="both"/>
        <w:rPr>
          <w:rStyle w:val="Hyperlink"/>
          <w:sz w:val="22"/>
          <w:szCs w:val="22"/>
          <w:u w:val="none"/>
        </w:rPr>
      </w:pPr>
      <w:r w:rsidRPr="00FC1466">
        <w:rPr>
          <w:sz w:val="22"/>
          <w:szCs w:val="22"/>
        </w:rPr>
        <w:t xml:space="preserve">Hunter, CA, Sanders, JKM (1990). The nature of π-π interactions. </w:t>
      </w:r>
      <w:r w:rsidRPr="00FC1466">
        <w:rPr>
          <w:i/>
          <w:iCs/>
          <w:sz w:val="22"/>
          <w:szCs w:val="22"/>
        </w:rPr>
        <w:t>J Am Chem Soc.</w:t>
      </w:r>
      <w:r w:rsidRPr="00FC1466">
        <w:rPr>
          <w:sz w:val="22"/>
          <w:szCs w:val="22"/>
        </w:rPr>
        <w:t xml:space="preserve"> 112(14):5525-5534. </w:t>
      </w:r>
      <w:hyperlink r:id="rId16" w:tgtFrame="_new" w:history="1">
        <w:r w:rsidRPr="00FC1466">
          <w:rPr>
            <w:rStyle w:val="Hyperlink"/>
            <w:sz w:val="22"/>
            <w:szCs w:val="22"/>
            <w:u w:val="none"/>
          </w:rPr>
          <w:t>https://doi.org/10.1021/ja00170a016</w:t>
        </w:r>
      </w:hyperlink>
    </w:p>
    <w:p w14:paraId="34F2E315" w14:textId="77777777" w:rsidR="000F70F8" w:rsidRDefault="000F70F8" w:rsidP="00FC1466">
      <w:pPr>
        <w:ind w:left="1134" w:hanging="567"/>
        <w:jc w:val="both"/>
        <w:rPr>
          <w:sz w:val="22"/>
          <w:szCs w:val="22"/>
        </w:rPr>
      </w:pPr>
    </w:p>
    <w:p w14:paraId="64FE617C" w14:textId="77777777" w:rsidR="0009191A" w:rsidRPr="00FC1466" w:rsidRDefault="0009191A" w:rsidP="00FC1466">
      <w:pPr>
        <w:ind w:left="1134" w:hanging="567"/>
        <w:jc w:val="both"/>
        <w:rPr>
          <w:sz w:val="22"/>
          <w:szCs w:val="22"/>
        </w:rPr>
      </w:pPr>
      <w:r w:rsidRPr="00FC1466">
        <w:rPr>
          <w:sz w:val="22"/>
          <w:szCs w:val="22"/>
        </w:rPr>
        <w:t>Hunter RJ</w:t>
      </w:r>
      <w:r w:rsidRPr="00FC1466">
        <w:rPr>
          <w:sz w:val="22"/>
          <w:szCs w:val="22"/>
          <w:lang w:val="tr-TR"/>
        </w:rPr>
        <w:t xml:space="preserve"> (1981).</w:t>
      </w:r>
      <w:r w:rsidRPr="00FC1466">
        <w:rPr>
          <w:sz w:val="22"/>
          <w:szCs w:val="22"/>
        </w:rPr>
        <w:t xml:space="preserve"> Zeta Potential in Colloid Science: Principles and Applications; Academic Press: London, </w:t>
      </w:r>
      <w:r w:rsidRPr="00FC1466">
        <w:rPr>
          <w:sz w:val="22"/>
          <w:szCs w:val="22"/>
          <w:lang w:val="tr-TR"/>
        </w:rPr>
        <w:t>United Kingdom</w:t>
      </w:r>
      <w:r w:rsidRPr="00FC1466">
        <w:rPr>
          <w:sz w:val="22"/>
          <w:szCs w:val="22"/>
        </w:rPr>
        <w:t>.</w:t>
      </w:r>
    </w:p>
    <w:p w14:paraId="0DEECF7B" w14:textId="77777777" w:rsidR="00D52C0A" w:rsidRPr="00FC1466" w:rsidRDefault="00D52C0A" w:rsidP="00FC1466">
      <w:pPr>
        <w:ind w:left="1134" w:hanging="567"/>
        <w:jc w:val="both"/>
        <w:rPr>
          <w:sz w:val="22"/>
          <w:szCs w:val="22"/>
        </w:rPr>
      </w:pPr>
    </w:p>
    <w:p w14:paraId="1D9A57B6" w14:textId="77777777" w:rsidR="008D387E" w:rsidRPr="00FC1466" w:rsidRDefault="008D387E" w:rsidP="00FC1466">
      <w:pPr>
        <w:ind w:left="1134" w:hanging="567"/>
        <w:jc w:val="both"/>
        <w:rPr>
          <w:color w:val="0070C0"/>
          <w:sz w:val="22"/>
          <w:szCs w:val="22"/>
          <w:shd w:val="clear" w:color="auto" w:fill="FFFFFF"/>
        </w:rPr>
      </w:pPr>
      <w:r w:rsidRPr="00FC1466">
        <w:rPr>
          <w:color w:val="212121"/>
          <w:sz w:val="22"/>
          <w:szCs w:val="22"/>
          <w:shd w:val="clear" w:color="auto" w:fill="FFFFFF"/>
        </w:rPr>
        <w:t xml:space="preserve">Ishigaki S, Fujioka Y, Okada Y, Riku Y, Udagawa T, Honda D, </w:t>
      </w:r>
      <w:r w:rsidRPr="00FC1466">
        <w:rPr>
          <w:color w:val="212121"/>
          <w:sz w:val="22"/>
          <w:szCs w:val="22"/>
          <w:shd w:val="clear" w:color="auto" w:fill="FFFFFF"/>
          <w:lang w:val="tr-TR"/>
        </w:rPr>
        <w:t xml:space="preserve">et al. (2017). </w:t>
      </w:r>
      <w:r w:rsidRPr="00FC1466">
        <w:rPr>
          <w:color w:val="212121"/>
          <w:sz w:val="22"/>
          <w:szCs w:val="22"/>
          <w:shd w:val="clear" w:color="auto" w:fill="FFFFFF"/>
        </w:rPr>
        <w:t xml:space="preserve">Altered Tau Isoform Ratio Caused by Loss of FUS and SFPQ Function Leads to FTLD-like Phenotypes. </w:t>
      </w:r>
      <w:r w:rsidRPr="00FC1466">
        <w:rPr>
          <w:i/>
          <w:iCs/>
          <w:color w:val="212121"/>
          <w:sz w:val="22"/>
          <w:szCs w:val="22"/>
          <w:shd w:val="clear" w:color="auto" w:fill="FFFFFF"/>
        </w:rPr>
        <w:t>Cell Rep.</w:t>
      </w:r>
      <w:r w:rsidRPr="00FC1466">
        <w:rPr>
          <w:color w:val="212121"/>
          <w:sz w:val="22"/>
          <w:szCs w:val="22"/>
          <w:shd w:val="clear" w:color="auto" w:fill="FFFFFF"/>
        </w:rPr>
        <w:t xml:space="preserve"> 18(5):1118-1131. </w:t>
      </w:r>
      <w:r w:rsidRPr="00FC1466">
        <w:rPr>
          <w:color w:val="0070C0"/>
          <w:sz w:val="22"/>
          <w:szCs w:val="22"/>
          <w:shd w:val="clear" w:color="auto" w:fill="FFFFFF"/>
          <w:lang w:val="tr-TR"/>
        </w:rPr>
        <w:t>D</w:t>
      </w:r>
      <w:r w:rsidRPr="00FC1466">
        <w:rPr>
          <w:color w:val="0070C0"/>
          <w:sz w:val="22"/>
          <w:szCs w:val="22"/>
          <w:shd w:val="clear" w:color="auto" w:fill="FFFFFF"/>
        </w:rPr>
        <w:t>oi: 10.1016/j.celrep.2017.01.013</w:t>
      </w:r>
    </w:p>
    <w:p w14:paraId="4523932B" w14:textId="77777777" w:rsidR="00D52C0A" w:rsidRPr="00FC1466" w:rsidRDefault="00D52C0A" w:rsidP="00FC1466">
      <w:pPr>
        <w:ind w:left="1134" w:hanging="567"/>
        <w:jc w:val="both"/>
        <w:rPr>
          <w:color w:val="0070C0"/>
          <w:sz w:val="22"/>
          <w:szCs w:val="22"/>
          <w:shd w:val="clear" w:color="auto" w:fill="FFFFFF"/>
        </w:rPr>
      </w:pPr>
    </w:p>
    <w:p w14:paraId="00D1BF5A" w14:textId="77777777" w:rsidR="00AE1B1C" w:rsidRPr="00FC1466" w:rsidRDefault="00AE1B1C" w:rsidP="00FC1466">
      <w:pPr>
        <w:ind w:left="1134" w:hanging="567"/>
        <w:jc w:val="both"/>
        <w:rPr>
          <w:sz w:val="22"/>
          <w:szCs w:val="22"/>
        </w:rPr>
      </w:pPr>
      <w:r w:rsidRPr="00FC1466">
        <w:rPr>
          <w:sz w:val="22"/>
          <w:szCs w:val="22"/>
        </w:rPr>
        <w:lastRenderedPageBreak/>
        <w:t>Israelachvili, J.N. (2011). Intermolecular and Surface Forces (3rd ed.). Academic Press, Cambridge, United Kingdom.</w:t>
      </w:r>
    </w:p>
    <w:p w14:paraId="09A6944C" w14:textId="77777777" w:rsidR="00D52C0A" w:rsidRPr="00FC1466" w:rsidRDefault="00D52C0A" w:rsidP="00FC1466">
      <w:pPr>
        <w:ind w:left="1134" w:hanging="567"/>
        <w:jc w:val="both"/>
        <w:rPr>
          <w:sz w:val="22"/>
          <w:szCs w:val="22"/>
        </w:rPr>
      </w:pPr>
    </w:p>
    <w:p w14:paraId="5693EEB7" w14:textId="77777777" w:rsidR="007752C3" w:rsidRPr="00FC1466" w:rsidRDefault="007752C3" w:rsidP="00FC1466">
      <w:pPr>
        <w:pStyle w:val="NormalWeb"/>
        <w:spacing w:before="0" w:beforeAutospacing="0" w:after="0" w:afterAutospacing="0"/>
        <w:ind w:left="1134" w:hanging="567"/>
        <w:jc w:val="both"/>
        <w:rPr>
          <w:color w:val="0070C0"/>
          <w:sz w:val="22"/>
          <w:szCs w:val="22"/>
          <w:shd w:val="clear" w:color="auto" w:fill="FFFFFF"/>
        </w:rPr>
      </w:pPr>
      <w:r w:rsidRPr="00FC1466">
        <w:rPr>
          <w:color w:val="212121"/>
          <w:sz w:val="22"/>
          <w:szCs w:val="22"/>
          <w:shd w:val="clear" w:color="auto" w:fill="FFFFFF"/>
        </w:rPr>
        <w:t xml:space="preserve">Kuciauskas D, Caputo GA. </w:t>
      </w:r>
      <w:r w:rsidRPr="00FC1466">
        <w:rPr>
          <w:color w:val="212121"/>
          <w:sz w:val="22"/>
          <w:szCs w:val="22"/>
          <w:shd w:val="clear" w:color="auto" w:fill="FFFFFF"/>
          <w:lang w:val="tr-TR"/>
        </w:rPr>
        <w:t xml:space="preserve">(2009). </w:t>
      </w:r>
      <w:r w:rsidRPr="00FC1466">
        <w:rPr>
          <w:color w:val="212121"/>
          <w:sz w:val="22"/>
          <w:szCs w:val="22"/>
          <w:shd w:val="clear" w:color="auto" w:fill="FFFFFF"/>
        </w:rPr>
        <w:t xml:space="preserve">Self-assembly of peptide-porphyrin complexes leads to pH-dependent excitonic coupling. </w:t>
      </w:r>
      <w:r w:rsidRPr="00FC1466">
        <w:rPr>
          <w:i/>
          <w:iCs/>
          <w:color w:val="212121"/>
          <w:sz w:val="22"/>
          <w:szCs w:val="22"/>
          <w:shd w:val="clear" w:color="auto" w:fill="FFFFFF"/>
        </w:rPr>
        <w:t>J Phys Chem B.</w:t>
      </w:r>
      <w:r w:rsidRPr="00FC1466">
        <w:rPr>
          <w:color w:val="212121"/>
          <w:sz w:val="22"/>
          <w:szCs w:val="22"/>
          <w:shd w:val="clear" w:color="auto" w:fill="FFFFFF"/>
        </w:rPr>
        <w:t xml:space="preserve"> 113(43):14439-</w:t>
      </w:r>
      <w:r w:rsidRPr="00FC1466">
        <w:rPr>
          <w:color w:val="212121"/>
          <w:sz w:val="22"/>
          <w:szCs w:val="22"/>
          <w:shd w:val="clear" w:color="auto" w:fill="FFFFFF"/>
          <w:lang w:val="tr-TR"/>
        </w:rPr>
        <w:t>144</w:t>
      </w:r>
      <w:r w:rsidRPr="00FC1466">
        <w:rPr>
          <w:color w:val="212121"/>
          <w:sz w:val="22"/>
          <w:szCs w:val="22"/>
          <w:shd w:val="clear" w:color="auto" w:fill="FFFFFF"/>
        </w:rPr>
        <w:t>47.</w:t>
      </w:r>
      <w:r w:rsidRPr="00FC1466">
        <w:rPr>
          <w:color w:val="212121"/>
          <w:sz w:val="22"/>
          <w:szCs w:val="22"/>
          <w:shd w:val="clear" w:color="auto" w:fill="FFFFFF"/>
        </w:rPr>
        <w:tab/>
        <w:t xml:space="preserve"> </w:t>
      </w:r>
      <w:r w:rsidRPr="00FC1466">
        <w:rPr>
          <w:color w:val="212121"/>
          <w:sz w:val="22"/>
          <w:szCs w:val="22"/>
          <w:shd w:val="clear" w:color="auto" w:fill="FFFFFF"/>
          <w:lang w:val="tr-TR"/>
        </w:rPr>
        <w:t xml:space="preserve">                               </w:t>
      </w:r>
      <w:r w:rsidRPr="00FC1466">
        <w:rPr>
          <w:color w:val="0070C0"/>
          <w:sz w:val="22"/>
          <w:szCs w:val="22"/>
          <w:shd w:val="clear" w:color="auto" w:fill="FFFFFF"/>
          <w:lang w:val="tr-TR"/>
        </w:rPr>
        <w:t>D</w:t>
      </w:r>
      <w:r w:rsidRPr="00FC1466">
        <w:rPr>
          <w:color w:val="0070C0"/>
          <w:sz w:val="22"/>
          <w:szCs w:val="22"/>
          <w:shd w:val="clear" w:color="auto" w:fill="FFFFFF"/>
        </w:rPr>
        <w:t>oi: 10.1021/jp905468y</w:t>
      </w:r>
    </w:p>
    <w:p w14:paraId="0439D649" w14:textId="77777777" w:rsidR="00D52C0A" w:rsidRPr="00FC1466" w:rsidRDefault="00D52C0A" w:rsidP="00FC1466">
      <w:pPr>
        <w:pStyle w:val="NormalWeb"/>
        <w:spacing w:before="0" w:beforeAutospacing="0" w:after="0" w:afterAutospacing="0"/>
        <w:ind w:left="1134" w:hanging="567"/>
        <w:jc w:val="both"/>
        <w:rPr>
          <w:color w:val="0070C0"/>
          <w:sz w:val="22"/>
          <w:szCs w:val="22"/>
          <w:shd w:val="clear" w:color="auto" w:fill="FFFFFF"/>
        </w:rPr>
      </w:pPr>
    </w:p>
    <w:p w14:paraId="39DE6A9D" w14:textId="77777777" w:rsidR="003B435E" w:rsidRPr="00FC1466" w:rsidRDefault="003B435E" w:rsidP="00FC1466">
      <w:pPr>
        <w:pStyle w:val="NormalWeb"/>
        <w:spacing w:before="0" w:beforeAutospacing="0" w:after="0" w:afterAutospacing="0"/>
        <w:ind w:left="1134" w:hanging="567"/>
        <w:jc w:val="both"/>
        <w:rPr>
          <w:sz w:val="22"/>
          <w:szCs w:val="22"/>
        </w:rPr>
      </w:pPr>
      <w:r w:rsidRPr="00FC1466">
        <w:rPr>
          <w:sz w:val="22"/>
          <w:szCs w:val="22"/>
          <w:lang w:val="tr-TR"/>
        </w:rPr>
        <w:t xml:space="preserve">Kurbah SD (2025). </w:t>
      </w:r>
      <w:r w:rsidRPr="00FC1466">
        <w:rPr>
          <w:sz w:val="22"/>
          <w:szCs w:val="22"/>
        </w:rPr>
        <w:t xml:space="preserve">Supramolecular Assemblies Driven by N-H. . .O and O-H. . .O Hydrogen Bonding Interactions: Experimental and Theoretical Investigation into the Supramolecular Architectures of Dihydropyrimidin-2(1H)-ones. </w:t>
      </w:r>
      <w:r w:rsidRPr="00FC1466">
        <w:rPr>
          <w:i/>
          <w:iCs/>
          <w:sz w:val="22"/>
          <w:szCs w:val="22"/>
        </w:rPr>
        <w:t>Chem Proc</w:t>
      </w:r>
      <w:r w:rsidRPr="00FC1466">
        <w:rPr>
          <w:sz w:val="22"/>
          <w:szCs w:val="22"/>
        </w:rPr>
        <w:t>. 18:28.</w:t>
      </w:r>
    </w:p>
    <w:p w14:paraId="24ACD670" w14:textId="77777777" w:rsidR="003B435E" w:rsidRPr="00FC1466" w:rsidRDefault="00000000" w:rsidP="00FC1466">
      <w:pPr>
        <w:pStyle w:val="NormalWeb"/>
        <w:spacing w:before="0" w:beforeAutospacing="0" w:after="0" w:afterAutospacing="0"/>
        <w:ind w:left="1134"/>
        <w:jc w:val="both"/>
        <w:rPr>
          <w:sz w:val="22"/>
          <w:szCs w:val="22"/>
        </w:rPr>
      </w:pPr>
      <w:hyperlink r:id="rId17" w:history="1">
        <w:r w:rsidR="00D52C0A" w:rsidRPr="00FC1466">
          <w:rPr>
            <w:rStyle w:val="Hyperlink"/>
            <w:sz w:val="22"/>
            <w:szCs w:val="22"/>
            <w:u w:val="none"/>
          </w:rPr>
          <w:t>https://sciforum.net/event/ecsoc-29</w:t>
        </w:r>
      </w:hyperlink>
    </w:p>
    <w:p w14:paraId="15AB5285" w14:textId="77777777" w:rsidR="00D52C0A" w:rsidRPr="00FC1466" w:rsidRDefault="00D52C0A" w:rsidP="00FC1466">
      <w:pPr>
        <w:pStyle w:val="NormalWeb"/>
        <w:spacing w:before="0" w:beforeAutospacing="0" w:after="0" w:afterAutospacing="0"/>
        <w:ind w:left="1134"/>
        <w:jc w:val="both"/>
        <w:rPr>
          <w:color w:val="0070C0"/>
          <w:sz w:val="22"/>
          <w:szCs w:val="22"/>
        </w:rPr>
      </w:pPr>
    </w:p>
    <w:p w14:paraId="688964E6" w14:textId="77777777" w:rsidR="008C694A" w:rsidRPr="00FC1466" w:rsidRDefault="008C694A" w:rsidP="00FC1466">
      <w:pPr>
        <w:ind w:left="1134" w:hanging="567"/>
        <w:jc w:val="both"/>
        <w:rPr>
          <w:color w:val="0070C0"/>
          <w:sz w:val="22"/>
          <w:szCs w:val="22"/>
          <w:shd w:val="clear" w:color="auto" w:fill="FFFFFF"/>
        </w:rPr>
      </w:pPr>
      <w:r w:rsidRPr="00FC1466">
        <w:rPr>
          <w:color w:val="212121"/>
          <w:sz w:val="22"/>
          <w:szCs w:val="22"/>
          <w:shd w:val="clear" w:color="auto" w:fill="FFFFFF"/>
        </w:rPr>
        <w:t xml:space="preserve">Loftsson T, Brewster ME. </w:t>
      </w:r>
      <w:r w:rsidRPr="00FC1466">
        <w:rPr>
          <w:color w:val="212121"/>
          <w:sz w:val="22"/>
          <w:szCs w:val="22"/>
          <w:shd w:val="clear" w:color="auto" w:fill="FFFFFF"/>
          <w:lang w:val="tr-TR"/>
        </w:rPr>
        <w:t xml:space="preserve">(2010). </w:t>
      </w:r>
      <w:r w:rsidRPr="00FC1466">
        <w:rPr>
          <w:color w:val="212121"/>
          <w:sz w:val="22"/>
          <w:szCs w:val="22"/>
          <w:shd w:val="clear" w:color="auto" w:fill="FFFFFF"/>
        </w:rPr>
        <w:t xml:space="preserve">Pharmaceutical applications of cyclodextrins: basic science and product development. </w:t>
      </w:r>
      <w:r w:rsidRPr="00FC1466">
        <w:rPr>
          <w:i/>
          <w:iCs/>
          <w:color w:val="212121"/>
          <w:sz w:val="22"/>
          <w:szCs w:val="22"/>
          <w:shd w:val="clear" w:color="auto" w:fill="FFFFFF"/>
        </w:rPr>
        <w:t>J Pharm Pharmacol.</w:t>
      </w:r>
      <w:r w:rsidRPr="00FC1466">
        <w:rPr>
          <w:color w:val="212121"/>
          <w:sz w:val="22"/>
          <w:szCs w:val="22"/>
          <w:shd w:val="clear" w:color="auto" w:fill="FFFFFF"/>
        </w:rPr>
        <w:t xml:space="preserve"> 62(11):1607-</w:t>
      </w:r>
      <w:r w:rsidRPr="00FC1466">
        <w:rPr>
          <w:color w:val="212121"/>
          <w:sz w:val="22"/>
          <w:szCs w:val="22"/>
          <w:shd w:val="clear" w:color="auto" w:fill="FFFFFF"/>
          <w:lang w:val="tr-TR"/>
        </w:rPr>
        <w:t>16</w:t>
      </w:r>
      <w:r w:rsidRPr="00FC1466">
        <w:rPr>
          <w:color w:val="212121"/>
          <w:sz w:val="22"/>
          <w:szCs w:val="22"/>
          <w:shd w:val="clear" w:color="auto" w:fill="FFFFFF"/>
        </w:rPr>
        <w:t>2</w:t>
      </w:r>
      <w:r w:rsidRPr="00FC1466">
        <w:rPr>
          <w:color w:val="212121"/>
          <w:sz w:val="22"/>
          <w:szCs w:val="22"/>
          <w:shd w:val="clear" w:color="auto" w:fill="FFFFFF"/>
          <w:lang w:val="tr-TR"/>
        </w:rPr>
        <w:t>1</w:t>
      </w:r>
      <w:r w:rsidRPr="00FC1466">
        <w:rPr>
          <w:color w:val="212121"/>
          <w:sz w:val="22"/>
          <w:szCs w:val="22"/>
          <w:shd w:val="clear" w:color="auto" w:fill="FFFFFF"/>
        </w:rPr>
        <w:t>.</w:t>
      </w:r>
      <w:r w:rsidRPr="00FC1466">
        <w:rPr>
          <w:color w:val="212121"/>
          <w:sz w:val="22"/>
          <w:szCs w:val="22"/>
          <w:shd w:val="clear" w:color="auto" w:fill="FFFFFF"/>
        </w:rPr>
        <w:tab/>
      </w:r>
      <w:r w:rsidRPr="00FC1466">
        <w:rPr>
          <w:color w:val="212121"/>
          <w:sz w:val="22"/>
          <w:szCs w:val="22"/>
          <w:shd w:val="clear" w:color="auto" w:fill="FFFFFF"/>
          <w:lang w:val="tr-TR"/>
        </w:rPr>
        <w:t xml:space="preserve">                             </w:t>
      </w:r>
      <w:r w:rsidRPr="00FC1466">
        <w:rPr>
          <w:color w:val="0070C0"/>
          <w:sz w:val="22"/>
          <w:szCs w:val="22"/>
          <w:shd w:val="clear" w:color="auto" w:fill="FFFFFF"/>
          <w:lang w:val="tr-TR"/>
        </w:rPr>
        <w:t>D</w:t>
      </w:r>
      <w:r w:rsidRPr="00FC1466">
        <w:rPr>
          <w:color w:val="0070C0"/>
          <w:sz w:val="22"/>
          <w:szCs w:val="22"/>
          <w:shd w:val="clear" w:color="auto" w:fill="FFFFFF"/>
        </w:rPr>
        <w:t>oi: 10.1111/j.2042-7158.2010.01030.x</w:t>
      </w:r>
    </w:p>
    <w:p w14:paraId="79F0A850" w14:textId="77777777" w:rsidR="00D52C0A" w:rsidRPr="00FC1466" w:rsidRDefault="00D52C0A" w:rsidP="00FC1466">
      <w:pPr>
        <w:ind w:left="1134" w:hanging="567"/>
        <w:jc w:val="both"/>
        <w:rPr>
          <w:color w:val="0070C0"/>
          <w:sz w:val="22"/>
          <w:szCs w:val="22"/>
          <w:shd w:val="clear" w:color="auto" w:fill="FFFFFF"/>
        </w:rPr>
      </w:pPr>
    </w:p>
    <w:p w14:paraId="20760052" w14:textId="77777777" w:rsidR="00A25C17" w:rsidRPr="00FC1466" w:rsidRDefault="00A25C17" w:rsidP="00FC1466">
      <w:pPr>
        <w:ind w:left="1134" w:hanging="567"/>
        <w:jc w:val="both"/>
        <w:rPr>
          <w:color w:val="0070C0"/>
          <w:sz w:val="22"/>
          <w:szCs w:val="22"/>
          <w:shd w:val="clear" w:color="auto" w:fill="FFFFFF"/>
        </w:rPr>
      </w:pPr>
      <w:r w:rsidRPr="00FC1466">
        <w:rPr>
          <w:color w:val="212121"/>
          <w:sz w:val="22"/>
          <w:szCs w:val="22"/>
          <w:shd w:val="clear" w:color="auto" w:fill="FFFFFF"/>
        </w:rPr>
        <w:t xml:space="preserve">Manaia EB, Abuçafy MP, Chiari-Andréo BG, Silva BL, Oshiro Junior JA, Chiavacci LA. </w:t>
      </w:r>
      <w:r w:rsidRPr="00FC1466">
        <w:rPr>
          <w:color w:val="212121"/>
          <w:sz w:val="22"/>
          <w:szCs w:val="22"/>
          <w:shd w:val="clear" w:color="auto" w:fill="FFFFFF"/>
          <w:lang w:val="tr-TR"/>
        </w:rPr>
        <w:t xml:space="preserve">(2017). </w:t>
      </w:r>
      <w:r w:rsidRPr="00FC1466">
        <w:rPr>
          <w:color w:val="212121"/>
          <w:sz w:val="22"/>
          <w:szCs w:val="22"/>
          <w:shd w:val="clear" w:color="auto" w:fill="FFFFFF"/>
        </w:rPr>
        <w:t xml:space="preserve">Physicochemical characterization of drug nanocarriers. </w:t>
      </w:r>
      <w:r w:rsidRPr="00FC1466">
        <w:rPr>
          <w:i/>
          <w:iCs/>
          <w:color w:val="212121"/>
          <w:sz w:val="22"/>
          <w:szCs w:val="22"/>
          <w:shd w:val="clear" w:color="auto" w:fill="FFFFFF"/>
        </w:rPr>
        <w:t>Int J Nanomedicine.</w:t>
      </w:r>
      <w:r w:rsidRPr="00FC1466">
        <w:rPr>
          <w:color w:val="212121"/>
          <w:sz w:val="22"/>
          <w:szCs w:val="22"/>
          <w:shd w:val="clear" w:color="auto" w:fill="FFFFFF"/>
        </w:rPr>
        <w:t xml:space="preserve"> 12:4991-5011. </w:t>
      </w:r>
      <w:r w:rsidRPr="00FC1466">
        <w:rPr>
          <w:color w:val="0070C0"/>
          <w:sz w:val="22"/>
          <w:szCs w:val="22"/>
          <w:shd w:val="clear" w:color="auto" w:fill="FFFFFF"/>
          <w:lang w:val="tr-TR"/>
        </w:rPr>
        <w:t>D</w:t>
      </w:r>
      <w:r w:rsidRPr="00FC1466">
        <w:rPr>
          <w:color w:val="0070C0"/>
          <w:sz w:val="22"/>
          <w:szCs w:val="22"/>
          <w:shd w:val="clear" w:color="auto" w:fill="FFFFFF"/>
        </w:rPr>
        <w:t>oi: 10.2147/IJN.S133832</w:t>
      </w:r>
    </w:p>
    <w:p w14:paraId="69F71BFC" w14:textId="77777777" w:rsidR="00D52C0A" w:rsidRPr="00FC1466" w:rsidRDefault="00D52C0A" w:rsidP="00FC1466">
      <w:pPr>
        <w:ind w:left="1134" w:hanging="567"/>
        <w:jc w:val="both"/>
        <w:rPr>
          <w:color w:val="0070C0"/>
          <w:sz w:val="22"/>
          <w:szCs w:val="22"/>
          <w:shd w:val="clear" w:color="auto" w:fill="FFFFFF"/>
        </w:rPr>
      </w:pPr>
    </w:p>
    <w:p w14:paraId="47F9765A" w14:textId="77777777" w:rsidR="00D95D2A" w:rsidRPr="00FC1466" w:rsidRDefault="00D95D2A" w:rsidP="00FC1466">
      <w:pPr>
        <w:ind w:left="1134" w:hanging="567"/>
        <w:jc w:val="both"/>
        <w:rPr>
          <w:color w:val="0070C0"/>
          <w:sz w:val="22"/>
          <w:szCs w:val="22"/>
          <w:shd w:val="clear" w:color="auto" w:fill="FFFFFF"/>
        </w:rPr>
      </w:pPr>
      <w:r w:rsidRPr="00FC1466">
        <w:rPr>
          <w:color w:val="1B1B1B"/>
          <w:sz w:val="22"/>
          <w:szCs w:val="22"/>
          <w:shd w:val="clear" w:color="auto" w:fill="FFFFFF"/>
        </w:rPr>
        <w:t xml:space="preserve">Manasa PSL, Kamble AD, Chilakamarthi U. </w:t>
      </w:r>
      <w:r w:rsidRPr="00FC1466">
        <w:rPr>
          <w:color w:val="1B1B1B"/>
          <w:sz w:val="22"/>
          <w:szCs w:val="22"/>
          <w:shd w:val="clear" w:color="auto" w:fill="FFFFFF"/>
          <w:lang w:val="tr-TR"/>
        </w:rPr>
        <w:t xml:space="preserve">(2023). </w:t>
      </w:r>
      <w:r w:rsidRPr="00FC1466">
        <w:rPr>
          <w:color w:val="1B1B1B"/>
          <w:sz w:val="22"/>
          <w:szCs w:val="22"/>
          <w:shd w:val="clear" w:color="auto" w:fill="FFFFFF"/>
        </w:rPr>
        <w:t xml:space="preserve">Various Extraction Techniques of Curcumin-A Comprehensive Review. </w:t>
      </w:r>
      <w:r w:rsidRPr="00FC1466">
        <w:rPr>
          <w:i/>
          <w:iCs/>
          <w:color w:val="1B1B1B"/>
          <w:sz w:val="22"/>
          <w:szCs w:val="22"/>
          <w:shd w:val="clear" w:color="auto" w:fill="FFFFFF"/>
        </w:rPr>
        <w:t>ACS Omega.</w:t>
      </w:r>
      <w:r w:rsidRPr="00FC1466">
        <w:rPr>
          <w:color w:val="1B1B1B"/>
          <w:sz w:val="22"/>
          <w:szCs w:val="22"/>
          <w:shd w:val="clear" w:color="auto" w:fill="FFFFFF"/>
        </w:rPr>
        <w:t xml:space="preserve"> 8(38):34868-34878.</w:t>
      </w:r>
      <w:r w:rsidR="000F70F8">
        <w:rPr>
          <w:color w:val="1B1B1B"/>
          <w:sz w:val="22"/>
          <w:szCs w:val="22"/>
          <w:shd w:val="clear" w:color="auto" w:fill="FFFFFF"/>
          <w:lang w:val="tr-TR"/>
        </w:rPr>
        <w:t xml:space="preserve"> </w:t>
      </w:r>
      <w:r w:rsidRPr="00FC1466">
        <w:rPr>
          <w:color w:val="0070C0"/>
          <w:sz w:val="22"/>
          <w:szCs w:val="22"/>
          <w:shd w:val="clear" w:color="auto" w:fill="FFFFFF"/>
          <w:lang w:val="tr-TR"/>
        </w:rPr>
        <w:t>D</w:t>
      </w:r>
      <w:r w:rsidRPr="00FC1466">
        <w:rPr>
          <w:color w:val="0070C0"/>
          <w:sz w:val="22"/>
          <w:szCs w:val="22"/>
          <w:shd w:val="clear" w:color="auto" w:fill="FFFFFF"/>
        </w:rPr>
        <w:t>oi: 10.1021/acsomega.3c04205</w:t>
      </w:r>
    </w:p>
    <w:p w14:paraId="483E3270" w14:textId="77777777" w:rsidR="000F70F8" w:rsidRDefault="000F70F8" w:rsidP="00FC1466">
      <w:pPr>
        <w:ind w:left="1134" w:hanging="567"/>
        <w:jc w:val="both"/>
        <w:rPr>
          <w:sz w:val="22"/>
          <w:szCs w:val="22"/>
        </w:rPr>
      </w:pPr>
    </w:p>
    <w:p w14:paraId="1521C111" w14:textId="77777777" w:rsidR="00D52C0A" w:rsidRPr="00FC1466" w:rsidRDefault="00426BCE" w:rsidP="00FC1466">
      <w:pPr>
        <w:ind w:left="1134" w:hanging="567"/>
        <w:jc w:val="both"/>
        <w:rPr>
          <w:color w:val="0070C0"/>
          <w:sz w:val="22"/>
          <w:szCs w:val="22"/>
        </w:rPr>
      </w:pPr>
      <w:r w:rsidRPr="00FC1466">
        <w:rPr>
          <w:sz w:val="22"/>
          <w:szCs w:val="22"/>
        </w:rPr>
        <w:t xml:space="preserve">Martinez CR, Iverson BL (2012). Rethinking the term “pi-stacking”. </w:t>
      </w:r>
      <w:r w:rsidRPr="00FC1466">
        <w:rPr>
          <w:i/>
          <w:iCs/>
          <w:sz w:val="22"/>
          <w:szCs w:val="22"/>
        </w:rPr>
        <w:t>Chem Sci.</w:t>
      </w:r>
      <w:r w:rsidRPr="00FC1466">
        <w:rPr>
          <w:sz w:val="22"/>
          <w:szCs w:val="22"/>
        </w:rPr>
        <w:t xml:space="preserve"> 3:2191  </w:t>
      </w:r>
      <w:r w:rsidRPr="00FC1466">
        <w:rPr>
          <w:color w:val="0070C0"/>
          <w:sz w:val="22"/>
          <w:szCs w:val="22"/>
        </w:rPr>
        <w:t>Doi: 10.1039/c2sc20045g</w:t>
      </w:r>
    </w:p>
    <w:p w14:paraId="4AF85C80" w14:textId="77777777" w:rsidR="00426BCE" w:rsidRPr="00FC1466" w:rsidRDefault="00426BCE" w:rsidP="00FC1466">
      <w:pPr>
        <w:ind w:left="1134" w:hanging="567"/>
        <w:jc w:val="both"/>
        <w:rPr>
          <w:color w:val="0070C0"/>
          <w:sz w:val="22"/>
          <w:szCs w:val="22"/>
        </w:rPr>
      </w:pPr>
      <w:r w:rsidRPr="00FC1466">
        <w:rPr>
          <w:color w:val="0070C0"/>
          <w:sz w:val="22"/>
          <w:szCs w:val="22"/>
        </w:rPr>
        <w:t xml:space="preserve"> </w:t>
      </w:r>
    </w:p>
    <w:p w14:paraId="35018499" w14:textId="77777777" w:rsidR="00426BCE" w:rsidRPr="00FC1466" w:rsidRDefault="00426BCE" w:rsidP="00FC1466">
      <w:pPr>
        <w:ind w:left="1134" w:hanging="567"/>
        <w:jc w:val="both"/>
        <w:rPr>
          <w:color w:val="0070C0"/>
          <w:sz w:val="22"/>
          <w:szCs w:val="22"/>
          <w:shd w:val="clear" w:color="auto" w:fill="FFFFFF"/>
        </w:rPr>
      </w:pPr>
      <w:r w:rsidRPr="00FC1466">
        <w:rPr>
          <w:color w:val="212121"/>
          <w:sz w:val="22"/>
          <w:szCs w:val="22"/>
          <w:shd w:val="clear" w:color="auto" w:fill="FFFFFF"/>
        </w:rPr>
        <w:t xml:space="preserve">Milner SE, Brunton NP, Jones PW, O'Brien NM, Collins SG, Maguire AR. (2011). Bioactivities of glycoalkaloids and their aglycones from Solanum species. </w:t>
      </w:r>
      <w:r w:rsidRPr="00FC1466">
        <w:rPr>
          <w:i/>
          <w:iCs/>
          <w:color w:val="212121"/>
          <w:sz w:val="22"/>
          <w:szCs w:val="22"/>
          <w:shd w:val="clear" w:color="auto" w:fill="FFFFFF"/>
        </w:rPr>
        <w:t xml:space="preserve">J Agric Food Chem. </w:t>
      </w:r>
      <w:r w:rsidRPr="00FC1466">
        <w:rPr>
          <w:color w:val="212121"/>
          <w:sz w:val="22"/>
          <w:szCs w:val="22"/>
          <w:shd w:val="clear" w:color="auto" w:fill="FFFFFF"/>
        </w:rPr>
        <w:t xml:space="preserve">59(8):3454-84. </w:t>
      </w:r>
      <w:r w:rsidRPr="00FC1466">
        <w:rPr>
          <w:color w:val="0070C0"/>
          <w:sz w:val="22"/>
          <w:szCs w:val="22"/>
          <w:shd w:val="clear" w:color="auto" w:fill="FFFFFF"/>
        </w:rPr>
        <w:t>Doi: 10.1021/jf200439q</w:t>
      </w:r>
    </w:p>
    <w:p w14:paraId="1648C337" w14:textId="77777777" w:rsidR="00D52C0A" w:rsidRPr="00FC1466" w:rsidRDefault="00D52C0A" w:rsidP="00FC1466">
      <w:pPr>
        <w:ind w:left="1134" w:hanging="567"/>
        <w:jc w:val="both"/>
        <w:rPr>
          <w:color w:val="0070C0"/>
          <w:sz w:val="22"/>
          <w:szCs w:val="22"/>
          <w:shd w:val="clear" w:color="auto" w:fill="FFFFFF"/>
        </w:rPr>
      </w:pPr>
    </w:p>
    <w:p w14:paraId="0075E276" w14:textId="77777777" w:rsidR="00A25C17" w:rsidRPr="00FC1466" w:rsidRDefault="00A25C17" w:rsidP="00FC1466">
      <w:pPr>
        <w:ind w:left="1134" w:hanging="567"/>
        <w:jc w:val="both"/>
        <w:rPr>
          <w:color w:val="0070C0"/>
          <w:sz w:val="22"/>
          <w:szCs w:val="22"/>
          <w:shd w:val="clear" w:color="auto" w:fill="FFFFFF"/>
        </w:rPr>
      </w:pPr>
      <w:r w:rsidRPr="00FC1466">
        <w:rPr>
          <w:color w:val="212121"/>
          <w:sz w:val="22"/>
          <w:szCs w:val="22"/>
          <w:shd w:val="clear" w:color="auto" w:fill="FFFFFF"/>
        </w:rPr>
        <w:t xml:space="preserve">Mora-Huertas CE, Fessi H, Elaissari A. (2010). Polymer-based nanocapsules for drug delivery. </w:t>
      </w:r>
      <w:r w:rsidRPr="00FC1466">
        <w:rPr>
          <w:i/>
          <w:iCs/>
          <w:color w:val="212121"/>
          <w:sz w:val="22"/>
          <w:szCs w:val="22"/>
          <w:shd w:val="clear" w:color="auto" w:fill="FFFFFF"/>
        </w:rPr>
        <w:t>Int J Pharm.</w:t>
      </w:r>
      <w:r w:rsidRPr="00FC1466">
        <w:rPr>
          <w:color w:val="212121"/>
          <w:sz w:val="22"/>
          <w:szCs w:val="22"/>
          <w:shd w:val="clear" w:color="auto" w:fill="FFFFFF"/>
        </w:rPr>
        <w:t xml:space="preserve"> 385(1-2):113-42. </w:t>
      </w:r>
      <w:r w:rsidRPr="00FC1466">
        <w:rPr>
          <w:color w:val="0070C0"/>
          <w:sz w:val="22"/>
          <w:szCs w:val="22"/>
          <w:shd w:val="clear" w:color="auto" w:fill="FFFFFF"/>
        </w:rPr>
        <w:t>Doi: 10.1016/j.ijpharm.2009.10.018</w:t>
      </w:r>
    </w:p>
    <w:p w14:paraId="457D754D" w14:textId="77777777" w:rsidR="00D52C0A" w:rsidRPr="00FC1466" w:rsidRDefault="00D52C0A" w:rsidP="00FC1466">
      <w:pPr>
        <w:ind w:left="1134" w:hanging="567"/>
        <w:jc w:val="both"/>
        <w:rPr>
          <w:color w:val="0070C0"/>
          <w:sz w:val="22"/>
          <w:szCs w:val="22"/>
          <w:shd w:val="clear" w:color="auto" w:fill="FFFFFF"/>
        </w:rPr>
      </w:pPr>
    </w:p>
    <w:p w14:paraId="7909D9CC" w14:textId="77777777" w:rsidR="00A25C17" w:rsidRPr="00FC1466" w:rsidRDefault="00A25C17" w:rsidP="00FC1466">
      <w:pPr>
        <w:ind w:left="1134" w:hanging="567"/>
        <w:jc w:val="both"/>
        <w:rPr>
          <w:sz w:val="22"/>
          <w:szCs w:val="22"/>
        </w:rPr>
      </w:pPr>
      <w:r w:rsidRPr="00FC1466">
        <w:rPr>
          <w:sz w:val="22"/>
          <w:szCs w:val="22"/>
        </w:rPr>
        <w:t>Morris KF</w:t>
      </w:r>
      <w:r w:rsidRPr="00FC1466">
        <w:rPr>
          <w:sz w:val="22"/>
          <w:szCs w:val="22"/>
          <w:lang w:val="tr-TR"/>
        </w:rPr>
        <w:t>,</w:t>
      </w:r>
      <w:r w:rsidRPr="00FC1466">
        <w:rPr>
          <w:sz w:val="22"/>
          <w:szCs w:val="22"/>
        </w:rPr>
        <w:t xml:space="preserve"> Johnson CSJr. </w:t>
      </w:r>
      <w:r w:rsidRPr="00FC1466">
        <w:rPr>
          <w:sz w:val="22"/>
          <w:szCs w:val="22"/>
          <w:lang w:val="tr-TR"/>
        </w:rPr>
        <w:t xml:space="preserve">(1992). </w:t>
      </w:r>
      <w:r w:rsidRPr="00FC1466">
        <w:rPr>
          <w:sz w:val="22"/>
          <w:szCs w:val="22"/>
        </w:rPr>
        <w:t xml:space="preserve">Diffusion-ordered two-dimensional nuclear magnetic resonance spectroscopy. </w:t>
      </w:r>
      <w:r w:rsidRPr="00FC1466">
        <w:rPr>
          <w:i/>
          <w:iCs/>
          <w:sz w:val="22"/>
          <w:szCs w:val="22"/>
        </w:rPr>
        <w:t>J Am Chem Soc.</w:t>
      </w:r>
      <w:r w:rsidRPr="00FC1466">
        <w:rPr>
          <w:sz w:val="22"/>
          <w:szCs w:val="22"/>
        </w:rPr>
        <w:t xml:space="preserve"> 114(8)</w:t>
      </w:r>
      <w:r w:rsidRPr="00FC1466">
        <w:rPr>
          <w:sz w:val="22"/>
          <w:szCs w:val="22"/>
          <w:lang w:val="tr-TR"/>
        </w:rPr>
        <w:t>:</w:t>
      </w:r>
      <w:r w:rsidRPr="00FC1466">
        <w:rPr>
          <w:sz w:val="22"/>
          <w:szCs w:val="22"/>
        </w:rPr>
        <w:t>3139–3141.</w:t>
      </w:r>
    </w:p>
    <w:p w14:paraId="09F54FB7" w14:textId="77777777" w:rsidR="003B63B3" w:rsidRPr="00FC1466" w:rsidRDefault="003B63B3" w:rsidP="00FC1466">
      <w:pPr>
        <w:ind w:left="1134" w:hanging="567"/>
        <w:jc w:val="both"/>
        <w:rPr>
          <w:sz w:val="22"/>
          <w:szCs w:val="22"/>
        </w:rPr>
      </w:pPr>
    </w:p>
    <w:p w14:paraId="22FFC279" w14:textId="77777777" w:rsidR="00D95D2A" w:rsidRPr="00FC1466" w:rsidRDefault="00D95D2A" w:rsidP="00FC1466">
      <w:pPr>
        <w:ind w:left="1134" w:hanging="567"/>
        <w:jc w:val="both"/>
        <w:rPr>
          <w:color w:val="0070C0"/>
          <w:sz w:val="22"/>
          <w:szCs w:val="22"/>
          <w:shd w:val="clear" w:color="auto" w:fill="FFFFFF"/>
        </w:rPr>
      </w:pPr>
      <w:r w:rsidRPr="00FC1466">
        <w:rPr>
          <w:color w:val="1B1B1B"/>
          <w:sz w:val="22"/>
          <w:szCs w:val="22"/>
          <w:shd w:val="clear" w:color="auto" w:fill="FFFFFF"/>
        </w:rPr>
        <w:t xml:space="preserve">Nair A, Mitta P, Lucas L, Ferreon JC, Ferreon ACM. (2026). Modulation of α-Synuclein Oligomer and Aggregate Populations by pH and Metal Ions. </w:t>
      </w:r>
      <w:r w:rsidRPr="00FC1466">
        <w:rPr>
          <w:i/>
          <w:iCs/>
          <w:color w:val="1B1B1B"/>
          <w:sz w:val="22"/>
          <w:szCs w:val="22"/>
          <w:shd w:val="clear" w:color="auto" w:fill="FFFFFF"/>
        </w:rPr>
        <w:t>Biomolecules.</w:t>
      </w:r>
      <w:r w:rsidRPr="00FC1466">
        <w:rPr>
          <w:color w:val="1B1B1B"/>
          <w:sz w:val="22"/>
          <w:szCs w:val="22"/>
          <w:shd w:val="clear" w:color="auto" w:fill="FFFFFF"/>
        </w:rPr>
        <w:t xml:space="preserve"> 16(2):326. </w:t>
      </w:r>
      <w:r w:rsidRPr="00FC1466">
        <w:rPr>
          <w:color w:val="0070C0"/>
          <w:sz w:val="22"/>
          <w:szCs w:val="22"/>
          <w:shd w:val="clear" w:color="auto" w:fill="FFFFFF"/>
        </w:rPr>
        <w:t>Doi: 10.3390/biom16020326</w:t>
      </w:r>
    </w:p>
    <w:p w14:paraId="48D46F21" w14:textId="77777777" w:rsidR="003B63B3" w:rsidRPr="00FC1466" w:rsidRDefault="003B63B3" w:rsidP="00FC1466">
      <w:pPr>
        <w:ind w:left="1134" w:hanging="567"/>
        <w:jc w:val="both"/>
        <w:rPr>
          <w:color w:val="0070C0"/>
          <w:sz w:val="22"/>
          <w:szCs w:val="22"/>
          <w:shd w:val="clear" w:color="auto" w:fill="FFFFFF"/>
        </w:rPr>
      </w:pPr>
    </w:p>
    <w:p w14:paraId="18B8104B" w14:textId="77777777" w:rsidR="00D95D2A" w:rsidRPr="00FC1466" w:rsidRDefault="00D95D2A" w:rsidP="00FC1466">
      <w:pPr>
        <w:ind w:left="1134" w:hanging="567"/>
        <w:jc w:val="both"/>
        <w:rPr>
          <w:color w:val="0070C0"/>
          <w:sz w:val="22"/>
          <w:szCs w:val="22"/>
          <w:shd w:val="clear" w:color="auto" w:fill="FFFFFF"/>
        </w:rPr>
      </w:pPr>
      <w:r w:rsidRPr="00FC1466">
        <w:rPr>
          <w:color w:val="212121"/>
          <w:sz w:val="22"/>
          <w:szCs w:val="22"/>
          <w:shd w:val="clear" w:color="auto" w:fill="FFFFFF"/>
          <w:lang w:val="tr-TR"/>
        </w:rPr>
        <w:t>V</w:t>
      </w:r>
      <w:r w:rsidRPr="00FC1466">
        <w:rPr>
          <w:color w:val="212121"/>
          <w:sz w:val="22"/>
          <w:szCs w:val="22"/>
          <w:shd w:val="clear" w:color="auto" w:fill="FFFFFF"/>
        </w:rPr>
        <w:t xml:space="preserve">an Megen M, Reiss GJ, Frank W. (2016). Hydrogen bonding, π-π stacking and van der Waals forces-dominated layered regions in the crystal structure of 4-amino-pyridinium hydrogen (9-phosphono-non-yl)phospho-nate. </w:t>
      </w:r>
      <w:r w:rsidRPr="00FC1466">
        <w:rPr>
          <w:i/>
          <w:iCs/>
          <w:color w:val="212121"/>
          <w:sz w:val="22"/>
          <w:szCs w:val="22"/>
          <w:shd w:val="clear" w:color="auto" w:fill="FFFFFF"/>
        </w:rPr>
        <w:t>Acta Crystallogr E Crystallogr Commun.</w:t>
      </w:r>
      <w:r w:rsidRPr="00FC1466">
        <w:rPr>
          <w:color w:val="212121"/>
          <w:sz w:val="22"/>
          <w:szCs w:val="22"/>
          <w:shd w:val="clear" w:color="auto" w:fill="FFFFFF"/>
        </w:rPr>
        <w:t xml:space="preserve"> 23;72(Pt 10):1456-1459. </w:t>
      </w:r>
      <w:r w:rsidRPr="00FC1466">
        <w:rPr>
          <w:color w:val="0070C0"/>
          <w:sz w:val="22"/>
          <w:szCs w:val="22"/>
          <w:shd w:val="clear" w:color="auto" w:fill="FFFFFF"/>
        </w:rPr>
        <w:t>Doi: 10.1107/S2056989016014298</w:t>
      </w:r>
    </w:p>
    <w:p w14:paraId="6855D5C6" w14:textId="77777777" w:rsidR="00E63DAC" w:rsidRPr="00FC1466" w:rsidRDefault="00E63DAC" w:rsidP="00FC1466">
      <w:pPr>
        <w:ind w:left="1134" w:hanging="567"/>
        <w:jc w:val="both"/>
        <w:rPr>
          <w:color w:val="0070C0"/>
          <w:sz w:val="22"/>
          <w:szCs w:val="22"/>
          <w:shd w:val="clear" w:color="auto" w:fill="FFFFFF"/>
        </w:rPr>
      </w:pPr>
    </w:p>
    <w:p w14:paraId="3FF7068A" w14:textId="77777777" w:rsidR="00D95D2A" w:rsidRPr="00FC1466" w:rsidRDefault="00D95D2A" w:rsidP="00FC1466">
      <w:pPr>
        <w:ind w:left="1134" w:hanging="567"/>
        <w:jc w:val="both"/>
        <w:rPr>
          <w:rStyle w:val="Hyperlink"/>
          <w:sz w:val="22"/>
          <w:szCs w:val="22"/>
          <w:u w:val="none"/>
        </w:rPr>
      </w:pPr>
      <w:r w:rsidRPr="00FC1466">
        <w:rPr>
          <w:sz w:val="22"/>
          <w:szCs w:val="22"/>
        </w:rPr>
        <w:t xml:space="preserve">Newman, D.J., &amp; Cragg, G.M. (2016). Natural products as sources of new drugs from 1981 to 2014. </w:t>
      </w:r>
      <w:r w:rsidRPr="00FC1466">
        <w:rPr>
          <w:i/>
          <w:iCs/>
          <w:sz w:val="22"/>
          <w:szCs w:val="22"/>
        </w:rPr>
        <w:t>J</w:t>
      </w:r>
      <w:r w:rsidRPr="00FC1466">
        <w:rPr>
          <w:i/>
          <w:iCs/>
          <w:sz w:val="22"/>
          <w:szCs w:val="22"/>
          <w:lang w:val="tr-TR"/>
        </w:rPr>
        <w:t xml:space="preserve"> </w:t>
      </w:r>
      <w:r w:rsidRPr="00FC1466">
        <w:rPr>
          <w:i/>
          <w:iCs/>
          <w:sz w:val="22"/>
          <w:szCs w:val="22"/>
        </w:rPr>
        <w:t>Nat Prod</w:t>
      </w:r>
      <w:r w:rsidRPr="00FC1466">
        <w:rPr>
          <w:i/>
          <w:iCs/>
          <w:sz w:val="22"/>
          <w:szCs w:val="22"/>
          <w:lang w:val="tr-TR"/>
        </w:rPr>
        <w:t>.</w:t>
      </w:r>
      <w:r w:rsidRPr="00FC1466">
        <w:rPr>
          <w:sz w:val="22"/>
          <w:szCs w:val="22"/>
        </w:rPr>
        <w:t xml:space="preserve"> 79(3)</w:t>
      </w:r>
      <w:r w:rsidRPr="00FC1466">
        <w:rPr>
          <w:sz w:val="22"/>
          <w:szCs w:val="22"/>
          <w:lang w:val="tr-TR"/>
        </w:rPr>
        <w:t>:</w:t>
      </w:r>
      <w:r w:rsidRPr="00FC1466">
        <w:rPr>
          <w:sz w:val="22"/>
          <w:szCs w:val="22"/>
        </w:rPr>
        <w:t>629-661.</w:t>
      </w:r>
      <w:r w:rsidR="003B63B3" w:rsidRPr="00FC1466">
        <w:rPr>
          <w:sz w:val="22"/>
          <w:szCs w:val="22"/>
          <w:lang w:val="tr-TR"/>
        </w:rPr>
        <w:t xml:space="preserve"> </w:t>
      </w:r>
      <w:hyperlink r:id="rId18" w:history="1">
        <w:r w:rsidR="003B63B3" w:rsidRPr="00FC1466">
          <w:rPr>
            <w:rStyle w:val="Hyperlink"/>
            <w:sz w:val="22"/>
            <w:szCs w:val="22"/>
          </w:rPr>
          <w:t>https://doi.org/10.1021/acs.jnatprod.5b01055</w:t>
        </w:r>
      </w:hyperlink>
    </w:p>
    <w:p w14:paraId="02C2AE68" w14:textId="77777777" w:rsidR="000F70F8" w:rsidRDefault="000F70F8" w:rsidP="00FC1466">
      <w:pPr>
        <w:ind w:left="1134" w:hanging="567"/>
        <w:jc w:val="both"/>
        <w:rPr>
          <w:sz w:val="22"/>
          <w:szCs w:val="22"/>
        </w:rPr>
      </w:pPr>
    </w:p>
    <w:p w14:paraId="01A99032" w14:textId="77777777" w:rsidR="00D95D2A" w:rsidRPr="00FC1466" w:rsidRDefault="00D95D2A" w:rsidP="00FC1466">
      <w:pPr>
        <w:ind w:left="1134" w:hanging="567"/>
        <w:jc w:val="both"/>
        <w:rPr>
          <w:color w:val="0070C0"/>
          <w:sz w:val="22"/>
          <w:szCs w:val="22"/>
        </w:rPr>
      </w:pPr>
      <w:r w:rsidRPr="00FC1466">
        <w:rPr>
          <w:sz w:val="22"/>
          <w:szCs w:val="22"/>
        </w:rPr>
        <w:t xml:space="preserve">Oliver S, Vittorio o, Cirillo G, Boyer C (2016). Enhancing the therapeutic effects of polyphenols with macromolecules. </w:t>
      </w:r>
      <w:r w:rsidRPr="00FC1466">
        <w:rPr>
          <w:i/>
          <w:iCs/>
          <w:sz w:val="22"/>
          <w:szCs w:val="22"/>
        </w:rPr>
        <w:t>Polymer Chem.</w:t>
      </w:r>
      <w:r w:rsidRPr="00FC1466">
        <w:rPr>
          <w:sz w:val="22"/>
          <w:szCs w:val="22"/>
        </w:rPr>
        <w:t xml:space="preserve"> Pp. 1-45. </w:t>
      </w:r>
      <w:r w:rsidRPr="00FC1466">
        <w:rPr>
          <w:color w:val="0070C0"/>
          <w:sz w:val="22"/>
          <w:szCs w:val="22"/>
        </w:rPr>
        <w:t xml:space="preserve">Manuscript ID: PY-REV-12-2015-001912.R1 </w:t>
      </w:r>
    </w:p>
    <w:p w14:paraId="610D7B6C" w14:textId="77777777" w:rsidR="003B63B3" w:rsidRPr="00FC1466" w:rsidRDefault="003B63B3" w:rsidP="00FC1466">
      <w:pPr>
        <w:ind w:left="1134" w:hanging="567"/>
        <w:jc w:val="both"/>
        <w:rPr>
          <w:color w:val="0070C0"/>
          <w:sz w:val="22"/>
          <w:szCs w:val="22"/>
        </w:rPr>
      </w:pPr>
    </w:p>
    <w:p w14:paraId="5D44C3FB" w14:textId="77777777" w:rsidR="00EA63D7" w:rsidRPr="00FC1466" w:rsidRDefault="00EA63D7" w:rsidP="00FC1466">
      <w:pPr>
        <w:ind w:left="1134" w:hanging="567"/>
        <w:jc w:val="both"/>
        <w:rPr>
          <w:sz w:val="22"/>
          <w:szCs w:val="22"/>
        </w:rPr>
      </w:pPr>
      <w:r w:rsidRPr="00FC1466">
        <w:rPr>
          <w:sz w:val="22"/>
          <w:szCs w:val="22"/>
        </w:rPr>
        <w:lastRenderedPageBreak/>
        <w:t xml:space="preserve">Peer, D., Karp, J.M., Hong, S., Farokhzad, O.C., Margalit, R., &amp; Langer, R. (2007). Nanocarriers as an emerging platform for cancer therapy. </w:t>
      </w:r>
      <w:r w:rsidRPr="00FC1466">
        <w:rPr>
          <w:i/>
          <w:iCs/>
          <w:sz w:val="22"/>
          <w:szCs w:val="22"/>
        </w:rPr>
        <w:t>Nat Nanotechnol</w:t>
      </w:r>
      <w:r w:rsidRPr="00FC1466">
        <w:rPr>
          <w:i/>
          <w:iCs/>
          <w:sz w:val="22"/>
          <w:szCs w:val="22"/>
          <w:lang w:val="tr-TR"/>
        </w:rPr>
        <w:t>.</w:t>
      </w:r>
      <w:r w:rsidRPr="00FC1466">
        <w:rPr>
          <w:sz w:val="22"/>
          <w:szCs w:val="22"/>
        </w:rPr>
        <w:t xml:space="preserve"> 2(12)</w:t>
      </w:r>
      <w:r w:rsidRPr="00FC1466">
        <w:rPr>
          <w:sz w:val="22"/>
          <w:szCs w:val="22"/>
          <w:lang w:val="tr-TR"/>
        </w:rPr>
        <w:t>:</w:t>
      </w:r>
      <w:r w:rsidRPr="00FC1466">
        <w:rPr>
          <w:sz w:val="22"/>
          <w:szCs w:val="22"/>
        </w:rPr>
        <w:t>751-760.</w:t>
      </w:r>
      <w:r w:rsidR="000F70F8">
        <w:rPr>
          <w:sz w:val="22"/>
          <w:szCs w:val="22"/>
        </w:rPr>
        <w:tab/>
      </w:r>
      <w:r w:rsidRPr="00FC1466">
        <w:rPr>
          <w:sz w:val="22"/>
          <w:szCs w:val="22"/>
        </w:rPr>
        <w:t xml:space="preserve"> </w:t>
      </w:r>
      <w:hyperlink r:id="rId19" w:history="1">
        <w:r w:rsidRPr="00FC1466">
          <w:rPr>
            <w:rStyle w:val="Hyperlink"/>
            <w:sz w:val="22"/>
            <w:szCs w:val="22"/>
            <w:u w:val="none"/>
          </w:rPr>
          <w:t>https://doi.org/10.1038/nnano.2007.387</w:t>
        </w:r>
      </w:hyperlink>
    </w:p>
    <w:p w14:paraId="321F548B" w14:textId="77777777" w:rsidR="00D95D2A" w:rsidRPr="00FC1466" w:rsidRDefault="00D95D2A" w:rsidP="00FC1466">
      <w:pPr>
        <w:pStyle w:val="NormalWeb"/>
        <w:ind w:left="1134" w:hanging="567"/>
        <w:jc w:val="both"/>
        <w:rPr>
          <w:color w:val="2196D1"/>
          <w:sz w:val="22"/>
          <w:szCs w:val="22"/>
        </w:rPr>
      </w:pPr>
      <w:r w:rsidRPr="00FC1466">
        <w:rPr>
          <w:color w:val="000000" w:themeColor="text1"/>
          <w:sz w:val="22"/>
          <w:szCs w:val="22"/>
          <w:lang w:val="tr-TR"/>
        </w:rPr>
        <w:t xml:space="preserve">Pereira CID, De Freitas CF, Braga TL, Braga G, Gonçalves RS, Tessaro AL, et al. (2022). </w:t>
      </w:r>
      <w:r w:rsidRPr="00FC1466">
        <w:rPr>
          <w:sz w:val="22"/>
          <w:szCs w:val="22"/>
        </w:rPr>
        <w:t xml:space="preserve">Concise behavior of Curcumin in water-ethanol: Critical Water Aggregation Percentage and multivariate analysis of protolytic equilibria. </w:t>
      </w:r>
      <w:r w:rsidRPr="00FC1466">
        <w:rPr>
          <w:i/>
          <w:iCs/>
          <w:sz w:val="22"/>
          <w:szCs w:val="22"/>
        </w:rPr>
        <w:t>Dyes and Pigments</w:t>
      </w:r>
      <w:r w:rsidRPr="00FC1466">
        <w:rPr>
          <w:sz w:val="22"/>
          <w:szCs w:val="22"/>
        </w:rPr>
        <w:t xml:space="preserve">. 197:109887. </w:t>
      </w:r>
      <w:r w:rsidRPr="00FC1466">
        <w:rPr>
          <w:color w:val="2196D1"/>
          <w:sz w:val="22"/>
          <w:szCs w:val="22"/>
        </w:rPr>
        <w:t xml:space="preserve">https://doi.org/10.1016/j.dyepig.2021.109887 </w:t>
      </w:r>
    </w:p>
    <w:p w14:paraId="76FB2299" w14:textId="77777777" w:rsidR="00D95D2A" w:rsidRPr="00FC1466" w:rsidRDefault="00D95D2A" w:rsidP="00FC1466">
      <w:pPr>
        <w:pStyle w:val="NormalWeb"/>
        <w:ind w:left="1134" w:hanging="567"/>
        <w:jc w:val="both"/>
        <w:rPr>
          <w:color w:val="0070C0"/>
          <w:sz w:val="22"/>
          <w:szCs w:val="22"/>
          <w:shd w:val="clear" w:color="auto" w:fill="FFFFFF"/>
        </w:rPr>
      </w:pPr>
      <w:r w:rsidRPr="00FC1466">
        <w:rPr>
          <w:color w:val="212121"/>
          <w:sz w:val="22"/>
          <w:szCs w:val="22"/>
          <w:shd w:val="clear" w:color="auto" w:fill="FFFFFF"/>
        </w:rPr>
        <w:t xml:space="preserve">Rachmawati H, Edityaningrum CA, Mauludin R. </w:t>
      </w:r>
      <w:r w:rsidRPr="00FC1466">
        <w:rPr>
          <w:color w:val="212121"/>
          <w:sz w:val="22"/>
          <w:szCs w:val="22"/>
          <w:shd w:val="clear" w:color="auto" w:fill="FFFFFF"/>
          <w:lang w:val="tr-TR"/>
        </w:rPr>
        <w:t xml:space="preserve">(2013). </w:t>
      </w:r>
      <w:r w:rsidRPr="00FC1466">
        <w:rPr>
          <w:color w:val="212121"/>
          <w:sz w:val="22"/>
          <w:szCs w:val="22"/>
          <w:shd w:val="clear" w:color="auto" w:fill="FFFFFF"/>
        </w:rPr>
        <w:t xml:space="preserve">Molecular inclusion complex of curcumin-β-cyclodextrin nanoparticle to enhance curcumin skin permeability from hydrophilic matrix gel. </w:t>
      </w:r>
      <w:r w:rsidRPr="00FC1466">
        <w:rPr>
          <w:i/>
          <w:iCs/>
          <w:color w:val="212121"/>
          <w:sz w:val="22"/>
          <w:szCs w:val="22"/>
          <w:shd w:val="clear" w:color="auto" w:fill="FFFFFF"/>
        </w:rPr>
        <w:t>AAPS Pharm</w:t>
      </w:r>
      <w:r w:rsidRPr="00FC1466">
        <w:rPr>
          <w:i/>
          <w:iCs/>
          <w:color w:val="212121"/>
          <w:sz w:val="22"/>
          <w:szCs w:val="22"/>
          <w:shd w:val="clear" w:color="auto" w:fill="FFFFFF"/>
          <w:lang w:val="tr-TR"/>
        </w:rPr>
        <w:t xml:space="preserve"> </w:t>
      </w:r>
      <w:r w:rsidRPr="00FC1466">
        <w:rPr>
          <w:i/>
          <w:iCs/>
          <w:color w:val="212121"/>
          <w:sz w:val="22"/>
          <w:szCs w:val="22"/>
          <w:shd w:val="clear" w:color="auto" w:fill="FFFFFF"/>
        </w:rPr>
        <w:t>Sci</w:t>
      </w:r>
      <w:r w:rsidRPr="00FC1466">
        <w:rPr>
          <w:i/>
          <w:iCs/>
          <w:color w:val="212121"/>
          <w:sz w:val="22"/>
          <w:szCs w:val="22"/>
          <w:shd w:val="clear" w:color="auto" w:fill="FFFFFF"/>
          <w:lang w:val="tr-TR"/>
        </w:rPr>
        <w:t xml:space="preserve"> </w:t>
      </w:r>
      <w:r w:rsidRPr="00FC1466">
        <w:rPr>
          <w:i/>
          <w:iCs/>
          <w:color w:val="212121"/>
          <w:sz w:val="22"/>
          <w:szCs w:val="22"/>
          <w:shd w:val="clear" w:color="auto" w:fill="FFFFFF"/>
        </w:rPr>
        <w:t>Tech.</w:t>
      </w:r>
      <w:r w:rsidRPr="00FC1466">
        <w:rPr>
          <w:color w:val="212121"/>
          <w:sz w:val="22"/>
          <w:szCs w:val="22"/>
          <w:shd w:val="clear" w:color="auto" w:fill="FFFFFF"/>
        </w:rPr>
        <w:t xml:space="preserve"> 14(4):1303-</w:t>
      </w:r>
      <w:r w:rsidRPr="00FC1466">
        <w:rPr>
          <w:color w:val="212121"/>
          <w:sz w:val="22"/>
          <w:szCs w:val="22"/>
          <w:shd w:val="clear" w:color="auto" w:fill="FFFFFF"/>
          <w:lang w:val="tr-TR"/>
        </w:rPr>
        <w:t>13</w:t>
      </w:r>
      <w:r w:rsidRPr="00FC1466">
        <w:rPr>
          <w:color w:val="212121"/>
          <w:sz w:val="22"/>
          <w:szCs w:val="22"/>
          <w:shd w:val="clear" w:color="auto" w:fill="FFFFFF"/>
        </w:rPr>
        <w:t>12</w:t>
      </w:r>
      <w:r w:rsidR="000F70F8">
        <w:rPr>
          <w:color w:val="212121"/>
          <w:sz w:val="22"/>
          <w:szCs w:val="22"/>
          <w:shd w:val="clear" w:color="auto" w:fill="FFFFFF"/>
          <w:lang w:val="tr-TR"/>
        </w:rPr>
        <w:t>.</w:t>
      </w:r>
      <w:r w:rsidRPr="00FC1466">
        <w:rPr>
          <w:color w:val="212121"/>
          <w:sz w:val="22"/>
          <w:szCs w:val="22"/>
          <w:shd w:val="clear" w:color="auto" w:fill="FFFFFF"/>
          <w:lang w:val="tr-TR"/>
        </w:rPr>
        <w:t xml:space="preserve"> </w:t>
      </w:r>
      <w:r w:rsidRPr="00FC1466">
        <w:rPr>
          <w:color w:val="0070C0"/>
          <w:sz w:val="22"/>
          <w:szCs w:val="22"/>
          <w:shd w:val="clear" w:color="auto" w:fill="FFFFFF"/>
          <w:lang w:val="tr-TR"/>
        </w:rPr>
        <w:t>D</w:t>
      </w:r>
      <w:r w:rsidRPr="00FC1466">
        <w:rPr>
          <w:color w:val="0070C0"/>
          <w:sz w:val="22"/>
          <w:szCs w:val="22"/>
          <w:shd w:val="clear" w:color="auto" w:fill="FFFFFF"/>
        </w:rPr>
        <w:t>oi: 10.1208/s12249-013-0023-5</w:t>
      </w:r>
    </w:p>
    <w:p w14:paraId="1B6B3A13" w14:textId="77777777" w:rsidR="00D95D2A" w:rsidRPr="00FC1466" w:rsidRDefault="00D95D2A" w:rsidP="00FC1466">
      <w:pPr>
        <w:pStyle w:val="NormalWeb"/>
        <w:ind w:left="1134" w:hanging="567"/>
        <w:jc w:val="both"/>
        <w:rPr>
          <w:rStyle w:val="Hyperlink"/>
          <w:sz w:val="22"/>
          <w:szCs w:val="22"/>
          <w:u w:val="none"/>
          <w:shd w:val="clear" w:color="auto" w:fill="FFFFFF"/>
        </w:rPr>
      </w:pPr>
      <w:r w:rsidRPr="00FC1466">
        <w:rPr>
          <w:color w:val="222222"/>
          <w:sz w:val="22"/>
          <w:szCs w:val="22"/>
          <w:shd w:val="clear" w:color="auto" w:fill="FFFFFF"/>
        </w:rPr>
        <w:t>Stetefeld J, McKenna SA</w:t>
      </w:r>
      <w:r w:rsidRPr="00FC1466">
        <w:rPr>
          <w:color w:val="222222"/>
          <w:sz w:val="22"/>
          <w:szCs w:val="22"/>
          <w:shd w:val="clear" w:color="auto" w:fill="FFFFFF"/>
          <w:lang w:val="tr-TR"/>
        </w:rPr>
        <w:t>,</w:t>
      </w:r>
      <w:r w:rsidRPr="00FC1466">
        <w:rPr>
          <w:color w:val="222222"/>
          <w:sz w:val="22"/>
          <w:szCs w:val="22"/>
          <w:shd w:val="clear" w:color="auto" w:fill="FFFFFF"/>
        </w:rPr>
        <w:t xml:space="preserve"> Patel TR</w:t>
      </w:r>
      <w:r w:rsidRPr="00FC1466">
        <w:rPr>
          <w:color w:val="222222"/>
          <w:sz w:val="22"/>
          <w:szCs w:val="22"/>
          <w:shd w:val="clear" w:color="auto" w:fill="FFFFFF"/>
          <w:lang w:val="tr-TR"/>
        </w:rPr>
        <w:t xml:space="preserve"> (2016).</w:t>
      </w:r>
      <w:r w:rsidRPr="00FC1466">
        <w:rPr>
          <w:color w:val="222222"/>
          <w:sz w:val="22"/>
          <w:szCs w:val="22"/>
          <w:shd w:val="clear" w:color="auto" w:fill="FFFFFF"/>
        </w:rPr>
        <w:t xml:space="preserve"> Dynamic light scattering: a practical guide and applications in biomedical sciences. </w:t>
      </w:r>
      <w:r w:rsidRPr="00FC1466">
        <w:rPr>
          <w:i/>
          <w:iCs/>
          <w:color w:val="222222"/>
          <w:sz w:val="22"/>
          <w:szCs w:val="22"/>
          <w:shd w:val="clear" w:color="auto" w:fill="FFFFFF"/>
        </w:rPr>
        <w:t>Biophys Rev</w:t>
      </w:r>
      <w:r w:rsidRPr="00FC1466">
        <w:rPr>
          <w:i/>
          <w:iCs/>
          <w:color w:val="222222"/>
          <w:sz w:val="22"/>
          <w:szCs w:val="22"/>
          <w:shd w:val="clear" w:color="auto" w:fill="FFFFFF"/>
          <w:lang w:val="tr-TR"/>
        </w:rPr>
        <w:t xml:space="preserve">. </w:t>
      </w:r>
      <w:r w:rsidRPr="00FC1466">
        <w:rPr>
          <w:color w:val="222222"/>
          <w:sz w:val="22"/>
          <w:szCs w:val="22"/>
          <w:shd w:val="clear" w:color="auto" w:fill="FFFFFF"/>
        </w:rPr>
        <w:t> 8</w:t>
      </w:r>
      <w:r w:rsidRPr="00FC1466">
        <w:rPr>
          <w:color w:val="222222"/>
          <w:sz w:val="22"/>
          <w:szCs w:val="22"/>
          <w:shd w:val="clear" w:color="auto" w:fill="FFFFFF"/>
          <w:lang w:val="tr-TR"/>
        </w:rPr>
        <w:t>:</w:t>
      </w:r>
      <w:r w:rsidRPr="00FC1466">
        <w:rPr>
          <w:color w:val="222222"/>
          <w:sz w:val="22"/>
          <w:szCs w:val="22"/>
          <w:shd w:val="clear" w:color="auto" w:fill="FFFFFF"/>
        </w:rPr>
        <w:t>409–427.</w:t>
      </w:r>
      <w:r w:rsidRPr="00FC1466">
        <w:rPr>
          <w:color w:val="222222"/>
          <w:sz w:val="22"/>
          <w:szCs w:val="22"/>
          <w:shd w:val="clear" w:color="auto" w:fill="FFFFFF"/>
        </w:rPr>
        <w:tab/>
        <w:t xml:space="preserve"> </w:t>
      </w:r>
      <w:hyperlink r:id="rId20" w:history="1">
        <w:r w:rsidRPr="00FC1466">
          <w:rPr>
            <w:rStyle w:val="Hyperlink"/>
            <w:sz w:val="22"/>
            <w:szCs w:val="22"/>
            <w:u w:val="none"/>
            <w:shd w:val="clear" w:color="auto" w:fill="FFFFFF"/>
          </w:rPr>
          <w:t>https://doi.org/10.1007/s12551-016-0218-6</w:t>
        </w:r>
      </w:hyperlink>
    </w:p>
    <w:p w14:paraId="7B9FB35B" w14:textId="77777777" w:rsidR="00EA63D7" w:rsidRPr="00FC1466" w:rsidRDefault="00EA63D7" w:rsidP="00FC1466">
      <w:pPr>
        <w:pStyle w:val="NormalWeb"/>
        <w:ind w:left="1134" w:hanging="567"/>
        <w:jc w:val="both"/>
        <w:rPr>
          <w:sz w:val="22"/>
          <w:szCs w:val="22"/>
        </w:rPr>
      </w:pPr>
      <w:r w:rsidRPr="00FC1466">
        <w:rPr>
          <w:sz w:val="22"/>
          <w:szCs w:val="22"/>
        </w:rPr>
        <w:t xml:space="preserve">Ventola, C.L. (2017). Progress in nanomedicine: Approved and investigational nanodrugs. </w:t>
      </w:r>
      <w:r w:rsidRPr="00FC1466">
        <w:rPr>
          <w:i/>
          <w:iCs/>
          <w:sz w:val="22"/>
          <w:szCs w:val="22"/>
        </w:rPr>
        <w:t>Pharmacy &amp; Therapeutics</w:t>
      </w:r>
      <w:r w:rsidRPr="00FC1466">
        <w:rPr>
          <w:sz w:val="22"/>
          <w:szCs w:val="22"/>
        </w:rPr>
        <w:t>. 42(12):742-755.</w:t>
      </w:r>
    </w:p>
    <w:p w14:paraId="38B09CB3" w14:textId="77777777" w:rsidR="00EA63D7" w:rsidRPr="00FC1466" w:rsidRDefault="00EA63D7" w:rsidP="00FC1466">
      <w:pPr>
        <w:ind w:left="1134" w:hanging="567"/>
        <w:jc w:val="both"/>
        <w:rPr>
          <w:sz w:val="22"/>
          <w:szCs w:val="22"/>
        </w:rPr>
      </w:pPr>
      <w:r w:rsidRPr="00FC1466">
        <w:rPr>
          <w:sz w:val="22"/>
          <w:szCs w:val="22"/>
        </w:rPr>
        <w:t xml:space="preserve">Wang, H., &amp; Zheng, X. (2022). Theoretical study of macrocyclic host molecules: From supramolecular recognition to self-assembly. </w:t>
      </w:r>
      <w:r w:rsidRPr="00FC1466">
        <w:rPr>
          <w:i/>
          <w:iCs/>
          <w:sz w:val="22"/>
          <w:szCs w:val="22"/>
        </w:rPr>
        <w:t>Phys Chem Chem Phys</w:t>
      </w:r>
      <w:r w:rsidRPr="00FC1466">
        <w:rPr>
          <w:i/>
          <w:iCs/>
          <w:sz w:val="22"/>
          <w:szCs w:val="22"/>
          <w:lang w:val="tr-TR"/>
        </w:rPr>
        <w:t>.</w:t>
      </w:r>
      <w:r w:rsidRPr="00FC1466">
        <w:rPr>
          <w:sz w:val="22"/>
          <w:szCs w:val="22"/>
        </w:rPr>
        <w:t xml:space="preserve"> 24</w:t>
      </w:r>
      <w:r w:rsidRPr="00FC1466">
        <w:rPr>
          <w:sz w:val="22"/>
          <w:szCs w:val="22"/>
          <w:lang w:val="tr-TR"/>
        </w:rPr>
        <w:t>:</w:t>
      </w:r>
      <w:r w:rsidRPr="00FC1466">
        <w:rPr>
          <w:sz w:val="22"/>
          <w:szCs w:val="22"/>
        </w:rPr>
        <w:t xml:space="preserve">19011-19028. </w:t>
      </w:r>
      <w:hyperlink r:id="rId21" w:history="1">
        <w:r w:rsidRPr="00FC1466">
          <w:rPr>
            <w:rStyle w:val="Hyperlink"/>
            <w:sz w:val="22"/>
            <w:szCs w:val="22"/>
            <w:u w:val="none"/>
          </w:rPr>
          <w:t>https://doi.org/10.1039/D2CP02152H</w:t>
        </w:r>
      </w:hyperlink>
    </w:p>
    <w:p w14:paraId="6A785591" w14:textId="77777777" w:rsidR="00D95D2A" w:rsidRPr="00FC1466" w:rsidRDefault="00D95D2A" w:rsidP="00FC1466">
      <w:pPr>
        <w:pStyle w:val="NormalWeb"/>
        <w:ind w:left="1134" w:hanging="567"/>
        <w:jc w:val="both"/>
        <w:rPr>
          <w:rStyle w:val="Hyperlink"/>
          <w:sz w:val="22"/>
          <w:szCs w:val="22"/>
          <w:u w:val="none"/>
        </w:rPr>
      </w:pPr>
      <w:r w:rsidRPr="00FC1466">
        <w:rPr>
          <w:sz w:val="22"/>
          <w:szCs w:val="22"/>
        </w:rPr>
        <w:t>Wilhelm S, Tavares AJ, Dai Q, Ohta S, Audet J, Dvorak HF, et al. (2016). Analysis of nanoparticle delivery to tumours. Nat Rev Materials. 1:16014.</w:t>
      </w:r>
      <w:r w:rsidRPr="00FC1466">
        <w:rPr>
          <w:sz w:val="22"/>
          <w:szCs w:val="22"/>
        </w:rPr>
        <w:tab/>
        <w:t xml:space="preserve"> </w:t>
      </w:r>
      <w:hyperlink r:id="rId22" w:tgtFrame="_new" w:history="1">
        <w:r w:rsidRPr="00FC1466">
          <w:rPr>
            <w:rStyle w:val="Hyperlink"/>
            <w:sz w:val="22"/>
            <w:szCs w:val="22"/>
            <w:u w:val="none"/>
          </w:rPr>
          <w:t>https://doi.org/10.1038/natrevmats.2016.14</w:t>
        </w:r>
      </w:hyperlink>
    </w:p>
    <w:p w14:paraId="25779403" w14:textId="77777777" w:rsidR="00D95D2A" w:rsidRPr="00FC1466" w:rsidRDefault="00D95D2A" w:rsidP="00FC1466">
      <w:pPr>
        <w:pStyle w:val="NormalWeb"/>
        <w:ind w:left="1134" w:hanging="567"/>
        <w:jc w:val="both"/>
        <w:rPr>
          <w:rStyle w:val="Hyperlink"/>
          <w:sz w:val="22"/>
          <w:szCs w:val="22"/>
          <w:u w:val="none"/>
          <w:lang w:val="tr-TR"/>
        </w:rPr>
      </w:pPr>
      <w:r w:rsidRPr="00FC1466">
        <w:rPr>
          <w:color w:val="000000"/>
          <w:sz w:val="22"/>
          <w:szCs w:val="22"/>
          <w:lang w:val="tr-TR"/>
        </w:rPr>
        <w:t xml:space="preserve">Yu D, Park J, Kim T, Choi C, Yuk SA, Kim H (2026). Nanotechnology-Enabled Delivery of Phytochemicals: From Formulation Strategies to Therapeutic Translation. </w:t>
      </w:r>
      <w:r w:rsidRPr="00FC1466">
        <w:rPr>
          <w:i/>
          <w:iCs/>
          <w:color w:val="000000"/>
          <w:sz w:val="22"/>
          <w:szCs w:val="22"/>
          <w:lang w:val="tr-TR"/>
        </w:rPr>
        <w:t>J Phytomed</w:t>
      </w:r>
      <w:r w:rsidRPr="00FC1466">
        <w:rPr>
          <w:color w:val="000000"/>
          <w:sz w:val="22"/>
          <w:szCs w:val="22"/>
          <w:lang w:val="tr-TR"/>
        </w:rPr>
        <w:t xml:space="preserve">. 1(1):4. </w:t>
      </w:r>
      <w:hyperlink r:id="rId23" w:history="1">
        <w:r w:rsidRPr="00FC1466">
          <w:rPr>
            <w:rStyle w:val="Hyperlink"/>
            <w:sz w:val="22"/>
            <w:szCs w:val="22"/>
            <w:u w:val="none"/>
            <w:lang w:val="tr-TR"/>
          </w:rPr>
          <w:t>https://doi.org/10.3390/jphytomed1010004</w:t>
        </w:r>
      </w:hyperlink>
    </w:p>
    <w:p w14:paraId="777605FC" w14:textId="77777777" w:rsidR="00EA63D7" w:rsidRPr="00FC1466" w:rsidRDefault="00EA63D7" w:rsidP="00FC1466">
      <w:pPr>
        <w:pStyle w:val="NormalWeb"/>
        <w:ind w:left="1134" w:hanging="567"/>
        <w:jc w:val="both"/>
        <w:rPr>
          <w:sz w:val="22"/>
          <w:szCs w:val="22"/>
        </w:rPr>
      </w:pPr>
      <w:r w:rsidRPr="00FC1466">
        <w:rPr>
          <w:color w:val="212121"/>
          <w:sz w:val="22"/>
          <w:szCs w:val="22"/>
          <w:shd w:val="clear" w:color="auto" w:fill="FFFFFF"/>
        </w:rPr>
        <w:t>Zeng M. (2023). Voices in </w:t>
      </w:r>
      <w:r w:rsidRPr="00FC1466">
        <w:rPr>
          <w:i/>
          <w:iCs/>
          <w:color w:val="212121"/>
          <w:sz w:val="22"/>
          <w:szCs w:val="22"/>
          <w:shd w:val="clear" w:color="auto" w:fill="FFFFFF"/>
        </w:rPr>
        <w:t>Molecular Pharmaceutics</w:t>
      </w:r>
      <w:r w:rsidRPr="00FC1466">
        <w:rPr>
          <w:color w:val="212121"/>
          <w:sz w:val="22"/>
          <w:szCs w:val="22"/>
          <w:shd w:val="clear" w:color="auto" w:fill="FFFFFF"/>
        </w:rPr>
        <w:t xml:space="preserve">: Meet Dr. Muling Zeng, Who Nanosizes Traditional Chinese Medicines and Natural Products for Unique Applications. </w:t>
      </w:r>
      <w:r w:rsidRPr="00FC1466">
        <w:rPr>
          <w:i/>
          <w:iCs/>
          <w:color w:val="212121"/>
          <w:sz w:val="22"/>
          <w:szCs w:val="22"/>
          <w:shd w:val="clear" w:color="auto" w:fill="FFFFFF"/>
        </w:rPr>
        <w:t>Mol Pharm.</w:t>
      </w:r>
      <w:r w:rsidRPr="00FC1466">
        <w:rPr>
          <w:color w:val="212121"/>
          <w:sz w:val="22"/>
          <w:szCs w:val="22"/>
          <w:shd w:val="clear" w:color="auto" w:fill="FFFFFF"/>
        </w:rPr>
        <w:t xml:space="preserve"> 20(5):2291-2292.</w:t>
      </w:r>
      <w:r w:rsidR="000F70F8">
        <w:rPr>
          <w:color w:val="212121"/>
          <w:sz w:val="22"/>
          <w:szCs w:val="22"/>
          <w:shd w:val="clear" w:color="auto" w:fill="FFFFFF"/>
          <w:lang w:val="tr-TR"/>
        </w:rPr>
        <w:t xml:space="preserve"> </w:t>
      </w:r>
      <w:r w:rsidRPr="00FC1466">
        <w:rPr>
          <w:color w:val="0070C0"/>
          <w:sz w:val="22"/>
          <w:szCs w:val="22"/>
          <w:shd w:val="clear" w:color="auto" w:fill="FFFFFF"/>
        </w:rPr>
        <w:t>Doi: 10.1021/acs.molpharmaceut.3c00228</w:t>
      </w:r>
    </w:p>
    <w:p w14:paraId="05D09F05" w14:textId="77777777" w:rsidR="005273C2" w:rsidRPr="000F70F8" w:rsidRDefault="00EA63D7" w:rsidP="000F70F8">
      <w:pPr>
        <w:shd w:val="clear" w:color="auto" w:fill="FFFFFF"/>
        <w:spacing w:beforeAutospacing="1" w:afterAutospacing="1"/>
        <w:ind w:left="1134" w:hanging="567"/>
        <w:jc w:val="both"/>
        <w:rPr>
          <w:color w:val="000000"/>
          <w:sz w:val="22"/>
          <w:szCs w:val="22"/>
          <w:lang w:val="tr-TR"/>
        </w:rPr>
      </w:pPr>
      <w:r w:rsidRPr="00FC1466">
        <w:rPr>
          <w:color w:val="000000"/>
          <w:sz w:val="22"/>
          <w:szCs w:val="22"/>
        </w:rPr>
        <w:t>Zhu</w:t>
      </w:r>
      <w:r w:rsidRPr="00FC1466">
        <w:rPr>
          <w:color w:val="000000"/>
          <w:sz w:val="22"/>
          <w:szCs w:val="22"/>
          <w:lang w:val="tr-TR"/>
        </w:rPr>
        <w:t xml:space="preserve"> J</w:t>
      </w:r>
      <w:r w:rsidRPr="00FC1466">
        <w:rPr>
          <w:color w:val="000000"/>
          <w:sz w:val="22"/>
          <w:szCs w:val="22"/>
        </w:rPr>
        <w:t>, Zhang</w:t>
      </w:r>
      <w:r w:rsidRPr="00FC1466">
        <w:rPr>
          <w:color w:val="000000"/>
          <w:sz w:val="22"/>
          <w:szCs w:val="22"/>
          <w:lang w:val="tr-TR"/>
        </w:rPr>
        <w:t xml:space="preserve"> Z</w:t>
      </w:r>
      <w:r w:rsidRPr="00FC1466">
        <w:rPr>
          <w:color w:val="000000"/>
          <w:sz w:val="22"/>
          <w:szCs w:val="22"/>
        </w:rPr>
        <w:t>, Wang</w:t>
      </w:r>
      <w:r w:rsidRPr="00FC1466">
        <w:rPr>
          <w:color w:val="000000"/>
          <w:sz w:val="22"/>
          <w:szCs w:val="22"/>
          <w:lang w:val="tr-TR"/>
        </w:rPr>
        <w:t xml:space="preserve"> R</w:t>
      </w:r>
      <w:r w:rsidRPr="00FC1466">
        <w:rPr>
          <w:color w:val="000000"/>
          <w:sz w:val="22"/>
          <w:szCs w:val="22"/>
        </w:rPr>
        <w:t>, Zhong</w:t>
      </w:r>
      <w:r w:rsidRPr="00FC1466">
        <w:rPr>
          <w:color w:val="000000"/>
          <w:sz w:val="22"/>
          <w:szCs w:val="22"/>
          <w:lang w:val="tr-TR"/>
        </w:rPr>
        <w:t xml:space="preserve"> K</w:t>
      </w:r>
      <w:r w:rsidRPr="00FC1466">
        <w:rPr>
          <w:color w:val="000000"/>
          <w:sz w:val="22"/>
          <w:szCs w:val="22"/>
        </w:rPr>
        <w:t>, Zhang</w:t>
      </w:r>
      <w:r w:rsidRPr="00FC1466">
        <w:rPr>
          <w:color w:val="000000"/>
          <w:sz w:val="22"/>
          <w:szCs w:val="22"/>
          <w:lang w:val="tr-TR"/>
        </w:rPr>
        <w:t xml:space="preserve"> K</w:t>
      </w:r>
      <w:r w:rsidRPr="00FC1466">
        <w:rPr>
          <w:color w:val="000000"/>
          <w:sz w:val="22"/>
          <w:szCs w:val="22"/>
        </w:rPr>
        <w:t>, Zhang</w:t>
      </w:r>
      <w:r w:rsidRPr="00FC1466">
        <w:rPr>
          <w:color w:val="000000"/>
          <w:sz w:val="22"/>
          <w:szCs w:val="22"/>
          <w:lang w:val="tr-TR"/>
        </w:rPr>
        <w:t xml:space="preserve"> N</w:t>
      </w:r>
      <w:r w:rsidRPr="00FC1466">
        <w:rPr>
          <w:color w:val="000000"/>
          <w:sz w:val="22"/>
          <w:szCs w:val="22"/>
        </w:rPr>
        <w:t xml:space="preserve">, </w:t>
      </w:r>
      <w:r w:rsidRPr="00FC1466">
        <w:rPr>
          <w:color w:val="000000"/>
          <w:sz w:val="22"/>
          <w:szCs w:val="22"/>
          <w:lang w:val="tr-TR"/>
        </w:rPr>
        <w:t>et al. (2022).</w:t>
      </w:r>
      <w:r w:rsidRPr="00FC1466">
        <w:rPr>
          <w:color w:val="000000"/>
          <w:sz w:val="22"/>
          <w:szCs w:val="22"/>
        </w:rPr>
        <w:t xml:space="preserve"> Review of Natural Phytochemical-Based Self-Assembled Nanostructures for Applications in Medicine</w:t>
      </w:r>
      <w:r w:rsidRPr="00FC1466">
        <w:rPr>
          <w:color w:val="000000"/>
          <w:sz w:val="22"/>
          <w:szCs w:val="22"/>
          <w:lang w:val="tr-TR"/>
        </w:rPr>
        <w:t xml:space="preserve">. </w:t>
      </w:r>
      <w:r w:rsidRPr="00FC1466">
        <w:rPr>
          <w:i/>
          <w:iCs/>
          <w:color w:val="000000"/>
          <w:sz w:val="22"/>
          <w:szCs w:val="22"/>
        </w:rPr>
        <w:t>ACS Applied Nano Materials</w:t>
      </w:r>
      <w:r w:rsidRPr="00FC1466">
        <w:rPr>
          <w:color w:val="000000"/>
          <w:sz w:val="22"/>
          <w:szCs w:val="22"/>
          <w:lang w:val="tr-TR"/>
        </w:rPr>
        <w:t>.</w:t>
      </w:r>
      <w:r w:rsidRPr="00FC1466">
        <w:rPr>
          <w:color w:val="000000"/>
          <w:sz w:val="22"/>
          <w:szCs w:val="22"/>
        </w:rPr>
        <w:t> 5(3)</w:t>
      </w:r>
      <w:r w:rsidRPr="00FC1466">
        <w:rPr>
          <w:color w:val="000000"/>
          <w:sz w:val="22"/>
          <w:szCs w:val="22"/>
          <w:lang w:val="tr-TR"/>
        </w:rPr>
        <w:t>:</w:t>
      </w:r>
      <w:r w:rsidRPr="00FC1466">
        <w:rPr>
          <w:color w:val="000000"/>
          <w:sz w:val="22"/>
          <w:szCs w:val="22"/>
        </w:rPr>
        <w:t>3146-3169</w:t>
      </w:r>
      <w:r w:rsidR="007B7CEF" w:rsidRPr="00FC1466">
        <w:rPr>
          <w:color w:val="000000"/>
          <w:sz w:val="22"/>
          <w:szCs w:val="22"/>
          <w:lang w:val="tr-TR"/>
        </w:rPr>
        <w:t xml:space="preserve"> </w:t>
      </w:r>
      <w:r w:rsidRPr="00FC1466">
        <w:rPr>
          <w:color w:val="0070C0"/>
          <w:sz w:val="22"/>
          <w:szCs w:val="22"/>
        </w:rPr>
        <w:t>D</w:t>
      </w:r>
      <w:r w:rsidRPr="00FC1466">
        <w:rPr>
          <w:color w:val="0070C0"/>
          <w:sz w:val="22"/>
          <w:szCs w:val="22"/>
          <w:lang w:val="tr-TR"/>
        </w:rPr>
        <w:t>oi</w:t>
      </w:r>
      <w:r w:rsidRPr="00FC1466">
        <w:rPr>
          <w:color w:val="0070C0"/>
          <w:sz w:val="22"/>
          <w:szCs w:val="22"/>
        </w:rPr>
        <w:t>: 10.1021/acsanm.2c00056</w:t>
      </w:r>
    </w:p>
    <w:sectPr w:rsidR="005273C2" w:rsidRPr="000F70F8">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EA678" w14:textId="77777777" w:rsidR="000370ED" w:rsidRDefault="000370ED" w:rsidP="008D4DE0">
      <w:r>
        <w:separator/>
      </w:r>
    </w:p>
  </w:endnote>
  <w:endnote w:type="continuationSeparator" w:id="0">
    <w:p w14:paraId="6AA509A9" w14:textId="77777777" w:rsidR="000370ED" w:rsidRDefault="000370ED" w:rsidP="008D4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3153459"/>
      <w:docPartObj>
        <w:docPartGallery w:val="Page Numbers (Bottom of Page)"/>
        <w:docPartUnique/>
      </w:docPartObj>
    </w:sdtPr>
    <w:sdtContent>
      <w:p w14:paraId="68715790" w14:textId="77777777" w:rsidR="008D4DE0" w:rsidRDefault="008D4DE0" w:rsidP="0035765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392FE3" w14:textId="77777777" w:rsidR="008D4DE0" w:rsidRDefault="008D4DE0" w:rsidP="008D4DE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51401808"/>
      <w:docPartObj>
        <w:docPartGallery w:val="Page Numbers (Bottom of Page)"/>
        <w:docPartUnique/>
      </w:docPartObj>
    </w:sdtPr>
    <w:sdtContent>
      <w:p w14:paraId="00AB60F9" w14:textId="77777777" w:rsidR="008D4DE0" w:rsidRDefault="008D4DE0" w:rsidP="0035765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9B3DA31" w14:textId="77777777" w:rsidR="008D4DE0" w:rsidRDefault="008D4DE0" w:rsidP="008D4DE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5DAA2" w14:textId="77777777" w:rsidR="00BB211F" w:rsidRDefault="00BB21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A1678" w14:textId="77777777" w:rsidR="000370ED" w:rsidRDefault="000370ED" w:rsidP="008D4DE0">
      <w:r>
        <w:separator/>
      </w:r>
    </w:p>
  </w:footnote>
  <w:footnote w:type="continuationSeparator" w:id="0">
    <w:p w14:paraId="1BFC615A" w14:textId="77777777" w:rsidR="000370ED" w:rsidRDefault="000370ED" w:rsidP="008D4D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2F68C" w14:textId="6F94B456" w:rsidR="00BB211F" w:rsidRDefault="00BB211F">
    <w:pPr>
      <w:pStyle w:val="Header"/>
    </w:pPr>
    <w:r>
      <w:rPr>
        <w:noProof/>
      </w:rPr>
      <w:pict w14:anchorId="196916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79032" o:spid="_x0000_s1026"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FB50A" w14:textId="23DE8E74" w:rsidR="00BB211F" w:rsidRDefault="00BB211F">
    <w:pPr>
      <w:pStyle w:val="Header"/>
    </w:pPr>
    <w:r>
      <w:rPr>
        <w:noProof/>
      </w:rPr>
      <w:pict w14:anchorId="746363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79033" o:spid="_x0000_s1027"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CEF85" w14:textId="48DB3EE8" w:rsidR="00BB211F" w:rsidRDefault="00BB211F">
    <w:pPr>
      <w:pStyle w:val="Header"/>
    </w:pPr>
    <w:r>
      <w:rPr>
        <w:noProof/>
      </w:rPr>
      <w:pict w14:anchorId="115018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79031" o:spid="_x0000_s1025"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00295"/>
    <w:multiLevelType w:val="hybridMultilevel"/>
    <w:tmpl w:val="8B305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0A2523"/>
    <w:multiLevelType w:val="hybridMultilevel"/>
    <w:tmpl w:val="E8F23F78"/>
    <w:lvl w:ilvl="0" w:tplc="7C9CF01C">
      <w:start w:val="1"/>
      <w:numFmt w:val="decimal"/>
      <w:lvlText w:val="%1."/>
      <w:lvlJc w:val="left"/>
      <w:pPr>
        <w:ind w:left="1147" w:hanging="58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58A32630"/>
    <w:multiLevelType w:val="multilevel"/>
    <w:tmpl w:val="77DC9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C8521D"/>
    <w:multiLevelType w:val="multilevel"/>
    <w:tmpl w:val="DE667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9C7D40"/>
    <w:multiLevelType w:val="multilevel"/>
    <w:tmpl w:val="8A626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56277D"/>
    <w:multiLevelType w:val="multilevel"/>
    <w:tmpl w:val="55A63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64500B7"/>
    <w:multiLevelType w:val="hybridMultilevel"/>
    <w:tmpl w:val="8724EF64"/>
    <w:lvl w:ilvl="0" w:tplc="9E1413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3376176">
    <w:abstractNumId w:val="3"/>
  </w:num>
  <w:num w:numId="2" w16cid:durableId="1846050563">
    <w:abstractNumId w:val="5"/>
  </w:num>
  <w:num w:numId="3" w16cid:durableId="991562786">
    <w:abstractNumId w:val="4"/>
  </w:num>
  <w:num w:numId="4" w16cid:durableId="263223386">
    <w:abstractNumId w:val="2"/>
  </w:num>
  <w:num w:numId="5" w16cid:durableId="1771702821">
    <w:abstractNumId w:val="0"/>
  </w:num>
  <w:num w:numId="6" w16cid:durableId="1485899143">
    <w:abstractNumId w:val="6"/>
  </w:num>
  <w:num w:numId="7" w16cid:durableId="16351375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3C2"/>
    <w:rsid w:val="00033232"/>
    <w:rsid w:val="000370ED"/>
    <w:rsid w:val="0009191A"/>
    <w:rsid w:val="000926F6"/>
    <w:rsid w:val="000A35AD"/>
    <w:rsid w:val="000C19DA"/>
    <w:rsid w:val="000E0D90"/>
    <w:rsid w:val="000E1570"/>
    <w:rsid w:val="000F70F8"/>
    <w:rsid w:val="001058F1"/>
    <w:rsid w:val="0012149B"/>
    <w:rsid w:val="0012217B"/>
    <w:rsid w:val="0012528C"/>
    <w:rsid w:val="00135028"/>
    <w:rsid w:val="0019330A"/>
    <w:rsid w:val="001B51C8"/>
    <w:rsid w:val="00245082"/>
    <w:rsid w:val="002474DC"/>
    <w:rsid w:val="00293450"/>
    <w:rsid w:val="002949D6"/>
    <w:rsid w:val="00317FCD"/>
    <w:rsid w:val="00334DF8"/>
    <w:rsid w:val="00340693"/>
    <w:rsid w:val="003407AD"/>
    <w:rsid w:val="00373030"/>
    <w:rsid w:val="003B435E"/>
    <w:rsid w:val="003B63B3"/>
    <w:rsid w:val="00426A5D"/>
    <w:rsid w:val="00426BCE"/>
    <w:rsid w:val="00471226"/>
    <w:rsid w:val="004723F4"/>
    <w:rsid w:val="00490C7F"/>
    <w:rsid w:val="0049110E"/>
    <w:rsid w:val="00495407"/>
    <w:rsid w:val="004A1F71"/>
    <w:rsid w:val="00504D8E"/>
    <w:rsid w:val="0050672D"/>
    <w:rsid w:val="00511C6E"/>
    <w:rsid w:val="005273C2"/>
    <w:rsid w:val="00530FF1"/>
    <w:rsid w:val="005A17AB"/>
    <w:rsid w:val="005A39EC"/>
    <w:rsid w:val="005C4FDA"/>
    <w:rsid w:val="005C5ED2"/>
    <w:rsid w:val="005E211D"/>
    <w:rsid w:val="005F555D"/>
    <w:rsid w:val="00600CFD"/>
    <w:rsid w:val="006160F6"/>
    <w:rsid w:val="006205A1"/>
    <w:rsid w:val="00631D52"/>
    <w:rsid w:val="006445C2"/>
    <w:rsid w:val="00660475"/>
    <w:rsid w:val="006829E0"/>
    <w:rsid w:val="0068559A"/>
    <w:rsid w:val="006B7237"/>
    <w:rsid w:val="006C4E52"/>
    <w:rsid w:val="00725EEC"/>
    <w:rsid w:val="00751CEA"/>
    <w:rsid w:val="007752C3"/>
    <w:rsid w:val="00781DFE"/>
    <w:rsid w:val="0078452F"/>
    <w:rsid w:val="00787390"/>
    <w:rsid w:val="007B478E"/>
    <w:rsid w:val="007B7CEF"/>
    <w:rsid w:val="007E032B"/>
    <w:rsid w:val="007F7559"/>
    <w:rsid w:val="00805668"/>
    <w:rsid w:val="008208A5"/>
    <w:rsid w:val="00821D15"/>
    <w:rsid w:val="00891886"/>
    <w:rsid w:val="008A0E6F"/>
    <w:rsid w:val="008C694A"/>
    <w:rsid w:val="008D387E"/>
    <w:rsid w:val="008D4DE0"/>
    <w:rsid w:val="008D66AE"/>
    <w:rsid w:val="00912F44"/>
    <w:rsid w:val="00931A9C"/>
    <w:rsid w:val="009560AC"/>
    <w:rsid w:val="00961088"/>
    <w:rsid w:val="00973624"/>
    <w:rsid w:val="00982480"/>
    <w:rsid w:val="00983B1B"/>
    <w:rsid w:val="009B49E1"/>
    <w:rsid w:val="009C612C"/>
    <w:rsid w:val="009D0966"/>
    <w:rsid w:val="009D3D71"/>
    <w:rsid w:val="009E1B5A"/>
    <w:rsid w:val="009E6E73"/>
    <w:rsid w:val="009F4B15"/>
    <w:rsid w:val="00A02124"/>
    <w:rsid w:val="00A25C17"/>
    <w:rsid w:val="00A3443B"/>
    <w:rsid w:val="00A53A36"/>
    <w:rsid w:val="00A91743"/>
    <w:rsid w:val="00AA3728"/>
    <w:rsid w:val="00AB488F"/>
    <w:rsid w:val="00AD05AB"/>
    <w:rsid w:val="00AE1B1C"/>
    <w:rsid w:val="00B11943"/>
    <w:rsid w:val="00B26A34"/>
    <w:rsid w:val="00B730CA"/>
    <w:rsid w:val="00B9710F"/>
    <w:rsid w:val="00BB0F5F"/>
    <w:rsid w:val="00BB211F"/>
    <w:rsid w:val="00BC25E2"/>
    <w:rsid w:val="00BD1802"/>
    <w:rsid w:val="00BE4972"/>
    <w:rsid w:val="00C27192"/>
    <w:rsid w:val="00C31BCB"/>
    <w:rsid w:val="00C707D8"/>
    <w:rsid w:val="00C856E8"/>
    <w:rsid w:val="00C87B62"/>
    <w:rsid w:val="00CF48BE"/>
    <w:rsid w:val="00D0348C"/>
    <w:rsid w:val="00D2462D"/>
    <w:rsid w:val="00D3574E"/>
    <w:rsid w:val="00D52C0A"/>
    <w:rsid w:val="00D84CB9"/>
    <w:rsid w:val="00D95D2A"/>
    <w:rsid w:val="00DA0EE0"/>
    <w:rsid w:val="00DD399B"/>
    <w:rsid w:val="00E35970"/>
    <w:rsid w:val="00E43941"/>
    <w:rsid w:val="00E60A98"/>
    <w:rsid w:val="00E63DAC"/>
    <w:rsid w:val="00E749BD"/>
    <w:rsid w:val="00E755DD"/>
    <w:rsid w:val="00E76DF1"/>
    <w:rsid w:val="00EA63D7"/>
    <w:rsid w:val="00EC3A84"/>
    <w:rsid w:val="00EC507B"/>
    <w:rsid w:val="00EC5E96"/>
    <w:rsid w:val="00ED1D04"/>
    <w:rsid w:val="00EF04BF"/>
    <w:rsid w:val="00EF4ED8"/>
    <w:rsid w:val="00F433E4"/>
    <w:rsid w:val="00F840D2"/>
    <w:rsid w:val="00F90E36"/>
    <w:rsid w:val="00F91438"/>
    <w:rsid w:val="00FA42FD"/>
    <w:rsid w:val="00FC1466"/>
    <w:rsid w:val="00FD18D4"/>
    <w:rsid w:val="00FD3D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AE7920"/>
  <w15:chartTrackingRefBased/>
  <w15:docId w15:val="{4538BB34-D2E4-0547-A9AB-3CBA47D7E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4DF8"/>
    <w:rPr>
      <w:rFonts w:ascii="Times New Roman" w:eastAsia="Times New Roman" w:hAnsi="Times New Roman" w:cs="Times New Roman"/>
      <w:kern w:val="0"/>
      <w14:ligatures w14:val="none"/>
    </w:rPr>
  </w:style>
  <w:style w:type="paragraph" w:styleId="Heading3">
    <w:name w:val="heading 3"/>
    <w:basedOn w:val="Normal"/>
    <w:link w:val="Heading3Char"/>
    <w:uiPriority w:val="9"/>
    <w:qFormat/>
    <w:rsid w:val="005273C2"/>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273C2"/>
    <w:rPr>
      <w:rFonts w:ascii="Times New Roman" w:eastAsia="Times New Roman" w:hAnsi="Times New Roman" w:cs="Times New Roman"/>
      <w:b/>
      <w:bCs/>
      <w:kern w:val="0"/>
      <w:sz w:val="27"/>
      <w:szCs w:val="27"/>
      <w14:ligatures w14:val="none"/>
    </w:rPr>
  </w:style>
  <w:style w:type="character" w:styleId="Strong">
    <w:name w:val="Strong"/>
    <w:basedOn w:val="DefaultParagraphFont"/>
    <w:uiPriority w:val="22"/>
    <w:qFormat/>
    <w:rsid w:val="005273C2"/>
    <w:rPr>
      <w:b/>
      <w:bCs/>
    </w:rPr>
  </w:style>
  <w:style w:type="paragraph" w:styleId="NormalWeb">
    <w:name w:val="Normal (Web)"/>
    <w:basedOn w:val="Normal"/>
    <w:uiPriority w:val="99"/>
    <w:unhideWhenUsed/>
    <w:rsid w:val="005273C2"/>
    <w:pPr>
      <w:spacing w:before="100" w:beforeAutospacing="1" w:after="100" w:afterAutospacing="1"/>
    </w:pPr>
  </w:style>
  <w:style w:type="character" w:styleId="Emphasis">
    <w:name w:val="Emphasis"/>
    <w:basedOn w:val="DefaultParagraphFont"/>
    <w:uiPriority w:val="20"/>
    <w:qFormat/>
    <w:rsid w:val="005273C2"/>
    <w:rPr>
      <w:i/>
      <w:iCs/>
    </w:rPr>
  </w:style>
  <w:style w:type="paragraph" w:styleId="HTMLPreformatted">
    <w:name w:val="HTML Preformatted"/>
    <w:basedOn w:val="Normal"/>
    <w:link w:val="HTMLPreformattedChar"/>
    <w:uiPriority w:val="99"/>
    <w:semiHidden/>
    <w:unhideWhenUsed/>
    <w:rsid w:val="00426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426A5D"/>
    <w:rPr>
      <w:rFonts w:ascii="Courier New" w:eastAsia="Times New Roman" w:hAnsi="Courier New" w:cs="Courier New"/>
      <w:kern w:val="0"/>
      <w:sz w:val="20"/>
      <w:szCs w:val="20"/>
      <w14:ligatures w14:val="none"/>
    </w:rPr>
  </w:style>
  <w:style w:type="table" w:styleId="TableGrid">
    <w:name w:val="Table Grid"/>
    <w:basedOn w:val="TableNormal"/>
    <w:uiPriority w:val="39"/>
    <w:rsid w:val="00426A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DefaultParagraphFont"/>
    <w:rsid w:val="00426A5D"/>
  </w:style>
  <w:style w:type="character" w:styleId="Hyperlink">
    <w:name w:val="Hyperlink"/>
    <w:basedOn w:val="DefaultParagraphFont"/>
    <w:uiPriority w:val="99"/>
    <w:unhideWhenUsed/>
    <w:rsid w:val="00EA63D7"/>
    <w:rPr>
      <w:color w:val="0563C1" w:themeColor="hyperlink"/>
      <w:u w:val="single"/>
    </w:rPr>
  </w:style>
  <w:style w:type="paragraph" w:styleId="Footer">
    <w:name w:val="footer"/>
    <w:basedOn w:val="Normal"/>
    <w:link w:val="FooterChar"/>
    <w:uiPriority w:val="99"/>
    <w:unhideWhenUsed/>
    <w:rsid w:val="008D4DE0"/>
    <w:pPr>
      <w:tabs>
        <w:tab w:val="center" w:pos="4680"/>
        <w:tab w:val="right" w:pos="9360"/>
      </w:tabs>
    </w:pPr>
    <w:rPr>
      <w:rFonts w:asciiTheme="minorHAnsi" w:eastAsiaTheme="minorHAnsi" w:hAnsiTheme="minorHAnsi" w:cstheme="minorBidi"/>
      <w:kern w:val="2"/>
      <w14:ligatures w14:val="standardContextual"/>
    </w:rPr>
  </w:style>
  <w:style w:type="character" w:customStyle="1" w:styleId="FooterChar">
    <w:name w:val="Footer Char"/>
    <w:basedOn w:val="DefaultParagraphFont"/>
    <w:link w:val="Footer"/>
    <w:uiPriority w:val="99"/>
    <w:rsid w:val="008D4DE0"/>
  </w:style>
  <w:style w:type="character" w:styleId="PageNumber">
    <w:name w:val="page number"/>
    <w:basedOn w:val="DefaultParagraphFont"/>
    <w:uiPriority w:val="99"/>
    <w:semiHidden/>
    <w:unhideWhenUsed/>
    <w:rsid w:val="008D4DE0"/>
  </w:style>
  <w:style w:type="paragraph" w:customStyle="1" w:styleId="OrtaKlavuz21">
    <w:name w:val="Orta Kılavuz 21"/>
    <w:uiPriority w:val="1"/>
    <w:qFormat/>
    <w:rsid w:val="000C19DA"/>
    <w:rPr>
      <w:rFonts w:ascii="Calibri" w:eastAsia="Calibri" w:hAnsi="Calibri" w:cs="Times New Roman"/>
      <w:kern w:val="0"/>
      <w:sz w:val="22"/>
      <w:szCs w:val="22"/>
      <w:lang w:val="tr-TR"/>
      <w14:ligatures w14:val="none"/>
    </w:rPr>
  </w:style>
  <w:style w:type="paragraph" w:styleId="ListParagraph">
    <w:name w:val="List Paragraph"/>
    <w:basedOn w:val="Normal"/>
    <w:uiPriority w:val="34"/>
    <w:qFormat/>
    <w:rsid w:val="00334DF8"/>
    <w:pPr>
      <w:ind w:left="720"/>
      <w:contextualSpacing/>
    </w:pPr>
  </w:style>
  <w:style w:type="character" w:styleId="UnresolvedMention">
    <w:name w:val="Unresolved Mention"/>
    <w:basedOn w:val="DefaultParagraphFont"/>
    <w:uiPriority w:val="99"/>
    <w:semiHidden/>
    <w:unhideWhenUsed/>
    <w:rsid w:val="00033232"/>
    <w:rPr>
      <w:color w:val="605E5C"/>
      <w:shd w:val="clear" w:color="auto" w:fill="E1DFDD"/>
    </w:rPr>
  </w:style>
  <w:style w:type="character" w:styleId="FollowedHyperlink">
    <w:name w:val="FollowedHyperlink"/>
    <w:basedOn w:val="DefaultParagraphFont"/>
    <w:uiPriority w:val="99"/>
    <w:semiHidden/>
    <w:unhideWhenUsed/>
    <w:rsid w:val="00D52C0A"/>
    <w:rPr>
      <w:color w:val="954F72" w:themeColor="followedHyperlink"/>
      <w:u w:val="single"/>
    </w:rPr>
  </w:style>
  <w:style w:type="paragraph" w:styleId="Header">
    <w:name w:val="header"/>
    <w:basedOn w:val="Normal"/>
    <w:link w:val="HeaderChar"/>
    <w:uiPriority w:val="99"/>
    <w:unhideWhenUsed/>
    <w:rsid w:val="00BB211F"/>
    <w:pPr>
      <w:tabs>
        <w:tab w:val="center" w:pos="4680"/>
        <w:tab w:val="right" w:pos="9360"/>
      </w:tabs>
    </w:pPr>
  </w:style>
  <w:style w:type="character" w:customStyle="1" w:styleId="HeaderChar">
    <w:name w:val="Header Char"/>
    <w:basedOn w:val="DefaultParagraphFont"/>
    <w:link w:val="Header"/>
    <w:uiPriority w:val="99"/>
    <w:rsid w:val="00BB211F"/>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25394">
      <w:bodyDiv w:val="1"/>
      <w:marLeft w:val="0"/>
      <w:marRight w:val="0"/>
      <w:marTop w:val="0"/>
      <w:marBottom w:val="0"/>
      <w:divBdr>
        <w:top w:val="none" w:sz="0" w:space="0" w:color="auto"/>
        <w:left w:val="none" w:sz="0" w:space="0" w:color="auto"/>
        <w:bottom w:val="none" w:sz="0" w:space="0" w:color="auto"/>
        <w:right w:val="none" w:sz="0" w:space="0" w:color="auto"/>
      </w:divBdr>
    </w:div>
    <w:div w:id="190999497">
      <w:bodyDiv w:val="1"/>
      <w:marLeft w:val="0"/>
      <w:marRight w:val="0"/>
      <w:marTop w:val="0"/>
      <w:marBottom w:val="0"/>
      <w:divBdr>
        <w:top w:val="none" w:sz="0" w:space="0" w:color="auto"/>
        <w:left w:val="none" w:sz="0" w:space="0" w:color="auto"/>
        <w:bottom w:val="none" w:sz="0" w:space="0" w:color="auto"/>
        <w:right w:val="none" w:sz="0" w:space="0" w:color="auto"/>
      </w:divBdr>
    </w:div>
    <w:div w:id="470440987">
      <w:bodyDiv w:val="1"/>
      <w:marLeft w:val="0"/>
      <w:marRight w:val="0"/>
      <w:marTop w:val="0"/>
      <w:marBottom w:val="0"/>
      <w:divBdr>
        <w:top w:val="none" w:sz="0" w:space="0" w:color="auto"/>
        <w:left w:val="none" w:sz="0" w:space="0" w:color="auto"/>
        <w:bottom w:val="none" w:sz="0" w:space="0" w:color="auto"/>
        <w:right w:val="none" w:sz="0" w:space="0" w:color="auto"/>
      </w:divBdr>
    </w:div>
    <w:div w:id="796532447">
      <w:bodyDiv w:val="1"/>
      <w:marLeft w:val="0"/>
      <w:marRight w:val="0"/>
      <w:marTop w:val="0"/>
      <w:marBottom w:val="0"/>
      <w:divBdr>
        <w:top w:val="none" w:sz="0" w:space="0" w:color="auto"/>
        <w:left w:val="none" w:sz="0" w:space="0" w:color="auto"/>
        <w:bottom w:val="none" w:sz="0" w:space="0" w:color="auto"/>
        <w:right w:val="none" w:sz="0" w:space="0" w:color="auto"/>
      </w:divBdr>
    </w:div>
    <w:div w:id="978263239">
      <w:bodyDiv w:val="1"/>
      <w:marLeft w:val="0"/>
      <w:marRight w:val="0"/>
      <w:marTop w:val="0"/>
      <w:marBottom w:val="0"/>
      <w:divBdr>
        <w:top w:val="none" w:sz="0" w:space="0" w:color="auto"/>
        <w:left w:val="none" w:sz="0" w:space="0" w:color="auto"/>
        <w:bottom w:val="none" w:sz="0" w:space="0" w:color="auto"/>
        <w:right w:val="none" w:sz="0" w:space="0" w:color="auto"/>
      </w:divBdr>
    </w:div>
    <w:div w:id="999574140">
      <w:bodyDiv w:val="1"/>
      <w:marLeft w:val="0"/>
      <w:marRight w:val="0"/>
      <w:marTop w:val="0"/>
      <w:marBottom w:val="0"/>
      <w:divBdr>
        <w:top w:val="none" w:sz="0" w:space="0" w:color="auto"/>
        <w:left w:val="none" w:sz="0" w:space="0" w:color="auto"/>
        <w:bottom w:val="none" w:sz="0" w:space="0" w:color="auto"/>
        <w:right w:val="none" w:sz="0" w:space="0" w:color="auto"/>
      </w:divBdr>
    </w:div>
    <w:div w:id="1509128480">
      <w:bodyDiv w:val="1"/>
      <w:marLeft w:val="0"/>
      <w:marRight w:val="0"/>
      <w:marTop w:val="0"/>
      <w:marBottom w:val="0"/>
      <w:divBdr>
        <w:top w:val="none" w:sz="0" w:space="0" w:color="auto"/>
        <w:left w:val="none" w:sz="0" w:space="0" w:color="auto"/>
        <w:bottom w:val="none" w:sz="0" w:space="0" w:color="auto"/>
        <w:right w:val="none" w:sz="0" w:space="0" w:color="auto"/>
      </w:divBdr>
    </w:div>
    <w:div w:id="1721588929">
      <w:bodyDiv w:val="1"/>
      <w:marLeft w:val="0"/>
      <w:marRight w:val="0"/>
      <w:marTop w:val="0"/>
      <w:marBottom w:val="0"/>
      <w:divBdr>
        <w:top w:val="none" w:sz="0" w:space="0" w:color="auto"/>
        <w:left w:val="none" w:sz="0" w:space="0" w:color="auto"/>
        <w:bottom w:val="none" w:sz="0" w:space="0" w:color="auto"/>
        <w:right w:val="none" w:sz="0" w:space="0" w:color="auto"/>
      </w:divBdr>
    </w:div>
    <w:div w:id="1919560036">
      <w:bodyDiv w:val="1"/>
      <w:marLeft w:val="0"/>
      <w:marRight w:val="0"/>
      <w:marTop w:val="0"/>
      <w:marBottom w:val="0"/>
      <w:divBdr>
        <w:top w:val="none" w:sz="0" w:space="0" w:color="auto"/>
        <w:left w:val="none" w:sz="0" w:space="0" w:color="auto"/>
        <w:bottom w:val="none" w:sz="0" w:space="0" w:color="auto"/>
        <w:right w:val="none" w:sz="0" w:space="0" w:color="auto"/>
      </w:divBdr>
    </w:div>
    <w:div w:id="193378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biotechadv.2015.08.001" TargetMode="External"/><Relationship Id="rId13" Type="http://schemas.openxmlformats.org/officeDocument/2006/relationships/hyperlink" Target="https://doi.org/10.1002/wnan.1531" TargetMode="External"/><Relationship Id="rId18" Type="http://schemas.openxmlformats.org/officeDocument/2006/relationships/hyperlink" Target="https://doi.org/10.1021/acs.jnatprod.5b01055"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doi.org/10.1039/D2CP02152H" TargetMode="External"/><Relationship Id="rId7" Type="http://schemas.openxmlformats.org/officeDocument/2006/relationships/image" Target="media/image1.png"/><Relationship Id="rId12" Type="http://schemas.openxmlformats.org/officeDocument/2006/relationships/hyperlink" Target="https://doi.org/10.1002/smll.202502315" TargetMode="External"/><Relationship Id="rId17" Type="http://schemas.openxmlformats.org/officeDocument/2006/relationships/hyperlink" Target="https://sciforum.net/event/ecsoc-29"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doi.org/10.1021/ja00170a016" TargetMode="External"/><Relationship Id="rId20" Type="http://schemas.openxmlformats.org/officeDocument/2006/relationships/hyperlink" Target="https://doi.org/10.1007/s12551-016-0218-6"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38/nbt.3330"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doi.org/10.1186/s12951-022-01734-w" TargetMode="External"/><Relationship Id="rId23" Type="http://schemas.openxmlformats.org/officeDocument/2006/relationships/hyperlink" Target="https://doi.org/10.3390/jphytomed1010004" TargetMode="External"/><Relationship Id="rId28" Type="http://schemas.openxmlformats.org/officeDocument/2006/relationships/header" Target="header3.xml"/><Relationship Id="rId10" Type="http://schemas.openxmlformats.org/officeDocument/2006/relationships/hyperlink" Target="https://doi.org/10.1039/C6CS00636A" TargetMode="External"/><Relationship Id="rId19" Type="http://schemas.openxmlformats.org/officeDocument/2006/relationships/hyperlink" Target="https://doi.org/10.1038/nnano.2007.387"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1016/j.ejpb.2010.05.009" TargetMode="External"/><Relationship Id="rId14" Type="http://schemas.openxmlformats.org/officeDocument/2006/relationships/hyperlink" Target="https://doi.org/10.1016/j.mtbio.2022.100327" TargetMode="External"/><Relationship Id="rId22" Type="http://schemas.openxmlformats.org/officeDocument/2006/relationships/hyperlink" Target="https://doi.org/10.1038/natrevmats.2016.14"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433</TotalTime>
  <Pages>17</Pages>
  <Words>7642</Words>
  <Characters>43561</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SDI 1084</cp:lastModifiedBy>
  <cp:revision>97</cp:revision>
  <cp:lastPrinted>2026-05-21T07:41:00Z</cp:lastPrinted>
  <dcterms:created xsi:type="dcterms:W3CDTF">2026-05-04T07:59:00Z</dcterms:created>
  <dcterms:modified xsi:type="dcterms:W3CDTF">2026-05-22T10:18:00Z</dcterms:modified>
</cp:coreProperties>
</file>