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630A4" w14:textId="5AF6FA47" w:rsidR="00754C9A" w:rsidRDefault="007C29E0" w:rsidP="00441B6F">
      <w:pPr>
        <w:pStyle w:val="Title"/>
        <w:spacing w:after="0"/>
        <w:jc w:val="both"/>
        <w:rPr>
          <w:rFonts w:ascii="Arial" w:hAnsi="Arial" w:cs="Arial"/>
        </w:rPr>
      </w:pPr>
      <w:r w:rsidRPr="007C29E0">
        <w:rPr>
          <w:rFonts w:ascii="Arial" w:hAnsi="Arial" w:cs="Arial"/>
        </w:rPr>
        <w:t>Original Research Article</w:t>
      </w:r>
    </w:p>
    <w:p w14:paraId="595EDAA1" w14:textId="77777777" w:rsidR="007C29E0" w:rsidRDefault="007C29E0" w:rsidP="00441B6F">
      <w:pPr>
        <w:pStyle w:val="Title"/>
        <w:spacing w:after="0"/>
        <w:jc w:val="both"/>
        <w:rPr>
          <w:rFonts w:ascii="Arial" w:hAnsi="Arial" w:cs="Arial"/>
        </w:rPr>
      </w:pPr>
    </w:p>
    <w:p w14:paraId="4CA0555D" w14:textId="77777777" w:rsidR="007C29E0" w:rsidRDefault="007C29E0" w:rsidP="00441B6F">
      <w:pPr>
        <w:pStyle w:val="Title"/>
        <w:spacing w:after="0"/>
        <w:jc w:val="both"/>
        <w:rPr>
          <w:rFonts w:ascii="Arial" w:hAnsi="Arial" w:cs="Arial"/>
        </w:rPr>
      </w:pPr>
    </w:p>
    <w:p w14:paraId="2F1218A8" w14:textId="0F96F608" w:rsidR="00741C82" w:rsidRPr="00741C82" w:rsidRDefault="00741C82" w:rsidP="00741C82">
      <w:pPr>
        <w:pStyle w:val="Author"/>
        <w:spacing w:line="240" w:lineRule="auto"/>
        <w:rPr>
          <w:rFonts w:ascii="Arial" w:hAnsi="Arial" w:cs="Arial"/>
          <w:bCs/>
          <w:iCs/>
          <w:kern w:val="28"/>
          <w:sz w:val="36"/>
        </w:rPr>
      </w:pPr>
      <w:r w:rsidRPr="00741C82">
        <w:rPr>
          <w:rFonts w:ascii="Arial" w:hAnsi="Arial" w:cs="Arial"/>
          <w:bCs/>
          <w:iCs/>
          <w:kern w:val="28"/>
          <w:sz w:val="36"/>
        </w:rPr>
        <w:t xml:space="preserve">Antioxidant and Antibacterial Activities of Aqueous and Hydroethanolic Extracts from the Pericarp of </w:t>
      </w:r>
      <w:r w:rsidR="00CA16D7" w:rsidRPr="00CA16D7">
        <w:rPr>
          <w:rFonts w:ascii="Arial" w:hAnsi="Arial" w:cs="Arial"/>
          <w:bCs/>
          <w:i/>
          <w:iCs/>
          <w:kern w:val="28"/>
          <w:sz w:val="36"/>
        </w:rPr>
        <w:t xml:space="preserve">Garcinia </w:t>
      </w:r>
      <w:proofErr w:type="spellStart"/>
      <w:r w:rsidR="00CA16D7" w:rsidRPr="00CA16D7">
        <w:rPr>
          <w:rFonts w:ascii="Arial" w:hAnsi="Arial" w:cs="Arial"/>
          <w:bCs/>
          <w:i/>
          <w:iCs/>
          <w:kern w:val="28"/>
          <w:sz w:val="36"/>
        </w:rPr>
        <w:t>mangostana</w:t>
      </w:r>
      <w:proofErr w:type="spellEnd"/>
      <w:r w:rsidRPr="00741C82">
        <w:rPr>
          <w:rFonts w:ascii="Arial" w:hAnsi="Arial" w:cs="Arial"/>
          <w:bCs/>
          <w:iCs/>
          <w:kern w:val="28"/>
          <w:sz w:val="36"/>
        </w:rPr>
        <w:t xml:space="preserve"> L. (</w:t>
      </w:r>
      <w:proofErr w:type="spellStart"/>
      <w:r w:rsidRPr="00741C82">
        <w:rPr>
          <w:rFonts w:ascii="Arial" w:hAnsi="Arial" w:cs="Arial"/>
          <w:bCs/>
          <w:iCs/>
          <w:kern w:val="28"/>
          <w:sz w:val="36"/>
        </w:rPr>
        <w:t>Clusiaceae</w:t>
      </w:r>
      <w:proofErr w:type="spellEnd"/>
      <w:r w:rsidRPr="00741C82">
        <w:rPr>
          <w:rFonts w:ascii="Arial" w:hAnsi="Arial" w:cs="Arial"/>
          <w:bCs/>
          <w:iCs/>
          <w:kern w:val="28"/>
          <w:sz w:val="36"/>
        </w:rPr>
        <w:t>)</w:t>
      </w:r>
    </w:p>
    <w:p w14:paraId="6448A8FD" w14:textId="77777777" w:rsidR="00741C82" w:rsidRPr="000E12D9" w:rsidRDefault="00741C82" w:rsidP="00741C82">
      <w:pPr>
        <w:pStyle w:val="Heading1"/>
        <w:rPr>
          <w:rFonts w:asciiTheme="majorBidi" w:hAnsiTheme="majorBidi"/>
          <w:b w:val="0"/>
          <w:bCs/>
          <w:color w:val="000000" w:themeColor="text1"/>
          <w:sz w:val="24"/>
          <w:szCs w:val="24"/>
        </w:rPr>
      </w:pPr>
    </w:p>
    <w:p w14:paraId="71330328" w14:textId="77777777" w:rsidR="002C57D2" w:rsidRPr="00FB3A86" w:rsidRDefault="002C57D2" w:rsidP="00441B6F">
      <w:pPr>
        <w:pStyle w:val="Affiliation"/>
        <w:spacing w:after="0" w:line="240" w:lineRule="auto"/>
        <w:jc w:val="both"/>
        <w:rPr>
          <w:rFonts w:ascii="Arial" w:hAnsi="Arial" w:cs="Arial"/>
        </w:rPr>
      </w:pPr>
    </w:p>
    <w:p w14:paraId="4D0D1189" w14:textId="0CF9A9A1" w:rsidR="00B01FCD" w:rsidRPr="00FB3A86" w:rsidRDefault="00BF0CCB" w:rsidP="00441B6F">
      <w:pPr>
        <w:pStyle w:val="Copyright"/>
        <w:spacing w:after="0" w:line="240" w:lineRule="auto"/>
        <w:jc w:val="both"/>
        <w:rPr>
          <w:rFonts w:ascii="Arial" w:hAnsi="Arial" w:cs="Arial"/>
        </w:rPr>
        <w:sectPr w:rsidR="00B01FCD" w:rsidRPr="00FB3A86" w:rsidSect="007502A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BF95191" wp14:editId="7B412371">
                <wp:extent cx="5303520" cy="635"/>
                <wp:effectExtent l="11430" t="18415" r="9525" b="10160"/>
                <wp:docPr id="93691638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D27F19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966A64A" w14:textId="4110F8A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2061F7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ADE420F" w14:textId="77777777" w:rsidTr="001E44FE">
        <w:tc>
          <w:tcPr>
            <w:tcW w:w="9576" w:type="dxa"/>
            <w:shd w:val="clear" w:color="auto" w:fill="F2F2F2"/>
          </w:tcPr>
          <w:p w14:paraId="2C33D51E" w14:textId="7253E657" w:rsidR="00741C82" w:rsidRDefault="00741C82" w:rsidP="00741C82">
            <w:pPr>
              <w:pStyle w:val="Body"/>
              <w:spacing w:after="0"/>
              <w:rPr>
                <w:rFonts w:ascii="Arial" w:eastAsia="Calibri" w:hAnsi="Arial" w:cs="Arial"/>
                <w:szCs w:val="22"/>
              </w:rPr>
            </w:pPr>
            <w:r w:rsidRPr="001A5676">
              <w:rPr>
                <w:rFonts w:ascii="Arial" w:eastAsia="Calibri" w:hAnsi="Arial" w:cs="Arial"/>
                <w:b/>
                <w:bCs/>
                <w:szCs w:val="22"/>
              </w:rPr>
              <w:t>Aim:</w:t>
            </w:r>
            <w:r>
              <w:rPr>
                <w:rFonts w:ascii="Arial" w:eastAsia="Calibri" w:hAnsi="Arial" w:cs="Arial"/>
                <w:szCs w:val="22"/>
              </w:rPr>
              <w:t xml:space="preserve"> To </w:t>
            </w:r>
            <w:r w:rsidRPr="002504E7">
              <w:rPr>
                <w:rFonts w:ascii="Arial" w:eastAsia="Calibri" w:hAnsi="Arial" w:cs="Arial"/>
                <w:szCs w:val="22"/>
              </w:rPr>
              <w:t xml:space="preserve">carry out a phytochemical screening and </w:t>
            </w:r>
            <w:r>
              <w:rPr>
                <w:rFonts w:ascii="Arial" w:eastAsia="Calibri" w:hAnsi="Arial" w:cs="Arial"/>
                <w:szCs w:val="22"/>
              </w:rPr>
              <w:t xml:space="preserve">to </w:t>
            </w:r>
            <w:r w:rsidRPr="002504E7">
              <w:rPr>
                <w:rFonts w:ascii="Arial" w:eastAsia="Calibri" w:hAnsi="Arial" w:cs="Arial"/>
                <w:szCs w:val="22"/>
              </w:rPr>
              <w:t xml:space="preserve">evaluate the antioxidant and antibacterial activity of aqueous and </w:t>
            </w:r>
            <w:proofErr w:type="spellStart"/>
            <w:r w:rsidRPr="002504E7">
              <w:rPr>
                <w:rFonts w:ascii="Arial" w:eastAsia="Calibri" w:hAnsi="Arial" w:cs="Arial"/>
                <w:szCs w:val="22"/>
              </w:rPr>
              <w:t>hydroethanol</w:t>
            </w:r>
            <w:proofErr w:type="spellEnd"/>
            <w:r w:rsidRPr="002504E7">
              <w:rPr>
                <w:rFonts w:ascii="Arial" w:eastAsia="Calibri" w:hAnsi="Arial" w:cs="Arial"/>
                <w:szCs w:val="22"/>
              </w:rPr>
              <w:t xml:space="preserve"> extracts from the pericarp of the fruit of </w:t>
            </w:r>
            <w:r w:rsidR="00CA16D7" w:rsidRPr="00CA16D7">
              <w:rPr>
                <w:rFonts w:ascii="Arial" w:eastAsia="Calibri" w:hAnsi="Arial" w:cs="Arial"/>
                <w:i/>
                <w:iCs/>
                <w:szCs w:val="22"/>
              </w:rPr>
              <w:t xml:space="preserve">Garcinia </w:t>
            </w:r>
            <w:proofErr w:type="spellStart"/>
            <w:proofErr w:type="gramStart"/>
            <w:r w:rsidR="00CA16D7" w:rsidRPr="00CA16D7">
              <w:rPr>
                <w:rFonts w:ascii="Arial" w:eastAsia="Calibri" w:hAnsi="Arial" w:cs="Arial"/>
                <w:i/>
                <w:iCs/>
                <w:szCs w:val="22"/>
              </w:rPr>
              <w:t>mangostana</w:t>
            </w:r>
            <w:proofErr w:type="spellEnd"/>
            <w:r w:rsidR="00CA16D7" w:rsidRPr="00CA16D7">
              <w:rPr>
                <w:rFonts w:ascii="Arial" w:eastAsia="Calibri" w:hAnsi="Arial" w:cs="Arial"/>
                <w:i/>
                <w:iCs/>
                <w:szCs w:val="22"/>
              </w:rPr>
              <w:t xml:space="preserve"> </w:t>
            </w:r>
            <w:r w:rsidRPr="002504E7">
              <w:rPr>
                <w:rFonts w:ascii="Arial" w:eastAsia="Calibri" w:hAnsi="Arial" w:cs="Arial"/>
                <w:szCs w:val="22"/>
              </w:rPr>
              <w:t xml:space="preserve"> (</w:t>
            </w:r>
            <w:proofErr w:type="spellStart"/>
            <w:proofErr w:type="gramEnd"/>
            <w:r w:rsidRPr="002504E7">
              <w:rPr>
                <w:rFonts w:ascii="Arial" w:eastAsia="Calibri" w:hAnsi="Arial" w:cs="Arial"/>
                <w:szCs w:val="22"/>
              </w:rPr>
              <w:t>Clusiaceae</w:t>
            </w:r>
            <w:proofErr w:type="spellEnd"/>
            <w:r w:rsidRPr="002504E7">
              <w:rPr>
                <w:rFonts w:ascii="Arial" w:eastAsia="Calibri" w:hAnsi="Arial" w:cs="Arial"/>
                <w:szCs w:val="22"/>
              </w:rPr>
              <w:t xml:space="preserve">). </w:t>
            </w:r>
          </w:p>
          <w:p w14:paraId="3951D081" w14:textId="77777777" w:rsidR="00741C82" w:rsidRDefault="00741C82" w:rsidP="00741C82">
            <w:pPr>
              <w:pStyle w:val="Body"/>
              <w:spacing w:after="0"/>
              <w:rPr>
                <w:rFonts w:ascii="Arial" w:eastAsia="Calibri" w:hAnsi="Arial" w:cs="Arial"/>
                <w:szCs w:val="22"/>
              </w:rPr>
            </w:pPr>
          </w:p>
          <w:p w14:paraId="46320778" w14:textId="4B7EF4CE" w:rsidR="00741C82" w:rsidRDefault="00741C82" w:rsidP="00741C82">
            <w:pPr>
              <w:pStyle w:val="Body"/>
              <w:spacing w:after="0"/>
              <w:rPr>
                <w:rFonts w:ascii="Arial" w:eastAsia="Calibri" w:hAnsi="Arial" w:cs="Arial"/>
                <w:szCs w:val="22"/>
              </w:rPr>
            </w:pPr>
            <w:r w:rsidRPr="001A5676">
              <w:rPr>
                <w:rFonts w:ascii="Arial" w:eastAsia="Calibri" w:hAnsi="Arial" w:cs="Arial"/>
                <w:b/>
                <w:bCs/>
                <w:szCs w:val="22"/>
              </w:rPr>
              <w:t>Methodology:</w:t>
            </w:r>
            <w:r>
              <w:rPr>
                <w:rFonts w:ascii="Arial" w:eastAsia="Calibri" w:hAnsi="Arial" w:cs="Arial"/>
                <w:szCs w:val="22"/>
              </w:rPr>
              <w:t xml:space="preserve"> </w:t>
            </w:r>
            <w:r w:rsidRPr="002504E7">
              <w:rPr>
                <w:rFonts w:ascii="Arial" w:eastAsia="Calibri" w:hAnsi="Arial" w:cs="Arial"/>
                <w:szCs w:val="22"/>
              </w:rPr>
              <w:t xml:space="preserve">Phytochemical screening was carried out using colorimetric tests for qualitative analysis and spectrometric assays for quantitative analysis. Antioxidant activity was assessed by FRAP and DPPH methods. Antibacterial activity was determined using the Broth Microdilution technique on 4 bacterial strains including </w:t>
            </w:r>
            <w:r w:rsidR="00CA16D7" w:rsidRPr="00CA16D7">
              <w:rPr>
                <w:rFonts w:ascii="Arial" w:eastAsia="Calibri" w:hAnsi="Arial" w:cs="Arial"/>
                <w:i/>
                <w:iCs/>
                <w:szCs w:val="22"/>
              </w:rPr>
              <w:t>Enterobacter cloacae</w:t>
            </w:r>
            <w:r w:rsidRPr="002504E7">
              <w:rPr>
                <w:rFonts w:ascii="Arial" w:eastAsia="Calibri" w:hAnsi="Arial" w:cs="Arial"/>
                <w:szCs w:val="22"/>
              </w:rPr>
              <w:t xml:space="preserve">, </w:t>
            </w:r>
            <w:r w:rsidR="00CA16D7" w:rsidRPr="00CA16D7">
              <w:rPr>
                <w:rFonts w:ascii="Arial" w:eastAsia="Calibri" w:hAnsi="Arial" w:cs="Arial"/>
                <w:i/>
                <w:iCs/>
                <w:szCs w:val="22"/>
              </w:rPr>
              <w:t>S. aureus</w:t>
            </w:r>
            <w:r w:rsidRPr="002504E7">
              <w:rPr>
                <w:rFonts w:ascii="Arial" w:eastAsia="Calibri" w:hAnsi="Arial" w:cs="Arial"/>
                <w:szCs w:val="22"/>
              </w:rPr>
              <w:t xml:space="preserve">, </w:t>
            </w:r>
            <w:r w:rsidR="00BF0CCB" w:rsidRPr="00BF0CCB">
              <w:rPr>
                <w:rFonts w:ascii="Arial" w:eastAsia="Calibri" w:hAnsi="Arial" w:cs="Arial"/>
                <w:i/>
                <w:iCs/>
                <w:szCs w:val="22"/>
              </w:rPr>
              <w:t>Escherichia coli</w:t>
            </w:r>
            <w:r w:rsidRPr="002504E7">
              <w:rPr>
                <w:rFonts w:ascii="Arial" w:eastAsia="Calibri" w:hAnsi="Arial" w:cs="Arial"/>
                <w:szCs w:val="22"/>
              </w:rPr>
              <w:t xml:space="preserve">, </w:t>
            </w:r>
            <w:r w:rsidR="00CA16D7" w:rsidRPr="00CA16D7">
              <w:rPr>
                <w:rFonts w:ascii="Arial" w:eastAsia="Calibri" w:hAnsi="Arial" w:cs="Arial"/>
                <w:i/>
                <w:iCs/>
                <w:szCs w:val="22"/>
              </w:rPr>
              <w:t>Pseudomonas aeruginosa</w:t>
            </w:r>
            <w:r w:rsidRPr="002504E7">
              <w:rPr>
                <w:rFonts w:ascii="Arial" w:eastAsia="Calibri" w:hAnsi="Arial" w:cs="Arial"/>
                <w:szCs w:val="22"/>
              </w:rPr>
              <w:t>. The bacterial isolates sought came from samples analyzed at the Microbiology Laboratory of the University Clinics of the Mountains, purified on nutrient agar.</w:t>
            </w:r>
          </w:p>
          <w:p w14:paraId="65220E27" w14:textId="02446061" w:rsidR="00741C82" w:rsidRPr="002504E7" w:rsidRDefault="00741C82" w:rsidP="00741C82">
            <w:pPr>
              <w:pStyle w:val="Body"/>
              <w:spacing w:after="0"/>
              <w:rPr>
                <w:rFonts w:ascii="Arial" w:eastAsia="Calibri" w:hAnsi="Arial" w:cs="Arial"/>
                <w:szCs w:val="22"/>
              </w:rPr>
            </w:pPr>
            <w:r w:rsidRPr="001A5676">
              <w:rPr>
                <w:rFonts w:ascii="Arial" w:eastAsia="Calibri" w:hAnsi="Arial" w:cs="Arial"/>
                <w:b/>
                <w:bCs/>
                <w:szCs w:val="22"/>
              </w:rPr>
              <w:t>Results:</w:t>
            </w:r>
            <w:r>
              <w:rPr>
                <w:rFonts w:ascii="Arial" w:eastAsia="Calibri" w:hAnsi="Arial" w:cs="Arial"/>
                <w:szCs w:val="22"/>
              </w:rPr>
              <w:t xml:space="preserve"> </w:t>
            </w:r>
            <w:r w:rsidRPr="002504E7">
              <w:rPr>
                <w:rFonts w:ascii="Arial" w:eastAsia="Calibri" w:hAnsi="Arial" w:cs="Arial"/>
                <w:szCs w:val="22"/>
              </w:rPr>
              <w:t xml:space="preserve"> </w:t>
            </w:r>
            <w:r>
              <w:rPr>
                <w:rFonts w:ascii="Arial" w:eastAsia="Calibri" w:hAnsi="Arial" w:cs="Arial"/>
                <w:szCs w:val="22"/>
              </w:rPr>
              <w:t>E</w:t>
            </w:r>
            <w:r w:rsidRPr="002504E7">
              <w:rPr>
                <w:rFonts w:ascii="Arial" w:eastAsia="Calibri" w:hAnsi="Arial" w:cs="Arial"/>
                <w:szCs w:val="22"/>
              </w:rPr>
              <w:t xml:space="preserve">xtraction yields varied from 1% to 2.76%. The highest yield was obtained by </w:t>
            </w:r>
            <w:proofErr w:type="spellStart"/>
            <w:r w:rsidRPr="002504E7">
              <w:rPr>
                <w:rFonts w:ascii="Arial" w:eastAsia="Calibri" w:hAnsi="Arial" w:cs="Arial"/>
                <w:szCs w:val="22"/>
              </w:rPr>
              <w:t>hydroethanol</w:t>
            </w:r>
            <w:proofErr w:type="spellEnd"/>
            <w:r w:rsidRPr="002504E7">
              <w:rPr>
                <w:rFonts w:ascii="Arial" w:eastAsia="Calibri" w:hAnsi="Arial" w:cs="Arial"/>
                <w:szCs w:val="22"/>
              </w:rPr>
              <w:t xml:space="preserve"> maceration (2.76%), while the lowest was obtained by aqueous maceration (1%). Phytochemical screening revealed the presence of alkaloids, flavonoids, saponins, phenols, tannins and anthocyanins, with a higher concentration of total phenols in each extract. In addition, the </w:t>
            </w:r>
            <w:proofErr w:type="spellStart"/>
            <w:r w:rsidRPr="002504E7">
              <w:rPr>
                <w:rFonts w:ascii="Arial" w:eastAsia="Calibri" w:hAnsi="Arial" w:cs="Arial"/>
                <w:szCs w:val="22"/>
              </w:rPr>
              <w:t>hydroethanol</w:t>
            </w:r>
            <w:proofErr w:type="spellEnd"/>
            <w:r w:rsidRPr="002504E7">
              <w:rPr>
                <w:rFonts w:ascii="Arial" w:eastAsia="Calibri" w:hAnsi="Arial" w:cs="Arial"/>
                <w:szCs w:val="22"/>
              </w:rPr>
              <w:t xml:space="preserve"> extract showed the best anti-free radical activity particularly when measured using the DPPH method, where the IC50 of 15.71 µg/mL was lower than that obtained with </w:t>
            </w:r>
            <w:proofErr w:type="spellStart"/>
            <w:r w:rsidRPr="002504E7">
              <w:rPr>
                <w:rFonts w:ascii="Arial" w:eastAsia="Calibri" w:hAnsi="Arial" w:cs="Arial"/>
                <w:szCs w:val="22"/>
              </w:rPr>
              <w:t>butylhydroxy</w:t>
            </w:r>
            <w:proofErr w:type="spellEnd"/>
            <w:r w:rsidRPr="002504E7">
              <w:rPr>
                <w:rFonts w:ascii="Arial" w:eastAsia="Calibri" w:hAnsi="Arial" w:cs="Arial"/>
                <w:szCs w:val="22"/>
              </w:rPr>
              <w:t xml:space="preserve"> toluene extract (IC50 of 17.91 µg/mL). Although the opposite result </w:t>
            </w:r>
            <w:proofErr w:type="gramStart"/>
            <w:r w:rsidRPr="002504E7">
              <w:rPr>
                <w:rFonts w:ascii="Arial" w:eastAsia="Calibri" w:hAnsi="Arial" w:cs="Arial"/>
                <w:szCs w:val="22"/>
              </w:rPr>
              <w:t>were</w:t>
            </w:r>
            <w:proofErr w:type="gramEnd"/>
            <w:r w:rsidRPr="002504E7">
              <w:rPr>
                <w:rFonts w:ascii="Arial" w:eastAsia="Calibri" w:hAnsi="Arial" w:cs="Arial"/>
                <w:szCs w:val="22"/>
              </w:rPr>
              <w:t xml:space="preserve"> obtained using the FRAP method (IC50 of 18.97 and 15.82 µg/mL respectively), the IC50 value remained below 20 µg/mL indicating strong antioxidant activity of </w:t>
            </w:r>
            <w:proofErr w:type="spellStart"/>
            <w:r w:rsidRPr="002504E7">
              <w:rPr>
                <w:rFonts w:ascii="Arial" w:eastAsia="Calibri" w:hAnsi="Arial" w:cs="Arial"/>
                <w:szCs w:val="22"/>
              </w:rPr>
              <w:t>hydroethanol</w:t>
            </w:r>
            <w:proofErr w:type="spellEnd"/>
            <w:r w:rsidRPr="002504E7">
              <w:rPr>
                <w:rFonts w:ascii="Arial" w:eastAsia="Calibri" w:hAnsi="Arial" w:cs="Arial"/>
                <w:szCs w:val="22"/>
              </w:rPr>
              <w:t xml:space="preserve"> extract. aqueous decoction </w:t>
            </w:r>
            <w:proofErr w:type="gramStart"/>
            <w:r w:rsidRPr="002504E7">
              <w:rPr>
                <w:rFonts w:ascii="Arial" w:eastAsia="Calibri" w:hAnsi="Arial" w:cs="Arial"/>
                <w:szCs w:val="22"/>
              </w:rPr>
              <w:t>In</w:t>
            </w:r>
            <w:proofErr w:type="gramEnd"/>
            <w:r w:rsidRPr="002504E7">
              <w:rPr>
                <w:rFonts w:ascii="Arial" w:eastAsia="Calibri" w:hAnsi="Arial" w:cs="Arial"/>
                <w:szCs w:val="22"/>
              </w:rPr>
              <w:t xml:space="preserve"> parallel, the same </w:t>
            </w:r>
            <w:proofErr w:type="spellStart"/>
            <w:r w:rsidRPr="002504E7">
              <w:rPr>
                <w:rFonts w:ascii="Arial" w:eastAsia="Calibri" w:hAnsi="Arial" w:cs="Arial"/>
                <w:szCs w:val="22"/>
              </w:rPr>
              <w:t>hydroethanol</w:t>
            </w:r>
            <w:proofErr w:type="spellEnd"/>
            <w:r w:rsidRPr="002504E7">
              <w:rPr>
                <w:rFonts w:ascii="Arial" w:eastAsia="Calibri" w:hAnsi="Arial" w:cs="Arial"/>
                <w:szCs w:val="22"/>
              </w:rPr>
              <w:t xml:space="preserve"> extract showed strong inhibition of </w:t>
            </w:r>
            <w:r w:rsidR="00CA16D7" w:rsidRPr="00CA16D7">
              <w:rPr>
                <w:rFonts w:ascii="Arial" w:eastAsia="Calibri" w:hAnsi="Arial" w:cs="Arial"/>
                <w:i/>
                <w:iCs/>
                <w:szCs w:val="22"/>
              </w:rPr>
              <w:t>Enterobacter cloacae</w:t>
            </w:r>
            <w:r w:rsidRPr="002504E7">
              <w:rPr>
                <w:rFonts w:ascii="Arial" w:eastAsia="Calibri" w:hAnsi="Arial" w:cs="Arial"/>
                <w:szCs w:val="22"/>
              </w:rPr>
              <w:t xml:space="preserve"> (0.16µg/ml), </w:t>
            </w:r>
            <w:r w:rsidR="00CA16D7" w:rsidRPr="00CA16D7">
              <w:rPr>
                <w:rFonts w:ascii="Arial" w:eastAsia="Calibri" w:hAnsi="Arial" w:cs="Arial"/>
                <w:i/>
                <w:iCs/>
                <w:szCs w:val="22"/>
              </w:rPr>
              <w:t>S. aureus</w:t>
            </w:r>
            <w:r w:rsidRPr="002504E7">
              <w:rPr>
                <w:rFonts w:ascii="Arial" w:eastAsia="Calibri" w:hAnsi="Arial" w:cs="Arial"/>
                <w:szCs w:val="22"/>
              </w:rPr>
              <w:t xml:space="preserve"> (0.32µg/ml) and </w:t>
            </w:r>
            <w:r w:rsidR="00BF0CCB" w:rsidRPr="00BF0CCB">
              <w:rPr>
                <w:rFonts w:ascii="Arial" w:eastAsia="Calibri" w:hAnsi="Arial" w:cs="Arial"/>
                <w:i/>
                <w:iCs/>
                <w:szCs w:val="22"/>
              </w:rPr>
              <w:t>Escherichia coli</w:t>
            </w:r>
            <w:r w:rsidRPr="002504E7">
              <w:rPr>
                <w:rFonts w:ascii="Arial" w:eastAsia="Calibri" w:hAnsi="Arial" w:cs="Arial"/>
                <w:szCs w:val="22"/>
              </w:rPr>
              <w:t xml:space="preserve"> (0.64µg/ml), while </w:t>
            </w:r>
            <w:r w:rsidR="00CA16D7" w:rsidRPr="00CA16D7">
              <w:rPr>
                <w:rFonts w:ascii="Arial" w:eastAsia="Calibri" w:hAnsi="Arial" w:cs="Arial"/>
                <w:i/>
                <w:iCs/>
                <w:szCs w:val="22"/>
              </w:rPr>
              <w:t>Pseudomonas aeruginosa</w:t>
            </w:r>
            <w:r w:rsidRPr="002504E7">
              <w:rPr>
                <w:rFonts w:ascii="Arial" w:eastAsia="Calibri" w:hAnsi="Arial" w:cs="Arial"/>
                <w:szCs w:val="22"/>
              </w:rPr>
              <w:t xml:space="preserve"> was inhibited with a lower concentration 0.24µg/ml of aqueous decoction than the other extracts. </w:t>
            </w:r>
            <w:r w:rsidRPr="001A5676">
              <w:rPr>
                <w:rFonts w:ascii="Arial" w:eastAsia="Calibri" w:hAnsi="Arial" w:cs="Arial"/>
                <w:b/>
                <w:bCs/>
                <w:szCs w:val="22"/>
              </w:rPr>
              <w:t>Conclusion:</w:t>
            </w:r>
            <w:r>
              <w:rPr>
                <w:rFonts w:ascii="Arial" w:eastAsia="Calibri" w:hAnsi="Arial" w:cs="Arial"/>
                <w:szCs w:val="22"/>
              </w:rPr>
              <w:t xml:space="preserve"> </w:t>
            </w:r>
            <w:r w:rsidRPr="002504E7">
              <w:rPr>
                <w:rFonts w:ascii="Arial" w:eastAsia="Calibri" w:hAnsi="Arial" w:cs="Arial"/>
                <w:szCs w:val="22"/>
              </w:rPr>
              <w:t xml:space="preserve">Hydroethanolic extracts of </w:t>
            </w:r>
            <w:r w:rsidR="00CA16D7" w:rsidRPr="00CA16D7">
              <w:rPr>
                <w:rFonts w:ascii="Arial" w:eastAsia="Calibri" w:hAnsi="Arial" w:cs="Arial"/>
                <w:i/>
                <w:iCs/>
                <w:szCs w:val="22"/>
              </w:rPr>
              <w:t xml:space="preserve">Garcinia </w:t>
            </w:r>
            <w:proofErr w:type="spellStart"/>
            <w:proofErr w:type="gramStart"/>
            <w:r w:rsidR="00CA16D7" w:rsidRPr="00CA16D7">
              <w:rPr>
                <w:rFonts w:ascii="Arial" w:eastAsia="Calibri" w:hAnsi="Arial" w:cs="Arial"/>
                <w:i/>
                <w:iCs/>
                <w:szCs w:val="22"/>
              </w:rPr>
              <w:t>mangostana</w:t>
            </w:r>
            <w:proofErr w:type="spellEnd"/>
            <w:r w:rsidR="00CA16D7" w:rsidRPr="00CA16D7">
              <w:rPr>
                <w:rFonts w:ascii="Arial" w:eastAsia="Calibri" w:hAnsi="Arial" w:cs="Arial"/>
                <w:i/>
                <w:iCs/>
                <w:szCs w:val="22"/>
              </w:rPr>
              <w:t xml:space="preserve"> </w:t>
            </w:r>
            <w:r w:rsidRPr="002504E7">
              <w:rPr>
                <w:rFonts w:ascii="Arial" w:eastAsia="Calibri" w:hAnsi="Arial" w:cs="Arial"/>
                <w:szCs w:val="22"/>
              </w:rPr>
              <w:t xml:space="preserve"> pericarp</w:t>
            </w:r>
            <w:proofErr w:type="gramEnd"/>
            <w:r w:rsidRPr="002504E7">
              <w:rPr>
                <w:rFonts w:ascii="Arial" w:eastAsia="Calibri" w:hAnsi="Arial" w:cs="Arial"/>
                <w:szCs w:val="22"/>
              </w:rPr>
              <w:t xml:space="preserve"> possess antioxidant and antibacterial properties, justifying their use in traditional medicine. </w:t>
            </w:r>
          </w:p>
          <w:p w14:paraId="0EF2922B" w14:textId="251D0207" w:rsidR="00505F06" w:rsidRPr="00BA1B01" w:rsidRDefault="00505F06" w:rsidP="00441B6F">
            <w:pPr>
              <w:pStyle w:val="Body"/>
              <w:spacing w:after="0"/>
              <w:rPr>
                <w:rFonts w:ascii="Arial" w:eastAsia="Calibri" w:hAnsi="Arial" w:cs="Arial"/>
                <w:szCs w:val="22"/>
              </w:rPr>
            </w:pPr>
          </w:p>
        </w:tc>
      </w:tr>
    </w:tbl>
    <w:p w14:paraId="0B98E30A" w14:textId="77777777" w:rsidR="00636EB2" w:rsidRDefault="00636EB2" w:rsidP="00441B6F">
      <w:pPr>
        <w:pStyle w:val="Body"/>
        <w:spacing w:after="0"/>
        <w:rPr>
          <w:rFonts w:ascii="Arial" w:hAnsi="Arial" w:cs="Arial"/>
          <w:i/>
        </w:rPr>
      </w:pPr>
    </w:p>
    <w:p w14:paraId="034AA2D8" w14:textId="5FA7D628" w:rsidR="00A24E7E" w:rsidRDefault="00A24E7E" w:rsidP="00441B6F">
      <w:pPr>
        <w:pStyle w:val="Body"/>
        <w:spacing w:after="0"/>
        <w:rPr>
          <w:rFonts w:ascii="Arial" w:hAnsi="Arial" w:cs="Arial"/>
          <w:i/>
        </w:rPr>
      </w:pPr>
      <w:r>
        <w:rPr>
          <w:rFonts w:ascii="Arial" w:hAnsi="Arial" w:cs="Arial"/>
          <w:i/>
        </w:rPr>
        <w:t xml:space="preserve">Keywords: </w:t>
      </w:r>
      <w:r w:rsidR="00CA16D7" w:rsidRPr="00CA16D7">
        <w:rPr>
          <w:rFonts w:ascii="Arial" w:hAnsi="Arial" w:cs="Arial"/>
          <w:i/>
          <w:iCs/>
        </w:rPr>
        <w:t xml:space="preserve">Garcinia </w:t>
      </w:r>
      <w:proofErr w:type="spellStart"/>
      <w:proofErr w:type="gramStart"/>
      <w:r w:rsidR="00CA16D7" w:rsidRPr="00CA16D7">
        <w:rPr>
          <w:rFonts w:ascii="Arial" w:hAnsi="Arial" w:cs="Arial"/>
          <w:i/>
          <w:iCs/>
        </w:rPr>
        <w:t>mangostana</w:t>
      </w:r>
      <w:proofErr w:type="spellEnd"/>
      <w:r w:rsidR="00CA16D7" w:rsidRPr="00CA16D7">
        <w:rPr>
          <w:rFonts w:ascii="Arial" w:hAnsi="Arial" w:cs="Arial"/>
          <w:i/>
          <w:iCs/>
        </w:rPr>
        <w:t xml:space="preserve"> </w:t>
      </w:r>
      <w:r w:rsidR="001A5676" w:rsidRPr="001A5676">
        <w:rPr>
          <w:rFonts w:ascii="Arial" w:hAnsi="Arial" w:cs="Arial"/>
          <w:i/>
        </w:rPr>
        <w:t>,</w:t>
      </w:r>
      <w:proofErr w:type="gramEnd"/>
      <w:r w:rsidR="001A5676" w:rsidRPr="001A5676">
        <w:rPr>
          <w:rFonts w:ascii="Arial" w:hAnsi="Arial" w:cs="Arial"/>
          <w:i/>
        </w:rPr>
        <w:t xml:space="preserve"> antioxidant activity, antibacterial activity phytochemical screening, pericarp</w:t>
      </w:r>
      <w:r w:rsidR="001A5676" w:rsidRPr="002504E7">
        <w:rPr>
          <w:rFonts w:ascii="Arial" w:eastAsia="Calibri" w:hAnsi="Arial" w:cs="Arial"/>
          <w:szCs w:val="22"/>
        </w:rPr>
        <w:t>.</w:t>
      </w:r>
    </w:p>
    <w:p w14:paraId="6155F263" w14:textId="77777777" w:rsidR="00790ADA" w:rsidRDefault="00790ADA" w:rsidP="00441B6F">
      <w:pPr>
        <w:pStyle w:val="Body"/>
        <w:spacing w:after="0"/>
        <w:rPr>
          <w:rFonts w:ascii="Arial" w:hAnsi="Arial" w:cs="Arial"/>
          <w:i/>
        </w:rPr>
      </w:pPr>
    </w:p>
    <w:p w14:paraId="373852A8" w14:textId="077A4265"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6C7D332" w14:textId="77777777" w:rsidR="00790ADA" w:rsidRPr="00FB3A86" w:rsidRDefault="00790ADA" w:rsidP="00441B6F">
      <w:pPr>
        <w:pStyle w:val="AbstHead"/>
        <w:spacing w:after="0"/>
        <w:jc w:val="both"/>
        <w:rPr>
          <w:rFonts w:ascii="Arial" w:hAnsi="Arial" w:cs="Arial"/>
        </w:rPr>
      </w:pPr>
    </w:p>
    <w:p w14:paraId="368CAFE7" w14:textId="4D85D5CC" w:rsidR="001A5676" w:rsidRPr="001A5676" w:rsidRDefault="001A5676" w:rsidP="001A5676">
      <w:pPr>
        <w:pStyle w:val="Body"/>
        <w:spacing w:after="0"/>
        <w:rPr>
          <w:rFonts w:ascii="Arial" w:eastAsia="Calibri" w:hAnsi="Arial" w:cs="Arial"/>
          <w:szCs w:val="22"/>
        </w:rPr>
      </w:pPr>
      <w:r w:rsidRPr="001A5676">
        <w:rPr>
          <w:rFonts w:ascii="Arial" w:eastAsia="Calibri" w:hAnsi="Arial" w:cs="Arial"/>
          <w:szCs w:val="22"/>
        </w:rPr>
        <w:t xml:space="preserve">Oxidative stress is included in a wide spectrum of diseases that have a significant impact on population health </w:t>
      </w:r>
      <w:r w:rsidRPr="001A5676">
        <w:rPr>
          <w:rFonts w:ascii="Arial" w:eastAsia="Calibri" w:hAnsi="Arial" w:cs="Arial"/>
          <w:szCs w:val="22"/>
        </w:rPr>
        <w:fldChar w:fldCharType="begin"/>
      </w:r>
      <w:r w:rsidR="00CA16D7">
        <w:rPr>
          <w:rFonts w:ascii="Arial" w:eastAsia="Calibri" w:hAnsi="Arial" w:cs="Arial"/>
          <w:szCs w:val="22"/>
        </w:rPr>
        <w:instrText xml:space="preserve"> ADDIN EN.CITE &lt;EndNote&gt;&lt;Cite&gt;&lt;Author&gt;Radia&lt;/Author&gt;&lt;Year&gt;2014&lt;/Year&gt;&lt;RecNum&gt;1&lt;/RecNum&gt;&lt;DisplayText&gt;(Radia, 2014)&lt;/DisplayText&gt;&lt;record&gt;&lt;rec-number&gt;1&lt;/rec-number&gt;&lt;foreign-keys&gt;&lt;key app="EN" db-id="xd20ava0ss0z06e9fzmxda9qwp2twsza5092" timestamp="1774870881"&gt;1&lt;/key&gt;&lt;/foreign-keys&gt;&lt;ref-type name="Thesis"&gt;32&lt;/ref-type&gt;&lt;contributors&gt;&lt;authors&gt;&lt;author&gt;Radia, L.&lt;/author&gt;&lt;/authors&gt;&lt;/contributors&gt;&lt;titles&gt;&lt;title&gt;Evaluation in-vitro des activités anti-oxydante et anti-inflammatoire des huiles essentielles d&amp;apos; Origanum glandulosum et Rosmarinus officinalis seules et en combinaison&lt;/title&gt;&lt;short-title&gt;Mémoire de Master&lt;/short-title&gt;&lt;/titles&gt;&lt;dates&gt;&lt;year&gt;2014&lt;/year&gt;&lt;/dates&gt;&lt;pub-location&gt;Algérie&lt;/pub-location&gt;&lt;publisher&gt;Université Abderrahmane Mira de Béjaia&lt;/publisher&gt;&lt;urls&gt;&lt;/urls&gt;&lt;/record&gt;&lt;/Cite&gt;&lt;/EndNote&gt;</w:instrText>
      </w:r>
      <w:r w:rsidRPr="001A5676">
        <w:rPr>
          <w:rFonts w:ascii="Arial" w:eastAsia="Calibri" w:hAnsi="Arial" w:cs="Arial"/>
          <w:szCs w:val="22"/>
        </w:rPr>
        <w:fldChar w:fldCharType="separate"/>
      </w:r>
      <w:r w:rsidR="00CA16D7">
        <w:rPr>
          <w:rFonts w:ascii="Arial" w:eastAsia="Calibri" w:hAnsi="Arial" w:cs="Arial"/>
          <w:noProof/>
          <w:szCs w:val="22"/>
        </w:rPr>
        <w:t>(Radia, 2014)</w:t>
      </w:r>
      <w:r w:rsidRPr="001A5676">
        <w:rPr>
          <w:rFonts w:ascii="Arial" w:eastAsia="Calibri" w:hAnsi="Arial" w:cs="Arial"/>
          <w:szCs w:val="22"/>
        </w:rPr>
        <w:fldChar w:fldCharType="end"/>
      </w:r>
      <w:r w:rsidRPr="001A5676">
        <w:rPr>
          <w:rFonts w:ascii="Arial" w:eastAsia="Calibri" w:hAnsi="Arial" w:cs="Arial"/>
          <w:szCs w:val="22"/>
        </w:rPr>
        <w:t xml:space="preserve">. It is implicated in various pathologies such as cardiovascular diseases, cancers, diabetes, neurodegenerative diseases (Alzheimer's, Parkinson's), and the aging process </w:t>
      </w:r>
      <w:r w:rsidRPr="001A5676">
        <w:rPr>
          <w:rFonts w:ascii="Arial" w:eastAsia="Calibri" w:hAnsi="Arial" w:cs="Arial"/>
          <w:szCs w:val="22"/>
        </w:rPr>
        <w:fldChar w:fldCharType="begin"/>
      </w:r>
      <w:r w:rsidR="00CA16D7">
        <w:rPr>
          <w:rFonts w:ascii="Arial" w:eastAsia="Calibri" w:hAnsi="Arial" w:cs="Arial"/>
          <w:szCs w:val="22"/>
        </w:rPr>
        <w:instrText xml:space="preserve"> ADDIN EN.CITE &lt;EndNote&gt;&lt;Cite&gt;&lt;Author&gt;Favier&lt;/Author&gt;&lt;Year&gt;2003&lt;/Year&gt;&lt;RecNum&gt;2&lt;/RecNum&gt;&lt;DisplayText&gt;(Favier, 2003)&lt;/DisplayText&gt;&lt;record&gt;&lt;rec-number&gt;2&lt;/rec-number&gt;&lt;foreign-keys&gt;&lt;key app="EN" db-id="xd20ava0ss0z06e9fzmxda9qwp2twsza5092" timestamp="1774870881"&gt;2&lt;/key&gt;&lt;/foreign-keys&gt;&lt;ref-type name="Journal Article"&gt;17&lt;/ref-type&gt;&lt;contributors&gt;&lt;authors&gt;&lt;author&gt;Favier, A.&lt;/author&gt;&lt;/authors&gt;&lt;/contributors&gt;&lt;titles&gt;&lt;title&gt;Stress oxydant et pathologies humaines&lt;/title&gt;&lt;secondary-title&gt;Annales Pharmaceutiques Françaises&lt;/secondary-title&gt;&lt;/titles&gt;&lt;periodical&gt;&lt;full-title&gt;Annales Pharmaceutiques Françaises&lt;/full-title&gt;&lt;/periodical&gt;&lt;pages&gt;390-396&lt;/pages&gt;&lt;volume&gt;64&lt;/volume&gt;&lt;dates&gt;&lt;year&gt;2003&lt;/year&gt;&lt;/dates&gt;&lt;urls&gt;&lt;/urls&gt;&lt;/record&gt;&lt;/Cite&gt;&lt;/EndNote&gt;</w:instrText>
      </w:r>
      <w:r w:rsidRPr="001A5676">
        <w:rPr>
          <w:rFonts w:ascii="Arial" w:eastAsia="Calibri" w:hAnsi="Arial" w:cs="Arial"/>
          <w:szCs w:val="22"/>
        </w:rPr>
        <w:fldChar w:fldCharType="separate"/>
      </w:r>
      <w:r w:rsidR="00CA16D7">
        <w:rPr>
          <w:rFonts w:ascii="Arial" w:eastAsia="Calibri" w:hAnsi="Arial" w:cs="Arial"/>
          <w:noProof/>
          <w:szCs w:val="22"/>
        </w:rPr>
        <w:t>(Favier, 2003)</w:t>
      </w:r>
      <w:r w:rsidRPr="001A5676">
        <w:rPr>
          <w:rFonts w:ascii="Arial" w:eastAsia="Calibri" w:hAnsi="Arial" w:cs="Arial"/>
          <w:szCs w:val="22"/>
        </w:rPr>
        <w:fldChar w:fldCharType="end"/>
      </w:r>
      <w:r w:rsidRPr="001A5676">
        <w:rPr>
          <w:rFonts w:ascii="Arial" w:eastAsia="Calibri" w:hAnsi="Arial" w:cs="Arial"/>
          <w:szCs w:val="22"/>
        </w:rPr>
        <w:t>. Indeed, oxidative stress is caused by the presence of an excess of free radicals, the generation of which is stopped by antioxidant substances. However, synthetic antioxidants such as butylated hydroxytoluene (BHT) can be responsible for liver damage</w:t>
      </w:r>
      <w:bookmarkStart w:id="1" w:name="_Hlk135961701"/>
      <w:r w:rsidRPr="001A5676">
        <w:rPr>
          <w:rFonts w:ascii="Arial" w:eastAsia="Calibri" w:hAnsi="Arial" w:cs="Arial"/>
          <w:szCs w:val="22"/>
        </w:rPr>
        <w:fldChar w:fldCharType="begin"/>
      </w:r>
      <w:r w:rsidR="00CA16D7">
        <w:rPr>
          <w:rFonts w:ascii="Arial" w:eastAsia="Calibri" w:hAnsi="Arial" w:cs="Arial"/>
          <w:szCs w:val="22"/>
        </w:rPr>
        <w:instrText xml:space="preserve"> ADDIN EN.CITE &lt;EndNote&gt;&lt;Cite&gt;&lt;Author&gt;Nakagawa&lt;/Author&gt;&lt;Year&gt;1984&lt;/Year&gt;&lt;RecNum&gt;287&lt;/RecNum&gt;&lt;DisplayText&gt;(Nakagawa, Tayama, Nakao, &amp;amp; Hiraga, 1984)&lt;/DisplayText&gt;&lt;record&gt;&lt;rec-number&gt;287&lt;/rec-number&gt;&lt;foreign-keys&gt;&lt;key app="EN" db-id="dzxvrd2t1ta0pceprrspdwttdvz259pz9wx0" timestamp="1772740503"&gt;287&lt;/key&gt;&lt;/foreign-keys&gt;&lt;ref-type name="Journal Article"&gt;17&lt;/ref-type&gt;&lt;contributors&gt;&lt;authors&gt;&lt;author&gt;Nakagawa, Yoshio&lt;/author&gt;&lt;author&gt;Tayama, Kuniaki&lt;/author&gt;&lt;author&gt;Nakao, Toshiko&lt;/author&gt;&lt;author&gt;Hiraga, Kogo&lt;/author&gt;&lt;/authors&gt;&lt;/contributors&gt;&lt;titles&gt;&lt;title&gt;On the mechanism of butylated hydroxytoluene-induced hepatic toxicity in rats&lt;/title&gt;&lt;secondary-title&gt;Biochemical pharmacology&lt;/secondary-title&gt;&lt;/titles&gt;&lt;periodical&gt;&lt;full-title&gt;Biochemical pharmacology&lt;/full-title&gt;&lt;/periodical&gt;&lt;pages&gt;2669-2674&lt;/pages&gt;&lt;volume&gt;33&lt;/volume&gt;&lt;number&gt;16&lt;/number&gt;&lt;dates&gt;&lt;year&gt;1984&lt;/year&gt;&lt;/dates&gt;&lt;isbn&gt;0006-2952&lt;/isbn&gt;&lt;urls&gt;&lt;/urls&gt;&lt;/record&gt;&lt;/Cite&gt;&lt;/EndNote&gt;</w:instrText>
      </w:r>
      <w:r w:rsidRPr="001A5676">
        <w:rPr>
          <w:rFonts w:ascii="Arial" w:eastAsia="Calibri" w:hAnsi="Arial" w:cs="Arial"/>
          <w:szCs w:val="22"/>
        </w:rPr>
        <w:fldChar w:fldCharType="separate"/>
      </w:r>
      <w:r w:rsidR="00CA16D7">
        <w:rPr>
          <w:rFonts w:ascii="Arial" w:eastAsia="Calibri" w:hAnsi="Arial" w:cs="Arial"/>
          <w:noProof/>
          <w:szCs w:val="22"/>
        </w:rPr>
        <w:t>(Nakagawa, Tayama, Nakao, &amp; Hiraga, 1984)</w:t>
      </w:r>
      <w:r w:rsidRPr="001A5676">
        <w:rPr>
          <w:rFonts w:ascii="Arial" w:eastAsia="Calibri" w:hAnsi="Arial" w:cs="Arial"/>
          <w:szCs w:val="22"/>
        </w:rPr>
        <w:fldChar w:fldCharType="end"/>
      </w:r>
      <w:r w:rsidRPr="001A5676">
        <w:rPr>
          <w:rFonts w:ascii="Arial" w:eastAsia="Calibri" w:hAnsi="Arial" w:cs="Arial"/>
          <w:szCs w:val="22"/>
        </w:rPr>
        <w:t>.</w:t>
      </w:r>
      <w:bookmarkEnd w:id="1"/>
    </w:p>
    <w:p w14:paraId="4E4508BC" w14:textId="58459855" w:rsidR="001A5676" w:rsidRPr="001A5676" w:rsidRDefault="001A5676" w:rsidP="001A5676">
      <w:pPr>
        <w:pStyle w:val="Body"/>
        <w:spacing w:after="0"/>
        <w:rPr>
          <w:rFonts w:ascii="Arial" w:eastAsia="Calibri" w:hAnsi="Arial" w:cs="Arial"/>
          <w:szCs w:val="22"/>
        </w:rPr>
      </w:pPr>
      <w:r w:rsidRPr="001A5676">
        <w:rPr>
          <w:rFonts w:ascii="Arial" w:eastAsia="Calibri" w:hAnsi="Arial" w:cs="Arial"/>
          <w:szCs w:val="22"/>
        </w:rPr>
        <w:t xml:space="preserve">Furthermore, controlling bacterial infections is becoming increasingly complex. In addition to the phenomenon of multidrug resistance, access to synthetic antibiotics is extremely difficult for poor populations due to their high cost </w:t>
      </w:r>
      <w:r w:rsidRPr="001A5676">
        <w:rPr>
          <w:rFonts w:ascii="Arial" w:eastAsia="Calibri" w:hAnsi="Arial" w:cs="Arial"/>
          <w:szCs w:val="22"/>
        </w:rPr>
        <w:fldChar w:fldCharType="begin"/>
      </w:r>
      <w:r w:rsidR="00CA16D7">
        <w:rPr>
          <w:rFonts w:ascii="Arial" w:eastAsia="Calibri" w:hAnsi="Arial" w:cs="Arial"/>
          <w:szCs w:val="22"/>
        </w:rPr>
        <w:instrText xml:space="preserve"> ADDIN EN.CITE &lt;EndNote&gt;&lt;Cite&gt;&lt;Author&gt;Rolland&lt;/Author&gt;&lt;Year&gt;2004&lt;/Year&gt;&lt;RecNum&gt;4&lt;/RecNum&gt;&lt;DisplayText&gt;(Rolland, 2004)&lt;/DisplayText&gt;&lt;record&gt;&lt;rec-number&gt;4&lt;/rec-number&gt;&lt;foreign-keys&gt;&lt;key app="EN" db-id="xd20ava0ss0z06e9fzmxda9qwp2twsza5092" timestamp="1774870881"&gt;4&lt;/key&gt;&lt;/foreign-keys&gt;&lt;ref-type name="Journal Article"&gt;17&lt;/ref-type&gt;&lt;contributors&gt;&lt;authors&gt;&lt;author&gt;Rolland, Y.&lt;/author&gt;&lt;/authors&gt;&lt;/contributors&gt;&lt;titles&gt;&lt;title&gt;Antioxydants naturels végétaux&lt;/title&gt;&lt;secondary-title&gt;Oilseeds and fats, Crops and Lipids&lt;/secondary-title&gt;&lt;/titles&gt;&lt;periodical&gt;&lt;full-title&gt;Oilseeds and fats, Crops and Lipids&lt;/full-title&gt;&lt;/periodical&gt;&lt;pages&gt;41&lt;/pages&gt;&lt;volume&gt;11&lt;/volume&gt;&lt;number&gt;6&lt;/number&gt;&lt;dates&gt;&lt;year&gt;2004&lt;/year&gt;&lt;/dates&gt;&lt;urls&gt;&lt;/urls&gt;&lt;/record&gt;&lt;/Cite&gt;&lt;/EndNote&gt;</w:instrText>
      </w:r>
      <w:r w:rsidRPr="001A5676">
        <w:rPr>
          <w:rFonts w:ascii="Arial" w:eastAsia="Calibri" w:hAnsi="Arial" w:cs="Arial"/>
          <w:szCs w:val="22"/>
        </w:rPr>
        <w:fldChar w:fldCharType="separate"/>
      </w:r>
      <w:r w:rsidR="00CA16D7">
        <w:rPr>
          <w:rFonts w:ascii="Arial" w:eastAsia="Calibri" w:hAnsi="Arial" w:cs="Arial"/>
          <w:noProof/>
          <w:szCs w:val="22"/>
        </w:rPr>
        <w:t>(Rolland, 2004)</w:t>
      </w:r>
      <w:r w:rsidRPr="001A5676">
        <w:rPr>
          <w:rFonts w:ascii="Arial" w:eastAsia="Calibri" w:hAnsi="Arial" w:cs="Arial"/>
          <w:szCs w:val="22"/>
        </w:rPr>
        <w:fldChar w:fldCharType="end"/>
      </w:r>
      <w:r w:rsidRPr="001A5676">
        <w:rPr>
          <w:rFonts w:ascii="Arial" w:eastAsia="Calibri" w:hAnsi="Arial" w:cs="Arial"/>
          <w:szCs w:val="22"/>
        </w:rPr>
        <w:t>. Faced with these situations, people are increasingly turning to medicinal plants for treatment because of their effectiveness, accessibility, and availability. Thus, traditional medicine could be an effective complement in managing oxidative stress and infectious diseases.</w:t>
      </w:r>
    </w:p>
    <w:p w14:paraId="496CE9A4" w14:textId="6A445221" w:rsidR="001A5676" w:rsidRPr="001A5676" w:rsidRDefault="001A5676" w:rsidP="001A5676">
      <w:pPr>
        <w:pStyle w:val="Body"/>
        <w:spacing w:after="0"/>
        <w:rPr>
          <w:rFonts w:ascii="Arial" w:eastAsia="Calibri" w:hAnsi="Arial" w:cs="Arial"/>
          <w:szCs w:val="22"/>
        </w:rPr>
      </w:pPr>
      <w:r w:rsidRPr="001A5676">
        <w:rPr>
          <w:rFonts w:ascii="Arial" w:eastAsia="Calibri" w:hAnsi="Arial" w:cs="Arial"/>
          <w:szCs w:val="22"/>
        </w:rPr>
        <w:t xml:space="preserve">More than 80% of the African population uses for their healthcare needs, through </w:t>
      </w:r>
      <w:proofErr w:type="spellStart"/>
      <w:r w:rsidRPr="001A5676">
        <w:rPr>
          <w:rFonts w:ascii="Arial" w:eastAsia="Calibri" w:hAnsi="Arial" w:cs="Arial"/>
          <w:szCs w:val="22"/>
        </w:rPr>
        <w:t>pharmacotoxicological</w:t>
      </w:r>
      <w:proofErr w:type="spellEnd"/>
      <w:r w:rsidRPr="001A5676">
        <w:rPr>
          <w:rFonts w:ascii="Arial" w:eastAsia="Calibri" w:hAnsi="Arial" w:cs="Arial"/>
          <w:szCs w:val="22"/>
        </w:rPr>
        <w:t xml:space="preserve"> and chemical studies </w:t>
      </w:r>
      <w:r w:rsidRPr="001A5676">
        <w:rPr>
          <w:rFonts w:ascii="Arial" w:eastAsia="Calibri" w:hAnsi="Arial" w:cs="Arial"/>
          <w:szCs w:val="22"/>
        </w:rPr>
        <w:fldChar w:fldCharType="begin"/>
      </w:r>
      <w:r w:rsidR="00CA16D7">
        <w:rPr>
          <w:rFonts w:ascii="Arial" w:eastAsia="Calibri" w:hAnsi="Arial" w:cs="Arial"/>
          <w:szCs w:val="22"/>
        </w:rPr>
        <w:instrText xml:space="preserve"> ADDIN EN.CITE &lt;EndNote&gt;&lt;Cite&gt;&lt;Author&gt;Blé Marcel&lt;/Author&gt;&lt;Year&gt;2010&lt;/Year&gt;&lt;RecNum&gt;6&lt;/RecNum&gt;&lt;DisplayText&gt;(Blé Marcel, 2010)&lt;/DisplayText&gt;&lt;record&gt;&lt;rec-number&gt;6&lt;/rec-number&gt;&lt;foreign-keys&gt;&lt;key app="EN" db-id="xd20ava0ss0z06e9fzmxda9qwp2twsza5092" timestamp="1774870881"&gt;6&lt;/key&gt;&lt;/foreign-keys&gt;&lt;ref-type name="Journal Article"&gt;17&lt;/ref-type&gt;&lt;contributors&gt;&lt;authors&gt;&lt;author&gt;Blé Marcel, Y.&lt;/author&gt;&lt;/authors&gt;&lt;/contributors&gt;&lt;titles&gt;&lt;title&gt;Rôle de l’anthropologue dans la revalorisation de la médecine traditionnelle Africaine&lt;/title&gt;&lt;secondary-title&gt;Recherches qualitatives&lt;/secondary-title&gt;&lt;/titles&gt;&lt;periodical&gt;&lt;full-title&gt;Recherches qualitatives&lt;/full-title&gt;&lt;/periodical&gt;&lt;pages&gt;57-67&lt;/pages&gt;&lt;volume&gt;29&lt;/volume&gt;&lt;number&gt;2&lt;/number&gt;&lt;dates&gt;&lt;year&gt;2010&lt;/year&gt;&lt;/dates&gt;&lt;urls&gt;&lt;/urls&gt;&lt;/record&gt;&lt;/Cite&gt;&lt;/EndNote&gt;</w:instrText>
      </w:r>
      <w:r w:rsidRPr="001A5676">
        <w:rPr>
          <w:rFonts w:ascii="Arial" w:eastAsia="Calibri" w:hAnsi="Arial" w:cs="Arial"/>
          <w:szCs w:val="22"/>
        </w:rPr>
        <w:fldChar w:fldCharType="separate"/>
      </w:r>
      <w:r w:rsidR="00CA16D7">
        <w:rPr>
          <w:rFonts w:ascii="Arial" w:eastAsia="Calibri" w:hAnsi="Arial" w:cs="Arial"/>
          <w:noProof/>
          <w:szCs w:val="22"/>
        </w:rPr>
        <w:t>(Blé Marcel, 2010)</w:t>
      </w:r>
      <w:r w:rsidRPr="001A5676">
        <w:rPr>
          <w:rFonts w:ascii="Arial" w:eastAsia="Calibri" w:hAnsi="Arial" w:cs="Arial"/>
          <w:szCs w:val="22"/>
        </w:rPr>
        <w:fldChar w:fldCharType="end"/>
      </w:r>
      <w:r w:rsidRPr="001A5676">
        <w:rPr>
          <w:rFonts w:ascii="Arial" w:eastAsia="Calibri" w:hAnsi="Arial" w:cs="Arial"/>
          <w:szCs w:val="22"/>
        </w:rPr>
        <w:t xml:space="preserve">. To this end, based on several studies, numerous plants have demonstrated antioxidant and antibacterial activity, such as the fruit of </w:t>
      </w:r>
      <w:r w:rsidR="00CA16D7" w:rsidRPr="00CA16D7">
        <w:rPr>
          <w:rFonts w:ascii="Arial" w:eastAsia="Calibri" w:hAnsi="Arial" w:cs="Arial"/>
          <w:i/>
          <w:iCs/>
          <w:szCs w:val="22"/>
        </w:rPr>
        <w:t xml:space="preserve">Garcinia </w:t>
      </w:r>
      <w:proofErr w:type="spellStart"/>
      <w:proofErr w:type="gramStart"/>
      <w:r w:rsidR="00CA16D7" w:rsidRPr="00CA16D7">
        <w:rPr>
          <w:rFonts w:ascii="Arial" w:eastAsia="Calibri" w:hAnsi="Arial" w:cs="Arial"/>
          <w:i/>
          <w:iCs/>
          <w:szCs w:val="22"/>
        </w:rPr>
        <w:t>mangostana</w:t>
      </w:r>
      <w:proofErr w:type="spellEnd"/>
      <w:r w:rsidR="00CA16D7" w:rsidRPr="00CA16D7">
        <w:rPr>
          <w:rFonts w:ascii="Arial" w:eastAsia="Calibri" w:hAnsi="Arial" w:cs="Arial"/>
          <w:i/>
          <w:iCs/>
          <w:szCs w:val="22"/>
        </w:rPr>
        <w:t xml:space="preserve"> </w:t>
      </w:r>
      <w:r w:rsidRPr="001A5676">
        <w:rPr>
          <w:rFonts w:ascii="Arial" w:eastAsia="Calibri" w:hAnsi="Arial" w:cs="Arial"/>
          <w:szCs w:val="22"/>
        </w:rPr>
        <w:t xml:space="preserve"> .</w:t>
      </w:r>
      <w:proofErr w:type="gramEnd"/>
    </w:p>
    <w:p w14:paraId="724C0E25" w14:textId="284BFA21" w:rsidR="001A5676" w:rsidRPr="001A5676" w:rsidRDefault="001A5676" w:rsidP="001A5676">
      <w:pPr>
        <w:pStyle w:val="Body"/>
        <w:spacing w:after="0"/>
        <w:rPr>
          <w:rFonts w:ascii="Arial" w:eastAsia="Calibri" w:hAnsi="Arial" w:cs="Arial"/>
          <w:szCs w:val="22"/>
        </w:rPr>
      </w:pPr>
      <w:r w:rsidRPr="001A5676">
        <w:rPr>
          <w:rFonts w:ascii="Arial" w:eastAsia="Calibri" w:hAnsi="Arial" w:cs="Arial"/>
          <w:szCs w:val="22"/>
        </w:rPr>
        <w:t xml:space="preserve">The </w:t>
      </w:r>
      <w:proofErr w:type="spellStart"/>
      <w:r w:rsidRPr="001A5676">
        <w:rPr>
          <w:rFonts w:ascii="Arial" w:eastAsia="Calibri" w:hAnsi="Arial" w:cs="Arial"/>
          <w:szCs w:val="22"/>
        </w:rPr>
        <w:t>mangosteen</w:t>
      </w:r>
      <w:proofErr w:type="spellEnd"/>
      <w:r w:rsidRPr="001A5676">
        <w:rPr>
          <w:rFonts w:ascii="Arial" w:eastAsia="Calibri" w:hAnsi="Arial" w:cs="Arial"/>
          <w:szCs w:val="22"/>
        </w:rPr>
        <w:t xml:space="preserve"> (</w:t>
      </w:r>
      <w:r w:rsidR="00CA16D7" w:rsidRPr="00CA16D7">
        <w:rPr>
          <w:rFonts w:ascii="Arial" w:eastAsia="Calibri" w:hAnsi="Arial" w:cs="Arial"/>
          <w:i/>
          <w:iCs/>
          <w:szCs w:val="22"/>
        </w:rPr>
        <w:t xml:space="preserve">Garcinia </w:t>
      </w:r>
      <w:proofErr w:type="spellStart"/>
      <w:proofErr w:type="gramStart"/>
      <w:r w:rsidR="00CA16D7" w:rsidRPr="00CA16D7">
        <w:rPr>
          <w:rFonts w:ascii="Arial" w:eastAsia="Calibri" w:hAnsi="Arial" w:cs="Arial"/>
          <w:i/>
          <w:iCs/>
          <w:szCs w:val="22"/>
        </w:rPr>
        <w:t>mangostana</w:t>
      </w:r>
      <w:proofErr w:type="spellEnd"/>
      <w:r w:rsidR="00CA16D7" w:rsidRPr="00CA16D7">
        <w:rPr>
          <w:rFonts w:ascii="Arial" w:eastAsia="Calibri" w:hAnsi="Arial" w:cs="Arial"/>
          <w:i/>
          <w:iCs/>
          <w:szCs w:val="22"/>
        </w:rPr>
        <w:t xml:space="preserve"> </w:t>
      </w:r>
      <w:r w:rsidRPr="001A5676">
        <w:rPr>
          <w:rFonts w:ascii="Arial" w:eastAsia="Calibri" w:hAnsi="Arial" w:cs="Arial"/>
          <w:szCs w:val="22"/>
        </w:rPr>
        <w:t xml:space="preserve"> )</w:t>
      </w:r>
      <w:proofErr w:type="gramEnd"/>
      <w:r w:rsidRPr="001A5676">
        <w:rPr>
          <w:rFonts w:ascii="Arial" w:eastAsia="Calibri" w:hAnsi="Arial" w:cs="Arial"/>
          <w:szCs w:val="22"/>
        </w:rPr>
        <w:t xml:space="preserve"> is a tropical fruit prized for its edible pulp. This edible pulp represents only 30% of the total fruit, while the remaining pericarp and seeds are considered waste </w:t>
      </w:r>
      <w:r w:rsidRPr="001A5676">
        <w:rPr>
          <w:rFonts w:ascii="Arial" w:eastAsia="Calibri" w:hAnsi="Arial" w:cs="Arial"/>
          <w:szCs w:val="22"/>
        </w:rPr>
        <w:fldChar w:fldCharType="begin"/>
      </w:r>
      <w:r w:rsidR="00CA16D7">
        <w:rPr>
          <w:rFonts w:ascii="Arial" w:eastAsia="Calibri" w:hAnsi="Arial" w:cs="Arial"/>
          <w:szCs w:val="22"/>
        </w:rPr>
        <w:instrText xml:space="preserve"> ADDIN EN.CITE &lt;EndNote&gt;&lt;Cite&gt;&lt;Author&gt;Roersch&lt;/Author&gt;&lt;Year&gt;2010&lt;/Year&gt;&lt;RecNum&gt;7&lt;/RecNum&gt;&lt;DisplayText&gt;(Roersch, 2010)&lt;/DisplayText&gt;&lt;record&gt;&lt;rec-number&gt;7&lt;/rec-number&gt;&lt;foreign-keys&gt;&lt;key app="EN" db-id="xd20ava0ss0z06e9fzmxda9qwp2twsza5092" timestamp="1774870881"&gt;7&lt;/key&gt;&lt;/foreign-keys&gt;&lt;ref-type name="Journal Article"&gt;17&lt;/ref-type&gt;&lt;contributors&gt;&lt;authors&gt;&lt;author&gt;Roersch, C.&lt;/author&gt;&lt;/authors&gt;&lt;/contributors&gt;&lt;titles&gt;&lt;title&gt;Piper umbellatum L. A comparative cross-cultural analysis of its medicinal uses and an ethnopharmacological evaluation&lt;/title&gt;&lt;secondary-title&gt;Journal of ethnopharmacology&lt;/secondary-title&gt;&lt;/titles&gt;&lt;periodical&gt;&lt;full-title&gt;Journal of ethnopharmacology&lt;/full-title&gt;&lt;/periodical&gt;&lt;pages&gt;522-537&lt;/pages&gt;&lt;volume&gt;131&lt;/volume&gt;&lt;number&gt;2&lt;/number&gt;&lt;dates&gt;&lt;year&gt;2010&lt;/year&gt;&lt;/dates&gt;&lt;urls&gt;&lt;/urls&gt;&lt;/record&gt;&lt;/Cite&gt;&lt;Cite&gt;&lt;Author&gt;Roersch&lt;/Author&gt;&lt;Year&gt;2010&lt;/Year&gt;&lt;RecNum&gt;7&lt;/RecNum&gt;&lt;record&gt;&lt;rec-number&gt;7&lt;/rec-number&gt;&lt;foreign-keys&gt;&lt;key app="EN" db-id="xd20ava0ss0z06e9fzmxda9qwp2twsza5092" timestamp="1774870881"&gt;7&lt;/key&gt;&lt;/foreign-keys&gt;&lt;ref-type name="Journal Article"&gt;17&lt;/ref-type&gt;&lt;contributors&gt;&lt;authors&gt;&lt;author&gt;Roersch, C.&lt;/author&gt;&lt;/authors&gt;&lt;/contributors&gt;&lt;titles&gt;&lt;title&gt;Piper umbellatum L. A comparative cross-cultural analysis of its medicinal uses and an ethnopharmacological evaluation&lt;/title&gt;&lt;secondary-title&gt;Journal of ethnopharmacology&lt;/secondary-title&gt;&lt;/titles&gt;&lt;periodical&gt;&lt;full-title&gt;Journal of ethnopharmacology&lt;/full-title&gt;&lt;/periodical&gt;&lt;pages&gt;522-537&lt;/pages&gt;&lt;volume&gt;131&lt;/volume&gt;&lt;number&gt;2&lt;/number&gt;&lt;dates&gt;&lt;year&gt;2010&lt;/year&gt;&lt;/dates&gt;&lt;urls&gt;&lt;/urls&gt;&lt;/record&gt;&lt;/Cite&gt;&lt;/EndNote&gt;</w:instrText>
      </w:r>
      <w:r w:rsidRPr="001A5676">
        <w:rPr>
          <w:rFonts w:ascii="Arial" w:eastAsia="Calibri" w:hAnsi="Arial" w:cs="Arial"/>
          <w:szCs w:val="22"/>
        </w:rPr>
        <w:fldChar w:fldCharType="separate"/>
      </w:r>
      <w:r w:rsidR="00CA16D7">
        <w:rPr>
          <w:rFonts w:ascii="Arial" w:eastAsia="Calibri" w:hAnsi="Arial" w:cs="Arial"/>
          <w:noProof/>
          <w:szCs w:val="22"/>
        </w:rPr>
        <w:t>(Roersch, 2010)</w:t>
      </w:r>
      <w:r w:rsidRPr="001A5676">
        <w:rPr>
          <w:rFonts w:ascii="Arial" w:eastAsia="Calibri" w:hAnsi="Arial" w:cs="Arial"/>
          <w:szCs w:val="22"/>
        </w:rPr>
        <w:fldChar w:fldCharType="end"/>
      </w:r>
      <w:r w:rsidRPr="001A5676">
        <w:rPr>
          <w:rFonts w:ascii="Arial" w:eastAsia="Calibri" w:hAnsi="Arial" w:cs="Arial"/>
          <w:szCs w:val="22"/>
        </w:rPr>
        <w:t xml:space="preserve">. It is used in traditional medicine to treat numerous ailments in various countries. In Cameroon, an infusion of the bark is used as a vermifuge, and the pericarp is used for intestinal problems. A </w:t>
      </w:r>
      <w:bookmarkStart w:id="2" w:name="_Hlk226610878"/>
      <w:r w:rsidRPr="001A5676">
        <w:rPr>
          <w:rFonts w:ascii="Arial" w:eastAsia="Calibri" w:hAnsi="Arial" w:cs="Arial"/>
          <w:szCs w:val="22"/>
        </w:rPr>
        <w:t xml:space="preserve">decoction of the pulp is used in Ivory Coast and China to treat dysentery and persistent diarrhea </w:t>
      </w:r>
      <w:bookmarkEnd w:id="2"/>
      <w:r w:rsidRPr="001A5676">
        <w:rPr>
          <w:rFonts w:ascii="Arial" w:eastAsia="Calibri" w:hAnsi="Arial" w:cs="Arial"/>
          <w:szCs w:val="22"/>
        </w:rPr>
        <w:fldChar w:fldCharType="begin"/>
      </w:r>
      <w:r w:rsidR="00CA16D7">
        <w:rPr>
          <w:rFonts w:ascii="Arial" w:eastAsia="Calibri" w:hAnsi="Arial" w:cs="Arial"/>
          <w:szCs w:val="22"/>
        </w:rPr>
        <w:instrText xml:space="preserve"> ADDIN EN.CITE &lt;EndNote&gt;&lt;Cite&gt;&lt;Author&gt;Augustin&lt;/Author&gt;&lt;Year&gt;1947&lt;/Year&gt;&lt;RecNum&gt;8&lt;/RecNum&gt;&lt;DisplayText&gt;(Augustin, 1947)&lt;/DisplayText&gt;&lt;record&gt;&lt;rec-number&gt;8&lt;/rec-number&gt;&lt;foreign-keys&gt;&lt;key app="EN" db-id="xd20ava0ss0z06e9fzmxda9qwp2twsza5092" timestamp="1774870881"&gt;8&lt;/key&gt;&lt;/foreign-keys&gt;&lt;ref-type name="Journal Article"&gt;17&lt;/ref-type&gt;&lt;contributors&gt;&lt;authors&gt;&lt;author&gt;Augustin, C.&lt;/author&gt;&lt;/authors&gt;&lt;/contributors&gt;&lt;titles&gt;&lt;title&gt;Produits médicinaux fournis par les plantes de la famille des Guttifères vivant dans les colonies françaises&lt;/title&gt;&lt;secondary-title&gt;Journal d’agriculture traditionnelle et de botanique appliquée&lt;/secondary-title&gt;&lt;/titles&gt;&lt;periodical&gt;&lt;full-title&gt;Journal d’agriculture traditionnelle et de botanique appliquée&lt;/full-title&gt;&lt;/periodical&gt;&lt;pages&gt;88-97&lt;/pages&gt;&lt;volume&gt;20&lt;/volume&gt;&lt;dates&gt;&lt;year&gt;1947&lt;/year&gt;&lt;/dates&gt;&lt;urls&gt;&lt;/urls&gt;&lt;/record&gt;&lt;/Cite&gt;&lt;/EndNote&gt;</w:instrText>
      </w:r>
      <w:r w:rsidRPr="001A5676">
        <w:rPr>
          <w:rFonts w:ascii="Arial" w:eastAsia="Calibri" w:hAnsi="Arial" w:cs="Arial"/>
          <w:szCs w:val="22"/>
        </w:rPr>
        <w:fldChar w:fldCharType="separate"/>
      </w:r>
      <w:r w:rsidR="00CA16D7">
        <w:rPr>
          <w:rFonts w:ascii="Arial" w:eastAsia="Calibri" w:hAnsi="Arial" w:cs="Arial"/>
          <w:noProof/>
          <w:szCs w:val="22"/>
        </w:rPr>
        <w:t>(Augustin, 1947)</w:t>
      </w:r>
      <w:r w:rsidRPr="001A5676">
        <w:rPr>
          <w:rFonts w:ascii="Arial" w:eastAsia="Calibri" w:hAnsi="Arial" w:cs="Arial"/>
          <w:szCs w:val="22"/>
        </w:rPr>
        <w:fldChar w:fldCharType="end"/>
      </w:r>
      <w:r w:rsidRPr="001A5676">
        <w:rPr>
          <w:rFonts w:ascii="Arial" w:eastAsia="Calibri" w:hAnsi="Arial" w:cs="Arial"/>
          <w:szCs w:val="22"/>
        </w:rPr>
        <w:t>.</w:t>
      </w:r>
    </w:p>
    <w:p w14:paraId="6AC78BEA" w14:textId="5529E942" w:rsidR="001A5676" w:rsidRPr="001A5676" w:rsidRDefault="001A5676" w:rsidP="001A5676">
      <w:pPr>
        <w:pStyle w:val="Body"/>
        <w:spacing w:after="0"/>
        <w:rPr>
          <w:rFonts w:ascii="Arial" w:eastAsia="Calibri" w:hAnsi="Arial" w:cs="Arial"/>
          <w:szCs w:val="22"/>
        </w:rPr>
      </w:pPr>
      <w:r w:rsidRPr="001A5676">
        <w:rPr>
          <w:rFonts w:ascii="Arial" w:eastAsia="Calibri" w:hAnsi="Arial" w:cs="Arial"/>
          <w:szCs w:val="22"/>
        </w:rPr>
        <w:t xml:space="preserve">In view of the above, this study aims to evaluate the antioxidant and antibacterial activity of aqueous and hydro-ethanolic extracts of the pericarp of the fruit of </w:t>
      </w:r>
      <w:bookmarkStart w:id="3" w:name="_Hlk226610907"/>
      <w:r w:rsidR="00CA16D7" w:rsidRPr="00CA16D7">
        <w:rPr>
          <w:rFonts w:ascii="Arial" w:eastAsia="Calibri" w:hAnsi="Arial" w:cs="Arial"/>
          <w:i/>
          <w:iCs/>
          <w:szCs w:val="22"/>
        </w:rPr>
        <w:t xml:space="preserve">Garcinia </w:t>
      </w:r>
      <w:proofErr w:type="spellStart"/>
      <w:proofErr w:type="gramStart"/>
      <w:r w:rsidR="00CA16D7" w:rsidRPr="00CA16D7">
        <w:rPr>
          <w:rFonts w:ascii="Arial" w:eastAsia="Calibri" w:hAnsi="Arial" w:cs="Arial"/>
          <w:i/>
          <w:iCs/>
          <w:szCs w:val="22"/>
        </w:rPr>
        <w:t>mangostana</w:t>
      </w:r>
      <w:proofErr w:type="spellEnd"/>
      <w:r w:rsidR="00CA16D7" w:rsidRPr="00CA16D7">
        <w:rPr>
          <w:rFonts w:ascii="Arial" w:eastAsia="Calibri" w:hAnsi="Arial" w:cs="Arial"/>
          <w:i/>
          <w:iCs/>
          <w:szCs w:val="22"/>
        </w:rPr>
        <w:t xml:space="preserve"> </w:t>
      </w:r>
      <w:r w:rsidRPr="001A5676">
        <w:rPr>
          <w:rFonts w:ascii="Arial" w:eastAsia="Calibri" w:hAnsi="Arial" w:cs="Arial"/>
          <w:szCs w:val="22"/>
        </w:rPr>
        <w:t xml:space="preserve"> </w:t>
      </w:r>
      <w:bookmarkEnd w:id="3"/>
      <w:r w:rsidRPr="001A5676">
        <w:rPr>
          <w:rFonts w:ascii="Arial" w:eastAsia="Calibri" w:hAnsi="Arial" w:cs="Arial"/>
          <w:szCs w:val="22"/>
        </w:rPr>
        <w:t>L.</w:t>
      </w:r>
      <w:proofErr w:type="gramEnd"/>
      <w:r w:rsidRPr="001A5676">
        <w:rPr>
          <w:rFonts w:ascii="Arial" w:eastAsia="Calibri" w:hAnsi="Arial" w:cs="Arial"/>
          <w:szCs w:val="22"/>
        </w:rPr>
        <w:t xml:space="preserve"> (</w:t>
      </w:r>
      <w:proofErr w:type="spellStart"/>
      <w:r w:rsidRPr="001A5676">
        <w:rPr>
          <w:rFonts w:ascii="Arial" w:eastAsia="Calibri" w:hAnsi="Arial" w:cs="Arial"/>
          <w:szCs w:val="22"/>
        </w:rPr>
        <w:t>Clusiaceae</w:t>
      </w:r>
      <w:proofErr w:type="spellEnd"/>
      <w:r w:rsidRPr="001A5676">
        <w:rPr>
          <w:rFonts w:ascii="Arial" w:eastAsia="Calibri" w:hAnsi="Arial" w:cs="Arial"/>
          <w:szCs w:val="22"/>
        </w:rPr>
        <w:t>).</w:t>
      </w:r>
    </w:p>
    <w:p w14:paraId="3CB0318E" w14:textId="26E2071C"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E69E2CF" w14:textId="77777777" w:rsidR="00790ADA" w:rsidRPr="00FB3A86" w:rsidRDefault="00790ADA" w:rsidP="00441B6F">
      <w:pPr>
        <w:pStyle w:val="AbstHead"/>
        <w:spacing w:after="0"/>
        <w:jc w:val="both"/>
        <w:rPr>
          <w:rFonts w:ascii="Arial" w:hAnsi="Arial" w:cs="Arial"/>
        </w:rPr>
      </w:pPr>
    </w:p>
    <w:p w14:paraId="64F536AA" w14:textId="349FED01" w:rsidR="001A5676" w:rsidRPr="001A5676" w:rsidRDefault="001A5676" w:rsidP="001A5676">
      <w:pPr>
        <w:pStyle w:val="Body"/>
        <w:spacing w:after="0"/>
        <w:rPr>
          <w:rFonts w:ascii="Arial" w:hAnsi="Arial" w:cs="Arial"/>
          <w:b/>
          <w:bCs/>
        </w:rPr>
      </w:pPr>
      <w:bookmarkStart w:id="4" w:name="_Toc137924716"/>
      <w:r w:rsidRPr="001A5676">
        <w:rPr>
          <w:rFonts w:ascii="Arial" w:hAnsi="Arial" w:cs="Arial"/>
          <w:b/>
          <w:bCs/>
        </w:rPr>
        <w:t>2.1. Plant material</w:t>
      </w:r>
      <w:bookmarkEnd w:id="4"/>
    </w:p>
    <w:p w14:paraId="2E3F1185" w14:textId="1BD3A5CF" w:rsidR="001A5676" w:rsidRPr="001A5676" w:rsidRDefault="001A5676" w:rsidP="001A5676">
      <w:pPr>
        <w:pStyle w:val="Body"/>
        <w:spacing w:after="0"/>
        <w:rPr>
          <w:rFonts w:ascii="Arial" w:hAnsi="Arial" w:cs="Arial"/>
        </w:rPr>
      </w:pPr>
      <w:r w:rsidRPr="001A5676">
        <w:rPr>
          <w:rFonts w:ascii="Arial" w:hAnsi="Arial" w:cs="Arial"/>
        </w:rPr>
        <w:t xml:space="preserve">The plant material, consisting of the pericarp of the fruit of </w:t>
      </w:r>
      <w:r w:rsidR="00CA16D7" w:rsidRPr="00CA16D7">
        <w:rPr>
          <w:rFonts w:ascii="Arial" w:hAnsi="Arial" w:cs="Arial"/>
          <w:i/>
          <w:iCs/>
        </w:rPr>
        <w:t xml:space="preserve">G. </w:t>
      </w:r>
      <w:proofErr w:type="spellStart"/>
      <w:proofErr w:type="gramStart"/>
      <w:r w:rsidR="00CA16D7" w:rsidRPr="00CA16D7">
        <w:rPr>
          <w:rFonts w:ascii="Arial" w:hAnsi="Arial" w:cs="Arial"/>
          <w:i/>
          <w:iCs/>
        </w:rPr>
        <w:t>mangostana</w:t>
      </w:r>
      <w:proofErr w:type="spellEnd"/>
      <w:r w:rsidR="00CA16D7" w:rsidRPr="00CA16D7">
        <w:rPr>
          <w:rFonts w:ascii="Arial" w:hAnsi="Arial" w:cs="Arial"/>
          <w:i/>
          <w:iCs/>
        </w:rPr>
        <w:t xml:space="preserve"> </w:t>
      </w:r>
      <w:r w:rsidRPr="001A5676">
        <w:rPr>
          <w:rFonts w:ascii="Arial" w:hAnsi="Arial" w:cs="Arial"/>
        </w:rPr>
        <w:t xml:space="preserve"> (</w:t>
      </w:r>
      <w:proofErr w:type="gramEnd"/>
      <w:r w:rsidRPr="001A5676">
        <w:rPr>
          <w:rFonts w:ascii="Arial" w:hAnsi="Arial" w:cs="Arial"/>
        </w:rPr>
        <w:t xml:space="preserve"> see Appendix 4 ), was collected on August 12, 2022, between 6:00 and 7:00 a.m. in </w:t>
      </w:r>
      <w:proofErr w:type="spellStart"/>
      <w:r w:rsidRPr="001A5676">
        <w:rPr>
          <w:rFonts w:ascii="Arial" w:hAnsi="Arial" w:cs="Arial"/>
        </w:rPr>
        <w:t>Manjo</w:t>
      </w:r>
      <w:proofErr w:type="spellEnd"/>
      <w:r w:rsidRPr="001A5676">
        <w:rPr>
          <w:rFonts w:ascii="Arial" w:hAnsi="Arial" w:cs="Arial"/>
        </w:rPr>
        <w:t xml:space="preserve">, </w:t>
      </w:r>
      <w:proofErr w:type="spellStart"/>
      <w:r w:rsidRPr="001A5676">
        <w:rPr>
          <w:rFonts w:ascii="Arial" w:hAnsi="Arial" w:cs="Arial"/>
        </w:rPr>
        <w:t>Moungo</w:t>
      </w:r>
      <w:proofErr w:type="spellEnd"/>
      <w:r w:rsidRPr="001A5676">
        <w:rPr>
          <w:rFonts w:ascii="Arial" w:hAnsi="Arial" w:cs="Arial"/>
        </w:rPr>
        <w:t xml:space="preserve"> Department, Littoral Region, Cameroon. Identification was carried out at the National Herbarium of Cameroon under number 25666/</w:t>
      </w:r>
      <w:proofErr w:type="spellStart"/>
      <w:r w:rsidRPr="001A5676">
        <w:rPr>
          <w:rFonts w:ascii="Arial" w:hAnsi="Arial" w:cs="Arial"/>
        </w:rPr>
        <w:t>SRFCam</w:t>
      </w:r>
      <w:proofErr w:type="spellEnd"/>
      <w:r w:rsidRPr="001A5676">
        <w:rPr>
          <w:rFonts w:ascii="Arial" w:hAnsi="Arial" w:cs="Arial"/>
        </w:rPr>
        <w:t>. The fruits were dried in the shade at room temperature and then ground into a fine powder using a VINCO® Model Y2-132S1-2 mill.</w:t>
      </w:r>
    </w:p>
    <w:p w14:paraId="448FD529" w14:textId="0517E5C8" w:rsidR="001A5676" w:rsidRPr="001A5676" w:rsidRDefault="001A5676" w:rsidP="001A5676">
      <w:pPr>
        <w:pStyle w:val="Body"/>
        <w:spacing w:after="0"/>
        <w:rPr>
          <w:rFonts w:ascii="Arial" w:hAnsi="Arial" w:cs="Arial"/>
          <w:b/>
          <w:bCs/>
        </w:rPr>
      </w:pPr>
      <w:bookmarkStart w:id="5" w:name="_Toc137924717"/>
      <w:r w:rsidRPr="001A5676">
        <w:rPr>
          <w:rFonts w:ascii="Arial" w:hAnsi="Arial" w:cs="Arial"/>
          <w:b/>
          <w:bCs/>
        </w:rPr>
        <w:t>2.1.2 Microbiological material</w:t>
      </w:r>
      <w:bookmarkEnd w:id="5"/>
    </w:p>
    <w:p w14:paraId="5CF1686C" w14:textId="625640B6" w:rsidR="001A5676" w:rsidRPr="001A5676" w:rsidRDefault="001A5676" w:rsidP="001A5676">
      <w:pPr>
        <w:pStyle w:val="Body"/>
        <w:spacing w:after="0"/>
        <w:rPr>
          <w:rFonts w:ascii="Arial" w:hAnsi="Arial" w:cs="Arial"/>
        </w:rPr>
      </w:pPr>
      <w:r w:rsidRPr="001A5676">
        <w:rPr>
          <w:rFonts w:ascii="Arial" w:hAnsi="Arial" w:cs="Arial"/>
        </w:rPr>
        <w:t xml:space="preserve">The tests were carried out on 04 strains of bacteria namely: </w:t>
      </w:r>
      <w:r w:rsidR="00CA16D7" w:rsidRPr="00CA16D7">
        <w:rPr>
          <w:rFonts w:ascii="Arial" w:hAnsi="Arial" w:cs="Arial"/>
          <w:i/>
          <w:iCs/>
        </w:rPr>
        <w:t>Pseudomonas aeruginosa</w:t>
      </w:r>
      <w:r w:rsidRPr="001A5676">
        <w:rPr>
          <w:rFonts w:ascii="Arial" w:hAnsi="Arial" w:cs="Arial"/>
        </w:rPr>
        <w:t xml:space="preserve">, </w:t>
      </w:r>
      <w:r w:rsidR="00CA16D7" w:rsidRPr="00CA16D7">
        <w:rPr>
          <w:rFonts w:ascii="Arial" w:hAnsi="Arial" w:cs="Arial"/>
          <w:i/>
          <w:iCs/>
        </w:rPr>
        <w:t>Enterobacter cloacae</w:t>
      </w:r>
      <w:r w:rsidRPr="001A5676">
        <w:rPr>
          <w:rFonts w:ascii="Arial" w:hAnsi="Arial" w:cs="Arial"/>
        </w:rPr>
        <w:t xml:space="preserve">, </w:t>
      </w:r>
      <w:r w:rsidR="00CA16D7" w:rsidRPr="00CA16D7">
        <w:rPr>
          <w:rFonts w:ascii="Arial" w:hAnsi="Arial" w:cs="Arial"/>
          <w:i/>
          <w:iCs/>
        </w:rPr>
        <w:t>S. aureus</w:t>
      </w:r>
      <w:r w:rsidRPr="001A5676">
        <w:rPr>
          <w:rFonts w:ascii="Arial" w:hAnsi="Arial" w:cs="Arial"/>
        </w:rPr>
        <w:t xml:space="preserve"> and </w:t>
      </w:r>
      <w:r w:rsidR="00BF0CCB" w:rsidRPr="00BF0CCB">
        <w:rPr>
          <w:rFonts w:ascii="Arial" w:hAnsi="Arial" w:cs="Arial"/>
          <w:i/>
          <w:iCs/>
        </w:rPr>
        <w:t>Escherichia coli</w:t>
      </w:r>
      <w:r w:rsidRPr="001A5676">
        <w:rPr>
          <w:rFonts w:ascii="Arial" w:hAnsi="Arial" w:cs="Arial"/>
        </w:rPr>
        <w:t xml:space="preserve">. </w:t>
      </w:r>
    </w:p>
    <w:p w14:paraId="343FF1F8" w14:textId="77777777" w:rsidR="001A5676" w:rsidRDefault="001A5676" w:rsidP="001A5676">
      <w:pPr>
        <w:pStyle w:val="Body"/>
        <w:spacing w:after="0"/>
        <w:rPr>
          <w:rFonts w:ascii="Arial" w:hAnsi="Arial" w:cs="Arial"/>
        </w:rPr>
      </w:pPr>
      <w:r w:rsidRPr="001A5676">
        <w:rPr>
          <w:rFonts w:ascii="Arial" w:hAnsi="Arial" w:cs="Arial"/>
        </w:rPr>
        <w:t>The bacterial isolates sought came from samples analyzed at the Microbiology Laboratory of the University Clinics of the Mountains, purified on nutrient agar.</w:t>
      </w:r>
    </w:p>
    <w:p w14:paraId="36A95EA6" w14:textId="77777777" w:rsidR="001A5676" w:rsidRPr="001A5676" w:rsidRDefault="001A5676" w:rsidP="001A5676">
      <w:pPr>
        <w:pStyle w:val="Body"/>
        <w:spacing w:after="0"/>
        <w:rPr>
          <w:rFonts w:ascii="Arial" w:hAnsi="Arial" w:cs="Arial"/>
        </w:rPr>
      </w:pPr>
    </w:p>
    <w:p w14:paraId="14327ECE" w14:textId="466588F0" w:rsidR="001A5676" w:rsidRPr="001A5676" w:rsidRDefault="001A5676" w:rsidP="001A5676">
      <w:pPr>
        <w:pStyle w:val="Body"/>
        <w:spacing w:after="0"/>
        <w:rPr>
          <w:rFonts w:ascii="Arial" w:hAnsi="Arial" w:cs="Arial"/>
          <w:b/>
          <w:bCs/>
        </w:rPr>
      </w:pPr>
      <w:bookmarkStart w:id="6" w:name="_Toc136377194"/>
      <w:bookmarkStart w:id="7" w:name="_Toc137924718"/>
      <w:r w:rsidRPr="001A5676">
        <w:rPr>
          <w:rFonts w:ascii="Arial" w:hAnsi="Arial" w:cs="Arial"/>
          <w:b/>
          <w:bCs/>
        </w:rPr>
        <w:t>2.2 Preparation of extracts</w:t>
      </w:r>
      <w:bookmarkEnd w:id="6"/>
      <w:bookmarkEnd w:id="7"/>
    </w:p>
    <w:p w14:paraId="703751CA" w14:textId="273E408B" w:rsidR="001A5676" w:rsidRPr="001A5676" w:rsidRDefault="001A5676" w:rsidP="001A5676">
      <w:pPr>
        <w:pStyle w:val="Body"/>
        <w:spacing w:after="0"/>
        <w:rPr>
          <w:rFonts w:ascii="Arial" w:hAnsi="Arial" w:cs="Arial"/>
        </w:rPr>
      </w:pPr>
      <w:r w:rsidRPr="001A5676">
        <w:rPr>
          <w:rFonts w:ascii="Arial" w:hAnsi="Arial" w:cs="Arial"/>
        </w:rPr>
        <w:t xml:space="preserve">Extraction was performed according to the method described by Bagre et al . </w:t>
      </w:r>
      <w:r w:rsidRPr="001A5676">
        <w:rPr>
          <w:rFonts w:ascii="Arial" w:hAnsi="Arial" w:cs="Arial"/>
        </w:rPr>
        <w:fldChar w:fldCharType="begin"/>
      </w:r>
      <w:r w:rsidR="00CA16D7">
        <w:rPr>
          <w:rFonts w:ascii="Arial" w:hAnsi="Arial" w:cs="Arial"/>
        </w:rPr>
        <w:instrText xml:space="preserve"> ADDIN EN.CITE &lt;EndNote&gt;&lt;Cite&gt;&lt;Author&gt;Omer Sheriff&lt;/Author&gt;&lt;Year&gt;2022&lt;/Year&gt;&lt;RecNum&gt;50&lt;/RecNum&gt;&lt;DisplayText&gt;(Omer Sheriff &amp;amp; Haresh Kumar, 2022)&lt;/DisplayText&gt;&lt;record&gt;&lt;rec-number&gt;50&lt;/rec-number&gt;&lt;foreign-keys&gt;&lt;key app="EN" db-id="xd20ava0ss0z06e9fzmxda9qwp2twsza5092" timestamp="1774870881"&gt;50&lt;/key&gt;&lt;/foreign-keys&gt;&lt;ref-type name="Journal Article"&gt;17&lt;/ref-type&gt;&lt;contributors&gt;&lt;authors&gt;&lt;author&gt;Omer Sheriff, S.&lt;/author&gt;&lt;author&gt;Haresh Kumar, K.&lt;/author&gt;&lt;/authors&gt;&lt;/contributors&gt;&lt;titles&gt;&lt;title&gt;Le potentiel de l’α-mangostine de Garcinia mangostana en tant qu’agent antibactérien efficace-Une revue systématique et une méta-analayse&lt;/title&gt;&lt;secondary-title&gt;Antibiotiques&lt;/secondary-title&gt;&lt;/titles&gt;&lt;periodical&gt;&lt;full-title&gt;Antibiotiques&lt;/full-title&gt;&lt;/periodical&gt;&lt;pages&gt;717&lt;/pages&gt;&lt;volume&gt;11&lt;/volume&gt;&lt;number&gt;6&lt;/number&gt;&lt;dates&gt;&lt;year&gt;2022&lt;/year&gt;&lt;/dates&gt;&lt;urls&gt;&lt;/urls&gt;&lt;/record&gt;&lt;/Cite&gt;&lt;/EndNote&gt;</w:instrText>
      </w:r>
      <w:r w:rsidRPr="001A5676">
        <w:rPr>
          <w:rFonts w:ascii="Arial" w:hAnsi="Arial" w:cs="Arial"/>
        </w:rPr>
        <w:fldChar w:fldCharType="separate"/>
      </w:r>
      <w:r w:rsidR="00CA16D7">
        <w:rPr>
          <w:rFonts w:ascii="Arial" w:hAnsi="Arial" w:cs="Arial"/>
          <w:noProof/>
        </w:rPr>
        <w:t>(Omer Sheriff &amp; Haresh Kumar, 2022)</w:t>
      </w:r>
      <w:r w:rsidRPr="001A5676">
        <w:rPr>
          <w:rFonts w:ascii="Arial" w:hAnsi="Arial" w:cs="Arial"/>
        </w:rPr>
        <w:fldChar w:fldCharType="end"/>
      </w:r>
      <w:r w:rsidRPr="001A5676">
        <w:rPr>
          <w:rFonts w:ascii="Arial" w:hAnsi="Arial" w:cs="Arial"/>
        </w:rPr>
        <w:t xml:space="preserve">. The different extracts were prepared by maceration and decoction. For this purpose, 100 g of fruit pericarp powder were weighed using a KERN® PLS balance (range: 0.01 g - 4800 g) and cold-macerated for 48 hours using 1 L of an ethanol-water mixture (70:30; </w:t>
      </w:r>
      <w:proofErr w:type="gramStart"/>
      <w:r w:rsidRPr="001A5676">
        <w:rPr>
          <w:rFonts w:ascii="Arial" w:hAnsi="Arial" w:cs="Arial"/>
        </w:rPr>
        <w:t>V:V</w:t>
      </w:r>
      <w:proofErr w:type="gramEnd"/>
      <w:r w:rsidRPr="001A5676">
        <w:rPr>
          <w:rFonts w:ascii="Arial" w:hAnsi="Arial" w:cs="Arial"/>
        </w:rPr>
        <w:t xml:space="preserve">) for the hydroethanolic extract and 1 L of distilled water for 48 hours for the aqueous extract obtained by maceration. For the aqueous extract obtained by decoction, 100 g of powder were mixed with 1 L of distilled water and boiled for 15 minutes. The different products from each of these preparations were first filtered through cotton Hydro® and then through Whatman No. 2 filter paper. The filtrates obtained were evaporated using a rotary </w:t>
      </w:r>
      <w:r w:rsidRPr="001A5676">
        <w:rPr>
          <w:rFonts w:ascii="Arial" w:hAnsi="Arial" w:cs="Arial"/>
        </w:rPr>
        <w:lastRenderedPageBreak/>
        <w:t>evaporator under reduced pressure at 40°C and dried in an oven (37°C) to obtain the dry extracts. The dry residues were then collected, weighed, and packaged for further study.</w:t>
      </w:r>
    </w:p>
    <w:p w14:paraId="1549B1FD" w14:textId="77777777" w:rsidR="001A5676" w:rsidRPr="001A5676" w:rsidRDefault="001A5676" w:rsidP="001A5676">
      <w:pPr>
        <w:pStyle w:val="Body"/>
        <w:spacing w:after="0"/>
        <w:rPr>
          <w:rFonts w:ascii="Arial" w:hAnsi="Arial" w:cs="Arial"/>
        </w:rPr>
      </w:pPr>
      <w:r w:rsidRPr="001A5676">
        <w:rPr>
          <w:rFonts w:ascii="Arial" w:hAnsi="Arial" w:cs="Arial"/>
        </w:rPr>
        <w:t>The different extraction yields were calculated using the following formula:</w:t>
      </w:r>
    </w:p>
    <w:p w14:paraId="473DF746" w14:textId="77777777" w:rsidR="001A5676" w:rsidRPr="001A5676" w:rsidRDefault="001A5676" w:rsidP="001A5676">
      <w:pPr>
        <w:pStyle w:val="Body"/>
        <w:spacing w:after="0"/>
        <w:rPr>
          <w:rFonts w:ascii="Arial" w:hAnsi="Arial" w:cs="Arial"/>
        </w:rPr>
      </w:pPr>
      <w:r w:rsidRPr="001A5676">
        <w:rPr>
          <w:rFonts w:ascii="Arial" w:hAnsi="Arial" w:cs="Arial"/>
        </w:rPr>
        <w:t>Yield (%) = (Mass of extract obtained (g) / Mass of initial powder (g)) x 100</w:t>
      </w:r>
    </w:p>
    <w:p w14:paraId="2F441365" w14:textId="77777777" w:rsidR="001A5676" w:rsidRDefault="001A5676" w:rsidP="001A5676">
      <w:pPr>
        <w:pStyle w:val="Body"/>
        <w:spacing w:after="0"/>
        <w:rPr>
          <w:rFonts w:ascii="Arial" w:hAnsi="Arial" w:cs="Arial"/>
        </w:rPr>
      </w:pPr>
      <w:r w:rsidRPr="001A5676">
        <w:rPr>
          <w:rFonts w:ascii="Arial" w:hAnsi="Arial" w:cs="Arial"/>
        </w:rPr>
        <w:t>In order to get an idea of the major groups of secondary metabolites present in the different extracts and their content, a qualitative phytochemical screening was carried out using colorimetric and precipitation methods followed by spectrometric analysis.</w:t>
      </w:r>
    </w:p>
    <w:p w14:paraId="1FB0134F" w14:textId="77777777" w:rsidR="001A5676" w:rsidRPr="001A5676" w:rsidRDefault="001A5676" w:rsidP="001A5676">
      <w:pPr>
        <w:pStyle w:val="Body"/>
        <w:spacing w:after="0"/>
        <w:rPr>
          <w:rFonts w:ascii="Arial" w:hAnsi="Arial" w:cs="Arial"/>
        </w:rPr>
      </w:pPr>
    </w:p>
    <w:p w14:paraId="61A8D0CC" w14:textId="34601337" w:rsidR="001A5676" w:rsidRDefault="001A5676" w:rsidP="001A5676">
      <w:pPr>
        <w:pStyle w:val="Body"/>
        <w:spacing w:after="0"/>
        <w:rPr>
          <w:rFonts w:ascii="Arial" w:hAnsi="Arial" w:cs="Arial"/>
          <w:b/>
          <w:bCs/>
        </w:rPr>
      </w:pPr>
      <w:bookmarkStart w:id="8" w:name="_Toc136377195"/>
      <w:bookmarkStart w:id="9" w:name="_Toc137924719"/>
      <w:r w:rsidRPr="001A5676">
        <w:rPr>
          <w:rFonts w:ascii="Arial" w:hAnsi="Arial" w:cs="Arial"/>
          <w:b/>
          <w:bCs/>
        </w:rPr>
        <w:t>2.3 Phytochemical Screening</w:t>
      </w:r>
      <w:bookmarkEnd w:id="8"/>
      <w:bookmarkEnd w:id="9"/>
    </w:p>
    <w:p w14:paraId="192219EE" w14:textId="77777777" w:rsidR="001A5676" w:rsidRPr="001A5676" w:rsidRDefault="001A5676" w:rsidP="001A5676">
      <w:pPr>
        <w:pStyle w:val="Body"/>
        <w:spacing w:after="0"/>
        <w:rPr>
          <w:rFonts w:ascii="Arial" w:hAnsi="Arial" w:cs="Arial"/>
          <w:b/>
          <w:bCs/>
        </w:rPr>
      </w:pPr>
    </w:p>
    <w:p w14:paraId="245F0A69" w14:textId="2FE55A86" w:rsidR="001A5676" w:rsidRDefault="001A5676" w:rsidP="001A5676">
      <w:pPr>
        <w:pStyle w:val="Body"/>
        <w:spacing w:after="0"/>
        <w:rPr>
          <w:rFonts w:ascii="Arial" w:hAnsi="Arial" w:cs="Arial"/>
        </w:rPr>
      </w:pPr>
      <w:r w:rsidRPr="001A5676">
        <w:rPr>
          <w:rFonts w:ascii="Arial" w:hAnsi="Arial" w:cs="Arial"/>
        </w:rPr>
        <w:t xml:space="preserve">The total polyphenol and flavonoid content of each </w:t>
      </w:r>
      <w:r w:rsidR="00CA16D7" w:rsidRPr="00CA16D7">
        <w:rPr>
          <w:rFonts w:ascii="Arial" w:hAnsi="Arial" w:cs="Arial"/>
          <w:i/>
          <w:iCs/>
        </w:rPr>
        <w:t xml:space="preserve">G. </w:t>
      </w:r>
      <w:proofErr w:type="spellStart"/>
      <w:r w:rsidR="00CA16D7" w:rsidRPr="00CA16D7">
        <w:rPr>
          <w:rFonts w:ascii="Arial" w:hAnsi="Arial" w:cs="Arial"/>
          <w:i/>
          <w:iCs/>
        </w:rPr>
        <w:t>mangostana</w:t>
      </w:r>
      <w:proofErr w:type="spellEnd"/>
      <w:r w:rsidR="00CA16D7" w:rsidRPr="00CA16D7">
        <w:rPr>
          <w:rFonts w:ascii="Arial" w:hAnsi="Arial" w:cs="Arial"/>
          <w:i/>
          <w:iCs/>
        </w:rPr>
        <w:t xml:space="preserve"> </w:t>
      </w:r>
      <w:r w:rsidRPr="001A5676">
        <w:rPr>
          <w:rFonts w:ascii="Arial" w:hAnsi="Arial" w:cs="Arial"/>
        </w:rPr>
        <w:t xml:space="preserve"> extract was determined using the method of Siddiqui (2017) </w:t>
      </w:r>
      <w:r w:rsidRPr="001A5676">
        <w:rPr>
          <w:rFonts w:ascii="Arial" w:hAnsi="Arial" w:cs="Arial"/>
        </w:rPr>
        <w:fldChar w:fldCharType="begin"/>
      </w:r>
      <w:r w:rsidR="00CA16D7">
        <w:rPr>
          <w:rFonts w:ascii="Arial" w:hAnsi="Arial" w:cs="Arial"/>
        </w:rPr>
        <w:instrText xml:space="preserve"> ADDIN EN.CITE &lt;EndNote&gt;&lt;Cite&gt;&lt;Author&gt;Siddiqui&lt;/Author&gt;&lt;Year&gt;2017&lt;/Year&gt;&lt;RecNum&gt;55&lt;/RecNum&gt;&lt;DisplayText&gt;(Siddiqui &amp;amp; Abdur, 2017)&lt;/DisplayText&gt;&lt;record&gt;&lt;rec-number&gt;55&lt;/rec-number&gt;&lt;foreign-keys&gt;&lt;key app="EN" db-id="xd20ava0ss0z06e9fzmxda9qwp2twsza5092" timestamp="1774870881"&gt;55&lt;/key&gt;&lt;/foreign-keys&gt;&lt;ref-type name="Journal Article"&gt;17&lt;/ref-type&gt;&lt;contributors&gt;&lt;authors&gt;&lt;author&gt;Siddiqui, N.&lt;/author&gt;&lt;author&gt;Abdur, R.&lt;/author&gt;&lt;/authors&gt;&lt;/contributors&gt;&lt;titles&gt;&lt;title&gt;Secondary metabolits in plants&lt;/title&gt;&lt;secondary-title&gt;Journal of Taibah University Medical Sciences&lt;/secondary-title&gt;&lt;/titles&gt;&lt;periodical&gt;&lt;full-title&gt;Journal of Taibah University Medical Sciences&lt;/full-title&gt;&lt;/periodical&gt;&lt;pages&gt;360-363&lt;/pages&gt;&lt;volume&gt;12&lt;/volume&gt;&lt;number&gt;4&lt;/number&gt;&lt;dates&gt;&lt;year&gt;2017&lt;/year&gt;&lt;/dates&gt;&lt;urls&gt;&lt;/urls&gt;&lt;/record&gt;&lt;/Cite&gt;&lt;/EndNote&gt;</w:instrText>
      </w:r>
      <w:r w:rsidRPr="001A5676">
        <w:rPr>
          <w:rFonts w:ascii="Arial" w:hAnsi="Arial" w:cs="Arial"/>
        </w:rPr>
        <w:fldChar w:fldCharType="separate"/>
      </w:r>
      <w:r w:rsidR="00CA16D7">
        <w:rPr>
          <w:rFonts w:ascii="Arial" w:hAnsi="Arial" w:cs="Arial"/>
          <w:noProof/>
        </w:rPr>
        <w:t>(Siddiqui &amp; Abdur, 2017)</w:t>
      </w:r>
      <w:r w:rsidRPr="001A5676">
        <w:rPr>
          <w:rFonts w:ascii="Arial" w:hAnsi="Arial" w:cs="Arial"/>
        </w:rPr>
        <w:fldChar w:fldCharType="end"/>
      </w:r>
      <w:r w:rsidRPr="001A5676">
        <w:rPr>
          <w:rFonts w:ascii="Arial" w:hAnsi="Arial" w:cs="Arial"/>
        </w:rPr>
        <w:t xml:space="preserve">. The tannin content was determined using the method of </w:t>
      </w:r>
      <w:proofErr w:type="spellStart"/>
      <w:r w:rsidRPr="001A5676">
        <w:rPr>
          <w:rFonts w:ascii="Arial" w:hAnsi="Arial" w:cs="Arial"/>
        </w:rPr>
        <w:t>Ribereau-Gayon</w:t>
      </w:r>
      <w:proofErr w:type="spellEnd"/>
      <w:r w:rsidRPr="001A5676">
        <w:rPr>
          <w:rFonts w:ascii="Arial" w:hAnsi="Arial" w:cs="Arial"/>
        </w:rPr>
        <w:t xml:space="preserve"> et al (1966) </w:t>
      </w:r>
      <w:r w:rsidRPr="001A5676">
        <w:rPr>
          <w:rFonts w:ascii="Arial" w:hAnsi="Arial" w:cs="Arial"/>
        </w:rPr>
        <w:fldChar w:fldCharType="begin"/>
      </w:r>
      <w:r w:rsidR="00CA16D7">
        <w:rPr>
          <w:rFonts w:ascii="Arial" w:hAnsi="Arial" w:cs="Arial"/>
        </w:rPr>
        <w:instrText xml:space="preserve"> ADDIN EN.CITE &lt;EndNote&gt;&lt;Cite&gt;&lt;Author&gt;Ribereau-gayon&lt;/Author&gt;&lt;Year&gt;1996&lt;/Year&gt;&lt;RecNum&gt;56&lt;/RecNum&gt;&lt;DisplayText&gt;(Ribereau-gayon &amp;amp; Stonestreet, 1996)&lt;/DisplayText&gt;&lt;record&gt;&lt;rec-number&gt;56&lt;/rec-number&gt;&lt;foreign-keys&gt;&lt;key app="EN" db-id="xd20ava0ss0z06e9fzmxda9qwp2twsza5092" timestamp="1774870881"&gt;56&lt;/key&gt;&lt;/foreign-keys&gt;&lt;ref-type name="Journal Article"&gt;17&lt;/ref-type&gt;&lt;contributors&gt;&lt;authors&gt;&lt;author&gt;Ribereau-gayon, P.&lt;/author&gt;&lt;author&gt;Stonestreet, E.&lt;/author&gt;&lt;/authors&gt;&lt;/contributors&gt;&lt;titles&gt;&lt;title&gt;Chimie des plantes&lt;/title&gt;&lt;secondary-title&gt;Annales de Chimie&lt;/secondary-title&gt;&lt;/titles&gt;&lt;periodical&gt;&lt;full-title&gt;Annales de Chimie&lt;/full-title&gt;&lt;/periodical&gt;&lt;pages&gt;188-196&lt;/pages&gt;&lt;dates&gt;&lt;year&gt;1996&lt;/year&gt;&lt;/dates&gt;&lt;urls&gt;&lt;/urls&gt;&lt;/record&gt;&lt;/Cite&gt;&lt;/EndNote&gt;</w:instrText>
      </w:r>
      <w:r w:rsidRPr="001A5676">
        <w:rPr>
          <w:rFonts w:ascii="Arial" w:hAnsi="Arial" w:cs="Arial"/>
        </w:rPr>
        <w:fldChar w:fldCharType="separate"/>
      </w:r>
      <w:r w:rsidR="00CA16D7">
        <w:rPr>
          <w:rFonts w:ascii="Arial" w:hAnsi="Arial" w:cs="Arial"/>
          <w:noProof/>
        </w:rPr>
        <w:t>(Ribereau-gayon &amp; Stonestreet, 1996)</w:t>
      </w:r>
      <w:r w:rsidRPr="001A5676">
        <w:rPr>
          <w:rFonts w:ascii="Arial" w:hAnsi="Arial" w:cs="Arial"/>
        </w:rPr>
        <w:fldChar w:fldCharType="end"/>
      </w:r>
      <w:r w:rsidRPr="001A5676">
        <w:rPr>
          <w:rFonts w:ascii="Arial" w:hAnsi="Arial" w:cs="Arial"/>
        </w:rPr>
        <w:t>with some minor modifications.</w:t>
      </w:r>
    </w:p>
    <w:p w14:paraId="0660251F" w14:textId="77777777" w:rsidR="001A5676" w:rsidRPr="001A5676" w:rsidRDefault="001A5676" w:rsidP="001A5676">
      <w:pPr>
        <w:pStyle w:val="Body"/>
        <w:spacing w:after="0"/>
        <w:rPr>
          <w:rFonts w:ascii="Arial" w:hAnsi="Arial" w:cs="Arial"/>
        </w:rPr>
      </w:pPr>
    </w:p>
    <w:p w14:paraId="6D1F31FD" w14:textId="612DFB50" w:rsidR="001A5676" w:rsidRDefault="001A5676" w:rsidP="001A5676">
      <w:pPr>
        <w:pStyle w:val="Body"/>
        <w:spacing w:after="0"/>
        <w:rPr>
          <w:rFonts w:ascii="Arial" w:hAnsi="Arial" w:cs="Arial"/>
          <w:b/>
          <w:bCs/>
        </w:rPr>
      </w:pPr>
      <w:bookmarkStart w:id="10" w:name="_Toc137924723"/>
      <w:r w:rsidRPr="001A5676">
        <w:rPr>
          <w:rFonts w:ascii="Arial" w:hAnsi="Arial" w:cs="Arial"/>
          <w:b/>
          <w:bCs/>
        </w:rPr>
        <w:t>2.3.1 Determination of total polyphenol content</w:t>
      </w:r>
      <w:bookmarkEnd w:id="10"/>
    </w:p>
    <w:p w14:paraId="2158C882" w14:textId="77777777" w:rsidR="001A5676" w:rsidRPr="001A5676" w:rsidRDefault="001A5676" w:rsidP="001A5676">
      <w:pPr>
        <w:pStyle w:val="Body"/>
        <w:spacing w:after="0"/>
        <w:rPr>
          <w:rFonts w:ascii="Arial" w:hAnsi="Arial" w:cs="Arial"/>
          <w:b/>
          <w:bCs/>
        </w:rPr>
      </w:pPr>
    </w:p>
    <w:p w14:paraId="60CD9A90" w14:textId="464C07B3" w:rsidR="001A5676" w:rsidRDefault="001A5676" w:rsidP="001A5676">
      <w:pPr>
        <w:pStyle w:val="Body"/>
        <w:spacing w:after="0"/>
        <w:rPr>
          <w:rFonts w:ascii="Arial" w:hAnsi="Arial" w:cs="Arial"/>
        </w:rPr>
      </w:pPr>
      <w:r w:rsidRPr="001A5676">
        <w:rPr>
          <w:rFonts w:ascii="Arial" w:hAnsi="Arial" w:cs="Arial"/>
        </w:rPr>
        <w:t xml:space="preserve">The crude extract (50 mg) was mixed with 1 ml of </w:t>
      </w:r>
      <w:proofErr w:type="spellStart"/>
      <w:r w:rsidRPr="001A5676">
        <w:rPr>
          <w:rFonts w:ascii="Arial" w:hAnsi="Arial" w:cs="Arial"/>
        </w:rPr>
        <w:t>Folin-Ciocalteu</w:t>
      </w:r>
      <w:proofErr w:type="spellEnd"/>
      <w:r w:rsidRPr="001A5676">
        <w:rPr>
          <w:rFonts w:ascii="Arial" w:hAnsi="Arial" w:cs="Arial"/>
        </w:rPr>
        <w:t xml:space="preserve"> reagent diluted 10 times and 7.5 ml of distilled water. The mixture was kept at room temperature for 5 min, then 10 ml of 7% sodium carbonate was added, followed by incubation for 90 min at room temperature (18-25 °C). After incubation, the absorbance against a reagent blank was determined at 760 nm using a JENWAY 7305 UV /Visible spectrophotometer (United Kingdom). The total phenolic concentration of the extracts was expressed in mg/g gallic acid equivalent using the gallic acid calibration curve (R² = 0,9992). All samples were analyzed in triplets, and the results are expressed as mean ± standard deviation </w:t>
      </w:r>
      <w:r w:rsidRPr="001A5676">
        <w:rPr>
          <w:rFonts w:ascii="Arial" w:hAnsi="Arial" w:cs="Arial"/>
        </w:rPr>
        <w:fldChar w:fldCharType="begin"/>
      </w:r>
      <w:r w:rsidR="00CA16D7">
        <w:rPr>
          <w:rFonts w:ascii="Arial" w:hAnsi="Arial" w:cs="Arial"/>
        </w:rPr>
        <w:instrText xml:space="preserve"> ADDIN EN.CITE &lt;EndNote&gt;&lt;Cite&gt;&lt;Author&gt;Siddiqui&lt;/Author&gt;&lt;Year&gt;2017&lt;/Year&gt;&lt;RecNum&gt;55&lt;/RecNum&gt;&lt;DisplayText&gt;(Siddiqui &amp;amp; Abdur, 2017)&lt;/DisplayText&gt;&lt;record&gt;&lt;rec-number&gt;55&lt;/rec-number&gt;&lt;foreign-keys&gt;&lt;key app="EN" db-id="xd20ava0ss0z06e9fzmxda9qwp2twsza5092" timestamp="1774870881"&gt;55&lt;/key&gt;&lt;/foreign-keys&gt;&lt;ref-type name="Journal Article"&gt;17&lt;/ref-type&gt;&lt;contributors&gt;&lt;authors&gt;&lt;author&gt;Siddiqui, N.&lt;/author&gt;&lt;author&gt;Abdur, R.&lt;/author&gt;&lt;/authors&gt;&lt;/contributors&gt;&lt;titles&gt;&lt;title&gt;Secondary metabolits in plants&lt;/title&gt;&lt;secondary-title&gt;Journal of Taibah University Medical Sciences&lt;/secondary-title&gt;&lt;/titles&gt;&lt;periodical&gt;&lt;full-title&gt;Journal of Taibah University Medical Sciences&lt;/full-title&gt;&lt;/periodical&gt;&lt;pages&gt;360-363&lt;/pages&gt;&lt;volume&gt;12&lt;/volume&gt;&lt;number&gt;4&lt;/number&gt;&lt;dates&gt;&lt;year&gt;2017&lt;/year&gt;&lt;/dates&gt;&lt;urls&gt;&lt;/urls&gt;&lt;/record&gt;&lt;/Cite&gt;&lt;/EndNote&gt;</w:instrText>
      </w:r>
      <w:r w:rsidRPr="001A5676">
        <w:rPr>
          <w:rFonts w:ascii="Arial" w:hAnsi="Arial" w:cs="Arial"/>
        </w:rPr>
        <w:fldChar w:fldCharType="separate"/>
      </w:r>
      <w:r w:rsidR="00CA16D7">
        <w:rPr>
          <w:rFonts w:ascii="Arial" w:hAnsi="Arial" w:cs="Arial"/>
          <w:noProof/>
        </w:rPr>
        <w:t>(Siddiqui &amp; Abdur, 2017)</w:t>
      </w:r>
      <w:r w:rsidRPr="001A5676">
        <w:rPr>
          <w:rFonts w:ascii="Arial" w:hAnsi="Arial" w:cs="Arial"/>
        </w:rPr>
        <w:fldChar w:fldCharType="end"/>
      </w:r>
      <w:r w:rsidRPr="001A5676">
        <w:rPr>
          <w:rFonts w:ascii="Arial" w:hAnsi="Arial" w:cs="Arial"/>
        </w:rPr>
        <w:t>.</w:t>
      </w:r>
    </w:p>
    <w:p w14:paraId="30C8CE63" w14:textId="77777777" w:rsidR="001A5676" w:rsidRPr="001A5676" w:rsidRDefault="001A5676" w:rsidP="001A5676">
      <w:pPr>
        <w:pStyle w:val="Body"/>
        <w:spacing w:after="0"/>
        <w:rPr>
          <w:rFonts w:ascii="Arial" w:hAnsi="Arial" w:cs="Arial"/>
        </w:rPr>
      </w:pPr>
    </w:p>
    <w:p w14:paraId="4AAF76A1" w14:textId="799076EC" w:rsidR="001A5676" w:rsidRPr="001A5676" w:rsidRDefault="001A5676" w:rsidP="001A5676">
      <w:pPr>
        <w:pStyle w:val="Body"/>
        <w:spacing w:after="0"/>
        <w:rPr>
          <w:rFonts w:ascii="Arial" w:hAnsi="Arial" w:cs="Arial"/>
          <w:b/>
          <w:bCs/>
        </w:rPr>
      </w:pPr>
      <w:bookmarkStart w:id="11" w:name="_Toc137924724"/>
      <w:r w:rsidRPr="001A5676">
        <w:rPr>
          <w:rFonts w:ascii="Arial" w:hAnsi="Arial" w:cs="Arial"/>
          <w:b/>
          <w:bCs/>
        </w:rPr>
        <w:t>2.3.2 Determination of total flavonoid content</w:t>
      </w:r>
      <w:bookmarkEnd w:id="11"/>
    </w:p>
    <w:p w14:paraId="4866E30B" w14:textId="5B59F9B3" w:rsidR="001A5676" w:rsidRPr="001A5676" w:rsidRDefault="001A5676" w:rsidP="001A5676">
      <w:pPr>
        <w:pStyle w:val="Body"/>
        <w:spacing w:after="0"/>
        <w:rPr>
          <w:rFonts w:ascii="Arial" w:hAnsi="Arial" w:cs="Arial"/>
        </w:rPr>
      </w:pPr>
      <w:r w:rsidRPr="001A5676">
        <w:rPr>
          <w:rFonts w:ascii="Arial" w:hAnsi="Arial" w:cs="Arial"/>
        </w:rPr>
        <w:t xml:space="preserve">A volume of 0.833 mL of an 80 µg/mL extract was added to 120 µL of 5% sodium nitrite. After 5 min, 120 µL of 10% aluminum chloride was added, followed by the addition of 800 µL of 1 M NaOH after 6 min. The mixture was homogenized, and the absorbance of the reaction mixture was immediately read at 415 nm against a control using a UV/Visible spectrophotometer. The total flavonoid content of the extracts was expressed as mg/g quercetin equivalent using the quercetin calibration curve (R² = 0,9607) at different extract concentrations. All samples were analyzed in triplicate </w:t>
      </w:r>
      <w:r w:rsidRPr="001A5676">
        <w:rPr>
          <w:rFonts w:ascii="Arial" w:hAnsi="Arial" w:cs="Arial"/>
        </w:rPr>
        <w:fldChar w:fldCharType="begin"/>
      </w:r>
      <w:r w:rsidR="00CA16D7">
        <w:rPr>
          <w:rFonts w:ascii="Arial" w:hAnsi="Arial" w:cs="Arial"/>
        </w:rPr>
        <w:instrText xml:space="preserve"> ADDIN EN.CITE &lt;EndNote&gt;&lt;Cite&gt;&lt;Author&gt;Siddiqui&lt;/Author&gt;&lt;Year&gt;2017&lt;/Year&gt;&lt;RecNum&gt;55&lt;/RecNum&gt;&lt;DisplayText&gt;(Siddiqui &amp;amp; Abdur, 2017)&lt;/DisplayText&gt;&lt;record&gt;&lt;rec-number&gt;55&lt;/rec-number&gt;&lt;foreign-keys&gt;&lt;key app="EN" db-id="xd20ava0ss0z06e9fzmxda9qwp2twsza5092" timestamp="1774870881"&gt;55&lt;/key&gt;&lt;/foreign-keys&gt;&lt;ref-type name="Journal Article"&gt;17&lt;/ref-type&gt;&lt;contributors&gt;&lt;authors&gt;&lt;author&gt;Siddiqui, N.&lt;/author&gt;&lt;author&gt;Abdur, R.&lt;/author&gt;&lt;/authors&gt;&lt;/contributors&gt;&lt;titles&gt;&lt;title&gt;Secondary metabolits in plants&lt;/title&gt;&lt;secondary-title&gt;Journal of Taibah University Medical Sciences&lt;/secondary-title&gt;&lt;/titles&gt;&lt;periodical&gt;&lt;full-title&gt;Journal of Taibah University Medical Sciences&lt;/full-title&gt;&lt;/periodical&gt;&lt;pages&gt;360-363&lt;/pages&gt;&lt;volume&gt;12&lt;/volume&gt;&lt;number&gt;4&lt;/number&gt;&lt;dates&gt;&lt;year&gt;2017&lt;/year&gt;&lt;/dates&gt;&lt;urls&gt;&lt;/urls&gt;&lt;/record&gt;&lt;/Cite&gt;&lt;/EndNote&gt;</w:instrText>
      </w:r>
      <w:r w:rsidRPr="001A5676">
        <w:rPr>
          <w:rFonts w:ascii="Arial" w:hAnsi="Arial" w:cs="Arial"/>
        </w:rPr>
        <w:fldChar w:fldCharType="separate"/>
      </w:r>
      <w:r w:rsidR="00CA16D7">
        <w:rPr>
          <w:rFonts w:ascii="Arial" w:hAnsi="Arial" w:cs="Arial"/>
          <w:noProof/>
        </w:rPr>
        <w:t>(Siddiqui &amp; Abdur, 2017)</w:t>
      </w:r>
      <w:r w:rsidRPr="001A5676">
        <w:rPr>
          <w:rFonts w:ascii="Arial" w:hAnsi="Arial" w:cs="Arial"/>
        </w:rPr>
        <w:fldChar w:fldCharType="end"/>
      </w:r>
      <w:r w:rsidRPr="001A5676">
        <w:rPr>
          <w:rFonts w:ascii="Arial" w:hAnsi="Arial" w:cs="Arial"/>
        </w:rPr>
        <w:t>.</w:t>
      </w:r>
    </w:p>
    <w:p w14:paraId="2E20EDB2" w14:textId="77777777" w:rsidR="001A5676" w:rsidRPr="001A5676" w:rsidRDefault="001A5676" w:rsidP="001A5676">
      <w:pPr>
        <w:pStyle w:val="Body"/>
        <w:spacing w:after="0"/>
        <w:rPr>
          <w:rFonts w:ascii="Arial" w:hAnsi="Arial" w:cs="Arial"/>
        </w:rPr>
      </w:pPr>
      <w:bookmarkStart w:id="12" w:name="_Toc137924725"/>
      <w:r w:rsidRPr="001A5676">
        <w:rPr>
          <w:rFonts w:ascii="Arial" w:hAnsi="Arial" w:cs="Arial"/>
        </w:rPr>
        <w:t>II.3.3 Determination of total tannin content</w:t>
      </w:r>
      <w:bookmarkEnd w:id="12"/>
    </w:p>
    <w:p w14:paraId="404B9131" w14:textId="01281A17" w:rsidR="001A5676" w:rsidRDefault="001A5676" w:rsidP="001A5676">
      <w:pPr>
        <w:pStyle w:val="Body"/>
        <w:spacing w:after="0"/>
        <w:rPr>
          <w:rFonts w:ascii="Arial" w:hAnsi="Arial" w:cs="Arial"/>
        </w:rPr>
      </w:pPr>
      <w:r w:rsidRPr="001A5676">
        <w:rPr>
          <w:rFonts w:ascii="Arial" w:hAnsi="Arial" w:cs="Arial"/>
        </w:rPr>
        <w:t xml:space="preserve">A 50 µL volume of each 1 mg/ml extract was added to 1500 µL of 4% vanillin/methanol and mixed. Then, 750 µL of concentrated HCl was added. The resulting mixture reacted at room temperature for 20 min. Absorbance was measured at 550 nm (measure of condensed tannins) against a blank containing only the vanillin solution. Different concentrations between 0.05 and 0.5 (CE)/g were prepared from a stock catechin solution, which allowed for the plotting of the calibration curve (R² = 0,9993). All samples were analyzed in triplicate </w:t>
      </w:r>
      <w:r w:rsidRPr="001A5676">
        <w:rPr>
          <w:rFonts w:ascii="Arial" w:hAnsi="Arial" w:cs="Arial"/>
        </w:rPr>
        <w:fldChar w:fldCharType="begin"/>
      </w:r>
      <w:r w:rsidR="00CA16D7">
        <w:rPr>
          <w:rFonts w:ascii="Arial" w:hAnsi="Arial" w:cs="Arial"/>
        </w:rPr>
        <w:instrText xml:space="preserve"> ADDIN EN.CITE &lt;EndNote&gt;&lt;Cite&gt;&lt;Author&gt;Ribereau-gayon&lt;/Author&gt;&lt;Year&gt;1996&lt;/Year&gt;&lt;RecNum&gt;56&lt;/RecNum&gt;&lt;DisplayText&gt;(Ribereau-gayon &amp;amp; Stonestreet, 1996)&lt;/DisplayText&gt;&lt;record&gt;&lt;rec-number&gt;56&lt;/rec-number&gt;&lt;foreign-keys&gt;&lt;key app="EN" db-id="xd20ava0ss0z06e9fzmxda9qwp2twsza5092" timestamp="1774870881"&gt;56&lt;/key&gt;&lt;/foreign-keys&gt;&lt;ref-type name="Journal Article"&gt;17&lt;/ref-type&gt;&lt;contributors&gt;&lt;authors&gt;&lt;author&gt;Ribereau-gayon, P.&lt;/author&gt;&lt;author&gt;Stonestreet, E.&lt;/author&gt;&lt;/authors&gt;&lt;/contributors&gt;&lt;titles&gt;&lt;title&gt;Chimie des plantes&lt;/title&gt;&lt;secondary-title&gt;Annales de Chimie&lt;/secondary-title&gt;&lt;/titles&gt;&lt;periodical&gt;&lt;full-title&gt;Annales de Chimie&lt;/full-title&gt;&lt;/periodical&gt;&lt;pages&gt;188-196&lt;/pages&gt;&lt;dates&gt;&lt;year&gt;1996&lt;/year&gt;&lt;/dates&gt;&lt;urls&gt;&lt;/urls&gt;&lt;/record&gt;&lt;/Cite&gt;&lt;/EndNote&gt;</w:instrText>
      </w:r>
      <w:r w:rsidRPr="001A5676">
        <w:rPr>
          <w:rFonts w:ascii="Arial" w:hAnsi="Arial" w:cs="Arial"/>
        </w:rPr>
        <w:fldChar w:fldCharType="separate"/>
      </w:r>
      <w:r w:rsidR="00CA16D7">
        <w:rPr>
          <w:rFonts w:ascii="Arial" w:hAnsi="Arial" w:cs="Arial"/>
          <w:noProof/>
        </w:rPr>
        <w:t>(Ribereau-gayon &amp; Stonestreet, 1996)</w:t>
      </w:r>
      <w:r w:rsidRPr="001A5676">
        <w:rPr>
          <w:rFonts w:ascii="Arial" w:hAnsi="Arial" w:cs="Arial"/>
        </w:rPr>
        <w:fldChar w:fldCharType="end"/>
      </w:r>
      <w:r w:rsidRPr="001A5676">
        <w:rPr>
          <w:rFonts w:ascii="Arial" w:hAnsi="Arial" w:cs="Arial"/>
        </w:rPr>
        <w:t>.</w:t>
      </w:r>
    </w:p>
    <w:p w14:paraId="127CA9CC" w14:textId="77777777" w:rsidR="001A5676" w:rsidRPr="001A5676" w:rsidRDefault="001A5676" w:rsidP="001A5676">
      <w:pPr>
        <w:pStyle w:val="Body"/>
        <w:spacing w:after="0"/>
        <w:rPr>
          <w:rFonts w:ascii="Arial" w:hAnsi="Arial" w:cs="Arial"/>
        </w:rPr>
      </w:pPr>
    </w:p>
    <w:p w14:paraId="2E0DE23D" w14:textId="76898247" w:rsidR="001A5676" w:rsidRPr="001A5676" w:rsidRDefault="001A5676" w:rsidP="001A5676">
      <w:pPr>
        <w:pStyle w:val="Body"/>
        <w:spacing w:after="0"/>
        <w:rPr>
          <w:rFonts w:ascii="Arial" w:hAnsi="Arial" w:cs="Arial"/>
          <w:b/>
          <w:bCs/>
        </w:rPr>
      </w:pPr>
      <w:bookmarkStart w:id="13" w:name="_Toc136377196"/>
      <w:bookmarkStart w:id="14" w:name="_Toc137924726"/>
      <w:r w:rsidRPr="001A5676">
        <w:rPr>
          <w:rFonts w:ascii="Arial" w:hAnsi="Arial" w:cs="Arial"/>
          <w:b/>
          <w:bCs/>
        </w:rPr>
        <w:t xml:space="preserve">2.4 Antioxidant </w:t>
      </w:r>
      <w:bookmarkEnd w:id="13"/>
      <w:bookmarkEnd w:id="14"/>
      <w:r w:rsidRPr="001A5676">
        <w:rPr>
          <w:rFonts w:ascii="Arial" w:hAnsi="Arial" w:cs="Arial"/>
          <w:b/>
          <w:bCs/>
        </w:rPr>
        <w:t>activities</w:t>
      </w:r>
    </w:p>
    <w:p w14:paraId="65AD050A" w14:textId="6D920441" w:rsidR="001A5676" w:rsidRDefault="001A5676" w:rsidP="001A5676">
      <w:pPr>
        <w:pStyle w:val="Body"/>
        <w:spacing w:after="0"/>
        <w:rPr>
          <w:rFonts w:ascii="Arial" w:hAnsi="Arial" w:cs="Arial"/>
        </w:rPr>
      </w:pPr>
      <w:r w:rsidRPr="001A5676">
        <w:rPr>
          <w:rFonts w:ascii="Arial" w:hAnsi="Arial" w:cs="Arial"/>
        </w:rPr>
        <w:t xml:space="preserve">The evaluation of the antioxidant activity of </w:t>
      </w:r>
      <w:r w:rsidR="00CA16D7" w:rsidRPr="00CA16D7">
        <w:rPr>
          <w:rFonts w:ascii="Arial" w:hAnsi="Arial" w:cs="Arial"/>
          <w:i/>
          <w:iCs/>
        </w:rPr>
        <w:t xml:space="preserve">G. </w:t>
      </w:r>
      <w:proofErr w:type="spellStart"/>
      <w:proofErr w:type="gramStart"/>
      <w:r w:rsidR="00CA16D7" w:rsidRPr="00CA16D7">
        <w:rPr>
          <w:rFonts w:ascii="Arial" w:hAnsi="Arial" w:cs="Arial"/>
          <w:i/>
          <w:iCs/>
        </w:rPr>
        <w:t>mangostana</w:t>
      </w:r>
      <w:proofErr w:type="spellEnd"/>
      <w:r w:rsidR="00CA16D7" w:rsidRPr="00CA16D7">
        <w:rPr>
          <w:rFonts w:ascii="Arial" w:hAnsi="Arial" w:cs="Arial"/>
          <w:i/>
          <w:iCs/>
        </w:rPr>
        <w:t xml:space="preserve"> </w:t>
      </w:r>
      <w:r w:rsidRPr="001A5676">
        <w:rPr>
          <w:rFonts w:ascii="Arial" w:hAnsi="Arial" w:cs="Arial"/>
        </w:rPr>
        <w:t xml:space="preserve"> extracts</w:t>
      </w:r>
      <w:proofErr w:type="gramEnd"/>
      <w:r w:rsidRPr="001A5676">
        <w:rPr>
          <w:rFonts w:ascii="Arial" w:hAnsi="Arial" w:cs="Arial"/>
        </w:rPr>
        <w:t xml:space="preserve"> was carried out by two methods: the DPPH radical scavenging method and the ferric iron to ferrous iron reduction method.</w:t>
      </w:r>
    </w:p>
    <w:p w14:paraId="710AC0CF" w14:textId="77777777" w:rsidR="001A5676" w:rsidRPr="001A5676" w:rsidRDefault="001A5676" w:rsidP="001A5676">
      <w:pPr>
        <w:pStyle w:val="Body"/>
        <w:spacing w:after="0"/>
        <w:rPr>
          <w:rFonts w:ascii="Arial" w:hAnsi="Arial" w:cs="Arial"/>
        </w:rPr>
      </w:pPr>
    </w:p>
    <w:p w14:paraId="39A74A64" w14:textId="77777777" w:rsidR="001A5676" w:rsidRPr="001A5676" w:rsidRDefault="001A5676" w:rsidP="001A5676">
      <w:pPr>
        <w:pStyle w:val="Body"/>
        <w:spacing w:after="0"/>
        <w:rPr>
          <w:rFonts w:ascii="Arial" w:hAnsi="Arial" w:cs="Arial"/>
          <w:b/>
          <w:bCs/>
        </w:rPr>
      </w:pPr>
      <w:bookmarkStart w:id="15" w:name="_Toc137924727"/>
      <w:r w:rsidRPr="001A5676">
        <w:rPr>
          <w:rFonts w:ascii="Arial" w:hAnsi="Arial" w:cs="Arial"/>
          <w:b/>
          <w:bCs/>
        </w:rPr>
        <w:t>II.4.1 DPPH radical trapping method</w:t>
      </w:r>
      <w:bookmarkEnd w:id="15"/>
    </w:p>
    <w:p w14:paraId="61DDBE89" w14:textId="23C91BFE" w:rsidR="001A5676" w:rsidRPr="001A5676" w:rsidRDefault="001A5676" w:rsidP="001A5676">
      <w:pPr>
        <w:pStyle w:val="Body"/>
        <w:spacing w:after="0"/>
        <w:rPr>
          <w:rFonts w:ascii="Arial" w:hAnsi="Arial" w:cs="Arial"/>
        </w:rPr>
      </w:pPr>
      <w:r w:rsidRPr="001A5676">
        <w:rPr>
          <w:rFonts w:ascii="Arial" w:hAnsi="Arial" w:cs="Arial"/>
        </w:rPr>
        <w:t xml:space="preserve">This test aims to measure the extract's ability to scavenge the relatively stable free radical, 2,2-diphenyl-1-picrylhydrazyl (DPPH). Scavenging this radical causes the initial solution to change color from dark purple to yellow following its reduction reaction </w:t>
      </w:r>
      <w:r w:rsidRPr="001A5676">
        <w:rPr>
          <w:rFonts w:ascii="Arial" w:hAnsi="Arial" w:cs="Arial"/>
        </w:rPr>
        <w:fldChar w:fldCharType="begin"/>
      </w:r>
      <w:r w:rsidR="00CA16D7">
        <w:rPr>
          <w:rFonts w:ascii="Arial" w:hAnsi="Arial" w:cs="Arial"/>
        </w:rPr>
        <w:instrText xml:space="preserve"> ADDIN EN.CITE &lt;EndNote&gt;&lt;Cite&gt;&lt;Author&gt;Molyneux&lt;/Author&gt;&lt;Year&gt;2004&lt;/Year&gt;&lt;RecNum&gt;57&lt;/RecNum&gt;&lt;DisplayText&gt;(Molyneux, 2004)&lt;/DisplayText&gt;&lt;record&gt;&lt;rec-number&gt;57&lt;/rec-number&gt;&lt;foreign-keys&gt;&lt;key app="EN" db-id="xd20ava0ss0z06e9fzmxda9qwp2twsza5092" timestamp="1774870881"&gt;57&lt;/key&gt;&lt;/foreign-keys&gt;&lt;ref-type name="Journal Article"&gt;17&lt;/ref-type&gt;&lt;contributors&gt;&lt;authors&gt;&lt;author&gt;Molyneux,&lt;/author&gt;&lt;/authors&gt;&lt;/contributors&gt;&lt;titles&gt;&lt;title&gt;The use of stable free radical diphenylpicryl-hydrazyl (DPPH) for estimating antioxidant activity Songklanakarin&lt;/title&gt;&lt;secondary-title&gt;Journal Science Technology&lt;/secondary-title&gt;&lt;/titles&gt;&lt;periodical&gt;&lt;full-title&gt;Journal Science Technology&lt;/full-title&gt;&lt;/periodical&gt;&lt;pages&gt;211-219&lt;/pages&gt;&lt;volume&gt;26&lt;/volume&gt;&lt;number&gt;2&lt;/number&gt;&lt;dates&gt;&lt;year&gt;2004&lt;/year&gt;&lt;/dates&gt;&lt;urls&gt;&lt;/urls&gt;&lt;/record&gt;&lt;/Cite&gt;&lt;/EndNote&gt;</w:instrText>
      </w:r>
      <w:r w:rsidRPr="001A5676">
        <w:rPr>
          <w:rFonts w:ascii="Arial" w:hAnsi="Arial" w:cs="Arial"/>
        </w:rPr>
        <w:fldChar w:fldCharType="separate"/>
      </w:r>
      <w:r w:rsidR="00CA16D7">
        <w:rPr>
          <w:rFonts w:ascii="Arial" w:hAnsi="Arial" w:cs="Arial"/>
          <w:noProof/>
        </w:rPr>
        <w:t>(Molyneux, 2004)</w:t>
      </w:r>
      <w:r w:rsidRPr="001A5676">
        <w:rPr>
          <w:rFonts w:ascii="Arial" w:hAnsi="Arial" w:cs="Arial"/>
        </w:rPr>
        <w:fldChar w:fldCharType="end"/>
      </w:r>
      <w:r w:rsidRPr="001A5676">
        <w:rPr>
          <w:rFonts w:ascii="Arial" w:hAnsi="Arial" w:cs="Arial"/>
        </w:rPr>
        <w:t xml:space="preserve">. This color change can be monitored by spectrophotometry at 517 nm, allowing the antioxidant </w:t>
      </w:r>
      <w:r w:rsidRPr="001A5676">
        <w:rPr>
          <w:rFonts w:ascii="Arial" w:hAnsi="Arial" w:cs="Arial"/>
        </w:rPr>
        <w:lastRenderedPageBreak/>
        <w:t xml:space="preserve">potential of a substance or plant extract to be determined. The protocol followed is described by Brand-Williams et al . </w:t>
      </w:r>
      <w:r w:rsidRPr="001A5676">
        <w:rPr>
          <w:rFonts w:ascii="Arial" w:hAnsi="Arial" w:cs="Arial"/>
        </w:rPr>
        <w:fldChar w:fldCharType="begin"/>
      </w:r>
      <w:r w:rsidR="00CA16D7">
        <w:rPr>
          <w:rFonts w:ascii="Arial" w:hAnsi="Arial" w:cs="Arial"/>
        </w:rPr>
        <w:instrText xml:space="preserve"> ADDIN EN.CITE &lt;EndNote&gt;&lt;Cite&gt;&lt;Author&gt;Molyneux&lt;/Author&gt;&lt;Year&gt;2004&lt;/Year&gt;&lt;RecNum&gt;57&lt;/RecNum&gt;&lt;DisplayText&gt;(Molyneux, 2004)&lt;/DisplayText&gt;&lt;record&gt;&lt;rec-number&gt;57&lt;/rec-number&gt;&lt;foreign-keys&gt;&lt;key app="EN" db-id="xd20ava0ss0z06e9fzmxda9qwp2twsza5092" timestamp="1774870881"&gt;57&lt;/key&gt;&lt;/foreign-keys&gt;&lt;ref-type name="Journal Article"&gt;17&lt;/ref-type&gt;&lt;contributors&gt;&lt;authors&gt;&lt;author&gt;Molyneux,&lt;/author&gt;&lt;/authors&gt;&lt;/contributors&gt;&lt;titles&gt;&lt;title&gt;The use of stable free radical diphenylpicryl-hydrazyl (DPPH) for estimating antioxidant activity Songklanakarin&lt;/title&gt;&lt;secondary-title&gt;Journal Science Technology&lt;/secondary-title&gt;&lt;/titles&gt;&lt;periodical&gt;&lt;full-title&gt;Journal Science Technology&lt;/full-title&gt;&lt;/periodical&gt;&lt;pages&gt;211-219&lt;/pages&gt;&lt;volume&gt;26&lt;/volume&gt;&lt;number&gt;2&lt;/number&gt;&lt;dates&gt;&lt;year&gt;2004&lt;/year&gt;&lt;/dates&gt;&lt;urls&gt;&lt;/urls&gt;&lt;/record&gt;&lt;/Cite&gt;&lt;/EndNote&gt;</w:instrText>
      </w:r>
      <w:r w:rsidRPr="001A5676">
        <w:rPr>
          <w:rFonts w:ascii="Arial" w:hAnsi="Arial" w:cs="Arial"/>
        </w:rPr>
        <w:fldChar w:fldCharType="separate"/>
      </w:r>
      <w:r w:rsidR="00CA16D7">
        <w:rPr>
          <w:rFonts w:ascii="Arial" w:hAnsi="Arial" w:cs="Arial"/>
          <w:noProof/>
        </w:rPr>
        <w:t>(Molyneux, 2004)</w:t>
      </w:r>
      <w:r w:rsidRPr="001A5676">
        <w:rPr>
          <w:rFonts w:ascii="Arial" w:hAnsi="Arial" w:cs="Arial"/>
        </w:rPr>
        <w:fldChar w:fldCharType="end"/>
      </w:r>
      <w:r w:rsidRPr="001A5676">
        <w:rPr>
          <w:rFonts w:ascii="Arial" w:hAnsi="Arial" w:cs="Arial"/>
        </w:rPr>
        <w:t>was used. In six dry test tubes, 100 µL of each extract dilution (1000 ppm, 500 ppm, 250 ppm, 125 ppm, 62.5 ppm, 31.5 ppm) was mixed with 1900 µL of DPPH methanolic solution (0.1mM). After shaking, the tubes were placed in the dark at room temperature for 30 minutes. The reading was then taken by measuring absorbance at 517 nm. In the negative control, the different dilutions of extract were replaced by 100 µL of methanol and in the positive control by dilutions of antioxidant references.</w:t>
      </w:r>
    </w:p>
    <w:p w14:paraId="12E3704E" w14:textId="24F4FCBF" w:rsidR="001A5676" w:rsidRPr="001A5676" w:rsidRDefault="001A5676" w:rsidP="001A5676">
      <w:pPr>
        <w:pStyle w:val="Body"/>
        <w:spacing w:after="0"/>
        <w:rPr>
          <w:rFonts w:ascii="Arial" w:hAnsi="Arial" w:cs="Arial"/>
        </w:rPr>
      </w:pPr>
      <w:r w:rsidRPr="001A5676">
        <w:rPr>
          <w:rFonts w:ascii="Arial" w:hAnsi="Arial" w:cs="Arial"/>
        </w:rPr>
        <w:t xml:space="preserve">The percentage of inhibition (PI) was calculated using the following formula </w:t>
      </w:r>
      <w:r w:rsidRPr="001A5676">
        <w:rPr>
          <w:rFonts w:ascii="Arial" w:hAnsi="Arial" w:cs="Arial"/>
        </w:rPr>
        <w:fldChar w:fldCharType="begin"/>
      </w:r>
      <w:r w:rsidR="00CA16D7">
        <w:rPr>
          <w:rFonts w:ascii="Arial" w:hAnsi="Arial" w:cs="Arial"/>
        </w:rPr>
        <w:instrText xml:space="preserve"> ADDIN EN.CITE &lt;EndNote&gt;&lt;Cite&gt;&lt;Author&gt;Talbi&lt;/Author&gt;&lt;Year&gt;2014&lt;/Year&gt;&lt;RecNum&gt;58&lt;/RecNum&gt;&lt;DisplayText&gt;(Talbi, 2014)&lt;/DisplayText&gt;&lt;record&gt;&lt;rec-number&gt;58&lt;/rec-number&gt;&lt;foreign-keys&gt;&lt;key app="EN" db-id="xd20ava0ss0z06e9fzmxda9qwp2twsza5092" timestamp="1774870881"&gt;58&lt;/key&gt;&lt;/foreign-keys&gt;&lt;ref-type name="Journal Article"&gt;17&lt;/ref-type&gt;&lt;contributors&gt;&lt;authors&gt;&lt;author&gt;Talbi, H.&lt;/author&gt;&lt;/authors&gt;&lt;/contributors&gt;&lt;titles&gt;&lt;title&gt;Evaluation de l’activité antioxydante et la composition physico-chimique des extraits méthanoliques et aqueux de la Nigella sativa&lt;/title&gt;&lt;/titles&gt;&lt;pages&gt;1111-1117&lt;/pages&gt;&lt;volume&gt;6&lt;/volume&gt;&lt;number&gt;4&lt;/number&gt;&lt;dates&gt;&lt;year&gt;2014&lt;/year&gt;&lt;/dates&gt;&lt;urls&gt;&lt;/urls&gt;&lt;/record&gt;&lt;/Cite&gt;&lt;/EndNote&gt;</w:instrText>
      </w:r>
      <w:r w:rsidRPr="001A5676">
        <w:rPr>
          <w:rFonts w:ascii="Arial" w:hAnsi="Arial" w:cs="Arial"/>
        </w:rPr>
        <w:fldChar w:fldCharType="separate"/>
      </w:r>
      <w:r w:rsidR="00CA16D7">
        <w:rPr>
          <w:rFonts w:ascii="Arial" w:hAnsi="Arial" w:cs="Arial"/>
          <w:noProof/>
        </w:rPr>
        <w:t>(Talbi, 2014)</w:t>
      </w:r>
      <w:r w:rsidRPr="001A5676">
        <w:rPr>
          <w:rFonts w:ascii="Arial" w:hAnsi="Arial" w:cs="Arial"/>
        </w:rPr>
        <w:fldChar w:fldCharType="end"/>
      </w:r>
    </w:p>
    <w:p w14:paraId="3A580E58" w14:textId="77777777" w:rsidR="001A5676" w:rsidRPr="001A5676" w:rsidRDefault="001A5676" w:rsidP="001A5676">
      <w:pPr>
        <w:pStyle w:val="Body"/>
        <w:spacing w:after="0"/>
        <w:rPr>
          <w:rFonts w:ascii="Arial" w:hAnsi="Arial" w:cs="Arial"/>
        </w:rPr>
      </w:pPr>
      <m:oMathPara>
        <m:oMath>
          <m:r>
            <w:rPr>
              <w:rFonts w:ascii="Cambria Math" w:hAnsi="Cambria Math" w:cs="Arial"/>
            </w:rPr>
            <m:t>I</m:t>
          </m:r>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Absorbance of blank-Absorbance of test</m:t>
              </m:r>
            </m:num>
            <m:den>
              <m:r>
                <m:rPr>
                  <m:sty m:val="p"/>
                </m:rPr>
                <w:rPr>
                  <w:rFonts w:ascii="Cambria Math" w:hAnsi="Cambria Math" w:cs="Arial"/>
                </w:rPr>
                <m:t>Absorbance of blank</m:t>
              </m:r>
            </m:den>
          </m:f>
          <m:r>
            <m:rPr>
              <m:sty m:val="p"/>
            </m:rPr>
            <w:rPr>
              <w:rFonts w:ascii="Cambria Math" w:hAnsi="Cambria Math" w:cs="Arial"/>
            </w:rPr>
            <m:t>×100</m:t>
          </m:r>
        </m:oMath>
      </m:oMathPara>
    </w:p>
    <w:p w14:paraId="5F2B0DAC" w14:textId="2CB1C776" w:rsidR="001A5676" w:rsidRPr="001A5676" w:rsidRDefault="001A5676" w:rsidP="001A5676">
      <w:pPr>
        <w:pStyle w:val="Body"/>
        <w:spacing w:after="0"/>
        <w:rPr>
          <w:rFonts w:ascii="Arial" w:hAnsi="Arial" w:cs="Arial"/>
        </w:rPr>
      </w:pPr>
      <w:r w:rsidRPr="001A5676">
        <w:rPr>
          <w:rFonts w:ascii="Arial" w:hAnsi="Arial" w:cs="Arial"/>
        </w:rPr>
        <w:t xml:space="preserve">The IC50 the concentration of extract required to scavenge 50% of DPPH radicals (EC50 ) , expressed in mg of antioxidant/g of DPPH or </w:t>
      </w:r>
      <w:proofErr w:type="spellStart"/>
      <w:r w:rsidRPr="001A5676">
        <w:rPr>
          <w:rFonts w:ascii="Arial" w:hAnsi="Arial" w:cs="Arial"/>
        </w:rPr>
        <w:t>i</w:t>
      </w:r>
      <w:proofErr w:type="spellEnd"/>
      <w:r w:rsidRPr="001A5676">
        <w:rPr>
          <w:rFonts w:ascii="Arial" w:hAnsi="Arial" w:cs="Arial"/>
        </w:rPr>
        <w:fldChar w:fldCharType="begin"/>
      </w:r>
      <w:r w:rsidR="00CA16D7">
        <w:rPr>
          <w:rFonts w:ascii="Arial" w:hAnsi="Arial" w:cs="Arial"/>
        </w:rPr>
        <w:instrText xml:space="preserve"> ADDIN EN.CITE &lt;EndNote&gt;&lt;Cite&gt;&lt;Author&gt;Nakagawa&lt;/Author&gt;&lt;Year&gt;1984&lt;/Year&gt;&lt;RecNum&gt;287&lt;/RecNum&gt;&lt;DisplayText&gt;(Nakagawa et al., 1984)&lt;/DisplayText&gt;&lt;record&gt;&lt;rec-number&gt;287&lt;/rec-number&gt;&lt;foreign-keys&gt;&lt;key app="EN" db-id="dzxvrd2t1ta0pceprrspdwttdvz259pz9wx0" timestamp="1772740503"&gt;287&lt;/key&gt;&lt;/foreign-keys&gt;&lt;ref-type name="Journal Article"&gt;17&lt;/ref-type&gt;&lt;contributors&gt;&lt;authors&gt;&lt;author&gt;Nakagawa, Yoshio&lt;/author&gt;&lt;author&gt;Tayama, Kuniaki&lt;/author&gt;&lt;author&gt;Nakao, Toshiko&lt;/author&gt;&lt;author&gt;Hiraga, Kogo&lt;/author&gt;&lt;/authors&gt;&lt;/contributors&gt;&lt;titles&gt;&lt;title&gt;On the mechanism of butylated hydroxytoluene-induced hepatic toxicity in rats&lt;/title&gt;&lt;secondary-title&gt;Biochemical pharmacology&lt;/secondary-title&gt;&lt;/titles&gt;&lt;periodical&gt;&lt;full-title&gt;Biochemical pharmacology&lt;/full-title&gt;&lt;/periodical&gt;&lt;pages&gt;2669-2674&lt;/pages&gt;&lt;volume&gt;33&lt;/volume&gt;&lt;number&gt;16&lt;/number&gt;&lt;dates&gt;&lt;year&gt;1984&lt;/year&gt;&lt;/dates&gt;&lt;isbn&gt;0006-2952&lt;/isbn&gt;&lt;urls&gt;&lt;/urls&gt;&lt;/record&gt;&lt;/Cite&gt;&lt;/EndNote&gt;</w:instrText>
      </w:r>
      <w:r w:rsidRPr="001A5676">
        <w:rPr>
          <w:rFonts w:ascii="Arial" w:hAnsi="Arial" w:cs="Arial"/>
        </w:rPr>
        <w:fldChar w:fldCharType="separate"/>
      </w:r>
      <w:r w:rsidR="00CA16D7">
        <w:rPr>
          <w:rFonts w:ascii="Arial" w:hAnsi="Arial" w:cs="Arial"/>
          <w:noProof/>
        </w:rPr>
        <w:t>(Nakagawa et al., 1984)</w:t>
      </w:r>
      <w:r w:rsidRPr="001A5676">
        <w:rPr>
          <w:rFonts w:ascii="Arial" w:hAnsi="Arial" w:cs="Arial"/>
        </w:rPr>
        <w:fldChar w:fldCharType="end"/>
      </w:r>
      <w:r w:rsidRPr="001A5676">
        <w:rPr>
          <w:rFonts w:ascii="Arial" w:hAnsi="Arial" w:cs="Arial"/>
        </w:rPr>
        <w:t xml:space="preserve">n mg of antioxidant/mol of DPPH, was deduced by the formula below for pure molecules. The CI 50 was determined graphically using a regression equation of the form y = </w:t>
      </w:r>
      <w:proofErr w:type="spellStart"/>
      <w:r w:rsidRPr="001A5676">
        <w:rPr>
          <w:rFonts w:ascii="Arial" w:hAnsi="Arial" w:cs="Arial"/>
        </w:rPr>
        <w:t>alnx</w:t>
      </w:r>
      <w:proofErr w:type="spellEnd"/>
      <w:r w:rsidRPr="001A5676">
        <w:rPr>
          <w:rFonts w:ascii="Arial" w:hAnsi="Arial" w:cs="Arial"/>
        </w:rPr>
        <w:t xml:space="preserve"> + b; assuming each time that y= 50. The antiradical potential was determined according to the scale provided by Souris </w:t>
      </w:r>
      <w:r w:rsidRPr="001A5676">
        <w:rPr>
          <w:rFonts w:ascii="Arial" w:hAnsi="Arial" w:cs="Arial"/>
        </w:rPr>
        <w:fldChar w:fldCharType="begin"/>
      </w:r>
      <w:r w:rsidR="00CA16D7">
        <w:rPr>
          <w:rFonts w:ascii="Arial" w:hAnsi="Arial" w:cs="Arial"/>
        </w:rPr>
        <w:instrText xml:space="preserve"> ADDIN EN.CITE &lt;EndNote&gt;&lt;Cite&gt;&lt;Author&gt;Souris&lt;/Author&gt;&lt;Year&gt;2002&lt;/Year&gt;&lt;RecNum&gt;77&lt;/RecNum&gt;&lt;DisplayText&gt;(Souris, 2002)&lt;/DisplayText&gt;&lt;record&gt;&lt;rec-number&gt;77&lt;/rec-number&gt;&lt;foreign-keys&gt;&lt;key app="EN" db-id="xd20ava0ss0z06e9fzmxda9qwp2twsza5092" timestamp="1774872180"&gt;77&lt;/key&gt;&lt;/foreign-keys&gt;&lt;ref-type name="Thesis"&gt;32&lt;/ref-type&gt;&lt;contributors&gt;&lt;authors&gt;&lt;author&gt;Souris, J. S.&lt;/author&gt;&lt;/authors&gt;&lt;/contributors&gt;&lt;titles&gt;&lt;title&gt;Évaluation de l&amp;apos;activité antioxydante des extraits de plantes&lt;/title&gt;&lt;short-title&gt;Évaluation de l&amp;apos;activité antioxydante des extraits de plantes&lt;/short-title&gt;&lt;/titles&gt;&lt;dates&gt;&lt;year&gt;2002&lt;/year&gt;&lt;/dates&gt;&lt;pub-location&gt;Louvain&lt;/pub-location&gt;&lt;publisher&gt;Université Catholique de Louvain&lt;/publisher&gt;&lt;urls&gt;&lt;/urls&gt;&lt;/record&gt;&lt;/Cite&gt;&lt;/EndNote&gt;</w:instrText>
      </w:r>
      <w:r w:rsidRPr="001A5676">
        <w:rPr>
          <w:rFonts w:ascii="Arial" w:hAnsi="Arial" w:cs="Arial"/>
        </w:rPr>
        <w:fldChar w:fldCharType="separate"/>
      </w:r>
      <w:r w:rsidR="00CA16D7">
        <w:rPr>
          <w:rFonts w:ascii="Arial" w:hAnsi="Arial" w:cs="Arial"/>
          <w:noProof/>
        </w:rPr>
        <w:t>(Souris, 2002)</w:t>
      </w:r>
      <w:r w:rsidRPr="001A5676">
        <w:rPr>
          <w:rFonts w:ascii="Arial" w:hAnsi="Arial" w:cs="Arial"/>
        </w:rPr>
        <w:fldChar w:fldCharType="end"/>
      </w:r>
      <w:r w:rsidRPr="001A5676">
        <w:rPr>
          <w:rFonts w:ascii="Arial" w:hAnsi="Arial" w:cs="Arial"/>
        </w:rPr>
        <w:t>which stipulates that the antiradical potential of a plant is considered high when the IC 50 &lt; 20 µg/mL, moderate when 20 µg/mL ≤ the IC 50 ≤ 75 µg/mL and low when the IC 50 &gt; 75 µg/</w:t>
      </w:r>
      <w:proofErr w:type="spellStart"/>
      <w:r w:rsidRPr="001A5676">
        <w:rPr>
          <w:rFonts w:ascii="Arial" w:hAnsi="Arial" w:cs="Arial"/>
        </w:rPr>
        <w:t>mL.</w:t>
      </w:r>
      <w:proofErr w:type="spellEnd"/>
    </w:p>
    <w:p w14:paraId="11B8792C" w14:textId="3C6810FB" w:rsidR="001A5676" w:rsidRPr="001A5676" w:rsidRDefault="001A5676" w:rsidP="001A5676">
      <w:pPr>
        <w:pStyle w:val="Body"/>
        <w:spacing w:after="0"/>
        <w:rPr>
          <w:rFonts w:ascii="Arial" w:hAnsi="Arial" w:cs="Arial"/>
        </w:rPr>
      </w:pPr>
      <w:r w:rsidRPr="001A5676">
        <w:rPr>
          <w:rFonts w:ascii="Arial" w:hAnsi="Arial" w:cs="Arial"/>
        </w:rPr>
        <w:t xml:space="preserve">The calculation of the antiradical power (AP), equal to the inverse of the effective concentration, was also carried out. The higher it is, the more effective the antiradical agent is </w:t>
      </w:r>
      <w:r w:rsidRPr="001A5676">
        <w:rPr>
          <w:rFonts w:ascii="Arial" w:hAnsi="Arial" w:cs="Arial"/>
        </w:rPr>
        <w:fldChar w:fldCharType="begin"/>
      </w:r>
      <w:r w:rsidR="00CA16D7">
        <w:rPr>
          <w:rFonts w:ascii="Arial" w:hAnsi="Arial" w:cs="Arial"/>
        </w:rPr>
        <w:instrText xml:space="preserve"> ADDIN EN.CITE &lt;EndNote&gt;&lt;Cite&gt;&lt;Author&gt;Nyegue&lt;/Author&gt;&lt;Year&gt;2006&lt;/Year&gt;&lt;RecNum&gt;61&lt;/RecNum&gt;&lt;DisplayText&gt;(Nyegue, 2006)&lt;/DisplayText&gt;&lt;record&gt;&lt;rec-number&gt;61&lt;/rec-number&gt;&lt;foreign-keys&gt;&lt;key app="EN" db-id="xd20ava0ss0z06e9fzmxda9qwp2twsza5092" timestamp="1774870881"&gt;61&lt;/key&gt;&lt;/foreign-keys&gt;&lt;ref-type name="Thesis"&gt;32&lt;/ref-type&gt;&lt;contributors&gt;&lt;authors&gt;&lt;author&gt;Nyegue, M.&lt;/author&gt;&lt;/authors&gt;&lt;/contributors&gt;&lt;titles&gt;&lt;title&gt;Propriétés chimiques et biologiques des huiles essentielles de quelques plantes aromatiques et/ou médicinales du Cameroun : évaluation de leurs activités anti-radicalaires, anti-inflammatoires et antibactériennes&lt;/title&gt;&lt;short-title&gt;Thèse de Doctorat&lt;/short-title&gt;&lt;/titles&gt;&lt;dates&gt;&lt;year&gt;2006&lt;/year&gt;&lt;/dates&gt;&lt;publisher&gt;Université de Montpellier II et Yaoundé I&lt;/publisher&gt;&lt;urls&gt;&lt;/urls&gt;&lt;/record&gt;&lt;/Cite&gt;&lt;/EndNote&gt;</w:instrText>
      </w:r>
      <w:r w:rsidRPr="001A5676">
        <w:rPr>
          <w:rFonts w:ascii="Arial" w:hAnsi="Arial" w:cs="Arial"/>
        </w:rPr>
        <w:fldChar w:fldCharType="separate"/>
      </w:r>
      <w:r w:rsidR="00CA16D7">
        <w:rPr>
          <w:rFonts w:ascii="Arial" w:hAnsi="Arial" w:cs="Arial"/>
          <w:noProof/>
        </w:rPr>
        <w:t>(Nyegue, 2006)</w:t>
      </w:r>
      <w:r w:rsidRPr="001A5676">
        <w:rPr>
          <w:rFonts w:ascii="Arial" w:hAnsi="Arial" w:cs="Arial"/>
        </w:rPr>
        <w:fldChar w:fldCharType="end"/>
      </w:r>
      <w:r w:rsidRPr="001A5676">
        <w:rPr>
          <w:rFonts w:ascii="Arial" w:hAnsi="Arial" w:cs="Arial"/>
        </w:rPr>
        <w:t>.</w:t>
      </w:r>
    </w:p>
    <w:p w14:paraId="6D0D3FDC" w14:textId="77777777" w:rsidR="001A5676" w:rsidRPr="001A5676" w:rsidRDefault="00A16C6B" w:rsidP="001A5676">
      <w:pPr>
        <w:pStyle w:val="Body"/>
        <w:spacing w:after="0"/>
        <w:rPr>
          <w:rFonts w:ascii="Arial" w:hAnsi="Arial" w:cs="Arial"/>
        </w:rPr>
      </w:pPr>
      <m:oMathPara>
        <m:oMath>
          <m:sSub>
            <m:sSubPr>
              <m:ctrlPr>
                <w:rPr>
                  <w:rFonts w:ascii="Cambria Math" w:hAnsi="Cambria Math" w:cs="Arial"/>
                </w:rPr>
              </m:ctrlPr>
            </m:sSubPr>
            <m:e>
              <m:r>
                <w:rPr>
                  <w:rFonts w:ascii="Cambria Math" w:hAnsi="Cambria Math" w:cs="Arial"/>
                </w:rPr>
                <m:t>CE</m:t>
              </m:r>
            </m:e>
            <m:sub>
              <m:r>
                <m:rPr>
                  <m:sty m:val="p"/>
                </m:rPr>
                <w:rPr>
                  <w:rFonts w:ascii="Cambria Math" w:hAnsi="Cambria Math" w:cs="Arial"/>
                </w:rPr>
                <m:t>50</m:t>
              </m:r>
            </m:sub>
          </m:sSub>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I</m:t>
              </m:r>
              <m:sSub>
                <m:sSubPr>
                  <m:ctrlPr>
                    <w:rPr>
                      <w:rFonts w:ascii="Cambria Math" w:hAnsi="Cambria Math" w:cs="Arial"/>
                    </w:rPr>
                  </m:ctrlPr>
                </m:sSubPr>
                <m:e>
                  <m:r>
                    <w:rPr>
                      <w:rFonts w:ascii="Cambria Math" w:hAnsi="Cambria Math" w:cs="Arial"/>
                    </w:rPr>
                    <m:t>C</m:t>
                  </m:r>
                </m:e>
                <m:sub>
                  <m:r>
                    <m:rPr>
                      <m:sty m:val="p"/>
                    </m:rPr>
                    <w:rPr>
                      <w:rFonts w:ascii="Cambria Math" w:hAnsi="Cambria Math" w:cs="Arial"/>
                    </w:rPr>
                    <m:t>50</m:t>
                  </m:r>
                </m:sub>
              </m:sSub>
            </m:num>
            <m:den>
              <m:r>
                <m:rPr>
                  <m:sty m:val="p"/>
                </m:rPr>
                <w:rPr>
                  <w:rFonts w:ascii="Cambria Math" w:hAnsi="Cambria Math" w:cs="Arial"/>
                </w:rPr>
                <m:t>Concentration of the DPPH solution</m:t>
              </m:r>
            </m:den>
          </m:f>
          <m:r>
            <m:rPr>
              <m:sty m:val="p"/>
            </m:rPr>
            <w:rPr>
              <w:rFonts w:ascii="Cambria Math" w:hAnsi="Cambria Math" w:cs="Arial"/>
            </w:rPr>
            <m:t xml:space="preserve">            and               PA=1/</m:t>
          </m:r>
          <m:sSub>
            <m:sSubPr>
              <m:ctrlPr>
                <w:rPr>
                  <w:rFonts w:ascii="Cambria Math" w:hAnsi="Cambria Math" w:cs="Arial"/>
                </w:rPr>
              </m:ctrlPr>
            </m:sSubPr>
            <m:e>
              <m:r>
                <w:rPr>
                  <w:rFonts w:ascii="Cambria Math" w:hAnsi="Cambria Math" w:cs="Arial"/>
                </w:rPr>
                <m:t>CE</m:t>
              </m:r>
            </m:e>
            <m:sub>
              <m:r>
                <m:rPr>
                  <m:sty m:val="p"/>
                </m:rPr>
                <w:rPr>
                  <w:rFonts w:ascii="Cambria Math" w:hAnsi="Cambria Math" w:cs="Arial"/>
                </w:rPr>
                <m:t>50</m:t>
              </m:r>
            </m:sub>
          </m:sSub>
        </m:oMath>
      </m:oMathPara>
    </w:p>
    <w:p w14:paraId="3057C193" w14:textId="77777777" w:rsidR="001A5676" w:rsidRPr="001A5676" w:rsidRDefault="001A5676" w:rsidP="001A5676">
      <w:pPr>
        <w:pStyle w:val="Body"/>
        <w:spacing w:after="0"/>
        <w:rPr>
          <w:rFonts w:ascii="Arial" w:hAnsi="Arial" w:cs="Arial"/>
        </w:rPr>
      </w:pPr>
      <w:bookmarkStart w:id="16" w:name="_Toc137924728"/>
    </w:p>
    <w:p w14:paraId="31A9F88C" w14:textId="26DDB4A7" w:rsidR="001A5676" w:rsidRPr="001A5676" w:rsidRDefault="001A5676" w:rsidP="001A5676">
      <w:pPr>
        <w:pStyle w:val="Body"/>
        <w:spacing w:after="0"/>
        <w:rPr>
          <w:rFonts w:ascii="Arial" w:hAnsi="Arial" w:cs="Arial"/>
          <w:b/>
          <w:bCs/>
        </w:rPr>
      </w:pPr>
      <w:r w:rsidRPr="001A5676">
        <w:rPr>
          <w:rFonts w:ascii="Arial" w:hAnsi="Arial" w:cs="Arial"/>
          <w:b/>
          <w:bCs/>
        </w:rPr>
        <w:t>2.5. FRAP Method</w:t>
      </w:r>
      <w:bookmarkEnd w:id="16"/>
    </w:p>
    <w:p w14:paraId="60B0EC06" w14:textId="5F18BDD5" w:rsidR="001A5676" w:rsidRPr="001A5676" w:rsidRDefault="001A5676" w:rsidP="001A5676">
      <w:pPr>
        <w:pStyle w:val="Body"/>
        <w:spacing w:after="0"/>
        <w:rPr>
          <w:rFonts w:ascii="Arial" w:hAnsi="Arial" w:cs="Arial"/>
        </w:rPr>
      </w:pPr>
      <w:r w:rsidRPr="001A5676">
        <w:rPr>
          <w:rFonts w:ascii="Arial" w:hAnsi="Arial" w:cs="Arial"/>
        </w:rPr>
        <w:t xml:space="preserve">The FRAP evaluation is based on the reduction of the ferric ion (Fe³+) to the ferrous ion (Fe²+) by an antioxidant compound. For this method, the ferric ion is complexed with 2,4,6-tripyridyl-s-triazine (TPTZ), and following the reduction of iron, the complex becomes colored. The reaction is revealed by the yellow color change of the ferric iron, which turns blue in the presence of the antioxidant. The antioxidant capacity is determined by a simple measurement of the absorbance at 700 nm </w:t>
      </w:r>
      <w:r w:rsidRPr="001A5676">
        <w:rPr>
          <w:rFonts w:ascii="Arial" w:hAnsi="Arial" w:cs="Arial"/>
        </w:rPr>
        <w:fldChar w:fldCharType="begin"/>
      </w:r>
      <w:r w:rsidR="00CA16D7">
        <w:rPr>
          <w:rFonts w:ascii="Arial" w:hAnsi="Arial" w:cs="Arial"/>
        </w:rPr>
        <w:instrText xml:space="preserve"> ADDIN EN.CITE &lt;EndNote&gt;&lt;Cite&gt;&lt;Author&gt;Ksouri&lt;/Author&gt;&lt;Year&gt;2007&lt;/Year&gt;&lt;RecNum&gt;62&lt;/RecNum&gt;&lt;DisplayText&gt;(Ksouri &amp;amp; Megdiche, 2007)&lt;/DisplayText&gt;&lt;record&gt;&lt;rec-number&gt;62&lt;/rec-number&gt;&lt;foreign-keys&gt;&lt;key app="EN" db-id="xd20ava0ss0z06e9fzmxda9qwp2twsza5092" timestamp="1774870881"&gt;62&lt;/key&gt;&lt;/foreign-keys&gt;&lt;ref-type name="Journal Article"&gt;17&lt;/ref-type&gt;&lt;contributors&gt;&lt;authors&gt;&lt;author&gt;Ksouri, R.&lt;/author&gt;&lt;author&gt;Megdiche, W.&lt;/author&gt;&lt;/authors&gt;&lt;/contributors&gt;&lt;titles&gt;&lt;title&gt;Salinity effects on polyphenol content and antioxidant activities in leaves of the halophyte Cakile maritima&lt;/title&gt;&lt;secondary-title&gt;Plant Physiology Biochemestry&lt;/secondary-title&gt;&lt;/titles&gt;&lt;periodical&gt;&lt;full-title&gt;Plant Physiology Biochemestry&lt;/full-title&gt;&lt;/periodical&gt;&lt;pages&gt;244-249&lt;/pages&gt;&lt;dates&gt;&lt;year&gt;2007&lt;/year&gt;&lt;/dates&gt;&lt;urls&gt;&lt;/urls&gt;&lt;/record&gt;&lt;/Cite&gt;&lt;/EndNote&gt;</w:instrText>
      </w:r>
      <w:r w:rsidRPr="001A5676">
        <w:rPr>
          <w:rFonts w:ascii="Arial" w:hAnsi="Arial" w:cs="Arial"/>
        </w:rPr>
        <w:fldChar w:fldCharType="separate"/>
      </w:r>
      <w:r w:rsidR="00CA16D7">
        <w:rPr>
          <w:rFonts w:ascii="Arial" w:hAnsi="Arial" w:cs="Arial"/>
          <w:noProof/>
        </w:rPr>
        <w:t>(Ksouri &amp; Megdiche, 2007)</w:t>
      </w:r>
      <w:r w:rsidRPr="001A5676">
        <w:rPr>
          <w:rFonts w:ascii="Arial" w:hAnsi="Arial" w:cs="Arial"/>
        </w:rPr>
        <w:fldChar w:fldCharType="end"/>
      </w:r>
      <w:r w:rsidRPr="001A5676">
        <w:rPr>
          <w:rFonts w:ascii="Arial" w:hAnsi="Arial" w:cs="Arial"/>
        </w:rPr>
        <w:t>. The reducing power of the extracts is determined according to the protocol described by Oyaizu (1986) [64]. In six dry test tubes, 250 µL of each extract at all concentrations (1000 ppm, 500 ppm, 250 ppm, 125 ppm, 62.5 ppm, 31.5 ppm) was mixed with 625 µL of 0.2 M phosphate buffer solution, pH 6.6, and 625 µL of a 1% potassium ferricyanide (K3[</w:t>
      </w:r>
      <w:proofErr w:type="gramStart"/>
      <w:r w:rsidRPr="001A5676">
        <w:rPr>
          <w:rFonts w:ascii="Arial" w:hAnsi="Arial" w:cs="Arial"/>
        </w:rPr>
        <w:t>Fe(</w:t>
      </w:r>
      <w:proofErr w:type="gramEnd"/>
      <w:r w:rsidRPr="001A5676">
        <w:rPr>
          <w:rFonts w:ascii="Arial" w:hAnsi="Arial" w:cs="Arial"/>
        </w:rPr>
        <w:t xml:space="preserve">CN)6]) solution. The mixture was incubated in a water bath at 50°C for 20 minutes, after which 625 µL of 10% trichloroacetic acid (TCA) was added to stop the reaction. The tubes were centrifuged at 3000 rpm for 10 minutes using a SIGMA centrifuge. 625 µL of supernatant are mixed with 625 µL of distilled water and 125 µL of freshly prepared 0.1% iron (III) chloride (FeCl3) </w:t>
      </w:r>
      <w:proofErr w:type="gramStart"/>
      <w:r w:rsidRPr="001A5676">
        <w:rPr>
          <w:rFonts w:ascii="Arial" w:hAnsi="Arial" w:cs="Arial"/>
        </w:rPr>
        <w:t>solution .</w:t>
      </w:r>
      <w:proofErr w:type="gramEnd"/>
      <w:r w:rsidRPr="001A5676">
        <w:rPr>
          <w:rFonts w:ascii="Arial" w:hAnsi="Arial" w:cs="Arial"/>
        </w:rPr>
        <w:t xml:space="preserve"> The optical densities of the reaction medium were read at 700 nm against a blank similarly prepared by replacing the extract with distilled water </w:t>
      </w:r>
      <w:r w:rsidRPr="001A5676">
        <w:rPr>
          <w:rFonts w:ascii="Arial" w:hAnsi="Arial" w:cs="Arial"/>
        </w:rPr>
        <w:fldChar w:fldCharType="begin"/>
      </w:r>
      <w:r w:rsidR="00CA16D7">
        <w:rPr>
          <w:rFonts w:ascii="Arial" w:hAnsi="Arial" w:cs="Arial"/>
        </w:rPr>
        <w:instrText xml:space="preserve"> ADDIN EN.CITE &lt;EndNote&gt;&lt;Cite&gt;&lt;Author&gt;Valère&lt;/Author&gt;&lt;Year&gt;2022&lt;/Year&gt;&lt;RecNum&gt;86&lt;/RecNum&gt;&lt;DisplayText&gt;(Valère, 2022)&lt;/DisplayText&gt;&lt;record&gt;&lt;rec-number&gt;86&lt;/rec-number&gt;&lt;foreign-keys&gt;&lt;key app="EN" db-id="ppwefpzf5eefwrea9agvzetgp2s0rdew0rw0" timestamp="1777645568"&gt;86&lt;/key&gt;&lt;/foreign-keys&gt;&lt;ref-type name="Thesis"&gt;32&lt;/ref-type&gt;&lt;contributors&gt;&lt;authors&gt;&lt;author&gt;Valère, M.&lt;/author&gt;&lt;/authors&gt;&lt;/contributors&gt;&lt;titles&gt;&lt;title&gt;Evaluation in vitro de l’activité antioxydante et antibactérienne de l’écorce du tronc de canarium schweinfurthii&lt;/title&gt;&lt;/titles&gt;&lt;dates&gt;&lt;year&gt;2022&lt;/year&gt;&lt;/dates&gt;&lt;pub-location&gt;Bangangté&lt;/pub-location&gt;&lt;publisher&gt;Université des Montagnes&lt;/publisher&gt;&lt;urls&gt;&lt;/urls&gt;&lt;/record&gt;&lt;/Cite&gt;&lt;/EndNote&gt;</w:instrText>
      </w:r>
      <w:r w:rsidRPr="001A5676">
        <w:rPr>
          <w:rFonts w:ascii="Arial" w:hAnsi="Arial" w:cs="Arial"/>
        </w:rPr>
        <w:fldChar w:fldCharType="separate"/>
      </w:r>
      <w:r w:rsidR="00CA16D7">
        <w:rPr>
          <w:rFonts w:ascii="Arial" w:hAnsi="Arial" w:cs="Arial"/>
          <w:noProof/>
        </w:rPr>
        <w:t>(Valère, 2022)</w:t>
      </w:r>
      <w:r w:rsidRPr="001A5676">
        <w:rPr>
          <w:rFonts w:ascii="Arial" w:hAnsi="Arial" w:cs="Arial"/>
        </w:rPr>
        <w:fldChar w:fldCharType="end"/>
      </w:r>
    </w:p>
    <w:p w14:paraId="7E5B81DC" w14:textId="77777777" w:rsidR="001A5676" w:rsidRDefault="001A5676" w:rsidP="001A5676">
      <w:pPr>
        <w:pStyle w:val="Body"/>
        <w:spacing w:after="0"/>
        <w:rPr>
          <w:rFonts w:ascii="Arial" w:hAnsi="Arial" w:cs="Arial"/>
        </w:rPr>
      </w:pPr>
      <w:r w:rsidRPr="001A5676">
        <w:rPr>
          <w:rFonts w:ascii="Arial" w:hAnsi="Arial" w:cs="Arial"/>
        </w:rPr>
        <w:t>The percentage of inhibition (PI), IC</w:t>
      </w:r>
      <w:proofErr w:type="gramStart"/>
      <w:r w:rsidRPr="001A5676">
        <w:rPr>
          <w:rFonts w:ascii="Arial" w:hAnsi="Arial" w:cs="Arial"/>
        </w:rPr>
        <w:t>50 ,</w:t>
      </w:r>
      <w:proofErr w:type="gramEnd"/>
      <w:r w:rsidRPr="001A5676">
        <w:rPr>
          <w:rFonts w:ascii="Arial" w:hAnsi="Arial" w:cs="Arial"/>
        </w:rPr>
        <w:t xml:space="preserve"> EC50, and the reducing power (PR) required to reduce 50% of the ferric complex, expressed in mg of antioxidant/g of FeCl3 or in mg of antioxidant/mol , were determined in the same way as befor</w:t>
      </w:r>
      <w:bookmarkStart w:id="17" w:name="_Toc137924729"/>
      <w:r w:rsidRPr="001A5676">
        <w:rPr>
          <w:rFonts w:ascii="Arial" w:hAnsi="Arial" w:cs="Arial"/>
        </w:rPr>
        <w:t>e.</w:t>
      </w:r>
    </w:p>
    <w:p w14:paraId="73E72727" w14:textId="77777777" w:rsidR="001A5676" w:rsidRPr="001A5676" w:rsidRDefault="001A5676" w:rsidP="001A5676">
      <w:pPr>
        <w:pStyle w:val="Body"/>
        <w:spacing w:after="0"/>
        <w:rPr>
          <w:rFonts w:ascii="Arial" w:hAnsi="Arial" w:cs="Arial"/>
        </w:rPr>
      </w:pPr>
    </w:p>
    <w:p w14:paraId="1791D367" w14:textId="13CC12BE" w:rsidR="001A5676" w:rsidRPr="001A5676" w:rsidRDefault="001A5676" w:rsidP="001A5676">
      <w:pPr>
        <w:pStyle w:val="Body"/>
        <w:spacing w:after="0"/>
        <w:rPr>
          <w:rFonts w:ascii="Arial" w:hAnsi="Arial" w:cs="Arial"/>
          <w:b/>
          <w:bCs/>
        </w:rPr>
      </w:pPr>
      <w:r w:rsidRPr="001A5676">
        <w:rPr>
          <w:rFonts w:ascii="Arial" w:hAnsi="Arial" w:cs="Arial"/>
          <w:b/>
          <w:bCs/>
        </w:rPr>
        <w:t xml:space="preserve">2.5. Antibacterial </w:t>
      </w:r>
      <w:bookmarkEnd w:id="17"/>
      <w:r w:rsidRPr="001A5676">
        <w:rPr>
          <w:rFonts w:ascii="Arial" w:hAnsi="Arial" w:cs="Arial"/>
          <w:b/>
          <w:bCs/>
        </w:rPr>
        <w:t>activities</w:t>
      </w:r>
    </w:p>
    <w:p w14:paraId="5067E145" w14:textId="74C1DAED" w:rsidR="001A5676" w:rsidRPr="001A5676" w:rsidRDefault="001A5676" w:rsidP="001A5676">
      <w:pPr>
        <w:pStyle w:val="Body"/>
        <w:spacing w:after="0"/>
        <w:rPr>
          <w:rFonts w:ascii="Arial" w:hAnsi="Arial" w:cs="Arial"/>
          <w:b/>
          <w:bCs/>
        </w:rPr>
      </w:pPr>
      <w:bookmarkStart w:id="18" w:name="_Toc137924732"/>
      <w:r w:rsidRPr="001A5676">
        <w:rPr>
          <w:rFonts w:ascii="Arial" w:hAnsi="Arial" w:cs="Arial"/>
          <w:b/>
          <w:bCs/>
        </w:rPr>
        <w:t>2.5.1. Antibacterial activity test of extracts</w:t>
      </w:r>
      <w:bookmarkEnd w:id="18"/>
      <w:r w:rsidRPr="001A5676">
        <w:rPr>
          <w:rFonts w:ascii="Arial" w:hAnsi="Arial" w:cs="Arial"/>
          <w:b/>
          <w:bCs/>
        </w:rPr>
        <w:t xml:space="preserve"> </w:t>
      </w:r>
    </w:p>
    <w:p w14:paraId="3C39FF84" w14:textId="6C4EBA61" w:rsidR="001A5676" w:rsidRDefault="001A5676" w:rsidP="001A5676">
      <w:pPr>
        <w:pStyle w:val="Body"/>
        <w:spacing w:after="0"/>
        <w:rPr>
          <w:rFonts w:ascii="Arial" w:hAnsi="Arial" w:cs="Arial"/>
          <w:b/>
          <w:bCs/>
        </w:rPr>
      </w:pPr>
      <w:bookmarkStart w:id="19" w:name="_Toc137924733"/>
      <w:r w:rsidRPr="001A5676">
        <w:rPr>
          <w:rFonts w:ascii="Arial" w:hAnsi="Arial" w:cs="Arial"/>
          <w:b/>
          <w:bCs/>
        </w:rPr>
        <w:t>2.5.1.1. Sterility test of the extract</w:t>
      </w:r>
      <w:bookmarkEnd w:id="19"/>
    </w:p>
    <w:p w14:paraId="733A3DB5" w14:textId="77777777" w:rsidR="001A5676" w:rsidRPr="001A5676" w:rsidRDefault="001A5676" w:rsidP="001A5676">
      <w:pPr>
        <w:pStyle w:val="Body"/>
        <w:spacing w:after="0"/>
        <w:rPr>
          <w:rFonts w:ascii="Arial" w:hAnsi="Arial" w:cs="Arial"/>
          <w:b/>
          <w:bCs/>
        </w:rPr>
      </w:pPr>
    </w:p>
    <w:p w14:paraId="180C3090" w14:textId="77777777" w:rsidR="001A5676" w:rsidRPr="001A5676" w:rsidRDefault="001A5676" w:rsidP="001A5676">
      <w:pPr>
        <w:pStyle w:val="Body"/>
        <w:spacing w:after="0"/>
        <w:rPr>
          <w:rFonts w:ascii="Arial" w:hAnsi="Arial" w:cs="Arial"/>
        </w:rPr>
      </w:pPr>
      <w:r w:rsidRPr="001A5676">
        <w:rPr>
          <w:rFonts w:ascii="Arial" w:hAnsi="Arial" w:cs="Arial"/>
        </w:rPr>
        <w:t xml:space="preserve">The purpose of this test was to ensure that the extracts were not contaminated by bacteria that could interfere with the interpretation of the results after incubation. Sterility was verified by inoculation onto Mueller-Hinton agar followed by incubation for 24 hours at 37°C. Extracts </w:t>
      </w:r>
      <w:r w:rsidRPr="001A5676">
        <w:rPr>
          <w:rFonts w:ascii="Arial" w:hAnsi="Arial" w:cs="Arial"/>
        </w:rPr>
        <w:lastRenderedPageBreak/>
        <w:t>were declared sterile if no colonies were visible to the naked eye on the agar at the end of the incubation period.</w:t>
      </w:r>
    </w:p>
    <w:p w14:paraId="26AFD456" w14:textId="77777777" w:rsidR="001A5676" w:rsidRPr="001A5676" w:rsidRDefault="001A5676" w:rsidP="001A5676">
      <w:pPr>
        <w:pStyle w:val="Body"/>
        <w:spacing w:after="0"/>
        <w:rPr>
          <w:rFonts w:ascii="Arial" w:hAnsi="Arial" w:cs="Arial"/>
        </w:rPr>
      </w:pPr>
      <w:bookmarkStart w:id="20" w:name="_Toc137924734"/>
      <w:r w:rsidRPr="001A5676">
        <w:rPr>
          <w:rFonts w:ascii="Arial" w:hAnsi="Arial" w:cs="Arial"/>
        </w:rPr>
        <w:t>II.5.1.2 Antibacterial profile of the study strains</w:t>
      </w:r>
      <w:bookmarkEnd w:id="20"/>
    </w:p>
    <w:p w14:paraId="4271C0C8" w14:textId="77777777" w:rsidR="001A5676" w:rsidRDefault="001A5676" w:rsidP="001A5676">
      <w:pPr>
        <w:pStyle w:val="Body"/>
        <w:spacing w:after="0"/>
        <w:rPr>
          <w:rFonts w:ascii="Arial" w:hAnsi="Arial" w:cs="Arial"/>
        </w:rPr>
      </w:pPr>
      <w:r w:rsidRPr="001A5676">
        <w:rPr>
          <w:rFonts w:ascii="Arial" w:hAnsi="Arial" w:cs="Arial"/>
        </w:rPr>
        <w:t>The antibacterial profile of the study strains was performed to test, in vitro and on culture media, the susceptibility of the bacterial strains to known antibiotics. The antibacterial resistance profile of the strains of interest is recorded in Table 1.</w:t>
      </w:r>
    </w:p>
    <w:p w14:paraId="1CB901DA" w14:textId="77777777" w:rsidR="001A5676" w:rsidRPr="001A5676" w:rsidRDefault="001A5676" w:rsidP="001A5676">
      <w:pPr>
        <w:pStyle w:val="Body"/>
        <w:spacing w:after="0"/>
        <w:rPr>
          <w:rFonts w:ascii="Arial" w:hAnsi="Arial" w:cs="Arial"/>
        </w:rPr>
      </w:pPr>
    </w:p>
    <w:p w14:paraId="20FD94D2" w14:textId="77777777" w:rsidR="001A5676" w:rsidRPr="001A5676" w:rsidRDefault="001A5676" w:rsidP="001A5676">
      <w:pPr>
        <w:pStyle w:val="Body"/>
        <w:spacing w:after="0"/>
        <w:rPr>
          <w:rFonts w:ascii="Arial" w:hAnsi="Arial" w:cs="Arial"/>
          <w:b/>
          <w:bCs/>
        </w:rPr>
      </w:pPr>
      <w:bookmarkStart w:id="21" w:name="_Toc137921293"/>
      <w:bookmarkStart w:id="22" w:name="_Toc137923796"/>
      <w:r w:rsidRPr="001A5676">
        <w:rPr>
          <w:rFonts w:ascii="Arial" w:hAnsi="Arial" w:cs="Arial"/>
          <w:b/>
          <w:bCs/>
        </w:rPr>
        <w:t>Table 1: Antibacterial resistance profile of strains of interest</w:t>
      </w:r>
      <w:bookmarkEnd w:id="21"/>
      <w:bookmarkEnd w:id="22"/>
    </w:p>
    <w:tbl>
      <w:tblPr>
        <w:tblStyle w:val="MediumShading2"/>
        <w:tblW w:w="7624" w:type="dxa"/>
        <w:tblInd w:w="503" w:type="dxa"/>
        <w:tblLook w:val="0600" w:firstRow="0" w:lastRow="0" w:firstColumn="0" w:lastColumn="0" w:noHBand="1" w:noVBand="1"/>
      </w:tblPr>
      <w:tblGrid>
        <w:gridCol w:w="1444"/>
        <w:gridCol w:w="1236"/>
        <w:gridCol w:w="1236"/>
        <w:gridCol w:w="1236"/>
        <w:gridCol w:w="1236"/>
        <w:gridCol w:w="1236"/>
      </w:tblGrid>
      <w:tr w:rsidR="001A5676" w:rsidRPr="001A5676" w14:paraId="7C585370" w14:textId="77777777" w:rsidTr="004A2F47">
        <w:trPr>
          <w:trHeight w:hRule="exact" w:val="548"/>
        </w:trPr>
        <w:tc>
          <w:tcPr>
            <w:tcW w:w="1444" w:type="dxa"/>
            <w:tcBorders>
              <w:top w:val="single" w:sz="18" w:space="0" w:color="auto"/>
              <w:bottom w:val="single" w:sz="4" w:space="0" w:color="auto"/>
            </w:tcBorders>
          </w:tcPr>
          <w:p w14:paraId="3B42FFCD" w14:textId="77777777" w:rsidR="001A5676" w:rsidRPr="001A5676" w:rsidRDefault="001A5676" w:rsidP="001A5676">
            <w:pPr>
              <w:pStyle w:val="Body"/>
              <w:spacing w:after="0"/>
              <w:rPr>
                <w:rFonts w:ascii="Arial" w:eastAsia="Times New Roman" w:hAnsi="Arial" w:cs="Arial"/>
                <w:sz w:val="20"/>
                <w:szCs w:val="20"/>
                <w:lang w:val="en-US"/>
              </w:rPr>
            </w:pPr>
          </w:p>
        </w:tc>
        <w:tc>
          <w:tcPr>
            <w:tcW w:w="1236" w:type="dxa"/>
            <w:tcBorders>
              <w:top w:val="single" w:sz="18" w:space="0" w:color="auto"/>
              <w:bottom w:val="single" w:sz="4" w:space="0" w:color="auto"/>
            </w:tcBorders>
          </w:tcPr>
          <w:p w14:paraId="145C2834"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CIP</w:t>
            </w:r>
          </w:p>
        </w:tc>
        <w:tc>
          <w:tcPr>
            <w:tcW w:w="1236" w:type="dxa"/>
            <w:tcBorders>
              <w:top w:val="single" w:sz="18" w:space="0" w:color="auto"/>
              <w:bottom w:val="single" w:sz="4" w:space="0" w:color="auto"/>
            </w:tcBorders>
          </w:tcPr>
          <w:p w14:paraId="2E7F065E"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CEF</w:t>
            </w:r>
          </w:p>
        </w:tc>
        <w:tc>
          <w:tcPr>
            <w:tcW w:w="1236" w:type="dxa"/>
            <w:tcBorders>
              <w:top w:val="single" w:sz="18" w:space="0" w:color="auto"/>
              <w:bottom w:val="single" w:sz="4" w:space="0" w:color="auto"/>
            </w:tcBorders>
          </w:tcPr>
          <w:p w14:paraId="5A2415D2"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CEX</w:t>
            </w:r>
          </w:p>
        </w:tc>
        <w:tc>
          <w:tcPr>
            <w:tcW w:w="1236" w:type="dxa"/>
            <w:tcBorders>
              <w:top w:val="single" w:sz="18" w:space="0" w:color="auto"/>
              <w:bottom w:val="single" w:sz="4" w:space="0" w:color="auto"/>
            </w:tcBorders>
          </w:tcPr>
          <w:p w14:paraId="3565F2AE"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AZT</w:t>
            </w:r>
          </w:p>
        </w:tc>
        <w:tc>
          <w:tcPr>
            <w:tcW w:w="1236" w:type="dxa"/>
            <w:tcBorders>
              <w:top w:val="single" w:sz="18" w:space="0" w:color="auto"/>
              <w:bottom w:val="single" w:sz="4" w:space="0" w:color="auto"/>
            </w:tcBorders>
          </w:tcPr>
          <w:p w14:paraId="231BCB70"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AMC</w:t>
            </w:r>
          </w:p>
        </w:tc>
      </w:tr>
      <w:tr w:rsidR="001A5676" w:rsidRPr="001A5676" w14:paraId="27125EC0" w14:textId="77777777" w:rsidTr="004A2F47">
        <w:trPr>
          <w:trHeight w:hRule="exact" w:val="340"/>
        </w:trPr>
        <w:tc>
          <w:tcPr>
            <w:tcW w:w="1444" w:type="dxa"/>
            <w:tcBorders>
              <w:top w:val="single" w:sz="4" w:space="0" w:color="auto"/>
            </w:tcBorders>
          </w:tcPr>
          <w:p w14:paraId="6385E20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EC</w:t>
            </w:r>
          </w:p>
        </w:tc>
        <w:tc>
          <w:tcPr>
            <w:tcW w:w="1236" w:type="dxa"/>
            <w:tcBorders>
              <w:top w:val="single" w:sz="4" w:space="0" w:color="auto"/>
            </w:tcBorders>
          </w:tcPr>
          <w:p w14:paraId="223D0794"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w:t>
            </w:r>
          </w:p>
        </w:tc>
        <w:tc>
          <w:tcPr>
            <w:tcW w:w="1236" w:type="dxa"/>
            <w:tcBorders>
              <w:top w:val="single" w:sz="4" w:space="0" w:color="auto"/>
            </w:tcBorders>
          </w:tcPr>
          <w:p w14:paraId="1A5874DC"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w:t>
            </w:r>
          </w:p>
        </w:tc>
        <w:tc>
          <w:tcPr>
            <w:tcW w:w="1236" w:type="dxa"/>
            <w:tcBorders>
              <w:top w:val="single" w:sz="4" w:space="0" w:color="auto"/>
            </w:tcBorders>
          </w:tcPr>
          <w:p w14:paraId="4E87E952"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w:t>
            </w:r>
          </w:p>
        </w:tc>
        <w:tc>
          <w:tcPr>
            <w:tcW w:w="1236" w:type="dxa"/>
            <w:tcBorders>
              <w:top w:val="single" w:sz="4" w:space="0" w:color="auto"/>
            </w:tcBorders>
          </w:tcPr>
          <w:p w14:paraId="4F0EE0FB"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w:t>
            </w:r>
          </w:p>
        </w:tc>
        <w:tc>
          <w:tcPr>
            <w:tcW w:w="1236" w:type="dxa"/>
            <w:tcBorders>
              <w:top w:val="single" w:sz="4" w:space="0" w:color="auto"/>
            </w:tcBorders>
          </w:tcPr>
          <w:p w14:paraId="08D9D022"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C</w:t>
            </w:r>
          </w:p>
        </w:tc>
      </w:tr>
      <w:tr w:rsidR="001A5676" w:rsidRPr="001A5676" w14:paraId="062B79CD" w14:textId="77777777" w:rsidTr="004A2F47">
        <w:trPr>
          <w:trHeight w:hRule="exact" w:val="340"/>
        </w:trPr>
        <w:tc>
          <w:tcPr>
            <w:tcW w:w="1444" w:type="dxa"/>
          </w:tcPr>
          <w:p w14:paraId="06C9C0A6"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EB</w:t>
            </w:r>
          </w:p>
        </w:tc>
        <w:tc>
          <w:tcPr>
            <w:tcW w:w="1236" w:type="dxa"/>
          </w:tcPr>
          <w:p w14:paraId="04F04C11"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w:t>
            </w:r>
          </w:p>
        </w:tc>
        <w:tc>
          <w:tcPr>
            <w:tcW w:w="1236" w:type="dxa"/>
          </w:tcPr>
          <w:p w14:paraId="11A2DEA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w:t>
            </w:r>
          </w:p>
        </w:tc>
        <w:tc>
          <w:tcPr>
            <w:tcW w:w="1236" w:type="dxa"/>
          </w:tcPr>
          <w:p w14:paraId="3044622B"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R</w:t>
            </w:r>
          </w:p>
        </w:tc>
        <w:tc>
          <w:tcPr>
            <w:tcW w:w="1236" w:type="dxa"/>
          </w:tcPr>
          <w:p w14:paraId="4A76D99F"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R</w:t>
            </w:r>
          </w:p>
        </w:tc>
        <w:tc>
          <w:tcPr>
            <w:tcW w:w="1236" w:type="dxa"/>
          </w:tcPr>
          <w:p w14:paraId="4C8785F9"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R</w:t>
            </w:r>
          </w:p>
        </w:tc>
      </w:tr>
      <w:tr w:rsidR="001A5676" w:rsidRPr="001A5676" w14:paraId="3B543C41" w14:textId="77777777" w:rsidTr="004A2F47">
        <w:trPr>
          <w:trHeight w:hRule="exact" w:val="340"/>
        </w:trPr>
        <w:tc>
          <w:tcPr>
            <w:tcW w:w="1444" w:type="dxa"/>
          </w:tcPr>
          <w:p w14:paraId="4CEC66DE"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SA</w:t>
            </w:r>
          </w:p>
        </w:tc>
        <w:tc>
          <w:tcPr>
            <w:tcW w:w="1236" w:type="dxa"/>
          </w:tcPr>
          <w:p w14:paraId="243331BC"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w:t>
            </w:r>
          </w:p>
        </w:tc>
        <w:tc>
          <w:tcPr>
            <w:tcW w:w="1236" w:type="dxa"/>
          </w:tcPr>
          <w:p w14:paraId="5B07C00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w:t>
            </w:r>
          </w:p>
        </w:tc>
        <w:tc>
          <w:tcPr>
            <w:tcW w:w="1236" w:type="dxa"/>
          </w:tcPr>
          <w:p w14:paraId="535EB85D"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R</w:t>
            </w:r>
          </w:p>
        </w:tc>
        <w:tc>
          <w:tcPr>
            <w:tcW w:w="1236" w:type="dxa"/>
          </w:tcPr>
          <w:p w14:paraId="73D3B03B"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w:t>
            </w:r>
          </w:p>
        </w:tc>
        <w:tc>
          <w:tcPr>
            <w:tcW w:w="1236" w:type="dxa"/>
          </w:tcPr>
          <w:p w14:paraId="1B1CCF95"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R</w:t>
            </w:r>
          </w:p>
        </w:tc>
      </w:tr>
      <w:tr w:rsidR="001A5676" w:rsidRPr="001A5676" w14:paraId="49C7AD6E" w14:textId="77777777" w:rsidTr="004A2F47">
        <w:trPr>
          <w:trHeight w:hRule="exact" w:val="340"/>
        </w:trPr>
        <w:tc>
          <w:tcPr>
            <w:tcW w:w="1444" w:type="dxa"/>
          </w:tcPr>
          <w:p w14:paraId="29985B23"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PA</w:t>
            </w:r>
          </w:p>
        </w:tc>
        <w:tc>
          <w:tcPr>
            <w:tcW w:w="1236" w:type="dxa"/>
          </w:tcPr>
          <w:p w14:paraId="54ED192B"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w:t>
            </w:r>
          </w:p>
        </w:tc>
        <w:tc>
          <w:tcPr>
            <w:tcW w:w="1236" w:type="dxa"/>
          </w:tcPr>
          <w:p w14:paraId="26EB5D1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w:t>
            </w:r>
          </w:p>
        </w:tc>
        <w:tc>
          <w:tcPr>
            <w:tcW w:w="1236" w:type="dxa"/>
          </w:tcPr>
          <w:p w14:paraId="2E5F065C"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C</w:t>
            </w:r>
          </w:p>
        </w:tc>
        <w:tc>
          <w:tcPr>
            <w:tcW w:w="1236" w:type="dxa"/>
          </w:tcPr>
          <w:p w14:paraId="0E83CA72"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R</w:t>
            </w:r>
          </w:p>
        </w:tc>
        <w:tc>
          <w:tcPr>
            <w:tcW w:w="1236" w:type="dxa"/>
          </w:tcPr>
          <w:p w14:paraId="70FA34C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R</w:t>
            </w:r>
          </w:p>
        </w:tc>
      </w:tr>
    </w:tbl>
    <w:p w14:paraId="0C55279C" w14:textId="14A11A47" w:rsidR="001A5676" w:rsidRPr="001A5676" w:rsidRDefault="001A5676" w:rsidP="001A5676">
      <w:pPr>
        <w:pStyle w:val="Body"/>
        <w:spacing w:after="0"/>
        <w:rPr>
          <w:rFonts w:ascii="Arial" w:hAnsi="Arial" w:cs="Arial"/>
          <w:i/>
          <w:iCs/>
        </w:rPr>
      </w:pPr>
      <w:proofErr w:type="gramStart"/>
      <w:r w:rsidRPr="001A5676">
        <w:rPr>
          <w:rFonts w:ascii="Arial" w:hAnsi="Arial" w:cs="Arial"/>
          <w:i/>
          <w:iCs/>
        </w:rPr>
        <w:t>EB :</w:t>
      </w:r>
      <w:proofErr w:type="gramEnd"/>
      <w:r w:rsidRPr="001A5676">
        <w:rPr>
          <w:rFonts w:ascii="Arial" w:hAnsi="Arial" w:cs="Arial"/>
          <w:i/>
          <w:iCs/>
        </w:rPr>
        <w:t xml:space="preserve"> </w:t>
      </w:r>
      <w:r w:rsidR="00CA16D7" w:rsidRPr="00CA16D7">
        <w:rPr>
          <w:rFonts w:ascii="Arial" w:hAnsi="Arial" w:cs="Arial"/>
          <w:i/>
          <w:iCs/>
        </w:rPr>
        <w:t>Enterobacter cloacae</w:t>
      </w:r>
      <w:r w:rsidRPr="001A5676">
        <w:rPr>
          <w:rFonts w:ascii="Arial" w:hAnsi="Arial" w:cs="Arial"/>
          <w:i/>
          <w:iCs/>
        </w:rPr>
        <w:t xml:space="preserve"> ; EC : </w:t>
      </w:r>
      <w:r w:rsidR="00BF0CCB" w:rsidRPr="00BF0CCB">
        <w:rPr>
          <w:rFonts w:ascii="Arial" w:hAnsi="Arial" w:cs="Arial"/>
          <w:i/>
          <w:iCs/>
        </w:rPr>
        <w:t>Escherichia coli</w:t>
      </w:r>
      <w:r w:rsidRPr="001A5676">
        <w:rPr>
          <w:rFonts w:ascii="Arial" w:hAnsi="Arial" w:cs="Arial"/>
          <w:i/>
          <w:iCs/>
        </w:rPr>
        <w:t xml:space="preserve"> ; SA : </w:t>
      </w:r>
      <w:proofErr w:type="spellStart"/>
      <w:r w:rsidRPr="001A5676">
        <w:rPr>
          <w:rFonts w:ascii="Arial" w:hAnsi="Arial" w:cs="Arial"/>
          <w:i/>
          <w:iCs/>
        </w:rPr>
        <w:t>Staphyloccus</w:t>
      </w:r>
      <w:proofErr w:type="spellEnd"/>
      <w:r w:rsidRPr="001A5676">
        <w:rPr>
          <w:rFonts w:ascii="Arial" w:hAnsi="Arial" w:cs="Arial"/>
          <w:i/>
          <w:iCs/>
        </w:rPr>
        <w:t xml:space="preserve"> aureus ; PA : </w:t>
      </w:r>
      <w:r w:rsidR="00CA16D7" w:rsidRPr="00CA16D7">
        <w:rPr>
          <w:rFonts w:ascii="Arial" w:hAnsi="Arial" w:cs="Arial"/>
          <w:i/>
          <w:iCs/>
        </w:rPr>
        <w:t>Pseudomonas aeruginosa</w:t>
      </w:r>
      <w:r w:rsidRPr="001A5676">
        <w:rPr>
          <w:rFonts w:ascii="Arial" w:hAnsi="Arial" w:cs="Arial"/>
          <w:i/>
          <w:iCs/>
        </w:rPr>
        <w:t xml:space="preserve"> ; CIP : Ciprofloxacin ; CEF : Ceftriaxone ; CEX : Cefixime ; AZT : </w:t>
      </w:r>
      <w:proofErr w:type="spellStart"/>
      <w:r w:rsidRPr="001A5676">
        <w:rPr>
          <w:rFonts w:ascii="Arial" w:hAnsi="Arial" w:cs="Arial"/>
          <w:i/>
          <w:iCs/>
        </w:rPr>
        <w:t>Azythromycin</w:t>
      </w:r>
      <w:proofErr w:type="spellEnd"/>
      <w:r w:rsidRPr="001A5676">
        <w:rPr>
          <w:rFonts w:ascii="Arial" w:hAnsi="Arial" w:cs="Arial"/>
          <w:i/>
          <w:iCs/>
        </w:rPr>
        <w:t xml:space="preserve"> ; AMC : Amoxicillin/Clavulanic acid ; S : Sensitive ; R : Resistant ; C : Critical</w:t>
      </w:r>
    </w:p>
    <w:p w14:paraId="39DD4C8F" w14:textId="77777777" w:rsidR="001A5676" w:rsidRPr="001A5676" w:rsidRDefault="001A5676" w:rsidP="001A5676">
      <w:pPr>
        <w:pStyle w:val="Body"/>
        <w:spacing w:after="0"/>
        <w:rPr>
          <w:rFonts w:ascii="Arial" w:hAnsi="Arial" w:cs="Arial"/>
        </w:rPr>
      </w:pPr>
    </w:p>
    <w:p w14:paraId="79CEEF53" w14:textId="7BBC960E" w:rsidR="001A5676" w:rsidRPr="001A5676" w:rsidRDefault="001A5676" w:rsidP="001A5676">
      <w:pPr>
        <w:pStyle w:val="Body"/>
        <w:spacing w:after="0"/>
        <w:rPr>
          <w:rFonts w:ascii="Arial" w:hAnsi="Arial" w:cs="Arial"/>
          <w:b/>
          <w:bCs/>
        </w:rPr>
      </w:pPr>
      <w:bookmarkStart w:id="23" w:name="_Toc126860805"/>
      <w:bookmarkStart w:id="24" w:name="_Toc137924735"/>
      <w:r w:rsidRPr="001A5676">
        <w:rPr>
          <w:rFonts w:ascii="Arial" w:hAnsi="Arial" w:cs="Arial"/>
          <w:b/>
          <w:bCs/>
        </w:rPr>
        <w:t xml:space="preserve">2.5.3.3 Determination of Minimum Inhibitory Concentration (MIC) </w:t>
      </w:r>
      <w:bookmarkEnd w:id="23"/>
      <w:r w:rsidRPr="001A5676">
        <w:rPr>
          <w:rFonts w:ascii="Arial" w:hAnsi="Arial" w:cs="Arial"/>
          <w:b/>
          <w:bCs/>
        </w:rPr>
        <w:t>by Broth Microdilution Method</w:t>
      </w:r>
      <w:bookmarkEnd w:id="24"/>
    </w:p>
    <w:p w14:paraId="12C03A24" w14:textId="3D51BE10" w:rsidR="001A5676" w:rsidRPr="001A5676" w:rsidRDefault="001A5676" w:rsidP="001A5676">
      <w:pPr>
        <w:pStyle w:val="Body"/>
        <w:spacing w:after="0"/>
        <w:rPr>
          <w:rFonts w:ascii="Arial" w:hAnsi="Arial" w:cs="Arial"/>
        </w:rPr>
      </w:pPr>
      <w:r w:rsidRPr="001A5676">
        <w:rPr>
          <w:rFonts w:ascii="Arial" w:hAnsi="Arial" w:cs="Arial"/>
        </w:rPr>
        <w:t xml:space="preserve">The protocol used was that described by </w:t>
      </w:r>
      <w:proofErr w:type="spellStart"/>
      <w:r w:rsidRPr="001A5676">
        <w:rPr>
          <w:rFonts w:ascii="Arial" w:hAnsi="Arial" w:cs="Arial"/>
        </w:rPr>
        <w:t>Valère</w:t>
      </w:r>
      <w:proofErr w:type="spellEnd"/>
      <w:r w:rsidRPr="001A5676">
        <w:rPr>
          <w:rFonts w:ascii="Arial" w:hAnsi="Arial" w:cs="Arial"/>
        </w:rPr>
        <w:t xml:space="preserve"> et al. </w:t>
      </w:r>
      <w:r w:rsidRPr="001A5676">
        <w:rPr>
          <w:rFonts w:ascii="Arial" w:hAnsi="Arial" w:cs="Arial"/>
        </w:rPr>
        <w:fldChar w:fldCharType="begin"/>
      </w:r>
      <w:r w:rsidR="00CA16D7">
        <w:rPr>
          <w:rFonts w:ascii="Arial" w:hAnsi="Arial" w:cs="Arial"/>
        </w:rPr>
        <w:instrText xml:space="preserve"> ADDIN EN.CITE &lt;EndNote&gt;&lt;Cite&gt;&lt;Author&gt;Valère&lt;/Author&gt;&lt;Year&gt;2022&lt;/Year&gt;&lt;RecNum&gt;86&lt;/RecNum&gt;&lt;DisplayText&gt;(Valère, 2022)&lt;/DisplayText&gt;&lt;record&gt;&lt;rec-number&gt;86&lt;/rec-number&gt;&lt;foreign-keys&gt;&lt;key app="EN" db-id="ppwefpzf5eefwrea9agvzetgp2s0rdew0rw0" timestamp="1777645568"&gt;86&lt;/key&gt;&lt;/foreign-keys&gt;&lt;ref-type name="Thesis"&gt;32&lt;/ref-type&gt;&lt;contributors&gt;&lt;authors&gt;&lt;author&gt;Valère, M.&lt;/author&gt;&lt;/authors&gt;&lt;/contributors&gt;&lt;titles&gt;&lt;title&gt;Evaluation in vitro de l’activité antioxydante et antibactérienne de l’écorce du tronc de canarium schweinfurthii&lt;/title&gt;&lt;/titles&gt;&lt;dates&gt;&lt;year&gt;2022&lt;/year&gt;&lt;/dates&gt;&lt;pub-location&gt;Bangangté&lt;/pub-location&gt;&lt;publisher&gt;Université des Montagnes&lt;/publisher&gt;&lt;urls&gt;&lt;/urls&gt;&lt;/record&gt;&lt;/Cite&gt;&lt;/EndNote&gt;</w:instrText>
      </w:r>
      <w:r w:rsidRPr="001A5676">
        <w:rPr>
          <w:rFonts w:ascii="Arial" w:hAnsi="Arial" w:cs="Arial"/>
        </w:rPr>
        <w:fldChar w:fldCharType="separate"/>
      </w:r>
      <w:r w:rsidR="00CA16D7">
        <w:rPr>
          <w:rFonts w:ascii="Arial" w:hAnsi="Arial" w:cs="Arial"/>
          <w:noProof/>
        </w:rPr>
        <w:t>(Valère, 2022)</w:t>
      </w:r>
      <w:r w:rsidRPr="001A5676">
        <w:rPr>
          <w:rFonts w:ascii="Arial" w:hAnsi="Arial" w:cs="Arial"/>
        </w:rPr>
        <w:fldChar w:fldCharType="end"/>
      </w:r>
      <w:r w:rsidRPr="001A5676">
        <w:rPr>
          <w:rFonts w:ascii="Arial" w:hAnsi="Arial" w:cs="Arial"/>
        </w:rPr>
        <w:t xml:space="preserve">with some minor modifications. A 1 mL volume of Mueller-Hinton broth (MHB) was introduced into a series of ten (10) tubes and maintained at 37°C for each extract. The entire set was sterilized at 121°C for 15 minutes in an autoclave. After sterilization, 400 µL of the stock solution of each extract was introduced into the tubes containing the MHB. Following the arrangement of the tubes, successive serial dilutions in a 2:1 ratio were performed. After introducing the extracts, the tubes were removed from the water bath and then tilted at a 45° angle to create a slope. Five hours later, a calibrated platinum loop was used around a Bunsen burner to aspirate a volume of 0.5 McFarland standard inoculum, which was then used to streak the slope. The tubes were then incubated at 37°C for 24 hours in an incubator [65]. The Minimum Inhibitory Concentration (MIC) of each extract was recorded as the lowest concentration that prevented bacterial growth. Antimicrobial potential was determined according to the scale provided by Kuete. [60], which stipulates that the antimicrobial potential of a plant is considered high when MIC ˂ 100 µg/ml, moderate when 100 µg/ml ≤ </w:t>
      </w:r>
      <w:proofErr w:type="gramStart"/>
      <w:r w:rsidRPr="001A5676">
        <w:rPr>
          <w:rFonts w:ascii="Arial" w:hAnsi="Arial" w:cs="Arial"/>
        </w:rPr>
        <w:t>MIC  ≤</w:t>
      </w:r>
      <w:proofErr w:type="gramEnd"/>
      <w:r w:rsidRPr="001A5676">
        <w:rPr>
          <w:rFonts w:ascii="Arial" w:hAnsi="Arial" w:cs="Arial"/>
        </w:rPr>
        <w:t xml:space="preserve"> 625 µg/ml and low when MIC &gt; 625µg/ml.</w:t>
      </w:r>
    </w:p>
    <w:p w14:paraId="73833BA2" w14:textId="77777777" w:rsidR="001A5676" w:rsidRPr="001A5676" w:rsidRDefault="001A5676" w:rsidP="001A5676">
      <w:pPr>
        <w:pStyle w:val="Body"/>
        <w:spacing w:after="0"/>
        <w:rPr>
          <w:rFonts w:ascii="Arial" w:hAnsi="Arial" w:cs="Arial"/>
        </w:rPr>
      </w:pPr>
    </w:p>
    <w:p w14:paraId="0C93BDC6" w14:textId="547F693F" w:rsidR="001A5676" w:rsidRPr="001A5676" w:rsidRDefault="001A5676" w:rsidP="001A5676">
      <w:pPr>
        <w:pStyle w:val="Body"/>
        <w:spacing w:after="0"/>
        <w:rPr>
          <w:rFonts w:ascii="Arial" w:hAnsi="Arial" w:cs="Arial"/>
          <w:b/>
          <w:bCs/>
        </w:rPr>
      </w:pPr>
      <w:bookmarkStart w:id="25" w:name="_Toc126860807"/>
      <w:bookmarkStart w:id="26" w:name="_Toc137924736"/>
      <w:r w:rsidRPr="001A5676">
        <w:rPr>
          <w:rFonts w:ascii="Arial" w:hAnsi="Arial" w:cs="Arial"/>
          <w:b/>
          <w:bCs/>
        </w:rPr>
        <w:t>2.5.3.4 Determination of the Minimum Bactericidal Concentration (MBC)</w:t>
      </w:r>
      <w:bookmarkEnd w:id="25"/>
      <w:bookmarkEnd w:id="26"/>
    </w:p>
    <w:p w14:paraId="1AE41B97" w14:textId="5CC600AC" w:rsidR="001A5676" w:rsidRPr="001A5676" w:rsidRDefault="001A5676" w:rsidP="001A5676">
      <w:pPr>
        <w:pStyle w:val="Body"/>
        <w:spacing w:after="0"/>
        <w:rPr>
          <w:rFonts w:ascii="Arial" w:hAnsi="Arial" w:cs="Arial"/>
        </w:rPr>
      </w:pPr>
      <w:r w:rsidRPr="001A5676">
        <w:rPr>
          <w:rFonts w:ascii="Arial" w:hAnsi="Arial" w:cs="Arial"/>
        </w:rPr>
        <w:t xml:space="preserve">In tubes showing no bacterial growth, 1 mL of sterile MHB was introduced and incubated for 24 hours, after which growth was indicated by turbidity of the broth. CMB was considered to have the lowest extract concentration among tubes without turbidity </w:t>
      </w:r>
      <w:r w:rsidRPr="001A5676">
        <w:rPr>
          <w:rFonts w:ascii="Arial" w:hAnsi="Arial" w:cs="Arial"/>
        </w:rPr>
        <w:fldChar w:fldCharType="begin"/>
      </w:r>
      <w:r w:rsidR="00CA16D7">
        <w:rPr>
          <w:rFonts w:ascii="Arial" w:hAnsi="Arial" w:cs="Arial"/>
        </w:rPr>
        <w:instrText xml:space="preserve"> ADDIN EN.CITE &lt;EndNote&gt;&lt;Cite&gt;&lt;Author&gt;Valère&lt;/Author&gt;&lt;Year&gt;2022&lt;/Year&gt;&lt;RecNum&gt;86&lt;/RecNum&gt;&lt;DisplayText&gt;(Valère, 2022)&lt;/DisplayText&gt;&lt;record&gt;&lt;rec-number&gt;86&lt;/rec-number&gt;&lt;foreign-keys&gt;&lt;key app="EN" db-id="ppwefpzf5eefwrea9agvzetgp2s0rdew0rw0" timestamp="1777645568"&gt;86&lt;/key&gt;&lt;/foreign-keys&gt;&lt;ref-type name="Thesis"&gt;32&lt;/ref-type&gt;&lt;contributors&gt;&lt;authors&gt;&lt;author&gt;Valère, M.&lt;/author&gt;&lt;/authors&gt;&lt;/contributors&gt;&lt;titles&gt;&lt;title&gt;Evaluation in vitro de l’activité antioxydante et antibactérienne de l’écorce du tronc de canarium schweinfurthii&lt;/title&gt;&lt;/titles&gt;&lt;dates&gt;&lt;year&gt;2022&lt;/year&gt;&lt;/dates&gt;&lt;pub-location&gt;Bangangté&lt;/pub-location&gt;&lt;publisher&gt;Université des Montagnes&lt;/publisher&gt;&lt;urls&gt;&lt;/urls&gt;&lt;/record&gt;&lt;/Cite&gt;&lt;/EndNote&gt;</w:instrText>
      </w:r>
      <w:r w:rsidRPr="001A5676">
        <w:rPr>
          <w:rFonts w:ascii="Arial" w:hAnsi="Arial" w:cs="Arial"/>
        </w:rPr>
        <w:fldChar w:fldCharType="separate"/>
      </w:r>
      <w:r w:rsidR="00CA16D7">
        <w:rPr>
          <w:rFonts w:ascii="Arial" w:hAnsi="Arial" w:cs="Arial"/>
          <w:noProof/>
        </w:rPr>
        <w:t>(Valère, 2022)</w:t>
      </w:r>
      <w:r w:rsidRPr="001A5676">
        <w:rPr>
          <w:rFonts w:ascii="Arial" w:hAnsi="Arial" w:cs="Arial"/>
        </w:rPr>
        <w:fldChar w:fldCharType="end"/>
      </w:r>
      <w:r w:rsidRPr="001A5676">
        <w:rPr>
          <w:rFonts w:ascii="Arial" w:hAnsi="Arial" w:cs="Arial"/>
        </w:rPr>
        <w:t>.</w:t>
      </w:r>
    </w:p>
    <w:p w14:paraId="3C032E59" w14:textId="77777777" w:rsidR="001A5676" w:rsidRPr="001A5676" w:rsidRDefault="001A5676" w:rsidP="001A5676">
      <w:pPr>
        <w:pStyle w:val="Body"/>
        <w:spacing w:after="0"/>
        <w:rPr>
          <w:rFonts w:ascii="Arial" w:hAnsi="Arial" w:cs="Arial"/>
        </w:rPr>
      </w:pPr>
      <w:bookmarkStart w:id="27" w:name="_Toc126860808"/>
      <w:bookmarkStart w:id="28" w:name="_Toc137924737"/>
      <w:r w:rsidRPr="001A5676">
        <w:rPr>
          <w:rFonts w:ascii="Arial" w:hAnsi="Arial" w:cs="Arial"/>
        </w:rPr>
        <w:t>II.5.3.5 Evaluation of the CMB/CMI report</w:t>
      </w:r>
      <w:bookmarkEnd w:id="27"/>
      <w:bookmarkEnd w:id="28"/>
    </w:p>
    <w:p w14:paraId="6115D28A" w14:textId="4101B5BB" w:rsidR="001A5676" w:rsidRDefault="001A5676" w:rsidP="001A5676">
      <w:pPr>
        <w:pStyle w:val="Body"/>
        <w:spacing w:after="0"/>
        <w:rPr>
          <w:rFonts w:ascii="Arial" w:hAnsi="Arial" w:cs="Arial"/>
        </w:rPr>
      </w:pPr>
      <w:r w:rsidRPr="001A5676">
        <w:rPr>
          <w:rFonts w:ascii="Arial" w:hAnsi="Arial" w:cs="Arial"/>
        </w:rPr>
        <w:t xml:space="preserve">The CMB/CMI ratio has been used to define the bacteriostatic or bactericidal properties of a substance. A ratio greater than or equal to 4 indicates that the substance is bacteriostatic; if this ratio is less than 4, the substance is said to be bactericidal. If it is equal to 1, then it is said to be "absolutely bactericidal" </w:t>
      </w:r>
      <w:r w:rsidRPr="001A5676">
        <w:rPr>
          <w:rFonts w:ascii="Arial" w:hAnsi="Arial" w:cs="Arial"/>
        </w:rPr>
        <w:fldChar w:fldCharType="begin"/>
      </w:r>
      <w:r w:rsidR="00CA16D7">
        <w:rPr>
          <w:rFonts w:ascii="Arial" w:hAnsi="Arial" w:cs="Arial"/>
        </w:rPr>
        <w:instrText xml:space="preserve"> ADDIN EN.CITE &lt;EndNote&gt;&lt;Cite&gt;&lt;Author&gt;Djeussi&lt;/Author&gt;&lt;Year&gt;2013&lt;/Year&gt;&lt;RecNum&gt;78&lt;/RecNum&gt;&lt;DisplayText&gt;(Djeussi et al., 2013)&lt;/DisplayText&gt;&lt;record&gt;&lt;rec-number&gt;78&lt;/rec-number&gt;&lt;foreign-keys&gt;&lt;key app="EN" db-id="xd20ava0ss0z06e9fzmxda9qwp2twsza5092" timestamp="1774872772"&gt;78&lt;/key&gt;&lt;/foreign-keys&gt;&lt;ref-type name="Journal Article"&gt;17&lt;/ref-type&gt;&lt;contributors&gt;&lt;authors&gt;&lt;author&gt;Djeussi, D. E.&lt;/author&gt;&lt;author&gt;Noumedem, J. A.&lt;/author&gt;&lt;author&gt;Seukep, J. A.&lt;/author&gt;&lt;author&gt;Fankam, A. G.&lt;/author&gt;&lt;author&gt;Voukeng, I. K.&lt;/author&gt;&lt;author&gt;Tankeo, S. B.&lt;/author&gt;&lt;author&gt;Nkuete, A. H. L.&lt;/author&gt;&lt;author&gt;Kuete, V.&lt;/author&gt;&lt;/authors&gt;&lt;/contributors&gt;&lt;titles&gt;&lt;title&gt;Antibacterial activities of selected edible plants extracts against multi-drug resistant Gram-negative bacteria&lt;/title&gt;&lt;secondary-title&gt;BMC Complementary and Alternative Medicine&lt;/secondary-title&gt;&lt;/titles&gt;&lt;periodical&gt;&lt;full-title&gt;BMC Complementary and Alternative Medicine&lt;/full-title&gt;&lt;/periodical&gt;&lt;pages&gt;164&lt;/pages&gt;&lt;volume&gt;13&lt;/volume&gt;&lt;number&gt;1&lt;/number&gt;&lt;dates&gt;&lt;year&gt;2013&lt;/year&gt;&lt;/dates&gt;&lt;isbn&gt;1472-6882&lt;/isbn&gt;&lt;urls&gt;&lt;related-urls&gt;&lt;url&gt;https://doi.org/10.1186/1472-6882-13-164&lt;/url&gt;&lt;/related-urls&gt;&lt;/urls&gt;&lt;/record&gt;&lt;/Cite&gt;&lt;/EndNote&gt;</w:instrText>
      </w:r>
      <w:r w:rsidRPr="001A5676">
        <w:rPr>
          <w:rFonts w:ascii="Arial" w:hAnsi="Arial" w:cs="Arial"/>
        </w:rPr>
        <w:fldChar w:fldCharType="separate"/>
      </w:r>
      <w:r w:rsidR="00CA16D7">
        <w:rPr>
          <w:rFonts w:ascii="Arial" w:hAnsi="Arial" w:cs="Arial"/>
          <w:noProof/>
        </w:rPr>
        <w:t>(Djeussi et al., 2013)</w:t>
      </w:r>
      <w:r w:rsidRPr="001A5676">
        <w:rPr>
          <w:rFonts w:ascii="Arial" w:hAnsi="Arial" w:cs="Arial"/>
        </w:rPr>
        <w:fldChar w:fldCharType="end"/>
      </w:r>
      <w:r w:rsidRPr="001A5676">
        <w:rPr>
          <w:rFonts w:ascii="Arial" w:hAnsi="Arial" w:cs="Arial"/>
        </w:rPr>
        <w:t>.</w:t>
      </w:r>
    </w:p>
    <w:p w14:paraId="30A3E09B" w14:textId="77777777" w:rsidR="001A5676" w:rsidRPr="001A5676" w:rsidRDefault="001A5676" w:rsidP="001A5676">
      <w:pPr>
        <w:pStyle w:val="Body"/>
        <w:spacing w:after="0"/>
        <w:rPr>
          <w:rFonts w:ascii="Arial" w:hAnsi="Arial" w:cs="Arial"/>
        </w:rPr>
      </w:pPr>
    </w:p>
    <w:p w14:paraId="1D3AD98B" w14:textId="61C39E56" w:rsidR="001A5676" w:rsidRDefault="001A5676" w:rsidP="001A5676">
      <w:pPr>
        <w:pStyle w:val="Body"/>
        <w:spacing w:after="0"/>
        <w:rPr>
          <w:rFonts w:ascii="Arial" w:hAnsi="Arial" w:cs="Arial"/>
          <w:b/>
          <w:bCs/>
        </w:rPr>
      </w:pPr>
      <w:bookmarkStart w:id="29" w:name="_Toc137924738"/>
      <w:r w:rsidRPr="001A5676">
        <w:rPr>
          <w:rFonts w:ascii="Arial" w:hAnsi="Arial" w:cs="Arial"/>
          <w:b/>
          <w:bCs/>
        </w:rPr>
        <w:t>2.5.4 Statistical Analysis of Data</w:t>
      </w:r>
      <w:bookmarkEnd w:id="29"/>
      <w:r w:rsidRPr="001A5676">
        <w:rPr>
          <w:rFonts w:ascii="Arial" w:hAnsi="Arial" w:cs="Arial"/>
          <w:b/>
          <w:bCs/>
        </w:rPr>
        <w:t xml:space="preserve"> </w:t>
      </w:r>
    </w:p>
    <w:p w14:paraId="6BCE5699" w14:textId="77777777" w:rsidR="001A5676" w:rsidRPr="001A5676" w:rsidRDefault="001A5676" w:rsidP="001A5676">
      <w:pPr>
        <w:pStyle w:val="Body"/>
        <w:spacing w:after="0"/>
        <w:rPr>
          <w:rFonts w:ascii="Arial" w:hAnsi="Arial" w:cs="Arial"/>
          <w:b/>
          <w:bCs/>
        </w:rPr>
      </w:pPr>
    </w:p>
    <w:p w14:paraId="75B86210" w14:textId="77777777" w:rsidR="001A5676" w:rsidRPr="001A5676" w:rsidRDefault="001A5676" w:rsidP="001A5676">
      <w:pPr>
        <w:pStyle w:val="Body"/>
        <w:spacing w:after="0"/>
        <w:rPr>
          <w:rFonts w:ascii="Arial" w:hAnsi="Arial" w:cs="Arial"/>
        </w:rPr>
      </w:pPr>
      <w:r w:rsidRPr="001A5676">
        <w:rPr>
          <w:rFonts w:ascii="Arial" w:hAnsi="Arial" w:cs="Arial"/>
        </w:rPr>
        <w:t xml:space="preserve">Data were analyzed using SPSS 22 for Windows (SPSS, Inc., Chicago, IL, USA). One-way ANOVA was used to compare the means of more than two groups. Subsequently, Duncan's post-hoc test was used for pairwise comparisons. Analysis of the experimental design data </w:t>
      </w:r>
      <w:r w:rsidRPr="001A5676">
        <w:rPr>
          <w:rFonts w:ascii="Arial" w:hAnsi="Arial" w:cs="Arial"/>
        </w:rPr>
        <w:lastRenderedPageBreak/>
        <w:t xml:space="preserve">was performed using </w:t>
      </w:r>
      <w:proofErr w:type="spellStart"/>
      <w:r w:rsidRPr="001A5676">
        <w:rPr>
          <w:rFonts w:ascii="Arial" w:hAnsi="Arial" w:cs="Arial"/>
        </w:rPr>
        <w:t>Mintab</w:t>
      </w:r>
      <w:proofErr w:type="spellEnd"/>
      <w:r w:rsidRPr="001A5676">
        <w:rPr>
          <w:rFonts w:ascii="Arial" w:hAnsi="Arial" w:cs="Arial"/>
        </w:rPr>
        <w:t xml:space="preserve"> 19 Centurion software, version 17.1.8. The significance level was set at p &lt; 0.05.</w:t>
      </w:r>
    </w:p>
    <w:p w14:paraId="1AF48907" w14:textId="77777777" w:rsidR="00790ADA" w:rsidRPr="00502516" w:rsidRDefault="00790ADA" w:rsidP="00441B6F">
      <w:pPr>
        <w:pStyle w:val="Body"/>
        <w:spacing w:after="0"/>
        <w:rPr>
          <w:rFonts w:ascii="Arial" w:hAnsi="Arial" w:cs="Arial"/>
        </w:rPr>
      </w:pPr>
    </w:p>
    <w:p w14:paraId="0DD1911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BB7D7DA" w14:textId="77777777" w:rsidR="00790ADA" w:rsidRPr="00FB3A86" w:rsidRDefault="00790ADA" w:rsidP="00441B6F">
      <w:pPr>
        <w:pStyle w:val="Head1"/>
        <w:spacing w:after="0"/>
        <w:jc w:val="both"/>
        <w:rPr>
          <w:rFonts w:ascii="Arial" w:hAnsi="Arial" w:cs="Arial"/>
        </w:rPr>
      </w:pPr>
    </w:p>
    <w:p w14:paraId="427C8B2B" w14:textId="72A971CE" w:rsidR="001A5676" w:rsidRPr="001A5676" w:rsidRDefault="001A5676" w:rsidP="001A5676">
      <w:pPr>
        <w:pStyle w:val="Body"/>
        <w:spacing w:after="0"/>
        <w:rPr>
          <w:rFonts w:ascii="Arial" w:hAnsi="Arial" w:cs="Arial"/>
          <w:b/>
          <w:bCs/>
        </w:rPr>
      </w:pPr>
      <w:bookmarkStart w:id="30" w:name="_Toc136377198"/>
      <w:bookmarkStart w:id="31" w:name="_Toc137924740"/>
      <w:r w:rsidRPr="001A5676">
        <w:rPr>
          <w:rFonts w:ascii="Arial" w:hAnsi="Arial" w:cs="Arial"/>
          <w:b/>
          <w:bCs/>
        </w:rPr>
        <w:t>3.1 Extraction Yield</w:t>
      </w:r>
      <w:bookmarkEnd w:id="30"/>
      <w:bookmarkEnd w:id="31"/>
    </w:p>
    <w:p w14:paraId="3EF3D9E5" w14:textId="77777777" w:rsidR="001A5676" w:rsidRPr="001A5676" w:rsidRDefault="001A5676" w:rsidP="001A5676">
      <w:pPr>
        <w:pStyle w:val="Body"/>
        <w:spacing w:after="0"/>
        <w:rPr>
          <w:rFonts w:ascii="Arial" w:hAnsi="Arial" w:cs="Arial"/>
        </w:rPr>
      </w:pPr>
      <w:r w:rsidRPr="001A5676">
        <w:rPr>
          <w:rFonts w:ascii="Arial" w:hAnsi="Arial" w:cs="Arial"/>
        </w:rPr>
        <w:t>The yields and characteristics of the different extracts obtained are recorded in Table 2.</w:t>
      </w:r>
    </w:p>
    <w:p w14:paraId="2BFB07E6" w14:textId="780DC1BC" w:rsidR="001A5676" w:rsidRPr="001A5676" w:rsidRDefault="001A5676" w:rsidP="001A5676">
      <w:pPr>
        <w:pStyle w:val="Body"/>
        <w:spacing w:after="0"/>
        <w:rPr>
          <w:rFonts w:ascii="Arial" w:hAnsi="Arial" w:cs="Arial"/>
        </w:rPr>
      </w:pPr>
      <w:bookmarkStart w:id="32" w:name="_Toc137921294"/>
      <w:bookmarkStart w:id="33" w:name="_Toc137923797"/>
      <w:r w:rsidRPr="001A5676">
        <w:rPr>
          <w:rFonts w:ascii="Arial" w:hAnsi="Arial" w:cs="Arial"/>
        </w:rPr>
        <w:t xml:space="preserve">Table 2: Extraction yields </w:t>
      </w:r>
      <w:bookmarkEnd w:id="32"/>
      <w:bookmarkEnd w:id="33"/>
      <w:r w:rsidRPr="001A5676">
        <w:rPr>
          <w:rFonts w:ascii="Arial" w:hAnsi="Arial" w:cs="Arial"/>
        </w:rPr>
        <w:t xml:space="preserve">of </w:t>
      </w:r>
      <w:r w:rsidR="00CA16D7" w:rsidRPr="00CA16D7">
        <w:rPr>
          <w:rFonts w:ascii="Arial" w:hAnsi="Arial" w:cs="Arial"/>
          <w:i/>
          <w:iCs/>
        </w:rPr>
        <w:t xml:space="preserve">Garcinia </w:t>
      </w:r>
      <w:proofErr w:type="spellStart"/>
      <w:proofErr w:type="gramStart"/>
      <w:r w:rsidR="00CA16D7" w:rsidRPr="00CA16D7">
        <w:rPr>
          <w:rFonts w:ascii="Arial" w:hAnsi="Arial" w:cs="Arial"/>
          <w:i/>
          <w:iCs/>
        </w:rPr>
        <w:t>mangostana</w:t>
      </w:r>
      <w:proofErr w:type="spellEnd"/>
      <w:r w:rsidR="00CA16D7" w:rsidRPr="00CA16D7">
        <w:rPr>
          <w:rFonts w:ascii="Arial" w:hAnsi="Arial" w:cs="Arial"/>
          <w:i/>
          <w:iCs/>
        </w:rPr>
        <w:t xml:space="preserve"> </w:t>
      </w:r>
      <w:r w:rsidRPr="001A5676">
        <w:rPr>
          <w:rFonts w:ascii="Arial" w:hAnsi="Arial" w:cs="Arial"/>
        </w:rPr>
        <w:t xml:space="preserve"> L.</w:t>
      </w:r>
      <w:proofErr w:type="gramEnd"/>
    </w:p>
    <w:tbl>
      <w:tblPr>
        <w:tblW w:w="9198" w:type="dxa"/>
        <w:tblBorders>
          <w:top w:val="single" w:sz="4" w:space="0" w:color="auto"/>
          <w:bottom w:val="single" w:sz="4" w:space="0" w:color="auto"/>
        </w:tblBorders>
        <w:tblLook w:val="04A0" w:firstRow="1" w:lastRow="0" w:firstColumn="1" w:lastColumn="0" w:noHBand="0" w:noVBand="1"/>
      </w:tblPr>
      <w:tblGrid>
        <w:gridCol w:w="1098"/>
        <w:gridCol w:w="1890"/>
        <w:gridCol w:w="1515"/>
        <w:gridCol w:w="1455"/>
        <w:gridCol w:w="3240"/>
      </w:tblGrid>
      <w:tr w:rsidR="001A5676" w:rsidRPr="001A5676" w14:paraId="5B414286" w14:textId="77777777" w:rsidTr="004A2F47">
        <w:tc>
          <w:tcPr>
            <w:tcW w:w="1098" w:type="dxa"/>
            <w:tcBorders>
              <w:top w:val="single" w:sz="4" w:space="0" w:color="auto"/>
              <w:bottom w:val="single" w:sz="4" w:space="0" w:color="auto"/>
            </w:tcBorders>
          </w:tcPr>
          <w:p w14:paraId="586AD6FF" w14:textId="77777777" w:rsidR="001A5676" w:rsidRPr="001A5676" w:rsidRDefault="001A5676" w:rsidP="001A5676">
            <w:pPr>
              <w:pStyle w:val="Body"/>
              <w:spacing w:after="0"/>
              <w:rPr>
                <w:rFonts w:ascii="Arial" w:hAnsi="Arial" w:cs="Arial"/>
              </w:rPr>
            </w:pPr>
            <w:r w:rsidRPr="001A5676">
              <w:rPr>
                <w:rFonts w:ascii="Arial" w:hAnsi="Arial" w:cs="Arial"/>
              </w:rPr>
              <w:t>Extracts</w:t>
            </w:r>
          </w:p>
        </w:tc>
        <w:tc>
          <w:tcPr>
            <w:tcW w:w="1890" w:type="dxa"/>
            <w:tcBorders>
              <w:top w:val="single" w:sz="4" w:space="0" w:color="auto"/>
              <w:bottom w:val="single" w:sz="4" w:space="0" w:color="auto"/>
            </w:tcBorders>
          </w:tcPr>
          <w:p w14:paraId="15C6E9AD" w14:textId="77777777" w:rsidR="001A5676" w:rsidRPr="001A5676" w:rsidRDefault="001A5676" w:rsidP="001A5676">
            <w:pPr>
              <w:pStyle w:val="Body"/>
              <w:spacing w:after="0"/>
              <w:rPr>
                <w:rFonts w:ascii="Arial" w:hAnsi="Arial" w:cs="Arial"/>
              </w:rPr>
            </w:pPr>
            <w:r w:rsidRPr="001A5676">
              <w:rPr>
                <w:rFonts w:ascii="Arial" w:hAnsi="Arial" w:cs="Arial"/>
              </w:rPr>
              <w:t>Initial masses</w:t>
            </w:r>
          </w:p>
          <w:p w14:paraId="0AFF610D" w14:textId="77777777" w:rsidR="001A5676" w:rsidRPr="001A5676" w:rsidRDefault="001A5676" w:rsidP="001A5676">
            <w:pPr>
              <w:pStyle w:val="Body"/>
              <w:spacing w:after="0"/>
              <w:rPr>
                <w:rFonts w:ascii="Arial" w:hAnsi="Arial" w:cs="Arial"/>
              </w:rPr>
            </w:pPr>
            <w:r w:rsidRPr="001A5676">
              <w:rPr>
                <w:rFonts w:ascii="Arial" w:hAnsi="Arial" w:cs="Arial"/>
              </w:rPr>
              <w:t>Powders (g)</w:t>
            </w:r>
          </w:p>
        </w:tc>
        <w:tc>
          <w:tcPr>
            <w:tcW w:w="1515" w:type="dxa"/>
            <w:tcBorders>
              <w:top w:val="single" w:sz="4" w:space="0" w:color="auto"/>
              <w:bottom w:val="single" w:sz="4" w:space="0" w:color="auto"/>
            </w:tcBorders>
          </w:tcPr>
          <w:p w14:paraId="023AE2FA" w14:textId="77777777" w:rsidR="001A5676" w:rsidRPr="001A5676" w:rsidRDefault="001A5676" w:rsidP="001A5676">
            <w:pPr>
              <w:pStyle w:val="Body"/>
              <w:spacing w:after="0"/>
              <w:rPr>
                <w:rFonts w:ascii="Arial" w:hAnsi="Arial" w:cs="Arial"/>
              </w:rPr>
            </w:pPr>
            <w:r w:rsidRPr="001A5676">
              <w:rPr>
                <w:rFonts w:ascii="Arial" w:hAnsi="Arial" w:cs="Arial"/>
              </w:rPr>
              <w:t>Mass of extracts (g)</w:t>
            </w:r>
          </w:p>
        </w:tc>
        <w:tc>
          <w:tcPr>
            <w:tcW w:w="1455" w:type="dxa"/>
            <w:tcBorders>
              <w:top w:val="single" w:sz="4" w:space="0" w:color="auto"/>
              <w:bottom w:val="single" w:sz="4" w:space="0" w:color="auto"/>
            </w:tcBorders>
          </w:tcPr>
          <w:p w14:paraId="28224D97" w14:textId="77777777" w:rsidR="001A5676" w:rsidRPr="001A5676" w:rsidRDefault="001A5676" w:rsidP="001A5676">
            <w:pPr>
              <w:pStyle w:val="Body"/>
              <w:spacing w:after="0"/>
              <w:rPr>
                <w:rFonts w:ascii="Arial" w:hAnsi="Arial" w:cs="Arial"/>
              </w:rPr>
            </w:pPr>
            <w:r w:rsidRPr="001A5676">
              <w:rPr>
                <w:rFonts w:ascii="Arial" w:hAnsi="Arial" w:cs="Arial"/>
              </w:rPr>
              <w:t>Yields (%)</w:t>
            </w:r>
          </w:p>
        </w:tc>
        <w:tc>
          <w:tcPr>
            <w:tcW w:w="3240" w:type="dxa"/>
            <w:tcBorders>
              <w:top w:val="single" w:sz="4" w:space="0" w:color="auto"/>
              <w:bottom w:val="single" w:sz="4" w:space="0" w:color="auto"/>
            </w:tcBorders>
          </w:tcPr>
          <w:p w14:paraId="4707593F" w14:textId="77777777" w:rsidR="001A5676" w:rsidRPr="001A5676" w:rsidRDefault="001A5676" w:rsidP="001A5676">
            <w:pPr>
              <w:pStyle w:val="Body"/>
              <w:spacing w:after="0"/>
              <w:rPr>
                <w:rFonts w:ascii="Arial" w:hAnsi="Arial" w:cs="Arial"/>
              </w:rPr>
            </w:pPr>
            <w:r w:rsidRPr="001A5676">
              <w:rPr>
                <w:rFonts w:ascii="Arial" w:hAnsi="Arial" w:cs="Arial"/>
              </w:rPr>
              <w:t>Features</w:t>
            </w:r>
          </w:p>
          <w:p w14:paraId="7FF7A9FD" w14:textId="77777777" w:rsidR="001A5676" w:rsidRPr="001A5676" w:rsidRDefault="001A5676" w:rsidP="001A5676">
            <w:pPr>
              <w:pStyle w:val="Body"/>
              <w:spacing w:after="0"/>
              <w:rPr>
                <w:rFonts w:ascii="Arial" w:hAnsi="Arial" w:cs="Arial"/>
              </w:rPr>
            </w:pPr>
            <w:r w:rsidRPr="001A5676">
              <w:rPr>
                <w:rFonts w:ascii="Arial" w:hAnsi="Arial" w:cs="Arial"/>
              </w:rPr>
              <w:t>Organoleptic characteristics</w:t>
            </w:r>
          </w:p>
        </w:tc>
      </w:tr>
      <w:tr w:rsidR="001A5676" w:rsidRPr="001A5676" w14:paraId="53366534" w14:textId="77777777" w:rsidTr="004A2F47">
        <w:tc>
          <w:tcPr>
            <w:tcW w:w="1098" w:type="dxa"/>
            <w:tcBorders>
              <w:top w:val="single" w:sz="4" w:space="0" w:color="auto"/>
            </w:tcBorders>
          </w:tcPr>
          <w:p w14:paraId="71A1F302" w14:textId="77777777" w:rsidR="001A5676" w:rsidRPr="001A5676" w:rsidRDefault="001A5676" w:rsidP="001A5676">
            <w:pPr>
              <w:pStyle w:val="Body"/>
              <w:spacing w:after="0"/>
              <w:rPr>
                <w:rFonts w:ascii="Arial" w:hAnsi="Arial" w:cs="Arial"/>
              </w:rPr>
            </w:pPr>
            <w:r w:rsidRPr="001A5676">
              <w:rPr>
                <w:rFonts w:ascii="Arial" w:hAnsi="Arial" w:cs="Arial"/>
              </w:rPr>
              <w:t>DAq</w:t>
            </w:r>
          </w:p>
        </w:tc>
        <w:tc>
          <w:tcPr>
            <w:tcW w:w="1890" w:type="dxa"/>
            <w:tcBorders>
              <w:top w:val="single" w:sz="4" w:space="0" w:color="auto"/>
            </w:tcBorders>
          </w:tcPr>
          <w:p w14:paraId="6CF475E1" w14:textId="77777777" w:rsidR="001A5676" w:rsidRPr="001A5676" w:rsidRDefault="001A5676" w:rsidP="001A5676">
            <w:pPr>
              <w:pStyle w:val="Body"/>
              <w:spacing w:after="0"/>
              <w:rPr>
                <w:rFonts w:ascii="Arial" w:hAnsi="Arial" w:cs="Arial"/>
              </w:rPr>
            </w:pPr>
            <w:r w:rsidRPr="001A5676">
              <w:rPr>
                <w:rFonts w:ascii="Arial" w:hAnsi="Arial" w:cs="Arial"/>
              </w:rPr>
              <w:t>100</w:t>
            </w:r>
          </w:p>
        </w:tc>
        <w:tc>
          <w:tcPr>
            <w:tcW w:w="1515" w:type="dxa"/>
            <w:tcBorders>
              <w:top w:val="single" w:sz="4" w:space="0" w:color="auto"/>
            </w:tcBorders>
          </w:tcPr>
          <w:p w14:paraId="795B3724" w14:textId="77777777" w:rsidR="001A5676" w:rsidRPr="001A5676" w:rsidRDefault="001A5676" w:rsidP="001A5676">
            <w:pPr>
              <w:pStyle w:val="Body"/>
              <w:spacing w:after="0"/>
              <w:rPr>
                <w:rFonts w:ascii="Arial" w:hAnsi="Arial" w:cs="Arial"/>
              </w:rPr>
            </w:pPr>
            <w:r w:rsidRPr="001A5676">
              <w:rPr>
                <w:rFonts w:ascii="Arial" w:hAnsi="Arial" w:cs="Arial"/>
              </w:rPr>
              <w:t>1.40</w:t>
            </w:r>
          </w:p>
        </w:tc>
        <w:tc>
          <w:tcPr>
            <w:tcW w:w="1455" w:type="dxa"/>
            <w:tcBorders>
              <w:top w:val="single" w:sz="4" w:space="0" w:color="auto"/>
            </w:tcBorders>
          </w:tcPr>
          <w:p w14:paraId="3B5F4A67" w14:textId="77777777" w:rsidR="001A5676" w:rsidRPr="001A5676" w:rsidRDefault="001A5676" w:rsidP="001A5676">
            <w:pPr>
              <w:pStyle w:val="Body"/>
              <w:spacing w:after="0"/>
              <w:rPr>
                <w:rFonts w:ascii="Arial" w:hAnsi="Arial" w:cs="Arial"/>
              </w:rPr>
            </w:pPr>
            <w:r w:rsidRPr="001A5676">
              <w:rPr>
                <w:rFonts w:ascii="Arial" w:hAnsi="Arial" w:cs="Arial"/>
              </w:rPr>
              <w:t>1.40</w:t>
            </w:r>
          </w:p>
        </w:tc>
        <w:tc>
          <w:tcPr>
            <w:tcW w:w="3240" w:type="dxa"/>
            <w:tcBorders>
              <w:top w:val="single" w:sz="4" w:space="0" w:color="auto"/>
            </w:tcBorders>
          </w:tcPr>
          <w:p w14:paraId="51B621AA" w14:textId="77777777" w:rsidR="001A5676" w:rsidRPr="001A5676" w:rsidRDefault="001A5676" w:rsidP="001A5676">
            <w:pPr>
              <w:pStyle w:val="Body"/>
              <w:spacing w:after="0"/>
              <w:rPr>
                <w:rFonts w:ascii="Arial" w:hAnsi="Arial" w:cs="Arial"/>
              </w:rPr>
            </w:pPr>
            <w:r w:rsidRPr="001A5676">
              <w:rPr>
                <w:rFonts w:ascii="Arial" w:hAnsi="Arial" w:cs="Arial"/>
              </w:rPr>
              <w:t>Chestnut in the form of chips</w:t>
            </w:r>
          </w:p>
        </w:tc>
      </w:tr>
      <w:tr w:rsidR="001A5676" w:rsidRPr="001A5676" w14:paraId="7064A1A9" w14:textId="77777777" w:rsidTr="004A2F47">
        <w:tc>
          <w:tcPr>
            <w:tcW w:w="1098" w:type="dxa"/>
          </w:tcPr>
          <w:p w14:paraId="68D54BB0" w14:textId="77777777" w:rsidR="001A5676" w:rsidRPr="001A5676" w:rsidRDefault="001A5676" w:rsidP="001A5676">
            <w:pPr>
              <w:pStyle w:val="Body"/>
              <w:spacing w:after="0"/>
              <w:rPr>
                <w:rFonts w:ascii="Arial" w:hAnsi="Arial" w:cs="Arial"/>
              </w:rPr>
            </w:pPr>
            <w:proofErr w:type="spellStart"/>
            <w:r w:rsidRPr="001A5676">
              <w:rPr>
                <w:rFonts w:ascii="Arial" w:hAnsi="Arial" w:cs="Arial"/>
              </w:rPr>
              <w:t>MHe</w:t>
            </w:r>
            <w:proofErr w:type="spellEnd"/>
          </w:p>
        </w:tc>
        <w:tc>
          <w:tcPr>
            <w:tcW w:w="1890" w:type="dxa"/>
          </w:tcPr>
          <w:p w14:paraId="59C589EF" w14:textId="77777777" w:rsidR="001A5676" w:rsidRPr="001A5676" w:rsidRDefault="001A5676" w:rsidP="001A5676">
            <w:pPr>
              <w:pStyle w:val="Body"/>
              <w:spacing w:after="0"/>
              <w:rPr>
                <w:rFonts w:ascii="Arial" w:hAnsi="Arial" w:cs="Arial"/>
              </w:rPr>
            </w:pPr>
            <w:r w:rsidRPr="001A5676">
              <w:rPr>
                <w:rFonts w:ascii="Arial" w:hAnsi="Arial" w:cs="Arial"/>
              </w:rPr>
              <w:t>100</w:t>
            </w:r>
          </w:p>
        </w:tc>
        <w:tc>
          <w:tcPr>
            <w:tcW w:w="1515" w:type="dxa"/>
          </w:tcPr>
          <w:p w14:paraId="0A497E5A" w14:textId="77777777" w:rsidR="001A5676" w:rsidRPr="001A5676" w:rsidRDefault="001A5676" w:rsidP="001A5676">
            <w:pPr>
              <w:pStyle w:val="Body"/>
              <w:spacing w:after="0"/>
              <w:rPr>
                <w:rFonts w:ascii="Arial" w:hAnsi="Arial" w:cs="Arial"/>
              </w:rPr>
            </w:pPr>
            <w:r w:rsidRPr="001A5676">
              <w:rPr>
                <w:rFonts w:ascii="Arial" w:hAnsi="Arial" w:cs="Arial"/>
              </w:rPr>
              <w:t>2.76</w:t>
            </w:r>
          </w:p>
        </w:tc>
        <w:tc>
          <w:tcPr>
            <w:tcW w:w="1455" w:type="dxa"/>
          </w:tcPr>
          <w:p w14:paraId="40810515" w14:textId="77777777" w:rsidR="001A5676" w:rsidRPr="001A5676" w:rsidRDefault="001A5676" w:rsidP="001A5676">
            <w:pPr>
              <w:pStyle w:val="Body"/>
              <w:spacing w:after="0"/>
              <w:rPr>
                <w:rFonts w:ascii="Arial" w:hAnsi="Arial" w:cs="Arial"/>
              </w:rPr>
            </w:pPr>
            <w:r w:rsidRPr="001A5676">
              <w:rPr>
                <w:rFonts w:ascii="Arial" w:hAnsi="Arial" w:cs="Arial"/>
              </w:rPr>
              <w:t>2.76</w:t>
            </w:r>
          </w:p>
        </w:tc>
        <w:tc>
          <w:tcPr>
            <w:tcW w:w="3240" w:type="dxa"/>
          </w:tcPr>
          <w:p w14:paraId="30ACCDEC" w14:textId="77777777" w:rsidR="001A5676" w:rsidRPr="001A5676" w:rsidRDefault="001A5676" w:rsidP="001A5676">
            <w:pPr>
              <w:pStyle w:val="Body"/>
              <w:spacing w:after="0"/>
              <w:rPr>
                <w:rFonts w:ascii="Arial" w:hAnsi="Arial" w:cs="Arial"/>
              </w:rPr>
            </w:pPr>
            <w:r w:rsidRPr="001A5676">
              <w:rPr>
                <w:rFonts w:ascii="Arial" w:hAnsi="Arial" w:cs="Arial"/>
              </w:rPr>
              <w:t>Chestnut in chip form</w:t>
            </w:r>
          </w:p>
        </w:tc>
      </w:tr>
      <w:tr w:rsidR="001A5676" w:rsidRPr="001A5676" w14:paraId="2EFE2F3C" w14:textId="77777777" w:rsidTr="004A2F47">
        <w:tc>
          <w:tcPr>
            <w:tcW w:w="1098" w:type="dxa"/>
          </w:tcPr>
          <w:p w14:paraId="5F9AC2CF" w14:textId="77777777" w:rsidR="001A5676" w:rsidRPr="001A5676" w:rsidRDefault="001A5676" w:rsidP="001A5676">
            <w:pPr>
              <w:pStyle w:val="Body"/>
              <w:spacing w:after="0"/>
              <w:rPr>
                <w:rFonts w:ascii="Arial" w:hAnsi="Arial" w:cs="Arial"/>
              </w:rPr>
            </w:pPr>
            <w:proofErr w:type="spellStart"/>
            <w:r w:rsidRPr="001A5676">
              <w:rPr>
                <w:rFonts w:ascii="Arial" w:hAnsi="Arial" w:cs="Arial"/>
              </w:rPr>
              <w:t>MAq</w:t>
            </w:r>
            <w:proofErr w:type="spellEnd"/>
          </w:p>
        </w:tc>
        <w:tc>
          <w:tcPr>
            <w:tcW w:w="1890" w:type="dxa"/>
          </w:tcPr>
          <w:p w14:paraId="4F306720" w14:textId="77777777" w:rsidR="001A5676" w:rsidRPr="001A5676" w:rsidRDefault="001A5676" w:rsidP="001A5676">
            <w:pPr>
              <w:pStyle w:val="Body"/>
              <w:spacing w:after="0"/>
              <w:rPr>
                <w:rFonts w:ascii="Arial" w:hAnsi="Arial" w:cs="Arial"/>
              </w:rPr>
            </w:pPr>
            <w:r w:rsidRPr="001A5676">
              <w:rPr>
                <w:rFonts w:ascii="Arial" w:hAnsi="Arial" w:cs="Arial"/>
              </w:rPr>
              <w:t>100</w:t>
            </w:r>
          </w:p>
        </w:tc>
        <w:tc>
          <w:tcPr>
            <w:tcW w:w="1515" w:type="dxa"/>
          </w:tcPr>
          <w:p w14:paraId="0EF10DFF" w14:textId="77777777" w:rsidR="001A5676" w:rsidRPr="001A5676" w:rsidRDefault="001A5676" w:rsidP="001A5676">
            <w:pPr>
              <w:pStyle w:val="Body"/>
              <w:spacing w:after="0"/>
              <w:rPr>
                <w:rFonts w:ascii="Arial" w:hAnsi="Arial" w:cs="Arial"/>
              </w:rPr>
            </w:pPr>
            <w:r w:rsidRPr="001A5676">
              <w:rPr>
                <w:rFonts w:ascii="Arial" w:hAnsi="Arial" w:cs="Arial"/>
              </w:rPr>
              <w:t>1</w:t>
            </w:r>
          </w:p>
        </w:tc>
        <w:tc>
          <w:tcPr>
            <w:tcW w:w="1455" w:type="dxa"/>
          </w:tcPr>
          <w:p w14:paraId="50B29B2B" w14:textId="77777777" w:rsidR="001A5676" w:rsidRPr="001A5676" w:rsidRDefault="001A5676" w:rsidP="001A5676">
            <w:pPr>
              <w:pStyle w:val="Body"/>
              <w:spacing w:after="0"/>
              <w:rPr>
                <w:rFonts w:ascii="Arial" w:hAnsi="Arial" w:cs="Arial"/>
              </w:rPr>
            </w:pPr>
            <w:r w:rsidRPr="001A5676">
              <w:rPr>
                <w:rFonts w:ascii="Arial" w:hAnsi="Arial" w:cs="Arial"/>
              </w:rPr>
              <w:t>1</w:t>
            </w:r>
          </w:p>
        </w:tc>
        <w:tc>
          <w:tcPr>
            <w:tcW w:w="3240" w:type="dxa"/>
          </w:tcPr>
          <w:p w14:paraId="6EF7AEEA" w14:textId="77777777" w:rsidR="001A5676" w:rsidRPr="001A5676" w:rsidRDefault="001A5676" w:rsidP="001A5676">
            <w:pPr>
              <w:pStyle w:val="Body"/>
              <w:spacing w:after="0"/>
              <w:rPr>
                <w:rFonts w:ascii="Arial" w:hAnsi="Arial" w:cs="Arial"/>
              </w:rPr>
            </w:pPr>
            <w:r w:rsidRPr="001A5676">
              <w:rPr>
                <w:rFonts w:ascii="Arial" w:hAnsi="Arial" w:cs="Arial"/>
              </w:rPr>
              <w:t>Brown, sticky, pasty</w:t>
            </w:r>
          </w:p>
        </w:tc>
      </w:tr>
    </w:tbl>
    <w:p w14:paraId="6866DDBF" w14:textId="77777777" w:rsidR="001A5676" w:rsidRPr="001A5676" w:rsidRDefault="001A5676" w:rsidP="001A5676">
      <w:pPr>
        <w:pStyle w:val="Body"/>
        <w:spacing w:after="0"/>
        <w:rPr>
          <w:rFonts w:ascii="Arial" w:hAnsi="Arial" w:cs="Arial"/>
        </w:rPr>
      </w:pPr>
      <w:proofErr w:type="gramStart"/>
      <w:r w:rsidRPr="001A5676">
        <w:rPr>
          <w:rFonts w:ascii="Arial" w:hAnsi="Arial" w:cs="Arial"/>
        </w:rPr>
        <w:t>DAq :</w:t>
      </w:r>
      <w:proofErr w:type="gramEnd"/>
      <w:r w:rsidRPr="001A5676">
        <w:rPr>
          <w:rFonts w:ascii="Arial" w:hAnsi="Arial" w:cs="Arial"/>
        </w:rPr>
        <w:t xml:space="preserve"> Aqueous Decoction; </w:t>
      </w:r>
      <w:proofErr w:type="spellStart"/>
      <w:r w:rsidRPr="001A5676">
        <w:rPr>
          <w:rFonts w:ascii="Arial" w:hAnsi="Arial" w:cs="Arial"/>
        </w:rPr>
        <w:t>MHe</w:t>
      </w:r>
      <w:proofErr w:type="spellEnd"/>
      <w:r w:rsidRPr="001A5676">
        <w:rPr>
          <w:rFonts w:ascii="Arial" w:hAnsi="Arial" w:cs="Arial"/>
        </w:rPr>
        <w:t xml:space="preserve"> : Hydro-ethanolic Maceration; </w:t>
      </w:r>
      <w:proofErr w:type="spellStart"/>
      <w:r w:rsidRPr="001A5676">
        <w:rPr>
          <w:rFonts w:ascii="Arial" w:hAnsi="Arial" w:cs="Arial"/>
        </w:rPr>
        <w:t>MAq</w:t>
      </w:r>
      <w:proofErr w:type="spellEnd"/>
      <w:r w:rsidRPr="001A5676">
        <w:rPr>
          <w:rFonts w:ascii="Arial" w:hAnsi="Arial" w:cs="Arial"/>
        </w:rPr>
        <w:t xml:space="preserve"> : Aqueous Maceration.</w:t>
      </w:r>
    </w:p>
    <w:p w14:paraId="4D55D721" w14:textId="77777777" w:rsidR="001A5676" w:rsidRPr="001A5676" w:rsidRDefault="001A5676" w:rsidP="001A5676">
      <w:pPr>
        <w:pStyle w:val="Body"/>
        <w:spacing w:after="0"/>
        <w:rPr>
          <w:rFonts w:ascii="Arial" w:hAnsi="Arial" w:cs="Arial"/>
        </w:rPr>
      </w:pPr>
      <w:r w:rsidRPr="001A5676">
        <w:rPr>
          <w:rFonts w:ascii="Arial" w:hAnsi="Arial" w:cs="Arial"/>
        </w:rPr>
        <w:t>Table 2 shows that the highest yield was obtained by hydroethanolic maceration of the fruits with a value of 2.76% and the lowest was obtained by aqueous maceration with a value of 1%.</w:t>
      </w:r>
    </w:p>
    <w:p w14:paraId="712AF8A8" w14:textId="7FB225AC" w:rsidR="001A5676" w:rsidRPr="001A5676" w:rsidRDefault="001A5676" w:rsidP="001A5676">
      <w:pPr>
        <w:pStyle w:val="Body"/>
        <w:spacing w:after="0"/>
        <w:rPr>
          <w:rFonts w:ascii="Arial" w:hAnsi="Arial" w:cs="Arial"/>
          <w:b/>
          <w:bCs/>
        </w:rPr>
      </w:pPr>
      <w:bookmarkStart w:id="34" w:name="_Toc136377199"/>
      <w:bookmarkStart w:id="35" w:name="_Toc137924741"/>
      <w:r>
        <w:rPr>
          <w:rFonts w:ascii="Arial" w:hAnsi="Arial" w:cs="Arial"/>
          <w:b/>
          <w:bCs/>
        </w:rPr>
        <w:t>3</w:t>
      </w:r>
      <w:r w:rsidRPr="001A5676">
        <w:rPr>
          <w:rFonts w:ascii="Arial" w:hAnsi="Arial" w:cs="Arial"/>
          <w:b/>
          <w:bCs/>
        </w:rPr>
        <w:t>.2 Phytochemical composition</w:t>
      </w:r>
      <w:bookmarkEnd w:id="34"/>
      <w:bookmarkEnd w:id="35"/>
    </w:p>
    <w:p w14:paraId="189245E9" w14:textId="77777777" w:rsidR="001A5676" w:rsidRPr="001A5676" w:rsidRDefault="001A5676" w:rsidP="001A5676">
      <w:pPr>
        <w:pStyle w:val="Body"/>
        <w:spacing w:after="0"/>
        <w:rPr>
          <w:rFonts w:ascii="Arial" w:hAnsi="Arial" w:cs="Arial"/>
        </w:rPr>
      </w:pPr>
      <w:r w:rsidRPr="001A5676">
        <w:rPr>
          <w:rFonts w:ascii="Arial" w:hAnsi="Arial" w:cs="Arial"/>
        </w:rPr>
        <w:t>The results of the search for the different groups of secondary metabolites and their content in the different extracts are recorded in Tables 3 and 4.</w:t>
      </w:r>
    </w:p>
    <w:p w14:paraId="3E90BF4E" w14:textId="7B996B44" w:rsidR="001A5676" w:rsidRPr="001A5676" w:rsidRDefault="001A5676" w:rsidP="001A5676">
      <w:pPr>
        <w:pStyle w:val="Body"/>
        <w:spacing w:after="0"/>
        <w:rPr>
          <w:rFonts w:ascii="Arial" w:hAnsi="Arial" w:cs="Arial"/>
        </w:rPr>
      </w:pPr>
      <w:bookmarkStart w:id="36" w:name="_Toc130190622"/>
      <w:bookmarkStart w:id="37" w:name="_Toc137921295"/>
      <w:bookmarkStart w:id="38" w:name="_Toc137923798"/>
      <w:r w:rsidRPr="001A5676">
        <w:rPr>
          <w:rFonts w:ascii="Arial" w:hAnsi="Arial" w:cs="Arial"/>
        </w:rPr>
        <w:t xml:space="preserve">Table </w:t>
      </w:r>
      <w:r w:rsidRPr="001A5676">
        <w:rPr>
          <w:rFonts w:ascii="Arial" w:hAnsi="Arial" w:cs="Arial"/>
        </w:rPr>
        <w:fldChar w:fldCharType="begin"/>
      </w:r>
      <w:r w:rsidRPr="001A5676">
        <w:rPr>
          <w:rFonts w:ascii="Arial" w:hAnsi="Arial" w:cs="Arial"/>
        </w:rPr>
        <w:instrText xml:space="preserve"> SEQ Tableau \* ROMAN </w:instrText>
      </w:r>
      <w:r w:rsidRPr="001A5676">
        <w:rPr>
          <w:rFonts w:ascii="Arial" w:hAnsi="Arial" w:cs="Arial"/>
        </w:rPr>
        <w:fldChar w:fldCharType="separate"/>
      </w:r>
      <w:r w:rsidRPr="001A5676">
        <w:rPr>
          <w:rFonts w:ascii="Arial" w:hAnsi="Arial" w:cs="Arial"/>
        </w:rPr>
        <w:t xml:space="preserve">3 </w:t>
      </w:r>
      <w:r w:rsidRPr="001A5676">
        <w:rPr>
          <w:rFonts w:ascii="Arial" w:hAnsi="Arial" w:cs="Arial"/>
        </w:rPr>
        <w:fldChar w:fldCharType="end"/>
      </w:r>
      <w:r w:rsidRPr="001A5676">
        <w:rPr>
          <w:rFonts w:ascii="Arial" w:hAnsi="Arial" w:cs="Arial"/>
        </w:rPr>
        <w:t xml:space="preserve">: </w:t>
      </w:r>
      <w:bookmarkEnd w:id="36"/>
      <w:bookmarkEnd w:id="37"/>
      <w:bookmarkEnd w:id="38"/>
      <w:r w:rsidRPr="001A5676">
        <w:rPr>
          <w:rFonts w:ascii="Arial" w:hAnsi="Arial" w:cs="Arial"/>
        </w:rPr>
        <w:t xml:space="preserve">Composition phytochemicals of </w:t>
      </w:r>
      <w:r w:rsidR="00CA16D7" w:rsidRPr="00CA16D7">
        <w:rPr>
          <w:rFonts w:ascii="Arial" w:hAnsi="Arial" w:cs="Arial"/>
          <w:i/>
          <w:iCs/>
        </w:rPr>
        <w:t xml:space="preserve">Garcinia </w:t>
      </w:r>
      <w:proofErr w:type="spellStart"/>
      <w:proofErr w:type="gramStart"/>
      <w:r w:rsidR="00CA16D7" w:rsidRPr="00CA16D7">
        <w:rPr>
          <w:rFonts w:ascii="Arial" w:hAnsi="Arial" w:cs="Arial"/>
          <w:i/>
          <w:iCs/>
        </w:rPr>
        <w:t>mangostana</w:t>
      </w:r>
      <w:proofErr w:type="spellEnd"/>
      <w:r w:rsidR="00CA16D7" w:rsidRPr="00CA16D7">
        <w:rPr>
          <w:rFonts w:ascii="Arial" w:hAnsi="Arial" w:cs="Arial"/>
          <w:i/>
          <w:iCs/>
        </w:rPr>
        <w:t xml:space="preserve"> </w:t>
      </w:r>
      <w:r w:rsidRPr="001A5676">
        <w:rPr>
          <w:rFonts w:ascii="Arial" w:hAnsi="Arial" w:cs="Arial"/>
        </w:rPr>
        <w:t xml:space="preserve"> L.</w:t>
      </w:r>
      <w:proofErr w:type="gramEnd"/>
      <w:r w:rsidRPr="001A5676">
        <w:rPr>
          <w:rFonts w:ascii="Arial" w:hAnsi="Arial" w:cs="Arial"/>
        </w:rPr>
        <w:t xml:space="preserve"> extracts.</w:t>
      </w:r>
    </w:p>
    <w:tbl>
      <w:tblPr>
        <w:tblW w:w="0" w:type="auto"/>
        <w:tblBorders>
          <w:top w:val="single" w:sz="4" w:space="0" w:color="auto"/>
          <w:bottom w:val="single" w:sz="4" w:space="0" w:color="auto"/>
        </w:tblBorders>
        <w:tblLook w:val="06A0" w:firstRow="1" w:lastRow="0" w:firstColumn="1" w:lastColumn="0" w:noHBand="1" w:noVBand="1"/>
      </w:tblPr>
      <w:tblGrid>
        <w:gridCol w:w="2196"/>
        <w:gridCol w:w="2004"/>
        <w:gridCol w:w="2004"/>
        <w:gridCol w:w="2004"/>
      </w:tblGrid>
      <w:tr w:rsidR="001A5676" w:rsidRPr="001A5676" w14:paraId="06434C80" w14:textId="77777777" w:rsidTr="004A2F47">
        <w:trPr>
          <w:trHeight w:hRule="exact" w:val="579"/>
        </w:trPr>
        <w:tc>
          <w:tcPr>
            <w:tcW w:w="2471" w:type="dxa"/>
            <w:tcBorders>
              <w:top w:val="single" w:sz="4" w:space="0" w:color="auto"/>
              <w:bottom w:val="single" w:sz="4" w:space="0" w:color="auto"/>
            </w:tcBorders>
          </w:tcPr>
          <w:p w14:paraId="5207EE00" w14:textId="77777777" w:rsidR="001A5676" w:rsidRPr="001A5676" w:rsidRDefault="001A5676" w:rsidP="001A5676">
            <w:pPr>
              <w:pStyle w:val="Body"/>
              <w:spacing w:after="0"/>
              <w:rPr>
                <w:rFonts w:ascii="Arial" w:hAnsi="Arial" w:cs="Arial"/>
              </w:rPr>
            </w:pPr>
            <w:r w:rsidRPr="001A5676">
              <w:rPr>
                <w:rFonts w:ascii="Arial" w:hAnsi="Arial" w:cs="Arial"/>
              </w:rPr>
              <w:t>Chemical groups</w:t>
            </w:r>
          </w:p>
        </w:tc>
        <w:tc>
          <w:tcPr>
            <w:tcW w:w="2472" w:type="dxa"/>
            <w:tcBorders>
              <w:top w:val="single" w:sz="4" w:space="0" w:color="auto"/>
              <w:bottom w:val="single" w:sz="4" w:space="0" w:color="auto"/>
            </w:tcBorders>
          </w:tcPr>
          <w:p w14:paraId="1542479A" w14:textId="77777777" w:rsidR="001A5676" w:rsidRPr="001A5676" w:rsidRDefault="001A5676" w:rsidP="001A5676">
            <w:pPr>
              <w:pStyle w:val="Body"/>
              <w:spacing w:after="0"/>
              <w:rPr>
                <w:rFonts w:ascii="Arial" w:hAnsi="Arial" w:cs="Arial"/>
              </w:rPr>
            </w:pPr>
            <w:r w:rsidRPr="001A5676">
              <w:rPr>
                <w:rFonts w:ascii="Arial" w:hAnsi="Arial" w:cs="Arial"/>
              </w:rPr>
              <w:t>DAq</w:t>
            </w:r>
          </w:p>
        </w:tc>
        <w:tc>
          <w:tcPr>
            <w:tcW w:w="2472" w:type="dxa"/>
            <w:tcBorders>
              <w:top w:val="single" w:sz="4" w:space="0" w:color="auto"/>
              <w:bottom w:val="single" w:sz="4" w:space="0" w:color="auto"/>
            </w:tcBorders>
          </w:tcPr>
          <w:p w14:paraId="2AC18B01" w14:textId="77777777" w:rsidR="001A5676" w:rsidRPr="001A5676" w:rsidRDefault="001A5676" w:rsidP="001A5676">
            <w:pPr>
              <w:pStyle w:val="Body"/>
              <w:spacing w:after="0"/>
              <w:rPr>
                <w:rFonts w:ascii="Arial" w:hAnsi="Arial" w:cs="Arial"/>
              </w:rPr>
            </w:pPr>
            <w:proofErr w:type="spellStart"/>
            <w:r w:rsidRPr="001A5676">
              <w:rPr>
                <w:rFonts w:ascii="Arial" w:hAnsi="Arial" w:cs="Arial"/>
              </w:rPr>
              <w:t>Maq</w:t>
            </w:r>
            <w:proofErr w:type="spellEnd"/>
          </w:p>
        </w:tc>
        <w:tc>
          <w:tcPr>
            <w:tcW w:w="2472" w:type="dxa"/>
            <w:tcBorders>
              <w:top w:val="single" w:sz="4" w:space="0" w:color="auto"/>
              <w:bottom w:val="single" w:sz="4" w:space="0" w:color="auto"/>
            </w:tcBorders>
          </w:tcPr>
          <w:p w14:paraId="5DFE77B5" w14:textId="77777777" w:rsidR="001A5676" w:rsidRPr="001A5676" w:rsidRDefault="001A5676" w:rsidP="001A5676">
            <w:pPr>
              <w:pStyle w:val="Body"/>
              <w:spacing w:after="0"/>
              <w:rPr>
                <w:rFonts w:ascii="Arial" w:hAnsi="Arial" w:cs="Arial"/>
              </w:rPr>
            </w:pPr>
            <w:proofErr w:type="spellStart"/>
            <w:r w:rsidRPr="001A5676">
              <w:rPr>
                <w:rFonts w:ascii="Arial" w:hAnsi="Arial" w:cs="Arial"/>
              </w:rPr>
              <w:t>MHe</w:t>
            </w:r>
            <w:proofErr w:type="spellEnd"/>
          </w:p>
        </w:tc>
      </w:tr>
      <w:tr w:rsidR="001A5676" w:rsidRPr="001A5676" w14:paraId="12F384C0" w14:textId="77777777" w:rsidTr="004A2F47">
        <w:trPr>
          <w:trHeight w:hRule="exact" w:val="340"/>
        </w:trPr>
        <w:tc>
          <w:tcPr>
            <w:tcW w:w="2471" w:type="dxa"/>
            <w:tcBorders>
              <w:top w:val="single" w:sz="4" w:space="0" w:color="auto"/>
            </w:tcBorders>
          </w:tcPr>
          <w:p w14:paraId="5EDA73A2" w14:textId="77777777" w:rsidR="001A5676" w:rsidRPr="001A5676" w:rsidRDefault="001A5676" w:rsidP="001A5676">
            <w:pPr>
              <w:pStyle w:val="Body"/>
              <w:spacing w:after="0"/>
              <w:rPr>
                <w:rFonts w:ascii="Arial" w:hAnsi="Arial" w:cs="Arial"/>
              </w:rPr>
            </w:pPr>
            <w:r w:rsidRPr="001A5676">
              <w:rPr>
                <w:rFonts w:ascii="Arial" w:hAnsi="Arial" w:cs="Arial"/>
              </w:rPr>
              <w:t>Alkaloids</w:t>
            </w:r>
          </w:p>
        </w:tc>
        <w:tc>
          <w:tcPr>
            <w:tcW w:w="2472" w:type="dxa"/>
            <w:tcBorders>
              <w:top w:val="single" w:sz="4" w:space="0" w:color="auto"/>
            </w:tcBorders>
          </w:tcPr>
          <w:p w14:paraId="7D930356"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Borders>
              <w:top w:val="single" w:sz="4" w:space="0" w:color="auto"/>
            </w:tcBorders>
          </w:tcPr>
          <w:p w14:paraId="0BF3F341"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Borders>
              <w:top w:val="single" w:sz="4" w:space="0" w:color="auto"/>
            </w:tcBorders>
          </w:tcPr>
          <w:p w14:paraId="28C7C594" w14:textId="77777777" w:rsidR="001A5676" w:rsidRPr="001A5676" w:rsidRDefault="001A5676" w:rsidP="001A5676">
            <w:pPr>
              <w:pStyle w:val="Body"/>
              <w:spacing w:after="0"/>
              <w:rPr>
                <w:rFonts w:ascii="Arial" w:hAnsi="Arial" w:cs="Arial"/>
              </w:rPr>
            </w:pPr>
            <w:r w:rsidRPr="001A5676">
              <w:rPr>
                <w:rFonts w:ascii="Arial" w:hAnsi="Arial" w:cs="Arial"/>
              </w:rPr>
              <w:t>+</w:t>
            </w:r>
          </w:p>
        </w:tc>
      </w:tr>
      <w:tr w:rsidR="001A5676" w:rsidRPr="001A5676" w14:paraId="6F70CE4B" w14:textId="77777777" w:rsidTr="004A2F47">
        <w:trPr>
          <w:trHeight w:hRule="exact" w:val="340"/>
        </w:trPr>
        <w:tc>
          <w:tcPr>
            <w:tcW w:w="2471" w:type="dxa"/>
          </w:tcPr>
          <w:p w14:paraId="23388641" w14:textId="77777777" w:rsidR="001A5676" w:rsidRPr="001A5676" w:rsidRDefault="001A5676" w:rsidP="001A5676">
            <w:pPr>
              <w:pStyle w:val="Body"/>
              <w:spacing w:after="0"/>
              <w:rPr>
                <w:rFonts w:ascii="Arial" w:hAnsi="Arial" w:cs="Arial"/>
              </w:rPr>
            </w:pPr>
            <w:r w:rsidRPr="001A5676">
              <w:rPr>
                <w:rFonts w:ascii="Arial" w:hAnsi="Arial" w:cs="Arial"/>
              </w:rPr>
              <w:t>Tannins</w:t>
            </w:r>
          </w:p>
        </w:tc>
        <w:tc>
          <w:tcPr>
            <w:tcW w:w="2472" w:type="dxa"/>
          </w:tcPr>
          <w:p w14:paraId="4A83308C"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25EA48E5"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27FB5175" w14:textId="77777777" w:rsidR="001A5676" w:rsidRPr="001A5676" w:rsidRDefault="001A5676" w:rsidP="001A5676">
            <w:pPr>
              <w:pStyle w:val="Body"/>
              <w:spacing w:after="0"/>
              <w:rPr>
                <w:rFonts w:ascii="Arial" w:hAnsi="Arial" w:cs="Arial"/>
              </w:rPr>
            </w:pPr>
            <w:r w:rsidRPr="001A5676">
              <w:rPr>
                <w:rFonts w:ascii="Arial" w:hAnsi="Arial" w:cs="Arial"/>
              </w:rPr>
              <w:t>+</w:t>
            </w:r>
          </w:p>
        </w:tc>
      </w:tr>
      <w:tr w:rsidR="001A5676" w:rsidRPr="001A5676" w14:paraId="3148EC66" w14:textId="77777777" w:rsidTr="004A2F47">
        <w:trPr>
          <w:trHeight w:hRule="exact" w:val="340"/>
        </w:trPr>
        <w:tc>
          <w:tcPr>
            <w:tcW w:w="2471" w:type="dxa"/>
          </w:tcPr>
          <w:p w14:paraId="55A6F673" w14:textId="77777777" w:rsidR="001A5676" w:rsidRPr="001A5676" w:rsidRDefault="001A5676" w:rsidP="001A5676">
            <w:pPr>
              <w:pStyle w:val="Body"/>
              <w:spacing w:after="0"/>
              <w:rPr>
                <w:rFonts w:ascii="Arial" w:hAnsi="Arial" w:cs="Arial"/>
              </w:rPr>
            </w:pPr>
            <w:r w:rsidRPr="001A5676">
              <w:rPr>
                <w:rFonts w:ascii="Arial" w:hAnsi="Arial" w:cs="Arial"/>
              </w:rPr>
              <w:t>Flavonoids</w:t>
            </w:r>
          </w:p>
        </w:tc>
        <w:tc>
          <w:tcPr>
            <w:tcW w:w="2472" w:type="dxa"/>
          </w:tcPr>
          <w:p w14:paraId="01498681"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7CB9A57A"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790E3660" w14:textId="77777777" w:rsidR="001A5676" w:rsidRPr="001A5676" w:rsidRDefault="001A5676" w:rsidP="001A5676">
            <w:pPr>
              <w:pStyle w:val="Body"/>
              <w:spacing w:after="0"/>
              <w:rPr>
                <w:rFonts w:ascii="Arial" w:hAnsi="Arial" w:cs="Arial"/>
              </w:rPr>
            </w:pPr>
            <w:r w:rsidRPr="001A5676">
              <w:rPr>
                <w:rFonts w:ascii="Arial" w:hAnsi="Arial" w:cs="Arial"/>
              </w:rPr>
              <w:t>+++</w:t>
            </w:r>
          </w:p>
        </w:tc>
      </w:tr>
      <w:tr w:rsidR="001A5676" w:rsidRPr="001A5676" w14:paraId="62B559B6" w14:textId="77777777" w:rsidTr="004A2F47">
        <w:trPr>
          <w:trHeight w:hRule="exact" w:val="340"/>
        </w:trPr>
        <w:tc>
          <w:tcPr>
            <w:tcW w:w="2471" w:type="dxa"/>
          </w:tcPr>
          <w:p w14:paraId="55A1D1B5" w14:textId="77777777" w:rsidR="001A5676" w:rsidRPr="001A5676" w:rsidRDefault="001A5676" w:rsidP="001A5676">
            <w:pPr>
              <w:pStyle w:val="Body"/>
              <w:spacing w:after="0"/>
              <w:rPr>
                <w:rFonts w:ascii="Arial" w:hAnsi="Arial" w:cs="Arial"/>
              </w:rPr>
            </w:pPr>
            <w:r w:rsidRPr="001A5676">
              <w:rPr>
                <w:rFonts w:ascii="Arial" w:hAnsi="Arial" w:cs="Arial"/>
              </w:rPr>
              <w:t>Saponins</w:t>
            </w:r>
          </w:p>
        </w:tc>
        <w:tc>
          <w:tcPr>
            <w:tcW w:w="2472" w:type="dxa"/>
          </w:tcPr>
          <w:p w14:paraId="3BF6DFA0"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08EDD2EC"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26C15A63" w14:textId="77777777" w:rsidR="001A5676" w:rsidRPr="001A5676" w:rsidRDefault="001A5676" w:rsidP="001A5676">
            <w:pPr>
              <w:pStyle w:val="Body"/>
              <w:spacing w:after="0"/>
              <w:rPr>
                <w:rFonts w:ascii="Arial" w:hAnsi="Arial" w:cs="Arial"/>
              </w:rPr>
            </w:pPr>
            <w:r w:rsidRPr="001A5676">
              <w:rPr>
                <w:rFonts w:ascii="Arial" w:hAnsi="Arial" w:cs="Arial"/>
              </w:rPr>
              <w:t>+++</w:t>
            </w:r>
          </w:p>
        </w:tc>
      </w:tr>
      <w:tr w:rsidR="001A5676" w:rsidRPr="001A5676" w14:paraId="2FFA8ED2" w14:textId="77777777" w:rsidTr="004A2F47">
        <w:trPr>
          <w:trHeight w:hRule="exact" w:val="340"/>
        </w:trPr>
        <w:tc>
          <w:tcPr>
            <w:tcW w:w="2471" w:type="dxa"/>
          </w:tcPr>
          <w:p w14:paraId="623F7B79" w14:textId="77777777" w:rsidR="001A5676" w:rsidRPr="001A5676" w:rsidRDefault="001A5676" w:rsidP="001A5676">
            <w:pPr>
              <w:pStyle w:val="Body"/>
              <w:spacing w:after="0"/>
              <w:rPr>
                <w:rFonts w:ascii="Arial" w:hAnsi="Arial" w:cs="Arial"/>
              </w:rPr>
            </w:pPr>
            <w:r w:rsidRPr="001A5676">
              <w:rPr>
                <w:rFonts w:ascii="Arial" w:hAnsi="Arial" w:cs="Arial"/>
              </w:rPr>
              <w:t>Phenols</w:t>
            </w:r>
          </w:p>
        </w:tc>
        <w:tc>
          <w:tcPr>
            <w:tcW w:w="2472" w:type="dxa"/>
          </w:tcPr>
          <w:p w14:paraId="3870C16D"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58B93EB9"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55A82E06" w14:textId="77777777" w:rsidR="001A5676" w:rsidRPr="001A5676" w:rsidRDefault="001A5676" w:rsidP="001A5676">
            <w:pPr>
              <w:pStyle w:val="Body"/>
              <w:spacing w:after="0"/>
              <w:rPr>
                <w:rFonts w:ascii="Arial" w:hAnsi="Arial" w:cs="Arial"/>
              </w:rPr>
            </w:pPr>
            <w:r w:rsidRPr="001A5676">
              <w:rPr>
                <w:rFonts w:ascii="Arial" w:hAnsi="Arial" w:cs="Arial"/>
              </w:rPr>
              <w:t>++++</w:t>
            </w:r>
          </w:p>
        </w:tc>
      </w:tr>
      <w:tr w:rsidR="001A5676" w:rsidRPr="001A5676" w14:paraId="4F8565AA" w14:textId="77777777" w:rsidTr="004A2F47">
        <w:trPr>
          <w:trHeight w:hRule="exact" w:val="340"/>
        </w:trPr>
        <w:tc>
          <w:tcPr>
            <w:tcW w:w="2471" w:type="dxa"/>
          </w:tcPr>
          <w:p w14:paraId="3A45E4AF" w14:textId="77777777" w:rsidR="001A5676" w:rsidRPr="001A5676" w:rsidRDefault="001A5676" w:rsidP="001A5676">
            <w:pPr>
              <w:pStyle w:val="Body"/>
              <w:spacing w:after="0"/>
              <w:rPr>
                <w:rFonts w:ascii="Arial" w:hAnsi="Arial" w:cs="Arial"/>
              </w:rPr>
            </w:pPr>
            <w:r w:rsidRPr="001A5676">
              <w:rPr>
                <w:rFonts w:ascii="Arial" w:hAnsi="Arial" w:cs="Arial"/>
              </w:rPr>
              <w:t>Anthocyanins</w:t>
            </w:r>
          </w:p>
        </w:tc>
        <w:tc>
          <w:tcPr>
            <w:tcW w:w="2472" w:type="dxa"/>
          </w:tcPr>
          <w:p w14:paraId="2662D19C"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381024D0"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5E6122EA" w14:textId="77777777" w:rsidR="001A5676" w:rsidRPr="001A5676" w:rsidRDefault="001A5676" w:rsidP="001A5676">
            <w:pPr>
              <w:pStyle w:val="Body"/>
              <w:spacing w:after="0"/>
              <w:rPr>
                <w:rFonts w:ascii="Arial" w:hAnsi="Arial" w:cs="Arial"/>
              </w:rPr>
            </w:pPr>
            <w:r w:rsidRPr="001A5676">
              <w:rPr>
                <w:rFonts w:ascii="Arial" w:hAnsi="Arial" w:cs="Arial"/>
              </w:rPr>
              <w:t>+++</w:t>
            </w:r>
          </w:p>
        </w:tc>
      </w:tr>
      <w:tr w:rsidR="001A5676" w:rsidRPr="001A5676" w14:paraId="1DC646AA" w14:textId="77777777" w:rsidTr="004A2F47">
        <w:trPr>
          <w:trHeight w:hRule="exact" w:val="340"/>
        </w:trPr>
        <w:tc>
          <w:tcPr>
            <w:tcW w:w="2471" w:type="dxa"/>
          </w:tcPr>
          <w:p w14:paraId="4B9A11DC" w14:textId="77777777" w:rsidR="001A5676" w:rsidRPr="001A5676" w:rsidRDefault="001A5676" w:rsidP="001A5676">
            <w:pPr>
              <w:pStyle w:val="Body"/>
              <w:spacing w:after="0"/>
              <w:rPr>
                <w:rFonts w:ascii="Arial" w:hAnsi="Arial" w:cs="Arial"/>
              </w:rPr>
            </w:pPr>
            <w:r w:rsidRPr="001A5676">
              <w:rPr>
                <w:rFonts w:ascii="Arial" w:hAnsi="Arial" w:cs="Arial"/>
              </w:rPr>
              <w:t>Steroids</w:t>
            </w:r>
          </w:p>
        </w:tc>
        <w:tc>
          <w:tcPr>
            <w:tcW w:w="2472" w:type="dxa"/>
          </w:tcPr>
          <w:p w14:paraId="70ABFC5C"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10FD54A7"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61A54EA0" w14:textId="77777777" w:rsidR="001A5676" w:rsidRPr="001A5676" w:rsidRDefault="001A5676" w:rsidP="001A5676">
            <w:pPr>
              <w:pStyle w:val="Body"/>
              <w:spacing w:after="0"/>
              <w:rPr>
                <w:rFonts w:ascii="Arial" w:hAnsi="Arial" w:cs="Arial"/>
              </w:rPr>
            </w:pPr>
            <w:r w:rsidRPr="001A5676">
              <w:rPr>
                <w:rFonts w:ascii="Arial" w:hAnsi="Arial" w:cs="Arial"/>
              </w:rPr>
              <w:t>-</w:t>
            </w:r>
          </w:p>
        </w:tc>
      </w:tr>
    </w:tbl>
    <w:p w14:paraId="5A91A8DF" w14:textId="77777777" w:rsidR="001A5676" w:rsidRPr="001A5676" w:rsidRDefault="001A5676" w:rsidP="001A5676">
      <w:pPr>
        <w:pStyle w:val="Body"/>
        <w:spacing w:after="0"/>
        <w:rPr>
          <w:rFonts w:ascii="Arial" w:hAnsi="Arial" w:cs="Arial"/>
          <w:i/>
          <w:iCs/>
        </w:rPr>
      </w:pPr>
      <w:proofErr w:type="gramStart"/>
      <w:r w:rsidRPr="001A5676">
        <w:rPr>
          <w:rFonts w:ascii="Arial" w:hAnsi="Arial" w:cs="Arial"/>
          <w:i/>
          <w:iCs/>
        </w:rPr>
        <w:t>- :</w:t>
      </w:r>
      <w:proofErr w:type="gramEnd"/>
      <w:r w:rsidRPr="001A5676">
        <w:rPr>
          <w:rFonts w:ascii="Arial" w:hAnsi="Arial" w:cs="Arial"/>
          <w:i/>
          <w:iCs/>
        </w:rPr>
        <w:t xml:space="preserve"> absent; + : low presence; ++ : moderate presence; +++ : high presence; ++++ : widespread presence;  </w:t>
      </w:r>
      <w:proofErr w:type="spellStart"/>
      <w:r w:rsidRPr="001A5676">
        <w:rPr>
          <w:rFonts w:ascii="Arial" w:hAnsi="Arial" w:cs="Arial"/>
          <w:i/>
          <w:iCs/>
        </w:rPr>
        <w:t>MAq</w:t>
      </w:r>
      <w:proofErr w:type="spellEnd"/>
      <w:r w:rsidRPr="001A5676">
        <w:rPr>
          <w:rFonts w:ascii="Arial" w:hAnsi="Arial" w:cs="Arial"/>
          <w:i/>
          <w:iCs/>
        </w:rPr>
        <w:t xml:space="preserve"> : Aqueous Maceration; DAq : Aqueous Decoction; </w:t>
      </w:r>
      <w:proofErr w:type="spellStart"/>
      <w:r w:rsidRPr="001A5676">
        <w:rPr>
          <w:rFonts w:ascii="Arial" w:hAnsi="Arial" w:cs="Arial"/>
          <w:i/>
          <w:iCs/>
        </w:rPr>
        <w:t>MHe</w:t>
      </w:r>
      <w:proofErr w:type="spellEnd"/>
      <w:r w:rsidRPr="001A5676">
        <w:rPr>
          <w:rFonts w:ascii="Arial" w:hAnsi="Arial" w:cs="Arial"/>
          <w:i/>
          <w:iCs/>
        </w:rPr>
        <w:t xml:space="preserve"> : Hydro-ethanolic Maceration.</w:t>
      </w:r>
    </w:p>
    <w:p w14:paraId="210846EF" w14:textId="77777777" w:rsidR="001A5676" w:rsidRPr="001A5676" w:rsidRDefault="001A5676" w:rsidP="001A5676">
      <w:pPr>
        <w:pStyle w:val="Body"/>
        <w:spacing w:after="0"/>
        <w:rPr>
          <w:rFonts w:ascii="Arial" w:hAnsi="Arial" w:cs="Arial"/>
        </w:rPr>
      </w:pPr>
    </w:p>
    <w:p w14:paraId="55960315" w14:textId="77777777" w:rsidR="001A5676" w:rsidRPr="001A5676" w:rsidRDefault="001A5676" w:rsidP="001A5676">
      <w:pPr>
        <w:pStyle w:val="Body"/>
        <w:spacing w:after="0"/>
        <w:rPr>
          <w:rFonts w:ascii="Arial" w:hAnsi="Arial" w:cs="Arial"/>
        </w:rPr>
      </w:pPr>
      <w:r w:rsidRPr="001A5676">
        <w:rPr>
          <w:rFonts w:ascii="Arial" w:hAnsi="Arial" w:cs="Arial"/>
        </w:rPr>
        <w:t>Table 3 shows that alkaloids, flavonoids, phenols, saponins, anthocyanins and tannins are present in all extracts while steroids are absent in all extracts.</w:t>
      </w:r>
      <w:bookmarkStart w:id="39" w:name="_Toc137921296"/>
      <w:bookmarkStart w:id="40" w:name="_Toc137923799"/>
    </w:p>
    <w:p w14:paraId="770128AC" w14:textId="77777777" w:rsidR="001A5676" w:rsidRPr="001A5676" w:rsidRDefault="001A5676" w:rsidP="001A5676">
      <w:pPr>
        <w:pStyle w:val="Body"/>
        <w:spacing w:after="0"/>
        <w:rPr>
          <w:rFonts w:ascii="Arial" w:hAnsi="Arial" w:cs="Arial"/>
        </w:rPr>
      </w:pPr>
    </w:p>
    <w:p w14:paraId="02824BD8" w14:textId="77777777" w:rsidR="001A5676" w:rsidRPr="001A5676" w:rsidRDefault="001A5676" w:rsidP="001A5676">
      <w:pPr>
        <w:pStyle w:val="Body"/>
        <w:spacing w:after="0"/>
        <w:rPr>
          <w:rFonts w:ascii="Arial" w:hAnsi="Arial" w:cs="Arial"/>
        </w:rPr>
      </w:pPr>
    </w:p>
    <w:p w14:paraId="5BA44C99" w14:textId="06C2F962" w:rsidR="001A5676" w:rsidRPr="00EE7F92" w:rsidRDefault="001A5676" w:rsidP="001A5676">
      <w:pPr>
        <w:pStyle w:val="Body"/>
        <w:spacing w:after="0"/>
        <w:rPr>
          <w:rFonts w:ascii="Arial" w:hAnsi="Arial" w:cs="Arial"/>
          <w:b/>
          <w:bCs/>
        </w:rPr>
      </w:pPr>
      <w:r w:rsidRPr="00EE7F92">
        <w:rPr>
          <w:rFonts w:ascii="Arial" w:hAnsi="Arial" w:cs="Arial"/>
          <w:b/>
          <w:bCs/>
        </w:rPr>
        <w:t xml:space="preserve">Table </w:t>
      </w:r>
      <w:proofErr w:type="gramStart"/>
      <w:r w:rsidRPr="00EE7F92">
        <w:rPr>
          <w:rFonts w:ascii="Arial" w:hAnsi="Arial" w:cs="Arial"/>
          <w:b/>
          <w:bCs/>
        </w:rPr>
        <w:t>4 :</w:t>
      </w:r>
      <w:proofErr w:type="gramEnd"/>
      <w:r w:rsidRPr="00EE7F92">
        <w:rPr>
          <w:rFonts w:ascii="Arial" w:hAnsi="Arial" w:cs="Arial"/>
          <w:b/>
          <w:bCs/>
        </w:rPr>
        <w:t xml:space="preserve"> Quantitative phytochemical composition </w:t>
      </w:r>
      <w:bookmarkEnd w:id="39"/>
      <w:bookmarkEnd w:id="40"/>
      <w:r w:rsidRPr="00EE7F92">
        <w:rPr>
          <w:rFonts w:ascii="Arial" w:hAnsi="Arial" w:cs="Arial"/>
          <w:b/>
          <w:bCs/>
        </w:rPr>
        <w:t xml:space="preserve">of </w:t>
      </w:r>
      <w:r w:rsidR="00CA16D7" w:rsidRPr="00CA16D7">
        <w:rPr>
          <w:rFonts w:ascii="Arial" w:hAnsi="Arial" w:cs="Arial"/>
          <w:b/>
          <w:bCs/>
          <w:i/>
          <w:iCs/>
        </w:rPr>
        <w:t xml:space="preserve">Garcinia </w:t>
      </w:r>
      <w:proofErr w:type="spellStart"/>
      <w:r w:rsidR="00CA16D7" w:rsidRPr="00CA16D7">
        <w:rPr>
          <w:rFonts w:ascii="Arial" w:hAnsi="Arial" w:cs="Arial"/>
          <w:b/>
          <w:bCs/>
          <w:i/>
          <w:iCs/>
        </w:rPr>
        <w:t>mangostana</w:t>
      </w:r>
      <w:proofErr w:type="spellEnd"/>
      <w:r w:rsidR="00CA16D7" w:rsidRPr="00CA16D7">
        <w:rPr>
          <w:rFonts w:ascii="Arial" w:hAnsi="Arial" w:cs="Arial"/>
          <w:b/>
          <w:bCs/>
          <w:i/>
          <w:iCs/>
        </w:rPr>
        <w:t xml:space="preserve"> </w:t>
      </w:r>
      <w:r w:rsidRPr="00EE7F92">
        <w:rPr>
          <w:rFonts w:ascii="Arial" w:hAnsi="Arial" w:cs="Arial"/>
          <w:b/>
          <w:bCs/>
        </w:rPr>
        <w:t xml:space="preserve"> L.</w:t>
      </w:r>
    </w:p>
    <w:tbl>
      <w:tblPr>
        <w:tblW w:w="9440" w:type="dxa"/>
        <w:tblBorders>
          <w:top w:val="single" w:sz="4" w:space="0" w:color="auto"/>
          <w:bottom w:val="single" w:sz="4" w:space="0" w:color="auto"/>
        </w:tblBorders>
        <w:tblLook w:val="06A0" w:firstRow="1" w:lastRow="0" w:firstColumn="1" w:lastColumn="0" w:noHBand="1" w:noVBand="1"/>
      </w:tblPr>
      <w:tblGrid>
        <w:gridCol w:w="2977"/>
        <w:gridCol w:w="2151"/>
        <w:gridCol w:w="2157"/>
        <w:gridCol w:w="2155"/>
      </w:tblGrid>
      <w:tr w:rsidR="001A5676" w:rsidRPr="001A5676" w14:paraId="63C1A2B8" w14:textId="77777777" w:rsidTr="004A2F47">
        <w:trPr>
          <w:trHeight w:hRule="exact" w:val="340"/>
        </w:trPr>
        <w:tc>
          <w:tcPr>
            <w:tcW w:w="2977" w:type="dxa"/>
            <w:tcBorders>
              <w:top w:val="single" w:sz="4" w:space="0" w:color="auto"/>
              <w:bottom w:val="single" w:sz="4" w:space="0" w:color="auto"/>
            </w:tcBorders>
          </w:tcPr>
          <w:p w14:paraId="491B6D17" w14:textId="77777777" w:rsidR="001A5676" w:rsidRPr="001A5676" w:rsidRDefault="001A5676" w:rsidP="001A5676">
            <w:pPr>
              <w:pStyle w:val="Body"/>
              <w:spacing w:after="0"/>
              <w:rPr>
                <w:rFonts w:ascii="Arial" w:hAnsi="Arial" w:cs="Arial"/>
              </w:rPr>
            </w:pPr>
            <w:r w:rsidRPr="001A5676">
              <w:rPr>
                <w:rFonts w:ascii="Arial" w:hAnsi="Arial" w:cs="Arial"/>
              </w:rPr>
              <w:t>Chemical groups</w:t>
            </w:r>
          </w:p>
        </w:tc>
        <w:tc>
          <w:tcPr>
            <w:tcW w:w="2151" w:type="dxa"/>
            <w:tcBorders>
              <w:top w:val="single" w:sz="4" w:space="0" w:color="auto"/>
              <w:bottom w:val="single" w:sz="4" w:space="0" w:color="auto"/>
            </w:tcBorders>
          </w:tcPr>
          <w:p w14:paraId="3C34DE3A" w14:textId="77777777" w:rsidR="001A5676" w:rsidRPr="001A5676" w:rsidRDefault="001A5676" w:rsidP="001A5676">
            <w:pPr>
              <w:pStyle w:val="Body"/>
              <w:spacing w:after="0"/>
              <w:rPr>
                <w:rFonts w:ascii="Arial" w:hAnsi="Arial" w:cs="Arial"/>
              </w:rPr>
            </w:pPr>
            <w:r w:rsidRPr="001A5676">
              <w:rPr>
                <w:rFonts w:ascii="Arial" w:hAnsi="Arial" w:cs="Arial"/>
              </w:rPr>
              <w:t>Daq (mg/ml)</w:t>
            </w:r>
          </w:p>
        </w:tc>
        <w:tc>
          <w:tcPr>
            <w:tcW w:w="2157" w:type="dxa"/>
            <w:tcBorders>
              <w:top w:val="single" w:sz="4" w:space="0" w:color="auto"/>
              <w:bottom w:val="single" w:sz="4" w:space="0" w:color="auto"/>
            </w:tcBorders>
          </w:tcPr>
          <w:p w14:paraId="533E2CDD" w14:textId="77777777" w:rsidR="001A5676" w:rsidRPr="001A5676" w:rsidRDefault="001A5676" w:rsidP="001A5676">
            <w:pPr>
              <w:pStyle w:val="Body"/>
              <w:spacing w:after="0"/>
              <w:rPr>
                <w:rFonts w:ascii="Arial" w:hAnsi="Arial" w:cs="Arial"/>
              </w:rPr>
            </w:pPr>
            <w:proofErr w:type="spellStart"/>
            <w:r w:rsidRPr="001A5676">
              <w:rPr>
                <w:rFonts w:ascii="Arial" w:hAnsi="Arial" w:cs="Arial"/>
              </w:rPr>
              <w:t>MAq</w:t>
            </w:r>
            <w:proofErr w:type="spellEnd"/>
            <w:r w:rsidRPr="001A5676">
              <w:rPr>
                <w:rFonts w:ascii="Arial" w:hAnsi="Arial" w:cs="Arial"/>
              </w:rPr>
              <w:t>(mg/ml)</w:t>
            </w:r>
          </w:p>
        </w:tc>
        <w:tc>
          <w:tcPr>
            <w:tcW w:w="2155" w:type="dxa"/>
            <w:tcBorders>
              <w:top w:val="single" w:sz="4" w:space="0" w:color="auto"/>
              <w:bottom w:val="single" w:sz="4" w:space="0" w:color="auto"/>
            </w:tcBorders>
          </w:tcPr>
          <w:p w14:paraId="134BF34E" w14:textId="77777777" w:rsidR="001A5676" w:rsidRPr="001A5676" w:rsidRDefault="001A5676" w:rsidP="001A5676">
            <w:pPr>
              <w:pStyle w:val="Body"/>
              <w:spacing w:after="0"/>
              <w:rPr>
                <w:rFonts w:ascii="Arial" w:hAnsi="Arial" w:cs="Arial"/>
              </w:rPr>
            </w:pPr>
            <w:proofErr w:type="spellStart"/>
            <w:r w:rsidRPr="001A5676">
              <w:rPr>
                <w:rFonts w:ascii="Arial" w:hAnsi="Arial" w:cs="Arial"/>
              </w:rPr>
              <w:t>MHe</w:t>
            </w:r>
            <w:proofErr w:type="spellEnd"/>
            <w:r w:rsidRPr="001A5676">
              <w:rPr>
                <w:rFonts w:ascii="Arial" w:hAnsi="Arial" w:cs="Arial"/>
              </w:rPr>
              <w:t xml:space="preserve"> (mg/ml)</w:t>
            </w:r>
          </w:p>
        </w:tc>
      </w:tr>
      <w:tr w:rsidR="001A5676" w:rsidRPr="001A5676" w14:paraId="4F539DAC" w14:textId="77777777" w:rsidTr="004A2F47">
        <w:trPr>
          <w:trHeight w:hRule="exact" w:val="340"/>
        </w:trPr>
        <w:tc>
          <w:tcPr>
            <w:tcW w:w="2977" w:type="dxa"/>
            <w:tcBorders>
              <w:top w:val="single" w:sz="4" w:space="0" w:color="auto"/>
            </w:tcBorders>
          </w:tcPr>
          <w:p w14:paraId="168C4D34" w14:textId="77777777" w:rsidR="001A5676" w:rsidRPr="001A5676" w:rsidRDefault="001A5676" w:rsidP="001A5676">
            <w:pPr>
              <w:pStyle w:val="Body"/>
              <w:spacing w:after="0"/>
              <w:rPr>
                <w:rFonts w:ascii="Arial" w:hAnsi="Arial" w:cs="Arial"/>
              </w:rPr>
            </w:pPr>
            <w:r w:rsidRPr="001A5676">
              <w:rPr>
                <w:rFonts w:ascii="Arial" w:hAnsi="Arial" w:cs="Arial"/>
              </w:rPr>
              <w:t>Phenols (GAE)</w:t>
            </w:r>
          </w:p>
        </w:tc>
        <w:tc>
          <w:tcPr>
            <w:tcW w:w="2151" w:type="dxa"/>
            <w:tcBorders>
              <w:top w:val="single" w:sz="4" w:space="0" w:color="auto"/>
            </w:tcBorders>
          </w:tcPr>
          <w:p w14:paraId="1F7A8DFF" w14:textId="77777777" w:rsidR="001A5676" w:rsidRPr="001A5676" w:rsidRDefault="001A5676" w:rsidP="001A5676">
            <w:pPr>
              <w:pStyle w:val="Body"/>
              <w:spacing w:after="0"/>
              <w:rPr>
                <w:rFonts w:ascii="Arial" w:hAnsi="Arial" w:cs="Arial"/>
              </w:rPr>
            </w:pPr>
            <w:r w:rsidRPr="001A5676">
              <w:rPr>
                <w:rFonts w:ascii="Arial" w:hAnsi="Arial" w:cs="Arial"/>
              </w:rPr>
              <w:t>1.48</w:t>
            </w:r>
          </w:p>
        </w:tc>
        <w:tc>
          <w:tcPr>
            <w:tcW w:w="2157" w:type="dxa"/>
            <w:tcBorders>
              <w:top w:val="single" w:sz="4" w:space="0" w:color="auto"/>
            </w:tcBorders>
          </w:tcPr>
          <w:p w14:paraId="3BA63BC4" w14:textId="77777777" w:rsidR="001A5676" w:rsidRPr="001A5676" w:rsidRDefault="001A5676" w:rsidP="001A5676">
            <w:pPr>
              <w:pStyle w:val="Body"/>
              <w:spacing w:after="0"/>
              <w:rPr>
                <w:rFonts w:ascii="Arial" w:hAnsi="Arial" w:cs="Arial"/>
              </w:rPr>
            </w:pPr>
            <w:r w:rsidRPr="001A5676">
              <w:rPr>
                <w:rFonts w:ascii="Arial" w:hAnsi="Arial" w:cs="Arial"/>
              </w:rPr>
              <w:t>1.16</w:t>
            </w:r>
          </w:p>
        </w:tc>
        <w:tc>
          <w:tcPr>
            <w:tcW w:w="2155" w:type="dxa"/>
            <w:tcBorders>
              <w:top w:val="single" w:sz="4" w:space="0" w:color="auto"/>
            </w:tcBorders>
          </w:tcPr>
          <w:p w14:paraId="734F96A8" w14:textId="77777777" w:rsidR="001A5676" w:rsidRPr="001A5676" w:rsidRDefault="001A5676" w:rsidP="001A5676">
            <w:pPr>
              <w:pStyle w:val="Body"/>
              <w:spacing w:after="0"/>
              <w:rPr>
                <w:rFonts w:ascii="Arial" w:hAnsi="Arial" w:cs="Arial"/>
              </w:rPr>
            </w:pPr>
            <w:r w:rsidRPr="001A5676">
              <w:rPr>
                <w:rFonts w:ascii="Arial" w:hAnsi="Arial" w:cs="Arial"/>
              </w:rPr>
              <w:t>1.85</w:t>
            </w:r>
          </w:p>
        </w:tc>
      </w:tr>
      <w:tr w:rsidR="001A5676" w:rsidRPr="001A5676" w14:paraId="3B4DEC39" w14:textId="77777777" w:rsidTr="004A2F47">
        <w:trPr>
          <w:trHeight w:hRule="exact" w:val="340"/>
        </w:trPr>
        <w:tc>
          <w:tcPr>
            <w:tcW w:w="2977" w:type="dxa"/>
          </w:tcPr>
          <w:p w14:paraId="55D4A607" w14:textId="77777777" w:rsidR="001A5676" w:rsidRPr="001A5676" w:rsidRDefault="001A5676" w:rsidP="001A5676">
            <w:pPr>
              <w:pStyle w:val="Body"/>
              <w:spacing w:after="0"/>
              <w:rPr>
                <w:rFonts w:ascii="Arial" w:hAnsi="Arial" w:cs="Arial"/>
              </w:rPr>
            </w:pPr>
            <w:r w:rsidRPr="001A5676">
              <w:rPr>
                <w:rFonts w:ascii="Arial" w:hAnsi="Arial" w:cs="Arial"/>
              </w:rPr>
              <w:t>Flavonoids QE</w:t>
            </w:r>
          </w:p>
        </w:tc>
        <w:tc>
          <w:tcPr>
            <w:tcW w:w="2151" w:type="dxa"/>
          </w:tcPr>
          <w:p w14:paraId="59F22C83" w14:textId="77777777" w:rsidR="001A5676" w:rsidRPr="001A5676" w:rsidRDefault="001A5676" w:rsidP="001A5676">
            <w:pPr>
              <w:pStyle w:val="Body"/>
              <w:spacing w:after="0"/>
              <w:rPr>
                <w:rFonts w:ascii="Arial" w:hAnsi="Arial" w:cs="Arial"/>
              </w:rPr>
            </w:pPr>
            <w:r w:rsidRPr="001A5676">
              <w:rPr>
                <w:rFonts w:ascii="Arial" w:hAnsi="Arial" w:cs="Arial"/>
              </w:rPr>
              <w:t>0.31</w:t>
            </w:r>
          </w:p>
        </w:tc>
        <w:tc>
          <w:tcPr>
            <w:tcW w:w="2157" w:type="dxa"/>
          </w:tcPr>
          <w:p w14:paraId="3AA292DA" w14:textId="77777777" w:rsidR="001A5676" w:rsidRPr="001A5676" w:rsidRDefault="001A5676" w:rsidP="001A5676">
            <w:pPr>
              <w:pStyle w:val="Body"/>
              <w:spacing w:after="0"/>
              <w:rPr>
                <w:rFonts w:ascii="Arial" w:hAnsi="Arial" w:cs="Arial"/>
              </w:rPr>
            </w:pPr>
            <w:r w:rsidRPr="001A5676">
              <w:rPr>
                <w:rFonts w:ascii="Arial" w:hAnsi="Arial" w:cs="Arial"/>
              </w:rPr>
              <w:t>0.25</w:t>
            </w:r>
          </w:p>
        </w:tc>
        <w:tc>
          <w:tcPr>
            <w:tcW w:w="2155" w:type="dxa"/>
          </w:tcPr>
          <w:p w14:paraId="09E8994E" w14:textId="77777777" w:rsidR="001A5676" w:rsidRPr="001A5676" w:rsidRDefault="001A5676" w:rsidP="001A5676">
            <w:pPr>
              <w:pStyle w:val="Body"/>
              <w:spacing w:after="0"/>
              <w:rPr>
                <w:rFonts w:ascii="Arial" w:hAnsi="Arial" w:cs="Arial"/>
              </w:rPr>
            </w:pPr>
            <w:r w:rsidRPr="001A5676">
              <w:rPr>
                <w:rFonts w:ascii="Arial" w:hAnsi="Arial" w:cs="Arial"/>
              </w:rPr>
              <w:t>0.47</w:t>
            </w:r>
          </w:p>
        </w:tc>
      </w:tr>
      <w:tr w:rsidR="001A5676" w:rsidRPr="001A5676" w14:paraId="71882548" w14:textId="77777777" w:rsidTr="004A2F47">
        <w:trPr>
          <w:trHeight w:hRule="exact" w:val="340"/>
        </w:trPr>
        <w:tc>
          <w:tcPr>
            <w:tcW w:w="2977" w:type="dxa"/>
          </w:tcPr>
          <w:p w14:paraId="376C2AF6" w14:textId="77777777" w:rsidR="001A5676" w:rsidRPr="001A5676" w:rsidRDefault="001A5676" w:rsidP="001A5676">
            <w:pPr>
              <w:pStyle w:val="Body"/>
              <w:spacing w:after="0"/>
              <w:rPr>
                <w:rFonts w:ascii="Arial" w:hAnsi="Arial" w:cs="Arial"/>
              </w:rPr>
            </w:pPr>
            <w:r w:rsidRPr="001A5676">
              <w:rPr>
                <w:rFonts w:ascii="Arial" w:hAnsi="Arial" w:cs="Arial"/>
              </w:rPr>
              <w:t>Tannins</w:t>
            </w:r>
            <w:r w:rsidRPr="001A5676">
              <w:rPr>
                <w:rFonts w:ascii="Arial" w:hAnsi="Arial" w:cs="Arial"/>
              </w:rPr>
              <w:tab/>
              <w:t>CE</w:t>
            </w:r>
          </w:p>
        </w:tc>
        <w:tc>
          <w:tcPr>
            <w:tcW w:w="2151" w:type="dxa"/>
          </w:tcPr>
          <w:p w14:paraId="4BB8FA8E" w14:textId="77777777" w:rsidR="001A5676" w:rsidRPr="001A5676" w:rsidRDefault="001A5676" w:rsidP="001A5676">
            <w:pPr>
              <w:pStyle w:val="Body"/>
              <w:spacing w:after="0"/>
              <w:rPr>
                <w:rFonts w:ascii="Arial" w:hAnsi="Arial" w:cs="Arial"/>
              </w:rPr>
            </w:pPr>
            <w:r w:rsidRPr="001A5676">
              <w:rPr>
                <w:rFonts w:ascii="Arial" w:hAnsi="Arial" w:cs="Arial"/>
              </w:rPr>
              <w:t>0.13</w:t>
            </w:r>
          </w:p>
        </w:tc>
        <w:tc>
          <w:tcPr>
            <w:tcW w:w="2157" w:type="dxa"/>
          </w:tcPr>
          <w:p w14:paraId="1270F59A" w14:textId="77777777" w:rsidR="001A5676" w:rsidRPr="001A5676" w:rsidRDefault="001A5676" w:rsidP="001A5676">
            <w:pPr>
              <w:pStyle w:val="Body"/>
              <w:spacing w:after="0"/>
              <w:rPr>
                <w:rFonts w:ascii="Arial" w:hAnsi="Arial" w:cs="Arial"/>
              </w:rPr>
            </w:pPr>
            <w:r w:rsidRPr="001A5676">
              <w:rPr>
                <w:rFonts w:ascii="Arial" w:hAnsi="Arial" w:cs="Arial"/>
              </w:rPr>
              <w:t>0.11</w:t>
            </w:r>
          </w:p>
        </w:tc>
        <w:tc>
          <w:tcPr>
            <w:tcW w:w="2155" w:type="dxa"/>
          </w:tcPr>
          <w:p w14:paraId="128ACA86" w14:textId="77777777" w:rsidR="001A5676" w:rsidRPr="001A5676" w:rsidRDefault="001A5676" w:rsidP="001A5676">
            <w:pPr>
              <w:pStyle w:val="Body"/>
              <w:spacing w:after="0"/>
              <w:rPr>
                <w:rFonts w:ascii="Arial" w:hAnsi="Arial" w:cs="Arial"/>
              </w:rPr>
            </w:pPr>
            <w:r w:rsidRPr="001A5676">
              <w:rPr>
                <w:rFonts w:ascii="Arial" w:hAnsi="Arial" w:cs="Arial"/>
              </w:rPr>
              <w:t>0.16</w:t>
            </w:r>
          </w:p>
        </w:tc>
      </w:tr>
    </w:tbl>
    <w:p w14:paraId="0F0B3A9D" w14:textId="77777777" w:rsidR="001A5676" w:rsidRPr="001A5676" w:rsidRDefault="001A5676" w:rsidP="001A5676">
      <w:pPr>
        <w:pStyle w:val="Body"/>
        <w:spacing w:after="0"/>
        <w:rPr>
          <w:rFonts w:ascii="Arial" w:hAnsi="Arial" w:cs="Arial"/>
          <w:i/>
          <w:iCs/>
        </w:rPr>
      </w:pPr>
      <w:proofErr w:type="gramStart"/>
      <w:r w:rsidRPr="001A5676">
        <w:rPr>
          <w:rFonts w:ascii="Arial" w:hAnsi="Arial" w:cs="Arial"/>
          <w:i/>
          <w:iCs/>
        </w:rPr>
        <w:t>Daq :</w:t>
      </w:r>
      <w:proofErr w:type="gramEnd"/>
      <w:r w:rsidRPr="001A5676">
        <w:rPr>
          <w:rFonts w:ascii="Arial" w:hAnsi="Arial" w:cs="Arial"/>
          <w:i/>
          <w:iCs/>
        </w:rPr>
        <w:t xml:space="preserve"> Aqueous decoction;  </w:t>
      </w:r>
      <w:proofErr w:type="spellStart"/>
      <w:r w:rsidRPr="001A5676">
        <w:rPr>
          <w:rFonts w:ascii="Arial" w:hAnsi="Arial" w:cs="Arial"/>
          <w:i/>
          <w:iCs/>
        </w:rPr>
        <w:t>Maq</w:t>
      </w:r>
      <w:proofErr w:type="spellEnd"/>
      <w:r w:rsidRPr="001A5676">
        <w:rPr>
          <w:rFonts w:ascii="Arial" w:hAnsi="Arial" w:cs="Arial"/>
          <w:i/>
          <w:iCs/>
        </w:rPr>
        <w:t xml:space="preserve"> : Aqueous maceration;  </w:t>
      </w:r>
      <w:proofErr w:type="spellStart"/>
      <w:r w:rsidRPr="001A5676">
        <w:rPr>
          <w:rFonts w:ascii="Arial" w:hAnsi="Arial" w:cs="Arial"/>
          <w:i/>
          <w:iCs/>
        </w:rPr>
        <w:t>MHe</w:t>
      </w:r>
      <w:proofErr w:type="spellEnd"/>
      <w:r w:rsidRPr="001A5676">
        <w:rPr>
          <w:rFonts w:ascii="Arial" w:hAnsi="Arial" w:cs="Arial"/>
          <w:i/>
          <w:iCs/>
        </w:rPr>
        <w:t xml:space="preserve"> : Hydroethanolic maceration; GAE: mg/g gallic acid equivalent; QE: mg/g quercetin equivalent; CE: mg/g catechin equivalent ()</w:t>
      </w:r>
    </w:p>
    <w:p w14:paraId="3CD44B76" w14:textId="77777777" w:rsidR="001A5676" w:rsidRPr="001A5676" w:rsidRDefault="001A5676" w:rsidP="001A5676">
      <w:pPr>
        <w:pStyle w:val="Body"/>
        <w:spacing w:after="0"/>
        <w:rPr>
          <w:rFonts w:ascii="Arial" w:hAnsi="Arial" w:cs="Arial"/>
        </w:rPr>
      </w:pPr>
      <w:r w:rsidRPr="001A5676">
        <w:rPr>
          <w:rFonts w:ascii="Arial" w:hAnsi="Arial" w:cs="Arial"/>
        </w:rPr>
        <w:lastRenderedPageBreak/>
        <w:t>The aqueous extract obtained by decoction had a phenol concentration of 1.48 GAE, a flavonoid concentration of 0.31 QE, and a tannin concentration of 0.13 CE. The aqueous extract obtained by maceration had a phenol concentration of 1.16 mg/mL, a flavonoid concentration of 0.25 mg/mL, and a tannin concentration of 0.11 mg/</w:t>
      </w:r>
      <w:proofErr w:type="spellStart"/>
      <w:r w:rsidRPr="001A5676">
        <w:rPr>
          <w:rFonts w:ascii="Arial" w:hAnsi="Arial" w:cs="Arial"/>
        </w:rPr>
        <w:t>mL.</w:t>
      </w:r>
      <w:proofErr w:type="spellEnd"/>
      <w:r w:rsidRPr="001A5676">
        <w:rPr>
          <w:rFonts w:ascii="Arial" w:hAnsi="Arial" w:cs="Arial"/>
        </w:rPr>
        <w:t xml:space="preserve"> The hydroethanolic extract had a phenol concentration of 1.85 mg/mL, a flavonoid concentration of 0.47 mg/mL, and a tannin concentration of 0.16 mg/</w:t>
      </w:r>
      <w:proofErr w:type="spellStart"/>
      <w:r w:rsidRPr="001A5676">
        <w:rPr>
          <w:rFonts w:ascii="Arial" w:hAnsi="Arial" w:cs="Arial"/>
        </w:rPr>
        <w:t>mL.</w:t>
      </w:r>
      <w:proofErr w:type="spellEnd"/>
    </w:p>
    <w:p w14:paraId="375FD113" w14:textId="77777777" w:rsidR="001A5676" w:rsidRPr="001A5676" w:rsidRDefault="001A5676" w:rsidP="001A5676">
      <w:pPr>
        <w:pStyle w:val="Body"/>
        <w:spacing w:after="0"/>
        <w:rPr>
          <w:rFonts w:ascii="Arial" w:hAnsi="Arial" w:cs="Arial"/>
        </w:rPr>
      </w:pPr>
    </w:p>
    <w:p w14:paraId="71E48C42" w14:textId="7EEA76C3" w:rsidR="001A5676" w:rsidRPr="00EE7F92" w:rsidRDefault="00EE7F92" w:rsidP="001A5676">
      <w:pPr>
        <w:pStyle w:val="Body"/>
        <w:spacing w:after="0"/>
        <w:rPr>
          <w:rFonts w:ascii="Arial" w:hAnsi="Arial" w:cs="Arial"/>
          <w:b/>
          <w:bCs/>
        </w:rPr>
      </w:pPr>
      <w:bookmarkStart w:id="41" w:name="_Toc136377200"/>
      <w:bookmarkStart w:id="42" w:name="_Toc137924742"/>
      <w:r w:rsidRPr="00EE7F92">
        <w:rPr>
          <w:rFonts w:ascii="Arial" w:hAnsi="Arial" w:cs="Arial"/>
          <w:b/>
          <w:bCs/>
        </w:rPr>
        <w:t>3</w:t>
      </w:r>
      <w:r w:rsidR="001A5676" w:rsidRPr="00EE7F92">
        <w:rPr>
          <w:rFonts w:ascii="Arial" w:hAnsi="Arial" w:cs="Arial"/>
          <w:b/>
          <w:bCs/>
        </w:rPr>
        <w:t xml:space="preserve">.3 Antioxidant </w:t>
      </w:r>
      <w:bookmarkEnd w:id="41"/>
      <w:bookmarkEnd w:id="42"/>
      <w:r w:rsidR="001A5676" w:rsidRPr="00EE7F92">
        <w:rPr>
          <w:rFonts w:ascii="Arial" w:hAnsi="Arial" w:cs="Arial"/>
          <w:b/>
          <w:bCs/>
        </w:rPr>
        <w:t>activities</w:t>
      </w:r>
    </w:p>
    <w:p w14:paraId="67E5AF51" w14:textId="77777777" w:rsidR="001A5676" w:rsidRDefault="001A5676" w:rsidP="001A5676">
      <w:pPr>
        <w:pStyle w:val="Body"/>
        <w:spacing w:after="0"/>
        <w:rPr>
          <w:rFonts w:ascii="Arial" w:hAnsi="Arial" w:cs="Arial"/>
        </w:rPr>
      </w:pPr>
      <w:r w:rsidRPr="001A5676">
        <w:rPr>
          <w:rFonts w:ascii="Arial" w:hAnsi="Arial" w:cs="Arial"/>
        </w:rPr>
        <w:t>The antioxidant activity of the extracts was evaluated by the DPPH test, the FRAP method and expressed as IC</w:t>
      </w:r>
      <w:proofErr w:type="gramStart"/>
      <w:r w:rsidRPr="001A5676">
        <w:rPr>
          <w:rFonts w:ascii="Arial" w:hAnsi="Arial" w:cs="Arial"/>
        </w:rPr>
        <w:t>50 .</w:t>
      </w:r>
      <w:proofErr w:type="gramEnd"/>
    </w:p>
    <w:p w14:paraId="23B9610D" w14:textId="77777777" w:rsidR="00EE7F92" w:rsidRPr="001A5676" w:rsidRDefault="00EE7F92" w:rsidP="001A5676">
      <w:pPr>
        <w:pStyle w:val="Body"/>
        <w:spacing w:after="0"/>
        <w:rPr>
          <w:rFonts w:ascii="Arial" w:hAnsi="Arial" w:cs="Arial"/>
        </w:rPr>
      </w:pPr>
    </w:p>
    <w:p w14:paraId="7183B3A1" w14:textId="15463D9D" w:rsidR="001A5676" w:rsidRPr="00EE7F92" w:rsidRDefault="00EE7F92" w:rsidP="001A5676">
      <w:pPr>
        <w:pStyle w:val="Body"/>
        <w:spacing w:after="0"/>
        <w:rPr>
          <w:rFonts w:ascii="Arial" w:hAnsi="Arial" w:cs="Arial"/>
          <w:b/>
          <w:bCs/>
        </w:rPr>
      </w:pPr>
      <w:bookmarkStart w:id="43" w:name="_Toc137924743"/>
      <w:r>
        <w:rPr>
          <w:rFonts w:ascii="Arial" w:hAnsi="Arial" w:cs="Arial"/>
          <w:b/>
          <w:bCs/>
        </w:rPr>
        <w:t>3</w:t>
      </w:r>
      <w:r w:rsidR="001A5676" w:rsidRPr="00EE7F92">
        <w:rPr>
          <w:rFonts w:ascii="Arial" w:hAnsi="Arial" w:cs="Arial"/>
          <w:b/>
          <w:bCs/>
        </w:rPr>
        <w:t>.3.1 FRAP (Ferric Reducing Antioxidant Power) Method</w:t>
      </w:r>
      <w:bookmarkEnd w:id="43"/>
    </w:p>
    <w:p w14:paraId="648F1555" w14:textId="77777777" w:rsidR="001A5676" w:rsidRPr="001A5676" w:rsidRDefault="001A5676" w:rsidP="001A5676">
      <w:pPr>
        <w:pStyle w:val="Body"/>
        <w:spacing w:after="0"/>
        <w:rPr>
          <w:rFonts w:ascii="Arial" w:hAnsi="Arial" w:cs="Arial"/>
        </w:rPr>
      </w:pPr>
      <w:r w:rsidRPr="001A5676">
        <w:rPr>
          <w:rFonts w:ascii="Arial" w:hAnsi="Arial" w:cs="Arial"/>
        </w:rPr>
        <w:t>The presence of molecules capable of reducing ferric iron (Fe3+) to ferrous iron (Fe2+) is indicated by a blue color change. Absorbance curves as a function of extract, BHT, and vitamin C concentration are summarized in Figure 1.</w:t>
      </w:r>
    </w:p>
    <w:p w14:paraId="603242CE" w14:textId="77777777" w:rsidR="001A5676" w:rsidRPr="001A5676" w:rsidRDefault="001A5676" w:rsidP="001A5676">
      <w:pPr>
        <w:pStyle w:val="Body"/>
        <w:spacing w:after="0"/>
        <w:rPr>
          <w:rFonts w:ascii="Arial" w:hAnsi="Arial" w:cs="Arial"/>
        </w:rPr>
      </w:pPr>
      <w:r w:rsidRPr="001A5676">
        <w:rPr>
          <w:rFonts w:ascii="Arial" w:hAnsi="Arial" w:cs="Arial"/>
          <w:noProof/>
        </w:rPr>
        <w:drawing>
          <wp:inline distT="0" distB="0" distL="0" distR="0" wp14:anchorId="091AB513" wp14:editId="60A15E63">
            <wp:extent cx="4661210" cy="2412008"/>
            <wp:effectExtent l="0" t="0" r="6350" b="7620"/>
            <wp:docPr id="30" name="Graphique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39CC61" w14:textId="0A800162" w:rsidR="001A5676" w:rsidRPr="00EE7F92" w:rsidRDefault="001A5676" w:rsidP="001A5676">
      <w:pPr>
        <w:pStyle w:val="Body"/>
        <w:spacing w:after="0"/>
        <w:rPr>
          <w:rFonts w:ascii="Arial" w:hAnsi="Arial" w:cs="Arial"/>
          <w:b/>
          <w:bCs/>
          <w:i/>
          <w:iCs/>
        </w:rPr>
      </w:pPr>
      <w:bookmarkStart w:id="44" w:name="_Toc138056793"/>
      <w:r w:rsidRPr="00EE7F92">
        <w:rPr>
          <w:rFonts w:ascii="Arial" w:hAnsi="Arial" w:cs="Arial"/>
          <w:b/>
          <w:bCs/>
          <w:i/>
          <w:iCs/>
        </w:rPr>
        <w:t xml:space="preserve">Figure 1: Variation in the percentage reduction of </w:t>
      </w:r>
      <w:r w:rsidR="00CA16D7" w:rsidRPr="00CA16D7">
        <w:rPr>
          <w:rFonts w:ascii="Arial" w:hAnsi="Arial" w:cs="Arial"/>
          <w:b/>
          <w:bCs/>
          <w:i/>
          <w:iCs/>
        </w:rPr>
        <w:t xml:space="preserve">Garcinia </w:t>
      </w:r>
      <w:proofErr w:type="spellStart"/>
      <w:proofErr w:type="gramStart"/>
      <w:r w:rsidR="00CA16D7" w:rsidRPr="00CA16D7">
        <w:rPr>
          <w:rFonts w:ascii="Arial" w:hAnsi="Arial" w:cs="Arial"/>
          <w:b/>
          <w:bCs/>
          <w:i/>
          <w:iCs/>
        </w:rPr>
        <w:t>mangostana</w:t>
      </w:r>
      <w:proofErr w:type="spellEnd"/>
      <w:r w:rsidR="00CA16D7" w:rsidRPr="00CA16D7">
        <w:rPr>
          <w:rFonts w:ascii="Arial" w:hAnsi="Arial" w:cs="Arial"/>
          <w:b/>
          <w:bCs/>
          <w:i/>
          <w:iCs/>
        </w:rPr>
        <w:t xml:space="preserve"> </w:t>
      </w:r>
      <w:r w:rsidRPr="00EE7F92">
        <w:rPr>
          <w:rFonts w:ascii="Arial" w:hAnsi="Arial" w:cs="Arial"/>
          <w:b/>
          <w:bCs/>
          <w:i/>
          <w:iCs/>
        </w:rPr>
        <w:t xml:space="preserve"> L.</w:t>
      </w:r>
      <w:proofErr w:type="gramEnd"/>
      <w:r w:rsidRPr="00EE7F92">
        <w:rPr>
          <w:rFonts w:ascii="Arial" w:hAnsi="Arial" w:cs="Arial"/>
          <w:b/>
          <w:bCs/>
          <w:i/>
          <w:iCs/>
        </w:rPr>
        <w:t xml:space="preserve"> extracts , vitamin C, and BHT with respect to iron (Fr 3+ ) as a function of concentration</w:t>
      </w:r>
      <w:bookmarkEnd w:id="44"/>
    </w:p>
    <w:p w14:paraId="5B625C29" w14:textId="77777777" w:rsidR="001A5676" w:rsidRDefault="001A5676" w:rsidP="001A5676">
      <w:pPr>
        <w:pStyle w:val="Body"/>
        <w:spacing w:after="0"/>
        <w:rPr>
          <w:rFonts w:ascii="Arial" w:hAnsi="Arial" w:cs="Arial"/>
          <w:i/>
          <w:iCs/>
        </w:rPr>
      </w:pPr>
      <w:r w:rsidRPr="001A5676">
        <w:rPr>
          <w:rFonts w:ascii="Arial" w:hAnsi="Arial" w:cs="Arial"/>
          <w:i/>
          <w:iCs/>
        </w:rPr>
        <w:t xml:space="preserve">Dec </w:t>
      </w:r>
      <w:proofErr w:type="gramStart"/>
      <w:r w:rsidRPr="001A5676">
        <w:rPr>
          <w:rFonts w:ascii="Arial" w:hAnsi="Arial" w:cs="Arial"/>
          <w:i/>
          <w:iCs/>
        </w:rPr>
        <w:t>ED :</w:t>
      </w:r>
      <w:proofErr w:type="gramEnd"/>
      <w:r w:rsidRPr="001A5676">
        <w:rPr>
          <w:rFonts w:ascii="Arial" w:hAnsi="Arial" w:cs="Arial"/>
          <w:i/>
          <w:iCs/>
        </w:rPr>
        <w:t xml:space="preserve"> Aqueous decoction; Mac ED : Aqueous maceration; ED+AC : Hydroethanolic maceration; Vit C : Vitamin C; BHT : Butyl Hydroxy Toluene.</w:t>
      </w:r>
    </w:p>
    <w:p w14:paraId="163BD972" w14:textId="77777777" w:rsidR="001A5676" w:rsidRPr="001A5676" w:rsidRDefault="001A5676" w:rsidP="001A5676">
      <w:pPr>
        <w:pStyle w:val="Body"/>
        <w:spacing w:after="0"/>
        <w:rPr>
          <w:rFonts w:ascii="Arial" w:hAnsi="Arial" w:cs="Arial"/>
          <w:i/>
          <w:iCs/>
        </w:rPr>
      </w:pPr>
    </w:p>
    <w:p w14:paraId="67767034" w14:textId="2AE98D83" w:rsidR="001A5676" w:rsidRPr="001A5676" w:rsidRDefault="001A5676" w:rsidP="001A5676">
      <w:pPr>
        <w:pStyle w:val="Body"/>
        <w:spacing w:after="0"/>
        <w:rPr>
          <w:rFonts w:ascii="Arial" w:hAnsi="Arial" w:cs="Arial"/>
        </w:rPr>
      </w:pPr>
      <w:r w:rsidRPr="001A5676">
        <w:rPr>
          <w:rFonts w:ascii="Arial" w:hAnsi="Arial" w:cs="Arial"/>
        </w:rPr>
        <w:t xml:space="preserve">From Figure 1, we can see that the trapping percentages increase with extract concentrations. These percentages allowed us to obtain the IC50, EC50, and PA values, which are shown in Table </w:t>
      </w:r>
      <w:r w:rsidR="007C29E0">
        <w:rPr>
          <w:rFonts w:ascii="Arial" w:hAnsi="Arial" w:cs="Arial"/>
        </w:rPr>
        <w:t>5</w:t>
      </w:r>
      <w:r w:rsidRPr="001A5676">
        <w:rPr>
          <w:rFonts w:ascii="Arial" w:hAnsi="Arial" w:cs="Arial"/>
        </w:rPr>
        <w:t xml:space="preserve"> below.</w:t>
      </w:r>
    </w:p>
    <w:p w14:paraId="45BB6D88" w14:textId="77777777" w:rsidR="001A5676" w:rsidRPr="001A5676" w:rsidRDefault="001A5676" w:rsidP="001A5676">
      <w:pPr>
        <w:pStyle w:val="Body"/>
        <w:spacing w:after="0"/>
        <w:rPr>
          <w:rFonts w:ascii="Arial" w:hAnsi="Arial" w:cs="Arial"/>
        </w:rPr>
      </w:pPr>
      <w:bookmarkStart w:id="45" w:name="_Toc137923800"/>
    </w:p>
    <w:p w14:paraId="4265D0CC" w14:textId="049EE92C" w:rsidR="001A5676" w:rsidRPr="00EE7F92" w:rsidRDefault="001A5676" w:rsidP="001A5676">
      <w:pPr>
        <w:pStyle w:val="Body"/>
        <w:spacing w:after="0"/>
        <w:rPr>
          <w:rFonts w:ascii="Arial" w:hAnsi="Arial" w:cs="Arial"/>
          <w:b/>
          <w:bCs/>
        </w:rPr>
      </w:pPr>
      <w:r w:rsidRPr="00EE7F92">
        <w:rPr>
          <w:rFonts w:ascii="Arial" w:hAnsi="Arial" w:cs="Arial"/>
          <w:b/>
          <w:bCs/>
        </w:rPr>
        <w:t xml:space="preserve">Table 5: Antioxidant activities of </w:t>
      </w:r>
      <w:r w:rsidR="00CA16D7" w:rsidRPr="00CA16D7">
        <w:rPr>
          <w:rFonts w:ascii="Arial" w:hAnsi="Arial" w:cs="Arial"/>
          <w:b/>
          <w:bCs/>
          <w:i/>
          <w:iCs/>
        </w:rPr>
        <w:t xml:space="preserve">Garcinia </w:t>
      </w:r>
      <w:proofErr w:type="spellStart"/>
      <w:proofErr w:type="gramStart"/>
      <w:r w:rsidR="00CA16D7" w:rsidRPr="00CA16D7">
        <w:rPr>
          <w:rFonts w:ascii="Arial" w:hAnsi="Arial" w:cs="Arial"/>
          <w:b/>
          <w:bCs/>
          <w:i/>
          <w:iCs/>
        </w:rPr>
        <w:t>mangostana</w:t>
      </w:r>
      <w:proofErr w:type="spellEnd"/>
      <w:r w:rsidR="00CA16D7" w:rsidRPr="00CA16D7">
        <w:rPr>
          <w:rFonts w:ascii="Arial" w:hAnsi="Arial" w:cs="Arial"/>
          <w:b/>
          <w:bCs/>
          <w:i/>
          <w:iCs/>
        </w:rPr>
        <w:t xml:space="preserve"> </w:t>
      </w:r>
      <w:r w:rsidRPr="00EE7F92">
        <w:rPr>
          <w:rFonts w:ascii="Arial" w:hAnsi="Arial" w:cs="Arial"/>
          <w:b/>
          <w:bCs/>
        </w:rPr>
        <w:t xml:space="preserve"> L.</w:t>
      </w:r>
      <w:proofErr w:type="gramEnd"/>
      <w:r w:rsidRPr="00EE7F92">
        <w:rPr>
          <w:rFonts w:ascii="Arial" w:hAnsi="Arial" w:cs="Arial"/>
          <w:b/>
          <w:bCs/>
        </w:rPr>
        <w:t xml:space="preserve"> extracts : IC50 , EC50 and PA values obtained by the FRAP method</w:t>
      </w:r>
      <w:bookmarkEnd w:id="45"/>
    </w:p>
    <w:tbl>
      <w:tblPr>
        <w:tblW w:w="0" w:type="auto"/>
        <w:tblBorders>
          <w:top w:val="single" w:sz="4" w:space="0" w:color="auto"/>
          <w:bottom w:val="single" w:sz="4" w:space="0" w:color="auto"/>
        </w:tblBorders>
        <w:tblLook w:val="04A0" w:firstRow="1" w:lastRow="0" w:firstColumn="1" w:lastColumn="0" w:noHBand="0" w:noVBand="1"/>
      </w:tblPr>
      <w:tblGrid>
        <w:gridCol w:w="2070"/>
        <w:gridCol w:w="2050"/>
        <w:gridCol w:w="2060"/>
        <w:gridCol w:w="2028"/>
      </w:tblGrid>
      <w:tr w:rsidR="001A5676" w:rsidRPr="001A5676" w14:paraId="5CF77173" w14:textId="77777777" w:rsidTr="004A2F47">
        <w:trPr>
          <w:trHeight w:hRule="exact" w:val="447"/>
        </w:trPr>
        <w:tc>
          <w:tcPr>
            <w:tcW w:w="2224" w:type="dxa"/>
            <w:tcBorders>
              <w:top w:val="single" w:sz="4" w:space="0" w:color="auto"/>
              <w:bottom w:val="single" w:sz="4" w:space="0" w:color="auto"/>
            </w:tcBorders>
          </w:tcPr>
          <w:p w14:paraId="57080C82" w14:textId="77777777" w:rsidR="001A5676" w:rsidRPr="001A5676" w:rsidRDefault="001A5676" w:rsidP="001A5676">
            <w:pPr>
              <w:pStyle w:val="Body"/>
              <w:spacing w:after="0"/>
              <w:rPr>
                <w:rFonts w:ascii="Arial" w:hAnsi="Arial" w:cs="Arial"/>
              </w:rPr>
            </w:pPr>
            <w:r w:rsidRPr="001A5676">
              <w:rPr>
                <w:rFonts w:ascii="Arial" w:hAnsi="Arial" w:cs="Arial"/>
              </w:rPr>
              <w:t>Extract</w:t>
            </w:r>
          </w:p>
        </w:tc>
        <w:tc>
          <w:tcPr>
            <w:tcW w:w="2202" w:type="dxa"/>
            <w:tcBorders>
              <w:top w:val="single" w:sz="4" w:space="0" w:color="auto"/>
              <w:bottom w:val="single" w:sz="4" w:space="0" w:color="auto"/>
            </w:tcBorders>
          </w:tcPr>
          <w:p w14:paraId="6AD4AE5E" w14:textId="77777777" w:rsidR="001A5676" w:rsidRPr="001A5676" w:rsidRDefault="001A5676" w:rsidP="001A5676">
            <w:pPr>
              <w:pStyle w:val="Body"/>
              <w:spacing w:after="0"/>
              <w:rPr>
                <w:rFonts w:ascii="Arial" w:hAnsi="Arial" w:cs="Arial"/>
              </w:rPr>
            </w:pPr>
            <w:r w:rsidRPr="001A5676">
              <w:rPr>
                <w:rFonts w:ascii="Arial" w:hAnsi="Arial" w:cs="Arial"/>
              </w:rPr>
              <w:t>IC 50 (µg/ml)</w:t>
            </w:r>
          </w:p>
        </w:tc>
        <w:tc>
          <w:tcPr>
            <w:tcW w:w="2199" w:type="dxa"/>
            <w:tcBorders>
              <w:top w:val="single" w:sz="4" w:space="0" w:color="auto"/>
              <w:bottom w:val="single" w:sz="4" w:space="0" w:color="auto"/>
            </w:tcBorders>
          </w:tcPr>
          <w:p w14:paraId="7C322F80" w14:textId="77777777" w:rsidR="001A5676" w:rsidRPr="001A5676" w:rsidRDefault="001A5676" w:rsidP="001A5676">
            <w:pPr>
              <w:pStyle w:val="Body"/>
              <w:spacing w:after="0"/>
              <w:rPr>
                <w:rFonts w:ascii="Arial" w:hAnsi="Arial" w:cs="Arial"/>
              </w:rPr>
            </w:pPr>
            <w:r w:rsidRPr="001A5676">
              <w:rPr>
                <w:rFonts w:ascii="Arial" w:hAnsi="Arial" w:cs="Arial"/>
              </w:rPr>
              <w:t>EC 50 (µg/mol)</w:t>
            </w:r>
          </w:p>
        </w:tc>
        <w:tc>
          <w:tcPr>
            <w:tcW w:w="2163" w:type="dxa"/>
            <w:tcBorders>
              <w:top w:val="single" w:sz="4" w:space="0" w:color="auto"/>
              <w:bottom w:val="single" w:sz="4" w:space="0" w:color="auto"/>
            </w:tcBorders>
          </w:tcPr>
          <w:p w14:paraId="2C553C4F" w14:textId="77777777" w:rsidR="001A5676" w:rsidRPr="001A5676" w:rsidRDefault="001A5676" w:rsidP="001A5676">
            <w:pPr>
              <w:pStyle w:val="Body"/>
              <w:spacing w:after="0"/>
              <w:rPr>
                <w:rFonts w:ascii="Arial" w:hAnsi="Arial" w:cs="Arial"/>
              </w:rPr>
            </w:pPr>
            <w:r w:rsidRPr="001A5676">
              <w:rPr>
                <w:rFonts w:ascii="Arial" w:hAnsi="Arial" w:cs="Arial"/>
              </w:rPr>
              <w:t>PA (mol/µg)</w:t>
            </w:r>
          </w:p>
        </w:tc>
      </w:tr>
      <w:tr w:rsidR="001A5676" w:rsidRPr="001A5676" w14:paraId="029CEA9D" w14:textId="77777777" w:rsidTr="004A2F47">
        <w:trPr>
          <w:trHeight w:hRule="exact" w:val="340"/>
        </w:trPr>
        <w:tc>
          <w:tcPr>
            <w:tcW w:w="2224" w:type="dxa"/>
            <w:tcBorders>
              <w:top w:val="single" w:sz="4" w:space="0" w:color="auto"/>
            </w:tcBorders>
          </w:tcPr>
          <w:p w14:paraId="1BC81EF3" w14:textId="77777777" w:rsidR="001A5676" w:rsidRPr="001A5676" w:rsidRDefault="001A5676" w:rsidP="001A5676">
            <w:pPr>
              <w:pStyle w:val="Body"/>
              <w:spacing w:after="0"/>
              <w:rPr>
                <w:rFonts w:ascii="Arial" w:hAnsi="Arial" w:cs="Arial"/>
              </w:rPr>
            </w:pPr>
            <w:r w:rsidRPr="001A5676">
              <w:rPr>
                <w:rFonts w:ascii="Arial" w:hAnsi="Arial" w:cs="Arial"/>
              </w:rPr>
              <w:t>DAq</w:t>
            </w:r>
          </w:p>
        </w:tc>
        <w:tc>
          <w:tcPr>
            <w:tcW w:w="2202" w:type="dxa"/>
            <w:tcBorders>
              <w:top w:val="single" w:sz="4" w:space="0" w:color="auto"/>
            </w:tcBorders>
          </w:tcPr>
          <w:p w14:paraId="6757FF68" w14:textId="77777777" w:rsidR="001A5676" w:rsidRPr="001A5676" w:rsidRDefault="001A5676" w:rsidP="001A5676">
            <w:pPr>
              <w:pStyle w:val="Body"/>
              <w:spacing w:after="0"/>
              <w:rPr>
                <w:rFonts w:ascii="Arial" w:hAnsi="Arial" w:cs="Arial"/>
              </w:rPr>
            </w:pPr>
            <w:r w:rsidRPr="001A5676">
              <w:rPr>
                <w:rFonts w:ascii="Arial" w:hAnsi="Arial" w:cs="Arial"/>
              </w:rPr>
              <w:t>22,48</w:t>
            </w:r>
          </w:p>
        </w:tc>
        <w:tc>
          <w:tcPr>
            <w:tcW w:w="2199" w:type="dxa"/>
            <w:tcBorders>
              <w:top w:val="single" w:sz="4" w:space="0" w:color="auto"/>
            </w:tcBorders>
          </w:tcPr>
          <w:p w14:paraId="35EE1C49" w14:textId="77777777" w:rsidR="001A5676" w:rsidRPr="001A5676" w:rsidRDefault="001A5676" w:rsidP="001A5676">
            <w:pPr>
              <w:pStyle w:val="Body"/>
              <w:spacing w:after="0"/>
              <w:rPr>
                <w:rFonts w:ascii="Arial" w:hAnsi="Arial" w:cs="Arial"/>
              </w:rPr>
            </w:pPr>
            <w:r w:rsidRPr="001A5676">
              <w:rPr>
                <w:rFonts w:ascii="Arial" w:hAnsi="Arial" w:cs="Arial"/>
              </w:rPr>
              <w:t>2248</w:t>
            </w:r>
          </w:p>
        </w:tc>
        <w:tc>
          <w:tcPr>
            <w:tcW w:w="2163" w:type="dxa"/>
            <w:tcBorders>
              <w:top w:val="single" w:sz="4" w:space="0" w:color="auto"/>
            </w:tcBorders>
          </w:tcPr>
          <w:p w14:paraId="0ABFFEC1" w14:textId="77777777" w:rsidR="001A5676" w:rsidRPr="001A5676" w:rsidRDefault="001A5676" w:rsidP="001A5676">
            <w:pPr>
              <w:pStyle w:val="Body"/>
              <w:spacing w:after="0"/>
              <w:rPr>
                <w:rFonts w:ascii="Arial" w:hAnsi="Arial" w:cs="Arial"/>
              </w:rPr>
            </w:pPr>
            <w:r w:rsidRPr="001A5676">
              <w:rPr>
                <w:rFonts w:ascii="Arial" w:hAnsi="Arial" w:cs="Arial"/>
              </w:rPr>
              <w:t>4,4 × 10-4</w:t>
            </w:r>
          </w:p>
        </w:tc>
      </w:tr>
      <w:tr w:rsidR="001A5676" w:rsidRPr="001A5676" w14:paraId="160DE4F7" w14:textId="77777777" w:rsidTr="004A2F47">
        <w:trPr>
          <w:trHeight w:hRule="exact" w:val="340"/>
        </w:trPr>
        <w:tc>
          <w:tcPr>
            <w:tcW w:w="2224" w:type="dxa"/>
          </w:tcPr>
          <w:p w14:paraId="58E13ADC" w14:textId="77777777" w:rsidR="001A5676" w:rsidRPr="001A5676" w:rsidRDefault="001A5676" w:rsidP="001A5676">
            <w:pPr>
              <w:pStyle w:val="Body"/>
              <w:spacing w:after="0"/>
              <w:rPr>
                <w:rFonts w:ascii="Arial" w:hAnsi="Arial" w:cs="Arial"/>
              </w:rPr>
            </w:pPr>
            <w:proofErr w:type="spellStart"/>
            <w:r w:rsidRPr="001A5676">
              <w:rPr>
                <w:rFonts w:ascii="Arial" w:hAnsi="Arial" w:cs="Arial"/>
              </w:rPr>
              <w:t>MAq</w:t>
            </w:r>
            <w:proofErr w:type="spellEnd"/>
          </w:p>
        </w:tc>
        <w:tc>
          <w:tcPr>
            <w:tcW w:w="2202" w:type="dxa"/>
          </w:tcPr>
          <w:p w14:paraId="539C021C" w14:textId="77777777" w:rsidR="001A5676" w:rsidRPr="001A5676" w:rsidRDefault="001A5676" w:rsidP="001A5676">
            <w:pPr>
              <w:pStyle w:val="Body"/>
              <w:spacing w:after="0"/>
              <w:rPr>
                <w:rFonts w:ascii="Arial" w:hAnsi="Arial" w:cs="Arial"/>
              </w:rPr>
            </w:pPr>
            <w:r w:rsidRPr="001A5676">
              <w:rPr>
                <w:rFonts w:ascii="Arial" w:hAnsi="Arial" w:cs="Arial"/>
              </w:rPr>
              <w:t>21,25</w:t>
            </w:r>
          </w:p>
        </w:tc>
        <w:tc>
          <w:tcPr>
            <w:tcW w:w="2199" w:type="dxa"/>
          </w:tcPr>
          <w:p w14:paraId="2309C424" w14:textId="77777777" w:rsidR="001A5676" w:rsidRPr="001A5676" w:rsidRDefault="001A5676" w:rsidP="001A5676">
            <w:pPr>
              <w:pStyle w:val="Body"/>
              <w:spacing w:after="0"/>
              <w:rPr>
                <w:rFonts w:ascii="Arial" w:hAnsi="Arial" w:cs="Arial"/>
              </w:rPr>
            </w:pPr>
            <w:r w:rsidRPr="001A5676">
              <w:rPr>
                <w:rFonts w:ascii="Arial" w:hAnsi="Arial" w:cs="Arial"/>
              </w:rPr>
              <w:t>2125</w:t>
            </w:r>
          </w:p>
        </w:tc>
        <w:tc>
          <w:tcPr>
            <w:tcW w:w="2163" w:type="dxa"/>
          </w:tcPr>
          <w:p w14:paraId="48B655FF" w14:textId="77777777" w:rsidR="001A5676" w:rsidRPr="001A5676" w:rsidRDefault="001A5676" w:rsidP="001A5676">
            <w:pPr>
              <w:pStyle w:val="Body"/>
              <w:spacing w:after="0"/>
              <w:rPr>
                <w:rFonts w:ascii="Arial" w:hAnsi="Arial" w:cs="Arial"/>
              </w:rPr>
            </w:pPr>
            <w:r w:rsidRPr="001A5676">
              <w:rPr>
                <w:rFonts w:ascii="Arial" w:hAnsi="Arial" w:cs="Arial"/>
              </w:rPr>
              <w:t>4,7 × 10-4</w:t>
            </w:r>
          </w:p>
        </w:tc>
      </w:tr>
      <w:tr w:rsidR="001A5676" w:rsidRPr="001A5676" w14:paraId="65D07593" w14:textId="77777777" w:rsidTr="004A2F47">
        <w:trPr>
          <w:trHeight w:hRule="exact" w:val="340"/>
        </w:trPr>
        <w:tc>
          <w:tcPr>
            <w:tcW w:w="2224" w:type="dxa"/>
          </w:tcPr>
          <w:p w14:paraId="2E159C97" w14:textId="77777777" w:rsidR="001A5676" w:rsidRPr="001A5676" w:rsidRDefault="001A5676" w:rsidP="001A5676">
            <w:pPr>
              <w:pStyle w:val="Body"/>
              <w:spacing w:after="0"/>
              <w:rPr>
                <w:rFonts w:ascii="Arial" w:hAnsi="Arial" w:cs="Arial"/>
              </w:rPr>
            </w:pPr>
            <w:proofErr w:type="spellStart"/>
            <w:r w:rsidRPr="001A5676">
              <w:rPr>
                <w:rFonts w:ascii="Arial" w:hAnsi="Arial" w:cs="Arial"/>
              </w:rPr>
              <w:t>MHe</w:t>
            </w:r>
            <w:proofErr w:type="spellEnd"/>
          </w:p>
        </w:tc>
        <w:tc>
          <w:tcPr>
            <w:tcW w:w="2202" w:type="dxa"/>
          </w:tcPr>
          <w:p w14:paraId="0E2523ED" w14:textId="77777777" w:rsidR="001A5676" w:rsidRPr="001A5676" w:rsidRDefault="001A5676" w:rsidP="001A5676">
            <w:pPr>
              <w:pStyle w:val="Body"/>
              <w:spacing w:after="0"/>
              <w:rPr>
                <w:rFonts w:ascii="Arial" w:hAnsi="Arial" w:cs="Arial"/>
              </w:rPr>
            </w:pPr>
            <w:r w:rsidRPr="001A5676">
              <w:rPr>
                <w:rFonts w:ascii="Arial" w:hAnsi="Arial" w:cs="Arial"/>
              </w:rPr>
              <w:t>18,97</w:t>
            </w:r>
          </w:p>
        </w:tc>
        <w:tc>
          <w:tcPr>
            <w:tcW w:w="2199" w:type="dxa"/>
          </w:tcPr>
          <w:p w14:paraId="41DFF11F" w14:textId="77777777" w:rsidR="001A5676" w:rsidRPr="001A5676" w:rsidRDefault="001A5676" w:rsidP="001A5676">
            <w:pPr>
              <w:pStyle w:val="Body"/>
              <w:spacing w:after="0"/>
              <w:rPr>
                <w:rFonts w:ascii="Arial" w:hAnsi="Arial" w:cs="Arial"/>
              </w:rPr>
            </w:pPr>
            <w:r w:rsidRPr="001A5676">
              <w:rPr>
                <w:rFonts w:ascii="Arial" w:hAnsi="Arial" w:cs="Arial"/>
              </w:rPr>
              <w:t>1897</w:t>
            </w:r>
          </w:p>
        </w:tc>
        <w:tc>
          <w:tcPr>
            <w:tcW w:w="2163" w:type="dxa"/>
          </w:tcPr>
          <w:p w14:paraId="47320AAD" w14:textId="77777777" w:rsidR="001A5676" w:rsidRPr="001A5676" w:rsidRDefault="001A5676" w:rsidP="001A5676">
            <w:pPr>
              <w:pStyle w:val="Body"/>
              <w:spacing w:after="0"/>
              <w:rPr>
                <w:rFonts w:ascii="Arial" w:hAnsi="Arial" w:cs="Arial"/>
              </w:rPr>
            </w:pPr>
            <w:r w:rsidRPr="001A5676">
              <w:rPr>
                <w:rFonts w:ascii="Arial" w:hAnsi="Arial" w:cs="Arial"/>
              </w:rPr>
              <w:t>5,2 × 10-4</w:t>
            </w:r>
          </w:p>
        </w:tc>
      </w:tr>
      <w:tr w:rsidR="001A5676" w:rsidRPr="001A5676" w14:paraId="288313DA" w14:textId="77777777" w:rsidTr="004A2F47">
        <w:trPr>
          <w:trHeight w:hRule="exact" w:val="340"/>
        </w:trPr>
        <w:tc>
          <w:tcPr>
            <w:tcW w:w="2224" w:type="dxa"/>
          </w:tcPr>
          <w:p w14:paraId="093B635E" w14:textId="77777777" w:rsidR="001A5676" w:rsidRPr="001A5676" w:rsidRDefault="001A5676" w:rsidP="001A5676">
            <w:pPr>
              <w:pStyle w:val="Body"/>
              <w:spacing w:after="0"/>
              <w:rPr>
                <w:rFonts w:ascii="Arial" w:hAnsi="Arial" w:cs="Arial"/>
              </w:rPr>
            </w:pPr>
            <w:r w:rsidRPr="001A5676">
              <w:rPr>
                <w:rFonts w:ascii="Arial" w:hAnsi="Arial" w:cs="Arial"/>
              </w:rPr>
              <w:t>BHT</w:t>
            </w:r>
          </w:p>
        </w:tc>
        <w:tc>
          <w:tcPr>
            <w:tcW w:w="2202" w:type="dxa"/>
          </w:tcPr>
          <w:p w14:paraId="465FD441" w14:textId="77777777" w:rsidR="001A5676" w:rsidRPr="001A5676" w:rsidRDefault="001A5676" w:rsidP="001A5676">
            <w:pPr>
              <w:pStyle w:val="Body"/>
              <w:spacing w:after="0"/>
              <w:rPr>
                <w:rFonts w:ascii="Arial" w:hAnsi="Arial" w:cs="Arial"/>
              </w:rPr>
            </w:pPr>
            <w:r w:rsidRPr="001A5676">
              <w:rPr>
                <w:rFonts w:ascii="Arial" w:hAnsi="Arial" w:cs="Arial"/>
              </w:rPr>
              <w:t>15,82</w:t>
            </w:r>
          </w:p>
        </w:tc>
        <w:tc>
          <w:tcPr>
            <w:tcW w:w="2199" w:type="dxa"/>
          </w:tcPr>
          <w:p w14:paraId="655EA9E9" w14:textId="77777777" w:rsidR="001A5676" w:rsidRPr="001A5676" w:rsidRDefault="001A5676" w:rsidP="001A5676">
            <w:pPr>
              <w:pStyle w:val="Body"/>
              <w:spacing w:after="0"/>
              <w:rPr>
                <w:rFonts w:ascii="Arial" w:hAnsi="Arial" w:cs="Arial"/>
              </w:rPr>
            </w:pPr>
            <w:r w:rsidRPr="001A5676">
              <w:rPr>
                <w:rFonts w:ascii="Arial" w:hAnsi="Arial" w:cs="Arial"/>
              </w:rPr>
              <w:t>1582</w:t>
            </w:r>
          </w:p>
        </w:tc>
        <w:tc>
          <w:tcPr>
            <w:tcW w:w="2163" w:type="dxa"/>
          </w:tcPr>
          <w:p w14:paraId="7BA949D9" w14:textId="77777777" w:rsidR="001A5676" w:rsidRPr="001A5676" w:rsidRDefault="001A5676" w:rsidP="001A5676">
            <w:pPr>
              <w:pStyle w:val="Body"/>
              <w:spacing w:after="0"/>
              <w:rPr>
                <w:rFonts w:ascii="Arial" w:hAnsi="Arial" w:cs="Arial"/>
              </w:rPr>
            </w:pPr>
            <w:r w:rsidRPr="001A5676">
              <w:rPr>
                <w:rFonts w:ascii="Arial" w:hAnsi="Arial" w:cs="Arial"/>
              </w:rPr>
              <w:t>6,3 × 10-4</w:t>
            </w:r>
          </w:p>
        </w:tc>
      </w:tr>
      <w:tr w:rsidR="001A5676" w:rsidRPr="001A5676" w14:paraId="4EC1A6B0" w14:textId="77777777" w:rsidTr="004A2F47">
        <w:trPr>
          <w:trHeight w:hRule="exact" w:val="340"/>
        </w:trPr>
        <w:tc>
          <w:tcPr>
            <w:tcW w:w="2224" w:type="dxa"/>
          </w:tcPr>
          <w:p w14:paraId="479D5C26" w14:textId="77777777" w:rsidR="001A5676" w:rsidRPr="001A5676" w:rsidRDefault="001A5676" w:rsidP="001A5676">
            <w:pPr>
              <w:pStyle w:val="Body"/>
              <w:spacing w:after="0"/>
              <w:rPr>
                <w:rFonts w:ascii="Arial" w:hAnsi="Arial" w:cs="Arial"/>
              </w:rPr>
            </w:pPr>
            <w:r w:rsidRPr="001A5676">
              <w:rPr>
                <w:rFonts w:ascii="Arial" w:hAnsi="Arial" w:cs="Arial"/>
              </w:rPr>
              <w:t>Vit c</w:t>
            </w:r>
          </w:p>
        </w:tc>
        <w:tc>
          <w:tcPr>
            <w:tcW w:w="2202" w:type="dxa"/>
          </w:tcPr>
          <w:p w14:paraId="7AE5025B" w14:textId="77777777" w:rsidR="001A5676" w:rsidRPr="001A5676" w:rsidRDefault="001A5676" w:rsidP="001A5676">
            <w:pPr>
              <w:pStyle w:val="Body"/>
              <w:spacing w:after="0"/>
              <w:rPr>
                <w:rFonts w:ascii="Arial" w:hAnsi="Arial" w:cs="Arial"/>
              </w:rPr>
            </w:pPr>
            <w:r w:rsidRPr="001A5676">
              <w:rPr>
                <w:rFonts w:ascii="Arial" w:hAnsi="Arial" w:cs="Arial"/>
              </w:rPr>
              <w:t>13,23</w:t>
            </w:r>
          </w:p>
        </w:tc>
        <w:tc>
          <w:tcPr>
            <w:tcW w:w="2199" w:type="dxa"/>
          </w:tcPr>
          <w:p w14:paraId="3E98541F" w14:textId="77777777" w:rsidR="001A5676" w:rsidRPr="001A5676" w:rsidRDefault="001A5676" w:rsidP="001A5676">
            <w:pPr>
              <w:pStyle w:val="Body"/>
              <w:spacing w:after="0"/>
              <w:rPr>
                <w:rFonts w:ascii="Arial" w:hAnsi="Arial" w:cs="Arial"/>
              </w:rPr>
            </w:pPr>
            <w:r w:rsidRPr="001A5676">
              <w:rPr>
                <w:rFonts w:ascii="Arial" w:hAnsi="Arial" w:cs="Arial"/>
              </w:rPr>
              <w:t>1323</w:t>
            </w:r>
          </w:p>
        </w:tc>
        <w:tc>
          <w:tcPr>
            <w:tcW w:w="2163" w:type="dxa"/>
          </w:tcPr>
          <w:p w14:paraId="74DFF4DD" w14:textId="77777777" w:rsidR="001A5676" w:rsidRPr="001A5676" w:rsidRDefault="001A5676" w:rsidP="001A5676">
            <w:pPr>
              <w:pStyle w:val="Body"/>
              <w:spacing w:after="0"/>
              <w:rPr>
                <w:rFonts w:ascii="Arial" w:hAnsi="Arial" w:cs="Arial"/>
              </w:rPr>
            </w:pPr>
            <w:r w:rsidRPr="001A5676">
              <w:rPr>
                <w:rFonts w:ascii="Arial" w:hAnsi="Arial" w:cs="Arial"/>
              </w:rPr>
              <w:t>7,5 × 10-4</w:t>
            </w:r>
          </w:p>
        </w:tc>
      </w:tr>
    </w:tbl>
    <w:p w14:paraId="7624970F" w14:textId="77777777" w:rsidR="001A5676" w:rsidRDefault="001A5676" w:rsidP="001A5676">
      <w:pPr>
        <w:pStyle w:val="Body"/>
        <w:spacing w:after="0"/>
        <w:rPr>
          <w:rFonts w:ascii="Arial" w:hAnsi="Arial" w:cs="Arial"/>
          <w:i/>
          <w:iCs/>
        </w:rPr>
      </w:pPr>
      <w:r w:rsidRPr="00EE7F92">
        <w:rPr>
          <w:rFonts w:ascii="Arial" w:hAnsi="Arial" w:cs="Arial"/>
          <w:i/>
          <w:iCs/>
        </w:rPr>
        <w:lastRenderedPageBreak/>
        <w:t xml:space="preserve">Dec </w:t>
      </w:r>
      <w:proofErr w:type="gramStart"/>
      <w:r w:rsidRPr="00EE7F92">
        <w:rPr>
          <w:rFonts w:ascii="Arial" w:hAnsi="Arial" w:cs="Arial"/>
          <w:i/>
          <w:iCs/>
        </w:rPr>
        <w:t>ED :</w:t>
      </w:r>
      <w:proofErr w:type="gramEnd"/>
      <w:r w:rsidRPr="00EE7F92">
        <w:rPr>
          <w:rFonts w:ascii="Arial" w:hAnsi="Arial" w:cs="Arial"/>
          <w:i/>
          <w:iCs/>
        </w:rPr>
        <w:t xml:space="preserve"> Aqueous decoction; Mac ED : Aqueous maceration; ED+AC : Hydroethanolic maceration; Vit C : Vitamin C; BHT : Butyl Hydroxy Toluene.</w:t>
      </w:r>
    </w:p>
    <w:p w14:paraId="418D46D0" w14:textId="77777777" w:rsidR="00EE7F92" w:rsidRPr="00EE7F92" w:rsidRDefault="00EE7F92" w:rsidP="001A5676">
      <w:pPr>
        <w:pStyle w:val="Body"/>
        <w:spacing w:after="0"/>
        <w:rPr>
          <w:rFonts w:ascii="Arial" w:hAnsi="Arial" w:cs="Arial"/>
          <w:i/>
          <w:iCs/>
        </w:rPr>
      </w:pPr>
    </w:p>
    <w:p w14:paraId="74C41494" w14:textId="77777777" w:rsidR="001A5676" w:rsidRDefault="001A5676" w:rsidP="001A5676">
      <w:pPr>
        <w:pStyle w:val="Body"/>
        <w:spacing w:after="0"/>
        <w:rPr>
          <w:rFonts w:ascii="Arial" w:hAnsi="Arial" w:cs="Arial"/>
        </w:rPr>
      </w:pPr>
      <w:r w:rsidRPr="001A5676">
        <w:rPr>
          <w:rFonts w:ascii="Arial" w:hAnsi="Arial" w:cs="Arial"/>
        </w:rPr>
        <w:t>According to Table 5, the hydroethanolic extract with an IC50 &lt; 20 µg/ml exhibits strong antioxidant activity. Aqueous extracts with IC50 &lt; 20 µg/ml, on the other hand, have moderate activity. The hydroethanolic extract demonstrates the best inhibition with an IC50 of 18.97 µg/ml compared to aqueous extracts including aqueous decoction (IC50 of 22.48) and aqueous maceration (IC50 of 21.25) respectively. Its free radical scavenging capacity is 1.18 times greater than that of the extract obtained by aqueous decoction and 1.12 times greater than that of the extract obtained by aqueous maceration. The hydroethanolic extract exhibits superior free radical scavenging activity compared to aqueous extracts. Since vitamin C and BHT are reference compounds, the free radical scavenging capacity of the hydroethanolic extract is closer to that of BHT.</w:t>
      </w:r>
    </w:p>
    <w:p w14:paraId="66A90AAF" w14:textId="77777777" w:rsidR="00EE7F92" w:rsidRPr="001A5676" w:rsidRDefault="00EE7F92" w:rsidP="001A5676">
      <w:pPr>
        <w:pStyle w:val="Body"/>
        <w:spacing w:after="0"/>
        <w:rPr>
          <w:rFonts w:ascii="Arial" w:hAnsi="Arial" w:cs="Arial"/>
        </w:rPr>
      </w:pPr>
    </w:p>
    <w:p w14:paraId="215674F8" w14:textId="4B7BDEEE" w:rsidR="001A5676" w:rsidRPr="00EE7F92" w:rsidRDefault="00EE7F92" w:rsidP="001A5676">
      <w:pPr>
        <w:pStyle w:val="Body"/>
        <w:spacing w:after="0"/>
        <w:rPr>
          <w:rFonts w:ascii="Arial" w:hAnsi="Arial" w:cs="Arial"/>
          <w:b/>
          <w:bCs/>
        </w:rPr>
      </w:pPr>
      <w:bookmarkStart w:id="46" w:name="_Toc137924744"/>
      <w:r>
        <w:rPr>
          <w:rFonts w:ascii="Arial" w:hAnsi="Arial" w:cs="Arial"/>
          <w:b/>
          <w:bCs/>
        </w:rPr>
        <w:t>3</w:t>
      </w:r>
      <w:r w:rsidR="001A5676" w:rsidRPr="00EE7F92">
        <w:rPr>
          <w:rFonts w:ascii="Arial" w:hAnsi="Arial" w:cs="Arial"/>
          <w:b/>
          <w:bCs/>
        </w:rPr>
        <w:t>.3.2. DPPH (1,1-diphenyl-2-picrylhydrazyl) radical trapping</w:t>
      </w:r>
      <w:bookmarkEnd w:id="46"/>
    </w:p>
    <w:p w14:paraId="0CD203AC" w14:textId="77777777" w:rsidR="001A5676" w:rsidRPr="001A5676" w:rsidRDefault="001A5676" w:rsidP="001A5676">
      <w:pPr>
        <w:pStyle w:val="Body"/>
        <w:spacing w:after="0"/>
        <w:rPr>
          <w:rFonts w:ascii="Arial" w:hAnsi="Arial" w:cs="Arial"/>
        </w:rPr>
      </w:pPr>
      <w:r w:rsidRPr="001A5676">
        <w:rPr>
          <w:rFonts w:ascii="Arial" w:hAnsi="Arial" w:cs="Arial"/>
        </w:rPr>
        <w:t>The free radical scavenging activity was determined by evaluating the percentages of DPPH scavenging as a function of different extract concentrations and references (vitamin C, BHT). The results obtained are shown in the figure below:</w:t>
      </w:r>
    </w:p>
    <w:p w14:paraId="6FE38C16" w14:textId="77777777" w:rsidR="001A5676" w:rsidRPr="001A5676" w:rsidRDefault="001A5676" w:rsidP="001A5676">
      <w:pPr>
        <w:pStyle w:val="Body"/>
        <w:spacing w:after="0"/>
        <w:rPr>
          <w:rFonts w:ascii="Arial" w:hAnsi="Arial" w:cs="Arial"/>
        </w:rPr>
      </w:pPr>
      <w:r w:rsidRPr="001A5676">
        <w:rPr>
          <w:rFonts w:ascii="Arial" w:hAnsi="Arial" w:cs="Arial"/>
          <w:noProof/>
        </w:rPr>
        <w:drawing>
          <wp:inline distT="0" distB="0" distL="0" distR="0" wp14:anchorId="29AED68E" wp14:editId="3369D037">
            <wp:extent cx="5280454" cy="2767330"/>
            <wp:effectExtent l="0" t="0" r="15875" b="13970"/>
            <wp:docPr id="31" name="Graphique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7822773" w14:textId="1A29183A" w:rsidR="001A5676" w:rsidRPr="00EE7F92" w:rsidRDefault="001A5676" w:rsidP="001A5676">
      <w:pPr>
        <w:pStyle w:val="Body"/>
        <w:spacing w:after="0"/>
        <w:rPr>
          <w:rFonts w:ascii="Arial" w:hAnsi="Arial" w:cs="Arial"/>
          <w:b/>
          <w:bCs/>
          <w:i/>
          <w:iCs/>
        </w:rPr>
      </w:pPr>
      <w:bookmarkStart w:id="47" w:name="_Toc138056794"/>
      <w:r w:rsidRPr="00EE7F92">
        <w:rPr>
          <w:rFonts w:ascii="Arial" w:hAnsi="Arial" w:cs="Arial"/>
          <w:b/>
          <w:bCs/>
          <w:i/>
          <w:iCs/>
        </w:rPr>
        <w:t xml:space="preserve">Figure 2: Variation in the percentage of DPPH scavenging as a function of the concentration of </w:t>
      </w:r>
      <w:r w:rsidR="00CA16D7" w:rsidRPr="00CA16D7">
        <w:rPr>
          <w:rFonts w:ascii="Arial" w:hAnsi="Arial" w:cs="Arial"/>
          <w:b/>
          <w:bCs/>
          <w:i/>
          <w:iCs/>
        </w:rPr>
        <w:t xml:space="preserve">Garcinia </w:t>
      </w:r>
      <w:proofErr w:type="spellStart"/>
      <w:proofErr w:type="gramStart"/>
      <w:r w:rsidR="00CA16D7" w:rsidRPr="00CA16D7">
        <w:rPr>
          <w:rFonts w:ascii="Arial" w:hAnsi="Arial" w:cs="Arial"/>
          <w:b/>
          <w:bCs/>
          <w:i/>
          <w:iCs/>
        </w:rPr>
        <w:t>mangostana</w:t>
      </w:r>
      <w:proofErr w:type="spellEnd"/>
      <w:r w:rsidR="00CA16D7" w:rsidRPr="00CA16D7">
        <w:rPr>
          <w:rFonts w:ascii="Arial" w:hAnsi="Arial" w:cs="Arial"/>
          <w:b/>
          <w:bCs/>
          <w:i/>
          <w:iCs/>
        </w:rPr>
        <w:t xml:space="preserve"> </w:t>
      </w:r>
      <w:r w:rsidRPr="00EE7F92">
        <w:rPr>
          <w:rFonts w:ascii="Arial" w:hAnsi="Arial" w:cs="Arial"/>
          <w:b/>
          <w:bCs/>
          <w:i/>
          <w:iCs/>
        </w:rPr>
        <w:t xml:space="preserve"> L.</w:t>
      </w:r>
      <w:proofErr w:type="gramEnd"/>
      <w:r w:rsidRPr="00EE7F92">
        <w:rPr>
          <w:rFonts w:ascii="Arial" w:hAnsi="Arial" w:cs="Arial"/>
          <w:b/>
          <w:bCs/>
          <w:i/>
          <w:iCs/>
        </w:rPr>
        <w:t xml:space="preserve"> extracts , Vit C and BHT</w:t>
      </w:r>
      <w:bookmarkEnd w:id="47"/>
    </w:p>
    <w:p w14:paraId="27301935" w14:textId="77777777" w:rsidR="001A5676" w:rsidRPr="00EE7F92" w:rsidRDefault="001A5676" w:rsidP="001A5676">
      <w:pPr>
        <w:pStyle w:val="Body"/>
        <w:spacing w:after="0"/>
        <w:rPr>
          <w:rFonts w:ascii="Arial" w:hAnsi="Arial" w:cs="Arial"/>
          <w:i/>
          <w:iCs/>
        </w:rPr>
      </w:pPr>
      <w:r w:rsidRPr="00EE7F92">
        <w:rPr>
          <w:rFonts w:ascii="Arial" w:hAnsi="Arial" w:cs="Arial"/>
          <w:i/>
          <w:iCs/>
        </w:rPr>
        <w:t xml:space="preserve">Dec </w:t>
      </w:r>
      <w:proofErr w:type="gramStart"/>
      <w:r w:rsidRPr="00EE7F92">
        <w:rPr>
          <w:rFonts w:ascii="Arial" w:hAnsi="Arial" w:cs="Arial"/>
          <w:i/>
          <w:iCs/>
        </w:rPr>
        <w:t>ED :</w:t>
      </w:r>
      <w:proofErr w:type="gramEnd"/>
      <w:r w:rsidRPr="00EE7F92">
        <w:rPr>
          <w:rFonts w:ascii="Arial" w:hAnsi="Arial" w:cs="Arial"/>
          <w:i/>
          <w:iCs/>
        </w:rPr>
        <w:t xml:space="preserve"> Aqueous decoction; Mac ED : Aqueous maceration; ED+AC : Hydroethanolic maceration; Vit C : Vitamin C; BHT : Butyl Hydroxy Toluene.</w:t>
      </w:r>
    </w:p>
    <w:p w14:paraId="7B43C318" w14:textId="77777777" w:rsidR="001A5676" w:rsidRDefault="001A5676" w:rsidP="001A5676">
      <w:pPr>
        <w:pStyle w:val="Body"/>
        <w:spacing w:after="0"/>
        <w:rPr>
          <w:rFonts w:ascii="Arial" w:hAnsi="Arial" w:cs="Arial"/>
        </w:rPr>
      </w:pPr>
      <w:r w:rsidRPr="001A5676">
        <w:rPr>
          <w:rFonts w:ascii="Arial" w:hAnsi="Arial" w:cs="Arial"/>
        </w:rPr>
        <w:t>Figure 2 shows that the trapping percentages increase with extract concentrations. These inhibition percentages yielded the IC50, EC50, and PA values shown in Table 6.</w:t>
      </w:r>
    </w:p>
    <w:p w14:paraId="167F93B7" w14:textId="77777777" w:rsidR="00EE7F92" w:rsidRPr="001A5676" w:rsidRDefault="00EE7F92" w:rsidP="001A5676">
      <w:pPr>
        <w:pStyle w:val="Body"/>
        <w:spacing w:after="0"/>
        <w:rPr>
          <w:rFonts w:ascii="Arial" w:hAnsi="Arial" w:cs="Arial"/>
        </w:rPr>
      </w:pPr>
    </w:p>
    <w:p w14:paraId="3007241B" w14:textId="77777777" w:rsidR="001A5676" w:rsidRPr="00EE7F92" w:rsidRDefault="001A5676" w:rsidP="001A5676">
      <w:pPr>
        <w:pStyle w:val="Body"/>
        <w:spacing w:after="0"/>
        <w:rPr>
          <w:rFonts w:ascii="Arial" w:hAnsi="Arial" w:cs="Arial"/>
          <w:b/>
          <w:bCs/>
          <w:i/>
          <w:iCs/>
        </w:rPr>
      </w:pPr>
      <w:bookmarkStart w:id="48" w:name="_Toc137921297"/>
      <w:bookmarkStart w:id="49" w:name="_Toc137923801"/>
      <w:r w:rsidRPr="00EE7F92">
        <w:rPr>
          <w:rFonts w:ascii="Arial" w:hAnsi="Arial" w:cs="Arial"/>
          <w:b/>
          <w:bCs/>
          <w:i/>
          <w:iCs/>
        </w:rPr>
        <w:t>Table 6: IC50, EC50 and PA values obtained by the DPPH method</w:t>
      </w:r>
      <w:bookmarkEnd w:id="48"/>
      <w:bookmarkEnd w:id="49"/>
    </w:p>
    <w:tbl>
      <w:tblPr>
        <w:tblW w:w="0" w:type="auto"/>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2045"/>
        <w:gridCol w:w="2035"/>
        <w:gridCol w:w="2064"/>
        <w:gridCol w:w="2064"/>
      </w:tblGrid>
      <w:tr w:rsidR="001A5676" w:rsidRPr="001A5676" w14:paraId="22FDA869" w14:textId="77777777" w:rsidTr="004A2F47">
        <w:trPr>
          <w:trHeight w:val="308"/>
        </w:trPr>
        <w:tc>
          <w:tcPr>
            <w:tcW w:w="2471" w:type="dxa"/>
            <w:tcBorders>
              <w:top w:val="single" w:sz="4" w:space="0" w:color="auto"/>
              <w:bottom w:val="single" w:sz="4" w:space="0" w:color="auto"/>
            </w:tcBorders>
            <w:shd w:val="clear" w:color="auto" w:fill="FFFFFF" w:themeFill="background1"/>
          </w:tcPr>
          <w:p w14:paraId="1D00FD8C" w14:textId="77777777" w:rsidR="001A5676" w:rsidRPr="001A5676" w:rsidRDefault="001A5676" w:rsidP="001A5676">
            <w:pPr>
              <w:pStyle w:val="Body"/>
              <w:spacing w:after="0"/>
              <w:rPr>
                <w:rFonts w:ascii="Arial" w:hAnsi="Arial" w:cs="Arial"/>
              </w:rPr>
            </w:pPr>
            <w:r w:rsidRPr="001A5676">
              <w:rPr>
                <w:rFonts w:ascii="Arial" w:hAnsi="Arial" w:cs="Arial"/>
              </w:rPr>
              <w:t>Extract</w:t>
            </w:r>
          </w:p>
        </w:tc>
        <w:tc>
          <w:tcPr>
            <w:tcW w:w="2472" w:type="dxa"/>
            <w:tcBorders>
              <w:top w:val="single" w:sz="4" w:space="0" w:color="auto"/>
              <w:bottom w:val="single" w:sz="4" w:space="0" w:color="auto"/>
            </w:tcBorders>
            <w:shd w:val="clear" w:color="auto" w:fill="FFFFFF" w:themeFill="background1"/>
          </w:tcPr>
          <w:p w14:paraId="4A0BA040" w14:textId="77777777" w:rsidR="001A5676" w:rsidRPr="001A5676" w:rsidRDefault="001A5676" w:rsidP="001A5676">
            <w:pPr>
              <w:pStyle w:val="Body"/>
              <w:spacing w:after="0"/>
              <w:rPr>
                <w:rFonts w:ascii="Arial" w:hAnsi="Arial" w:cs="Arial"/>
              </w:rPr>
            </w:pPr>
            <w:r w:rsidRPr="001A5676">
              <w:rPr>
                <w:rFonts w:ascii="Arial" w:hAnsi="Arial" w:cs="Arial"/>
              </w:rPr>
              <w:t>IC 50 (µg/ml)</w:t>
            </w:r>
          </w:p>
        </w:tc>
        <w:tc>
          <w:tcPr>
            <w:tcW w:w="2472" w:type="dxa"/>
            <w:tcBorders>
              <w:top w:val="single" w:sz="4" w:space="0" w:color="auto"/>
              <w:bottom w:val="single" w:sz="4" w:space="0" w:color="auto"/>
            </w:tcBorders>
            <w:shd w:val="clear" w:color="auto" w:fill="FFFFFF" w:themeFill="background1"/>
          </w:tcPr>
          <w:p w14:paraId="3B0FA086" w14:textId="77777777" w:rsidR="001A5676" w:rsidRPr="001A5676" w:rsidRDefault="001A5676" w:rsidP="001A5676">
            <w:pPr>
              <w:pStyle w:val="Body"/>
              <w:spacing w:after="0"/>
              <w:rPr>
                <w:rFonts w:ascii="Arial" w:hAnsi="Arial" w:cs="Arial"/>
              </w:rPr>
            </w:pPr>
            <w:r w:rsidRPr="001A5676">
              <w:rPr>
                <w:rFonts w:ascii="Arial" w:hAnsi="Arial" w:cs="Arial"/>
              </w:rPr>
              <w:t>EC 50 (µg/mol)</w:t>
            </w:r>
          </w:p>
        </w:tc>
        <w:tc>
          <w:tcPr>
            <w:tcW w:w="2472" w:type="dxa"/>
            <w:tcBorders>
              <w:top w:val="single" w:sz="4" w:space="0" w:color="auto"/>
              <w:bottom w:val="single" w:sz="4" w:space="0" w:color="auto"/>
            </w:tcBorders>
            <w:shd w:val="clear" w:color="auto" w:fill="FFFFFF" w:themeFill="background1"/>
          </w:tcPr>
          <w:p w14:paraId="618E1662" w14:textId="77777777" w:rsidR="001A5676" w:rsidRPr="001A5676" w:rsidRDefault="001A5676" w:rsidP="001A5676">
            <w:pPr>
              <w:pStyle w:val="Body"/>
              <w:spacing w:after="0"/>
              <w:rPr>
                <w:rFonts w:ascii="Arial" w:hAnsi="Arial" w:cs="Arial"/>
              </w:rPr>
            </w:pPr>
            <w:r w:rsidRPr="001A5676">
              <w:rPr>
                <w:rFonts w:ascii="Arial" w:hAnsi="Arial" w:cs="Arial"/>
              </w:rPr>
              <w:t>PA (mol/µg)</w:t>
            </w:r>
          </w:p>
        </w:tc>
      </w:tr>
      <w:tr w:rsidR="001A5676" w:rsidRPr="001A5676" w14:paraId="0F60BD59" w14:textId="77777777" w:rsidTr="004A2F47">
        <w:tc>
          <w:tcPr>
            <w:tcW w:w="2471" w:type="dxa"/>
            <w:tcBorders>
              <w:top w:val="single" w:sz="4" w:space="0" w:color="auto"/>
            </w:tcBorders>
            <w:shd w:val="clear" w:color="auto" w:fill="FFFFFF" w:themeFill="background1"/>
          </w:tcPr>
          <w:p w14:paraId="783292D1" w14:textId="77777777" w:rsidR="001A5676" w:rsidRPr="001A5676" w:rsidRDefault="001A5676" w:rsidP="001A5676">
            <w:pPr>
              <w:pStyle w:val="Body"/>
              <w:spacing w:after="0"/>
              <w:rPr>
                <w:rFonts w:ascii="Arial" w:hAnsi="Arial" w:cs="Arial"/>
              </w:rPr>
            </w:pPr>
            <w:r w:rsidRPr="001A5676">
              <w:rPr>
                <w:rFonts w:ascii="Arial" w:hAnsi="Arial" w:cs="Arial"/>
              </w:rPr>
              <w:t>DAq</w:t>
            </w:r>
          </w:p>
        </w:tc>
        <w:tc>
          <w:tcPr>
            <w:tcW w:w="2472" w:type="dxa"/>
            <w:tcBorders>
              <w:top w:val="single" w:sz="4" w:space="0" w:color="auto"/>
            </w:tcBorders>
            <w:shd w:val="clear" w:color="auto" w:fill="FFFFFF" w:themeFill="background1"/>
          </w:tcPr>
          <w:p w14:paraId="4737517D" w14:textId="77777777" w:rsidR="001A5676" w:rsidRPr="001A5676" w:rsidRDefault="001A5676" w:rsidP="001A5676">
            <w:pPr>
              <w:pStyle w:val="Body"/>
              <w:spacing w:after="0"/>
              <w:rPr>
                <w:rFonts w:ascii="Arial" w:hAnsi="Arial" w:cs="Arial"/>
              </w:rPr>
            </w:pPr>
            <w:r w:rsidRPr="001A5676">
              <w:rPr>
                <w:rFonts w:ascii="Arial" w:hAnsi="Arial" w:cs="Arial"/>
              </w:rPr>
              <w:t>17.12</w:t>
            </w:r>
          </w:p>
        </w:tc>
        <w:tc>
          <w:tcPr>
            <w:tcW w:w="2472" w:type="dxa"/>
            <w:tcBorders>
              <w:top w:val="single" w:sz="4" w:space="0" w:color="auto"/>
            </w:tcBorders>
            <w:shd w:val="clear" w:color="auto" w:fill="FFFFFF" w:themeFill="background1"/>
          </w:tcPr>
          <w:p w14:paraId="303E021A" w14:textId="77777777" w:rsidR="001A5676" w:rsidRPr="001A5676" w:rsidRDefault="001A5676" w:rsidP="001A5676">
            <w:pPr>
              <w:pStyle w:val="Body"/>
              <w:spacing w:after="0"/>
              <w:rPr>
                <w:rFonts w:ascii="Arial" w:hAnsi="Arial" w:cs="Arial"/>
              </w:rPr>
            </w:pPr>
            <w:r w:rsidRPr="001A5676">
              <w:rPr>
                <w:rFonts w:ascii="Arial" w:hAnsi="Arial" w:cs="Arial"/>
              </w:rPr>
              <w:t>488</w:t>
            </w:r>
          </w:p>
        </w:tc>
        <w:tc>
          <w:tcPr>
            <w:tcW w:w="2472" w:type="dxa"/>
            <w:tcBorders>
              <w:top w:val="single" w:sz="4" w:space="0" w:color="auto"/>
            </w:tcBorders>
            <w:shd w:val="clear" w:color="auto" w:fill="FFFFFF" w:themeFill="background1"/>
          </w:tcPr>
          <w:p w14:paraId="55E3632E" w14:textId="77777777" w:rsidR="001A5676" w:rsidRPr="001A5676" w:rsidRDefault="001A5676" w:rsidP="001A5676">
            <w:pPr>
              <w:pStyle w:val="Body"/>
              <w:spacing w:after="0"/>
              <w:rPr>
                <w:rFonts w:ascii="Arial" w:hAnsi="Arial" w:cs="Arial"/>
              </w:rPr>
            </w:pPr>
            <w:r w:rsidRPr="001A5676">
              <w:rPr>
                <w:rFonts w:ascii="Arial" w:hAnsi="Arial" w:cs="Arial"/>
              </w:rPr>
              <w:t>2.3 × 10</w:t>
            </w:r>
            <w:r w:rsidRPr="001A5676">
              <w:rPr>
                <w:rFonts w:ascii="Cambria Math" w:hAnsi="Cambria Math" w:cs="Cambria Math"/>
              </w:rPr>
              <w:t>⁻</w:t>
            </w:r>
            <w:r w:rsidRPr="001A5676">
              <w:rPr>
                <w:rFonts w:ascii="Arial" w:hAnsi="Arial" w:cs="Arial"/>
              </w:rPr>
              <w:t>³</w:t>
            </w:r>
          </w:p>
        </w:tc>
      </w:tr>
      <w:tr w:rsidR="001A5676" w:rsidRPr="001A5676" w14:paraId="3B98C2CF" w14:textId="77777777" w:rsidTr="004A2F47">
        <w:tc>
          <w:tcPr>
            <w:tcW w:w="2471" w:type="dxa"/>
            <w:shd w:val="clear" w:color="auto" w:fill="FFFFFF" w:themeFill="background1"/>
          </w:tcPr>
          <w:p w14:paraId="0D4CA673" w14:textId="77777777" w:rsidR="001A5676" w:rsidRPr="001A5676" w:rsidRDefault="001A5676" w:rsidP="001A5676">
            <w:pPr>
              <w:pStyle w:val="Body"/>
              <w:spacing w:after="0"/>
              <w:rPr>
                <w:rFonts w:ascii="Arial" w:hAnsi="Arial" w:cs="Arial"/>
              </w:rPr>
            </w:pPr>
            <w:proofErr w:type="spellStart"/>
            <w:r w:rsidRPr="001A5676">
              <w:rPr>
                <w:rFonts w:ascii="Arial" w:hAnsi="Arial" w:cs="Arial"/>
              </w:rPr>
              <w:t>MAq</w:t>
            </w:r>
            <w:proofErr w:type="spellEnd"/>
          </w:p>
        </w:tc>
        <w:tc>
          <w:tcPr>
            <w:tcW w:w="2472" w:type="dxa"/>
            <w:shd w:val="clear" w:color="auto" w:fill="FFFFFF" w:themeFill="background1"/>
          </w:tcPr>
          <w:p w14:paraId="509A3636" w14:textId="77777777" w:rsidR="001A5676" w:rsidRPr="001A5676" w:rsidRDefault="001A5676" w:rsidP="001A5676">
            <w:pPr>
              <w:pStyle w:val="Body"/>
              <w:spacing w:after="0"/>
              <w:rPr>
                <w:rFonts w:ascii="Arial" w:hAnsi="Arial" w:cs="Arial"/>
              </w:rPr>
            </w:pPr>
            <w:r w:rsidRPr="001A5676">
              <w:rPr>
                <w:rFonts w:ascii="Arial" w:hAnsi="Arial" w:cs="Arial"/>
              </w:rPr>
              <w:t>19.97</w:t>
            </w:r>
          </w:p>
        </w:tc>
        <w:tc>
          <w:tcPr>
            <w:tcW w:w="2472" w:type="dxa"/>
            <w:shd w:val="clear" w:color="auto" w:fill="FFFFFF" w:themeFill="background1"/>
          </w:tcPr>
          <w:p w14:paraId="471E8471" w14:textId="77777777" w:rsidR="001A5676" w:rsidRPr="001A5676" w:rsidRDefault="001A5676" w:rsidP="001A5676">
            <w:pPr>
              <w:pStyle w:val="Body"/>
              <w:spacing w:after="0"/>
              <w:rPr>
                <w:rFonts w:ascii="Arial" w:hAnsi="Arial" w:cs="Arial"/>
              </w:rPr>
            </w:pPr>
            <w:r w:rsidRPr="001A5676">
              <w:rPr>
                <w:rFonts w:ascii="Arial" w:hAnsi="Arial" w:cs="Arial"/>
              </w:rPr>
              <w:t>499.25</w:t>
            </w:r>
          </w:p>
        </w:tc>
        <w:tc>
          <w:tcPr>
            <w:tcW w:w="2472" w:type="dxa"/>
            <w:shd w:val="clear" w:color="auto" w:fill="FFFFFF" w:themeFill="background1"/>
          </w:tcPr>
          <w:p w14:paraId="78CBC02F" w14:textId="77777777" w:rsidR="001A5676" w:rsidRPr="001A5676" w:rsidRDefault="001A5676" w:rsidP="001A5676">
            <w:pPr>
              <w:pStyle w:val="Body"/>
              <w:spacing w:after="0"/>
              <w:rPr>
                <w:rFonts w:ascii="Arial" w:hAnsi="Arial" w:cs="Arial"/>
              </w:rPr>
            </w:pPr>
            <w:r w:rsidRPr="001A5676">
              <w:rPr>
                <w:rFonts w:ascii="Arial" w:hAnsi="Arial" w:cs="Arial"/>
              </w:rPr>
              <w:t>2 × 10</w:t>
            </w:r>
            <w:r w:rsidRPr="001A5676">
              <w:rPr>
                <w:rFonts w:ascii="Cambria Math" w:hAnsi="Cambria Math" w:cs="Cambria Math"/>
              </w:rPr>
              <w:t>⁻</w:t>
            </w:r>
            <w:r w:rsidRPr="001A5676">
              <w:rPr>
                <w:rFonts w:ascii="Arial" w:hAnsi="Arial" w:cs="Arial"/>
              </w:rPr>
              <w:t>³</w:t>
            </w:r>
          </w:p>
        </w:tc>
      </w:tr>
      <w:tr w:rsidR="001A5676" w:rsidRPr="001A5676" w14:paraId="650543D3" w14:textId="77777777" w:rsidTr="004A2F47">
        <w:tc>
          <w:tcPr>
            <w:tcW w:w="2471" w:type="dxa"/>
            <w:shd w:val="clear" w:color="auto" w:fill="FFFFFF" w:themeFill="background1"/>
          </w:tcPr>
          <w:p w14:paraId="6E76633A" w14:textId="77777777" w:rsidR="001A5676" w:rsidRPr="001A5676" w:rsidRDefault="001A5676" w:rsidP="001A5676">
            <w:pPr>
              <w:pStyle w:val="Body"/>
              <w:spacing w:after="0"/>
              <w:rPr>
                <w:rFonts w:ascii="Arial" w:hAnsi="Arial" w:cs="Arial"/>
              </w:rPr>
            </w:pPr>
            <w:proofErr w:type="spellStart"/>
            <w:r w:rsidRPr="001A5676">
              <w:rPr>
                <w:rFonts w:ascii="Arial" w:hAnsi="Arial" w:cs="Arial"/>
              </w:rPr>
              <w:t>MHe</w:t>
            </w:r>
            <w:proofErr w:type="spellEnd"/>
          </w:p>
        </w:tc>
        <w:tc>
          <w:tcPr>
            <w:tcW w:w="2472" w:type="dxa"/>
            <w:shd w:val="clear" w:color="auto" w:fill="FFFFFF" w:themeFill="background1"/>
          </w:tcPr>
          <w:p w14:paraId="4EC994B7" w14:textId="77777777" w:rsidR="001A5676" w:rsidRPr="001A5676" w:rsidRDefault="001A5676" w:rsidP="001A5676">
            <w:pPr>
              <w:pStyle w:val="Body"/>
              <w:spacing w:after="0"/>
              <w:rPr>
                <w:rFonts w:ascii="Arial" w:hAnsi="Arial" w:cs="Arial"/>
              </w:rPr>
            </w:pPr>
            <w:r w:rsidRPr="001A5676">
              <w:rPr>
                <w:rFonts w:ascii="Arial" w:hAnsi="Arial" w:cs="Arial"/>
              </w:rPr>
              <w:t>15.71</w:t>
            </w:r>
          </w:p>
        </w:tc>
        <w:tc>
          <w:tcPr>
            <w:tcW w:w="2472" w:type="dxa"/>
            <w:shd w:val="clear" w:color="auto" w:fill="FFFFFF" w:themeFill="background1"/>
          </w:tcPr>
          <w:p w14:paraId="265B1902" w14:textId="77777777" w:rsidR="001A5676" w:rsidRPr="001A5676" w:rsidRDefault="001A5676" w:rsidP="001A5676">
            <w:pPr>
              <w:pStyle w:val="Body"/>
              <w:spacing w:after="0"/>
              <w:rPr>
                <w:rFonts w:ascii="Arial" w:hAnsi="Arial" w:cs="Arial"/>
              </w:rPr>
            </w:pPr>
            <w:r w:rsidRPr="001A5676">
              <w:rPr>
                <w:rFonts w:ascii="Arial" w:hAnsi="Arial" w:cs="Arial"/>
              </w:rPr>
              <w:t>392.75</w:t>
            </w:r>
          </w:p>
        </w:tc>
        <w:tc>
          <w:tcPr>
            <w:tcW w:w="2472" w:type="dxa"/>
            <w:shd w:val="clear" w:color="auto" w:fill="FFFFFF" w:themeFill="background1"/>
          </w:tcPr>
          <w:p w14:paraId="0FDB241E" w14:textId="77777777" w:rsidR="001A5676" w:rsidRPr="001A5676" w:rsidRDefault="001A5676" w:rsidP="001A5676">
            <w:pPr>
              <w:pStyle w:val="Body"/>
              <w:spacing w:after="0"/>
              <w:rPr>
                <w:rFonts w:ascii="Arial" w:hAnsi="Arial" w:cs="Arial"/>
              </w:rPr>
            </w:pPr>
            <w:r w:rsidRPr="001A5676">
              <w:rPr>
                <w:rFonts w:ascii="Arial" w:hAnsi="Arial" w:cs="Arial"/>
              </w:rPr>
              <w:t>2.5 × 10</w:t>
            </w:r>
            <w:r w:rsidRPr="001A5676">
              <w:rPr>
                <w:rFonts w:ascii="Cambria Math" w:hAnsi="Cambria Math" w:cs="Cambria Math"/>
              </w:rPr>
              <w:t>⁻</w:t>
            </w:r>
            <w:r w:rsidRPr="001A5676">
              <w:rPr>
                <w:rFonts w:ascii="Arial" w:hAnsi="Arial" w:cs="Arial"/>
              </w:rPr>
              <w:t>³</w:t>
            </w:r>
          </w:p>
        </w:tc>
      </w:tr>
      <w:tr w:rsidR="001A5676" w:rsidRPr="001A5676" w14:paraId="5A97B922" w14:textId="77777777" w:rsidTr="004A2F47">
        <w:tc>
          <w:tcPr>
            <w:tcW w:w="2471" w:type="dxa"/>
            <w:shd w:val="clear" w:color="auto" w:fill="FFFFFF" w:themeFill="background1"/>
          </w:tcPr>
          <w:p w14:paraId="1607E6F2" w14:textId="77777777" w:rsidR="001A5676" w:rsidRPr="001A5676" w:rsidRDefault="001A5676" w:rsidP="001A5676">
            <w:pPr>
              <w:pStyle w:val="Body"/>
              <w:spacing w:after="0"/>
              <w:rPr>
                <w:rFonts w:ascii="Arial" w:hAnsi="Arial" w:cs="Arial"/>
              </w:rPr>
            </w:pPr>
            <w:r w:rsidRPr="001A5676">
              <w:rPr>
                <w:rFonts w:ascii="Arial" w:hAnsi="Arial" w:cs="Arial"/>
              </w:rPr>
              <w:t>BHT</w:t>
            </w:r>
          </w:p>
        </w:tc>
        <w:tc>
          <w:tcPr>
            <w:tcW w:w="2472" w:type="dxa"/>
            <w:shd w:val="clear" w:color="auto" w:fill="FFFFFF" w:themeFill="background1"/>
          </w:tcPr>
          <w:p w14:paraId="48339DF7" w14:textId="77777777" w:rsidR="001A5676" w:rsidRPr="001A5676" w:rsidRDefault="001A5676" w:rsidP="001A5676">
            <w:pPr>
              <w:pStyle w:val="Body"/>
              <w:spacing w:after="0"/>
              <w:rPr>
                <w:rFonts w:ascii="Arial" w:hAnsi="Arial" w:cs="Arial"/>
              </w:rPr>
            </w:pPr>
            <w:r w:rsidRPr="001A5676">
              <w:rPr>
                <w:rFonts w:ascii="Arial" w:hAnsi="Arial" w:cs="Arial"/>
              </w:rPr>
              <w:t>17.91</w:t>
            </w:r>
          </w:p>
        </w:tc>
        <w:tc>
          <w:tcPr>
            <w:tcW w:w="2472" w:type="dxa"/>
            <w:shd w:val="clear" w:color="auto" w:fill="FFFFFF" w:themeFill="background1"/>
          </w:tcPr>
          <w:p w14:paraId="7F3FF494" w14:textId="77777777" w:rsidR="001A5676" w:rsidRPr="001A5676" w:rsidRDefault="001A5676" w:rsidP="001A5676">
            <w:pPr>
              <w:pStyle w:val="Body"/>
              <w:spacing w:after="0"/>
              <w:rPr>
                <w:rFonts w:ascii="Arial" w:hAnsi="Arial" w:cs="Arial"/>
              </w:rPr>
            </w:pPr>
            <w:r w:rsidRPr="001A5676">
              <w:rPr>
                <w:rFonts w:ascii="Arial" w:hAnsi="Arial" w:cs="Arial"/>
              </w:rPr>
              <w:t>447.75</w:t>
            </w:r>
          </w:p>
        </w:tc>
        <w:tc>
          <w:tcPr>
            <w:tcW w:w="2472" w:type="dxa"/>
            <w:shd w:val="clear" w:color="auto" w:fill="FFFFFF" w:themeFill="background1"/>
          </w:tcPr>
          <w:p w14:paraId="5396C887" w14:textId="77777777" w:rsidR="001A5676" w:rsidRPr="001A5676" w:rsidRDefault="001A5676" w:rsidP="001A5676">
            <w:pPr>
              <w:pStyle w:val="Body"/>
              <w:spacing w:after="0"/>
              <w:rPr>
                <w:rFonts w:ascii="Arial" w:hAnsi="Arial" w:cs="Arial"/>
              </w:rPr>
            </w:pPr>
            <w:r w:rsidRPr="001A5676">
              <w:rPr>
                <w:rFonts w:ascii="Arial" w:hAnsi="Arial" w:cs="Arial"/>
              </w:rPr>
              <w:t>2.2 × 10</w:t>
            </w:r>
            <w:r w:rsidRPr="001A5676">
              <w:rPr>
                <w:rFonts w:ascii="Cambria Math" w:hAnsi="Cambria Math" w:cs="Cambria Math"/>
              </w:rPr>
              <w:t>⁻</w:t>
            </w:r>
            <w:r w:rsidRPr="001A5676">
              <w:rPr>
                <w:rFonts w:ascii="Arial" w:hAnsi="Arial" w:cs="Arial"/>
              </w:rPr>
              <w:t>³</w:t>
            </w:r>
          </w:p>
        </w:tc>
      </w:tr>
      <w:tr w:rsidR="001A5676" w:rsidRPr="001A5676" w14:paraId="4A2EB8E9" w14:textId="77777777" w:rsidTr="004A2F47">
        <w:tc>
          <w:tcPr>
            <w:tcW w:w="2471" w:type="dxa"/>
            <w:shd w:val="clear" w:color="auto" w:fill="FFFFFF" w:themeFill="background1"/>
          </w:tcPr>
          <w:p w14:paraId="09A6423E" w14:textId="77777777" w:rsidR="001A5676" w:rsidRPr="001A5676" w:rsidRDefault="001A5676" w:rsidP="001A5676">
            <w:pPr>
              <w:pStyle w:val="Body"/>
              <w:spacing w:after="0"/>
              <w:rPr>
                <w:rFonts w:ascii="Arial" w:hAnsi="Arial" w:cs="Arial"/>
              </w:rPr>
            </w:pPr>
            <w:r w:rsidRPr="001A5676">
              <w:rPr>
                <w:rFonts w:ascii="Arial" w:hAnsi="Arial" w:cs="Arial"/>
              </w:rPr>
              <w:t>Vitamin C</w:t>
            </w:r>
            <w:r w:rsidRPr="001A5676">
              <w:rPr>
                <w:rFonts w:ascii="Arial" w:hAnsi="Arial" w:cs="Arial"/>
              </w:rPr>
              <w:tab/>
            </w:r>
          </w:p>
        </w:tc>
        <w:tc>
          <w:tcPr>
            <w:tcW w:w="2472" w:type="dxa"/>
            <w:shd w:val="clear" w:color="auto" w:fill="FFFFFF" w:themeFill="background1"/>
          </w:tcPr>
          <w:p w14:paraId="4A4805C9" w14:textId="77777777" w:rsidR="001A5676" w:rsidRPr="001A5676" w:rsidRDefault="001A5676" w:rsidP="001A5676">
            <w:pPr>
              <w:pStyle w:val="Body"/>
              <w:spacing w:after="0"/>
              <w:rPr>
                <w:rFonts w:ascii="Arial" w:hAnsi="Arial" w:cs="Arial"/>
              </w:rPr>
            </w:pPr>
            <w:r w:rsidRPr="001A5676">
              <w:rPr>
                <w:rFonts w:ascii="Arial" w:hAnsi="Arial" w:cs="Arial"/>
              </w:rPr>
              <w:t>2.63</w:t>
            </w:r>
          </w:p>
        </w:tc>
        <w:tc>
          <w:tcPr>
            <w:tcW w:w="2472" w:type="dxa"/>
            <w:shd w:val="clear" w:color="auto" w:fill="FFFFFF" w:themeFill="background1"/>
          </w:tcPr>
          <w:p w14:paraId="4812D1E0" w14:textId="77777777" w:rsidR="001A5676" w:rsidRPr="001A5676" w:rsidRDefault="001A5676" w:rsidP="001A5676">
            <w:pPr>
              <w:pStyle w:val="Body"/>
              <w:spacing w:after="0"/>
              <w:rPr>
                <w:rFonts w:ascii="Arial" w:hAnsi="Arial" w:cs="Arial"/>
              </w:rPr>
            </w:pPr>
            <w:r w:rsidRPr="001A5676">
              <w:rPr>
                <w:rFonts w:ascii="Arial" w:hAnsi="Arial" w:cs="Arial"/>
              </w:rPr>
              <w:t>65.75</w:t>
            </w:r>
          </w:p>
        </w:tc>
        <w:tc>
          <w:tcPr>
            <w:tcW w:w="2472" w:type="dxa"/>
            <w:shd w:val="clear" w:color="auto" w:fill="FFFFFF" w:themeFill="background1"/>
          </w:tcPr>
          <w:p w14:paraId="150A60C2" w14:textId="77777777" w:rsidR="001A5676" w:rsidRPr="001A5676" w:rsidRDefault="001A5676" w:rsidP="001A5676">
            <w:pPr>
              <w:pStyle w:val="Body"/>
              <w:spacing w:after="0"/>
              <w:rPr>
                <w:rFonts w:ascii="Arial" w:hAnsi="Arial" w:cs="Arial"/>
              </w:rPr>
            </w:pPr>
            <w:r w:rsidRPr="001A5676">
              <w:rPr>
                <w:rFonts w:ascii="Arial" w:hAnsi="Arial" w:cs="Arial"/>
              </w:rPr>
              <w:t>1.5 × 10</w:t>
            </w:r>
            <w:r w:rsidRPr="001A5676">
              <w:rPr>
                <w:rFonts w:ascii="Cambria Math" w:hAnsi="Cambria Math" w:cs="Cambria Math"/>
              </w:rPr>
              <w:t>⁻</w:t>
            </w:r>
            <w:r w:rsidRPr="001A5676">
              <w:rPr>
                <w:rFonts w:ascii="Arial" w:hAnsi="Arial" w:cs="Arial"/>
              </w:rPr>
              <w:t>³</w:t>
            </w:r>
          </w:p>
        </w:tc>
      </w:tr>
    </w:tbl>
    <w:p w14:paraId="7D789297" w14:textId="77777777" w:rsidR="001A5676" w:rsidRDefault="001A5676" w:rsidP="001A5676">
      <w:pPr>
        <w:pStyle w:val="Body"/>
        <w:spacing w:after="0"/>
        <w:rPr>
          <w:rFonts w:ascii="Arial" w:hAnsi="Arial" w:cs="Arial"/>
          <w:i/>
          <w:iCs/>
        </w:rPr>
      </w:pPr>
      <w:r w:rsidRPr="00EE7F92">
        <w:rPr>
          <w:rFonts w:ascii="Arial" w:hAnsi="Arial" w:cs="Arial"/>
          <w:i/>
          <w:iCs/>
        </w:rPr>
        <w:t xml:space="preserve"> </w:t>
      </w:r>
      <w:proofErr w:type="gramStart"/>
      <w:r w:rsidRPr="00EE7F92">
        <w:rPr>
          <w:rFonts w:ascii="Arial" w:hAnsi="Arial" w:cs="Arial"/>
          <w:i/>
          <w:iCs/>
        </w:rPr>
        <w:t>DAq :</w:t>
      </w:r>
      <w:proofErr w:type="gramEnd"/>
      <w:r w:rsidRPr="00EE7F92">
        <w:rPr>
          <w:rFonts w:ascii="Arial" w:hAnsi="Arial" w:cs="Arial"/>
          <w:i/>
          <w:iCs/>
        </w:rPr>
        <w:t xml:space="preserve"> Aqueous Decoction; </w:t>
      </w:r>
      <w:proofErr w:type="spellStart"/>
      <w:r w:rsidRPr="00EE7F92">
        <w:rPr>
          <w:rFonts w:ascii="Arial" w:hAnsi="Arial" w:cs="Arial"/>
          <w:i/>
          <w:iCs/>
        </w:rPr>
        <w:t>MAq</w:t>
      </w:r>
      <w:proofErr w:type="spellEnd"/>
      <w:r w:rsidRPr="00EE7F92">
        <w:rPr>
          <w:rFonts w:ascii="Arial" w:hAnsi="Arial" w:cs="Arial"/>
          <w:i/>
          <w:iCs/>
        </w:rPr>
        <w:t xml:space="preserve"> : Aqueous Maceration ; </w:t>
      </w:r>
      <w:proofErr w:type="spellStart"/>
      <w:r w:rsidRPr="00EE7F92">
        <w:rPr>
          <w:rFonts w:ascii="Arial" w:hAnsi="Arial" w:cs="Arial"/>
          <w:i/>
          <w:iCs/>
        </w:rPr>
        <w:t>MHe</w:t>
      </w:r>
      <w:proofErr w:type="spellEnd"/>
      <w:r w:rsidRPr="00EE7F92">
        <w:rPr>
          <w:rFonts w:ascii="Arial" w:hAnsi="Arial" w:cs="Arial"/>
          <w:i/>
          <w:iCs/>
        </w:rPr>
        <w:t xml:space="preserve"> : Hydroethanolic Maceration; BHT : Butyl Hydroxytoluene; Vit C : Vitamin C</w:t>
      </w:r>
    </w:p>
    <w:p w14:paraId="60109366" w14:textId="77777777" w:rsidR="00EE7F92" w:rsidRPr="00EE7F92" w:rsidRDefault="00EE7F92" w:rsidP="001A5676">
      <w:pPr>
        <w:pStyle w:val="Body"/>
        <w:spacing w:after="0"/>
        <w:rPr>
          <w:rFonts w:ascii="Arial" w:hAnsi="Arial" w:cs="Arial"/>
          <w:i/>
          <w:iCs/>
        </w:rPr>
      </w:pPr>
    </w:p>
    <w:p w14:paraId="159CA3CB" w14:textId="77777777" w:rsidR="001A5676" w:rsidRPr="001A5676" w:rsidRDefault="001A5676" w:rsidP="001A5676">
      <w:pPr>
        <w:pStyle w:val="Body"/>
        <w:spacing w:after="0"/>
        <w:rPr>
          <w:rFonts w:ascii="Arial" w:hAnsi="Arial" w:cs="Arial"/>
        </w:rPr>
      </w:pPr>
      <w:r w:rsidRPr="001A5676">
        <w:rPr>
          <w:rFonts w:ascii="Arial" w:hAnsi="Arial" w:cs="Arial"/>
        </w:rPr>
        <w:t xml:space="preserve">Table 6 shows that all extracts with an IC50 &lt;20 µg/ml exhibit strong </w:t>
      </w:r>
      <w:proofErr w:type="spellStart"/>
      <w:r w:rsidRPr="001A5676">
        <w:rPr>
          <w:rFonts w:ascii="Arial" w:hAnsi="Arial" w:cs="Arial"/>
        </w:rPr>
        <w:t>antioxydant</w:t>
      </w:r>
      <w:proofErr w:type="spellEnd"/>
      <w:r w:rsidRPr="001A5676">
        <w:rPr>
          <w:rFonts w:ascii="Arial" w:hAnsi="Arial" w:cs="Arial"/>
        </w:rPr>
        <w:t xml:space="preserve"> activity. The hydroethanolic extract, with an IC50 of 15.71 µg/ml, demonstrates the best inhibition. Its free radical scavenging capacity is 1.08 times greater than that of the extract obtained by aqueous decoction and 1.25 times greater than that of the extract obtained by aqueous maceration. The hydroethanolic extract thus exhibits superior free radical scavenging activity compared to the other extracts.</w:t>
      </w:r>
    </w:p>
    <w:p w14:paraId="35445CD1" w14:textId="77777777" w:rsidR="001A5676" w:rsidRDefault="001A5676" w:rsidP="001A5676">
      <w:pPr>
        <w:pStyle w:val="Body"/>
        <w:spacing w:after="0"/>
        <w:rPr>
          <w:rFonts w:ascii="Arial" w:hAnsi="Arial" w:cs="Arial"/>
        </w:rPr>
      </w:pPr>
      <w:r w:rsidRPr="001A5676">
        <w:rPr>
          <w:rFonts w:ascii="Arial" w:hAnsi="Arial" w:cs="Arial"/>
        </w:rPr>
        <w:t>Since vitamin C and BHT are references, the hydroethanolic extract has an IC50 lower than that of BHT but higher than that of Vit C.</w:t>
      </w:r>
    </w:p>
    <w:p w14:paraId="0E031CA2" w14:textId="77777777" w:rsidR="00EE7F92" w:rsidRPr="001A5676" w:rsidRDefault="00EE7F92" w:rsidP="001A5676">
      <w:pPr>
        <w:pStyle w:val="Body"/>
        <w:spacing w:after="0"/>
        <w:rPr>
          <w:rFonts w:ascii="Arial" w:hAnsi="Arial" w:cs="Arial"/>
        </w:rPr>
      </w:pPr>
    </w:p>
    <w:p w14:paraId="1AA98F00" w14:textId="77C13508" w:rsidR="001A5676" w:rsidRPr="00EE7F92" w:rsidRDefault="00EE7F92" w:rsidP="001A5676">
      <w:pPr>
        <w:pStyle w:val="Body"/>
        <w:spacing w:after="0"/>
        <w:rPr>
          <w:rFonts w:ascii="Arial" w:hAnsi="Arial" w:cs="Arial"/>
          <w:b/>
          <w:bCs/>
        </w:rPr>
      </w:pPr>
      <w:bookmarkStart w:id="50" w:name="_Toc136377201"/>
      <w:bookmarkStart w:id="51" w:name="_Toc137924745"/>
      <w:r w:rsidRPr="00EE7F92">
        <w:rPr>
          <w:rFonts w:ascii="Arial" w:hAnsi="Arial" w:cs="Arial"/>
          <w:b/>
          <w:bCs/>
        </w:rPr>
        <w:t>3</w:t>
      </w:r>
      <w:r w:rsidR="001A5676" w:rsidRPr="00EE7F92">
        <w:rPr>
          <w:rFonts w:ascii="Arial" w:hAnsi="Arial" w:cs="Arial"/>
          <w:b/>
          <w:bCs/>
        </w:rPr>
        <w:t xml:space="preserve">.4 </w:t>
      </w:r>
      <w:bookmarkEnd w:id="50"/>
      <w:bookmarkEnd w:id="51"/>
      <w:r w:rsidR="001A5676" w:rsidRPr="00EE7F92">
        <w:rPr>
          <w:rFonts w:ascii="Arial" w:hAnsi="Arial" w:cs="Arial"/>
          <w:b/>
          <w:bCs/>
        </w:rPr>
        <w:t>Antibacterial Activity</w:t>
      </w:r>
    </w:p>
    <w:p w14:paraId="75DFBB01" w14:textId="2066EF82" w:rsidR="001A5676" w:rsidRPr="00EE7F92" w:rsidRDefault="00EE7F92" w:rsidP="001A5676">
      <w:pPr>
        <w:pStyle w:val="Body"/>
        <w:spacing w:after="0"/>
        <w:rPr>
          <w:rFonts w:ascii="Arial" w:hAnsi="Arial" w:cs="Arial"/>
          <w:b/>
          <w:bCs/>
        </w:rPr>
      </w:pPr>
      <w:bookmarkStart w:id="52" w:name="_Toc137924746"/>
      <w:r w:rsidRPr="00EE7F92">
        <w:rPr>
          <w:rFonts w:ascii="Arial" w:hAnsi="Arial" w:cs="Arial"/>
          <w:b/>
          <w:bCs/>
        </w:rPr>
        <w:t>3</w:t>
      </w:r>
      <w:r w:rsidR="001A5676" w:rsidRPr="00EE7F92">
        <w:rPr>
          <w:rFonts w:ascii="Arial" w:hAnsi="Arial" w:cs="Arial"/>
          <w:b/>
          <w:bCs/>
        </w:rPr>
        <w:t xml:space="preserve">.4.1 Study of the antibacterial activity of </w:t>
      </w:r>
      <w:r w:rsidR="00CA16D7" w:rsidRPr="00CA16D7">
        <w:rPr>
          <w:rFonts w:ascii="Arial" w:hAnsi="Arial" w:cs="Arial"/>
          <w:b/>
          <w:bCs/>
          <w:i/>
          <w:iCs/>
        </w:rPr>
        <w:t xml:space="preserve">G. </w:t>
      </w:r>
      <w:proofErr w:type="spellStart"/>
      <w:proofErr w:type="gramStart"/>
      <w:r w:rsidR="00CA16D7" w:rsidRPr="00CA16D7">
        <w:rPr>
          <w:rFonts w:ascii="Arial" w:hAnsi="Arial" w:cs="Arial"/>
          <w:b/>
          <w:bCs/>
          <w:i/>
          <w:iCs/>
        </w:rPr>
        <w:t>mangostana</w:t>
      </w:r>
      <w:proofErr w:type="spellEnd"/>
      <w:r w:rsidR="00CA16D7" w:rsidRPr="00CA16D7">
        <w:rPr>
          <w:rFonts w:ascii="Arial" w:hAnsi="Arial" w:cs="Arial"/>
          <w:b/>
          <w:bCs/>
          <w:i/>
          <w:iCs/>
        </w:rPr>
        <w:t xml:space="preserve"> </w:t>
      </w:r>
      <w:r w:rsidR="001A5676" w:rsidRPr="00EE7F92">
        <w:rPr>
          <w:rFonts w:ascii="Arial" w:hAnsi="Arial" w:cs="Arial"/>
          <w:b/>
          <w:bCs/>
        </w:rPr>
        <w:t xml:space="preserve"> extracts</w:t>
      </w:r>
      <w:bookmarkEnd w:id="52"/>
      <w:proofErr w:type="gramEnd"/>
    </w:p>
    <w:p w14:paraId="2316048F" w14:textId="261BC1FF" w:rsidR="001A5676" w:rsidRPr="001A5676" w:rsidRDefault="001A5676" w:rsidP="001A5676">
      <w:pPr>
        <w:pStyle w:val="Body"/>
        <w:spacing w:after="0"/>
        <w:rPr>
          <w:rFonts w:ascii="Arial" w:hAnsi="Arial" w:cs="Arial"/>
        </w:rPr>
      </w:pPr>
      <w:r w:rsidRPr="001A5676">
        <w:rPr>
          <w:rFonts w:ascii="Arial" w:hAnsi="Arial" w:cs="Arial"/>
        </w:rPr>
        <w:t xml:space="preserve">The results of the search for the different minimum inhibitory concentrations of the tested extracts are recorded in Table </w:t>
      </w:r>
      <w:r w:rsidR="007C29E0">
        <w:rPr>
          <w:rFonts w:ascii="Arial" w:hAnsi="Arial" w:cs="Arial"/>
        </w:rPr>
        <w:t>7</w:t>
      </w:r>
      <w:r w:rsidRPr="001A5676">
        <w:rPr>
          <w:rFonts w:ascii="Arial" w:hAnsi="Arial" w:cs="Arial"/>
        </w:rPr>
        <w:t>.</w:t>
      </w:r>
    </w:p>
    <w:p w14:paraId="1EB9AAB5" w14:textId="6C4A0406" w:rsidR="001A5676" w:rsidRPr="00EE7F92" w:rsidRDefault="001A5676" w:rsidP="001A5676">
      <w:pPr>
        <w:pStyle w:val="Body"/>
        <w:spacing w:after="0"/>
        <w:rPr>
          <w:rFonts w:ascii="Arial" w:hAnsi="Arial" w:cs="Arial"/>
          <w:b/>
          <w:bCs/>
          <w:i/>
          <w:iCs/>
        </w:rPr>
      </w:pPr>
      <w:bookmarkStart w:id="53" w:name="_Toc137923802"/>
      <w:r w:rsidRPr="00EE7F92">
        <w:rPr>
          <w:rFonts w:ascii="Arial" w:hAnsi="Arial" w:cs="Arial"/>
          <w:b/>
          <w:bCs/>
          <w:i/>
          <w:iCs/>
        </w:rPr>
        <w:t xml:space="preserve">Table 7: Antibacterial activities of </w:t>
      </w:r>
      <w:r w:rsidR="00CA16D7" w:rsidRPr="00CA16D7">
        <w:rPr>
          <w:rFonts w:ascii="Arial" w:hAnsi="Arial" w:cs="Arial"/>
          <w:b/>
          <w:bCs/>
          <w:i/>
          <w:iCs/>
        </w:rPr>
        <w:t xml:space="preserve">Garcinia </w:t>
      </w:r>
      <w:proofErr w:type="spellStart"/>
      <w:proofErr w:type="gramStart"/>
      <w:r w:rsidR="00CA16D7" w:rsidRPr="00CA16D7">
        <w:rPr>
          <w:rFonts w:ascii="Arial" w:hAnsi="Arial" w:cs="Arial"/>
          <w:b/>
          <w:bCs/>
          <w:i/>
          <w:iCs/>
        </w:rPr>
        <w:t>mangostana</w:t>
      </w:r>
      <w:proofErr w:type="spellEnd"/>
      <w:r w:rsidR="00CA16D7" w:rsidRPr="00CA16D7">
        <w:rPr>
          <w:rFonts w:ascii="Arial" w:hAnsi="Arial" w:cs="Arial"/>
          <w:b/>
          <w:bCs/>
          <w:i/>
          <w:iCs/>
        </w:rPr>
        <w:t xml:space="preserve"> </w:t>
      </w:r>
      <w:r w:rsidRPr="00EE7F92">
        <w:rPr>
          <w:rFonts w:ascii="Arial" w:hAnsi="Arial" w:cs="Arial"/>
          <w:b/>
          <w:bCs/>
          <w:i/>
          <w:iCs/>
        </w:rPr>
        <w:t xml:space="preserve"> L.</w:t>
      </w:r>
      <w:proofErr w:type="gramEnd"/>
      <w:r w:rsidRPr="00EE7F92">
        <w:rPr>
          <w:rFonts w:ascii="Arial" w:hAnsi="Arial" w:cs="Arial"/>
          <w:b/>
          <w:bCs/>
          <w:i/>
          <w:iCs/>
        </w:rPr>
        <w:t xml:space="preserve"> extracts : MIC, MBC, and MBC/MIC ratios of each extract</w:t>
      </w:r>
      <w:bookmarkEnd w:id="53"/>
    </w:p>
    <w:tbl>
      <w:tblPr>
        <w:tblStyle w:val="MediumShading2"/>
        <w:tblW w:w="9774" w:type="dxa"/>
        <w:tblInd w:w="-576" w:type="dxa"/>
        <w:tblBorders>
          <w:top w:val="none" w:sz="0" w:space="0" w:color="auto"/>
          <w:bottom w:val="single" w:sz="4" w:space="0" w:color="auto"/>
        </w:tblBorders>
        <w:tblLayout w:type="fixed"/>
        <w:tblLook w:val="0600" w:firstRow="0" w:lastRow="0" w:firstColumn="0" w:lastColumn="0" w:noHBand="1" w:noVBand="1"/>
      </w:tblPr>
      <w:tblGrid>
        <w:gridCol w:w="684"/>
        <w:gridCol w:w="990"/>
        <w:gridCol w:w="900"/>
        <w:gridCol w:w="1260"/>
        <w:gridCol w:w="990"/>
        <w:gridCol w:w="810"/>
        <w:gridCol w:w="1260"/>
        <w:gridCol w:w="810"/>
        <w:gridCol w:w="810"/>
        <w:gridCol w:w="1260"/>
      </w:tblGrid>
      <w:tr w:rsidR="001A5676" w:rsidRPr="001A5676" w14:paraId="276F9059" w14:textId="77777777" w:rsidTr="004A2F47">
        <w:trPr>
          <w:trHeight w:val="327"/>
        </w:trPr>
        <w:tc>
          <w:tcPr>
            <w:tcW w:w="684" w:type="dxa"/>
            <w:tcBorders>
              <w:top w:val="single" w:sz="4" w:space="0" w:color="auto"/>
              <w:bottom w:val="single" w:sz="4" w:space="0" w:color="auto"/>
            </w:tcBorders>
            <w:vAlign w:val="center"/>
          </w:tcPr>
          <w:p w14:paraId="53D6A38A" w14:textId="77777777" w:rsidR="001A5676" w:rsidRPr="001A5676" w:rsidRDefault="001A5676" w:rsidP="001A5676">
            <w:pPr>
              <w:pStyle w:val="Body"/>
              <w:spacing w:after="0"/>
              <w:rPr>
                <w:rFonts w:ascii="Arial" w:eastAsia="Times New Roman" w:hAnsi="Arial" w:cs="Arial"/>
                <w:sz w:val="20"/>
                <w:szCs w:val="20"/>
                <w:lang w:val="en-US"/>
              </w:rPr>
            </w:pPr>
          </w:p>
        </w:tc>
        <w:tc>
          <w:tcPr>
            <w:tcW w:w="3150" w:type="dxa"/>
            <w:gridSpan w:val="3"/>
            <w:tcBorders>
              <w:top w:val="single" w:sz="4" w:space="0" w:color="auto"/>
              <w:bottom w:val="single" w:sz="4" w:space="0" w:color="auto"/>
            </w:tcBorders>
            <w:vAlign w:val="center"/>
          </w:tcPr>
          <w:p w14:paraId="6C4CD16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DAQ</w:t>
            </w:r>
          </w:p>
        </w:tc>
        <w:tc>
          <w:tcPr>
            <w:tcW w:w="3060" w:type="dxa"/>
            <w:gridSpan w:val="3"/>
            <w:tcBorders>
              <w:top w:val="single" w:sz="4" w:space="0" w:color="auto"/>
              <w:bottom w:val="single" w:sz="4" w:space="0" w:color="auto"/>
            </w:tcBorders>
            <w:vAlign w:val="center"/>
          </w:tcPr>
          <w:p w14:paraId="5A0A4850"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MAQ</w:t>
            </w:r>
          </w:p>
        </w:tc>
        <w:tc>
          <w:tcPr>
            <w:tcW w:w="2880" w:type="dxa"/>
            <w:gridSpan w:val="3"/>
            <w:tcBorders>
              <w:top w:val="single" w:sz="4" w:space="0" w:color="auto"/>
              <w:bottom w:val="single" w:sz="4" w:space="0" w:color="auto"/>
            </w:tcBorders>
            <w:vAlign w:val="center"/>
          </w:tcPr>
          <w:p w14:paraId="5785147B"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MHE</w:t>
            </w:r>
          </w:p>
        </w:tc>
      </w:tr>
      <w:tr w:rsidR="001A5676" w:rsidRPr="001A5676" w14:paraId="37BF29BF" w14:textId="77777777" w:rsidTr="004A2F47">
        <w:trPr>
          <w:trHeight w:val="363"/>
        </w:trPr>
        <w:tc>
          <w:tcPr>
            <w:tcW w:w="684" w:type="dxa"/>
            <w:tcBorders>
              <w:top w:val="single" w:sz="4" w:space="0" w:color="auto"/>
              <w:bottom w:val="single" w:sz="4" w:space="0" w:color="auto"/>
            </w:tcBorders>
            <w:vAlign w:val="center"/>
          </w:tcPr>
          <w:p w14:paraId="7E015BC1" w14:textId="77777777" w:rsidR="001A5676" w:rsidRPr="001A5676" w:rsidRDefault="001A5676" w:rsidP="001A5676">
            <w:pPr>
              <w:pStyle w:val="Body"/>
              <w:spacing w:after="0"/>
              <w:rPr>
                <w:rFonts w:ascii="Arial" w:eastAsia="Times New Roman" w:hAnsi="Arial" w:cs="Arial"/>
                <w:sz w:val="20"/>
                <w:szCs w:val="20"/>
                <w:lang w:val="en-US"/>
              </w:rPr>
            </w:pPr>
          </w:p>
        </w:tc>
        <w:tc>
          <w:tcPr>
            <w:tcW w:w="990" w:type="dxa"/>
            <w:tcBorders>
              <w:top w:val="single" w:sz="4" w:space="0" w:color="auto"/>
              <w:bottom w:val="single" w:sz="4" w:space="0" w:color="auto"/>
            </w:tcBorders>
            <w:vAlign w:val="center"/>
          </w:tcPr>
          <w:p w14:paraId="1529E883"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MIC</w:t>
            </w:r>
          </w:p>
          <w:p w14:paraId="03C9A490"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(µg/mL)</w:t>
            </w:r>
          </w:p>
        </w:tc>
        <w:tc>
          <w:tcPr>
            <w:tcW w:w="900" w:type="dxa"/>
            <w:tcBorders>
              <w:top w:val="single" w:sz="4" w:space="0" w:color="auto"/>
              <w:bottom w:val="single" w:sz="4" w:space="0" w:color="auto"/>
            </w:tcBorders>
            <w:vAlign w:val="center"/>
          </w:tcPr>
          <w:p w14:paraId="69BAD9EA"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MBC (µg/mL)</w:t>
            </w:r>
          </w:p>
        </w:tc>
        <w:tc>
          <w:tcPr>
            <w:tcW w:w="1260" w:type="dxa"/>
            <w:tcBorders>
              <w:top w:val="single" w:sz="4" w:space="0" w:color="auto"/>
              <w:bottom w:val="single" w:sz="4" w:space="0" w:color="auto"/>
            </w:tcBorders>
            <w:vAlign w:val="center"/>
          </w:tcPr>
          <w:p w14:paraId="4046C94A"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MBC/ MIC</w:t>
            </w:r>
          </w:p>
          <w:p w14:paraId="76A4E935" w14:textId="77777777" w:rsidR="001A5676" w:rsidRPr="001A5676" w:rsidRDefault="001A5676" w:rsidP="001A5676">
            <w:pPr>
              <w:pStyle w:val="Body"/>
              <w:spacing w:after="0"/>
              <w:rPr>
                <w:rFonts w:ascii="Arial" w:eastAsia="Times New Roman" w:hAnsi="Arial" w:cs="Arial"/>
                <w:sz w:val="20"/>
                <w:szCs w:val="20"/>
                <w:lang w:val="en-US"/>
              </w:rPr>
            </w:pPr>
          </w:p>
        </w:tc>
        <w:tc>
          <w:tcPr>
            <w:tcW w:w="990" w:type="dxa"/>
            <w:tcBorders>
              <w:top w:val="single" w:sz="4" w:space="0" w:color="auto"/>
              <w:bottom w:val="single" w:sz="4" w:space="0" w:color="auto"/>
            </w:tcBorders>
            <w:vAlign w:val="center"/>
          </w:tcPr>
          <w:p w14:paraId="2F93817A"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MIC</w:t>
            </w:r>
          </w:p>
          <w:p w14:paraId="48DAFC76"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 xml:space="preserve"> (µg/mL)</w:t>
            </w:r>
          </w:p>
        </w:tc>
        <w:tc>
          <w:tcPr>
            <w:tcW w:w="810" w:type="dxa"/>
            <w:tcBorders>
              <w:top w:val="single" w:sz="4" w:space="0" w:color="auto"/>
              <w:bottom w:val="single" w:sz="4" w:space="0" w:color="auto"/>
            </w:tcBorders>
            <w:vAlign w:val="center"/>
          </w:tcPr>
          <w:p w14:paraId="14141E3A"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MBC</w:t>
            </w:r>
          </w:p>
          <w:p w14:paraId="62D84500"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(µg/mL)</w:t>
            </w:r>
          </w:p>
        </w:tc>
        <w:tc>
          <w:tcPr>
            <w:tcW w:w="1260" w:type="dxa"/>
            <w:tcBorders>
              <w:top w:val="single" w:sz="4" w:space="0" w:color="auto"/>
              <w:bottom w:val="single" w:sz="4" w:space="0" w:color="auto"/>
            </w:tcBorders>
            <w:vAlign w:val="center"/>
          </w:tcPr>
          <w:p w14:paraId="1DDBF81B"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MBC/ MIC</w:t>
            </w:r>
          </w:p>
          <w:p w14:paraId="1AC9D4E4" w14:textId="77777777" w:rsidR="001A5676" w:rsidRPr="001A5676" w:rsidRDefault="001A5676" w:rsidP="001A5676">
            <w:pPr>
              <w:pStyle w:val="Body"/>
              <w:spacing w:after="0"/>
              <w:rPr>
                <w:rFonts w:ascii="Arial" w:eastAsia="Times New Roman" w:hAnsi="Arial" w:cs="Arial"/>
                <w:sz w:val="20"/>
                <w:szCs w:val="20"/>
                <w:lang w:val="en-US"/>
              </w:rPr>
            </w:pPr>
          </w:p>
        </w:tc>
        <w:tc>
          <w:tcPr>
            <w:tcW w:w="810" w:type="dxa"/>
            <w:tcBorders>
              <w:top w:val="single" w:sz="4" w:space="0" w:color="auto"/>
              <w:bottom w:val="single" w:sz="4" w:space="0" w:color="auto"/>
            </w:tcBorders>
            <w:vAlign w:val="center"/>
          </w:tcPr>
          <w:p w14:paraId="4BF8E154"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MIC</w:t>
            </w:r>
          </w:p>
          <w:p w14:paraId="25E93DB1"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(µg/mL)</w:t>
            </w:r>
          </w:p>
        </w:tc>
        <w:tc>
          <w:tcPr>
            <w:tcW w:w="810" w:type="dxa"/>
            <w:tcBorders>
              <w:top w:val="single" w:sz="4" w:space="0" w:color="auto"/>
              <w:bottom w:val="single" w:sz="4" w:space="0" w:color="auto"/>
            </w:tcBorders>
            <w:vAlign w:val="center"/>
          </w:tcPr>
          <w:p w14:paraId="7FF07189"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MBC</w:t>
            </w:r>
          </w:p>
          <w:p w14:paraId="4640847D"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(µg/mL)</w:t>
            </w:r>
          </w:p>
        </w:tc>
        <w:tc>
          <w:tcPr>
            <w:tcW w:w="1260" w:type="dxa"/>
            <w:tcBorders>
              <w:top w:val="single" w:sz="4" w:space="0" w:color="auto"/>
              <w:bottom w:val="single" w:sz="4" w:space="0" w:color="auto"/>
            </w:tcBorders>
            <w:vAlign w:val="center"/>
          </w:tcPr>
          <w:p w14:paraId="342782A8"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MBC/ MIC</w:t>
            </w:r>
          </w:p>
          <w:p w14:paraId="6ACC394D" w14:textId="77777777" w:rsidR="001A5676" w:rsidRPr="001A5676" w:rsidRDefault="001A5676" w:rsidP="001A5676">
            <w:pPr>
              <w:pStyle w:val="Body"/>
              <w:spacing w:after="0"/>
              <w:rPr>
                <w:rFonts w:ascii="Arial" w:eastAsia="Times New Roman" w:hAnsi="Arial" w:cs="Arial"/>
                <w:sz w:val="20"/>
                <w:szCs w:val="20"/>
                <w:lang w:val="en-US"/>
              </w:rPr>
            </w:pPr>
          </w:p>
        </w:tc>
      </w:tr>
      <w:tr w:rsidR="001A5676" w:rsidRPr="001A5676" w14:paraId="121DCC54" w14:textId="77777777" w:rsidTr="004A2F47">
        <w:trPr>
          <w:trHeight w:val="497"/>
        </w:trPr>
        <w:tc>
          <w:tcPr>
            <w:tcW w:w="684" w:type="dxa"/>
            <w:tcBorders>
              <w:top w:val="single" w:sz="4" w:space="0" w:color="auto"/>
            </w:tcBorders>
            <w:vAlign w:val="center"/>
          </w:tcPr>
          <w:p w14:paraId="3BB15815"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EB</w:t>
            </w:r>
          </w:p>
        </w:tc>
        <w:tc>
          <w:tcPr>
            <w:tcW w:w="990" w:type="dxa"/>
            <w:tcBorders>
              <w:top w:val="single" w:sz="4" w:space="0" w:color="auto"/>
            </w:tcBorders>
            <w:vAlign w:val="center"/>
          </w:tcPr>
          <w:p w14:paraId="1D8CF359"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31.25</w:t>
            </w:r>
          </w:p>
        </w:tc>
        <w:tc>
          <w:tcPr>
            <w:tcW w:w="900" w:type="dxa"/>
            <w:tcBorders>
              <w:top w:val="single" w:sz="4" w:space="0" w:color="auto"/>
            </w:tcBorders>
            <w:vAlign w:val="center"/>
          </w:tcPr>
          <w:p w14:paraId="43606F61"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62.5</w:t>
            </w:r>
          </w:p>
        </w:tc>
        <w:tc>
          <w:tcPr>
            <w:tcW w:w="1260" w:type="dxa"/>
            <w:tcBorders>
              <w:top w:val="single" w:sz="4" w:space="0" w:color="auto"/>
            </w:tcBorders>
            <w:vAlign w:val="center"/>
          </w:tcPr>
          <w:p w14:paraId="659DB21B"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2</w:t>
            </w:r>
          </w:p>
        </w:tc>
        <w:tc>
          <w:tcPr>
            <w:tcW w:w="990" w:type="dxa"/>
            <w:tcBorders>
              <w:top w:val="single" w:sz="4" w:space="0" w:color="auto"/>
            </w:tcBorders>
            <w:vAlign w:val="center"/>
          </w:tcPr>
          <w:p w14:paraId="6DC695CA"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3,90</w:t>
            </w:r>
          </w:p>
        </w:tc>
        <w:tc>
          <w:tcPr>
            <w:tcW w:w="810" w:type="dxa"/>
            <w:tcBorders>
              <w:top w:val="single" w:sz="4" w:space="0" w:color="auto"/>
            </w:tcBorders>
            <w:vAlign w:val="center"/>
          </w:tcPr>
          <w:p w14:paraId="766D5A5E"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7,81</w:t>
            </w:r>
          </w:p>
        </w:tc>
        <w:tc>
          <w:tcPr>
            <w:tcW w:w="1260" w:type="dxa"/>
            <w:tcBorders>
              <w:top w:val="single" w:sz="4" w:space="0" w:color="auto"/>
            </w:tcBorders>
            <w:vAlign w:val="center"/>
          </w:tcPr>
          <w:p w14:paraId="5C30CF3E"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2</w:t>
            </w:r>
          </w:p>
        </w:tc>
        <w:tc>
          <w:tcPr>
            <w:tcW w:w="810" w:type="dxa"/>
            <w:tcBorders>
              <w:top w:val="single" w:sz="4" w:space="0" w:color="auto"/>
            </w:tcBorders>
            <w:vAlign w:val="center"/>
          </w:tcPr>
          <w:p w14:paraId="578B6A8B"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0,16</w:t>
            </w:r>
          </w:p>
        </w:tc>
        <w:tc>
          <w:tcPr>
            <w:tcW w:w="810" w:type="dxa"/>
            <w:tcBorders>
              <w:top w:val="single" w:sz="4" w:space="0" w:color="auto"/>
            </w:tcBorders>
            <w:vAlign w:val="center"/>
          </w:tcPr>
          <w:p w14:paraId="1A833B5A"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0,16</w:t>
            </w:r>
          </w:p>
        </w:tc>
        <w:tc>
          <w:tcPr>
            <w:tcW w:w="1260" w:type="dxa"/>
            <w:tcBorders>
              <w:top w:val="single" w:sz="4" w:space="0" w:color="auto"/>
            </w:tcBorders>
            <w:vAlign w:val="center"/>
          </w:tcPr>
          <w:p w14:paraId="3788B1E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1</w:t>
            </w:r>
          </w:p>
        </w:tc>
      </w:tr>
      <w:tr w:rsidR="001A5676" w:rsidRPr="001A5676" w14:paraId="54A1AC75" w14:textId="77777777" w:rsidTr="004A2F47">
        <w:tc>
          <w:tcPr>
            <w:tcW w:w="684" w:type="dxa"/>
            <w:vAlign w:val="center"/>
          </w:tcPr>
          <w:p w14:paraId="1C346B1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PA</w:t>
            </w:r>
          </w:p>
        </w:tc>
        <w:tc>
          <w:tcPr>
            <w:tcW w:w="990" w:type="dxa"/>
            <w:vAlign w:val="center"/>
          </w:tcPr>
          <w:p w14:paraId="21FD0A2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0,24</w:t>
            </w:r>
          </w:p>
        </w:tc>
        <w:tc>
          <w:tcPr>
            <w:tcW w:w="900" w:type="dxa"/>
            <w:vAlign w:val="center"/>
          </w:tcPr>
          <w:p w14:paraId="037B47DF"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0,24</w:t>
            </w:r>
          </w:p>
        </w:tc>
        <w:tc>
          <w:tcPr>
            <w:tcW w:w="1260" w:type="dxa"/>
            <w:vAlign w:val="center"/>
          </w:tcPr>
          <w:p w14:paraId="2B80F75A"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1</w:t>
            </w:r>
          </w:p>
        </w:tc>
        <w:tc>
          <w:tcPr>
            <w:tcW w:w="990" w:type="dxa"/>
            <w:vAlign w:val="center"/>
          </w:tcPr>
          <w:p w14:paraId="0D9DFA29"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31,25</w:t>
            </w:r>
          </w:p>
        </w:tc>
        <w:tc>
          <w:tcPr>
            <w:tcW w:w="810" w:type="dxa"/>
            <w:vAlign w:val="center"/>
          </w:tcPr>
          <w:p w14:paraId="0092AECC"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31,25</w:t>
            </w:r>
          </w:p>
        </w:tc>
        <w:tc>
          <w:tcPr>
            <w:tcW w:w="1260" w:type="dxa"/>
            <w:vAlign w:val="center"/>
          </w:tcPr>
          <w:p w14:paraId="1648688E"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1</w:t>
            </w:r>
          </w:p>
        </w:tc>
        <w:tc>
          <w:tcPr>
            <w:tcW w:w="810" w:type="dxa"/>
            <w:vAlign w:val="center"/>
          </w:tcPr>
          <w:p w14:paraId="72DFDC03"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2,57</w:t>
            </w:r>
          </w:p>
        </w:tc>
        <w:tc>
          <w:tcPr>
            <w:tcW w:w="810" w:type="dxa"/>
            <w:vAlign w:val="center"/>
          </w:tcPr>
          <w:p w14:paraId="11084EEC"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10,31</w:t>
            </w:r>
          </w:p>
        </w:tc>
        <w:tc>
          <w:tcPr>
            <w:tcW w:w="1260" w:type="dxa"/>
            <w:vAlign w:val="center"/>
          </w:tcPr>
          <w:p w14:paraId="06C87E4B"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4</w:t>
            </w:r>
          </w:p>
        </w:tc>
      </w:tr>
      <w:tr w:rsidR="001A5676" w:rsidRPr="001A5676" w14:paraId="3010827F" w14:textId="77777777" w:rsidTr="004A2F47">
        <w:trPr>
          <w:trHeight w:val="260"/>
        </w:trPr>
        <w:tc>
          <w:tcPr>
            <w:tcW w:w="684" w:type="dxa"/>
            <w:vAlign w:val="center"/>
          </w:tcPr>
          <w:p w14:paraId="5961DA98"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SA</w:t>
            </w:r>
          </w:p>
        </w:tc>
        <w:tc>
          <w:tcPr>
            <w:tcW w:w="990" w:type="dxa"/>
            <w:vAlign w:val="center"/>
          </w:tcPr>
          <w:p w14:paraId="1A0BEE1C"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15,62</w:t>
            </w:r>
          </w:p>
        </w:tc>
        <w:tc>
          <w:tcPr>
            <w:tcW w:w="900" w:type="dxa"/>
            <w:vAlign w:val="center"/>
          </w:tcPr>
          <w:p w14:paraId="56BA696F"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31,25</w:t>
            </w:r>
          </w:p>
        </w:tc>
        <w:tc>
          <w:tcPr>
            <w:tcW w:w="1260" w:type="dxa"/>
            <w:vAlign w:val="center"/>
          </w:tcPr>
          <w:p w14:paraId="486BA92E"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2</w:t>
            </w:r>
          </w:p>
        </w:tc>
        <w:tc>
          <w:tcPr>
            <w:tcW w:w="990" w:type="dxa"/>
            <w:vAlign w:val="center"/>
          </w:tcPr>
          <w:p w14:paraId="65462C1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15,62</w:t>
            </w:r>
          </w:p>
        </w:tc>
        <w:tc>
          <w:tcPr>
            <w:tcW w:w="810" w:type="dxa"/>
            <w:vAlign w:val="center"/>
          </w:tcPr>
          <w:p w14:paraId="50165B2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15,62</w:t>
            </w:r>
          </w:p>
        </w:tc>
        <w:tc>
          <w:tcPr>
            <w:tcW w:w="1260" w:type="dxa"/>
            <w:vAlign w:val="center"/>
          </w:tcPr>
          <w:p w14:paraId="04B3B71F"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1</w:t>
            </w:r>
          </w:p>
        </w:tc>
        <w:tc>
          <w:tcPr>
            <w:tcW w:w="810" w:type="dxa"/>
            <w:vAlign w:val="center"/>
          </w:tcPr>
          <w:p w14:paraId="7D84CC7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0,32</w:t>
            </w:r>
          </w:p>
        </w:tc>
        <w:tc>
          <w:tcPr>
            <w:tcW w:w="810" w:type="dxa"/>
            <w:vAlign w:val="center"/>
          </w:tcPr>
          <w:p w14:paraId="6AA4F7E0"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0,64</w:t>
            </w:r>
          </w:p>
        </w:tc>
        <w:tc>
          <w:tcPr>
            <w:tcW w:w="1260" w:type="dxa"/>
            <w:vAlign w:val="center"/>
          </w:tcPr>
          <w:p w14:paraId="55C635F3"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2</w:t>
            </w:r>
          </w:p>
        </w:tc>
      </w:tr>
      <w:tr w:rsidR="001A5676" w:rsidRPr="001A5676" w14:paraId="73FE8C94" w14:textId="77777777" w:rsidTr="004A2F47">
        <w:trPr>
          <w:trHeight w:val="449"/>
        </w:trPr>
        <w:tc>
          <w:tcPr>
            <w:tcW w:w="684" w:type="dxa"/>
            <w:vAlign w:val="center"/>
          </w:tcPr>
          <w:p w14:paraId="046B061A"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EC</w:t>
            </w:r>
          </w:p>
        </w:tc>
        <w:tc>
          <w:tcPr>
            <w:tcW w:w="990" w:type="dxa"/>
            <w:vAlign w:val="center"/>
          </w:tcPr>
          <w:p w14:paraId="18D5BD42"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3,90</w:t>
            </w:r>
          </w:p>
        </w:tc>
        <w:tc>
          <w:tcPr>
            <w:tcW w:w="900" w:type="dxa"/>
            <w:vAlign w:val="center"/>
          </w:tcPr>
          <w:p w14:paraId="5ACA4E1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7,81</w:t>
            </w:r>
          </w:p>
        </w:tc>
        <w:tc>
          <w:tcPr>
            <w:tcW w:w="1260" w:type="dxa"/>
            <w:vAlign w:val="center"/>
          </w:tcPr>
          <w:p w14:paraId="1E229C4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2</w:t>
            </w:r>
          </w:p>
        </w:tc>
        <w:tc>
          <w:tcPr>
            <w:tcW w:w="990" w:type="dxa"/>
            <w:vAlign w:val="center"/>
          </w:tcPr>
          <w:p w14:paraId="30D2140E"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31,25</w:t>
            </w:r>
          </w:p>
        </w:tc>
        <w:tc>
          <w:tcPr>
            <w:tcW w:w="810" w:type="dxa"/>
            <w:vAlign w:val="center"/>
          </w:tcPr>
          <w:p w14:paraId="065822C6"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62,5</w:t>
            </w:r>
          </w:p>
        </w:tc>
        <w:tc>
          <w:tcPr>
            <w:tcW w:w="1260" w:type="dxa"/>
            <w:vAlign w:val="center"/>
          </w:tcPr>
          <w:p w14:paraId="7E3AB68E"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2</w:t>
            </w:r>
          </w:p>
        </w:tc>
        <w:tc>
          <w:tcPr>
            <w:tcW w:w="810" w:type="dxa"/>
            <w:vAlign w:val="center"/>
          </w:tcPr>
          <w:p w14:paraId="2D7A615E"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0.64</w:t>
            </w:r>
          </w:p>
        </w:tc>
        <w:tc>
          <w:tcPr>
            <w:tcW w:w="810" w:type="dxa"/>
            <w:vAlign w:val="center"/>
          </w:tcPr>
          <w:p w14:paraId="4AF62FAF"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0.64</w:t>
            </w:r>
          </w:p>
        </w:tc>
        <w:tc>
          <w:tcPr>
            <w:tcW w:w="1260" w:type="dxa"/>
            <w:vAlign w:val="center"/>
          </w:tcPr>
          <w:p w14:paraId="619032ED"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1</w:t>
            </w:r>
          </w:p>
        </w:tc>
      </w:tr>
    </w:tbl>
    <w:p w14:paraId="07640BD8" w14:textId="71E630D7" w:rsidR="001A5676" w:rsidRDefault="001A5676" w:rsidP="001A5676">
      <w:pPr>
        <w:pStyle w:val="Body"/>
        <w:spacing w:after="0"/>
        <w:rPr>
          <w:rFonts w:ascii="Arial" w:hAnsi="Arial" w:cs="Arial"/>
        </w:rPr>
      </w:pPr>
      <w:proofErr w:type="gramStart"/>
      <w:r w:rsidRPr="001A5676">
        <w:rPr>
          <w:rFonts w:ascii="Arial" w:hAnsi="Arial" w:cs="Arial"/>
        </w:rPr>
        <w:t>EB :</w:t>
      </w:r>
      <w:proofErr w:type="gramEnd"/>
      <w:r w:rsidRPr="001A5676">
        <w:rPr>
          <w:rFonts w:ascii="Arial" w:hAnsi="Arial" w:cs="Arial"/>
        </w:rPr>
        <w:t xml:space="preserve"> </w:t>
      </w:r>
      <w:r w:rsidR="00CA16D7" w:rsidRPr="00CA16D7">
        <w:rPr>
          <w:rFonts w:ascii="Arial" w:hAnsi="Arial" w:cs="Arial"/>
          <w:i/>
          <w:iCs/>
        </w:rPr>
        <w:t>Enterobacter cloacae</w:t>
      </w:r>
      <w:r w:rsidRPr="001A5676">
        <w:rPr>
          <w:rFonts w:ascii="Arial" w:hAnsi="Arial" w:cs="Arial"/>
        </w:rPr>
        <w:t xml:space="preserve"> ; EC : </w:t>
      </w:r>
      <w:r w:rsidR="00BF0CCB" w:rsidRPr="00BF0CCB">
        <w:rPr>
          <w:rFonts w:ascii="Arial" w:hAnsi="Arial" w:cs="Arial"/>
          <w:i/>
          <w:iCs/>
        </w:rPr>
        <w:t>Escherichia coli</w:t>
      </w:r>
      <w:r w:rsidRPr="001A5676">
        <w:rPr>
          <w:rFonts w:ascii="Arial" w:hAnsi="Arial" w:cs="Arial"/>
        </w:rPr>
        <w:t xml:space="preserve"> ; SA : </w:t>
      </w:r>
      <w:proofErr w:type="spellStart"/>
      <w:r w:rsidRPr="001A5676">
        <w:rPr>
          <w:rFonts w:ascii="Arial" w:hAnsi="Arial" w:cs="Arial"/>
        </w:rPr>
        <w:t>Staphyloccus</w:t>
      </w:r>
      <w:proofErr w:type="spellEnd"/>
      <w:r w:rsidRPr="001A5676">
        <w:rPr>
          <w:rFonts w:ascii="Arial" w:hAnsi="Arial" w:cs="Arial"/>
        </w:rPr>
        <w:t xml:space="preserve"> aureus ; PA : </w:t>
      </w:r>
      <w:r w:rsidR="00CA16D7" w:rsidRPr="00CA16D7">
        <w:rPr>
          <w:rFonts w:ascii="Arial" w:hAnsi="Arial" w:cs="Arial"/>
          <w:i/>
          <w:iCs/>
        </w:rPr>
        <w:t>Pseudomonas aeruginosa</w:t>
      </w:r>
      <w:r w:rsidRPr="001A5676">
        <w:rPr>
          <w:rFonts w:ascii="Arial" w:hAnsi="Arial" w:cs="Arial"/>
        </w:rPr>
        <w:t xml:space="preserve"> MAQ : Aqueous maceration ; DAQ : Aqueous decoction; MHE : Hydroethanolic maceration</w:t>
      </w:r>
    </w:p>
    <w:p w14:paraId="05C07B68" w14:textId="77777777" w:rsidR="00EE7F92" w:rsidRPr="001A5676" w:rsidRDefault="00EE7F92" w:rsidP="001A5676">
      <w:pPr>
        <w:pStyle w:val="Body"/>
        <w:spacing w:after="0"/>
        <w:rPr>
          <w:rFonts w:ascii="Arial" w:hAnsi="Arial" w:cs="Arial"/>
        </w:rPr>
      </w:pPr>
    </w:p>
    <w:p w14:paraId="24271D89" w14:textId="5D838D28" w:rsidR="001A5676" w:rsidRDefault="001A5676" w:rsidP="001A5676">
      <w:pPr>
        <w:pStyle w:val="Body"/>
        <w:spacing w:after="0"/>
        <w:rPr>
          <w:rFonts w:ascii="Arial" w:hAnsi="Arial" w:cs="Arial"/>
        </w:rPr>
      </w:pPr>
      <w:r w:rsidRPr="001A5676">
        <w:rPr>
          <w:rFonts w:ascii="Arial" w:hAnsi="Arial" w:cs="Arial"/>
        </w:rPr>
        <w:t xml:space="preserve">According to Table 7, the hydroethanolic extract had a strong inhibitory effect on </w:t>
      </w:r>
      <w:r w:rsidR="00CA16D7" w:rsidRPr="00CA16D7">
        <w:rPr>
          <w:rFonts w:ascii="Arial" w:hAnsi="Arial" w:cs="Arial"/>
          <w:i/>
          <w:iCs/>
        </w:rPr>
        <w:t>Enterobacter cloacae</w:t>
      </w:r>
      <w:r w:rsidRPr="001A5676">
        <w:rPr>
          <w:rFonts w:ascii="Arial" w:hAnsi="Arial" w:cs="Arial"/>
        </w:rPr>
        <w:t xml:space="preserve"> (MIC of 0.16µg/ml), </w:t>
      </w:r>
      <w:r w:rsidR="00CA16D7" w:rsidRPr="00CA16D7">
        <w:rPr>
          <w:rFonts w:ascii="Arial" w:hAnsi="Arial" w:cs="Arial"/>
          <w:i/>
          <w:iCs/>
        </w:rPr>
        <w:t>S. aureus</w:t>
      </w:r>
      <w:r w:rsidRPr="001A5676">
        <w:rPr>
          <w:rFonts w:ascii="Arial" w:hAnsi="Arial" w:cs="Arial"/>
        </w:rPr>
        <w:t xml:space="preserve"> (0.32µg/ml), </w:t>
      </w:r>
      <w:r w:rsidR="00BF0CCB" w:rsidRPr="00BF0CCB">
        <w:rPr>
          <w:rFonts w:ascii="Arial" w:hAnsi="Arial" w:cs="Arial"/>
          <w:i/>
          <w:iCs/>
        </w:rPr>
        <w:t>Escherichia coli</w:t>
      </w:r>
      <w:r w:rsidRPr="001A5676">
        <w:rPr>
          <w:rFonts w:ascii="Arial" w:hAnsi="Arial" w:cs="Arial"/>
        </w:rPr>
        <w:t xml:space="preserve"> (0.64µg/</w:t>
      </w:r>
      <w:proofErr w:type="gramStart"/>
      <w:r w:rsidRPr="001A5676">
        <w:rPr>
          <w:rFonts w:ascii="Arial" w:hAnsi="Arial" w:cs="Arial"/>
        </w:rPr>
        <w:t>ml )</w:t>
      </w:r>
      <w:proofErr w:type="gramEnd"/>
      <w:r w:rsidRPr="001A5676">
        <w:rPr>
          <w:rFonts w:ascii="Arial" w:hAnsi="Arial" w:cs="Arial"/>
        </w:rPr>
        <w:t xml:space="preserve"> </w:t>
      </w:r>
      <w:r w:rsidR="00CA16D7" w:rsidRPr="00CA16D7">
        <w:rPr>
          <w:rFonts w:ascii="Arial" w:hAnsi="Arial" w:cs="Arial"/>
          <w:i/>
          <w:iCs/>
        </w:rPr>
        <w:t>Pseudomonas aeruginosa</w:t>
      </w:r>
      <w:r w:rsidRPr="001A5676">
        <w:rPr>
          <w:rFonts w:ascii="Arial" w:hAnsi="Arial" w:cs="Arial"/>
        </w:rPr>
        <w:t xml:space="preserve"> (0.24 µg/ml) was inhibited with a lower concentration of aqueous decoction compared to the other extracts. With MICs ranging from 0.16 to 31.25 µg/ml, all are below 100 µg/ml, thus demonstrating the high antibacterial activity of each extract.</w:t>
      </w:r>
    </w:p>
    <w:p w14:paraId="6241E064" w14:textId="77777777" w:rsidR="00EE7F92" w:rsidRDefault="00EE7F92" w:rsidP="001A5676">
      <w:pPr>
        <w:pStyle w:val="Body"/>
        <w:spacing w:after="0"/>
        <w:rPr>
          <w:rFonts w:ascii="Arial" w:hAnsi="Arial" w:cs="Arial"/>
        </w:rPr>
      </w:pPr>
    </w:p>
    <w:p w14:paraId="177E8C21" w14:textId="77777777" w:rsidR="00EE7F92" w:rsidRPr="001A5676" w:rsidRDefault="00EE7F92" w:rsidP="001A5676">
      <w:pPr>
        <w:pStyle w:val="Body"/>
        <w:spacing w:after="0"/>
        <w:rPr>
          <w:rFonts w:ascii="Arial" w:hAnsi="Arial" w:cs="Arial"/>
        </w:rPr>
      </w:pPr>
    </w:p>
    <w:p w14:paraId="0BA4CFDD" w14:textId="77777777" w:rsidR="001A5676" w:rsidRPr="001A5676" w:rsidRDefault="001A5676" w:rsidP="001A5676">
      <w:pPr>
        <w:pStyle w:val="Body"/>
        <w:spacing w:after="0"/>
        <w:rPr>
          <w:rFonts w:ascii="Arial" w:hAnsi="Arial" w:cs="Arial"/>
        </w:rPr>
      </w:pPr>
    </w:p>
    <w:p w14:paraId="4CC70283" w14:textId="22C55CBC" w:rsidR="001A5676" w:rsidRPr="00EE7F92" w:rsidRDefault="001A5676" w:rsidP="001A5676">
      <w:pPr>
        <w:pStyle w:val="Body"/>
        <w:spacing w:after="0"/>
        <w:rPr>
          <w:rFonts w:ascii="Arial" w:hAnsi="Arial" w:cs="Arial"/>
          <w:b/>
          <w:bCs/>
          <w:i/>
          <w:iCs/>
        </w:rPr>
      </w:pPr>
      <w:bookmarkStart w:id="54" w:name="_Toc137923803"/>
      <w:r w:rsidRPr="00EE7F92">
        <w:rPr>
          <w:rFonts w:ascii="Arial" w:hAnsi="Arial" w:cs="Arial"/>
          <w:b/>
          <w:bCs/>
          <w:i/>
          <w:iCs/>
        </w:rPr>
        <w:t xml:space="preserve">Table </w:t>
      </w:r>
      <w:proofErr w:type="gramStart"/>
      <w:r w:rsidRPr="00EE7F92">
        <w:rPr>
          <w:rFonts w:ascii="Arial" w:hAnsi="Arial" w:cs="Arial"/>
          <w:b/>
          <w:bCs/>
          <w:i/>
          <w:iCs/>
        </w:rPr>
        <w:t>8 :</w:t>
      </w:r>
      <w:proofErr w:type="gramEnd"/>
      <w:r w:rsidRPr="00EE7F92">
        <w:rPr>
          <w:rFonts w:ascii="Arial" w:hAnsi="Arial" w:cs="Arial"/>
          <w:b/>
          <w:bCs/>
          <w:i/>
          <w:iCs/>
        </w:rPr>
        <w:t xml:space="preserve"> Effect of </w:t>
      </w:r>
      <w:r w:rsidR="00CA16D7" w:rsidRPr="00CA16D7">
        <w:rPr>
          <w:rFonts w:ascii="Arial" w:hAnsi="Arial" w:cs="Arial"/>
          <w:b/>
          <w:bCs/>
          <w:i/>
          <w:iCs/>
        </w:rPr>
        <w:t xml:space="preserve">Garcinia </w:t>
      </w:r>
      <w:proofErr w:type="spellStart"/>
      <w:r w:rsidR="00CA16D7" w:rsidRPr="00CA16D7">
        <w:rPr>
          <w:rFonts w:ascii="Arial" w:hAnsi="Arial" w:cs="Arial"/>
          <w:b/>
          <w:bCs/>
          <w:i/>
          <w:iCs/>
        </w:rPr>
        <w:t>mangostana</w:t>
      </w:r>
      <w:proofErr w:type="spellEnd"/>
      <w:r w:rsidR="00CA16D7" w:rsidRPr="00CA16D7">
        <w:rPr>
          <w:rFonts w:ascii="Arial" w:hAnsi="Arial" w:cs="Arial"/>
          <w:b/>
          <w:bCs/>
          <w:i/>
          <w:iCs/>
        </w:rPr>
        <w:t xml:space="preserve"> </w:t>
      </w:r>
      <w:r w:rsidRPr="00EE7F92">
        <w:rPr>
          <w:rFonts w:ascii="Arial" w:hAnsi="Arial" w:cs="Arial"/>
          <w:b/>
          <w:bCs/>
          <w:i/>
          <w:iCs/>
        </w:rPr>
        <w:t xml:space="preserve"> L. extracts on the organism of interest as a function of the CMB/MIC ratio</w:t>
      </w:r>
      <w:bookmarkEnd w:id="54"/>
    </w:p>
    <w:tbl>
      <w:tblPr>
        <w:tblStyle w:val="MediumShading2"/>
        <w:tblW w:w="0" w:type="auto"/>
        <w:tblLook w:val="0600" w:firstRow="0" w:lastRow="0" w:firstColumn="0" w:lastColumn="0" w:noHBand="1" w:noVBand="1"/>
      </w:tblPr>
      <w:tblGrid>
        <w:gridCol w:w="1880"/>
        <w:gridCol w:w="2088"/>
        <w:gridCol w:w="2088"/>
        <w:gridCol w:w="2152"/>
      </w:tblGrid>
      <w:tr w:rsidR="001A5676" w:rsidRPr="001A5676" w14:paraId="5CAE7A27" w14:textId="77777777" w:rsidTr="004A2F47">
        <w:tc>
          <w:tcPr>
            <w:tcW w:w="2471" w:type="dxa"/>
            <w:tcBorders>
              <w:top w:val="single" w:sz="18" w:space="0" w:color="auto"/>
              <w:bottom w:val="single" w:sz="4" w:space="0" w:color="auto"/>
            </w:tcBorders>
          </w:tcPr>
          <w:p w14:paraId="09B84265" w14:textId="77777777" w:rsidR="001A5676" w:rsidRPr="001A5676" w:rsidRDefault="001A5676" w:rsidP="001A5676">
            <w:pPr>
              <w:pStyle w:val="Body"/>
              <w:spacing w:after="0"/>
              <w:rPr>
                <w:rFonts w:ascii="Arial" w:eastAsia="Times New Roman" w:hAnsi="Arial" w:cs="Arial"/>
                <w:sz w:val="20"/>
                <w:szCs w:val="20"/>
                <w:lang w:val="en-US"/>
              </w:rPr>
            </w:pPr>
          </w:p>
        </w:tc>
        <w:tc>
          <w:tcPr>
            <w:tcW w:w="2472" w:type="dxa"/>
            <w:tcBorders>
              <w:top w:val="single" w:sz="18" w:space="0" w:color="auto"/>
              <w:bottom w:val="single" w:sz="4" w:space="0" w:color="auto"/>
            </w:tcBorders>
          </w:tcPr>
          <w:p w14:paraId="7CD7D842"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DAQ</w:t>
            </w:r>
          </w:p>
        </w:tc>
        <w:tc>
          <w:tcPr>
            <w:tcW w:w="2472" w:type="dxa"/>
            <w:tcBorders>
              <w:top w:val="single" w:sz="18" w:space="0" w:color="auto"/>
              <w:bottom w:val="single" w:sz="4" w:space="0" w:color="auto"/>
            </w:tcBorders>
          </w:tcPr>
          <w:p w14:paraId="7F904552"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MAQ</w:t>
            </w:r>
          </w:p>
        </w:tc>
        <w:tc>
          <w:tcPr>
            <w:tcW w:w="2472" w:type="dxa"/>
            <w:tcBorders>
              <w:top w:val="single" w:sz="18" w:space="0" w:color="auto"/>
              <w:bottom w:val="single" w:sz="4" w:space="0" w:color="auto"/>
            </w:tcBorders>
          </w:tcPr>
          <w:p w14:paraId="5CC069FA"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MHE</w:t>
            </w:r>
          </w:p>
        </w:tc>
      </w:tr>
      <w:tr w:rsidR="001A5676" w:rsidRPr="001A5676" w14:paraId="231CACDA" w14:textId="77777777" w:rsidTr="004A2F47">
        <w:tc>
          <w:tcPr>
            <w:tcW w:w="2471" w:type="dxa"/>
            <w:tcBorders>
              <w:top w:val="single" w:sz="4" w:space="0" w:color="auto"/>
            </w:tcBorders>
          </w:tcPr>
          <w:p w14:paraId="2C911E4F"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EB</w:t>
            </w:r>
          </w:p>
        </w:tc>
        <w:tc>
          <w:tcPr>
            <w:tcW w:w="2472" w:type="dxa"/>
            <w:tcBorders>
              <w:top w:val="single" w:sz="4" w:space="0" w:color="auto"/>
            </w:tcBorders>
          </w:tcPr>
          <w:p w14:paraId="56448501"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Bactericide</w:t>
            </w:r>
          </w:p>
        </w:tc>
        <w:tc>
          <w:tcPr>
            <w:tcW w:w="2472" w:type="dxa"/>
            <w:tcBorders>
              <w:top w:val="single" w:sz="4" w:space="0" w:color="auto"/>
            </w:tcBorders>
          </w:tcPr>
          <w:p w14:paraId="1DAF5C12"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Bactericide</w:t>
            </w:r>
          </w:p>
        </w:tc>
        <w:tc>
          <w:tcPr>
            <w:tcW w:w="2472" w:type="dxa"/>
            <w:tcBorders>
              <w:top w:val="single" w:sz="4" w:space="0" w:color="auto"/>
            </w:tcBorders>
          </w:tcPr>
          <w:p w14:paraId="6B6BD6CF"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Absolute bactericide</w:t>
            </w:r>
          </w:p>
        </w:tc>
      </w:tr>
      <w:tr w:rsidR="001A5676" w:rsidRPr="001A5676" w14:paraId="62838342" w14:textId="77777777" w:rsidTr="004A2F47">
        <w:tc>
          <w:tcPr>
            <w:tcW w:w="2471" w:type="dxa"/>
          </w:tcPr>
          <w:p w14:paraId="1E1FDF2B"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PA</w:t>
            </w:r>
          </w:p>
        </w:tc>
        <w:tc>
          <w:tcPr>
            <w:tcW w:w="2472" w:type="dxa"/>
          </w:tcPr>
          <w:p w14:paraId="47C14266"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Absolute bactericide</w:t>
            </w:r>
          </w:p>
        </w:tc>
        <w:tc>
          <w:tcPr>
            <w:tcW w:w="2472" w:type="dxa"/>
          </w:tcPr>
          <w:p w14:paraId="5C1D0B5C"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Absolute bactericide</w:t>
            </w:r>
          </w:p>
        </w:tc>
        <w:tc>
          <w:tcPr>
            <w:tcW w:w="2472" w:type="dxa"/>
          </w:tcPr>
          <w:p w14:paraId="6149AD20"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Bacteriostatic</w:t>
            </w:r>
          </w:p>
        </w:tc>
      </w:tr>
      <w:tr w:rsidR="001A5676" w:rsidRPr="001A5676" w14:paraId="676A3E30" w14:textId="77777777" w:rsidTr="004A2F47">
        <w:tc>
          <w:tcPr>
            <w:tcW w:w="2471" w:type="dxa"/>
          </w:tcPr>
          <w:p w14:paraId="6A4F64A0"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ITS</w:t>
            </w:r>
          </w:p>
        </w:tc>
        <w:tc>
          <w:tcPr>
            <w:tcW w:w="2472" w:type="dxa"/>
          </w:tcPr>
          <w:p w14:paraId="02D42C50"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Bactericide</w:t>
            </w:r>
          </w:p>
        </w:tc>
        <w:tc>
          <w:tcPr>
            <w:tcW w:w="2472" w:type="dxa"/>
          </w:tcPr>
          <w:p w14:paraId="20B4B8E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Absolute bactericide</w:t>
            </w:r>
          </w:p>
        </w:tc>
        <w:tc>
          <w:tcPr>
            <w:tcW w:w="2472" w:type="dxa"/>
          </w:tcPr>
          <w:p w14:paraId="50264678"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Bactericide</w:t>
            </w:r>
          </w:p>
        </w:tc>
      </w:tr>
      <w:tr w:rsidR="001A5676" w:rsidRPr="001A5676" w14:paraId="4B040535" w14:textId="77777777" w:rsidTr="004A2F47">
        <w:tc>
          <w:tcPr>
            <w:tcW w:w="2471" w:type="dxa"/>
          </w:tcPr>
          <w:p w14:paraId="71E0940C"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EC</w:t>
            </w:r>
          </w:p>
        </w:tc>
        <w:tc>
          <w:tcPr>
            <w:tcW w:w="2472" w:type="dxa"/>
          </w:tcPr>
          <w:p w14:paraId="4F9C7DAE"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Bactericide</w:t>
            </w:r>
          </w:p>
        </w:tc>
        <w:tc>
          <w:tcPr>
            <w:tcW w:w="2472" w:type="dxa"/>
          </w:tcPr>
          <w:p w14:paraId="418E56A6"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Bactericide</w:t>
            </w:r>
          </w:p>
        </w:tc>
        <w:tc>
          <w:tcPr>
            <w:tcW w:w="2472" w:type="dxa"/>
          </w:tcPr>
          <w:p w14:paraId="0C9F015D"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Absolute bactericide</w:t>
            </w:r>
          </w:p>
        </w:tc>
      </w:tr>
    </w:tbl>
    <w:p w14:paraId="0A1DE52D" w14:textId="77777777" w:rsidR="00EE7F92" w:rsidRDefault="00EE7F92" w:rsidP="001A5676">
      <w:pPr>
        <w:pStyle w:val="Body"/>
        <w:spacing w:after="0"/>
        <w:rPr>
          <w:rFonts w:ascii="Arial" w:hAnsi="Arial" w:cs="Arial"/>
        </w:rPr>
      </w:pPr>
    </w:p>
    <w:p w14:paraId="74489379" w14:textId="7B801A04" w:rsidR="001A5676" w:rsidRPr="001A5676" w:rsidRDefault="001A5676" w:rsidP="001A5676">
      <w:pPr>
        <w:pStyle w:val="Body"/>
        <w:spacing w:after="0"/>
        <w:rPr>
          <w:rFonts w:ascii="Arial" w:hAnsi="Arial" w:cs="Arial"/>
        </w:rPr>
      </w:pPr>
      <w:r w:rsidRPr="001A5676">
        <w:rPr>
          <w:rFonts w:ascii="Arial" w:hAnsi="Arial" w:cs="Arial"/>
        </w:rPr>
        <w:t xml:space="preserve">Table 8 shows that </w:t>
      </w:r>
      <w:r w:rsidR="00CA16D7" w:rsidRPr="00CA16D7">
        <w:rPr>
          <w:rFonts w:ascii="Arial" w:hAnsi="Arial" w:cs="Arial"/>
          <w:i/>
          <w:iCs/>
        </w:rPr>
        <w:t xml:space="preserve">G. </w:t>
      </w:r>
      <w:proofErr w:type="spellStart"/>
      <w:proofErr w:type="gramStart"/>
      <w:r w:rsidR="00CA16D7" w:rsidRPr="00CA16D7">
        <w:rPr>
          <w:rFonts w:ascii="Arial" w:hAnsi="Arial" w:cs="Arial"/>
          <w:i/>
          <w:iCs/>
        </w:rPr>
        <w:t>mangostana</w:t>
      </w:r>
      <w:proofErr w:type="spellEnd"/>
      <w:r w:rsidR="00CA16D7" w:rsidRPr="00CA16D7">
        <w:rPr>
          <w:rFonts w:ascii="Arial" w:hAnsi="Arial" w:cs="Arial"/>
          <w:i/>
          <w:iCs/>
        </w:rPr>
        <w:t xml:space="preserve"> </w:t>
      </w:r>
      <w:r w:rsidRPr="001A5676">
        <w:rPr>
          <w:rFonts w:ascii="Arial" w:hAnsi="Arial" w:cs="Arial"/>
        </w:rPr>
        <w:t xml:space="preserve"> extracts</w:t>
      </w:r>
      <w:proofErr w:type="gramEnd"/>
      <w:r w:rsidRPr="001A5676">
        <w:rPr>
          <w:rFonts w:ascii="Arial" w:hAnsi="Arial" w:cs="Arial"/>
        </w:rPr>
        <w:t xml:space="preserve"> have antimicrobial power against </w:t>
      </w:r>
      <w:r w:rsidR="00BF0CCB" w:rsidRPr="00BF0CCB">
        <w:rPr>
          <w:rFonts w:ascii="Arial" w:hAnsi="Arial" w:cs="Arial"/>
          <w:i/>
          <w:iCs/>
        </w:rPr>
        <w:t>Escherichia coli</w:t>
      </w:r>
      <w:r w:rsidRPr="001A5676">
        <w:rPr>
          <w:rFonts w:ascii="Arial" w:hAnsi="Arial" w:cs="Arial"/>
        </w:rPr>
        <w:t xml:space="preserve">, </w:t>
      </w:r>
      <w:r w:rsidR="00CA16D7" w:rsidRPr="00CA16D7">
        <w:rPr>
          <w:rFonts w:ascii="Arial" w:hAnsi="Arial" w:cs="Arial"/>
          <w:i/>
          <w:iCs/>
        </w:rPr>
        <w:t>S. aureus</w:t>
      </w:r>
      <w:r w:rsidRPr="001A5676">
        <w:rPr>
          <w:rFonts w:ascii="Arial" w:hAnsi="Arial" w:cs="Arial"/>
        </w:rPr>
        <w:t xml:space="preserve">, </w:t>
      </w:r>
      <w:r w:rsidR="00CA16D7" w:rsidRPr="00CA16D7">
        <w:rPr>
          <w:rFonts w:ascii="Arial" w:hAnsi="Arial" w:cs="Arial"/>
          <w:i/>
          <w:iCs/>
        </w:rPr>
        <w:t>Pseudomonas aeruginosa</w:t>
      </w:r>
      <w:r w:rsidRPr="001A5676">
        <w:rPr>
          <w:rFonts w:ascii="Arial" w:hAnsi="Arial" w:cs="Arial"/>
        </w:rPr>
        <w:t xml:space="preserve"> and </w:t>
      </w:r>
      <w:r w:rsidR="00CA16D7" w:rsidRPr="00CA16D7">
        <w:rPr>
          <w:rFonts w:ascii="Arial" w:hAnsi="Arial" w:cs="Arial"/>
          <w:i/>
          <w:iCs/>
        </w:rPr>
        <w:t>Enterobacter cloacae</w:t>
      </w:r>
      <w:r w:rsidRPr="001A5676">
        <w:rPr>
          <w:rFonts w:ascii="Arial" w:hAnsi="Arial" w:cs="Arial"/>
        </w:rPr>
        <w:t xml:space="preserve"> and can be bactericidal/bacteriostatic depending on the extraction method and the germ, except for aqueous maceration which was bactericidal against all germs and in particular absolute bactericidal against </w:t>
      </w:r>
      <w:r w:rsidR="00CA16D7" w:rsidRPr="00CA16D7">
        <w:rPr>
          <w:rFonts w:ascii="Arial" w:hAnsi="Arial" w:cs="Arial"/>
          <w:i/>
          <w:iCs/>
        </w:rPr>
        <w:t>S. aureus</w:t>
      </w:r>
      <w:r w:rsidRPr="001A5676">
        <w:rPr>
          <w:rFonts w:ascii="Arial" w:hAnsi="Arial" w:cs="Arial"/>
        </w:rPr>
        <w:t xml:space="preserve"> and </w:t>
      </w:r>
      <w:r w:rsidR="00CA16D7" w:rsidRPr="00CA16D7">
        <w:rPr>
          <w:rFonts w:ascii="Arial" w:hAnsi="Arial" w:cs="Arial"/>
          <w:i/>
          <w:iCs/>
        </w:rPr>
        <w:t>Pseudomonas aeruginosa</w:t>
      </w:r>
      <w:r w:rsidRPr="001A5676">
        <w:rPr>
          <w:rFonts w:ascii="Arial" w:hAnsi="Arial" w:cs="Arial"/>
        </w:rPr>
        <w:t>.</w:t>
      </w:r>
    </w:p>
    <w:p w14:paraId="74BF93EB" w14:textId="77777777" w:rsidR="00EE7F92" w:rsidRDefault="00EE7F92" w:rsidP="001A5676">
      <w:pPr>
        <w:pStyle w:val="Body"/>
        <w:spacing w:after="0"/>
        <w:rPr>
          <w:rFonts w:ascii="Arial" w:hAnsi="Arial" w:cs="Arial"/>
        </w:rPr>
      </w:pPr>
      <w:bookmarkStart w:id="55" w:name="_Toc137924747"/>
    </w:p>
    <w:p w14:paraId="225B425E" w14:textId="24DFAED5" w:rsidR="001A5676" w:rsidRPr="00EE7F92" w:rsidRDefault="00EE7F92" w:rsidP="001A5676">
      <w:pPr>
        <w:pStyle w:val="Body"/>
        <w:spacing w:after="0"/>
        <w:rPr>
          <w:rFonts w:ascii="Arial" w:hAnsi="Arial" w:cs="Arial"/>
          <w:b/>
          <w:bCs/>
        </w:rPr>
      </w:pPr>
      <w:r>
        <w:rPr>
          <w:rFonts w:ascii="Arial" w:hAnsi="Arial" w:cs="Arial"/>
          <w:b/>
          <w:bCs/>
        </w:rPr>
        <w:lastRenderedPageBreak/>
        <w:t xml:space="preserve">3.5. </w:t>
      </w:r>
      <w:r w:rsidR="001A5676" w:rsidRPr="00EE7F92">
        <w:rPr>
          <w:rFonts w:ascii="Arial" w:hAnsi="Arial" w:cs="Arial"/>
          <w:b/>
          <w:bCs/>
        </w:rPr>
        <w:t>DISCUSSION</w:t>
      </w:r>
      <w:bookmarkEnd w:id="55"/>
    </w:p>
    <w:p w14:paraId="220DE0A0" w14:textId="2535BFD8" w:rsidR="001A5676" w:rsidRPr="001A5676" w:rsidRDefault="001A5676" w:rsidP="001A5676">
      <w:pPr>
        <w:pStyle w:val="Body"/>
        <w:spacing w:after="0"/>
        <w:rPr>
          <w:rFonts w:ascii="Arial" w:hAnsi="Arial" w:cs="Arial"/>
        </w:rPr>
      </w:pPr>
      <w:r w:rsidRPr="001A5676">
        <w:rPr>
          <w:rFonts w:ascii="Arial" w:hAnsi="Arial" w:cs="Arial"/>
        </w:rPr>
        <w:t xml:space="preserve">This study investigated the antioxidant and antibacterial activities of the pericarp of </w:t>
      </w:r>
      <w:r w:rsidR="00CA16D7" w:rsidRPr="00CA16D7">
        <w:rPr>
          <w:rFonts w:ascii="Arial" w:hAnsi="Arial" w:cs="Arial"/>
          <w:i/>
          <w:iCs/>
        </w:rPr>
        <w:t xml:space="preserve">G. </w:t>
      </w:r>
      <w:proofErr w:type="spellStart"/>
      <w:proofErr w:type="gramStart"/>
      <w:r w:rsidR="00CA16D7" w:rsidRPr="00CA16D7">
        <w:rPr>
          <w:rFonts w:ascii="Arial" w:hAnsi="Arial" w:cs="Arial"/>
          <w:i/>
          <w:iCs/>
        </w:rPr>
        <w:t>mangostana</w:t>
      </w:r>
      <w:proofErr w:type="spellEnd"/>
      <w:r w:rsidR="00CA16D7" w:rsidRPr="00CA16D7">
        <w:rPr>
          <w:rFonts w:ascii="Arial" w:hAnsi="Arial" w:cs="Arial"/>
          <w:i/>
          <w:iCs/>
        </w:rPr>
        <w:t xml:space="preserve"> </w:t>
      </w:r>
      <w:r w:rsidRPr="001A5676">
        <w:rPr>
          <w:rFonts w:ascii="Arial" w:hAnsi="Arial" w:cs="Arial"/>
        </w:rPr>
        <w:t xml:space="preserve"> fruit</w:t>
      </w:r>
      <w:proofErr w:type="gramEnd"/>
      <w:r w:rsidRPr="001A5676">
        <w:rPr>
          <w:rFonts w:ascii="Arial" w:hAnsi="Arial" w:cs="Arial"/>
        </w:rPr>
        <w:t xml:space="preserve"> . The plant material consisted of the fruit pericarp because this part is reported to have a high concentration of secondary metabolites with antioxidant and antibacterial potential </w:t>
      </w:r>
      <w:r w:rsidRPr="001A5676">
        <w:rPr>
          <w:rFonts w:ascii="Arial" w:hAnsi="Arial" w:cs="Arial"/>
        </w:rPr>
        <w:fldChar w:fldCharType="begin"/>
      </w:r>
      <w:r w:rsidR="00CA16D7">
        <w:rPr>
          <w:rFonts w:ascii="Arial" w:hAnsi="Arial" w:cs="Arial"/>
        </w:rPr>
        <w:instrText xml:space="preserve"> ADDIN EN.CITE &lt;EndNote&gt;&lt;Cite&gt;&lt;Author&gt;Trease&lt;/Author&gt;&lt;Year&gt;2002&lt;/Year&gt;&lt;RecNum&gt;66&lt;/RecNum&gt;&lt;DisplayText&gt;(Trease &amp;amp; Evans, 2002)&lt;/DisplayText&gt;&lt;record&gt;&lt;rec-number&gt;66&lt;/rec-number&gt;&lt;foreign-keys&gt;&lt;key app="EN" db-id="xd20ava0ss0z06e9fzmxda9qwp2twsza5092" timestamp="1774870881"&gt;66&lt;/key&gt;&lt;/foreign-keys&gt;&lt;ref-type name="Journal Article"&gt;17&lt;/ref-type&gt;&lt;contributors&gt;&lt;authors&gt;&lt;author&gt;Trease, G.&lt;/author&gt;&lt;author&gt;Evans, W.&lt;/author&gt;&lt;/authors&gt;&lt;/contributors&gt;&lt;titles&gt;&lt;title&gt;Chemistry and biochemistru of dietary polyphenols&lt;/title&gt;&lt;secondary-title&gt;Journal of Pharmacognosy&lt;/secondary-title&gt;&lt;/titles&gt;&lt;periodical&gt;&lt;full-title&gt;Journal of Pharmacognosy&lt;/full-title&gt;&lt;/periodical&gt;&lt;pages&gt;391-393&lt;/pages&gt;&lt;dates&gt;&lt;year&gt;2002&lt;/year&gt;&lt;/dates&gt;&lt;urls&gt;&lt;/urls&gt;&lt;/record&gt;&lt;/Cite&gt;&lt;/EndNote&gt;</w:instrText>
      </w:r>
      <w:r w:rsidRPr="001A5676">
        <w:rPr>
          <w:rFonts w:ascii="Arial" w:hAnsi="Arial" w:cs="Arial"/>
        </w:rPr>
        <w:fldChar w:fldCharType="separate"/>
      </w:r>
      <w:r w:rsidR="00CA16D7">
        <w:rPr>
          <w:rFonts w:ascii="Arial" w:hAnsi="Arial" w:cs="Arial"/>
          <w:noProof/>
        </w:rPr>
        <w:t>(Trease &amp; Evans, 2002)</w:t>
      </w:r>
      <w:r w:rsidRPr="001A5676">
        <w:rPr>
          <w:rFonts w:ascii="Arial" w:hAnsi="Arial" w:cs="Arial"/>
        </w:rPr>
        <w:fldChar w:fldCharType="end"/>
      </w:r>
      <w:r w:rsidRPr="001A5676">
        <w:rPr>
          <w:rFonts w:ascii="Arial" w:hAnsi="Arial" w:cs="Arial"/>
        </w:rPr>
        <w:t xml:space="preserve">. To carry out this work, extraction from the dry powder of the pericarp was performed using solvents of different polarities: distilled water, ethanol, and an ethanol/ water mixture in a 70/30 (v/v) ratio. The extraction yields were 2.76%, 1.40%, and 1% for the extracts obtained by hydroethanolic maceration, aqueous decoction, and aqueous maceration, respectively. The hydroethanolic maceration, which showed the highest yield, demonstrates its greater extraction capacity compared to maceration and aqueous decoction. Our results are consistent with those reported in the literature and can be explained by the fact that using solvents with different polarities allows the compounds in the crude extract to be separated according to their degree of solubility in the extraction solvent. This method, carried out at room temperature, allows for the extraction of the maximum number of compounds and prevents their denaturation or probable modification due to high temperatures </w:t>
      </w:r>
      <w:r w:rsidRPr="001A5676">
        <w:rPr>
          <w:rFonts w:ascii="Arial" w:hAnsi="Arial" w:cs="Arial"/>
        </w:rPr>
        <w:fldChar w:fldCharType="begin"/>
      </w:r>
      <w:r w:rsidR="00CA16D7">
        <w:rPr>
          <w:rFonts w:ascii="Arial" w:hAnsi="Arial" w:cs="Arial"/>
        </w:rPr>
        <w:instrText xml:space="preserve"> ADDIN EN.CITE &lt;EndNote&gt;&lt;Cite&gt;&lt;Author&gt;Bourgou&lt;/Author&gt;&lt;Year&gt;2009&lt;/Year&gt;&lt;RecNum&gt;67&lt;/RecNum&gt;&lt;DisplayText&gt;(A. Bourgou &amp;amp; Cheng-Wu, 2009)&lt;/DisplayText&gt;&lt;record&gt;&lt;rec-number&gt;67&lt;/rec-number&gt;&lt;foreign-keys&gt;&lt;key app="EN" db-id="xd20ava0ss0z06e9fzmxda9qwp2twsza5092" timestamp="1774870881"&gt;67&lt;/key&gt;&lt;/foreign-keys&gt;&lt;ref-type name="Journal Article"&gt;17&lt;/ref-type&gt;&lt;contributors&gt;&lt;authors&gt;&lt;author&gt;Bourgou, A.&lt;/author&gt;&lt;author&gt;Cheng-Wu, Jin&lt;/author&gt;&lt;/authors&gt;&lt;/contributors&gt;&lt;titles&gt;&lt;title&gt;Antioxidant activity and quantitative estimation of azadirachtin and nimbin in Azadirachta Indica. Grown in foothills of Nepal&lt;/title&gt;&lt;/titles&gt;&lt;pages&gt;384-391&lt;/pages&gt;&lt;volume&gt;8&lt;/volume&gt;&lt;number&gt;13&lt;/number&gt;&lt;dates&gt;&lt;year&gt;2009&lt;/year&gt;&lt;/dates&gt;&lt;urls&gt;&lt;/urls&gt;&lt;/record&gt;&lt;/Cite&gt;&lt;/EndNote&gt;</w:instrText>
      </w:r>
      <w:r w:rsidRPr="001A5676">
        <w:rPr>
          <w:rFonts w:ascii="Arial" w:hAnsi="Arial" w:cs="Arial"/>
        </w:rPr>
        <w:fldChar w:fldCharType="separate"/>
      </w:r>
      <w:r w:rsidR="00CA16D7">
        <w:rPr>
          <w:rFonts w:ascii="Arial" w:hAnsi="Arial" w:cs="Arial"/>
          <w:noProof/>
        </w:rPr>
        <w:t>(A. Bourgou &amp; Cheng-Wu, 2009)</w:t>
      </w:r>
      <w:r w:rsidRPr="001A5676">
        <w:rPr>
          <w:rFonts w:ascii="Arial" w:hAnsi="Arial" w:cs="Arial"/>
        </w:rPr>
        <w:fldChar w:fldCharType="end"/>
      </w:r>
      <w:r w:rsidRPr="001A5676">
        <w:rPr>
          <w:rFonts w:ascii="Arial" w:hAnsi="Arial" w:cs="Arial"/>
        </w:rPr>
        <w:t xml:space="preserve">. According to the results of Bourgou et al . </w:t>
      </w:r>
      <w:r w:rsidRPr="001A5676">
        <w:rPr>
          <w:rFonts w:ascii="Arial" w:hAnsi="Arial" w:cs="Arial"/>
        </w:rPr>
        <w:fldChar w:fldCharType="begin"/>
      </w:r>
      <w:r w:rsidR="00CA16D7">
        <w:rPr>
          <w:rFonts w:ascii="Arial" w:hAnsi="Arial" w:cs="Arial"/>
        </w:rPr>
        <w:instrText xml:space="preserve"> ADDIN EN.CITE &lt;EndNote&gt;&lt;Cite&gt;&lt;Author&gt;Bourgou&lt;/Author&gt;&lt;Year&gt;2016&lt;/Year&gt;&lt;RecNum&gt;82&lt;/RecNum&gt;&lt;DisplayText&gt;(S. Bourgou, Beji, Medini, &amp;amp; Ksouri, 2016)&lt;/DisplayText&gt;&lt;record&gt;&lt;rec-number&gt;82&lt;/rec-number&gt;&lt;foreign-keys&gt;&lt;key app="EN" db-id="xd20ava0ss0z06e9fzmxda9qwp2twsza5092" timestamp="1774874021"&gt;82&lt;/key&gt;&lt;/foreign-keys&gt;&lt;ref-type name="Journal Article"&gt;17&lt;/ref-type&gt;&lt;contributors&gt;&lt;authors&gt;&lt;author&gt;Bourgou, S.&lt;/author&gt;&lt;author&gt;Beji, R. S.&lt;/author&gt;&lt;author&gt;Medini, F.&lt;/author&gt;&lt;author&gt;Ksouri, R.&lt;/author&gt;&lt;/authors&gt;&lt;/contributors&gt;&lt;titles&gt;&lt;title&gt;Effet du solvant et de la méthode d&amp;apos;extraction sur la teneur en composés phénoliques et les potentialités antioxydantes d&amp;apos;Euphorbia helioscopia&lt;/title&gt;&lt;secondary-title&gt;Journal of New Sciences, Agriculture and Biotechnology&lt;/secondary-title&gt;&lt;/titles&gt;&lt;periodical&gt;&lt;full-title&gt;Journal of New Sciences, Agriculture and Biotechnology&lt;/full-title&gt;&lt;/periodical&gt;&lt;pages&gt;1649-1655&lt;/pages&gt;&lt;volume&gt;28&lt;/volume&gt;&lt;number&gt;12&lt;/number&gt;&lt;dates&gt;&lt;year&gt;2016&lt;/year&gt;&lt;/dates&gt;&lt;isbn&gt;2286-5314&lt;/isbn&gt;&lt;urls&gt;&lt;/urls&gt;&lt;/record&gt;&lt;/Cite&gt;&lt;/EndNote&gt;</w:instrText>
      </w:r>
      <w:r w:rsidRPr="001A5676">
        <w:rPr>
          <w:rFonts w:ascii="Arial" w:hAnsi="Arial" w:cs="Arial"/>
        </w:rPr>
        <w:fldChar w:fldCharType="separate"/>
      </w:r>
      <w:r w:rsidR="00CA16D7">
        <w:rPr>
          <w:rFonts w:ascii="Arial" w:hAnsi="Arial" w:cs="Arial"/>
          <w:noProof/>
        </w:rPr>
        <w:t>(S. Bourgou, Beji, Medini, &amp; Ksouri, 2016)</w:t>
      </w:r>
      <w:r w:rsidRPr="001A5676">
        <w:rPr>
          <w:rFonts w:ascii="Arial" w:hAnsi="Arial" w:cs="Arial"/>
        </w:rPr>
        <w:fldChar w:fldCharType="end"/>
      </w:r>
      <w:r w:rsidRPr="001A5676">
        <w:rPr>
          <w:rFonts w:ascii="Arial" w:hAnsi="Arial" w:cs="Arial"/>
        </w:rPr>
        <w:t xml:space="preserve">, the extraction power of the solvent significantly influences the yield; the mixed solvent proves to be particularly effective. Subsequently, extracts of </w:t>
      </w:r>
      <w:r w:rsidR="00CA16D7" w:rsidRPr="00CA16D7">
        <w:rPr>
          <w:rFonts w:ascii="Arial" w:hAnsi="Arial" w:cs="Arial"/>
          <w:i/>
          <w:iCs/>
        </w:rPr>
        <w:t xml:space="preserve">G. </w:t>
      </w:r>
      <w:proofErr w:type="spellStart"/>
      <w:proofErr w:type="gramStart"/>
      <w:r w:rsidR="00CA16D7" w:rsidRPr="00CA16D7">
        <w:rPr>
          <w:rFonts w:ascii="Arial" w:hAnsi="Arial" w:cs="Arial"/>
          <w:i/>
          <w:iCs/>
        </w:rPr>
        <w:t>mangostana</w:t>
      </w:r>
      <w:proofErr w:type="spellEnd"/>
      <w:r w:rsidR="00CA16D7" w:rsidRPr="00CA16D7">
        <w:rPr>
          <w:rFonts w:ascii="Arial" w:hAnsi="Arial" w:cs="Arial"/>
          <w:i/>
          <w:iCs/>
        </w:rPr>
        <w:t xml:space="preserve"> </w:t>
      </w:r>
      <w:r w:rsidRPr="001A5676">
        <w:rPr>
          <w:rFonts w:ascii="Arial" w:hAnsi="Arial" w:cs="Arial"/>
        </w:rPr>
        <w:t xml:space="preserve"> underwent</w:t>
      </w:r>
      <w:proofErr w:type="gramEnd"/>
      <w:r w:rsidRPr="001A5676">
        <w:rPr>
          <w:rFonts w:ascii="Arial" w:hAnsi="Arial" w:cs="Arial"/>
        </w:rPr>
        <w:t xml:space="preserve"> phytochemical analysis tailored to the desired activities. This allowed for the qualitative and quantitative determination, through colorimetric tests and assays, of the different groups of secondary metabolites present in the plant, as well as their concentrations. The primary reason for identifying these metabolites lies in the fact that the majority of the plant's pharmacological effects are attributed to them. The results confirm the richness of the </w:t>
      </w:r>
      <w:r w:rsidR="00CA16D7" w:rsidRPr="00CA16D7">
        <w:rPr>
          <w:rFonts w:ascii="Arial" w:hAnsi="Arial" w:cs="Arial"/>
          <w:i/>
          <w:iCs/>
        </w:rPr>
        <w:t xml:space="preserve">G. </w:t>
      </w:r>
      <w:proofErr w:type="spellStart"/>
      <w:proofErr w:type="gramStart"/>
      <w:r w:rsidR="00CA16D7" w:rsidRPr="00CA16D7">
        <w:rPr>
          <w:rFonts w:ascii="Arial" w:hAnsi="Arial" w:cs="Arial"/>
          <w:i/>
          <w:iCs/>
        </w:rPr>
        <w:t>mangostana</w:t>
      </w:r>
      <w:proofErr w:type="spellEnd"/>
      <w:r w:rsidR="00CA16D7" w:rsidRPr="00CA16D7">
        <w:rPr>
          <w:rFonts w:ascii="Arial" w:hAnsi="Arial" w:cs="Arial"/>
          <w:i/>
          <w:iCs/>
        </w:rPr>
        <w:t xml:space="preserve"> </w:t>
      </w:r>
      <w:r w:rsidRPr="001A5676">
        <w:rPr>
          <w:rFonts w:ascii="Arial" w:hAnsi="Arial" w:cs="Arial"/>
        </w:rPr>
        <w:t xml:space="preserve"> fruit</w:t>
      </w:r>
      <w:proofErr w:type="gramEnd"/>
      <w:r w:rsidRPr="001A5676">
        <w:rPr>
          <w:rFonts w:ascii="Arial" w:hAnsi="Arial" w:cs="Arial"/>
        </w:rPr>
        <w:t xml:space="preserve">. </w:t>
      </w:r>
      <w:proofErr w:type="spellStart"/>
      <w:r w:rsidRPr="001A5676">
        <w:rPr>
          <w:rFonts w:ascii="Arial" w:hAnsi="Arial" w:cs="Arial"/>
        </w:rPr>
        <w:t>Mangostana</w:t>
      </w:r>
      <w:proofErr w:type="spellEnd"/>
      <w:r w:rsidRPr="001A5676">
        <w:rPr>
          <w:rFonts w:ascii="Arial" w:hAnsi="Arial" w:cs="Arial"/>
        </w:rPr>
        <w:t xml:space="preserve"> contains bioactive substances such as phenols, alkaloids, anthocyanins, saponins, flavonoids, and tannins, while steroids are absent in all extracts. Observation of the assay results reveals a variation in the levels of total phenols, total flavonoids, and total tannins depending on the solvent used, ranging from 1.16 to 1.85 mg/ml for total phenols, 0.25 to 0.47 mg/ml for total flavonoids, and 0.11 to 0.16 mg/ml for total tannins, with a higher concentration in each case in the hydroethanolic extract. These results are consistent with the work conducted by Shela et al. </w:t>
      </w:r>
      <w:r w:rsidRPr="001A5676">
        <w:rPr>
          <w:rFonts w:ascii="Arial" w:hAnsi="Arial" w:cs="Arial"/>
        </w:rPr>
        <w:fldChar w:fldCharType="begin"/>
      </w:r>
      <w:r w:rsidR="00CA16D7">
        <w:rPr>
          <w:rFonts w:ascii="Arial" w:hAnsi="Arial" w:cs="Arial"/>
        </w:rPr>
        <w:instrText xml:space="preserve"> ADDIN EN.CITE &lt;EndNote&gt;&lt;Cite&gt;&lt;Author&gt;Shela&lt;/Author&gt;&lt;Year&gt;2011&lt;/Year&gt;&lt;RecNum&gt;83&lt;/RecNum&gt;&lt;DisplayText&gt;(Shela, Mamta, &amp;amp; Shiwani, 2011)&lt;/DisplayText&gt;&lt;record&gt;&lt;rec-number&gt;83&lt;/rec-number&gt;&lt;foreign-keys&gt;&lt;key app="EN" db-id="xd20ava0ss0z06e9fzmxda9qwp2twsza5092" timestamp="1774874258"&gt;83&lt;/key&gt;&lt;/foreign-keys&gt;&lt;ref-type name="Journal Article"&gt;17&lt;/ref-type&gt;&lt;contributors&gt;&lt;authors&gt;&lt;author&gt;Shela, G.&lt;/author&gt;&lt;author&gt;Mamta, S.&lt;/author&gt;&lt;author&gt;Shiwani, G.&lt;/author&gt;&lt;/authors&gt;&lt;/contributors&gt;&lt;titles&gt;&lt;title&gt;Phytochemical screening and antioxidant activity of Cassia fistula L. leaf extracts&lt;/title&gt;&lt;secondary-title&gt;Journal of Chemical and Pharmaceutical Research&lt;/secondary-title&gt;&lt;/titles&gt;&lt;periodical&gt;&lt;full-title&gt;Journal of Chemical and Pharmaceutical Research&lt;/full-title&gt;&lt;/periodical&gt;&lt;pages&gt;194-199&lt;/pages&gt;&lt;volume&gt;3&lt;/volume&gt;&lt;number&gt;6&lt;/number&gt;&lt;dates&gt;&lt;year&gt;2011&lt;/year&gt;&lt;/dates&gt;&lt;urls&gt;&lt;/urls&gt;&lt;/record&gt;&lt;/Cite&gt;&lt;/EndNote&gt;</w:instrText>
      </w:r>
      <w:r w:rsidRPr="001A5676">
        <w:rPr>
          <w:rFonts w:ascii="Arial" w:hAnsi="Arial" w:cs="Arial"/>
        </w:rPr>
        <w:fldChar w:fldCharType="separate"/>
      </w:r>
      <w:r w:rsidR="00CA16D7">
        <w:rPr>
          <w:rFonts w:ascii="Arial" w:hAnsi="Arial" w:cs="Arial"/>
          <w:noProof/>
        </w:rPr>
        <w:t>(Shela, Mamta, &amp; Shiwani, 2011)</w:t>
      </w:r>
      <w:r w:rsidRPr="001A5676">
        <w:rPr>
          <w:rFonts w:ascii="Arial" w:hAnsi="Arial" w:cs="Arial"/>
        </w:rPr>
        <w:fldChar w:fldCharType="end"/>
      </w:r>
      <w:r w:rsidRPr="001A5676">
        <w:rPr>
          <w:rFonts w:ascii="Arial" w:hAnsi="Arial" w:cs="Arial"/>
        </w:rPr>
        <w:t xml:space="preserve">who obtained a higher total polyphenol content in the hydroethanolic extract than in the other extracts. However, our results contradict in some respects those of the study by Assemian et al . </w:t>
      </w:r>
      <w:r w:rsidRPr="001A5676">
        <w:rPr>
          <w:rFonts w:ascii="Arial" w:hAnsi="Arial" w:cs="Arial"/>
        </w:rPr>
        <w:fldChar w:fldCharType="begin"/>
      </w:r>
      <w:r w:rsidR="00CA16D7">
        <w:rPr>
          <w:rFonts w:ascii="Arial" w:hAnsi="Arial" w:cs="Arial"/>
        </w:rPr>
        <w:instrText xml:space="preserve"> ADDIN EN.CITE &lt;EndNote&gt;&lt;Cite&gt;&lt;Author&gt;Assemian&lt;/Author&gt;&lt;Year&gt;2022&lt;/Year&gt;&lt;RecNum&gt;84&lt;/RecNum&gt;&lt;DisplayText&gt;(Assemian, Guessennd, Adou, &amp;amp; Dosso, 2022)&lt;/DisplayText&gt;&lt;record&gt;&lt;rec-number&gt;84&lt;/rec-number&gt;&lt;foreign-keys&gt;&lt;key app="EN" db-id="xd20ava0ss0z06e9fzmxda9qwp2twsza5092" timestamp="1774874258"&gt;84&lt;/key&gt;&lt;/foreign-keys&gt;&lt;ref-type name="Journal Article"&gt;17&lt;/ref-type&gt;&lt;contributors&gt;&lt;authors&gt;&lt;author&gt;Assemian, A. S.&lt;/author&gt;&lt;author&gt;Guessennd, N. K.&lt;/author&gt;&lt;author&gt;Adou, K. F.&lt;/author&gt;&lt;author&gt;Dosso, M.&lt;/author&gt;&lt;/authors&gt;&lt;/contributors&gt;&lt;titles&gt;&lt;title&gt;Étude phytochimique et activité antibactérienne des extraits de Crateva adansonii DC (Capparaceae) sur les souches de Staphylococcus aureus et Pseudomonas aeruginosa&lt;/title&gt;&lt;secondary-title&gt;Journal of Applied Biosciences&lt;/secondary-title&gt;&lt;/titles&gt;&lt;periodical&gt;&lt;full-title&gt;Journal of Applied Biosciences&lt;/full-title&gt;&lt;/periodical&gt;&lt;pages&gt;17891-17904&lt;/pages&gt;&lt;volume&gt;172&lt;/volume&gt;&lt;dates&gt;&lt;year&gt;2022&lt;/year&gt;&lt;/dates&gt;&lt;urls&gt;&lt;/urls&gt;&lt;/record&gt;&lt;/Cite&gt;&lt;/EndNote&gt;</w:instrText>
      </w:r>
      <w:r w:rsidRPr="001A5676">
        <w:rPr>
          <w:rFonts w:ascii="Arial" w:hAnsi="Arial" w:cs="Arial"/>
        </w:rPr>
        <w:fldChar w:fldCharType="separate"/>
      </w:r>
      <w:r w:rsidR="00CA16D7">
        <w:rPr>
          <w:rFonts w:ascii="Arial" w:hAnsi="Arial" w:cs="Arial"/>
          <w:noProof/>
        </w:rPr>
        <w:t>(Assemian, Guessennd, Adou, &amp; Dosso, 2022)</w:t>
      </w:r>
      <w:r w:rsidRPr="001A5676">
        <w:rPr>
          <w:rFonts w:ascii="Arial" w:hAnsi="Arial" w:cs="Arial"/>
        </w:rPr>
        <w:fldChar w:fldCharType="end"/>
      </w:r>
      <w:r w:rsidRPr="001A5676">
        <w:rPr>
          <w:rFonts w:ascii="Arial" w:hAnsi="Arial" w:cs="Arial"/>
        </w:rPr>
        <w:t xml:space="preserve">who noted the presence of steroids in the hydroethanolic extract during the staining tests. Furthermore, according to the work of </w:t>
      </w:r>
      <w:proofErr w:type="spellStart"/>
      <w:r w:rsidRPr="001A5676">
        <w:rPr>
          <w:rFonts w:ascii="Arial" w:hAnsi="Arial" w:cs="Arial"/>
        </w:rPr>
        <w:t>Monrudee</w:t>
      </w:r>
      <w:proofErr w:type="spellEnd"/>
      <w:r w:rsidRPr="001A5676">
        <w:rPr>
          <w:rFonts w:ascii="Arial" w:hAnsi="Arial" w:cs="Arial"/>
        </w:rPr>
        <w:t xml:space="preserve"> et al. in </w:t>
      </w:r>
      <w:proofErr w:type="gramStart"/>
      <w:r w:rsidRPr="001A5676">
        <w:rPr>
          <w:rFonts w:ascii="Arial" w:hAnsi="Arial" w:cs="Arial"/>
        </w:rPr>
        <w:t>2011 ,</w:t>
      </w:r>
      <w:proofErr w:type="gramEnd"/>
      <w:r w:rsidRPr="001A5676">
        <w:rPr>
          <w:rFonts w:ascii="Arial" w:hAnsi="Arial" w:cs="Arial"/>
        </w:rPr>
        <w:t xml:space="preserve"> total tannins have a higher content than total flavonoids in all extracts, which is not the case in the present study. Indeed, the synthesis and accumulation of secondary metabolites vary according to biotic factors (related to the plant itself) and abiotic factors (related to the environment in which the plant grows). Biotic factors include the part of the plant used, the age of the plant at harvest or the stage of development while abiotic factors are climate, season, time and place of harvest, application of fertilizers, crop density </w:t>
      </w:r>
      <w:r w:rsidRPr="001A5676">
        <w:rPr>
          <w:rFonts w:ascii="Arial" w:hAnsi="Arial" w:cs="Arial"/>
        </w:rPr>
        <w:fldChar w:fldCharType="begin"/>
      </w:r>
      <w:r w:rsidR="00CA16D7">
        <w:rPr>
          <w:rFonts w:ascii="Arial" w:hAnsi="Arial" w:cs="Arial"/>
        </w:rPr>
        <w:instrText xml:space="preserve"> ADDIN EN.CITE &lt;EndNote&gt;&lt;Cite&gt;&lt;Author&gt;Monrudee&lt;/Author&gt;&lt;Year&gt;2011&lt;/Year&gt;&lt;RecNum&gt;69&lt;/RecNum&gt;&lt;DisplayText&gt;(Monrudee &amp;amp; Tanasait, 2011)&lt;/DisplayText&gt;&lt;record&gt;&lt;rec-number&gt;69&lt;/rec-number&gt;&lt;foreign-keys&gt;&lt;key app="EN" db-id="xd20ava0ss0z06e9fzmxda9qwp2twsza5092" timestamp="1774870881"&gt;69&lt;/key&gt;&lt;/foreign-keys&gt;&lt;ref-type name="Journal Article"&gt;17&lt;/ref-type&gt;&lt;contributors&gt;&lt;authors&gt;&lt;author&gt;Monrudee, S.&lt;/author&gt;&lt;author&gt;Tanasait, N.&lt;/author&gt;&lt;/authors&gt;&lt;/contributors&gt;&lt;titles&gt;&lt;title&gt;Antioxydant properties of squeezed mangosteen juice&lt;/title&gt;&lt;secondary-title&gt;Thai Journal Pharmaceutical Sciences&lt;/secondary-title&gt;&lt;/titles&gt;&lt;periodical&gt;&lt;full-title&gt;Thai Journal Pharmaceutical Sciences&lt;/full-title&gt;&lt;/periodical&gt;&lt;pages&gt;176-187&lt;/pages&gt;&lt;dates&gt;&lt;year&gt;2011&lt;/year&gt;&lt;/dates&gt;&lt;urls&gt;&lt;/urls&gt;&lt;/record&gt;&lt;/Cite&gt;&lt;/EndNote&gt;</w:instrText>
      </w:r>
      <w:r w:rsidRPr="001A5676">
        <w:rPr>
          <w:rFonts w:ascii="Arial" w:hAnsi="Arial" w:cs="Arial"/>
        </w:rPr>
        <w:fldChar w:fldCharType="separate"/>
      </w:r>
      <w:r w:rsidR="00CA16D7">
        <w:rPr>
          <w:rFonts w:ascii="Arial" w:hAnsi="Arial" w:cs="Arial"/>
          <w:noProof/>
        </w:rPr>
        <w:t>(Monrudee &amp; Tanasait, 2011)</w:t>
      </w:r>
      <w:r w:rsidRPr="001A5676">
        <w:rPr>
          <w:rFonts w:ascii="Arial" w:hAnsi="Arial" w:cs="Arial"/>
        </w:rPr>
        <w:fldChar w:fldCharType="end"/>
      </w:r>
      <w:r w:rsidRPr="001A5676">
        <w:rPr>
          <w:rFonts w:ascii="Arial" w:hAnsi="Arial" w:cs="Arial"/>
        </w:rPr>
        <w:t>.</w:t>
      </w:r>
    </w:p>
    <w:p w14:paraId="096F10C0" w14:textId="00C35DA2" w:rsidR="001A5676" w:rsidRPr="001A5676" w:rsidRDefault="001A5676" w:rsidP="001A5676">
      <w:pPr>
        <w:pStyle w:val="Body"/>
        <w:spacing w:after="0"/>
        <w:rPr>
          <w:rFonts w:ascii="Arial" w:hAnsi="Arial" w:cs="Arial"/>
        </w:rPr>
      </w:pPr>
      <w:r w:rsidRPr="001A5676">
        <w:rPr>
          <w:rFonts w:ascii="Arial" w:hAnsi="Arial" w:cs="Arial"/>
        </w:rPr>
        <w:t xml:space="preserve">Regarding antioxidant activity, several methods can be used in </w:t>
      </w:r>
      <w:proofErr w:type="gramStart"/>
      <w:r w:rsidRPr="001A5676">
        <w:rPr>
          <w:rFonts w:ascii="Arial" w:hAnsi="Arial" w:cs="Arial"/>
        </w:rPr>
        <w:t>vitro .</w:t>
      </w:r>
      <w:proofErr w:type="gramEnd"/>
      <w:r w:rsidRPr="001A5676">
        <w:rPr>
          <w:rFonts w:ascii="Arial" w:hAnsi="Arial" w:cs="Arial"/>
        </w:rPr>
        <w:t xml:space="preserve"> The methods applied in our study are DPPH free radical scavenging and the FRAP method. These methods were chosen due to their simplicity, speed, sensitivity, and reproducibility. Using the DPPH radical scavenging method, the IC50 values are approximately 19.97 µg/ml for the aqueous extract obtained by maceration, 17.12 µg/ml for the aqueous decoction extract, and 15.71 µg/ml for the hydroethanolic extract. The higher the IC</w:t>
      </w:r>
      <w:proofErr w:type="gramStart"/>
      <w:r w:rsidRPr="001A5676">
        <w:rPr>
          <w:rFonts w:ascii="Arial" w:hAnsi="Arial" w:cs="Arial"/>
        </w:rPr>
        <w:t>50 ,</w:t>
      </w:r>
      <w:proofErr w:type="gramEnd"/>
      <w:r w:rsidRPr="001A5676">
        <w:rPr>
          <w:rFonts w:ascii="Arial" w:hAnsi="Arial" w:cs="Arial"/>
        </w:rPr>
        <w:t xml:space="preserve"> the lower the free radical scavenging capacity and therefore the lower the antioxidant activity, as it represents the amount of antioxidant required to reduce the free radical concentration by 50%. That said, the hydroethanolic extract has a higher antioxidant capacity than the other extracts and the reference antioxidant (BHT), which has an IC50 of 17.91. These results are close to those of Abdul et al. </w:t>
      </w:r>
      <w:r w:rsidRPr="001A5676">
        <w:rPr>
          <w:rFonts w:ascii="Arial" w:hAnsi="Arial" w:cs="Arial"/>
        </w:rPr>
        <w:fldChar w:fldCharType="begin"/>
      </w:r>
      <w:r w:rsidR="00CA16D7">
        <w:rPr>
          <w:rFonts w:ascii="Arial" w:hAnsi="Arial" w:cs="Arial"/>
        </w:rPr>
        <w:instrText xml:space="preserve"> ADDIN EN.CITE &lt;EndNote&gt;&lt;Cite&gt;&lt;Author&gt;Abdul&lt;/Author&gt;&lt;Year&gt;2019&lt;/Year&gt;&lt;RecNum&gt;71&lt;/RecNum&gt;&lt;DisplayText&gt;(Abdul &amp;amp; Sophie, 2019)&lt;/DisplayText&gt;&lt;record&gt;&lt;rec-number&gt;71&lt;/rec-number&gt;&lt;foreign-keys&gt;&lt;key app="EN" db-id="xd20ava0ss0z06e9fzmxda9qwp2twsza5092" timestamp="1774870881"&gt;71&lt;/key&gt;&lt;/foreign-keys&gt;&lt;ref-type name="Journal Article"&gt;17&lt;/ref-type&gt;&lt;contributors&gt;&lt;authors&gt;&lt;author&gt;Abdul, Y.&lt;/author&gt;&lt;author&gt;Sophie, R.&lt;/author&gt;&lt;/authors&gt;&lt;/contributors&gt;&lt;titles&gt;&lt;title&gt;Metabolites Secondaires, Activites Antibacterienne Et Antiradicalaire Des Extraits De Lecorce De Tronc De Acacia Polyacantha Recoltee Au Benin&lt;/title&gt;&lt;secondary-title&gt;Int J Adv Res&lt;/secondary-title&gt;&lt;/titles&gt;&lt;periodical&gt;&lt;full-title&gt;Int J Adv Res&lt;/full-title&gt;&lt;/periodical&gt;&lt;pages&gt;1087-1092&lt;/pages&gt;&lt;volume&gt;7&lt;/volume&gt;&lt;number&gt;10&lt;/number&gt;&lt;dates&gt;&lt;year&gt;2019&lt;/year&gt;&lt;/dates&gt;&lt;urls&gt;&lt;/urls&gt;&lt;/record&gt;&lt;/Cite&gt;&lt;/EndNote&gt;</w:instrText>
      </w:r>
      <w:r w:rsidRPr="001A5676">
        <w:rPr>
          <w:rFonts w:ascii="Arial" w:hAnsi="Arial" w:cs="Arial"/>
        </w:rPr>
        <w:fldChar w:fldCharType="separate"/>
      </w:r>
      <w:r w:rsidR="00CA16D7">
        <w:rPr>
          <w:rFonts w:ascii="Arial" w:hAnsi="Arial" w:cs="Arial"/>
          <w:noProof/>
        </w:rPr>
        <w:t>(Abdul &amp; Sophie, 2019)</w:t>
      </w:r>
      <w:r w:rsidRPr="001A5676">
        <w:rPr>
          <w:rFonts w:ascii="Arial" w:hAnsi="Arial" w:cs="Arial"/>
        </w:rPr>
        <w:fldChar w:fldCharType="end"/>
      </w:r>
      <w:r w:rsidRPr="001A5676">
        <w:rPr>
          <w:rFonts w:ascii="Arial" w:hAnsi="Arial" w:cs="Arial"/>
        </w:rPr>
        <w:t xml:space="preserve">who obtained an IC50 of 18.81 µg/ml with the hydroethanolic extract and different from </w:t>
      </w:r>
      <w:r w:rsidRPr="001A5676">
        <w:rPr>
          <w:rFonts w:ascii="Arial" w:hAnsi="Arial" w:cs="Arial"/>
        </w:rPr>
        <w:lastRenderedPageBreak/>
        <w:t xml:space="preserve">those of </w:t>
      </w:r>
      <w:proofErr w:type="spellStart"/>
      <w:r w:rsidRPr="001A5676">
        <w:rPr>
          <w:rFonts w:ascii="Arial" w:hAnsi="Arial" w:cs="Arial"/>
        </w:rPr>
        <w:t>Nuttavut</w:t>
      </w:r>
      <w:proofErr w:type="spellEnd"/>
      <w:r w:rsidRPr="001A5676">
        <w:rPr>
          <w:rFonts w:ascii="Arial" w:hAnsi="Arial" w:cs="Arial"/>
        </w:rPr>
        <w:t xml:space="preserve"> et al in 2007 who obtained for the hydroethanolic extract an IC50 of 11.40 µg/ml </w:t>
      </w:r>
      <w:r w:rsidRPr="001A5676">
        <w:rPr>
          <w:rFonts w:ascii="Arial" w:hAnsi="Arial" w:cs="Arial"/>
        </w:rPr>
        <w:fldChar w:fldCharType="begin"/>
      </w:r>
      <w:r w:rsidR="00CA16D7">
        <w:rPr>
          <w:rFonts w:ascii="Arial" w:hAnsi="Arial" w:cs="Arial"/>
        </w:rPr>
        <w:instrText xml:space="preserve"> ADDIN EN.CITE &lt;EndNote&gt;&lt;Cite&gt;&lt;Author&gt;Nuttavet&lt;/Author&gt;&lt;Year&gt;2007&lt;/Year&gt;&lt;RecNum&gt;86&lt;/RecNum&gt;&lt;DisplayText&gt;(Nuttavet, Youn-Hee, &amp;amp; Primchanien, 2007)&lt;/DisplayText&gt;&lt;record&gt;&lt;rec-number&gt;86&lt;/rec-number&gt;&lt;foreign-keys&gt;&lt;key app="EN" db-id="xd20ava0ss0z06e9fzmxda9qwp2twsza5092" timestamp="1774897292"&gt;86&lt;/key&gt;&lt;/foreign-keys&gt;&lt;ref-type name="Journal Article"&gt;17&lt;/ref-type&gt;&lt;contributors&gt;&lt;authors&gt;&lt;author&gt;Nuttavet, K.&lt;/author&gt;&lt;author&gt;Youn-Hee, H.&lt;/author&gt;&lt;author&gt;Primchanien, M.&lt;/author&gt;&lt;/authors&gt;&lt;/contributors&gt;&lt;titles&gt;&lt;title&gt;Antioxidant and cytoprotective activities of methanolic extract from the fruit hull of Garcinia mangostana&lt;/title&gt;&lt;secondary-title&gt;Science Asia&lt;/secondary-title&gt;&lt;/titles&gt;&lt;periodical&gt;&lt;full-title&gt;Science Asia&lt;/full-title&gt;&lt;/periodical&gt;&lt;pages&gt;283-292&lt;/pages&gt;&lt;volume&gt;33&lt;/volume&gt;&lt;number&gt;1&lt;/number&gt;&lt;dates&gt;&lt;year&gt;2007&lt;/year&gt;&lt;/dates&gt;&lt;urls&gt;&lt;/urls&gt;&lt;/record&gt;&lt;/Cite&gt;&lt;/EndNote&gt;</w:instrText>
      </w:r>
      <w:r w:rsidRPr="001A5676">
        <w:rPr>
          <w:rFonts w:ascii="Arial" w:hAnsi="Arial" w:cs="Arial"/>
        </w:rPr>
        <w:fldChar w:fldCharType="separate"/>
      </w:r>
      <w:r w:rsidR="00CA16D7">
        <w:rPr>
          <w:rFonts w:ascii="Arial" w:hAnsi="Arial" w:cs="Arial"/>
          <w:noProof/>
        </w:rPr>
        <w:t>(Nuttavet, Youn-Hee, &amp; Primchanien, 2007)</w:t>
      </w:r>
      <w:r w:rsidRPr="001A5676">
        <w:rPr>
          <w:rFonts w:ascii="Arial" w:hAnsi="Arial" w:cs="Arial"/>
        </w:rPr>
        <w:fldChar w:fldCharType="end"/>
      </w:r>
      <w:r w:rsidRPr="001A5676">
        <w:rPr>
          <w:rFonts w:ascii="Arial" w:hAnsi="Arial" w:cs="Arial"/>
        </w:rPr>
        <w:t>.</w:t>
      </w:r>
    </w:p>
    <w:p w14:paraId="04E25930" w14:textId="77777777" w:rsidR="001A5676" w:rsidRPr="001A5676" w:rsidRDefault="001A5676" w:rsidP="001A5676">
      <w:pPr>
        <w:pStyle w:val="Body"/>
        <w:spacing w:after="0"/>
        <w:rPr>
          <w:rFonts w:ascii="Arial" w:hAnsi="Arial" w:cs="Arial"/>
        </w:rPr>
      </w:pPr>
      <w:r w:rsidRPr="001A5676">
        <w:rPr>
          <w:rFonts w:ascii="Arial" w:hAnsi="Arial" w:cs="Arial"/>
        </w:rPr>
        <w:t xml:space="preserve">Regarding FRAP, according to the IC50 parameter, the hydroethanolic extract was once again the most active (18.97 µg/ml), followed by the aqueous extract obtained by maceration (21.25 µg/ml) and finally the aqueous extract obtained by decoction (22.42 µg/ml), all lower than those of the vitamin C and BHT references. According to the work conducted by </w:t>
      </w:r>
      <w:proofErr w:type="spellStart"/>
      <w:r w:rsidRPr="001A5676">
        <w:rPr>
          <w:rFonts w:ascii="Arial" w:hAnsi="Arial" w:cs="Arial"/>
        </w:rPr>
        <w:t>Tanasit</w:t>
      </w:r>
      <w:proofErr w:type="spellEnd"/>
      <w:r w:rsidRPr="001A5676">
        <w:rPr>
          <w:rFonts w:ascii="Arial" w:hAnsi="Arial" w:cs="Arial"/>
        </w:rPr>
        <w:t xml:space="preserve"> et al. (2010), the extract obtained by aqueous maceration had better antioxidant activity than the hydroethanolic extract; these results differ from those of the present study.</w:t>
      </w:r>
    </w:p>
    <w:p w14:paraId="7A844C31" w14:textId="66E26907" w:rsidR="001A5676" w:rsidRPr="001A5676" w:rsidRDefault="001A5676" w:rsidP="001A5676">
      <w:pPr>
        <w:pStyle w:val="Body"/>
        <w:spacing w:after="0"/>
        <w:rPr>
          <w:rFonts w:ascii="Arial" w:hAnsi="Arial" w:cs="Arial"/>
        </w:rPr>
      </w:pPr>
      <w:r w:rsidRPr="001A5676">
        <w:rPr>
          <w:rFonts w:ascii="Arial" w:hAnsi="Arial" w:cs="Arial"/>
        </w:rPr>
        <w:t xml:space="preserve">The different activities observed could be due to the diversity of secondary metabolites. The free radical scavenging effect of flavonoids depends on the presence of free OH groups, specifically the C2-C3 double bond </w:t>
      </w:r>
      <w:r w:rsidRPr="001A5676">
        <w:rPr>
          <w:rFonts w:ascii="Arial" w:hAnsi="Arial" w:cs="Arial"/>
        </w:rPr>
        <w:fldChar w:fldCharType="begin"/>
      </w:r>
      <w:r w:rsidR="00CA16D7">
        <w:rPr>
          <w:rFonts w:ascii="Arial" w:hAnsi="Arial" w:cs="Arial"/>
        </w:rPr>
        <w:instrText xml:space="preserve"> ADDIN EN.CITE &lt;EndNote&gt;&lt;Cite&gt;&lt;Author&gt;Neha&lt;/Author&gt;&lt;Year&gt;2022&lt;/Year&gt;&lt;RecNum&gt;48&lt;/RecNum&gt;&lt;DisplayText&gt;(Neha &amp;amp; Soumya, 2022)&lt;/DisplayText&gt;&lt;record&gt;&lt;rec-number&gt;48&lt;/rec-number&gt;&lt;foreign-keys&gt;&lt;key app="EN" db-id="xd20ava0ss0z06e9fzmxda9qwp2twsza5092" timestamp="1774870881"&gt;48&lt;/key&gt;&lt;/foreign-keys&gt;&lt;ref-type name="Journal Article"&gt;17&lt;/ref-type&gt;&lt;contributors&gt;&lt;authors&gt;&lt;author&gt;Neha, V.&lt;/author&gt;&lt;author&gt;Soumya, P.&lt;/author&gt;&lt;/authors&gt;&lt;/contributors&gt;&lt;titles&gt;&lt;title&gt;Mise à jour récente sur les molécules biologiques actives dans la génération du potentiel thérapeutique anticancéreux de Garcinia mangostana&lt;/title&gt;&lt;secondary-title&gt;Biochimie appliquée et biotechnologie&lt;/secondary-title&gt;&lt;/titles&gt;&lt;periodical&gt;&lt;full-title&gt;Biochimie appliquée et biotechnologie&lt;/full-title&gt;&lt;/periodical&gt;&lt;pages&gt;1-22&lt;/pages&gt;&lt;dates&gt;&lt;year&gt;2022&lt;/year&gt;&lt;/dates&gt;&lt;urls&gt;&lt;/urls&gt;&lt;/record&gt;&lt;/Cite&gt;&lt;/EndNote&gt;</w:instrText>
      </w:r>
      <w:r w:rsidRPr="001A5676">
        <w:rPr>
          <w:rFonts w:ascii="Arial" w:hAnsi="Arial" w:cs="Arial"/>
        </w:rPr>
        <w:fldChar w:fldCharType="separate"/>
      </w:r>
      <w:r w:rsidR="00CA16D7">
        <w:rPr>
          <w:rFonts w:ascii="Arial" w:hAnsi="Arial" w:cs="Arial"/>
          <w:noProof/>
        </w:rPr>
        <w:t>(Neha &amp; Soumya, 2022)</w:t>
      </w:r>
      <w:r w:rsidRPr="001A5676">
        <w:rPr>
          <w:rFonts w:ascii="Arial" w:hAnsi="Arial" w:cs="Arial"/>
        </w:rPr>
        <w:fldChar w:fldCharType="end"/>
      </w:r>
      <w:r w:rsidRPr="001A5676">
        <w:rPr>
          <w:rFonts w:ascii="Arial" w:hAnsi="Arial" w:cs="Arial"/>
        </w:rPr>
        <w:t xml:space="preserve">. Furthermore, phenolic compounds, terpenoids, and ascorbic acid are potent antioxidants and free radical scavengers (ROS, hydroxyl radicals, and nitric oxide) that can act as electron donors, reducing agents, and metal chelators. In addition, polyphenols have been shown to possess very interesting lipid peroxidation inhibition properties, as well as free radical scavenging properties against superoxide anions </w:t>
      </w:r>
      <w:r w:rsidRPr="001A5676">
        <w:rPr>
          <w:rFonts w:ascii="Arial" w:hAnsi="Arial" w:cs="Arial"/>
        </w:rPr>
        <w:fldChar w:fldCharType="begin"/>
      </w:r>
      <w:r w:rsidR="00CA16D7">
        <w:rPr>
          <w:rFonts w:ascii="Arial" w:hAnsi="Arial" w:cs="Arial"/>
        </w:rPr>
        <w:instrText xml:space="preserve"> ADDIN EN.CITE &lt;EndNote&gt;&lt;Cite&gt;&lt;Author&gt;Neha&lt;/Author&gt;&lt;Year&gt;2022&lt;/Year&gt;&lt;RecNum&gt;48&lt;/RecNum&gt;&lt;DisplayText&gt;(Neha &amp;amp; Soumya, 2022)&lt;/DisplayText&gt;&lt;record&gt;&lt;rec-number&gt;48&lt;/rec-number&gt;&lt;foreign-keys&gt;&lt;key app="EN" db-id="xd20ava0ss0z06e9fzmxda9qwp2twsza5092" timestamp="1774870881"&gt;48&lt;/key&gt;&lt;/foreign-keys&gt;&lt;ref-type name="Journal Article"&gt;17&lt;/ref-type&gt;&lt;contributors&gt;&lt;authors&gt;&lt;author&gt;Neha, V.&lt;/author&gt;&lt;author&gt;Soumya, P.&lt;/author&gt;&lt;/authors&gt;&lt;/contributors&gt;&lt;titles&gt;&lt;title&gt;Mise à jour récente sur les molécules biologiques actives dans la génération du potentiel thérapeutique anticancéreux de Garcinia mangostana&lt;/title&gt;&lt;secondary-title&gt;Biochimie appliquée et biotechnologie&lt;/secondary-title&gt;&lt;/titles&gt;&lt;periodical&gt;&lt;full-title&gt;Biochimie appliquée et biotechnologie&lt;/full-title&gt;&lt;/periodical&gt;&lt;pages&gt;1-22&lt;/pages&gt;&lt;dates&gt;&lt;year&gt;2022&lt;/year&gt;&lt;/dates&gt;&lt;urls&gt;&lt;/urls&gt;&lt;/record&gt;&lt;/Cite&gt;&lt;/EndNote&gt;</w:instrText>
      </w:r>
      <w:r w:rsidRPr="001A5676">
        <w:rPr>
          <w:rFonts w:ascii="Arial" w:hAnsi="Arial" w:cs="Arial"/>
        </w:rPr>
        <w:fldChar w:fldCharType="separate"/>
      </w:r>
      <w:r w:rsidR="00CA16D7">
        <w:rPr>
          <w:rFonts w:ascii="Arial" w:hAnsi="Arial" w:cs="Arial"/>
          <w:noProof/>
        </w:rPr>
        <w:t>(Neha &amp; Soumya, 2022)</w:t>
      </w:r>
      <w:r w:rsidRPr="001A5676">
        <w:rPr>
          <w:rFonts w:ascii="Arial" w:hAnsi="Arial" w:cs="Arial"/>
        </w:rPr>
        <w:fldChar w:fldCharType="end"/>
      </w:r>
      <w:r w:rsidRPr="001A5676">
        <w:rPr>
          <w:rFonts w:ascii="Arial" w:hAnsi="Arial" w:cs="Arial"/>
        </w:rPr>
        <w:t>. Thus, the hydroethanolic extract, being richer in total polyphenols, exhibits more significant antioxidant activity.</w:t>
      </w:r>
    </w:p>
    <w:p w14:paraId="57656BBF" w14:textId="0C1A64E0" w:rsidR="00790ADA" w:rsidRDefault="001A5676" w:rsidP="00EE7F92">
      <w:pPr>
        <w:pStyle w:val="Body"/>
        <w:spacing w:after="0"/>
        <w:rPr>
          <w:rFonts w:ascii="Arial" w:hAnsi="Arial" w:cs="Arial"/>
        </w:rPr>
      </w:pPr>
      <w:r w:rsidRPr="001A5676">
        <w:rPr>
          <w:rFonts w:ascii="Arial" w:hAnsi="Arial" w:cs="Arial"/>
        </w:rPr>
        <w:t xml:space="preserve">Finally, the antibacterial activity of our extracts was demonstrated by the solid-state dilution method against four bacterial strains: </w:t>
      </w:r>
      <w:r w:rsidR="00CA16D7" w:rsidRPr="00CA16D7">
        <w:rPr>
          <w:rFonts w:ascii="Arial" w:hAnsi="Arial" w:cs="Arial"/>
          <w:i/>
          <w:iCs/>
        </w:rPr>
        <w:t>S. aureus</w:t>
      </w:r>
      <w:r w:rsidRPr="001A5676">
        <w:rPr>
          <w:rFonts w:ascii="Arial" w:hAnsi="Arial" w:cs="Arial"/>
        </w:rPr>
        <w:t xml:space="preserve">, </w:t>
      </w:r>
      <w:r w:rsidR="00BF0CCB" w:rsidRPr="00BF0CCB">
        <w:rPr>
          <w:rFonts w:ascii="Arial" w:hAnsi="Arial" w:cs="Arial"/>
          <w:i/>
          <w:iCs/>
        </w:rPr>
        <w:t>Escherichia coli</w:t>
      </w:r>
      <w:r w:rsidRPr="001A5676">
        <w:rPr>
          <w:rFonts w:ascii="Arial" w:hAnsi="Arial" w:cs="Arial"/>
        </w:rPr>
        <w:t xml:space="preserve">, </w:t>
      </w:r>
      <w:r w:rsidR="00CA16D7" w:rsidRPr="00CA16D7">
        <w:rPr>
          <w:rFonts w:ascii="Arial" w:hAnsi="Arial" w:cs="Arial"/>
          <w:i/>
          <w:iCs/>
        </w:rPr>
        <w:t xml:space="preserve">Pseudomonas </w:t>
      </w:r>
      <w:proofErr w:type="gramStart"/>
      <w:r w:rsidR="00CA16D7" w:rsidRPr="00CA16D7">
        <w:rPr>
          <w:rFonts w:ascii="Arial" w:hAnsi="Arial" w:cs="Arial"/>
          <w:i/>
          <w:iCs/>
        </w:rPr>
        <w:t>aeruginosa</w:t>
      </w:r>
      <w:r w:rsidRPr="001A5676">
        <w:rPr>
          <w:rFonts w:ascii="Arial" w:hAnsi="Arial" w:cs="Arial"/>
        </w:rPr>
        <w:t xml:space="preserve"> ,</w:t>
      </w:r>
      <w:proofErr w:type="gramEnd"/>
      <w:r w:rsidRPr="001A5676">
        <w:rPr>
          <w:rFonts w:ascii="Arial" w:hAnsi="Arial" w:cs="Arial"/>
        </w:rPr>
        <w:t xml:space="preserve"> and </w:t>
      </w:r>
      <w:r w:rsidR="00CA16D7" w:rsidRPr="00CA16D7">
        <w:rPr>
          <w:rFonts w:ascii="Arial" w:hAnsi="Arial" w:cs="Arial"/>
          <w:i/>
          <w:iCs/>
        </w:rPr>
        <w:t>Enterobacter cloacae</w:t>
      </w:r>
      <w:r w:rsidRPr="001A5676">
        <w:rPr>
          <w:rFonts w:ascii="Arial" w:hAnsi="Arial" w:cs="Arial"/>
        </w:rPr>
        <w:t xml:space="preserve">. The hydroethanolic extract exhibited strong inhibitory activity against </w:t>
      </w:r>
      <w:r w:rsidR="00CA16D7" w:rsidRPr="00CA16D7">
        <w:rPr>
          <w:rFonts w:ascii="Arial" w:hAnsi="Arial" w:cs="Arial"/>
          <w:i/>
          <w:iCs/>
        </w:rPr>
        <w:t>Enterobacter cloacae</w:t>
      </w:r>
      <w:r w:rsidRPr="001A5676">
        <w:rPr>
          <w:rFonts w:ascii="Arial" w:hAnsi="Arial" w:cs="Arial"/>
        </w:rPr>
        <w:t xml:space="preserve"> (MIC of 0.16 µg/ml), </w:t>
      </w:r>
      <w:r w:rsidR="00CA16D7" w:rsidRPr="00CA16D7">
        <w:rPr>
          <w:rFonts w:ascii="Arial" w:hAnsi="Arial" w:cs="Arial"/>
          <w:i/>
          <w:iCs/>
        </w:rPr>
        <w:t>S. aureus</w:t>
      </w:r>
      <w:r w:rsidRPr="001A5676">
        <w:rPr>
          <w:rFonts w:ascii="Arial" w:hAnsi="Arial" w:cs="Arial"/>
        </w:rPr>
        <w:t xml:space="preserve"> (0.32 µg/ml), and </w:t>
      </w:r>
      <w:r w:rsidR="00BF0CCB" w:rsidRPr="00BF0CCB">
        <w:rPr>
          <w:rFonts w:ascii="Arial" w:hAnsi="Arial" w:cs="Arial"/>
          <w:i/>
          <w:iCs/>
        </w:rPr>
        <w:t>Escherichia coli</w:t>
      </w:r>
      <w:r w:rsidRPr="001A5676">
        <w:rPr>
          <w:rFonts w:ascii="Arial" w:hAnsi="Arial" w:cs="Arial"/>
        </w:rPr>
        <w:t xml:space="preserve"> (0.64 µg/ml). </w:t>
      </w:r>
      <w:r w:rsidR="00CA16D7" w:rsidRPr="00CA16D7">
        <w:rPr>
          <w:rFonts w:ascii="Arial" w:hAnsi="Arial" w:cs="Arial"/>
          <w:i/>
          <w:iCs/>
        </w:rPr>
        <w:t>Pseudomonas aeruginosa</w:t>
      </w:r>
      <w:r w:rsidRPr="001A5676">
        <w:rPr>
          <w:rFonts w:ascii="Arial" w:hAnsi="Arial" w:cs="Arial"/>
        </w:rPr>
        <w:t xml:space="preserve"> (0.24 µg/ml) was inhibited with a lower concentration of aqueous decoction compared to the other extracts. Our MICs ranged from 0.16 µg/ml to 31.25 µg/ml. According to Kuete's (2010) classification, since all MICs were below 100 µg/ml, each extract demonstrated strong antibacterial activity. However, in general, the lowest MIC was that of the hydroethanolic </w:t>
      </w:r>
      <w:proofErr w:type="gramStart"/>
      <w:r w:rsidRPr="001A5676">
        <w:rPr>
          <w:rFonts w:ascii="Arial" w:hAnsi="Arial" w:cs="Arial"/>
        </w:rPr>
        <w:t>extract ,</w:t>
      </w:r>
      <w:proofErr w:type="gramEnd"/>
      <w:r w:rsidRPr="001A5676">
        <w:rPr>
          <w:rFonts w:ascii="Arial" w:hAnsi="Arial" w:cs="Arial"/>
        </w:rPr>
        <w:t xml:space="preserve"> which also had a greater effect on most of the bacteria. This extract proved superior to the others. These results are consistent with a previous study that demonstrated the antimicrobial effect of the hydroethanolic extract on </w:t>
      </w:r>
      <w:r w:rsidR="00BF0CCB" w:rsidRPr="00BF0CCB">
        <w:rPr>
          <w:rFonts w:ascii="Arial" w:hAnsi="Arial" w:cs="Arial"/>
          <w:i/>
          <w:iCs/>
        </w:rPr>
        <w:t>Escherichia coli</w:t>
      </w:r>
      <w:r w:rsidRPr="001A5676">
        <w:rPr>
          <w:rFonts w:ascii="Arial" w:hAnsi="Arial" w:cs="Arial"/>
        </w:rPr>
        <w:t xml:space="preserve"> </w:t>
      </w:r>
      <w:r w:rsidRPr="001A5676">
        <w:rPr>
          <w:rFonts w:ascii="Arial" w:hAnsi="Arial" w:cs="Arial"/>
        </w:rPr>
        <w:fldChar w:fldCharType="begin"/>
      </w:r>
      <w:r w:rsidR="00CA16D7">
        <w:rPr>
          <w:rFonts w:ascii="Arial" w:hAnsi="Arial" w:cs="Arial"/>
        </w:rPr>
        <w:instrText xml:space="preserve"> ADDIN EN.CITE &lt;EndNote&gt;&lt;Cite&gt;&lt;Author&gt;Valère&lt;/Author&gt;&lt;Year&gt;2022&lt;/Year&gt;&lt;RecNum&gt;86&lt;/RecNum&gt;&lt;DisplayText&gt;(Valère, 2022)&lt;/DisplayText&gt;&lt;record&gt;&lt;rec-number&gt;86&lt;/rec-number&gt;&lt;foreign-keys&gt;&lt;key app="EN" db-id="ppwefpzf5eefwrea9agvzetgp2s0rdew0rw0" timestamp="1777645568"&gt;86&lt;/key&gt;&lt;/foreign-keys&gt;&lt;ref-type name="Thesis"&gt;32&lt;/ref-type&gt;&lt;contributors&gt;&lt;authors&gt;&lt;author&gt;Valère, M.&lt;/author&gt;&lt;/authors&gt;&lt;/contributors&gt;&lt;titles&gt;&lt;title&gt;Evaluation in vitro de l’activité antioxydante et antibactérienne de l’écorce du tronc de canarium schweinfurthii&lt;/title&gt;&lt;/titles&gt;&lt;dates&gt;&lt;year&gt;2022&lt;/year&gt;&lt;/dates&gt;&lt;pub-location&gt;Bangangté&lt;/pub-location&gt;&lt;publisher&gt;Université des Montagnes&lt;/publisher&gt;&lt;urls&gt;&lt;/urls&gt;&lt;/record&gt;&lt;/Cite&gt;&lt;/EndNote&gt;</w:instrText>
      </w:r>
      <w:r w:rsidRPr="001A5676">
        <w:rPr>
          <w:rFonts w:ascii="Arial" w:hAnsi="Arial" w:cs="Arial"/>
        </w:rPr>
        <w:fldChar w:fldCharType="separate"/>
      </w:r>
      <w:r w:rsidR="00CA16D7">
        <w:rPr>
          <w:rFonts w:ascii="Arial" w:hAnsi="Arial" w:cs="Arial"/>
          <w:noProof/>
        </w:rPr>
        <w:t>(Valère, 2022)</w:t>
      </w:r>
      <w:r w:rsidRPr="001A5676">
        <w:rPr>
          <w:rFonts w:ascii="Arial" w:hAnsi="Arial" w:cs="Arial"/>
        </w:rPr>
        <w:fldChar w:fldCharType="end"/>
      </w:r>
      <w:r w:rsidRPr="001A5676">
        <w:rPr>
          <w:rFonts w:ascii="Arial" w:hAnsi="Arial" w:cs="Arial"/>
        </w:rPr>
        <w:t xml:space="preserve">. Similarly, Yin SZE et al. </w:t>
      </w:r>
      <w:r w:rsidRPr="001A5676">
        <w:rPr>
          <w:rFonts w:ascii="Arial" w:hAnsi="Arial" w:cs="Arial"/>
        </w:rPr>
        <w:fldChar w:fldCharType="begin"/>
      </w:r>
      <w:r w:rsidR="00CA16D7">
        <w:rPr>
          <w:rFonts w:ascii="Arial" w:hAnsi="Arial" w:cs="Arial"/>
        </w:rPr>
        <w:instrText xml:space="preserve"> ADDIN EN.CITE &lt;EndNote&gt;&lt;Cite&gt;&lt;Author&gt;Yin&lt;/Author&gt;&lt;Year&gt;2013&lt;/Year&gt;&lt;RecNum&gt;74&lt;/RecNum&gt;&lt;DisplayText&gt;(Yin &amp;amp; Stefanie, 2013)&lt;/DisplayText&gt;&lt;record&gt;&lt;rec-number&gt;74&lt;/rec-number&gt;&lt;foreign-keys&gt;&lt;key app="EN" db-id="xd20ava0ss0z06e9fzmxda9qwp2twsza5092" timestamp="1774870881"&gt;74&lt;/key&gt;&lt;/foreign-keys&gt;&lt;ref-type name="Journal Article"&gt;17&lt;/ref-type&gt;&lt;contributors&gt;&lt;authors&gt;&lt;author&gt;Yin, S.&lt;/author&gt;&lt;author&gt;Stefanie, S.&lt;/author&gt;&lt;/authors&gt;&lt;/contributors&gt;&lt;titles&gt;&lt;title&gt;Antioxydant capacity and antibacterial activity of differents parts pf mangoosteen (Garcinia mangostana Linn.) extracts&lt;/title&gt;&lt;secondary-title&gt;EDP sciences&lt;/secondary-title&gt;&lt;/titles&gt;&lt;periodical&gt;&lt;full-title&gt;EDP sciences&lt;/full-title&gt;&lt;/periodical&gt;&lt;dates&gt;&lt;year&gt;2013&lt;/year&gt;&lt;/dates&gt;&lt;urls&gt;&lt;/urls&gt;&lt;/record&gt;&lt;/Cite&gt;&lt;/EndNote&gt;</w:instrText>
      </w:r>
      <w:r w:rsidRPr="001A5676">
        <w:rPr>
          <w:rFonts w:ascii="Arial" w:hAnsi="Arial" w:cs="Arial"/>
        </w:rPr>
        <w:fldChar w:fldCharType="separate"/>
      </w:r>
      <w:r w:rsidR="00CA16D7">
        <w:rPr>
          <w:rFonts w:ascii="Arial" w:hAnsi="Arial" w:cs="Arial"/>
          <w:noProof/>
        </w:rPr>
        <w:t>(Yin &amp; Stefanie, 2013)</w:t>
      </w:r>
      <w:r w:rsidRPr="001A5676">
        <w:rPr>
          <w:rFonts w:ascii="Arial" w:hAnsi="Arial" w:cs="Arial"/>
        </w:rPr>
        <w:fldChar w:fldCharType="end"/>
      </w:r>
      <w:r w:rsidRPr="001A5676">
        <w:rPr>
          <w:rFonts w:ascii="Arial" w:hAnsi="Arial" w:cs="Arial"/>
        </w:rPr>
        <w:t xml:space="preserve">proved that </w:t>
      </w:r>
      <w:r w:rsidR="00CA16D7" w:rsidRPr="00CA16D7">
        <w:rPr>
          <w:rFonts w:ascii="Arial" w:hAnsi="Arial" w:cs="Arial"/>
          <w:i/>
          <w:iCs/>
        </w:rPr>
        <w:t>Pseudomonas aeruginosa</w:t>
      </w:r>
      <w:r w:rsidRPr="001A5676">
        <w:rPr>
          <w:rFonts w:ascii="Arial" w:hAnsi="Arial" w:cs="Arial"/>
        </w:rPr>
        <w:t xml:space="preserve"> was more sensitive to the aqueous decoction extract, as obtained in our results. These activities could be explained by the presence of phenolic compounds. The different classes of polyphenols, primarily tannins and flavonoids, can increase the toxicity of extracts towards microorganisms. This toxicity depends on the site and number of hydroxyl groups present on the phenolic compound. Furthermore, it is evident that increased hydroxylation leads to increased toxicity. The antimicrobial effect of these phenols can be explained by the inhibition of bacterial growth following their adsorption onto cell membranes, interaction with enzymes and effectors, or deprivation of substrates and metal ions. According to the work of Cushnie et al . </w:t>
      </w:r>
      <w:r w:rsidRPr="001A5676">
        <w:rPr>
          <w:rFonts w:ascii="Arial" w:hAnsi="Arial" w:cs="Arial"/>
        </w:rPr>
        <w:fldChar w:fldCharType="begin"/>
      </w:r>
      <w:r w:rsidR="00CA16D7">
        <w:rPr>
          <w:rFonts w:ascii="Arial" w:hAnsi="Arial" w:cs="Arial"/>
        </w:rPr>
        <w:instrText xml:space="preserve"> ADDIN EN.CITE &lt;EndNote&gt;&lt;Cite&gt;&lt;Author&gt;Cushnie&lt;/Author&gt;&lt;Year&gt;2011&lt;/Year&gt;&lt;RecNum&gt;75&lt;/RecNum&gt;&lt;DisplayText&gt;(Cushnie &amp;amp; Lamb, 2011)&lt;/DisplayText&gt;&lt;record&gt;&lt;rec-number&gt;75&lt;/rec-number&gt;&lt;foreign-keys&gt;&lt;key app="EN" db-id="xd20ava0ss0z06e9fzmxda9qwp2twsza5092" timestamp="1774870881"&gt;75&lt;/key&gt;&lt;/foreign-keys&gt;&lt;ref-type name="Journal Article"&gt;17&lt;/ref-type&gt;&lt;contributors&gt;&lt;authors&gt;&lt;author&gt;Cushnie, T.&lt;/author&gt;&lt;author&gt;Lamb, A.&lt;/author&gt;&lt;/authors&gt;&lt;/contributors&gt;&lt;titles&gt;&lt;title&gt;Recent advances in understanding the antibacterial properties of flavonoids&lt;/title&gt;&lt;secondary-title&gt;International Journal of Antimicrobial Agents&lt;/secondary-title&gt;&lt;/titles&gt;&lt;periodical&gt;&lt;full-title&gt;International Journal of Antimicrobial Agents&lt;/full-title&gt;&lt;/periodical&gt;&lt;pages&gt;99-107&lt;/pages&gt;&lt;volume&gt;38&lt;/volume&gt;&lt;number&gt;2&lt;/number&gt;&lt;dates&gt;&lt;year&gt;2011&lt;/year&gt;&lt;/dates&gt;&lt;urls&gt;&lt;/urls&gt;&lt;/record&gt;&lt;/Cite&gt;&lt;/EndNote&gt;</w:instrText>
      </w:r>
      <w:r w:rsidRPr="001A5676">
        <w:rPr>
          <w:rFonts w:ascii="Arial" w:hAnsi="Arial" w:cs="Arial"/>
        </w:rPr>
        <w:fldChar w:fldCharType="separate"/>
      </w:r>
      <w:r w:rsidR="00CA16D7">
        <w:rPr>
          <w:rFonts w:ascii="Arial" w:hAnsi="Arial" w:cs="Arial"/>
          <w:noProof/>
        </w:rPr>
        <w:t>(Cushnie &amp; Lamb, 2011)</w:t>
      </w:r>
      <w:r w:rsidRPr="001A5676">
        <w:rPr>
          <w:rFonts w:ascii="Arial" w:hAnsi="Arial" w:cs="Arial"/>
        </w:rPr>
        <w:fldChar w:fldCharType="end"/>
      </w:r>
      <w:r w:rsidRPr="001A5676">
        <w:rPr>
          <w:rFonts w:ascii="Arial" w:hAnsi="Arial" w:cs="Arial"/>
        </w:rPr>
        <w:t xml:space="preserve">, flavonoids act through various mechanisms such as: inhibition of topoisomerase synthesis; Inhibition of bacterial cell wall synthesis and inhibition by perforation of the plasma membrane. Furthermore, </w:t>
      </w:r>
      <w:proofErr w:type="spellStart"/>
      <w:r w:rsidRPr="001A5676">
        <w:rPr>
          <w:rFonts w:ascii="Arial" w:hAnsi="Arial" w:cs="Arial"/>
        </w:rPr>
        <w:t>Ngoupayo</w:t>
      </w:r>
      <w:proofErr w:type="spellEnd"/>
      <w:r w:rsidRPr="001A5676">
        <w:rPr>
          <w:rFonts w:ascii="Arial" w:hAnsi="Arial" w:cs="Arial"/>
        </w:rPr>
        <w:t xml:space="preserve"> and </w:t>
      </w:r>
      <w:proofErr w:type="spellStart"/>
      <w:r w:rsidRPr="001A5676">
        <w:rPr>
          <w:rFonts w:ascii="Arial" w:hAnsi="Arial" w:cs="Arial"/>
        </w:rPr>
        <w:t>Fouaguim</w:t>
      </w:r>
      <w:proofErr w:type="spellEnd"/>
      <w:r w:rsidRPr="001A5676">
        <w:rPr>
          <w:rFonts w:ascii="Arial" w:hAnsi="Arial" w:cs="Arial"/>
        </w:rPr>
        <w:t xml:space="preserve"> </w:t>
      </w:r>
      <w:r w:rsidRPr="001A5676">
        <w:rPr>
          <w:rFonts w:ascii="Arial" w:hAnsi="Arial" w:cs="Arial"/>
        </w:rPr>
        <w:fldChar w:fldCharType="begin"/>
      </w:r>
      <w:r w:rsidR="00CA16D7">
        <w:rPr>
          <w:rFonts w:ascii="Arial" w:hAnsi="Arial" w:cs="Arial"/>
        </w:rPr>
        <w:instrText xml:space="preserve"> ADDIN EN.CITE &lt;EndNote&gt;&lt;Cite&gt;&lt;Author&gt;Ngoupayo&lt;/Author&gt;&lt;Year&gt;2016&lt;/Year&gt;&lt;RecNum&gt;76&lt;/RecNum&gt;&lt;DisplayText&gt;(Ngoupayo &amp;amp; Fouaguim, 2016)&lt;/DisplayText&gt;&lt;record&gt;&lt;rec-number&gt;76&lt;/rec-number&gt;&lt;foreign-keys&gt;&lt;key app="EN" db-id="xd20ava0ss0z06e9fzmxda9qwp2twsza5092" timestamp="1774870881"&gt;76&lt;/key&gt;&lt;/foreign-keys&gt;&lt;ref-type name="Journal Article"&gt;17&lt;/ref-type&gt;&lt;contributors&gt;&lt;authors&gt;&lt;author&gt;Ngoupayo, J.&lt;/author&gt;&lt;author&gt;Fouaguim, A.&lt;/author&gt;&lt;/authors&gt;&lt;/contributors&gt;&lt;titles&gt;&lt;title&gt;Evaluation of the antimicrobial activity of tannin extracted from the barks of Erythrophleum guineensis (Caesalpiniaceae )&lt;/title&gt;&lt;/titles&gt;&lt;pages&gt;287-291&lt;/pages&gt;&lt;dates&gt;&lt;year&gt;2016&lt;/year&gt;&lt;/dates&gt;&lt;urls&gt;&lt;/urls&gt;&lt;/record&gt;&lt;/Cite&gt;&lt;/EndNote&gt;</w:instrText>
      </w:r>
      <w:r w:rsidRPr="001A5676">
        <w:rPr>
          <w:rFonts w:ascii="Arial" w:hAnsi="Arial" w:cs="Arial"/>
        </w:rPr>
        <w:fldChar w:fldCharType="separate"/>
      </w:r>
      <w:r w:rsidR="00CA16D7">
        <w:rPr>
          <w:rFonts w:ascii="Arial" w:hAnsi="Arial" w:cs="Arial"/>
          <w:noProof/>
        </w:rPr>
        <w:t>(Ngoupayo &amp; Fouaguim, 2016)</w:t>
      </w:r>
      <w:r w:rsidRPr="001A5676">
        <w:rPr>
          <w:rFonts w:ascii="Arial" w:hAnsi="Arial" w:cs="Arial"/>
        </w:rPr>
        <w:fldChar w:fldCharType="end"/>
      </w:r>
      <w:r w:rsidRPr="001A5676">
        <w:rPr>
          <w:rFonts w:ascii="Arial" w:hAnsi="Arial" w:cs="Arial"/>
        </w:rPr>
        <w:t>reported that tannins inhibit bacterial growth by complexing enzymes (permeases) and proteins of the outer membrane of bacteria; inhibition of these enzymes disrupts the vital functions of microorganisms</w:t>
      </w:r>
    </w:p>
    <w:p w14:paraId="1E44DCB7" w14:textId="77777777" w:rsidR="00EE7F92" w:rsidRPr="00FB3A86" w:rsidRDefault="00EE7F92" w:rsidP="00EE7F92">
      <w:pPr>
        <w:pStyle w:val="Body"/>
        <w:spacing w:after="0"/>
        <w:rPr>
          <w:rFonts w:ascii="Arial" w:hAnsi="Arial" w:cs="Arial"/>
        </w:rPr>
      </w:pPr>
    </w:p>
    <w:p w14:paraId="68E3553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A5CDDA2" w14:textId="7D0CD125" w:rsidR="00EE7F92" w:rsidRPr="00EE7F92" w:rsidRDefault="00EE7F92" w:rsidP="00EE7F92">
      <w:pPr>
        <w:pStyle w:val="Body"/>
        <w:spacing w:after="0"/>
        <w:rPr>
          <w:rFonts w:ascii="Arial" w:hAnsi="Arial" w:cs="Arial"/>
        </w:rPr>
      </w:pPr>
      <w:r w:rsidRPr="00EE7F92">
        <w:rPr>
          <w:rFonts w:ascii="Arial" w:hAnsi="Arial" w:cs="Arial"/>
        </w:rPr>
        <w:t xml:space="preserve">In summary, our work confirms that the pericarp of </w:t>
      </w:r>
      <w:r w:rsidR="00CA16D7" w:rsidRPr="00CA16D7">
        <w:rPr>
          <w:rFonts w:ascii="Arial" w:hAnsi="Arial" w:cs="Arial"/>
          <w:i/>
          <w:iCs/>
        </w:rPr>
        <w:t xml:space="preserve">Garcinia </w:t>
      </w:r>
      <w:proofErr w:type="spellStart"/>
      <w:proofErr w:type="gramStart"/>
      <w:r w:rsidR="00CA16D7" w:rsidRPr="00CA16D7">
        <w:rPr>
          <w:rFonts w:ascii="Arial" w:hAnsi="Arial" w:cs="Arial"/>
          <w:i/>
          <w:iCs/>
        </w:rPr>
        <w:t>mangostana</w:t>
      </w:r>
      <w:proofErr w:type="spellEnd"/>
      <w:r w:rsidR="00CA16D7" w:rsidRPr="00CA16D7">
        <w:rPr>
          <w:rFonts w:ascii="Arial" w:hAnsi="Arial" w:cs="Arial"/>
          <w:i/>
          <w:iCs/>
        </w:rPr>
        <w:t xml:space="preserve"> </w:t>
      </w:r>
      <w:r w:rsidRPr="00EE7F92">
        <w:rPr>
          <w:rFonts w:ascii="Arial" w:hAnsi="Arial" w:cs="Arial"/>
        </w:rPr>
        <w:t xml:space="preserve"> is</w:t>
      </w:r>
      <w:proofErr w:type="gramEnd"/>
      <w:r w:rsidRPr="00EE7F92">
        <w:rPr>
          <w:rFonts w:ascii="Arial" w:hAnsi="Arial" w:cs="Arial"/>
        </w:rPr>
        <w:t xml:space="preserve"> much more than a simple agricultural byproduct: it is a veritable reservoir of protective molecules, particularly polyphenols. The hydroethanolic extract proved particularly effective, exhibiting remarkable antioxidant activity and concrete antibacterial efficacy. These results provide a solid scientific basis for the traditional use of the plant and open up encouraging prospects for the development of natural solutions to the current challenges of antibiotic resistance.</w:t>
      </w:r>
    </w:p>
    <w:p w14:paraId="74497FEA" w14:textId="77777777" w:rsidR="00790ADA" w:rsidRPr="00FB3A86" w:rsidRDefault="00790ADA" w:rsidP="00441B6F">
      <w:pPr>
        <w:pStyle w:val="ConcHead"/>
        <w:spacing w:after="0"/>
        <w:jc w:val="both"/>
        <w:rPr>
          <w:rFonts w:ascii="Arial" w:hAnsi="Arial" w:cs="Arial"/>
        </w:rPr>
      </w:pPr>
    </w:p>
    <w:p w14:paraId="6B6CBCB2" w14:textId="77777777" w:rsidR="00790ADA" w:rsidRPr="00FB3A86" w:rsidRDefault="00790ADA" w:rsidP="00441B6F">
      <w:pPr>
        <w:pStyle w:val="Body"/>
        <w:spacing w:after="0"/>
        <w:rPr>
          <w:rFonts w:ascii="Arial" w:hAnsi="Arial" w:cs="Arial"/>
        </w:rPr>
      </w:pPr>
    </w:p>
    <w:p w14:paraId="03831D1F" w14:textId="6838EB64" w:rsidR="002B685A" w:rsidRDefault="002B685A" w:rsidP="00441B6F">
      <w:pPr>
        <w:pStyle w:val="ReferHead"/>
        <w:spacing w:after="0"/>
        <w:jc w:val="both"/>
        <w:rPr>
          <w:rFonts w:ascii="Arial" w:hAnsi="Arial" w:cs="Arial"/>
          <w:bCs/>
        </w:rPr>
      </w:pPr>
      <w:r w:rsidRPr="002B685A">
        <w:rPr>
          <w:rFonts w:ascii="Arial" w:hAnsi="Arial" w:cs="Arial"/>
          <w:bCs/>
        </w:rPr>
        <w:lastRenderedPageBreak/>
        <w:t>Consent</w:t>
      </w:r>
      <w:r>
        <w:rPr>
          <w:rFonts w:ascii="Arial" w:hAnsi="Arial" w:cs="Arial"/>
          <w:bCs/>
        </w:rPr>
        <w:t xml:space="preserve"> </w:t>
      </w:r>
    </w:p>
    <w:p w14:paraId="5800D30D" w14:textId="77777777" w:rsidR="002B685A" w:rsidRPr="002B685A" w:rsidRDefault="002B685A" w:rsidP="00441B6F">
      <w:pPr>
        <w:pStyle w:val="ReferHead"/>
        <w:spacing w:after="0"/>
        <w:jc w:val="both"/>
        <w:rPr>
          <w:rFonts w:ascii="Arial" w:hAnsi="Arial" w:cs="Arial"/>
          <w:bCs/>
        </w:rPr>
      </w:pPr>
    </w:p>
    <w:p w14:paraId="3BA823C9" w14:textId="1F000678" w:rsidR="001A29D8" w:rsidRPr="00F469F0" w:rsidRDefault="00C33EC5" w:rsidP="00C33EC5">
      <w:pPr>
        <w:pStyle w:val="ReferHead"/>
        <w:spacing w:after="0"/>
        <w:jc w:val="both"/>
        <w:rPr>
          <w:rFonts w:ascii="Arial" w:hAnsi="Arial" w:cs="Arial"/>
          <w:b w:val="0"/>
          <w:caps w:val="0"/>
          <w:sz w:val="20"/>
          <w:u w:val="single"/>
        </w:rPr>
      </w:pPr>
      <w:r>
        <w:rPr>
          <w:rFonts w:ascii="Arial" w:hAnsi="Arial" w:cs="Arial"/>
          <w:b w:val="0"/>
          <w:caps w:val="0"/>
          <w:sz w:val="20"/>
        </w:rPr>
        <w:t>Not Applicable</w:t>
      </w:r>
    </w:p>
    <w:p w14:paraId="3C71A2AD" w14:textId="77777777" w:rsidR="001A29D8" w:rsidRDefault="001A29D8" w:rsidP="00441B6F">
      <w:pPr>
        <w:pStyle w:val="ReferHead"/>
        <w:spacing w:after="0"/>
        <w:jc w:val="both"/>
        <w:rPr>
          <w:rFonts w:ascii="Arial" w:hAnsi="Arial" w:cs="Arial"/>
          <w:b w:val="0"/>
          <w:caps w:val="0"/>
          <w:sz w:val="20"/>
        </w:rPr>
      </w:pPr>
    </w:p>
    <w:p w14:paraId="6E7A8A5B" w14:textId="77777777" w:rsidR="005C784C" w:rsidRDefault="005C784C" w:rsidP="00441B6F">
      <w:pPr>
        <w:pStyle w:val="ReferHead"/>
        <w:spacing w:after="0"/>
        <w:jc w:val="both"/>
        <w:rPr>
          <w:rFonts w:ascii="Arial" w:hAnsi="Arial" w:cs="Arial"/>
          <w:b w:val="0"/>
          <w:caps w:val="0"/>
          <w:sz w:val="20"/>
        </w:rPr>
      </w:pPr>
    </w:p>
    <w:p w14:paraId="6E1AB825" w14:textId="2218ADC2"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121763A6" w14:textId="77777777" w:rsidR="005C784C" w:rsidRPr="002B685A" w:rsidRDefault="005C784C" w:rsidP="00441B6F">
      <w:pPr>
        <w:pStyle w:val="ReferHead"/>
        <w:spacing w:after="0"/>
        <w:jc w:val="both"/>
        <w:rPr>
          <w:rFonts w:ascii="Arial" w:hAnsi="Arial" w:cs="Arial"/>
          <w:bCs/>
        </w:rPr>
      </w:pPr>
    </w:p>
    <w:p w14:paraId="31839F6F" w14:textId="2683862C" w:rsidR="00860000" w:rsidRDefault="00CA16D7" w:rsidP="00441B6F">
      <w:pPr>
        <w:pStyle w:val="ReferHead"/>
        <w:spacing w:after="0"/>
        <w:jc w:val="both"/>
        <w:rPr>
          <w:rFonts w:ascii="Arial" w:hAnsi="Arial" w:cs="Arial"/>
          <w:b w:val="0"/>
          <w:caps w:val="0"/>
          <w:sz w:val="20"/>
        </w:rPr>
      </w:pPr>
      <w:r>
        <w:rPr>
          <w:rFonts w:ascii="Arial" w:hAnsi="Arial" w:cs="Arial"/>
          <w:b w:val="0"/>
          <w:caps w:val="0"/>
          <w:sz w:val="20"/>
        </w:rPr>
        <w:t>Not Applicable</w:t>
      </w:r>
    </w:p>
    <w:p w14:paraId="74F58FE2" w14:textId="77777777" w:rsidR="001133FF" w:rsidRDefault="001133FF" w:rsidP="00441B6F">
      <w:pPr>
        <w:pStyle w:val="ReferHead"/>
        <w:spacing w:after="0"/>
        <w:jc w:val="both"/>
        <w:rPr>
          <w:rFonts w:ascii="Arial" w:hAnsi="Arial" w:cs="Arial"/>
          <w:b w:val="0"/>
          <w:caps w:val="0"/>
          <w:sz w:val="20"/>
        </w:rPr>
      </w:pPr>
    </w:p>
    <w:p w14:paraId="7377A165" w14:textId="77777777" w:rsidR="001133FF" w:rsidRDefault="001133FF" w:rsidP="001133FF">
      <w:pPr>
        <w:pStyle w:val="DefAcrHead"/>
        <w:spacing w:after="0"/>
        <w:jc w:val="both"/>
        <w:rPr>
          <w:rFonts w:ascii="Arial" w:hAnsi="Arial" w:cs="Arial"/>
        </w:rPr>
      </w:pPr>
      <w:r w:rsidRPr="00FB3A86">
        <w:rPr>
          <w:rFonts w:ascii="Arial" w:hAnsi="Arial" w:cs="Arial"/>
        </w:rPr>
        <w:t>Abbreviations</w:t>
      </w:r>
    </w:p>
    <w:p w14:paraId="4F77A5BD" w14:textId="77777777" w:rsidR="001133FF" w:rsidRDefault="001133FF" w:rsidP="001133FF">
      <w:r>
        <w:t>AMC: Amoxicillin/Clavulanic acid</w:t>
      </w:r>
    </w:p>
    <w:p w14:paraId="3C1E1BDA" w14:textId="77777777" w:rsidR="001133FF" w:rsidRDefault="001133FF" w:rsidP="001133FF">
      <w:r>
        <w:t>AZT: Azithromycin</w:t>
      </w:r>
    </w:p>
    <w:p w14:paraId="6A1F4C04" w14:textId="77777777" w:rsidR="001133FF" w:rsidRDefault="001133FF" w:rsidP="001133FF">
      <w:r>
        <w:t>BHT: Butylated hydroxytoluene</w:t>
      </w:r>
    </w:p>
    <w:p w14:paraId="4DB41CC7" w14:textId="77777777" w:rsidR="001133FF" w:rsidRDefault="001133FF" w:rsidP="001133FF">
      <w:r>
        <w:t>CE: Catechin equivalent</w:t>
      </w:r>
    </w:p>
    <w:p w14:paraId="11C0EAA4" w14:textId="77777777" w:rsidR="001133FF" w:rsidRDefault="001133FF" w:rsidP="001133FF">
      <w:r>
        <w:t>CEF: Ceftriaxone</w:t>
      </w:r>
    </w:p>
    <w:p w14:paraId="30F66215" w14:textId="77777777" w:rsidR="001133FF" w:rsidRDefault="001133FF" w:rsidP="001133FF">
      <w:r>
        <w:t>CEX: Cefixime</w:t>
      </w:r>
    </w:p>
    <w:p w14:paraId="771D848F" w14:textId="77777777" w:rsidR="001133FF" w:rsidRDefault="001133FF" w:rsidP="001133FF">
      <w:r>
        <w:t>CIP: Ciprofloxacin</w:t>
      </w:r>
    </w:p>
    <w:p w14:paraId="42736659" w14:textId="77777777" w:rsidR="001133FF" w:rsidRDefault="001133FF" w:rsidP="001133FF">
      <w:r>
        <w:t>DAq: Aqueous Decoction</w:t>
      </w:r>
    </w:p>
    <w:p w14:paraId="602A3CAC" w14:textId="77777777" w:rsidR="001133FF" w:rsidRDefault="001133FF" w:rsidP="001133FF">
      <w:r>
        <w:t>DPPH: 2,2-diphenyl-1-picrylhydrazyl</w:t>
      </w:r>
    </w:p>
    <w:p w14:paraId="4F66723E" w14:textId="77777777" w:rsidR="001133FF" w:rsidRDefault="001133FF" w:rsidP="001133FF">
      <w:r>
        <w:t xml:space="preserve">EB: </w:t>
      </w:r>
      <w:r w:rsidRPr="00CA16D7">
        <w:rPr>
          <w:i/>
          <w:iCs/>
        </w:rPr>
        <w:t>Enterobacter cloacae</w:t>
      </w:r>
    </w:p>
    <w:p w14:paraId="2839939C" w14:textId="77777777" w:rsidR="001133FF" w:rsidRDefault="001133FF" w:rsidP="001133FF">
      <w:r>
        <w:t xml:space="preserve">EC: </w:t>
      </w:r>
      <w:r w:rsidRPr="00BF0CCB">
        <w:rPr>
          <w:i/>
          <w:iCs/>
        </w:rPr>
        <w:t>Escherichia coli</w:t>
      </w:r>
    </w:p>
    <w:p w14:paraId="43E08E67" w14:textId="77777777" w:rsidR="001133FF" w:rsidRDefault="001133FF" w:rsidP="001133FF">
      <w:r>
        <w:t>EC50: Effective concentration 50%</w:t>
      </w:r>
    </w:p>
    <w:p w14:paraId="18C3F13E" w14:textId="77777777" w:rsidR="001133FF" w:rsidRDefault="001133FF" w:rsidP="001133FF">
      <w:r>
        <w:t>FRAP: Ferric Reducing Antioxidant Power</w:t>
      </w:r>
    </w:p>
    <w:p w14:paraId="300A999D" w14:textId="77777777" w:rsidR="001133FF" w:rsidRDefault="001133FF" w:rsidP="001133FF">
      <w:r>
        <w:t>GAE: Gallic acid equivalent</w:t>
      </w:r>
    </w:p>
    <w:p w14:paraId="21B3D775" w14:textId="77777777" w:rsidR="001133FF" w:rsidRDefault="001133FF" w:rsidP="001133FF">
      <w:r>
        <w:t>IC50: Half-maximal inhibitory concentration</w:t>
      </w:r>
    </w:p>
    <w:p w14:paraId="0B5D588F" w14:textId="77777777" w:rsidR="001133FF" w:rsidRDefault="001133FF" w:rsidP="001133FF">
      <w:proofErr w:type="spellStart"/>
      <w:r>
        <w:t>MAq</w:t>
      </w:r>
      <w:proofErr w:type="spellEnd"/>
      <w:r>
        <w:t>: Aqueous Maceration</w:t>
      </w:r>
    </w:p>
    <w:p w14:paraId="171B0A24" w14:textId="77777777" w:rsidR="001133FF" w:rsidRDefault="001133FF" w:rsidP="001133FF">
      <w:r>
        <w:t>MBC: Minimum Bactericidal Concentration</w:t>
      </w:r>
    </w:p>
    <w:p w14:paraId="0360D6A8" w14:textId="77777777" w:rsidR="001133FF" w:rsidRDefault="001133FF" w:rsidP="001133FF">
      <w:r>
        <w:t>MHB: Mueller-Hinton broth</w:t>
      </w:r>
    </w:p>
    <w:p w14:paraId="35179AC3" w14:textId="77777777" w:rsidR="001133FF" w:rsidRDefault="001133FF" w:rsidP="001133FF">
      <w:proofErr w:type="spellStart"/>
      <w:r>
        <w:t>MHe</w:t>
      </w:r>
      <w:proofErr w:type="spellEnd"/>
      <w:r>
        <w:t>: Hydroethanolic Maceration</w:t>
      </w:r>
    </w:p>
    <w:p w14:paraId="6598F95D" w14:textId="77777777" w:rsidR="001133FF" w:rsidRDefault="001133FF" w:rsidP="001133FF">
      <w:r>
        <w:t>MIC: Minimum Inhibitory Concentration</w:t>
      </w:r>
    </w:p>
    <w:p w14:paraId="38A34C69" w14:textId="77777777" w:rsidR="001133FF" w:rsidRDefault="001133FF" w:rsidP="001133FF">
      <w:r>
        <w:t xml:space="preserve">PA: </w:t>
      </w:r>
      <w:r w:rsidRPr="00CA16D7">
        <w:rPr>
          <w:i/>
          <w:iCs/>
        </w:rPr>
        <w:t>Pseudomonas aeruginosa</w:t>
      </w:r>
    </w:p>
    <w:p w14:paraId="6BB73A00" w14:textId="77777777" w:rsidR="001133FF" w:rsidRDefault="001133FF" w:rsidP="001133FF">
      <w:r>
        <w:t>QE: Quercetin equivalent</w:t>
      </w:r>
    </w:p>
    <w:p w14:paraId="6F38F461" w14:textId="77777777" w:rsidR="001133FF" w:rsidRDefault="001133FF" w:rsidP="001133FF">
      <w:r>
        <w:t xml:space="preserve">SA: </w:t>
      </w:r>
      <w:r w:rsidRPr="00CA16D7">
        <w:rPr>
          <w:i/>
          <w:iCs/>
        </w:rPr>
        <w:t>S. aureus</w:t>
      </w:r>
    </w:p>
    <w:p w14:paraId="372FDEDF" w14:textId="77777777" w:rsidR="001133FF" w:rsidRDefault="001133FF" w:rsidP="00441B6F">
      <w:pPr>
        <w:pStyle w:val="ReferHead"/>
        <w:spacing w:after="0"/>
        <w:jc w:val="both"/>
        <w:rPr>
          <w:rFonts w:ascii="Arial" w:hAnsi="Arial" w:cs="Arial"/>
        </w:rPr>
      </w:pPr>
    </w:p>
    <w:p w14:paraId="218840E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32E1CF6" w14:textId="77777777" w:rsidR="00790ADA" w:rsidRPr="00FB3A86" w:rsidRDefault="00790ADA" w:rsidP="00441B6F">
      <w:pPr>
        <w:pStyle w:val="ReferHead"/>
        <w:spacing w:after="0"/>
        <w:jc w:val="both"/>
        <w:rPr>
          <w:rFonts w:ascii="Arial" w:hAnsi="Arial" w:cs="Arial"/>
        </w:rPr>
      </w:pPr>
    </w:p>
    <w:p w14:paraId="7E90CD01" w14:textId="77777777" w:rsidR="00CA16D7" w:rsidRDefault="00CA16D7" w:rsidP="00441B6F">
      <w:pPr>
        <w:pStyle w:val="Body"/>
        <w:spacing w:after="0"/>
      </w:pPr>
    </w:p>
    <w:p w14:paraId="5A5EFFF1" w14:textId="77777777" w:rsidR="00B84C17" w:rsidRDefault="00BF0CCB" w:rsidP="00BF0CCB">
      <w:pPr>
        <w:pStyle w:val="EndNoteBibliography"/>
        <w:ind w:left="720" w:hanging="720"/>
      </w:pPr>
      <w:r>
        <w:rPr>
          <w:rFonts w:ascii="Arial" w:hAnsi="Arial" w:cs="Arial"/>
          <w:b/>
        </w:rPr>
        <w:fldChar w:fldCharType="begin"/>
      </w:r>
      <w:r>
        <w:rPr>
          <w:rFonts w:ascii="Arial" w:hAnsi="Arial" w:cs="Arial"/>
          <w:b/>
        </w:rPr>
        <w:instrText xml:space="preserve"> ADDIN EN.REFLIST </w:instrText>
      </w:r>
      <w:r>
        <w:rPr>
          <w:rFonts w:ascii="Arial" w:hAnsi="Arial" w:cs="Arial"/>
          <w:b/>
        </w:rPr>
        <w:fldChar w:fldCharType="separate"/>
      </w:r>
      <w:r w:rsidR="00B84C17" w:rsidRPr="00B84C17">
        <w:t xml:space="preserve"> Abdul, Y., &amp; Sophie, R. (2019). Secondary Metabolites, Antibacterial and Antiradical Activities of Trunk Bark Extracts of *Acacia polyacantha* Collected in Benin. Int J Adv Res, 7(10), 1087-1092.</w:t>
      </w:r>
    </w:p>
    <w:p w14:paraId="07900015" w14:textId="77777777" w:rsidR="00B84C17" w:rsidRPr="00B84C17" w:rsidRDefault="00B84C17" w:rsidP="00B84C17">
      <w:pPr>
        <w:pStyle w:val="EndNoteBibliography"/>
        <w:ind w:left="720" w:hanging="720"/>
        <w:rPr>
          <w:lang w:val="pt-PT"/>
        </w:rPr>
      </w:pPr>
      <w:r w:rsidRPr="00B84C17">
        <w:rPr>
          <w:lang w:val="pt-PT"/>
        </w:rPr>
        <w:t>Assemian, A. S., Guessennd, N. K., Adou, K. F., &amp; Dosso, M. (2022). Phytochemical study and antibacterial activity of *Crateva adansonii* DC (Capparaceae) extracts against *S. aureus* and *Pseudomonas aeruginosa* strains. *Journal of Applied Biosciences*, 172, 17891-17904.</w:t>
      </w:r>
    </w:p>
    <w:p w14:paraId="3A5FE0D3" w14:textId="77777777" w:rsidR="00B84C17" w:rsidRPr="00B84C17" w:rsidRDefault="00B84C17" w:rsidP="00B84C17">
      <w:pPr>
        <w:pStyle w:val="EndNoteBibliography"/>
        <w:ind w:left="720" w:hanging="720"/>
        <w:rPr>
          <w:lang w:val="pt-PT"/>
        </w:rPr>
      </w:pPr>
      <w:r w:rsidRPr="00B84C17">
        <w:rPr>
          <w:lang w:val="pt-PT"/>
        </w:rPr>
        <w:t>Augustin, C. (1947). Medicinal products provided by plants of the Guttiferae family found in the French colonies. *Journal d’agriculture traditionnelle et de botanique appliquée*, 20, 88-97.</w:t>
      </w:r>
    </w:p>
    <w:p w14:paraId="07255404" w14:textId="77777777" w:rsidR="00B84C17" w:rsidRDefault="00B84C17" w:rsidP="00B84C17">
      <w:pPr>
        <w:pStyle w:val="EndNoteBibliography"/>
        <w:ind w:left="720" w:hanging="720"/>
        <w:rPr>
          <w:lang w:val="pt-PT"/>
        </w:rPr>
      </w:pPr>
      <w:r w:rsidRPr="00B84C17">
        <w:rPr>
          <w:lang w:val="pt-PT"/>
        </w:rPr>
        <w:t>Blé Marcel, Y. (2010). The role of the anthropologist in the revitalization of traditional African medicine. *Recherches qualitatives*, 29(2), 57-67.</w:t>
      </w:r>
    </w:p>
    <w:p w14:paraId="557D7D51" w14:textId="216DAA27" w:rsidR="00BF0CCB" w:rsidRPr="00CA16D7" w:rsidRDefault="00BF0CCB" w:rsidP="00B84C17">
      <w:pPr>
        <w:pStyle w:val="EndNoteBibliography"/>
        <w:ind w:left="720" w:hanging="720"/>
      </w:pPr>
      <w:r w:rsidRPr="00CA16D7">
        <w:t xml:space="preserve"> </w:t>
      </w:r>
    </w:p>
    <w:p w14:paraId="4A3D6344" w14:textId="77777777" w:rsidR="00BF0CCB" w:rsidRPr="00BF0CCB" w:rsidRDefault="00BF0CCB" w:rsidP="00BF0CCB">
      <w:pPr>
        <w:pStyle w:val="EndNoteBibliography"/>
        <w:ind w:left="720" w:hanging="720"/>
        <w:rPr>
          <w:lang w:val="fr-FR"/>
        </w:rPr>
      </w:pPr>
      <w:r w:rsidRPr="00CA16D7">
        <w:lastRenderedPageBreak/>
        <w:t>Bourgou, A., &amp; Cheng-Wu, J. (2009). Antioxidant activity and quantitative estimation of azadirachtin and nimbin in Azadirachta Indica. Grown in foothills of Nepal.</w:t>
      </w:r>
      <w:r w:rsidRPr="00CA16D7">
        <w:rPr>
          <w:i/>
        </w:rPr>
        <w:t xml:space="preserve"> </w:t>
      </w:r>
      <w:r w:rsidRPr="00BF0CCB">
        <w:rPr>
          <w:i/>
          <w:lang w:val="fr-FR"/>
        </w:rPr>
        <w:t>8</w:t>
      </w:r>
      <w:r w:rsidRPr="00BF0CCB">
        <w:rPr>
          <w:lang w:val="fr-FR"/>
        </w:rPr>
        <w:t xml:space="preserve">(13), 384-391. </w:t>
      </w:r>
    </w:p>
    <w:p w14:paraId="3016158D" w14:textId="135E81EC" w:rsidR="00BF0CCB" w:rsidRPr="00CA16D7" w:rsidRDefault="00B84C17" w:rsidP="00BF0CCB">
      <w:pPr>
        <w:pStyle w:val="EndNoteBibliography"/>
        <w:ind w:left="720" w:hanging="720"/>
      </w:pPr>
      <w:r w:rsidRPr="00B84C17">
        <w:rPr>
          <w:lang w:val="fr-FR"/>
        </w:rPr>
        <w:t>Bourgou, S., Beji, R. S., Medini, F., &amp; Ksouri, R. (2016). Effect of solvent and extraction method on the phenolic compound content and antioxidant potential of *Euphorbia helioscopia*. Journal of New Sciences, Agriculture and Biotechnology, 28(12), 1649–1655.</w:t>
      </w:r>
      <w:r w:rsidR="00BF0CCB" w:rsidRPr="00CA16D7">
        <w:t xml:space="preserve">. </w:t>
      </w:r>
    </w:p>
    <w:p w14:paraId="5A4580A3" w14:textId="77777777" w:rsidR="00BF0CCB" w:rsidRPr="00CA16D7" w:rsidRDefault="00BF0CCB" w:rsidP="00BF0CCB">
      <w:pPr>
        <w:pStyle w:val="EndNoteBibliography"/>
        <w:ind w:left="720" w:hanging="720"/>
      </w:pPr>
      <w:r w:rsidRPr="00CA16D7">
        <w:t xml:space="preserve">Cushnie, T., &amp; Lamb, A. (2011). Recent advances in understanding the antibacterial properties of flavonoids. </w:t>
      </w:r>
      <w:r w:rsidRPr="00CA16D7">
        <w:rPr>
          <w:i/>
        </w:rPr>
        <w:t>International Journal of Antimicrobial Agents, 38</w:t>
      </w:r>
      <w:r w:rsidRPr="00CA16D7">
        <w:t xml:space="preserve">(2), 99-107. </w:t>
      </w:r>
    </w:p>
    <w:p w14:paraId="3764D2D2" w14:textId="77777777" w:rsidR="00BF0CCB" w:rsidRPr="00BF0CCB" w:rsidRDefault="00BF0CCB" w:rsidP="00BF0CCB">
      <w:pPr>
        <w:pStyle w:val="EndNoteBibliography"/>
        <w:ind w:left="720" w:hanging="720"/>
        <w:rPr>
          <w:lang w:val="fr-FR"/>
        </w:rPr>
      </w:pPr>
      <w:r w:rsidRPr="00CA16D7">
        <w:t xml:space="preserve">Djeussi, D. E., Noumedem, J. A., Seukep, J. A., Fankam, A. G., Voukeng, I. K., Tankeo, S. B., . . . Kuete, V. (2013). Antibacterial activities of selected edible plants extracts against multi-drug resistant Gram-negative bacteria. </w:t>
      </w:r>
      <w:r w:rsidRPr="00BF0CCB">
        <w:rPr>
          <w:i/>
          <w:lang w:val="fr-FR"/>
        </w:rPr>
        <w:t>BMC Complementary and Alternative Medicine, 13</w:t>
      </w:r>
      <w:r w:rsidRPr="00BF0CCB">
        <w:rPr>
          <w:lang w:val="fr-FR"/>
        </w:rPr>
        <w:t xml:space="preserve">(1), 164. </w:t>
      </w:r>
    </w:p>
    <w:p w14:paraId="31F88174" w14:textId="77777777" w:rsidR="00BF0CCB" w:rsidRPr="00BF0CCB" w:rsidRDefault="00BF0CCB" w:rsidP="00BF0CCB">
      <w:pPr>
        <w:pStyle w:val="EndNoteBibliography"/>
        <w:ind w:left="720" w:hanging="720"/>
        <w:rPr>
          <w:lang w:val="fr-FR"/>
        </w:rPr>
      </w:pPr>
      <w:r w:rsidRPr="00BF0CCB">
        <w:rPr>
          <w:lang w:val="fr-FR"/>
        </w:rPr>
        <w:t xml:space="preserve">Favier, A. (2003). Stress oxydant et pathologies humaines. </w:t>
      </w:r>
      <w:r w:rsidRPr="00BF0CCB">
        <w:rPr>
          <w:i/>
          <w:lang w:val="fr-FR"/>
        </w:rPr>
        <w:t>Annales Pharmaceutiques Françaises, 64</w:t>
      </w:r>
      <w:r w:rsidRPr="00BF0CCB">
        <w:rPr>
          <w:lang w:val="fr-FR"/>
        </w:rPr>
        <w:t xml:space="preserve">, 390-396. </w:t>
      </w:r>
    </w:p>
    <w:p w14:paraId="258B1DB4" w14:textId="77777777" w:rsidR="00BF0CCB" w:rsidRPr="00CA16D7" w:rsidRDefault="00BF0CCB" w:rsidP="00BF0CCB">
      <w:pPr>
        <w:pStyle w:val="EndNoteBibliography"/>
        <w:ind w:left="720" w:hanging="720"/>
      </w:pPr>
      <w:r w:rsidRPr="00CA16D7">
        <w:t xml:space="preserve">Ksouri, R., &amp; Megdiche, W. (2007). Salinity effects on polyphenol content and antioxidant activities in leaves of the halophyte Cakile maritima. </w:t>
      </w:r>
      <w:r w:rsidRPr="00CA16D7">
        <w:rPr>
          <w:i/>
        </w:rPr>
        <w:t>Plant Physiology Biochemestry</w:t>
      </w:r>
      <w:r w:rsidRPr="00CA16D7">
        <w:t xml:space="preserve">, 244-249. </w:t>
      </w:r>
    </w:p>
    <w:p w14:paraId="64FF3EB5" w14:textId="77777777" w:rsidR="00BF0CCB" w:rsidRPr="00CA16D7" w:rsidRDefault="00BF0CCB" w:rsidP="00BF0CCB">
      <w:pPr>
        <w:pStyle w:val="EndNoteBibliography"/>
        <w:ind w:left="720" w:hanging="720"/>
      </w:pPr>
      <w:r w:rsidRPr="00CA16D7">
        <w:t xml:space="preserve">Molyneux. (2004). The use of stable free radical diphenylpicryl-hydrazyl (DPPH) for estimating antioxidant activity Songklanakarin. </w:t>
      </w:r>
      <w:r w:rsidRPr="00CA16D7">
        <w:rPr>
          <w:i/>
        </w:rPr>
        <w:t>Journal Science Technology, 26</w:t>
      </w:r>
      <w:r w:rsidRPr="00CA16D7">
        <w:t xml:space="preserve">(2), 211-219. </w:t>
      </w:r>
    </w:p>
    <w:p w14:paraId="2F158810" w14:textId="77777777" w:rsidR="00BF0CCB" w:rsidRPr="00CA16D7" w:rsidRDefault="00BF0CCB" w:rsidP="00BF0CCB">
      <w:pPr>
        <w:pStyle w:val="EndNoteBibliography"/>
        <w:ind w:left="720" w:hanging="720"/>
      </w:pPr>
      <w:r w:rsidRPr="00CA16D7">
        <w:t xml:space="preserve">Monrudee, S., &amp; Tanasait, N. (2011). Antioxydant properties of squeezed mangosteen juice. </w:t>
      </w:r>
      <w:r w:rsidRPr="00CA16D7">
        <w:rPr>
          <w:i/>
        </w:rPr>
        <w:t>Thai Journal Pharmaceutical Sciences</w:t>
      </w:r>
      <w:r w:rsidRPr="00CA16D7">
        <w:t xml:space="preserve">, 176-187. </w:t>
      </w:r>
    </w:p>
    <w:p w14:paraId="68118D46" w14:textId="77777777" w:rsidR="00BF0CCB" w:rsidRPr="00BF0CCB" w:rsidRDefault="00BF0CCB" w:rsidP="00BF0CCB">
      <w:pPr>
        <w:pStyle w:val="EndNoteBibliography"/>
        <w:ind w:left="720" w:hanging="720"/>
        <w:rPr>
          <w:lang w:val="fr-FR"/>
        </w:rPr>
      </w:pPr>
      <w:r w:rsidRPr="00BF0CCB">
        <w:rPr>
          <w:lang w:val="pt-PT"/>
        </w:rPr>
        <w:t xml:space="preserve">Nakagawa, Y., Tayama, K., Nakao, T., &amp; Hiraga, K. (1984). </w:t>
      </w:r>
      <w:r w:rsidRPr="00CA16D7">
        <w:t xml:space="preserve">On the mechanism of butylated hydroxytoluene-induced hepatic toxicity in rats. </w:t>
      </w:r>
      <w:r w:rsidRPr="00BF0CCB">
        <w:rPr>
          <w:i/>
          <w:lang w:val="fr-FR"/>
        </w:rPr>
        <w:t>Biochemical pharmacology, 33</w:t>
      </w:r>
      <w:r w:rsidRPr="00BF0CCB">
        <w:rPr>
          <w:lang w:val="fr-FR"/>
        </w:rPr>
        <w:t xml:space="preserve">(16), 2669-2674. </w:t>
      </w:r>
    </w:p>
    <w:p w14:paraId="0B86C282" w14:textId="77777777" w:rsidR="00B84C17" w:rsidRDefault="00B84C17" w:rsidP="00BF0CCB">
      <w:pPr>
        <w:pStyle w:val="EndNoteBibliography"/>
        <w:ind w:left="720" w:hanging="720"/>
        <w:rPr>
          <w:lang w:val="fr-FR"/>
        </w:rPr>
      </w:pPr>
      <w:r w:rsidRPr="00B84C17">
        <w:rPr>
          <w:lang w:val="fr-FR"/>
        </w:rPr>
        <w:t>Neha, V., &amp; Soumya, P. (2022). Recent Update on Biologically Active Molecules in Generating the Anticancer Therapeutic Potential of *Garcinia mangostana*. Applied Biochemistry and Biotechnology, 1–22.</w:t>
      </w:r>
    </w:p>
    <w:p w14:paraId="0465B0DE" w14:textId="61D38AF5" w:rsidR="00BF0CCB" w:rsidRPr="00CA16D7" w:rsidRDefault="00BF0CCB" w:rsidP="00BF0CCB">
      <w:pPr>
        <w:pStyle w:val="EndNoteBibliography"/>
        <w:ind w:left="720" w:hanging="720"/>
      </w:pPr>
      <w:r w:rsidRPr="00CA16D7">
        <w:t xml:space="preserve"> </w:t>
      </w:r>
    </w:p>
    <w:p w14:paraId="4C3EE07B" w14:textId="77777777" w:rsidR="00BF0CCB" w:rsidRPr="00CA16D7" w:rsidRDefault="00BF0CCB" w:rsidP="00BF0CCB">
      <w:pPr>
        <w:pStyle w:val="EndNoteBibliography"/>
        <w:ind w:left="720" w:hanging="720"/>
      </w:pPr>
      <w:r w:rsidRPr="00CA16D7">
        <w:t xml:space="preserve">Ngoupayo, J., &amp; Fouaguim, A. (2016). Evaluation of the antimicrobial activity of tannin extracted from the barks of Erythrophleum guineensis (Caesalpiniaceae ). 287-291. </w:t>
      </w:r>
    </w:p>
    <w:p w14:paraId="2336B27D" w14:textId="77777777" w:rsidR="00BF0CCB" w:rsidRPr="00BF0CCB" w:rsidRDefault="00BF0CCB" w:rsidP="00BF0CCB">
      <w:pPr>
        <w:pStyle w:val="EndNoteBibliography"/>
        <w:ind w:left="720" w:hanging="720"/>
        <w:rPr>
          <w:lang w:val="fr-FR"/>
        </w:rPr>
      </w:pPr>
      <w:r w:rsidRPr="00CA16D7">
        <w:t xml:space="preserve">Nuttavet, K., Youn-Hee, H., &amp; Primchanien, M. (2007). Antioxidant and cytoprotective activities of methanolic extract from the fruit hull of </w:t>
      </w:r>
      <w:r w:rsidRPr="00CA16D7">
        <w:rPr>
          <w:i/>
          <w:iCs/>
        </w:rPr>
        <w:t xml:space="preserve">Garcinia mangostana </w:t>
      </w:r>
      <w:r w:rsidRPr="00CA16D7">
        <w:t xml:space="preserve">. </w:t>
      </w:r>
      <w:r w:rsidRPr="00BF0CCB">
        <w:rPr>
          <w:i/>
          <w:lang w:val="fr-FR"/>
        </w:rPr>
        <w:t>Science Asia, 33</w:t>
      </w:r>
      <w:r w:rsidRPr="00BF0CCB">
        <w:rPr>
          <w:lang w:val="fr-FR"/>
        </w:rPr>
        <w:t xml:space="preserve">(1), 283-292. </w:t>
      </w:r>
    </w:p>
    <w:p w14:paraId="65717D13" w14:textId="77777777" w:rsidR="00B84C17" w:rsidRDefault="00B84C17" w:rsidP="00BF0CCB">
      <w:pPr>
        <w:pStyle w:val="EndNoteBibliography"/>
        <w:ind w:left="720" w:hanging="720"/>
        <w:rPr>
          <w:lang w:val="fr-FR"/>
        </w:rPr>
      </w:pPr>
      <w:r w:rsidRPr="00B84C17">
        <w:rPr>
          <w:lang w:val="fr-FR"/>
        </w:rPr>
        <w:t>Nyegue, M. (2006). Chemical and Biological Properties of Essential Oils from Selected Aromatic and/or Medicinal Plants of Cameroon: Evaluation of Their Free Radical Scavenging, Anti-inflammatory, and Antibacterial Activities. University of Montpellier II and Yaoundé I.</w:t>
      </w:r>
    </w:p>
    <w:p w14:paraId="46B54CBB" w14:textId="77777777" w:rsidR="00B84C17" w:rsidRDefault="00B84C17" w:rsidP="00BF0CCB">
      <w:pPr>
        <w:pStyle w:val="EndNoteBibliography"/>
        <w:ind w:left="720" w:hanging="720"/>
        <w:rPr>
          <w:lang w:val="fr-FR"/>
        </w:rPr>
      </w:pPr>
      <w:r w:rsidRPr="00B84C17">
        <w:rPr>
          <w:lang w:val="fr-FR"/>
        </w:rPr>
        <w:t>Omer Sheriff, S., &amp; Haresh Kumar, K. (2022). The Potential of α-Mangostin from *Garcinia mangostana* as an Effective Antibacterial Agent—A Systematic Review and Meta-Analysis. *Antibiotics*, 11(6), 717.</w:t>
      </w:r>
    </w:p>
    <w:p w14:paraId="098E32EE" w14:textId="77777777" w:rsidR="00B84C17" w:rsidRPr="00B84C17" w:rsidRDefault="00B84C17" w:rsidP="00B84C17">
      <w:pPr>
        <w:pStyle w:val="EndNoteBibliography"/>
        <w:ind w:left="720" w:hanging="720"/>
        <w:rPr>
          <w:lang w:val="fr-FR"/>
        </w:rPr>
      </w:pPr>
      <w:r w:rsidRPr="00B84C17">
        <w:rPr>
          <w:lang w:val="fr-FR"/>
        </w:rPr>
        <w:t>Radia, L. (2014). In vitro evaluation of the antioxidant and anti-inflammatory activities of the essential oils of *Origanum glandulosum* and *Rosmarinus officinalis*, alone and in combination. Abderrahmane Mira University of Béjaia, Algeria.</w:t>
      </w:r>
    </w:p>
    <w:p w14:paraId="3311B240" w14:textId="2F449520" w:rsidR="00BF0CCB" w:rsidRPr="00CA16D7" w:rsidRDefault="00B84C17" w:rsidP="00B84C17">
      <w:pPr>
        <w:pStyle w:val="EndNoteBibliography"/>
        <w:ind w:left="720" w:hanging="720"/>
      </w:pPr>
      <w:r w:rsidRPr="00B84C17">
        <w:rPr>
          <w:lang w:val="fr-FR"/>
        </w:rPr>
        <w:lastRenderedPageBreak/>
        <w:t>Ribereau-Gayon, P., &amp; Stonestreet, E. (1996). Plant Chemistry. *Annales de Chimie*, 188–196.</w:t>
      </w:r>
      <w:r w:rsidR="00BF0CCB" w:rsidRPr="00CA16D7">
        <w:t xml:space="preserve"> </w:t>
      </w:r>
    </w:p>
    <w:p w14:paraId="48F0037D" w14:textId="77777777" w:rsidR="00BF0CCB" w:rsidRPr="00CA16D7" w:rsidRDefault="00BF0CCB" w:rsidP="00BF0CCB">
      <w:pPr>
        <w:pStyle w:val="EndNoteBibliography"/>
        <w:ind w:left="720" w:hanging="720"/>
      </w:pPr>
      <w:r w:rsidRPr="00CA16D7">
        <w:t xml:space="preserve">Roersch, C. (2010). Piper umbellatum L. A comparative cross-cultural analysis of its medicinal uses and an ethnopharmacological evaluation. </w:t>
      </w:r>
      <w:r w:rsidRPr="00CA16D7">
        <w:rPr>
          <w:i/>
        </w:rPr>
        <w:t>Journal of ethnopharmacology, 131</w:t>
      </w:r>
      <w:r w:rsidRPr="00CA16D7">
        <w:t xml:space="preserve">(2), 522-537. </w:t>
      </w:r>
    </w:p>
    <w:p w14:paraId="7716AABA" w14:textId="77777777" w:rsidR="00B84C17" w:rsidRDefault="00B84C17" w:rsidP="00BF0CCB">
      <w:pPr>
        <w:pStyle w:val="EndNoteBibliography"/>
        <w:ind w:left="720" w:hanging="720"/>
      </w:pPr>
      <w:r w:rsidRPr="00B84C17">
        <w:t>Rolland, Y. (2004). Natural Plant Antioxidants. Oilseeds and Fats, Crops and Lipids, 11(6), 41.</w:t>
      </w:r>
    </w:p>
    <w:p w14:paraId="56DE815F" w14:textId="6D83DF33" w:rsidR="00BF0CCB" w:rsidRPr="00CA16D7" w:rsidRDefault="00BF0CCB" w:rsidP="00BF0CCB">
      <w:pPr>
        <w:pStyle w:val="EndNoteBibliography"/>
        <w:ind w:left="720" w:hanging="720"/>
      </w:pPr>
      <w:r w:rsidRPr="00CA16D7">
        <w:t xml:space="preserve">Shela, G., Mamta, S., &amp; Shiwani, G. (2011). Phytochemical screening and antioxidant activity of Cassia fistula L. leaf extracts. </w:t>
      </w:r>
      <w:r w:rsidRPr="00CA16D7">
        <w:rPr>
          <w:i/>
        </w:rPr>
        <w:t>Journal of Chemical and Pharmaceutical Research, 3</w:t>
      </w:r>
      <w:r w:rsidRPr="00CA16D7">
        <w:t xml:space="preserve">(6), 194-199. </w:t>
      </w:r>
    </w:p>
    <w:p w14:paraId="31160B2E" w14:textId="77777777" w:rsidR="00BF0CCB" w:rsidRPr="00CA16D7" w:rsidRDefault="00BF0CCB" w:rsidP="00BF0CCB">
      <w:pPr>
        <w:pStyle w:val="EndNoteBibliography"/>
        <w:ind w:left="720" w:hanging="720"/>
      </w:pPr>
      <w:r w:rsidRPr="00CA16D7">
        <w:t xml:space="preserve">Siddiqui, N., &amp; Abdur, R. (2017). Secondary metabolits in plants. </w:t>
      </w:r>
      <w:r w:rsidRPr="00CA16D7">
        <w:rPr>
          <w:i/>
        </w:rPr>
        <w:t>Journal of Taibah University Medical Sciences, 12</w:t>
      </w:r>
      <w:r w:rsidRPr="00CA16D7">
        <w:t xml:space="preserve">(4), 360-363. </w:t>
      </w:r>
    </w:p>
    <w:p w14:paraId="1950CEB0" w14:textId="77777777" w:rsidR="00B84C17" w:rsidRDefault="00B84C17" w:rsidP="00BF0CCB">
      <w:pPr>
        <w:pStyle w:val="EndNoteBibliography"/>
        <w:ind w:left="720" w:hanging="720"/>
        <w:rPr>
          <w:lang w:val="fr-FR"/>
        </w:rPr>
      </w:pPr>
      <w:r w:rsidRPr="00B84C17">
        <w:rPr>
          <w:lang w:val="fr-FR"/>
        </w:rPr>
        <w:t>Souris, J. S. (2002). Evaluation of the antioxidant activity of plant extracts. Catholic University of Louvain, Louvain.</w:t>
      </w:r>
    </w:p>
    <w:p w14:paraId="625799C4" w14:textId="239D5FD8" w:rsidR="00BF0CCB" w:rsidRPr="00CA16D7" w:rsidRDefault="00B84C17" w:rsidP="00BF0CCB">
      <w:pPr>
        <w:pStyle w:val="EndNoteBibliography"/>
        <w:ind w:left="720" w:hanging="720"/>
      </w:pPr>
      <w:r w:rsidRPr="00B84C17">
        <w:rPr>
          <w:lang w:val="fr-FR"/>
        </w:rPr>
        <w:t>Talbi, H. (2014). Evaluation of the antioxidant activity and physicochemical composition of methanolic and aqueous extracts of *Nigella sativa*. 6(4), 1111-1117.</w:t>
      </w:r>
      <w:r w:rsidR="00BF0CCB" w:rsidRPr="00CA16D7">
        <w:t xml:space="preserve"> </w:t>
      </w:r>
    </w:p>
    <w:p w14:paraId="55B2ECD6" w14:textId="77777777" w:rsidR="00BF0CCB" w:rsidRPr="00BF0CCB" w:rsidRDefault="00BF0CCB" w:rsidP="00BF0CCB">
      <w:pPr>
        <w:pStyle w:val="EndNoteBibliography"/>
        <w:ind w:left="720" w:hanging="720"/>
        <w:rPr>
          <w:lang w:val="fr-FR"/>
        </w:rPr>
      </w:pPr>
      <w:r w:rsidRPr="00CA16D7">
        <w:t xml:space="preserve">Trease, G., &amp; Evans, W. (2002). Chemistry and biochemistru of dietary polyphenols. </w:t>
      </w:r>
      <w:r w:rsidRPr="00BF0CCB">
        <w:rPr>
          <w:i/>
          <w:lang w:val="fr-FR"/>
        </w:rPr>
        <w:t>Journal of Pharmacognosy</w:t>
      </w:r>
      <w:r w:rsidRPr="00BF0CCB">
        <w:rPr>
          <w:lang w:val="fr-FR"/>
        </w:rPr>
        <w:t xml:space="preserve">, 391-393. </w:t>
      </w:r>
    </w:p>
    <w:p w14:paraId="43B9D52B" w14:textId="77777777" w:rsidR="00B84C17" w:rsidRDefault="00B84C17" w:rsidP="00BF0CCB">
      <w:pPr>
        <w:pStyle w:val="EndNoteBibliography"/>
        <w:ind w:left="720" w:hanging="720"/>
        <w:rPr>
          <w:lang w:val="fr-FR"/>
        </w:rPr>
      </w:pPr>
      <w:r w:rsidRPr="00B84C17">
        <w:rPr>
          <w:lang w:val="fr-FR"/>
        </w:rPr>
        <w:t>Valère, M. (2022). In Vitro Evaluation of the Antioxidant and Antibacterial Activity of *Canarium schweinfurthii* Trunk Bark. Université des Montagnes, Bangangté.</w:t>
      </w:r>
    </w:p>
    <w:p w14:paraId="1D977393" w14:textId="6797C051" w:rsidR="00BF0CCB" w:rsidRPr="00CA16D7" w:rsidRDefault="00BF0CCB" w:rsidP="00BF0CCB">
      <w:pPr>
        <w:pStyle w:val="EndNoteBibliography"/>
        <w:ind w:left="720" w:hanging="720"/>
      </w:pPr>
      <w:r w:rsidRPr="00BF0CCB">
        <w:rPr>
          <w:lang w:val="fr-FR"/>
        </w:rPr>
        <w:t>Yin, S., &amp; Stefanie, S. (2013). Antioxydant capacity and antibacterial activity of differents parts pf mangoosteen (</w:t>
      </w:r>
      <w:r w:rsidRPr="00BF0CCB">
        <w:rPr>
          <w:i/>
          <w:iCs/>
          <w:lang w:val="fr-FR"/>
        </w:rPr>
        <w:t xml:space="preserve">Garcinia mangostana </w:t>
      </w:r>
      <w:r w:rsidRPr="00BF0CCB">
        <w:rPr>
          <w:lang w:val="fr-FR"/>
        </w:rPr>
        <w:t xml:space="preserve"> Linn.) extracts. </w:t>
      </w:r>
      <w:r w:rsidRPr="00CA16D7">
        <w:rPr>
          <w:i/>
        </w:rPr>
        <w:t>EDP sciences</w:t>
      </w:r>
      <w:r w:rsidRPr="00CA16D7">
        <w:t xml:space="preserve">. </w:t>
      </w:r>
    </w:p>
    <w:p w14:paraId="08818ED4" w14:textId="56399D27" w:rsidR="00441B6F" w:rsidRDefault="00BF0CCB" w:rsidP="00BF0CCB">
      <w:pPr>
        <w:pStyle w:val="Body"/>
        <w:spacing w:after="0"/>
      </w:pPr>
      <w:r>
        <w:rPr>
          <w:rFonts w:ascii="Arial" w:hAnsi="Arial" w:cs="Arial"/>
          <w:b/>
        </w:rPr>
        <w:fldChar w:fldCharType="end"/>
      </w:r>
    </w:p>
    <w:p w14:paraId="688ED690" w14:textId="77777777" w:rsidR="00790ADA" w:rsidRPr="00FB3A86" w:rsidRDefault="00790ADA" w:rsidP="00441B6F">
      <w:pPr>
        <w:pStyle w:val="Body"/>
        <w:spacing w:after="0"/>
        <w:rPr>
          <w:rFonts w:ascii="Arial" w:hAnsi="Arial" w:cs="Arial"/>
        </w:rPr>
      </w:pPr>
    </w:p>
    <w:p w14:paraId="3EE6A559" w14:textId="77777777" w:rsidR="00C33EC5" w:rsidRDefault="00C33EC5" w:rsidP="00C33EC5">
      <w:pPr>
        <w:pStyle w:val="Appendix"/>
        <w:spacing w:after="0"/>
        <w:jc w:val="both"/>
        <w:rPr>
          <w:rFonts w:ascii="Arial" w:hAnsi="Arial" w:cs="Arial"/>
        </w:rPr>
      </w:pPr>
    </w:p>
    <w:p w14:paraId="0DFE3D06" w14:textId="77777777" w:rsidR="00C33EC5" w:rsidRDefault="00C33EC5" w:rsidP="00C33EC5">
      <w:pPr>
        <w:pStyle w:val="Appendix"/>
        <w:spacing w:after="0"/>
        <w:jc w:val="both"/>
        <w:rPr>
          <w:rFonts w:ascii="Arial" w:hAnsi="Arial" w:cs="Arial"/>
        </w:rPr>
      </w:pPr>
    </w:p>
    <w:p w14:paraId="4ACA3D3C" w14:textId="6395F2D5" w:rsidR="00C33EC5" w:rsidRPr="00C33EC5" w:rsidRDefault="00C33EC5" w:rsidP="00C33EC5">
      <w:pPr>
        <w:pStyle w:val="Appendix"/>
        <w:spacing w:after="0"/>
        <w:jc w:val="both"/>
        <w:rPr>
          <w:rFonts w:ascii="Arial" w:hAnsi="Arial" w:cs="Arial"/>
        </w:rPr>
        <w:sectPr w:rsidR="00C33EC5" w:rsidRPr="00C33EC5" w:rsidSect="007502A8">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156DBE73" w14:textId="77777777" w:rsidR="00CA16D7" w:rsidRDefault="00CA16D7" w:rsidP="00441B6F">
      <w:pPr>
        <w:pStyle w:val="Appendix"/>
        <w:spacing w:after="0"/>
        <w:jc w:val="both"/>
        <w:rPr>
          <w:rFonts w:ascii="Arial" w:hAnsi="Arial" w:cs="Arial"/>
          <w:b w:val="0"/>
        </w:rPr>
      </w:pPr>
    </w:p>
    <w:p w14:paraId="02815D89" w14:textId="77777777" w:rsidR="00CA16D7" w:rsidRDefault="00CA16D7" w:rsidP="00441B6F">
      <w:pPr>
        <w:pStyle w:val="Appendix"/>
        <w:spacing w:after="0"/>
        <w:jc w:val="both"/>
        <w:rPr>
          <w:rFonts w:ascii="Arial" w:hAnsi="Arial" w:cs="Arial"/>
          <w:b w:val="0"/>
        </w:rPr>
      </w:pPr>
    </w:p>
    <w:p w14:paraId="4B9C085A" w14:textId="098B6F0C" w:rsidR="00B01FCD" w:rsidRPr="00FB3A86" w:rsidRDefault="00B01FCD" w:rsidP="00CA16D7">
      <w:pPr>
        <w:pStyle w:val="Appendix"/>
        <w:spacing w:after="0"/>
        <w:jc w:val="both"/>
        <w:rPr>
          <w:rFonts w:ascii="Arial" w:hAnsi="Arial" w:cs="Arial"/>
          <w:b w:val="0"/>
        </w:rPr>
      </w:pPr>
    </w:p>
    <w:sectPr w:rsidR="00B01FCD" w:rsidRPr="00FB3A86" w:rsidSect="007502A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BA5F0" w14:textId="77777777" w:rsidR="00A16C6B" w:rsidRDefault="00A16C6B" w:rsidP="00C37E61">
      <w:r>
        <w:separator/>
      </w:r>
    </w:p>
  </w:endnote>
  <w:endnote w:type="continuationSeparator" w:id="0">
    <w:p w14:paraId="3D30F6A3" w14:textId="77777777" w:rsidR="00A16C6B" w:rsidRDefault="00A16C6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1A5AE" w14:textId="77777777" w:rsidR="007502A8" w:rsidRDefault="00750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AD426" w14:textId="77777777" w:rsidR="007502A8" w:rsidRDefault="007502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DD9AD" w14:textId="03D055DC" w:rsidR="00754C9A" w:rsidRPr="00C6318F" w:rsidRDefault="00754C9A" w:rsidP="00C6318F">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5FD5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7E4DA" w14:textId="77777777" w:rsidR="00A16C6B" w:rsidRDefault="00A16C6B" w:rsidP="00C37E61">
      <w:r>
        <w:separator/>
      </w:r>
    </w:p>
  </w:footnote>
  <w:footnote w:type="continuationSeparator" w:id="0">
    <w:p w14:paraId="0CA3B9E2" w14:textId="77777777" w:rsidR="00A16C6B" w:rsidRDefault="00A16C6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F57E8" w14:textId="182D5B28" w:rsidR="007502A8" w:rsidRDefault="007502A8">
    <w:pPr>
      <w:pStyle w:val="Header"/>
    </w:pPr>
    <w:r>
      <w:rPr>
        <w:noProof/>
      </w:rPr>
      <w:pict w14:anchorId="3F7575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4340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D3878" w14:textId="63E4D9CD" w:rsidR="007502A8" w:rsidRDefault="007502A8">
    <w:pPr>
      <w:pStyle w:val="Header"/>
    </w:pPr>
    <w:r>
      <w:rPr>
        <w:noProof/>
      </w:rPr>
      <w:pict w14:anchorId="1E4F5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4340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23F22" w14:textId="10080C03" w:rsidR="00296529" w:rsidRPr="00296529" w:rsidRDefault="007502A8" w:rsidP="00296529">
    <w:pPr>
      <w:ind w:left="2160"/>
      <w:jc w:val="center"/>
      <w:rPr>
        <w:rFonts w:ascii="Times New Roman" w:eastAsia="Calibri" w:hAnsi="Times New Roman"/>
        <w:i/>
        <w:sz w:val="18"/>
        <w:szCs w:val="22"/>
      </w:rPr>
    </w:pPr>
    <w:r>
      <w:rPr>
        <w:noProof/>
      </w:rPr>
      <w:pict w14:anchorId="46539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4340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17CD13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73315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38312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8C21E5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A11B85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4D9637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6655C" w14:textId="0BD83EFD" w:rsidR="007502A8" w:rsidRDefault="007502A8">
    <w:pPr>
      <w:pStyle w:val="Header"/>
    </w:pPr>
    <w:r>
      <w:rPr>
        <w:noProof/>
      </w:rPr>
      <w:pict w14:anchorId="1EC1C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43405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D7143" w14:textId="3893CF20" w:rsidR="007502A8" w:rsidRDefault="007502A8">
    <w:pPr>
      <w:pStyle w:val="Header"/>
    </w:pPr>
    <w:r>
      <w:rPr>
        <w:noProof/>
      </w:rPr>
      <w:pict w14:anchorId="67DD87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43405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96EAB" w14:textId="59C19154" w:rsidR="007502A8" w:rsidRDefault="007502A8">
    <w:pPr>
      <w:pStyle w:val="Header"/>
    </w:pPr>
    <w:r>
      <w:rPr>
        <w:noProof/>
      </w:rPr>
      <w:pict w14:anchorId="2F689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43404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APA 6th&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pwefpzf5eefwrea9agvzetgp2s0rdew0rw0&quot;&gt;My EndNote Librarybn&lt;record-ids&gt;&lt;item&gt;86&lt;/item&gt;&lt;/record-ids&gt;&lt;/item&gt;&lt;/Libraries&gt;"/>
  </w:docVars>
  <w:rsids>
    <w:rsidRoot w:val="00AA6219"/>
    <w:rsid w:val="00000F8F"/>
    <w:rsid w:val="00030174"/>
    <w:rsid w:val="0004579C"/>
    <w:rsid w:val="000A47FA"/>
    <w:rsid w:val="000A65D3"/>
    <w:rsid w:val="000B1E33"/>
    <w:rsid w:val="000D689F"/>
    <w:rsid w:val="000E7B7B"/>
    <w:rsid w:val="000E7D62"/>
    <w:rsid w:val="00103357"/>
    <w:rsid w:val="001133FF"/>
    <w:rsid w:val="00123C9F"/>
    <w:rsid w:val="00126190"/>
    <w:rsid w:val="00130F17"/>
    <w:rsid w:val="001320BF"/>
    <w:rsid w:val="00163BC4"/>
    <w:rsid w:val="00187DAB"/>
    <w:rsid w:val="00191062"/>
    <w:rsid w:val="00192B72"/>
    <w:rsid w:val="001A29D8"/>
    <w:rsid w:val="001A5676"/>
    <w:rsid w:val="001A5CAA"/>
    <w:rsid w:val="001B0427"/>
    <w:rsid w:val="001D3A51"/>
    <w:rsid w:val="001E10D2"/>
    <w:rsid w:val="001E200D"/>
    <w:rsid w:val="001E25B4"/>
    <w:rsid w:val="001E44FE"/>
    <w:rsid w:val="00200595"/>
    <w:rsid w:val="00204835"/>
    <w:rsid w:val="00231920"/>
    <w:rsid w:val="0023195C"/>
    <w:rsid w:val="0024282C"/>
    <w:rsid w:val="002460DC"/>
    <w:rsid w:val="00250985"/>
    <w:rsid w:val="002556F6"/>
    <w:rsid w:val="0026326E"/>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22FA0"/>
    <w:rsid w:val="0053056E"/>
    <w:rsid w:val="00554FDA"/>
    <w:rsid w:val="005C784C"/>
    <w:rsid w:val="005D17F6"/>
    <w:rsid w:val="005E5539"/>
    <w:rsid w:val="005E5C87"/>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1C82"/>
    <w:rsid w:val="00746E59"/>
    <w:rsid w:val="007502A8"/>
    <w:rsid w:val="00754C9A"/>
    <w:rsid w:val="0075599A"/>
    <w:rsid w:val="00761D52"/>
    <w:rsid w:val="0077749E"/>
    <w:rsid w:val="00790ADA"/>
    <w:rsid w:val="007C29E0"/>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6C6B"/>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84C17"/>
    <w:rsid w:val="00B95236"/>
    <w:rsid w:val="00B96BD9"/>
    <w:rsid w:val="00BA1B01"/>
    <w:rsid w:val="00BA2641"/>
    <w:rsid w:val="00BB37AA"/>
    <w:rsid w:val="00BC53A0"/>
    <w:rsid w:val="00BE62AD"/>
    <w:rsid w:val="00BF0CCB"/>
    <w:rsid w:val="00BF121F"/>
    <w:rsid w:val="00BF1F80"/>
    <w:rsid w:val="00C166EF"/>
    <w:rsid w:val="00C17EB0"/>
    <w:rsid w:val="00C27F5F"/>
    <w:rsid w:val="00C30A0F"/>
    <w:rsid w:val="00C33EC5"/>
    <w:rsid w:val="00C37E61"/>
    <w:rsid w:val="00C62E35"/>
    <w:rsid w:val="00C6318F"/>
    <w:rsid w:val="00C70F1B"/>
    <w:rsid w:val="00C71A47"/>
    <w:rsid w:val="00C7464C"/>
    <w:rsid w:val="00C85588"/>
    <w:rsid w:val="00CA16D7"/>
    <w:rsid w:val="00CD6755"/>
    <w:rsid w:val="00CD6856"/>
    <w:rsid w:val="00CE0089"/>
    <w:rsid w:val="00CE793C"/>
    <w:rsid w:val="00CF193C"/>
    <w:rsid w:val="00D173F1"/>
    <w:rsid w:val="00D74CB0"/>
    <w:rsid w:val="00D8295D"/>
    <w:rsid w:val="00DC2A65"/>
    <w:rsid w:val="00DE15F0"/>
    <w:rsid w:val="00DE5663"/>
    <w:rsid w:val="00DE78AA"/>
    <w:rsid w:val="00E053D0"/>
    <w:rsid w:val="00E07DAD"/>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E7F92"/>
    <w:rsid w:val="00EF581D"/>
    <w:rsid w:val="00EF7FD8"/>
    <w:rsid w:val="00F06F59"/>
    <w:rsid w:val="00F17988"/>
    <w:rsid w:val="00F469F0"/>
    <w:rsid w:val="00F53273"/>
    <w:rsid w:val="00F755E4"/>
    <w:rsid w:val="00F77D02"/>
    <w:rsid w:val="00FB3A86"/>
    <w:rsid w:val="00FC36C1"/>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1ECA39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1A567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A567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1A567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1A567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1A567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1A5676"/>
    <w:rPr>
      <w:rFonts w:asciiTheme="majorHAnsi" w:eastAsiaTheme="majorEastAsia" w:hAnsiTheme="majorHAnsi" w:cstheme="majorBidi"/>
      <w:i/>
      <w:iCs/>
      <w:color w:val="365F91" w:themeColor="accent1" w:themeShade="BF"/>
    </w:rPr>
  </w:style>
  <w:style w:type="paragraph" w:styleId="Caption">
    <w:name w:val="caption"/>
    <w:basedOn w:val="Normal"/>
    <w:next w:val="Normal"/>
    <w:link w:val="CaptionChar"/>
    <w:uiPriority w:val="35"/>
    <w:unhideWhenUsed/>
    <w:qFormat/>
    <w:rsid w:val="001A5676"/>
    <w:pPr>
      <w:spacing w:before="120" w:after="120" w:line="360" w:lineRule="auto"/>
    </w:pPr>
    <w:rPr>
      <w:rFonts w:ascii="Times New Roman" w:eastAsiaTheme="minorHAnsi" w:hAnsi="Times New Roman" w:cstheme="minorBidi"/>
      <w:iCs/>
      <w:color w:val="000000" w:themeColor="text1"/>
      <w:sz w:val="24"/>
      <w:szCs w:val="18"/>
      <w:lang w:val="en"/>
    </w:rPr>
  </w:style>
  <w:style w:type="character" w:customStyle="1" w:styleId="CaptionChar">
    <w:name w:val="Caption Char"/>
    <w:link w:val="Caption"/>
    <w:uiPriority w:val="35"/>
    <w:rsid w:val="001A5676"/>
    <w:rPr>
      <w:rFonts w:eastAsiaTheme="minorHAnsi" w:cstheme="minorBidi"/>
      <w:iCs/>
      <w:color w:val="000000" w:themeColor="text1"/>
      <w:sz w:val="24"/>
      <w:szCs w:val="18"/>
      <w:lang w:val="en"/>
    </w:rPr>
  </w:style>
  <w:style w:type="table" w:styleId="MediumShading2">
    <w:name w:val="Medium Shading 2"/>
    <w:basedOn w:val="TableNormal"/>
    <w:uiPriority w:val="64"/>
    <w:rsid w:val="001A5676"/>
    <w:rPr>
      <w:rFonts w:asciiTheme="minorHAnsi" w:eastAsiaTheme="minorHAnsi" w:hAnsiTheme="minorHAnsi" w:cstheme="minorBidi"/>
      <w:sz w:val="22"/>
      <w:szCs w:val="22"/>
      <w:lang w:val="e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ndNoteBibliographyTitle">
    <w:name w:val="EndNote Bibliography Title"/>
    <w:basedOn w:val="Normal"/>
    <w:link w:val="EndNoteBibliographyTitleCar"/>
    <w:rsid w:val="00CA16D7"/>
    <w:pPr>
      <w:jc w:val="center"/>
    </w:pPr>
    <w:rPr>
      <w:rFonts w:cs="Helvetica"/>
      <w:noProof/>
      <w:sz w:val="22"/>
    </w:rPr>
  </w:style>
  <w:style w:type="character" w:customStyle="1" w:styleId="BodyCar">
    <w:name w:val="Body Car"/>
    <w:basedOn w:val="DefaultParagraphFont"/>
    <w:link w:val="Body"/>
    <w:rsid w:val="00CA16D7"/>
    <w:rPr>
      <w:rFonts w:ascii="Helvetica" w:hAnsi="Helvetica"/>
    </w:rPr>
  </w:style>
  <w:style w:type="character" w:customStyle="1" w:styleId="EndNoteBibliographyTitleCar">
    <w:name w:val="EndNote Bibliography Title Car"/>
    <w:basedOn w:val="BodyCar"/>
    <w:link w:val="EndNoteBibliographyTitle"/>
    <w:rsid w:val="00CA16D7"/>
    <w:rPr>
      <w:rFonts w:ascii="Helvetica" w:hAnsi="Helvetica" w:cs="Helvetica"/>
      <w:noProof/>
      <w:sz w:val="22"/>
    </w:rPr>
  </w:style>
  <w:style w:type="paragraph" w:customStyle="1" w:styleId="EndNoteBibliography">
    <w:name w:val="EndNote Bibliography"/>
    <w:basedOn w:val="Normal"/>
    <w:link w:val="EndNoteBibliographyCar"/>
    <w:rsid w:val="00CA16D7"/>
    <w:pPr>
      <w:jc w:val="both"/>
    </w:pPr>
    <w:rPr>
      <w:rFonts w:cs="Helvetica"/>
      <w:noProof/>
      <w:sz w:val="22"/>
    </w:rPr>
  </w:style>
  <w:style w:type="character" w:customStyle="1" w:styleId="EndNoteBibliographyCar">
    <w:name w:val="EndNote Bibliography Car"/>
    <w:basedOn w:val="BodyCar"/>
    <w:link w:val="EndNoteBibliography"/>
    <w:rsid w:val="00CA16D7"/>
    <w:rPr>
      <w:rFonts w:ascii="Helvetica" w:hAnsi="Helvetica" w:cs="Helvetica"/>
      <w:noProof/>
      <w:sz w:val="22"/>
    </w:rPr>
  </w:style>
  <w:style w:type="paragraph" w:styleId="BodyText">
    <w:name w:val="Body Text"/>
    <w:basedOn w:val="Normal"/>
    <w:link w:val="BodyTextChar"/>
    <w:semiHidden/>
    <w:unhideWhenUsed/>
    <w:rsid w:val="00BF0CCB"/>
    <w:pPr>
      <w:spacing w:after="120"/>
    </w:pPr>
  </w:style>
  <w:style w:type="character" w:customStyle="1" w:styleId="BodyTextChar">
    <w:name w:val="Body Text Char"/>
    <w:basedOn w:val="DefaultParagraphFont"/>
    <w:link w:val="BodyText"/>
    <w:semiHidden/>
    <w:rsid w:val="00BF0CCB"/>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ESPACE-TEK\Desktop\LETTRE%20SYNTHIA\R&#233;sultats%20FRAP%20Synth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SPACE-TEK\Desktop\LETTRE%20SYNTHIA\R&#233;sultats%20DPPH%20Synth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
              <a:t>FRAP</a:t>
            </a:r>
          </a:p>
          <a:p>
            <a:pPr>
              <a:defRPr sz="1400" b="0" i="0" u="none" strike="noStrike" kern="1200" spc="0" baseline="0">
                <a:solidFill>
                  <a:schemeClr val="tx1">
                    <a:lumMod val="65000"/>
                    <a:lumOff val="35000"/>
                  </a:schemeClr>
                </a:solidFill>
                <a:latin typeface="+mn-lt"/>
                <a:ea typeface="+mn-ea"/>
                <a:cs typeface="+mn-cs"/>
              </a:defRPr>
            </a:pPr>
            <a:endParaRPr lang="fr-FR"/>
          </a:p>
        </c:rich>
      </c:tx>
      <c:overlay val="0"/>
      <c:spPr>
        <a:noFill/>
        <a:ln>
          <a:noFill/>
        </a:ln>
        <a:effectLst/>
      </c:spPr>
    </c:title>
    <c:autoTitleDeleted val="0"/>
    <c:plotArea>
      <c:layout/>
      <c:scatterChart>
        <c:scatterStyle val="smoothMarker"/>
        <c:varyColors val="0"/>
        <c:ser>
          <c:idx val="0"/>
          <c:order val="0"/>
          <c:tx>
            <c:strRef>
              <c:f>Feuil1!$H$5</c:f>
              <c:strCache>
                <c:ptCount val="1"/>
                <c:pt idx="0">
                  <c:v>Dec ED</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Feuil1!$I$4:$P$4</c:f>
              <c:numCache>
                <c:formatCode>General</c:formatCode>
                <c:ptCount val="8"/>
                <c:pt idx="1">
                  <c:v>0</c:v>
                </c:pt>
                <c:pt idx="2">
                  <c:v>31.25</c:v>
                </c:pt>
                <c:pt idx="3">
                  <c:v>62.5</c:v>
                </c:pt>
                <c:pt idx="4">
                  <c:v>125</c:v>
                </c:pt>
                <c:pt idx="5">
                  <c:v>250</c:v>
                </c:pt>
                <c:pt idx="6">
                  <c:v>500</c:v>
                </c:pt>
                <c:pt idx="7">
                  <c:v>1000</c:v>
                </c:pt>
              </c:numCache>
            </c:numRef>
          </c:xVal>
          <c:yVal>
            <c:numRef>
              <c:f>Feuil1!$I$5:$P$5</c:f>
              <c:numCache>
                <c:formatCode>General</c:formatCode>
                <c:ptCount val="8"/>
                <c:pt idx="1">
                  <c:v>0</c:v>
                </c:pt>
                <c:pt idx="2">
                  <c:v>14.76</c:v>
                </c:pt>
                <c:pt idx="3">
                  <c:v>18.09</c:v>
                </c:pt>
                <c:pt idx="4">
                  <c:v>25.36</c:v>
                </c:pt>
                <c:pt idx="5">
                  <c:v>29.09</c:v>
                </c:pt>
                <c:pt idx="6">
                  <c:v>33.96</c:v>
                </c:pt>
                <c:pt idx="7">
                  <c:v>40.83</c:v>
                </c:pt>
              </c:numCache>
            </c:numRef>
          </c:yVal>
          <c:smooth val="1"/>
          <c:extLst>
            <c:ext xmlns:c16="http://schemas.microsoft.com/office/drawing/2014/chart" uri="{C3380CC4-5D6E-409C-BE32-E72D297353CC}">
              <c16:uniqueId val="{00000000-EEFD-4384-A5AE-4A0EBAF4B463}"/>
            </c:ext>
          </c:extLst>
        </c:ser>
        <c:ser>
          <c:idx val="1"/>
          <c:order val="1"/>
          <c:tx>
            <c:strRef>
              <c:f>Feuil1!$H$6</c:f>
              <c:strCache>
                <c:ptCount val="1"/>
                <c:pt idx="0">
                  <c:v>Mac ED</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Feuil1!$I$4:$P$4</c:f>
              <c:numCache>
                <c:formatCode>General</c:formatCode>
                <c:ptCount val="8"/>
                <c:pt idx="1">
                  <c:v>0</c:v>
                </c:pt>
                <c:pt idx="2">
                  <c:v>31.25</c:v>
                </c:pt>
                <c:pt idx="3">
                  <c:v>62.5</c:v>
                </c:pt>
                <c:pt idx="4">
                  <c:v>125</c:v>
                </c:pt>
                <c:pt idx="5">
                  <c:v>250</c:v>
                </c:pt>
                <c:pt idx="6">
                  <c:v>500</c:v>
                </c:pt>
                <c:pt idx="7">
                  <c:v>1000</c:v>
                </c:pt>
              </c:numCache>
            </c:numRef>
          </c:xVal>
          <c:yVal>
            <c:numRef>
              <c:f>Feuil1!$I$6:$P$6</c:f>
              <c:numCache>
                <c:formatCode>General</c:formatCode>
                <c:ptCount val="8"/>
                <c:pt idx="1">
                  <c:v>0</c:v>
                </c:pt>
                <c:pt idx="2">
                  <c:v>10.37</c:v>
                </c:pt>
                <c:pt idx="3">
                  <c:v>14.45</c:v>
                </c:pt>
                <c:pt idx="4">
                  <c:v>25.95</c:v>
                </c:pt>
                <c:pt idx="5">
                  <c:v>29.9</c:v>
                </c:pt>
                <c:pt idx="6">
                  <c:v>35.44</c:v>
                </c:pt>
                <c:pt idx="7">
                  <c:v>40.71</c:v>
                </c:pt>
              </c:numCache>
            </c:numRef>
          </c:yVal>
          <c:smooth val="1"/>
          <c:extLst>
            <c:ext xmlns:c16="http://schemas.microsoft.com/office/drawing/2014/chart" uri="{C3380CC4-5D6E-409C-BE32-E72D297353CC}">
              <c16:uniqueId val="{00000001-EEFD-4384-A5AE-4A0EBAF4B463}"/>
            </c:ext>
          </c:extLst>
        </c:ser>
        <c:ser>
          <c:idx val="2"/>
          <c:order val="2"/>
          <c:tx>
            <c:strRef>
              <c:f>Feuil1!$H$7</c:f>
              <c:strCache>
                <c:ptCount val="1"/>
                <c:pt idx="0">
                  <c:v>ED + AC</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Feuil1!$I$4:$P$4</c:f>
              <c:numCache>
                <c:formatCode>General</c:formatCode>
                <c:ptCount val="8"/>
                <c:pt idx="1">
                  <c:v>0</c:v>
                </c:pt>
                <c:pt idx="2">
                  <c:v>31.25</c:v>
                </c:pt>
                <c:pt idx="3">
                  <c:v>62.5</c:v>
                </c:pt>
                <c:pt idx="4">
                  <c:v>125</c:v>
                </c:pt>
                <c:pt idx="5">
                  <c:v>250</c:v>
                </c:pt>
                <c:pt idx="6">
                  <c:v>500</c:v>
                </c:pt>
                <c:pt idx="7">
                  <c:v>1000</c:v>
                </c:pt>
              </c:numCache>
            </c:numRef>
          </c:xVal>
          <c:yVal>
            <c:numRef>
              <c:f>Feuil1!$I$7:$P$7</c:f>
              <c:numCache>
                <c:formatCode>General</c:formatCode>
                <c:ptCount val="8"/>
                <c:pt idx="1">
                  <c:v>0</c:v>
                </c:pt>
                <c:pt idx="2">
                  <c:v>15.09</c:v>
                </c:pt>
                <c:pt idx="3">
                  <c:v>28.77</c:v>
                </c:pt>
                <c:pt idx="4">
                  <c:v>43.81</c:v>
                </c:pt>
                <c:pt idx="5">
                  <c:v>54.68</c:v>
                </c:pt>
                <c:pt idx="6">
                  <c:v>61.23</c:v>
                </c:pt>
                <c:pt idx="7">
                  <c:v>64.099999999999994</c:v>
                </c:pt>
              </c:numCache>
            </c:numRef>
          </c:yVal>
          <c:smooth val="1"/>
          <c:extLst>
            <c:ext xmlns:c16="http://schemas.microsoft.com/office/drawing/2014/chart" uri="{C3380CC4-5D6E-409C-BE32-E72D297353CC}">
              <c16:uniqueId val="{00000002-EEFD-4384-A5AE-4A0EBAF4B463}"/>
            </c:ext>
          </c:extLst>
        </c:ser>
        <c:ser>
          <c:idx val="3"/>
          <c:order val="3"/>
          <c:tx>
            <c:strRef>
              <c:f>Feuil1!$H$8</c:f>
              <c:strCache>
                <c:ptCount val="1"/>
                <c:pt idx="0">
                  <c:v>BHT</c:v>
                </c:pt>
              </c:strCache>
            </c:strRef>
          </c:tx>
          <c:spPr>
            <a:ln w="19050"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xVal>
            <c:numRef>
              <c:f>Feuil1!$I$4:$P$4</c:f>
              <c:numCache>
                <c:formatCode>General</c:formatCode>
                <c:ptCount val="8"/>
                <c:pt idx="1">
                  <c:v>0</c:v>
                </c:pt>
                <c:pt idx="2">
                  <c:v>31.25</c:v>
                </c:pt>
                <c:pt idx="3">
                  <c:v>62.5</c:v>
                </c:pt>
                <c:pt idx="4">
                  <c:v>125</c:v>
                </c:pt>
                <c:pt idx="5">
                  <c:v>250</c:v>
                </c:pt>
                <c:pt idx="6">
                  <c:v>500</c:v>
                </c:pt>
                <c:pt idx="7">
                  <c:v>1000</c:v>
                </c:pt>
              </c:numCache>
            </c:numRef>
          </c:xVal>
          <c:yVal>
            <c:numRef>
              <c:f>Feuil1!$I$8:$P$8</c:f>
              <c:numCache>
                <c:formatCode>General</c:formatCode>
                <c:ptCount val="8"/>
                <c:pt idx="1">
                  <c:v>0</c:v>
                </c:pt>
                <c:pt idx="2">
                  <c:v>13.75</c:v>
                </c:pt>
                <c:pt idx="3">
                  <c:v>24.5</c:v>
                </c:pt>
                <c:pt idx="4">
                  <c:v>38.619999999999997</c:v>
                </c:pt>
                <c:pt idx="5">
                  <c:v>48.9</c:v>
                </c:pt>
                <c:pt idx="6">
                  <c:v>58.24</c:v>
                </c:pt>
                <c:pt idx="7">
                  <c:v>60.55</c:v>
                </c:pt>
              </c:numCache>
            </c:numRef>
          </c:yVal>
          <c:smooth val="1"/>
          <c:extLst>
            <c:ext xmlns:c16="http://schemas.microsoft.com/office/drawing/2014/chart" uri="{C3380CC4-5D6E-409C-BE32-E72D297353CC}">
              <c16:uniqueId val="{00000003-EEFD-4384-A5AE-4A0EBAF4B463}"/>
            </c:ext>
          </c:extLst>
        </c:ser>
        <c:ser>
          <c:idx val="4"/>
          <c:order val="4"/>
          <c:tx>
            <c:strRef>
              <c:f>Feuil1!$H$9</c:f>
              <c:strCache>
                <c:ptCount val="1"/>
                <c:pt idx="0">
                  <c:v>Vit C</c:v>
                </c:pt>
              </c:strCache>
            </c:strRef>
          </c:tx>
          <c:spPr>
            <a:ln w="19050"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xVal>
            <c:numRef>
              <c:f>Feuil1!$I$4:$P$4</c:f>
              <c:numCache>
                <c:formatCode>General</c:formatCode>
                <c:ptCount val="8"/>
                <c:pt idx="1">
                  <c:v>0</c:v>
                </c:pt>
                <c:pt idx="2">
                  <c:v>31.25</c:v>
                </c:pt>
                <c:pt idx="3">
                  <c:v>62.5</c:v>
                </c:pt>
                <c:pt idx="4">
                  <c:v>125</c:v>
                </c:pt>
                <c:pt idx="5">
                  <c:v>250</c:v>
                </c:pt>
                <c:pt idx="6">
                  <c:v>500</c:v>
                </c:pt>
                <c:pt idx="7">
                  <c:v>1000</c:v>
                </c:pt>
              </c:numCache>
            </c:numRef>
          </c:xVal>
          <c:yVal>
            <c:numRef>
              <c:f>Feuil1!$I$9:$P$9</c:f>
              <c:numCache>
                <c:formatCode>General</c:formatCode>
                <c:ptCount val="8"/>
                <c:pt idx="1">
                  <c:v>0</c:v>
                </c:pt>
                <c:pt idx="2">
                  <c:v>29.92</c:v>
                </c:pt>
                <c:pt idx="3">
                  <c:v>43.74</c:v>
                </c:pt>
                <c:pt idx="4">
                  <c:v>51.62</c:v>
                </c:pt>
                <c:pt idx="5">
                  <c:v>60.17</c:v>
                </c:pt>
                <c:pt idx="6">
                  <c:v>65.92</c:v>
                </c:pt>
                <c:pt idx="7">
                  <c:v>68.650000000000006</c:v>
                </c:pt>
              </c:numCache>
            </c:numRef>
          </c:yVal>
          <c:smooth val="1"/>
          <c:extLst>
            <c:ext xmlns:c16="http://schemas.microsoft.com/office/drawing/2014/chart" uri="{C3380CC4-5D6E-409C-BE32-E72D297353CC}">
              <c16:uniqueId val="{00000004-EEFD-4384-A5AE-4A0EBAF4B463}"/>
            </c:ext>
          </c:extLst>
        </c:ser>
        <c:dLbls>
          <c:showLegendKey val="0"/>
          <c:showVal val="0"/>
          <c:showCatName val="0"/>
          <c:showSerName val="0"/>
          <c:showPercent val="0"/>
          <c:showBubbleSize val="0"/>
        </c:dLbls>
        <c:axId val="249059672"/>
        <c:axId val="249059280"/>
      </c:scatterChart>
      <c:valAx>
        <c:axId val="2490596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sz="1200" b="1" i="0" baseline="0">
                    <a:solidFill>
                      <a:schemeClr val="tx1"/>
                    </a:solidFill>
                    <a:effectLst/>
                    <a:latin typeface="Times New Roman" panose="02020603050405020304" pitchFamily="18" charset="0"/>
                    <a:cs typeface="Times New Roman" panose="02020603050405020304" pitchFamily="18" charset="0"/>
                  </a:rPr>
                  <a:t>Concentration in µg/mL</a:t>
                </a:r>
                <a:endParaRPr lang="fr-FR" sz="1200">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059280"/>
        <c:crosses val="autoZero"/>
        <c:crossBetween val="midCat"/>
      </c:valAx>
      <c:valAx>
        <c:axId val="2490592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sz="1200" b="1" i="0" baseline="0">
                    <a:solidFill>
                      <a:schemeClr val="tx1"/>
                    </a:solidFill>
                    <a:effectLst/>
                    <a:latin typeface="Times New Roman" panose="02020603050405020304" pitchFamily="18" charset="0"/>
                    <a:cs typeface="Times New Roman" panose="02020603050405020304" pitchFamily="18" charset="0"/>
                  </a:rPr>
                  <a:t>Percentage of inhibition (%)</a:t>
                </a:r>
                <a:endParaRPr lang="fr-FR" sz="1200" b="1">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059672"/>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
              <a:t>DPPH</a:t>
            </a:r>
          </a:p>
        </c:rich>
      </c:tx>
      <c:overlay val="0"/>
      <c:spPr>
        <a:noFill/>
        <a:ln>
          <a:noFill/>
        </a:ln>
        <a:effectLst/>
      </c:spPr>
    </c:title>
    <c:autoTitleDeleted val="0"/>
    <c:plotArea>
      <c:layout>
        <c:manualLayout>
          <c:layoutTarget val="inner"/>
          <c:xMode val="edge"/>
          <c:yMode val="edge"/>
          <c:x val="0.14308333333333334"/>
          <c:y val="5.3912219305920092E-2"/>
          <c:w val="0.72127712160979873"/>
          <c:h val="0.71590259550889468"/>
        </c:manualLayout>
      </c:layout>
      <c:scatterChart>
        <c:scatterStyle val="smoothMarker"/>
        <c:varyColors val="0"/>
        <c:ser>
          <c:idx val="0"/>
          <c:order val="0"/>
          <c:tx>
            <c:strRef>
              <c:f>Feuil1!$J$6</c:f>
              <c:strCache>
                <c:ptCount val="1"/>
                <c:pt idx="0">
                  <c:v>Dec ED</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Feuil1!$K$5:$R$5</c:f>
              <c:numCache>
                <c:formatCode>General</c:formatCode>
                <c:ptCount val="8"/>
                <c:pt idx="1">
                  <c:v>0</c:v>
                </c:pt>
                <c:pt idx="2">
                  <c:v>31.25</c:v>
                </c:pt>
                <c:pt idx="3">
                  <c:v>62.5</c:v>
                </c:pt>
                <c:pt idx="4">
                  <c:v>125</c:v>
                </c:pt>
                <c:pt idx="5">
                  <c:v>250</c:v>
                </c:pt>
                <c:pt idx="6">
                  <c:v>500</c:v>
                </c:pt>
                <c:pt idx="7">
                  <c:v>1000</c:v>
                </c:pt>
              </c:numCache>
            </c:numRef>
          </c:xVal>
          <c:yVal>
            <c:numRef>
              <c:f>Feuil1!$K$6:$R$6</c:f>
              <c:numCache>
                <c:formatCode>General</c:formatCode>
                <c:ptCount val="8"/>
                <c:pt idx="1">
                  <c:v>0</c:v>
                </c:pt>
                <c:pt idx="2">
                  <c:v>4.79</c:v>
                </c:pt>
                <c:pt idx="3">
                  <c:v>8.02</c:v>
                </c:pt>
                <c:pt idx="4">
                  <c:v>18.16</c:v>
                </c:pt>
                <c:pt idx="5">
                  <c:v>42.14</c:v>
                </c:pt>
                <c:pt idx="6">
                  <c:v>51.6</c:v>
                </c:pt>
                <c:pt idx="7">
                  <c:v>58.1</c:v>
                </c:pt>
              </c:numCache>
            </c:numRef>
          </c:yVal>
          <c:smooth val="1"/>
          <c:extLst>
            <c:ext xmlns:c16="http://schemas.microsoft.com/office/drawing/2014/chart" uri="{C3380CC4-5D6E-409C-BE32-E72D297353CC}">
              <c16:uniqueId val="{00000000-2B88-415D-8A49-3598BE1F878B}"/>
            </c:ext>
          </c:extLst>
        </c:ser>
        <c:ser>
          <c:idx val="1"/>
          <c:order val="1"/>
          <c:tx>
            <c:strRef>
              <c:f>Feuil1!$J$7</c:f>
              <c:strCache>
                <c:ptCount val="1"/>
                <c:pt idx="0">
                  <c:v>Mac ED</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Feuil1!$K$5:$R$5</c:f>
              <c:numCache>
                <c:formatCode>General</c:formatCode>
                <c:ptCount val="8"/>
                <c:pt idx="1">
                  <c:v>0</c:v>
                </c:pt>
                <c:pt idx="2">
                  <c:v>31.25</c:v>
                </c:pt>
                <c:pt idx="3">
                  <c:v>62.5</c:v>
                </c:pt>
                <c:pt idx="4">
                  <c:v>125</c:v>
                </c:pt>
                <c:pt idx="5">
                  <c:v>250</c:v>
                </c:pt>
                <c:pt idx="6">
                  <c:v>500</c:v>
                </c:pt>
                <c:pt idx="7">
                  <c:v>1000</c:v>
                </c:pt>
              </c:numCache>
            </c:numRef>
          </c:xVal>
          <c:yVal>
            <c:numRef>
              <c:f>Feuil1!$K$7:$R$7</c:f>
              <c:numCache>
                <c:formatCode>General</c:formatCode>
                <c:ptCount val="8"/>
                <c:pt idx="1">
                  <c:v>0</c:v>
                </c:pt>
                <c:pt idx="2">
                  <c:v>1.37</c:v>
                </c:pt>
                <c:pt idx="3">
                  <c:v>6.13</c:v>
                </c:pt>
                <c:pt idx="4">
                  <c:v>12.69</c:v>
                </c:pt>
                <c:pt idx="5">
                  <c:v>25.23</c:v>
                </c:pt>
                <c:pt idx="6">
                  <c:v>36.340000000000003</c:v>
                </c:pt>
                <c:pt idx="7">
                  <c:v>45.16</c:v>
                </c:pt>
              </c:numCache>
            </c:numRef>
          </c:yVal>
          <c:smooth val="1"/>
          <c:extLst>
            <c:ext xmlns:c16="http://schemas.microsoft.com/office/drawing/2014/chart" uri="{C3380CC4-5D6E-409C-BE32-E72D297353CC}">
              <c16:uniqueId val="{00000001-2B88-415D-8A49-3598BE1F878B}"/>
            </c:ext>
          </c:extLst>
        </c:ser>
        <c:ser>
          <c:idx val="2"/>
          <c:order val="2"/>
          <c:tx>
            <c:strRef>
              <c:f>Feuil1!$J$8</c:f>
              <c:strCache>
                <c:ptCount val="1"/>
                <c:pt idx="0">
                  <c:v>ED + AC</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Feuil1!$K$5:$R$5</c:f>
              <c:numCache>
                <c:formatCode>General</c:formatCode>
                <c:ptCount val="8"/>
                <c:pt idx="1">
                  <c:v>0</c:v>
                </c:pt>
                <c:pt idx="2">
                  <c:v>31.25</c:v>
                </c:pt>
                <c:pt idx="3">
                  <c:v>62.5</c:v>
                </c:pt>
                <c:pt idx="4">
                  <c:v>125</c:v>
                </c:pt>
                <c:pt idx="5">
                  <c:v>250</c:v>
                </c:pt>
                <c:pt idx="6">
                  <c:v>500</c:v>
                </c:pt>
                <c:pt idx="7">
                  <c:v>1000</c:v>
                </c:pt>
              </c:numCache>
            </c:numRef>
          </c:xVal>
          <c:yVal>
            <c:numRef>
              <c:f>Feuil1!$K$8:$R$8</c:f>
              <c:numCache>
                <c:formatCode>General</c:formatCode>
                <c:ptCount val="8"/>
                <c:pt idx="1">
                  <c:v>0</c:v>
                </c:pt>
                <c:pt idx="2">
                  <c:v>21.41</c:v>
                </c:pt>
                <c:pt idx="3">
                  <c:v>28.82</c:v>
                </c:pt>
                <c:pt idx="4">
                  <c:v>35.57</c:v>
                </c:pt>
                <c:pt idx="5">
                  <c:v>50.02</c:v>
                </c:pt>
                <c:pt idx="6">
                  <c:v>58.64</c:v>
                </c:pt>
                <c:pt idx="7">
                  <c:v>60.66</c:v>
                </c:pt>
              </c:numCache>
            </c:numRef>
          </c:yVal>
          <c:smooth val="1"/>
          <c:extLst>
            <c:ext xmlns:c16="http://schemas.microsoft.com/office/drawing/2014/chart" uri="{C3380CC4-5D6E-409C-BE32-E72D297353CC}">
              <c16:uniqueId val="{00000002-2B88-415D-8A49-3598BE1F878B}"/>
            </c:ext>
          </c:extLst>
        </c:ser>
        <c:ser>
          <c:idx val="3"/>
          <c:order val="3"/>
          <c:tx>
            <c:strRef>
              <c:f>Feuil1!$J$9</c:f>
              <c:strCache>
                <c:ptCount val="1"/>
                <c:pt idx="0">
                  <c:v>BHT</c:v>
                </c:pt>
              </c:strCache>
            </c:strRef>
          </c:tx>
          <c:spPr>
            <a:ln w="19050"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xVal>
            <c:numRef>
              <c:f>Feuil1!$K$5:$R$5</c:f>
              <c:numCache>
                <c:formatCode>General</c:formatCode>
                <c:ptCount val="8"/>
                <c:pt idx="1">
                  <c:v>0</c:v>
                </c:pt>
                <c:pt idx="2">
                  <c:v>31.25</c:v>
                </c:pt>
                <c:pt idx="3">
                  <c:v>62.5</c:v>
                </c:pt>
                <c:pt idx="4">
                  <c:v>125</c:v>
                </c:pt>
                <c:pt idx="5">
                  <c:v>250</c:v>
                </c:pt>
                <c:pt idx="6">
                  <c:v>500</c:v>
                </c:pt>
                <c:pt idx="7">
                  <c:v>1000</c:v>
                </c:pt>
              </c:numCache>
            </c:numRef>
          </c:xVal>
          <c:yVal>
            <c:numRef>
              <c:f>Feuil1!$K$9:$R$9</c:f>
              <c:numCache>
                <c:formatCode>General</c:formatCode>
                <c:ptCount val="8"/>
                <c:pt idx="1">
                  <c:v>0</c:v>
                </c:pt>
                <c:pt idx="2">
                  <c:v>1.6</c:v>
                </c:pt>
                <c:pt idx="3">
                  <c:v>6.14</c:v>
                </c:pt>
                <c:pt idx="4">
                  <c:v>15.02</c:v>
                </c:pt>
                <c:pt idx="5">
                  <c:v>38.590000000000003</c:v>
                </c:pt>
                <c:pt idx="6">
                  <c:v>45.03</c:v>
                </c:pt>
                <c:pt idx="7">
                  <c:v>53.59</c:v>
                </c:pt>
              </c:numCache>
            </c:numRef>
          </c:yVal>
          <c:smooth val="1"/>
          <c:extLst>
            <c:ext xmlns:c16="http://schemas.microsoft.com/office/drawing/2014/chart" uri="{C3380CC4-5D6E-409C-BE32-E72D297353CC}">
              <c16:uniqueId val="{00000003-2B88-415D-8A49-3598BE1F878B}"/>
            </c:ext>
          </c:extLst>
        </c:ser>
        <c:ser>
          <c:idx val="4"/>
          <c:order val="4"/>
          <c:tx>
            <c:strRef>
              <c:f>Feuil1!$J$10</c:f>
              <c:strCache>
                <c:ptCount val="1"/>
                <c:pt idx="0">
                  <c:v>Vit C</c:v>
                </c:pt>
              </c:strCache>
            </c:strRef>
          </c:tx>
          <c:spPr>
            <a:ln w="19050"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xVal>
            <c:numRef>
              <c:f>Feuil1!$K$5:$R$5</c:f>
              <c:numCache>
                <c:formatCode>General</c:formatCode>
                <c:ptCount val="8"/>
                <c:pt idx="1">
                  <c:v>0</c:v>
                </c:pt>
                <c:pt idx="2">
                  <c:v>31.25</c:v>
                </c:pt>
                <c:pt idx="3">
                  <c:v>62.5</c:v>
                </c:pt>
                <c:pt idx="4">
                  <c:v>125</c:v>
                </c:pt>
                <c:pt idx="5">
                  <c:v>250</c:v>
                </c:pt>
                <c:pt idx="6">
                  <c:v>500</c:v>
                </c:pt>
                <c:pt idx="7">
                  <c:v>1000</c:v>
                </c:pt>
              </c:numCache>
            </c:numRef>
          </c:xVal>
          <c:yVal>
            <c:numRef>
              <c:f>Feuil1!$K$10:$R$10</c:f>
              <c:numCache>
                <c:formatCode>General</c:formatCode>
                <c:ptCount val="8"/>
                <c:pt idx="1">
                  <c:v>0</c:v>
                </c:pt>
                <c:pt idx="2">
                  <c:v>57.47</c:v>
                </c:pt>
                <c:pt idx="3">
                  <c:v>59.94</c:v>
                </c:pt>
                <c:pt idx="4">
                  <c:v>60.98</c:v>
                </c:pt>
                <c:pt idx="5">
                  <c:v>62.48</c:v>
                </c:pt>
                <c:pt idx="6">
                  <c:v>62.78</c:v>
                </c:pt>
                <c:pt idx="7">
                  <c:v>64.41</c:v>
                </c:pt>
              </c:numCache>
            </c:numRef>
          </c:yVal>
          <c:smooth val="1"/>
          <c:extLst>
            <c:ext xmlns:c16="http://schemas.microsoft.com/office/drawing/2014/chart" uri="{C3380CC4-5D6E-409C-BE32-E72D297353CC}">
              <c16:uniqueId val="{00000004-2B88-415D-8A49-3598BE1F878B}"/>
            </c:ext>
          </c:extLst>
        </c:ser>
        <c:dLbls>
          <c:showLegendKey val="0"/>
          <c:showVal val="0"/>
          <c:showCatName val="0"/>
          <c:showSerName val="0"/>
          <c:showPercent val="0"/>
          <c:showBubbleSize val="0"/>
        </c:dLbls>
        <c:axId val="249056144"/>
        <c:axId val="425491832"/>
      </c:scatterChart>
      <c:valAx>
        <c:axId val="249056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sz="1200" b="1">
                    <a:solidFill>
                      <a:schemeClr val="tx1"/>
                    </a:solidFill>
                    <a:latin typeface="Times New Roman" panose="02020603050405020304" pitchFamily="18" charset="0"/>
                    <a:cs typeface="Times New Roman" panose="02020603050405020304" pitchFamily="18" charset="0"/>
                  </a:rPr>
                  <a:t>Concentration </a:t>
                </a:r>
                <a:r>
                  <a:rPr lang="en" sz="1200" b="1" baseline="0">
                    <a:solidFill>
                      <a:schemeClr val="tx1"/>
                    </a:solidFill>
                    <a:latin typeface="Times New Roman" panose="02020603050405020304" pitchFamily="18" charset="0"/>
                    <a:cs typeface="Times New Roman" panose="02020603050405020304" pitchFamily="18" charset="0"/>
                  </a:rPr>
                  <a:t>in µg/mL</a:t>
                </a:r>
                <a:endParaRPr lang="fr-FR" sz="12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1791513560804902"/>
              <c:y val="0.8786803732866724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25491832"/>
        <c:crosses val="autoZero"/>
        <c:crossBetween val="midCat"/>
      </c:valAx>
      <c:valAx>
        <c:axId val="42549183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 sz="1200" b="1">
                    <a:solidFill>
                      <a:schemeClr val="tx1"/>
                    </a:solidFill>
                    <a:latin typeface="Times New Roman" panose="02020603050405020304" pitchFamily="18" charset="0"/>
                    <a:cs typeface="Times New Roman" panose="02020603050405020304" pitchFamily="18" charset="0"/>
                  </a:rPr>
                  <a:t>Percentage of inhibition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056144"/>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211A5-5E28-491B-B374-21F2F671C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14</Pages>
  <Words>10804</Words>
  <Characters>61586</Characters>
  <Application>Microsoft Office Word</Application>
  <DocSecurity>0</DocSecurity>
  <Lines>513</Lines>
  <Paragraphs>144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72246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2026-05-01T18:32:00Z</dcterms:created>
  <dcterms:modified xsi:type="dcterms:W3CDTF">2026-05-02T11:22:00Z</dcterms:modified>
</cp:coreProperties>
</file>