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58A3F9" w14:textId="77777777" w:rsidR="00E76067" w:rsidRDefault="003D1A1D" w:rsidP="00E76067">
      <w:pPr>
        <w:pStyle w:val="normal1"/>
        <w:rPr>
          <w:rFonts w:ascii="Times New Roman" w:eastAsia="Times New Roman" w:hAnsi="Times New Roman" w:cs="Times New Roman"/>
          <w:color w:val="080809"/>
          <w:sz w:val="24"/>
          <w:szCs w:val="24"/>
        </w:rPr>
      </w:pPr>
      <w:r>
        <w:rPr>
          <w:rFonts w:ascii="Times New Roman" w:eastAsia="Times New Roman" w:hAnsi="Times New Roman" w:cs="Times New Roman"/>
          <w:b/>
          <w:bCs/>
          <w:sz w:val="24"/>
          <w:szCs w:val="24"/>
        </w:rPr>
        <w:t>National Landscape of Antimicrobial Resistance in the Philippines: A Systematic Review of Surveillance and Clinical Data</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326D6D84" w14:textId="73F81C0A" w:rsidR="007D5FB4" w:rsidRDefault="00341338" w:rsidP="00E76067">
      <w:pPr>
        <w:pStyle w:val="normal1"/>
        <w:rPr>
          <w:rFonts w:ascii="Times New Roman" w:eastAsia="Times New Roman" w:hAnsi="Times New Roman" w:cs="Times New Roman"/>
          <w:b/>
          <w:bCs/>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ABSTRACT</w:t>
      </w:r>
    </w:p>
    <w:p w14:paraId="2B0F33C0" w14:textId="77777777" w:rsidR="007D5FB4" w:rsidRDefault="003D1A1D">
      <w:pPr>
        <w:pStyle w:val="Heading3"/>
        <w:keepNext w:val="0"/>
        <w:keepLines w:val="0"/>
        <w:spacing w:before="280"/>
        <w:jc w:val="both"/>
        <w:rPr>
          <w:rFonts w:ascii="Times New Roman" w:eastAsia="Times New Roman" w:hAnsi="Times New Roman" w:cs="Times New Roman"/>
          <w:color w:val="000000"/>
          <w:sz w:val="24"/>
          <w:szCs w:val="24"/>
        </w:rPr>
      </w:pPr>
      <w:bookmarkStart w:id="0" w:name="_pls2o5h80ake"/>
      <w:bookmarkEnd w:id="0"/>
      <w:r>
        <w:rPr>
          <w:rFonts w:ascii="Times New Roman" w:eastAsia="Times New Roman" w:hAnsi="Times New Roman" w:cs="Times New Roman"/>
          <w:b/>
          <w:bCs/>
          <w:color w:val="000000"/>
          <w:sz w:val="24"/>
          <w:szCs w:val="24"/>
        </w:rPr>
        <w:t>B</w:t>
      </w:r>
      <w:r>
        <w:rPr>
          <w:rFonts w:ascii="Times New Roman" w:eastAsia="Times New Roman" w:hAnsi="Times New Roman" w:cs="Times New Roman"/>
          <w:b/>
          <w:bCs/>
          <w:color w:val="000000"/>
          <w:sz w:val="24"/>
          <w:szCs w:val="24"/>
        </w:rPr>
        <w:t>ackground:</w:t>
      </w:r>
      <w:r>
        <w:rPr>
          <w:rFonts w:ascii="Times New Roman" w:eastAsia="Times New Roman" w:hAnsi="Times New Roman" w:cs="Times New Roman"/>
          <w:color w:val="000000"/>
          <w:sz w:val="24"/>
          <w:szCs w:val="24"/>
        </w:rPr>
        <w:t xml:space="preserve"> Antimicrobial resistance (AMR) is an escalating global public health threat that reduces the effectiveness of antimicrobial therapies and contributes to increased</w:t>
      </w:r>
      <w:r>
        <w:rPr>
          <w:rFonts w:ascii="Times New Roman" w:eastAsia="Times New Roman" w:hAnsi="Times New Roman" w:cs="Times New Roman"/>
          <w:color w:val="000000"/>
          <w:sz w:val="24"/>
          <w:szCs w:val="24"/>
        </w:rPr>
        <w:t xml:space="preserve"> morbidity, mortality, and healthcare costs. In the Philippines, rising antibiotic consumption, self-medication, and inconsistent antimicrobial stewardship practices have accelerated the emergence of resistant pathogens. However, existing evidence remains </w:t>
      </w:r>
      <w:r>
        <w:rPr>
          <w:rFonts w:ascii="Times New Roman" w:eastAsia="Times New Roman" w:hAnsi="Times New Roman" w:cs="Times New Roman"/>
          <w:color w:val="000000"/>
          <w:sz w:val="24"/>
          <w:szCs w:val="24"/>
        </w:rPr>
        <w:t>fragmented across surveillance reports and clinical studies, limiting a comprehensive understanding of national resistance patterns.</w:t>
      </w:r>
    </w:p>
    <w:p w14:paraId="01411B94" w14:textId="77777777" w:rsidR="007D5FB4" w:rsidRDefault="003D1A1D">
      <w:pPr>
        <w:pStyle w:val="Heading3"/>
        <w:keepNext w:val="0"/>
        <w:keepLines w:val="0"/>
        <w:spacing w:before="280"/>
        <w:jc w:val="both"/>
        <w:rPr>
          <w:rFonts w:ascii="Times New Roman" w:eastAsia="Times New Roman" w:hAnsi="Times New Roman" w:cs="Times New Roman"/>
          <w:color w:val="000000"/>
          <w:sz w:val="24"/>
          <w:szCs w:val="24"/>
        </w:rPr>
      </w:pPr>
      <w:bookmarkStart w:id="1" w:name="_vztujexe97j2"/>
      <w:bookmarkEnd w:id="1"/>
      <w:r>
        <w:rPr>
          <w:rFonts w:ascii="Times New Roman" w:eastAsia="Times New Roman" w:hAnsi="Times New Roman" w:cs="Times New Roman"/>
          <w:b/>
          <w:bCs/>
          <w:color w:val="000000"/>
          <w:sz w:val="24"/>
          <w:szCs w:val="24"/>
        </w:rPr>
        <w:t xml:space="preserve">Methods: </w:t>
      </w:r>
      <w:r>
        <w:rPr>
          <w:rFonts w:ascii="Times New Roman" w:eastAsia="Times New Roman" w:hAnsi="Times New Roman" w:cs="Times New Roman"/>
          <w:color w:val="000000"/>
          <w:sz w:val="24"/>
          <w:szCs w:val="24"/>
        </w:rPr>
        <w:t>This study employed a systematic review design in accordance with PRISMA 2020 guidelines and was registered in the</w:t>
      </w:r>
      <w:r>
        <w:rPr>
          <w:rFonts w:ascii="Times New Roman" w:eastAsia="Times New Roman" w:hAnsi="Times New Roman" w:cs="Times New Roman"/>
          <w:color w:val="000000"/>
          <w:sz w:val="24"/>
          <w:szCs w:val="24"/>
        </w:rPr>
        <w:t xml:space="preserve"> PROSPERO database (CRD420261360657). A comprehensive literature search was conducted using PubMed/MEDLINE, Scopus, and Web of Science, supplemented by national surveillance reports. Studies published from January 2008 to April 2026 reporting antimicrobial</w:t>
      </w:r>
      <w:r>
        <w:rPr>
          <w:rFonts w:ascii="Times New Roman" w:eastAsia="Times New Roman" w:hAnsi="Times New Roman" w:cs="Times New Roman"/>
          <w:color w:val="000000"/>
          <w:sz w:val="24"/>
          <w:szCs w:val="24"/>
        </w:rPr>
        <w:t xml:space="preserve"> resistance data from human clinical isolates in the Philippines were included. Eligible studies were screened based on predefined criteria, and data were extracted and synthesized using a narrative descriptive approach.</w:t>
      </w:r>
    </w:p>
    <w:p w14:paraId="39CBB38A" w14:textId="77777777" w:rsidR="007D5FB4" w:rsidRDefault="003D1A1D">
      <w:pPr>
        <w:pStyle w:val="Heading3"/>
        <w:keepNext w:val="0"/>
        <w:keepLines w:val="0"/>
        <w:spacing w:before="280"/>
        <w:jc w:val="both"/>
        <w:rPr>
          <w:rFonts w:ascii="Times New Roman" w:eastAsia="Times New Roman" w:hAnsi="Times New Roman" w:cs="Times New Roman"/>
          <w:color w:val="000000"/>
          <w:sz w:val="24"/>
          <w:szCs w:val="24"/>
        </w:rPr>
      </w:pPr>
      <w:bookmarkStart w:id="2" w:name="_nyrpwnlkcbh8"/>
      <w:bookmarkEnd w:id="2"/>
      <w:r>
        <w:rPr>
          <w:rFonts w:ascii="Times New Roman" w:eastAsia="Times New Roman" w:hAnsi="Times New Roman" w:cs="Times New Roman"/>
          <w:b/>
          <w:bCs/>
          <w:color w:val="000000"/>
          <w:sz w:val="24"/>
          <w:szCs w:val="24"/>
        </w:rPr>
        <w:t xml:space="preserve">Results: </w:t>
      </w:r>
      <w:r>
        <w:rPr>
          <w:rFonts w:ascii="Times New Roman" w:eastAsia="Times New Roman" w:hAnsi="Times New Roman" w:cs="Times New Roman"/>
          <w:color w:val="000000"/>
          <w:sz w:val="24"/>
          <w:szCs w:val="24"/>
        </w:rPr>
        <w:t xml:space="preserve">A total of 14 studies met </w:t>
      </w:r>
      <w:r>
        <w:rPr>
          <w:rFonts w:ascii="Times New Roman" w:eastAsia="Times New Roman" w:hAnsi="Times New Roman" w:cs="Times New Roman"/>
          <w:color w:val="000000"/>
          <w:sz w:val="24"/>
          <w:szCs w:val="24"/>
        </w:rPr>
        <w:t xml:space="preserve">the inclusion criteria. Findings consistently identified Gram-negative pathogens, particularly </w:t>
      </w:r>
      <w:r>
        <w:rPr>
          <w:rFonts w:ascii="Times New Roman" w:eastAsia="Times New Roman" w:hAnsi="Times New Roman" w:cs="Times New Roman"/>
          <w:i/>
          <w:iCs/>
          <w:color w:val="000000"/>
          <w:sz w:val="24"/>
          <w:szCs w:val="24"/>
        </w:rPr>
        <w:t>Escherichia coli</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Klebsiella pneumoniae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 xml:space="preserve">Acinetobacter </w:t>
      </w:r>
      <w:proofErr w:type="spellStart"/>
      <w:r>
        <w:rPr>
          <w:rFonts w:ascii="Times New Roman" w:eastAsia="Times New Roman" w:hAnsi="Times New Roman" w:cs="Times New Roman"/>
          <w:i/>
          <w:iCs/>
          <w:color w:val="000000"/>
          <w:sz w:val="24"/>
          <w:szCs w:val="24"/>
        </w:rPr>
        <w:t>baumannii</w:t>
      </w:r>
      <w:proofErr w:type="spellEnd"/>
      <w:r>
        <w:rPr>
          <w:rFonts w:ascii="Times New Roman" w:eastAsia="Times New Roman" w:hAnsi="Times New Roman" w:cs="Times New Roman"/>
          <w:color w:val="000000"/>
          <w:sz w:val="24"/>
          <w:szCs w:val="24"/>
        </w:rPr>
        <w:t xml:space="preserve">, and </w:t>
      </w:r>
      <w:r>
        <w:rPr>
          <w:rFonts w:ascii="Times New Roman" w:eastAsia="Times New Roman" w:hAnsi="Times New Roman" w:cs="Times New Roman"/>
          <w:i/>
          <w:iCs/>
          <w:color w:val="000000"/>
          <w:sz w:val="24"/>
          <w:szCs w:val="24"/>
        </w:rPr>
        <w:t>Pseudomonas aeruginosa</w:t>
      </w:r>
      <w:r>
        <w:rPr>
          <w:rFonts w:ascii="Times New Roman" w:eastAsia="Times New Roman" w:hAnsi="Times New Roman" w:cs="Times New Roman"/>
          <w:color w:val="000000"/>
          <w:sz w:val="24"/>
          <w:szCs w:val="24"/>
        </w:rPr>
        <w:t xml:space="preserve">, as the primary contributors to antimicrobial resistance. High resistance rates to critical antibiotics, including carbapenems and third-generation cephalosporins, were observed, with </w:t>
      </w:r>
      <w:r>
        <w:rPr>
          <w:rFonts w:ascii="Times New Roman" w:eastAsia="Times New Roman" w:hAnsi="Times New Roman" w:cs="Times New Roman"/>
          <w:i/>
          <w:iCs/>
          <w:color w:val="000000"/>
          <w:sz w:val="24"/>
          <w:szCs w:val="24"/>
        </w:rPr>
        <w:t xml:space="preserve">Acinetobacter </w:t>
      </w:r>
      <w:proofErr w:type="spellStart"/>
      <w:r>
        <w:rPr>
          <w:rFonts w:ascii="Times New Roman" w:eastAsia="Times New Roman" w:hAnsi="Times New Roman" w:cs="Times New Roman"/>
          <w:i/>
          <w:iCs/>
          <w:color w:val="000000"/>
          <w:sz w:val="24"/>
          <w:szCs w:val="24"/>
        </w:rPr>
        <w:t>baumannii</w:t>
      </w:r>
      <w:proofErr w:type="spellEnd"/>
      <w:r>
        <w:rPr>
          <w:rFonts w:ascii="Times New Roman" w:eastAsia="Times New Roman" w:hAnsi="Times New Roman" w:cs="Times New Roman"/>
          <w:color w:val="000000"/>
          <w:sz w:val="24"/>
          <w:szCs w:val="24"/>
        </w:rPr>
        <w:t xml:space="preserve"> demonstrating resistance levels of up to 56%. I</w:t>
      </w:r>
      <w:r>
        <w:rPr>
          <w:rFonts w:ascii="Times New Roman" w:eastAsia="Times New Roman" w:hAnsi="Times New Roman" w:cs="Times New Roman"/>
          <w:color w:val="000000"/>
          <w:sz w:val="24"/>
          <w:szCs w:val="24"/>
        </w:rPr>
        <w:t>ncreasing resistance trends were noted following the COVID-19 pandemic, alongside strong associations between antimicrobial consumption and resistance patterns. Molecular evidence revealed the role of clonal dissemination and horizontal gene transfer, with</w:t>
      </w:r>
      <w:r>
        <w:rPr>
          <w:rFonts w:ascii="Times New Roman" w:eastAsia="Times New Roman" w:hAnsi="Times New Roman" w:cs="Times New Roman"/>
          <w:color w:val="000000"/>
          <w:sz w:val="24"/>
          <w:szCs w:val="24"/>
        </w:rPr>
        <w:t xml:space="preserve"> key resistance genes such as </w:t>
      </w:r>
      <w:proofErr w:type="spellStart"/>
      <w:r>
        <w:rPr>
          <w:rFonts w:ascii="Times New Roman" w:eastAsia="Times New Roman" w:hAnsi="Times New Roman" w:cs="Times New Roman"/>
          <w:color w:val="000000"/>
          <w:sz w:val="24"/>
          <w:szCs w:val="24"/>
        </w:rPr>
        <w:t>blaNDM</w:t>
      </w:r>
      <w:proofErr w:type="spellEnd"/>
      <w:r>
        <w:rPr>
          <w:rFonts w:ascii="Times New Roman" w:eastAsia="Times New Roman" w:hAnsi="Times New Roman" w:cs="Times New Roman"/>
          <w:color w:val="000000"/>
          <w:sz w:val="24"/>
          <w:szCs w:val="24"/>
        </w:rPr>
        <w:t xml:space="preserve"> (gene encoding New Delhi </w:t>
      </w:r>
      <w:proofErr w:type="spellStart"/>
      <w:r>
        <w:rPr>
          <w:rFonts w:ascii="Times New Roman" w:eastAsia="Times New Roman" w:hAnsi="Times New Roman" w:cs="Times New Roman"/>
          <w:color w:val="000000"/>
          <w:sz w:val="24"/>
          <w:szCs w:val="24"/>
        </w:rPr>
        <w:t>metallo</w:t>
      </w:r>
      <w:proofErr w:type="spellEnd"/>
      <w:r>
        <w:rPr>
          <w:rFonts w:ascii="Times New Roman" w:eastAsia="Times New Roman" w:hAnsi="Times New Roman" w:cs="Times New Roman"/>
          <w:color w:val="000000"/>
          <w:sz w:val="24"/>
          <w:szCs w:val="24"/>
        </w:rPr>
        <w:t xml:space="preserve">-β-lactamase, an enzyme that confers resistance to carbapenem antibiotics) and </w:t>
      </w:r>
      <w:proofErr w:type="spellStart"/>
      <w:r>
        <w:rPr>
          <w:rFonts w:ascii="Times New Roman" w:eastAsia="Times New Roman" w:hAnsi="Times New Roman" w:cs="Times New Roman"/>
          <w:color w:val="000000"/>
          <w:sz w:val="24"/>
          <w:szCs w:val="24"/>
        </w:rPr>
        <w:t>blaOXA</w:t>
      </w:r>
      <w:proofErr w:type="spellEnd"/>
      <w:r>
        <w:rPr>
          <w:rFonts w:ascii="Times New Roman" w:eastAsia="Times New Roman" w:hAnsi="Times New Roman" w:cs="Times New Roman"/>
          <w:color w:val="000000"/>
          <w:sz w:val="24"/>
          <w:szCs w:val="24"/>
        </w:rPr>
        <w:t xml:space="preserve"> (gene encoding OXA-type β-lactamase enzymes, which confer resistance to β-lactam antibiotics, includi</w:t>
      </w:r>
      <w:r>
        <w:rPr>
          <w:rFonts w:ascii="Times New Roman" w:eastAsia="Times New Roman" w:hAnsi="Times New Roman" w:cs="Times New Roman"/>
          <w:color w:val="000000"/>
          <w:sz w:val="24"/>
          <w:szCs w:val="24"/>
        </w:rPr>
        <w:t>ng carbapenems in some variants) identified. AMR was associated with substantial clinical burden, including mortality rates of up to 60% in severe infections.</w:t>
      </w:r>
    </w:p>
    <w:p w14:paraId="56B38681" w14:textId="77777777" w:rsidR="007D5FB4" w:rsidRDefault="003D1A1D">
      <w:pPr>
        <w:pStyle w:val="Heading3"/>
        <w:keepNext w:val="0"/>
        <w:keepLines w:val="0"/>
        <w:spacing w:before="280"/>
        <w:jc w:val="both"/>
        <w:rPr>
          <w:rFonts w:ascii="Times New Roman" w:eastAsia="Times New Roman" w:hAnsi="Times New Roman" w:cs="Times New Roman"/>
          <w:color w:val="000000"/>
          <w:sz w:val="24"/>
          <w:szCs w:val="24"/>
        </w:rPr>
      </w:pPr>
      <w:bookmarkStart w:id="3" w:name="_ylejie7192fz"/>
      <w:bookmarkEnd w:id="3"/>
      <w:r>
        <w:rPr>
          <w:rFonts w:ascii="Times New Roman" w:eastAsia="Times New Roman" w:hAnsi="Times New Roman" w:cs="Times New Roman"/>
          <w:b/>
          <w:bCs/>
          <w:color w:val="000000"/>
          <w:sz w:val="24"/>
          <w:szCs w:val="24"/>
        </w:rPr>
        <w:t xml:space="preserve">Conclusion: </w:t>
      </w:r>
      <w:r>
        <w:rPr>
          <w:rFonts w:ascii="Times New Roman" w:eastAsia="Times New Roman" w:hAnsi="Times New Roman" w:cs="Times New Roman"/>
          <w:color w:val="000000"/>
          <w:sz w:val="24"/>
          <w:szCs w:val="24"/>
        </w:rPr>
        <w:t>Antimicrobial resistance in the Philippines is a growing and significant public healt</w:t>
      </w:r>
      <w:r>
        <w:rPr>
          <w:rFonts w:ascii="Times New Roman" w:eastAsia="Times New Roman" w:hAnsi="Times New Roman" w:cs="Times New Roman"/>
          <w:color w:val="000000"/>
          <w:sz w:val="24"/>
          <w:szCs w:val="24"/>
        </w:rPr>
        <w:t>h concern predominantly driven by multidrug-resistant Gram-negative pathogens. Strengthening antimicrobial stewardship, enhancing surveillance systems, and reinforcing infection prevention and control measures are essential to mitigate the increasing burde</w:t>
      </w:r>
      <w:r>
        <w:rPr>
          <w:rFonts w:ascii="Times New Roman" w:eastAsia="Times New Roman" w:hAnsi="Times New Roman" w:cs="Times New Roman"/>
          <w:color w:val="000000"/>
          <w:sz w:val="24"/>
          <w:szCs w:val="24"/>
        </w:rPr>
        <w:t>n of AMR.</w:t>
      </w:r>
    </w:p>
    <w:p w14:paraId="403BF235" w14:textId="77777777" w:rsidR="007D5FB4" w:rsidRDefault="003D1A1D">
      <w:pPr>
        <w:pStyle w:val="Heading3"/>
        <w:keepNext w:val="0"/>
        <w:keepLines w:val="0"/>
        <w:spacing w:before="280"/>
        <w:jc w:val="both"/>
        <w:rPr>
          <w:rFonts w:ascii="Times New Roman" w:eastAsia="Times New Roman" w:hAnsi="Times New Roman" w:cs="Times New Roman"/>
          <w:color w:val="000000"/>
          <w:sz w:val="24"/>
          <w:szCs w:val="24"/>
        </w:rPr>
      </w:pPr>
      <w:bookmarkStart w:id="4" w:name="_ydf0vsl6oyv7"/>
      <w:bookmarkEnd w:id="4"/>
      <w:r>
        <w:rPr>
          <w:rFonts w:ascii="Times New Roman" w:eastAsia="Times New Roman" w:hAnsi="Times New Roman" w:cs="Times New Roman"/>
          <w:b/>
          <w:bCs/>
          <w:color w:val="000000"/>
          <w:sz w:val="24"/>
          <w:szCs w:val="24"/>
        </w:rPr>
        <w:t xml:space="preserve">Keywords: </w:t>
      </w:r>
      <w:r>
        <w:rPr>
          <w:rFonts w:ascii="Times New Roman" w:eastAsia="Times New Roman" w:hAnsi="Times New Roman" w:cs="Times New Roman"/>
          <w:color w:val="000000"/>
          <w:sz w:val="24"/>
          <w:szCs w:val="24"/>
        </w:rPr>
        <w:t xml:space="preserve">Antimicrobial resistance, Philippines, multidrug-resistant bacteria, Gram-negative pathogens, antimicrobial </w:t>
      </w:r>
      <w:proofErr w:type="gramStart"/>
      <w:r>
        <w:rPr>
          <w:rFonts w:ascii="Times New Roman" w:eastAsia="Times New Roman" w:hAnsi="Times New Roman" w:cs="Times New Roman"/>
          <w:color w:val="000000"/>
          <w:sz w:val="24"/>
          <w:szCs w:val="24"/>
        </w:rPr>
        <w:t>stewardship,  surveillance</w:t>
      </w:r>
      <w:proofErr w:type="gramEnd"/>
      <w:r>
        <w:rPr>
          <w:rFonts w:ascii="Times New Roman" w:eastAsia="Times New Roman" w:hAnsi="Times New Roman" w:cs="Times New Roman"/>
          <w:color w:val="000000"/>
          <w:sz w:val="24"/>
          <w:szCs w:val="24"/>
        </w:rPr>
        <w:t xml:space="preserve">, </w:t>
      </w:r>
    </w:p>
    <w:p w14:paraId="56C7B1F2" w14:textId="77777777" w:rsidR="007D5FB4" w:rsidRDefault="007D5FB4">
      <w:pPr>
        <w:pStyle w:val="normal1"/>
      </w:pPr>
    </w:p>
    <w:p w14:paraId="0701C68B" w14:textId="77777777" w:rsidR="00833084" w:rsidRDefault="00833084">
      <w:pPr>
        <w:pStyle w:val="normal1"/>
        <w:jc w:val="both"/>
        <w:rPr>
          <w:rFonts w:ascii="Times New Roman" w:eastAsia="Times New Roman" w:hAnsi="Times New Roman" w:cs="Times New Roman"/>
          <w:b/>
          <w:bCs/>
          <w:sz w:val="24"/>
          <w:szCs w:val="24"/>
        </w:rPr>
      </w:pPr>
    </w:p>
    <w:p w14:paraId="460270D2" w14:textId="72B43929" w:rsidR="007D5FB4" w:rsidRDefault="003D1A1D">
      <w:pPr>
        <w:pStyle w:val="normal1"/>
        <w:jc w:val="both"/>
        <w:rPr>
          <w:rFonts w:ascii="Times New Roman" w:eastAsia="Times New Roman" w:hAnsi="Times New Roman" w:cs="Times New Roman"/>
          <w:b/>
          <w:bCs/>
          <w:sz w:val="24"/>
          <w:szCs w:val="24"/>
        </w:rPr>
      </w:pPr>
      <w:bookmarkStart w:id="5" w:name="_GoBack"/>
      <w:bookmarkEnd w:id="5"/>
      <w:r>
        <w:rPr>
          <w:rFonts w:ascii="Times New Roman" w:eastAsia="Times New Roman" w:hAnsi="Times New Roman" w:cs="Times New Roman"/>
          <w:b/>
          <w:bCs/>
          <w:sz w:val="24"/>
          <w:szCs w:val="24"/>
        </w:rPr>
        <w:lastRenderedPageBreak/>
        <w:t>INTRODUCTION</w:t>
      </w:r>
    </w:p>
    <w:p w14:paraId="66AF154F" w14:textId="77777777" w:rsidR="007D5FB4" w:rsidRDefault="003D1A1D">
      <w:pPr>
        <w:pStyle w:val="normal1"/>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Antimicrobial resistance (AMR) is defined as the ability of microorganisms, including</w:t>
      </w:r>
      <w:r>
        <w:rPr>
          <w:rFonts w:ascii="Times New Roman" w:eastAsia="Times New Roman" w:hAnsi="Times New Roman" w:cs="Times New Roman"/>
          <w:sz w:val="24"/>
          <w:szCs w:val="24"/>
        </w:rPr>
        <w:t xml:space="preserve"> bacteria, viruses, fungi, and parasites, to survive or grow despite exposure to antimicrobial agents that would normally inhibit or kill them (World Health Organization [WHO], 2023). This phenomenon arises through genetic mutations or the acquisition of r</w:t>
      </w:r>
      <w:r>
        <w:rPr>
          <w:rFonts w:ascii="Times New Roman" w:eastAsia="Times New Roman" w:hAnsi="Times New Roman" w:cs="Times New Roman"/>
          <w:sz w:val="24"/>
          <w:szCs w:val="24"/>
        </w:rPr>
        <w:t xml:space="preserve">esistance genes via horizontal gene transfer mechanisms such as transformation, transduction, and conjugation (Belay et al., 2024). As a consequence, previously effective treatments become ineffective, leading to persistent infections, increased morbidity </w:t>
      </w:r>
      <w:r>
        <w:rPr>
          <w:rFonts w:ascii="Times New Roman" w:eastAsia="Times New Roman" w:hAnsi="Times New Roman" w:cs="Times New Roman"/>
          <w:sz w:val="24"/>
          <w:szCs w:val="24"/>
        </w:rPr>
        <w:t>and mortality, prolonged hospital stays, and higher healthcare costs (Centers for Disease Control and Prevention [CDC], 2025; Coyne et al., 2020).</w:t>
      </w:r>
    </w:p>
    <w:p w14:paraId="65D15C8D" w14:textId="77777777" w:rsidR="007D5FB4" w:rsidRDefault="003D1A1D">
      <w:pPr>
        <w:pStyle w:val="normal1"/>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AMR is commonly classified according to the degree of resistance expressed by microorganisms. Multidrug-resis</w:t>
      </w:r>
      <w:r>
        <w:rPr>
          <w:rFonts w:ascii="Times New Roman" w:eastAsia="Times New Roman" w:hAnsi="Times New Roman" w:cs="Times New Roman"/>
          <w:sz w:val="24"/>
          <w:szCs w:val="24"/>
        </w:rPr>
        <w:t xml:space="preserve">tant (MDR) organisms are resistant to at least one agent in three or more antimicrobial categories (Connecticut Department of Public Health, 2026). Extensively drug-resistant (XDR) organisms remain susceptible to only one or two antimicrobial classes, and </w:t>
      </w:r>
      <w:r>
        <w:rPr>
          <w:rFonts w:ascii="Times New Roman" w:eastAsia="Times New Roman" w:hAnsi="Times New Roman" w:cs="Times New Roman"/>
          <w:sz w:val="24"/>
          <w:szCs w:val="24"/>
        </w:rPr>
        <w:t>pan-drug-resistant (PDR) organisms exhibit resistance to all available antimicrobial agents (</w:t>
      </w:r>
      <w:proofErr w:type="spellStart"/>
      <w:r>
        <w:rPr>
          <w:rFonts w:ascii="Times New Roman" w:eastAsia="Times New Roman" w:hAnsi="Times New Roman" w:cs="Times New Roman"/>
          <w:sz w:val="24"/>
          <w:szCs w:val="24"/>
        </w:rPr>
        <w:t>Cosentino</w:t>
      </w:r>
      <w:proofErr w:type="spellEnd"/>
      <w:r>
        <w:rPr>
          <w:rFonts w:ascii="Times New Roman" w:eastAsia="Times New Roman" w:hAnsi="Times New Roman" w:cs="Times New Roman"/>
          <w:sz w:val="24"/>
          <w:szCs w:val="24"/>
        </w:rPr>
        <w:t xml:space="preserve"> et al., 2023). Clinically significant resistant pathogens include methicillin-resistant </w:t>
      </w:r>
      <w:r>
        <w:rPr>
          <w:rFonts w:ascii="Times New Roman" w:eastAsia="Times New Roman" w:hAnsi="Times New Roman" w:cs="Times New Roman"/>
          <w:i/>
          <w:iCs/>
          <w:sz w:val="24"/>
          <w:szCs w:val="24"/>
        </w:rPr>
        <w:t>Staphylococcus aureus</w:t>
      </w:r>
      <w:r>
        <w:rPr>
          <w:rFonts w:ascii="Times New Roman" w:eastAsia="Times New Roman" w:hAnsi="Times New Roman" w:cs="Times New Roman"/>
          <w:sz w:val="24"/>
          <w:szCs w:val="24"/>
        </w:rPr>
        <w:t xml:space="preserve"> (MRSA), extended-spectrum β-lactamase (ESBL</w:t>
      </w:r>
      <w:r>
        <w:rPr>
          <w:rFonts w:ascii="Times New Roman" w:eastAsia="Times New Roman" w:hAnsi="Times New Roman" w:cs="Times New Roman"/>
          <w:sz w:val="24"/>
          <w:szCs w:val="24"/>
        </w:rPr>
        <w:t xml:space="preserve">)–producing </w:t>
      </w:r>
      <w:proofErr w:type="spellStart"/>
      <w:r>
        <w:rPr>
          <w:rFonts w:ascii="Times New Roman" w:eastAsia="Times New Roman" w:hAnsi="Times New Roman" w:cs="Times New Roman"/>
          <w:sz w:val="24"/>
          <w:szCs w:val="24"/>
        </w:rPr>
        <w:t>Enterobacterales</w:t>
      </w:r>
      <w:proofErr w:type="spellEnd"/>
      <w:r>
        <w:rPr>
          <w:rFonts w:ascii="Times New Roman" w:eastAsia="Times New Roman" w:hAnsi="Times New Roman" w:cs="Times New Roman"/>
          <w:sz w:val="24"/>
          <w:szCs w:val="24"/>
        </w:rPr>
        <w:t xml:space="preserve">, carbapenem-resistant </w:t>
      </w:r>
      <w:r>
        <w:rPr>
          <w:rFonts w:ascii="Times New Roman" w:eastAsia="Times New Roman" w:hAnsi="Times New Roman" w:cs="Times New Roman"/>
          <w:i/>
          <w:iCs/>
          <w:sz w:val="24"/>
          <w:szCs w:val="24"/>
        </w:rPr>
        <w:t xml:space="preserve">Acinetobacter </w:t>
      </w:r>
      <w:proofErr w:type="spellStart"/>
      <w:r>
        <w:rPr>
          <w:rFonts w:ascii="Times New Roman" w:eastAsia="Times New Roman" w:hAnsi="Times New Roman" w:cs="Times New Roman"/>
          <w:i/>
          <w:iCs/>
          <w:sz w:val="24"/>
          <w:szCs w:val="24"/>
        </w:rPr>
        <w:t>baumannii</w:t>
      </w:r>
      <w:proofErr w:type="spellEnd"/>
      <w:r>
        <w:rPr>
          <w:rFonts w:ascii="Times New Roman" w:eastAsia="Times New Roman" w:hAnsi="Times New Roman" w:cs="Times New Roman"/>
          <w:sz w:val="24"/>
          <w:szCs w:val="24"/>
        </w:rPr>
        <w:t xml:space="preserve">, and carbapenem-resistant </w:t>
      </w:r>
      <w:r>
        <w:rPr>
          <w:rFonts w:ascii="Times New Roman" w:eastAsia="Times New Roman" w:hAnsi="Times New Roman" w:cs="Times New Roman"/>
          <w:i/>
          <w:iCs/>
          <w:sz w:val="24"/>
          <w:szCs w:val="24"/>
        </w:rPr>
        <w:t>Pseudomonas aeruginosa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Antochevis</w:t>
      </w:r>
      <w:proofErr w:type="spellEnd"/>
      <w:r>
        <w:rPr>
          <w:rFonts w:ascii="Times New Roman" w:eastAsia="Times New Roman" w:hAnsi="Times New Roman" w:cs="Times New Roman"/>
          <w:sz w:val="24"/>
          <w:szCs w:val="24"/>
        </w:rPr>
        <w:t xml:space="preserve"> et al., 2025). These pathogens have been prioritized globally due to their capacity to cause severe infections and their</w:t>
      </w:r>
      <w:r>
        <w:rPr>
          <w:rFonts w:ascii="Times New Roman" w:eastAsia="Times New Roman" w:hAnsi="Times New Roman" w:cs="Times New Roman"/>
          <w:sz w:val="24"/>
          <w:szCs w:val="24"/>
        </w:rPr>
        <w:t xml:space="preserve"> limited therapeutic options (World Health Organization [WHO], 2024).</w:t>
      </w:r>
    </w:p>
    <w:p w14:paraId="2BD879CC" w14:textId="77777777" w:rsidR="007D5FB4" w:rsidRDefault="003D1A1D">
      <w:pPr>
        <w:pStyle w:val="normal1"/>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assessment of AMR involves laboratory-based antimicrobial susceptibility testing (AST), surveillance systems, and molecular characterization techniques (</w:t>
      </w:r>
      <w:proofErr w:type="spellStart"/>
      <w:r>
        <w:rPr>
          <w:rFonts w:ascii="Times New Roman" w:eastAsia="Times New Roman" w:hAnsi="Times New Roman" w:cs="Times New Roman"/>
          <w:sz w:val="24"/>
          <w:szCs w:val="24"/>
        </w:rPr>
        <w:t>Gandra</w:t>
      </w:r>
      <w:proofErr w:type="spellEnd"/>
      <w:r>
        <w:rPr>
          <w:rFonts w:ascii="Times New Roman" w:eastAsia="Times New Roman" w:hAnsi="Times New Roman" w:cs="Times New Roman"/>
          <w:sz w:val="24"/>
          <w:szCs w:val="24"/>
        </w:rPr>
        <w:t xml:space="preserve"> et al., 2020). Convent</w:t>
      </w:r>
      <w:r>
        <w:rPr>
          <w:rFonts w:ascii="Times New Roman" w:eastAsia="Times New Roman" w:hAnsi="Times New Roman" w:cs="Times New Roman"/>
          <w:sz w:val="24"/>
          <w:szCs w:val="24"/>
        </w:rPr>
        <w:t>ional phenotypic methods such as disk diffusion (Kirby–Bauer), broth microdilution, and automated systems determine susceptibility patterns based on standardized interpretive criteria from organizations such as the Clinical and Laboratory Standards Institu</w:t>
      </w:r>
      <w:r>
        <w:rPr>
          <w:rFonts w:ascii="Times New Roman" w:eastAsia="Times New Roman" w:hAnsi="Times New Roman" w:cs="Times New Roman"/>
          <w:sz w:val="24"/>
          <w:szCs w:val="24"/>
        </w:rPr>
        <w:t>te (CLSI) and the European Committee on Antimicrobial Susceptibility Testing (EUCAST) (CLSI, 2023). Molecular approaches, including polymerase chain reaction (PCR) and whole-genome sequencing, are increasingly used to identify resistance genes and track tr</w:t>
      </w:r>
      <w:r>
        <w:rPr>
          <w:rFonts w:ascii="Times New Roman" w:eastAsia="Times New Roman" w:hAnsi="Times New Roman" w:cs="Times New Roman"/>
          <w:sz w:val="24"/>
          <w:szCs w:val="24"/>
        </w:rPr>
        <w:t>ansmission pathways within healthcare and community settings (</w:t>
      </w:r>
      <w:proofErr w:type="spellStart"/>
      <w:r>
        <w:rPr>
          <w:rFonts w:ascii="Times New Roman" w:eastAsia="Times New Roman" w:hAnsi="Times New Roman" w:cs="Times New Roman"/>
          <w:sz w:val="24"/>
          <w:szCs w:val="24"/>
        </w:rPr>
        <w:t>Khehra</w:t>
      </w:r>
      <w:proofErr w:type="spellEnd"/>
      <w:r>
        <w:rPr>
          <w:rFonts w:ascii="Times New Roman" w:eastAsia="Times New Roman" w:hAnsi="Times New Roman" w:cs="Times New Roman"/>
          <w:sz w:val="24"/>
          <w:szCs w:val="24"/>
        </w:rPr>
        <w:t xml:space="preserve"> et al., 2025). At the population level, national and international surveillance programs compile these data to monitor trends, detect emerging resistant strains, and guide antimicrobial s</w:t>
      </w:r>
      <w:r>
        <w:rPr>
          <w:rFonts w:ascii="Times New Roman" w:eastAsia="Times New Roman" w:hAnsi="Times New Roman" w:cs="Times New Roman"/>
          <w:sz w:val="24"/>
          <w:szCs w:val="24"/>
        </w:rPr>
        <w:t>tewardship interventions (</w:t>
      </w:r>
      <w:proofErr w:type="spellStart"/>
      <w:r>
        <w:rPr>
          <w:rFonts w:ascii="Times New Roman" w:eastAsia="Times New Roman" w:hAnsi="Times New Roman" w:cs="Times New Roman"/>
          <w:sz w:val="24"/>
          <w:szCs w:val="24"/>
        </w:rPr>
        <w:t>Cantón</w:t>
      </w:r>
      <w:proofErr w:type="spellEnd"/>
      <w:r>
        <w:rPr>
          <w:rFonts w:ascii="Times New Roman" w:eastAsia="Times New Roman" w:hAnsi="Times New Roman" w:cs="Times New Roman"/>
          <w:sz w:val="24"/>
          <w:szCs w:val="24"/>
        </w:rPr>
        <w:t xml:space="preserve"> et al., 2023).</w:t>
      </w:r>
    </w:p>
    <w:p w14:paraId="2AC54228" w14:textId="77777777" w:rsidR="007D5FB4" w:rsidRDefault="003D1A1D">
      <w:pPr>
        <w:pStyle w:val="normal1"/>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Globally, AMR has become one of the most pressing public health threats of the 21st century. The World Health Organization estimates that antimicrobial-resistant infections contribute to millions of deaths an</w:t>
      </w:r>
      <w:r>
        <w:rPr>
          <w:rFonts w:ascii="Times New Roman" w:eastAsia="Times New Roman" w:hAnsi="Times New Roman" w:cs="Times New Roman"/>
          <w:sz w:val="24"/>
          <w:szCs w:val="24"/>
        </w:rPr>
        <w:t>nually and are projected to cause substantial economic losses if left unaddressed (WHO, 2023). Beyond healthcare settings, AMR also affects agriculture, environmental systems, and food safety, highlighting the importance of the One Health approach that int</w:t>
      </w:r>
      <w:r>
        <w:rPr>
          <w:rFonts w:ascii="Times New Roman" w:eastAsia="Times New Roman" w:hAnsi="Times New Roman" w:cs="Times New Roman"/>
          <w:sz w:val="24"/>
          <w:szCs w:val="24"/>
        </w:rPr>
        <w:t>egrates human, animal, and environmental health perspectives (Al-</w:t>
      </w:r>
      <w:proofErr w:type="spellStart"/>
      <w:r>
        <w:rPr>
          <w:rFonts w:ascii="Times New Roman" w:eastAsia="Times New Roman" w:hAnsi="Times New Roman" w:cs="Times New Roman"/>
          <w:sz w:val="24"/>
          <w:szCs w:val="24"/>
        </w:rPr>
        <w:t>Khalaifah</w:t>
      </w:r>
      <w:proofErr w:type="spellEnd"/>
      <w:r>
        <w:rPr>
          <w:rFonts w:ascii="Times New Roman" w:eastAsia="Times New Roman" w:hAnsi="Times New Roman" w:cs="Times New Roman"/>
          <w:sz w:val="24"/>
          <w:szCs w:val="24"/>
        </w:rPr>
        <w:t xml:space="preserve"> et al., 2025). Population-level surveillance and systematic analysis of resistance patterns are therefore essential for guiding clinical management, infection prevention strategies,</w:t>
      </w:r>
      <w:r>
        <w:rPr>
          <w:rFonts w:ascii="Times New Roman" w:eastAsia="Times New Roman" w:hAnsi="Times New Roman" w:cs="Times New Roman"/>
          <w:sz w:val="24"/>
          <w:szCs w:val="24"/>
        </w:rPr>
        <w:t xml:space="preserve"> and policy development.</w:t>
      </w:r>
    </w:p>
    <w:p w14:paraId="6C87B11A" w14:textId="77777777" w:rsidR="007D5FB4" w:rsidRDefault="003D1A1D">
      <w:pPr>
        <w:pStyle w:val="normal1"/>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Philippines, antimicrobial resistance has emerged as a significant public health concern due to increasing antibiotic consumption, self-medication, and inconsistent antimicrobial stewardship practices (Ng et al., 2025). The </w:t>
      </w:r>
      <w:r>
        <w:rPr>
          <w:rFonts w:ascii="Times New Roman" w:eastAsia="Times New Roman" w:hAnsi="Times New Roman" w:cs="Times New Roman"/>
          <w:sz w:val="24"/>
          <w:szCs w:val="24"/>
        </w:rPr>
        <w:t xml:space="preserve">country has established national monitoring systems such as the </w:t>
      </w:r>
      <w:r>
        <w:rPr>
          <w:rFonts w:ascii="Times New Roman" w:eastAsia="Times New Roman" w:hAnsi="Times New Roman" w:cs="Times New Roman"/>
          <w:sz w:val="24"/>
          <w:szCs w:val="24"/>
        </w:rPr>
        <w:lastRenderedPageBreak/>
        <w:t>Antimicrobial Resistance Surveillance Program (ARSP), coordinated by the Antimicrobial Resistance Surveillance Reference Laboratory (ARSRL) of the Research Institute for Tropical Medicine (RIT</w:t>
      </w:r>
      <w:r>
        <w:rPr>
          <w:rFonts w:ascii="Times New Roman" w:eastAsia="Times New Roman" w:hAnsi="Times New Roman" w:cs="Times New Roman"/>
          <w:sz w:val="24"/>
          <w:szCs w:val="24"/>
        </w:rPr>
        <w:t xml:space="preserve">M), which collects susceptibility data from sentinel hospitals nationwide (Department of </w:t>
      </w:r>
      <w:proofErr w:type="gramStart"/>
      <w:r>
        <w:rPr>
          <w:rFonts w:ascii="Times New Roman" w:eastAsia="Times New Roman" w:hAnsi="Times New Roman" w:cs="Times New Roman"/>
          <w:sz w:val="24"/>
          <w:szCs w:val="24"/>
        </w:rPr>
        <w:t>Health,[</w:t>
      </w:r>
      <w:proofErr w:type="gramEnd"/>
      <w:r>
        <w:rPr>
          <w:rFonts w:ascii="Times New Roman" w:eastAsia="Times New Roman" w:hAnsi="Times New Roman" w:cs="Times New Roman"/>
          <w:sz w:val="24"/>
          <w:szCs w:val="24"/>
        </w:rPr>
        <w:t xml:space="preserve">DOH] 2022; Castro et al., 2022). These surveillance efforts have reported rising resistance among key pathogens, including ESBL-producing </w:t>
      </w:r>
      <w:r>
        <w:rPr>
          <w:rFonts w:ascii="Times New Roman" w:eastAsia="Times New Roman" w:hAnsi="Times New Roman" w:cs="Times New Roman"/>
          <w:i/>
          <w:iCs/>
          <w:sz w:val="24"/>
          <w:szCs w:val="24"/>
        </w:rPr>
        <w:t>Escherichia coli</w:t>
      </w:r>
      <w:r>
        <w:rPr>
          <w:rFonts w:ascii="Times New Roman" w:eastAsia="Times New Roman" w:hAnsi="Times New Roman" w:cs="Times New Roman"/>
          <w:sz w:val="24"/>
          <w:szCs w:val="24"/>
        </w:rPr>
        <w:t>, car</w:t>
      </w:r>
      <w:r>
        <w:rPr>
          <w:rFonts w:ascii="Times New Roman" w:eastAsia="Times New Roman" w:hAnsi="Times New Roman" w:cs="Times New Roman"/>
          <w:sz w:val="24"/>
          <w:szCs w:val="24"/>
        </w:rPr>
        <w:t xml:space="preserve">bapenem-resistant </w:t>
      </w:r>
      <w:r>
        <w:rPr>
          <w:rFonts w:ascii="Times New Roman" w:eastAsia="Times New Roman" w:hAnsi="Times New Roman" w:cs="Times New Roman"/>
          <w:i/>
          <w:iCs/>
          <w:sz w:val="24"/>
          <w:szCs w:val="24"/>
        </w:rPr>
        <w:t xml:space="preserve">Acinetobacter </w:t>
      </w:r>
      <w:proofErr w:type="spellStart"/>
      <w:r>
        <w:rPr>
          <w:rFonts w:ascii="Times New Roman" w:eastAsia="Times New Roman" w:hAnsi="Times New Roman" w:cs="Times New Roman"/>
          <w:i/>
          <w:iCs/>
          <w:sz w:val="24"/>
          <w:szCs w:val="24"/>
        </w:rPr>
        <w:t>baumannii</w:t>
      </w:r>
      <w:proofErr w:type="spellEnd"/>
      <w:r>
        <w:rPr>
          <w:rFonts w:ascii="Times New Roman" w:eastAsia="Times New Roman" w:hAnsi="Times New Roman" w:cs="Times New Roman"/>
          <w:sz w:val="24"/>
          <w:szCs w:val="24"/>
        </w:rPr>
        <w:t xml:space="preserve">, and methicillin-resistant </w:t>
      </w:r>
      <w:r>
        <w:rPr>
          <w:rFonts w:ascii="Times New Roman" w:eastAsia="Times New Roman" w:hAnsi="Times New Roman" w:cs="Times New Roman"/>
          <w:i/>
          <w:iCs/>
          <w:sz w:val="24"/>
          <w:szCs w:val="24"/>
        </w:rPr>
        <w:t>Staphylococcus aureus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Chilam</w:t>
      </w:r>
      <w:proofErr w:type="spellEnd"/>
      <w:r>
        <w:rPr>
          <w:rFonts w:ascii="Times New Roman" w:eastAsia="Times New Roman" w:hAnsi="Times New Roman" w:cs="Times New Roman"/>
          <w:sz w:val="24"/>
          <w:szCs w:val="24"/>
        </w:rPr>
        <w:t xml:space="preserve"> et al., 2021). Despite these monitoring initiatives, available data remain fragmented across clinical studies, hospital reports, and surveillance summaries (Department of Health [DOH] 2025).</w:t>
      </w:r>
    </w:p>
    <w:p w14:paraId="2CA2119B" w14:textId="77777777" w:rsidR="007D5FB4" w:rsidRDefault="003D1A1D">
      <w:pPr>
        <w:pStyle w:val="normal1"/>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Several studies conducted in the Philippines have examin</w:t>
      </w:r>
      <w:r>
        <w:rPr>
          <w:rFonts w:ascii="Times New Roman" w:eastAsia="Times New Roman" w:hAnsi="Times New Roman" w:cs="Times New Roman"/>
          <w:sz w:val="24"/>
          <w:szCs w:val="24"/>
        </w:rPr>
        <w:t>ed antimicrobial resistance patterns in specific hospitals, patient populations, or bacterial pathogens. However, many of these investigations are limited in scope, focusing on single institutions or short surveillance periods. Furthermore, there remains a</w:t>
      </w:r>
      <w:r>
        <w:rPr>
          <w:rFonts w:ascii="Times New Roman" w:eastAsia="Times New Roman" w:hAnsi="Times New Roman" w:cs="Times New Roman"/>
          <w:sz w:val="24"/>
          <w:szCs w:val="24"/>
        </w:rPr>
        <w:t xml:space="preserve"> lack of comprehensive synthesis integrating both surveillance data and clinical research findings to provide a nationwide overview of AMR patterns and trends (Valenzuela et al., 2025). Without such synthesis, it becomes difficult to evaluate the true burd</w:t>
      </w:r>
      <w:r>
        <w:rPr>
          <w:rFonts w:ascii="Times New Roman" w:eastAsia="Times New Roman" w:hAnsi="Times New Roman" w:cs="Times New Roman"/>
          <w:sz w:val="24"/>
          <w:szCs w:val="24"/>
        </w:rPr>
        <w:t>en of antimicrobial resistance, identify priority pathogens, and guide national public health strategies.</w:t>
      </w:r>
    </w:p>
    <w:p w14:paraId="608A3528" w14:textId="77777777" w:rsidR="007D5FB4" w:rsidRDefault="003D1A1D">
      <w:pPr>
        <w:pStyle w:val="normal1"/>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Given these limitations, this study aims to systematically review and synthesize available surveillance reports and clinical research studies on antim</w:t>
      </w:r>
      <w:r>
        <w:rPr>
          <w:rFonts w:ascii="Times New Roman" w:eastAsia="Times New Roman" w:hAnsi="Times New Roman" w:cs="Times New Roman"/>
          <w:sz w:val="24"/>
          <w:szCs w:val="24"/>
        </w:rPr>
        <w:t xml:space="preserve">icrobial resistance in the Philippines in order to provide a comprehensive national overview of resistance patterns. Specifically, the study seeks to identify the most frequently reported antimicrobial-resistant pathogens in the country, examine trends in </w:t>
      </w:r>
      <w:r>
        <w:rPr>
          <w:rFonts w:ascii="Times New Roman" w:eastAsia="Times New Roman" w:hAnsi="Times New Roman" w:cs="Times New Roman"/>
          <w:sz w:val="24"/>
          <w:szCs w:val="24"/>
        </w:rPr>
        <w:t>antimicrobial resistance across different clinical settings and geographic regions, evaluate the laboratory methods and surveillance approaches used in AMR studies, and identify existing knowledge gaps and research priorities necessary to strengthen nation</w:t>
      </w:r>
      <w:r>
        <w:rPr>
          <w:rFonts w:ascii="Times New Roman" w:eastAsia="Times New Roman" w:hAnsi="Times New Roman" w:cs="Times New Roman"/>
          <w:sz w:val="24"/>
          <w:szCs w:val="24"/>
        </w:rPr>
        <w:t>al antimicrobial resistance monitoring and control strategies.</w:t>
      </w:r>
    </w:p>
    <w:p w14:paraId="3126352B" w14:textId="77777777" w:rsidR="007D5FB4" w:rsidRDefault="007D5FB4">
      <w:pPr>
        <w:pStyle w:val="normal1"/>
        <w:jc w:val="both"/>
        <w:rPr>
          <w:rFonts w:ascii="Times New Roman" w:eastAsia="Times New Roman" w:hAnsi="Times New Roman" w:cs="Times New Roman"/>
          <w:b/>
          <w:bCs/>
          <w:sz w:val="24"/>
          <w:szCs w:val="24"/>
        </w:rPr>
      </w:pPr>
    </w:p>
    <w:p w14:paraId="21D29335" w14:textId="77777777" w:rsidR="007D5FB4" w:rsidRDefault="003D1A1D">
      <w:pPr>
        <w:pStyle w:val="normal1"/>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METHODOLOGY</w:t>
      </w:r>
    </w:p>
    <w:p w14:paraId="266610E7" w14:textId="77777777" w:rsidR="007D5FB4" w:rsidRDefault="003D1A1D">
      <w:pPr>
        <w:pStyle w:val="Heading2"/>
        <w:keepNext w:val="0"/>
        <w:keepLines w:val="0"/>
        <w:spacing w:after="80"/>
        <w:jc w:val="both"/>
        <w:rPr>
          <w:rFonts w:ascii="Times New Roman" w:eastAsia="Times New Roman" w:hAnsi="Times New Roman" w:cs="Times New Roman"/>
          <w:b/>
          <w:bCs/>
          <w:sz w:val="24"/>
          <w:szCs w:val="24"/>
        </w:rPr>
      </w:pPr>
      <w:bookmarkStart w:id="6" w:name="_qupzi5fb27zy"/>
      <w:bookmarkEnd w:id="6"/>
      <w:r>
        <w:rPr>
          <w:rFonts w:ascii="Times New Roman" w:eastAsia="Times New Roman" w:hAnsi="Times New Roman" w:cs="Times New Roman"/>
          <w:b/>
          <w:bCs/>
          <w:sz w:val="24"/>
          <w:szCs w:val="24"/>
        </w:rPr>
        <w:t>Study Design</w:t>
      </w:r>
    </w:p>
    <w:p w14:paraId="34A32DAF" w14:textId="77777777" w:rsidR="007D5FB4" w:rsidRDefault="003D1A1D">
      <w:pPr>
        <w:pStyle w:val="normal1"/>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employed a systematic review design to synthesize available evidence on antimicrobial resistance (AMR) patterns in the Philippines. The review was conducted</w:t>
      </w:r>
      <w:r>
        <w:rPr>
          <w:rFonts w:ascii="Times New Roman" w:eastAsia="Times New Roman" w:hAnsi="Times New Roman" w:cs="Times New Roman"/>
          <w:sz w:val="24"/>
          <w:szCs w:val="24"/>
        </w:rPr>
        <w:t xml:space="preserve"> in accordance with the Preferred Reporting Items for Systematic Reviews and Meta-Analyses (PRISMA 2020) guidelines, which provide a standardized framework for the identification, screening, and reporting of studies (Page et al., 2021). The review protocol</w:t>
      </w:r>
      <w:r>
        <w:rPr>
          <w:rFonts w:ascii="Times New Roman" w:eastAsia="Times New Roman" w:hAnsi="Times New Roman" w:cs="Times New Roman"/>
          <w:sz w:val="24"/>
          <w:szCs w:val="24"/>
        </w:rPr>
        <w:t xml:space="preserve"> was registered in the International Prospective Register of Systematic Reviews (PROSPERO) under the registration number CRD420261360657. The primary objective was to systematically identify, evaluate, and synthesize surveillance reports and clinical studi</w:t>
      </w:r>
      <w:r>
        <w:rPr>
          <w:rFonts w:ascii="Times New Roman" w:eastAsia="Times New Roman" w:hAnsi="Times New Roman" w:cs="Times New Roman"/>
          <w:sz w:val="24"/>
          <w:szCs w:val="24"/>
        </w:rPr>
        <w:t>es documenting antimicrobial resistance patterns in the country.</w:t>
      </w:r>
    </w:p>
    <w:p w14:paraId="731C5C27" w14:textId="77777777" w:rsidR="007D5FB4" w:rsidRDefault="003D1A1D">
      <w:pPr>
        <w:pStyle w:val="Heading2"/>
        <w:keepNext w:val="0"/>
        <w:keepLines w:val="0"/>
        <w:spacing w:after="80"/>
        <w:jc w:val="both"/>
        <w:rPr>
          <w:rFonts w:ascii="Times New Roman" w:eastAsia="Times New Roman" w:hAnsi="Times New Roman" w:cs="Times New Roman"/>
          <w:b/>
          <w:bCs/>
          <w:sz w:val="24"/>
          <w:szCs w:val="24"/>
        </w:rPr>
      </w:pPr>
      <w:bookmarkStart w:id="7" w:name="_ull5vvlae3yp"/>
      <w:bookmarkEnd w:id="7"/>
      <w:r>
        <w:rPr>
          <w:rFonts w:ascii="Times New Roman" w:eastAsia="Times New Roman" w:hAnsi="Times New Roman" w:cs="Times New Roman"/>
          <w:b/>
          <w:bCs/>
          <w:sz w:val="24"/>
          <w:szCs w:val="24"/>
        </w:rPr>
        <w:t>Information Sources</w:t>
      </w:r>
    </w:p>
    <w:p w14:paraId="22082C3F" w14:textId="77777777" w:rsidR="007D5FB4" w:rsidRDefault="003D1A1D">
      <w:pPr>
        <w:pStyle w:val="normal1"/>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comprehensive literature search was conducted using three major electronic databases: PubMed/MEDLINE, Scopus, and Web of Science. These databases were selected due to th</w:t>
      </w:r>
      <w:r>
        <w:rPr>
          <w:rFonts w:ascii="Times New Roman" w:eastAsia="Times New Roman" w:hAnsi="Times New Roman" w:cs="Times New Roman"/>
          <w:sz w:val="24"/>
          <w:szCs w:val="24"/>
        </w:rPr>
        <w:t xml:space="preserve">eir extensive coverage of biomedical and public health literature relevant to antimicrobial resistance surveillance and clinical microbiology. In addition, reference lists of eligible articles were </w:t>
      </w:r>
      <w:r>
        <w:rPr>
          <w:rFonts w:ascii="Times New Roman" w:eastAsia="Times New Roman" w:hAnsi="Times New Roman" w:cs="Times New Roman"/>
          <w:sz w:val="24"/>
          <w:szCs w:val="24"/>
        </w:rPr>
        <w:lastRenderedPageBreak/>
        <w:t>manually screened to identify further relevant studies. Na</w:t>
      </w:r>
      <w:r>
        <w:rPr>
          <w:rFonts w:ascii="Times New Roman" w:eastAsia="Times New Roman" w:hAnsi="Times New Roman" w:cs="Times New Roman"/>
          <w:sz w:val="24"/>
          <w:szCs w:val="24"/>
        </w:rPr>
        <w:t xml:space="preserve">tional surveillance reports and publicly available documents, particularly those from the Department of Health (DOH) and the Antimicrobial Resistance Surveillance Program (ARSP) coordinated by the Research Institute for Tropical Medicine (RITM), were also </w:t>
      </w:r>
      <w:r>
        <w:rPr>
          <w:rFonts w:ascii="Times New Roman" w:eastAsia="Times New Roman" w:hAnsi="Times New Roman" w:cs="Times New Roman"/>
          <w:sz w:val="24"/>
          <w:szCs w:val="24"/>
        </w:rPr>
        <w:t xml:space="preserve">included as supplementary </w:t>
      </w:r>
      <w:proofErr w:type="gramStart"/>
      <w:r>
        <w:rPr>
          <w:rFonts w:ascii="Times New Roman" w:eastAsia="Times New Roman" w:hAnsi="Times New Roman" w:cs="Times New Roman"/>
          <w:sz w:val="24"/>
          <w:szCs w:val="24"/>
        </w:rPr>
        <w:t>sources .</w:t>
      </w:r>
      <w:proofErr w:type="gramEnd"/>
    </w:p>
    <w:p w14:paraId="2E962BE7" w14:textId="77777777" w:rsidR="007D5FB4" w:rsidRDefault="003D1A1D">
      <w:pPr>
        <w:pStyle w:val="Heading2"/>
        <w:keepNext w:val="0"/>
        <w:keepLines w:val="0"/>
        <w:spacing w:after="80"/>
        <w:jc w:val="both"/>
        <w:rPr>
          <w:rFonts w:ascii="Times New Roman" w:eastAsia="Times New Roman" w:hAnsi="Times New Roman" w:cs="Times New Roman"/>
          <w:b/>
          <w:bCs/>
          <w:sz w:val="24"/>
          <w:szCs w:val="24"/>
        </w:rPr>
      </w:pPr>
      <w:bookmarkStart w:id="8" w:name="_yixllg2o8pds"/>
      <w:bookmarkEnd w:id="8"/>
      <w:r>
        <w:rPr>
          <w:rFonts w:ascii="Times New Roman" w:eastAsia="Times New Roman" w:hAnsi="Times New Roman" w:cs="Times New Roman"/>
          <w:b/>
          <w:bCs/>
          <w:sz w:val="24"/>
          <w:szCs w:val="24"/>
        </w:rPr>
        <w:t>Search Strategy</w:t>
      </w:r>
    </w:p>
    <w:p w14:paraId="521F0D8A" w14:textId="77777777" w:rsidR="007D5FB4" w:rsidRDefault="003D1A1D">
      <w:pPr>
        <w:pStyle w:val="normal1"/>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structured search strategy combining controlled vocabulary and free-text keywords was developed to capture relevant studies. Boolean operators (AND, OR) were used to refine search queries. Key terms </w:t>
      </w:r>
      <w:r>
        <w:rPr>
          <w:rFonts w:ascii="Times New Roman" w:eastAsia="Times New Roman" w:hAnsi="Times New Roman" w:cs="Times New Roman"/>
          <w:sz w:val="24"/>
          <w:szCs w:val="24"/>
        </w:rPr>
        <w:t>included “antimicrobial resistance,” “antibiotic resistance,” “drug-resistant bacteria,” “multidrug-resistant,” and “Philippines.” The search strategy was adapted for each database to maximize retrieval efficiency. Searches were limited to studies publishe</w:t>
      </w:r>
      <w:r>
        <w:rPr>
          <w:rFonts w:ascii="Times New Roman" w:eastAsia="Times New Roman" w:hAnsi="Times New Roman" w:cs="Times New Roman"/>
          <w:sz w:val="24"/>
          <w:szCs w:val="24"/>
        </w:rPr>
        <w:t xml:space="preserve">d in English from January 2008 to April 2026 to capture contemporary AMR </w:t>
      </w:r>
      <w:proofErr w:type="gramStart"/>
      <w:r>
        <w:rPr>
          <w:rFonts w:ascii="Times New Roman" w:eastAsia="Times New Roman" w:hAnsi="Times New Roman" w:cs="Times New Roman"/>
          <w:sz w:val="24"/>
          <w:szCs w:val="24"/>
        </w:rPr>
        <w:t>trends .</w:t>
      </w:r>
      <w:proofErr w:type="gramEnd"/>
    </w:p>
    <w:p w14:paraId="0C57520F" w14:textId="77777777" w:rsidR="007D5FB4" w:rsidRDefault="007D5FB4">
      <w:pPr>
        <w:pStyle w:val="Heading2"/>
        <w:keepNext w:val="0"/>
        <w:keepLines w:val="0"/>
        <w:spacing w:after="80"/>
        <w:jc w:val="both"/>
        <w:rPr>
          <w:rFonts w:ascii="Times New Roman" w:eastAsia="Times New Roman" w:hAnsi="Times New Roman" w:cs="Times New Roman"/>
          <w:b/>
          <w:bCs/>
          <w:sz w:val="24"/>
          <w:szCs w:val="24"/>
        </w:rPr>
      </w:pPr>
      <w:bookmarkStart w:id="9" w:name="_9axurwngcvpt"/>
      <w:bookmarkEnd w:id="9"/>
    </w:p>
    <w:p w14:paraId="0CF3C4A5" w14:textId="77777777" w:rsidR="007D5FB4" w:rsidRDefault="003D1A1D">
      <w:pPr>
        <w:pStyle w:val="Heading2"/>
        <w:keepNext w:val="0"/>
        <w:keepLines w:val="0"/>
        <w:spacing w:after="80"/>
        <w:jc w:val="both"/>
        <w:rPr>
          <w:rFonts w:ascii="Times New Roman" w:eastAsia="Times New Roman" w:hAnsi="Times New Roman" w:cs="Times New Roman"/>
          <w:b/>
          <w:bCs/>
          <w:sz w:val="24"/>
          <w:szCs w:val="24"/>
        </w:rPr>
      </w:pPr>
      <w:bookmarkStart w:id="10" w:name="_72k9fjual4ly"/>
      <w:bookmarkEnd w:id="10"/>
      <w:r>
        <w:rPr>
          <w:rFonts w:ascii="Times New Roman" w:eastAsia="Times New Roman" w:hAnsi="Times New Roman" w:cs="Times New Roman"/>
          <w:b/>
          <w:bCs/>
          <w:sz w:val="24"/>
          <w:szCs w:val="24"/>
        </w:rPr>
        <w:t>Eligibility Criteria</w:t>
      </w:r>
    </w:p>
    <w:p w14:paraId="7ECBB472" w14:textId="77777777" w:rsidR="007D5FB4" w:rsidRDefault="003D1A1D">
      <w:pPr>
        <w:pStyle w:val="normal1"/>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Studies were selected based on predefined inclusion and exclusion criteria. Eligible studies included original research articles reporting antimicrobial</w:t>
      </w:r>
      <w:r>
        <w:rPr>
          <w:rFonts w:ascii="Times New Roman" w:eastAsia="Times New Roman" w:hAnsi="Times New Roman" w:cs="Times New Roman"/>
          <w:sz w:val="24"/>
          <w:szCs w:val="24"/>
        </w:rPr>
        <w:t xml:space="preserve"> resistance data derived from human clinical isolates collected in the Philippines. Observational study designs, including cross-sectional studies, retrospective laboratory analyses, hospital-based surveillance studies, and national surveillance reports, w</w:t>
      </w:r>
      <w:r>
        <w:rPr>
          <w:rFonts w:ascii="Times New Roman" w:eastAsia="Times New Roman" w:hAnsi="Times New Roman" w:cs="Times New Roman"/>
          <w:sz w:val="24"/>
          <w:szCs w:val="24"/>
        </w:rPr>
        <w:t>ere included. Studies were required to report antimicrobial susceptibility testing (AST) results or resistance patterns for bacterial pathogens isolated from clinical specimens.</w:t>
      </w:r>
    </w:p>
    <w:p w14:paraId="67D676B1" w14:textId="77777777" w:rsidR="007D5FB4" w:rsidRDefault="003D1A1D">
      <w:pPr>
        <w:pStyle w:val="normal1"/>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Studies were excluded if they were review articles, commentaries, editorials, </w:t>
      </w:r>
      <w:r>
        <w:rPr>
          <w:rFonts w:ascii="Times New Roman" w:eastAsia="Times New Roman" w:hAnsi="Times New Roman" w:cs="Times New Roman"/>
          <w:sz w:val="24"/>
          <w:szCs w:val="24"/>
        </w:rPr>
        <w:t>conference abstracts without primary data, or case reports lacking quantitative AMR data. Studies conducted outside the Philippines or those focusing on environmental, animal, or food isolates were also excluded. Additionally, studies without clearly descr</w:t>
      </w:r>
      <w:r>
        <w:rPr>
          <w:rFonts w:ascii="Times New Roman" w:eastAsia="Times New Roman" w:hAnsi="Times New Roman" w:cs="Times New Roman"/>
          <w:sz w:val="24"/>
          <w:szCs w:val="24"/>
        </w:rPr>
        <w:t xml:space="preserve">ibed laboratory methodologies or without reported antimicrobial susceptibility outcomes were excluded from the final </w:t>
      </w:r>
      <w:proofErr w:type="gramStart"/>
      <w:r>
        <w:rPr>
          <w:rFonts w:ascii="Times New Roman" w:eastAsia="Times New Roman" w:hAnsi="Times New Roman" w:cs="Times New Roman"/>
          <w:sz w:val="24"/>
          <w:szCs w:val="24"/>
        </w:rPr>
        <w:t>synthesis .</w:t>
      </w:r>
      <w:proofErr w:type="gramEnd"/>
    </w:p>
    <w:p w14:paraId="2994591E" w14:textId="77777777" w:rsidR="007D5FB4" w:rsidRDefault="003D1A1D">
      <w:pPr>
        <w:pStyle w:val="Heading2"/>
        <w:keepNext w:val="0"/>
        <w:keepLines w:val="0"/>
        <w:spacing w:after="80"/>
        <w:jc w:val="both"/>
        <w:rPr>
          <w:rFonts w:ascii="Times New Roman" w:eastAsia="Times New Roman" w:hAnsi="Times New Roman" w:cs="Times New Roman"/>
          <w:b/>
          <w:bCs/>
          <w:sz w:val="24"/>
          <w:szCs w:val="24"/>
        </w:rPr>
      </w:pPr>
      <w:bookmarkStart w:id="11" w:name="_1gadgqviw8zs"/>
      <w:bookmarkEnd w:id="11"/>
      <w:r>
        <w:rPr>
          <w:rFonts w:ascii="Times New Roman" w:eastAsia="Times New Roman" w:hAnsi="Times New Roman" w:cs="Times New Roman"/>
          <w:b/>
          <w:bCs/>
          <w:sz w:val="24"/>
          <w:szCs w:val="24"/>
        </w:rPr>
        <w:t>Study Selection</w:t>
      </w:r>
    </w:p>
    <w:p w14:paraId="3B2B8E31" w14:textId="77777777" w:rsidR="007D5FB4" w:rsidRDefault="003D1A1D">
      <w:pPr>
        <w:pStyle w:val="normal1"/>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records retrieved from database searches were exported into a reference management system, where duplicate </w:t>
      </w:r>
      <w:r>
        <w:rPr>
          <w:rFonts w:ascii="Times New Roman" w:eastAsia="Times New Roman" w:hAnsi="Times New Roman" w:cs="Times New Roman"/>
          <w:sz w:val="24"/>
          <w:szCs w:val="24"/>
        </w:rPr>
        <w:t>entries were identified and removed. The remaining records underwent a two-stage screening process. First, titles and abstracts were screened for relevance to the research question. Studies that met the inclusion criteria were subsequently subjected to ful</w:t>
      </w:r>
      <w:r>
        <w:rPr>
          <w:rFonts w:ascii="Times New Roman" w:eastAsia="Times New Roman" w:hAnsi="Times New Roman" w:cs="Times New Roman"/>
          <w:sz w:val="24"/>
          <w:szCs w:val="24"/>
        </w:rPr>
        <w:t>l-text review. During this stage, each article was assessed against predefined eligibility criteria. Any uncertainties regarding study selection were resolved through detailed evaluation of study methodology and reported outcomes.</w:t>
      </w:r>
    </w:p>
    <w:p w14:paraId="10FAD3C8" w14:textId="77777777" w:rsidR="007D5FB4" w:rsidRDefault="003D1A1D">
      <w:pPr>
        <w:pStyle w:val="normal1"/>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total of 60 records wer</w:t>
      </w:r>
      <w:r>
        <w:rPr>
          <w:rFonts w:ascii="Times New Roman" w:eastAsia="Times New Roman" w:hAnsi="Times New Roman" w:cs="Times New Roman"/>
          <w:sz w:val="24"/>
          <w:szCs w:val="24"/>
        </w:rPr>
        <w:t xml:space="preserve">e identified through database searches, with an additional 20 records obtained from other sources. After removal of duplicates, 70 records remained and were screened, of which 38 records were excluded. The remaining 32 full-text articles were assessed for </w:t>
      </w:r>
      <w:r>
        <w:rPr>
          <w:rFonts w:ascii="Times New Roman" w:eastAsia="Times New Roman" w:hAnsi="Times New Roman" w:cs="Times New Roman"/>
          <w:sz w:val="24"/>
          <w:szCs w:val="24"/>
        </w:rPr>
        <w:t xml:space="preserve">eligibility, and 18 studies were excluded due to reasons such as non-clinical sample sources, lack of primary </w:t>
      </w:r>
      <w:r>
        <w:rPr>
          <w:rFonts w:ascii="Times New Roman" w:eastAsia="Times New Roman" w:hAnsi="Times New Roman" w:cs="Times New Roman"/>
          <w:sz w:val="24"/>
          <w:szCs w:val="24"/>
        </w:rPr>
        <w:lastRenderedPageBreak/>
        <w:t>AMR data, or insufficient methodological detail. Ultimately, 14 studies met all eligibility criteria and were included in the final synthesis.</w:t>
      </w:r>
    </w:p>
    <w:p w14:paraId="019B5B4E" w14:textId="77777777" w:rsidR="007D5FB4" w:rsidRDefault="003D1A1D">
      <w:pPr>
        <w:pStyle w:val="Heading2"/>
        <w:keepNext w:val="0"/>
        <w:keepLines w:val="0"/>
        <w:spacing w:after="80"/>
        <w:jc w:val="both"/>
        <w:rPr>
          <w:rFonts w:ascii="Times New Roman" w:eastAsia="Times New Roman" w:hAnsi="Times New Roman" w:cs="Times New Roman"/>
          <w:b/>
          <w:bCs/>
          <w:sz w:val="24"/>
          <w:szCs w:val="24"/>
        </w:rPr>
      </w:pPr>
      <w:bookmarkStart w:id="12" w:name="_vdhv3jedt5v1"/>
      <w:bookmarkEnd w:id="12"/>
      <w:r>
        <w:rPr>
          <w:rFonts w:ascii="Times New Roman" w:eastAsia="Times New Roman" w:hAnsi="Times New Roman" w:cs="Times New Roman"/>
          <w:b/>
          <w:bCs/>
          <w:sz w:val="24"/>
          <w:szCs w:val="24"/>
        </w:rPr>
        <w:t>Dat</w:t>
      </w:r>
      <w:r>
        <w:rPr>
          <w:rFonts w:ascii="Times New Roman" w:eastAsia="Times New Roman" w:hAnsi="Times New Roman" w:cs="Times New Roman"/>
          <w:b/>
          <w:bCs/>
          <w:sz w:val="24"/>
          <w:szCs w:val="24"/>
        </w:rPr>
        <w:t>a Extraction</w:t>
      </w:r>
    </w:p>
    <w:p w14:paraId="400A62ED" w14:textId="77777777" w:rsidR="007D5FB4" w:rsidRDefault="003D1A1D">
      <w:pPr>
        <w:pStyle w:val="normal1"/>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from included studies were extracted using a standardized data extraction form to ensure consistency and completeness. Extracted variables included author and year of publication, study location, study design, clinical setting or populati</w:t>
      </w:r>
      <w:r>
        <w:rPr>
          <w:rFonts w:ascii="Times New Roman" w:eastAsia="Times New Roman" w:hAnsi="Times New Roman" w:cs="Times New Roman"/>
          <w:sz w:val="24"/>
          <w:szCs w:val="24"/>
        </w:rPr>
        <w:t xml:space="preserve">on, pathogen investigated, sample size, specimen type, antimicrobial susceptibility testing method, antibiotics tested, and reported resistance patterns. Additional variables such as geographic distribution, surveillance involvement, and key findings were </w:t>
      </w:r>
      <w:r>
        <w:rPr>
          <w:rFonts w:ascii="Times New Roman" w:eastAsia="Times New Roman" w:hAnsi="Times New Roman" w:cs="Times New Roman"/>
          <w:sz w:val="24"/>
          <w:szCs w:val="24"/>
        </w:rPr>
        <w:t xml:space="preserve">also recorded. Extracted data were organized into structured tables to facilitate comparison across </w:t>
      </w:r>
      <w:proofErr w:type="gramStart"/>
      <w:r>
        <w:rPr>
          <w:rFonts w:ascii="Times New Roman" w:eastAsia="Times New Roman" w:hAnsi="Times New Roman" w:cs="Times New Roman"/>
          <w:sz w:val="24"/>
          <w:szCs w:val="24"/>
        </w:rPr>
        <w:t>studies .</w:t>
      </w:r>
      <w:proofErr w:type="gramEnd"/>
    </w:p>
    <w:p w14:paraId="698202A6" w14:textId="77777777" w:rsidR="007D5FB4" w:rsidRDefault="003D1A1D">
      <w:pPr>
        <w:pStyle w:val="Heading2"/>
        <w:keepNext w:val="0"/>
        <w:keepLines w:val="0"/>
        <w:spacing w:after="80"/>
        <w:jc w:val="both"/>
        <w:rPr>
          <w:rFonts w:ascii="Times New Roman" w:eastAsia="Times New Roman" w:hAnsi="Times New Roman" w:cs="Times New Roman"/>
          <w:b/>
          <w:bCs/>
          <w:sz w:val="24"/>
          <w:szCs w:val="24"/>
        </w:rPr>
      </w:pPr>
      <w:bookmarkStart w:id="13" w:name="_1iebg12i377u"/>
      <w:bookmarkEnd w:id="13"/>
      <w:r>
        <w:rPr>
          <w:rFonts w:ascii="Times New Roman" w:eastAsia="Times New Roman" w:hAnsi="Times New Roman" w:cs="Times New Roman"/>
          <w:b/>
          <w:bCs/>
          <w:sz w:val="24"/>
          <w:szCs w:val="24"/>
        </w:rPr>
        <w:t>Quality Assessment</w:t>
      </w:r>
    </w:p>
    <w:p w14:paraId="3BAC9CD5" w14:textId="77777777" w:rsidR="007D5FB4" w:rsidRDefault="003D1A1D">
      <w:pPr>
        <w:pStyle w:val="normal1"/>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methodological quality of included studies was evaluated using an appraisal approach adapted for observational microbiologi</w:t>
      </w:r>
      <w:r>
        <w:rPr>
          <w:rFonts w:ascii="Times New Roman" w:eastAsia="Times New Roman" w:hAnsi="Times New Roman" w:cs="Times New Roman"/>
          <w:sz w:val="24"/>
          <w:szCs w:val="24"/>
        </w:rPr>
        <w:t>cal research. Key domains assessed included study design clarity, sampling strategy, laboratory testing methods, adherence to standardized antimicrobial susceptibility testing guidelines (CLSI or EUCAST), and completeness of resistance reporting. Studies d</w:t>
      </w:r>
      <w:r>
        <w:rPr>
          <w:rFonts w:ascii="Times New Roman" w:eastAsia="Times New Roman" w:hAnsi="Times New Roman" w:cs="Times New Roman"/>
          <w:sz w:val="24"/>
          <w:szCs w:val="24"/>
        </w:rPr>
        <w:t xml:space="preserve">emonstrating robust methodology, adequate sample size, and transparent reporting were considered to be of higher </w:t>
      </w:r>
      <w:proofErr w:type="gramStart"/>
      <w:r>
        <w:rPr>
          <w:rFonts w:ascii="Times New Roman" w:eastAsia="Times New Roman" w:hAnsi="Times New Roman" w:cs="Times New Roman"/>
          <w:sz w:val="24"/>
          <w:szCs w:val="24"/>
        </w:rPr>
        <w:t>quality .</w:t>
      </w:r>
      <w:proofErr w:type="gramEnd"/>
    </w:p>
    <w:p w14:paraId="68095AE3" w14:textId="77777777" w:rsidR="007D5FB4" w:rsidRDefault="003D1A1D">
      <w:pPr>
        <w:pStyle w:val="Heading2"/>
        <w:keepNext w:val="0"/>
        <w:keepLines w:val="0"/>
        <w:spacing w:after="80"/>
        <w:jc w:val="both"/>
        <w:rPr>
          <w:rFonts w:ascii="Times New Roman" w:eastAsia="Times New Roman" w:hAnsi="Times New Roman" w:cs="Times New Roman"/>
          <w:b/>
          <w:bCs/>
          <w:sz w:val="24"/>
          <w:szCs w:val="24"/>
        </w:rPr>
      </w:pPr>
      <w:bookmarkStart w:id="14" w:name="_agdkz0y8xaxk"/>
      <w:bookmarkEnd w:id="14"/>
      <w:r>
        <w:rPr>
          <w:rFonts w:ascii="Times New Roman" w:eastAsia="Times New Roman" w:hAnsi="Times New Roman" w:cs="Times New Roman"/>
          <w:b/>
          <w:bCs/>
          <w:sz w:val="24"/>
          <w:szCs w:val="24"/>
        </w:rPr>
        <w:t>Data Synthesis</w:t>
      </w:r>
    </w:p>
    <w:p w14:paraId="49F0A98E" w14:textId="77777777" w:rsidR="007D5FB4" w:rsidRDefault="003D1A1D">
      <w:pPr>
        <w:pStyle w:val="normal1"/>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Due to heterogeneity in study designs, geographic locations, pathogens, and antimicrobial susceptibility testing metho</w:t>
      </w:r>
      <w:r>
        <w:rPr>
          <w:rFonts w:ascii="Times New Roman" w:eastAsia="Times New Roman" w:hAnsi="Times New Roman" w:cs="Times New Roman"/>
          <w:sz w:val="24"/>
          <w:szCs w:val="24"/>
        </w:rPr>
        <w:t>ds, a quantitative meta-analysis was not feasible. Instead, findings were synthesized using a narrative descriptive approach. Antimicrobial resistance patterns were summarized according to pathogen type, antimicrobial class, clinical setting, and geographi</w:t>
      </w:r>
      <w:r>
        <w:rPr>
          <w:rFonts w:ascii="Times New Roman" w:eastAsia="Times New Roman" w:hAnsi="Times New Roman" w:cs="Times New Roman"/>
          <w:sz w:val="24"/>
          <w:szCs w:val="24"/>
        </w:rPr>
        <w:t>c distribution within the Philippines. The synthesis focused on identifying common resistance trends, emerging pathogens, and variations across healthcare settings. Results were presented using summary tables and descriptive analysis.</w:t>
      </w:r>
    </w:p>
    <w:p w14:paraId="30A5866D" w14:textId="77777777" w:rsidR="007D5FB4" w:rsidRDefault="003D1A1D">
      <w:pPr>
        <w:pStyle w:val="Heading2"/>
        <w:keepNext w:val="0"/>
        <w:keepLines w:val="0"/>
        <w:spacing w:after="80"/>
        <w:jc w:val="both"/>
        <w:rPr>
          <w:rFonts w:ascii="Times New Roman" w:eastAsia="Times New Roman" w:hAnsi="Times New Roman" w:cs="Times New Roman"/>
          <w:b/>
          <w:bCs/>
          <w:sz w:val="24"/>
          <w:szCs w:val="24"/>
        </w:rPr>
      </w:pPr>
      <w:bookmarkStart w:id="15" w:name="_zf1sqkrnk7tn"/>
      <w:bookmarkEnd w:id="15"/>
      <w:r>
        <w:rPr>
          <w:rFonts w:ascii="Times New Roman" w:eastAsia="Times New Roman" w:hAnsi="Times New Roman" w:cs="Times New Roman"/>
          <w:b/>
          <w:bCs/>
          <w:sz w:val="24"/>
          <w:szCs w:val="24"/>
        </w:rPr>
        <w:t>Ethical Consideration</w:t>
      </w:r>
      <w:r>
        <w:rPr>
          <w:rFonts w:ascii="Times New Roman" w:eastAsia="Times New Roman" w:hAnsi="Times New Roman" w:cs="Times New Roman"/>
          <w:b/>
          <w:bCs/>
          <w:sz w:val="24"/>
          <w:szCs w:val="24"/>
        </w:rPr>
        <w:t>s</w:t>
      </w:r>
    </w:p>
    <w:p w14:paraId="5922D545" w14:textId="77777777" w:rsidR="007D5FB4" w:rsidRDefault="003D1A1D">
      <w:pPr>
        <w:pStyle w:val="normal1"/>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utilized publicly available data from previously published studies and surveillance reports and did not involve direct human participants or access to identifiable personal data. As such, formal ethical approval was not required. However, the </w:t>
      </w:r>
      <w:r>
        <w:rPr>
          <w:rFonts w:ascii="Times New Roman" w:eastAsia="Times New Roman" w:hAnsi="Times New Roman" w:cs="Times New Roman"/>
          <w:sz w:val="24"/>
          <w:szCs w:val="24"/>
        </w:rPr>
        <w:t>review was conducted in accordance with ethical standards for research integrity, including accurate reporting, proper citation of sources, and adherence to established systematic review guidelines</w:t>
      </w:r>
    </w:p>
    <w:p w14:paraId="285C9175" w14:textId="77777777" w:rsidR="007D5FB4" w:rsidRDefault="007D5FB4">
      <w:pPr>
        <w:pStyle w:val="normal1"/>
        <w:spacing w:before="240" w:after="240" w:line="240" w:lineRule="auto"/>
        <w:jc w:val="both"/>
        <w:rPr>
          <w:rFonts w:ascii="Times New Roman" w:eastAsia="Times New Roman" w:hAnsi="Times New Roman" w:cs="Times New Roman"/>
          <w:sz w:val="24"/>
          <w:szCs w:val="24"/>
        </w:rPr>
      </w:pPr>
    </w:p>
    <w:p w14:paraId="024503BC" w14:textId="77777777" w:rsidR="007D5FB4" w:rsidRDefault="003D1A1D">
      <w:pPr>
        <w:pStyle w:val="normal1"/>
        <w:spacing w:before="240" w:after="240" w:line="240" w:lineRule="auto"/>
        <w:jc w:val="both"/>
        <w:rPr>
          <w:rFonts w:ascii="Times New Roman" w:eastAsia="Times New Roman" w:hAnsi="Times New Roman" w:cs="Times New Roman"/>
          <w:sz w:val="24"/>
          <w:szCs w:val="24"/>
        </w:rPr>
      </w:pPr>
      <w:r>
        <w:rPr>
          <w:noProof/>
        </w:rPr>
        <w:lastRenderedPageBreak/>
        <w:drawing>
          <wp:inline distT="0" distB="0" distL="0" distR="0" wp14:anchorId="3865FD0E" wp14:editId="3BA9E584">
            <wp:extent cx="5943600" cy="4457700"/>
            <wp:effectExtent l="0" t="0" r="0" b="0"/>
            <wp:docPr id="1"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g"/>
                    <pic:cNvPicPr>
                      <a:picLocks noChangeAspect="1" noChangeArrowheads="1"/>
                    </pic:cNvPicPr>
                  </pic:nvPicPr>
                  <pic:blipFill>
                    <a:blip r:embed="rId6"/>
                    <a:stretch>
                      <a:fillRect/>
                    </a:stretch>
                  </pic:blipFill>
                  <pic:spPr bwMode="auto">
                    <a:xfrm>
                      <a:off x="0" y="0"/>
                      <a:ext cx="5943600" cy="4457700"/>
                    </a:xfrm>
                    <a:prstGeom prst="rect">
                      <a:avLst/>
                    </a:prstGeom>
                    <a:noFill/>
                  </pic:spPr>
                </pic:pic>
              </a:graphicData>
            </a:graphic>
          </wp:inline>
        </w:drawing>
      </w:r>
    </w:p>
    <w:p w14:paraId="2CACE8B0" w14:textId="77777777" w:rsidR="007D5FB4" w:rsidRDefault="003D1A1D">
      <w:pPr>
        <w:pStyle w:val="normal1"/>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Figure 1: PRISMA FLOW 2020</w:t>
      </w:r>
    </w:p>
    <w:p w14:paraId="006773EC" w14:textId="77777777" w:rsidR="007D5FB4" w:rsidRDefault="003D1A1D">
      <w:pPr>
        <w:pStyle w:val="normal1"/>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total of 60 records were i</w:t>
      </w:r>
      <w:r>
        <w:rPr>
          <w:rFonts w:ascii="Times New Roman" w:eastAsia="Times New Roman" w:hAnsi="Times New Roman" w:cs="Times New Roman"/>
          <w:sz w:val="24"/>
          <w:szCs w:val="24"/>
        </w:rPr>
        <w:t>dentified through database searches, with an additional 20 records obtained from other sources, yielding 80 initial records. After removal of duplicate entries, 70 unique records remained and were subjected to title and abstract screening. During this scre</w:t>
      </w:r>
      <w:r>
        <w:rPr>
          <w:rFonts w:ascii="Times New Roman" w:eastAsia="Times New Roman" w:hAnsi="Times New Roman" w:cs="Times New Roman"/>
          <w:sz w:val="24"/>
          <w:szCs w:val="24"/>
        </w:rPr>
        <w:t>ening stage, 38 records were excluded for not meeting the inclusion criteria. The remaining 32 full-text articles were assessed for eligibility, of which 18 were excluded due to reasons such as inclusion of non-clinical samples, lack of primary antimicrobi</w:t>
      </w:r>
      <w:r>
        <w:rPr>
          <w:rFonts w:ascii="Times New Roman" w:eastAsia="Times New Roman" w:hAnsi="Times New Roman" w:cs="Times New Roman"/>
          <w:sz w:val="24"/>
          <w:szCs w:val="24"/>
        </w:rPr>
        <w:t>al resistance data, studies conducted outside the Philippines, or insufficient methodological detail. Ultimately, 14 studies met all eligibility criteria and were included in the final synthesis.</w:t>
      </w:r>
    </w:p>
    <w:p w14:paraId="1BD6CFE5" w14:textId="77777777" w:rsidR="007D5FB4" w:rsidRDefault="007D5FB4">
      <w:pPr>
        <w:pStyle w:val="normal1"/>
        <w:spacing w:before="240" w:after="240" w:line="240" w:lineRule="auto"/>
        <w:jc w:val="both"/>
        <w:rPr>
          <w:rFonts w:ascii="Times New Roman" w:eastAsia="Times New Roman" w:hAnsi="Times New Roman" w:cs="Times New Roman"/>
          <w:b/>
          <w:bCs/>
          <w:sz w:val="24"/>
          <w:szCs w:val="24"/>
        </w:rPr>
      </w:pPr>
    </w:p>
    <w:p w14:paraId="1AF24FA6" w14:textId="77777777" w:rsidR="007D5FB4" w:rsidRDefault="003D1A1D">
      <w:pPr>
        <w:pStyle w:val="normal1"/>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RESULTS</w:t>
      </w:r>
    </w:p>
    <w:p w14:paraId="5CE651CB" w14:textId="77777777" w:rsidR="007D5FB4" w:rsidRDefault="003D1A1D">
      <w:pPr>
        <w:pStyle w:val="Heading1"/>
        <w:keepNext w:val="0"/>
        <w:keepLines w:val="0"/>
        <w:spacing w:before="240" w:after="240"/>
        <w:jc w:val="both"/>
        <w:rPr>
          <w:rFonts w:ascii="Times New Roman" w:eastAsia="Times New Roman" w:hAnsi="Times New Roman" w:cs="Times New Roman"/>
          <w:sz w:val="24"/>
          <w:szCs w:val="24"/>
        </w:rPr>
      </w:pPr>
      <w:bookmarkStart w:id="16" w:name="_umcoie1yfkwj"/>
      <w:bookmarkEnd w:id="16"/>
      <w:r>
        <w:rPr>
          <w:rFonts w:ascii="Times New Roman" w:eastAsia="Times New Roman" w:hAnsi="Times New Roman" w:cs="Times New Roman"/>
          <w:sz w:val="24"/>
          <w:szCs w:val="24"/>
        </w:rPr>
        <w:t>Following application of the predefined eligibility</w:t>
      </w:r>
      <w:r>
        <w:rPr>
          <w:rFonts w:ascii="Times New Roman" w:eastAsia="Times New Roman" w:hAnsi="Times New Roman" w:cs="Times New Roman"/>
          <w:sz w:val="24"/>
          <w:szCs w:val="24"/>
        </w:rPr>
        <w:t xml:space="preserve"> criteria, a total of 14 studies reporting antimicrobial resistance (AMR) data from human clinical isolates in the Philippines were included in the final synthesis. These comprised national surveillance reports, hospital-based observational studies, and mo</w:t>
      </w:r>
      <w:r>
        <w:rPr>
          <w:rFonts w:ascii="Times New Roman" w:eastAsia="Times New Roman" w:hAnsi="Times New Roman" w:cs="Times New Roman"/>
          <w:sz w:val="24"/>
          <w:szCs w:val="24"/>
        </w:rPr>
        <w:t>lecular epidemiological investigations conducted across multiple healthcare settings (</w:t>
      </w:r>
      <w:proofErr w:type="spellStart"/>
      <w:r>
        <w:rPr>
          <w:rFonts w:ascii="Times New Roman" w:eastAsia="Times New Roman" w:hAnsi="Times New Roman" w:cs="Times New Roman"/>
          <w:sz w:val="24"/>
          <w:szCs w:val="24"/>
        </w:rPr>
        <w:t>Argimón</w:t>
      </w:r>
      <w:proofErr w:type="spellEnd"/>
      <w:r>
        <w:rPr>
          <w:rFonts w:ascii="Times New Roman" w:eastAsia="Times New Roman" w:hAnsi="Times New Roman" w:cs="Times New Roman"/>
          <w:sz w:val="24"/>
          <w:szCs w:val="24"/>
        </w:rPr>
        <w:t xml:space="preserve"> et al., 2019; </w:t>
      </w:r>
      <w:proofErr w:type="spellStart"/>
      <w:r>
        <w:rPr>
          <w:rFonts w:ascii="Times New Roman" w:eastAsia="Times New Roman" w:hAnsi="Times New Roman" w:cs="Times New Roman"/>
          <w:sz w:val="24"/>
          <w:szCs w:val="24"/>
        </w:rPr>
        <w:t>Bacabac</w:t>
      </w:r>
      <w:proofErr w:type="spellEnd"/>
      <w:r>
        <w:rPr>
          <w:rFonts w:ascii="Times New Roman" w:eastAsia="Times New Roman" w:hAnsi="Times New Roman" w:cs="Times New Roman"/>
          <w:sz w:val="24"/>
          <w:szCs w:val="24"/>
        </w:rPr>
        <w:t xml:space="preserve"> et al., 2025). Surveillance-based studies from national </w:t>
      </w:r>
      <w:r>
        <w:rPr>
          <w:rFonts w:ascii="Times New Roman" w:eastAsia="Times New Roman" w:hAnsi="Times New Roman" w:cs="Times New Roman"/>
          <w:sz w:val="24"/>
          <w:szCs w:val="24"/>
        </w:rPr>
        <w:lastRenderedPageBreak/>
        <w:t>programs, including those coordinated by the Research Institute for Tropical Medicin</w:t>
      </w:r>
      <w:r>
        <w:rPr>
          <w:rFonts w:ascii="Times New Roman" w:eastAsia="Times New Roman" w:hAnsi="Times New Roman" w:cs="Times New Roman"/>
          <w:sz w:val="24"/>
          <w:szCs w:val="24"/>
        </w:rPr>
        <w:t>e (RITM), were retained as they provided standardized clinical AMR data across sentinel hospitals.</w:t>
      </w:r>
    </w:p>
    <w:p w14:paraId="0ADCC552" w14:textId="77777777" w:rsidR="007D5FB4" w:rsidRDefault="003D1A1D">
      <w:pPr>
        <w:pStyle w:val="Heading1"/>
        <w:keepNext w:val="0"/>
        <w:keepLines w:val="0"/>
        <w:spacing w:before="240" w:after="240"/>
        <w:jc w:val="both"/>
        <w:rPr>
          <w:rFonts w:ascii="Times New Roman" w:eastAsia="Times New Roman" w:hAnsi="Times New Roman" w:cs="Times New Roman"/>
          <w:sz w:val="24"/>
          <w:szCs w:val="24"/>
        </w:rPr>
      </w:pPr>
      <w:bookmarkStart w:id="17" w:name="_umcoie1yfkwj_Copy_1"/>
      <w:bookmarkEnd w:id="17"/>
      <w:r>
        <w:rPr>
          <w:rFonts w:ascii="Times New Roman" w:eastAsia="Times New Roman" w:hAnsi="Times New Roman" w:cs="Times New Roman"/>
          <w:sz w:val="24"/>
          <w:szCs w:val="24"/>
        </w:rPr>
        <w:t xml:space="preserve">Across the included studies, Gram-negative pathogens were consistently identified as the primary contributors to antimicrobial resistance, particularly </w:t>
      </w:r>
      <w:r>
        <w:rPr>
          <w:rFonts w:ascii="Times New Roman" w:eastAsia="Times New Roman" w:hAnsi="Times New Roman" w:cs="Times New Roman"/>
          <w:i/>
          <w:iCs/>
          <w:sz w:val="24"/>
          <w:szCs w:val="24"/>
        </w:rPr>
        <w:t>Esche</w:t>
      </w:r>
      <w:r>
        <w:rPr>
          <w:rFonts w:ascii="Times New Roman" w:eastAsia="Times New Roman" w:hAnsi="Times New Roman" w:cs="Times New Roman"/>
          <w:i/>
          <w:iCs/>
          <w:sz w:val="24"/>
          <w:szCs w:val="24"/>
        </w:rPr>
        <w:t>richia coli</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Klebsiella pneumoniae</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Acinetobacter </w:t>
      </w:r>
      <w:proofErr w:type="spellStart"/>
      <w:r>
        <w:rPr>
          <w:rFonts w:ascii="Times New Roman" w:eastAsia="Times New Roman" w:hAnsi="Times New Roman" w:cs="Times New Roman"/>
          <w:i/>
          <w:iCs/>
          <w:sz w:val="24"/>
          <w:szCs w:val="24"/>
        </w:rPr>
        <w:t>baumannii</w:t>
      </w:r>
      <w:proofErr w:type="spellEnd"/>
      <w:r>
        <w:rPr>
          <w:rFonts w:ascii="Times New Roman" w:eastAsia="Times New Roman" w:hAnsi="Times New Roman" w:cs="Times New Roman"/>
          <w:sz w:val="24"/>
          <w:szCs w:val="24"/>
        </w:rPr>
        <w:t xml:space="preserve">, and </w:t>
      </w:r>
      <w:r>
        <w:rPr>
          <w:rFonts w:ascii="Times New Roman" w:eastAsia="Times New Roman" w:hAnsi="Times New Roman" w:cs="Times New Roman"/>
          <w:i/>
          <w:iCs/>
          <w:sz w:val="24"/>
          <w:szCs w:val="24"/>
        </w:rPr>
        <w:t>Pseudomonas aeruginosa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Argimón</w:t>
      </w:r>
      <w:proofErr w:type="spellEnd"/>
      <w:r>
        <w:rPr>
          <w:rFonts w:ascii="Times New Roman" w:eastAsia="Times New Roman" w:hAnsi="Times New Roman" w:cs="Times New Roman"/>
          <w:sz w:val="24"/>
          <w:szCs w:val="24"/>
        </w:rPr>
        <w:t xml:space="preserve"> et al., 2019; </w:t>
      </w:r>
      <w:proofErr w:type="spellStart"/>
      <w:r>
        <w:rPr>
          <w:rFonts w:ascii="Times New Roman" w:eastAsia="Times New Roman" w:hAnsi="Times New Roman" w:cs="Times New Roman"/>
          <w:sz w:val="24"/>
          <w:szCs w:val="24"/>
        </w:rPr>
        <w:t>Argimón</w:t>
      </w:r>
      <w:proofErr w:type="spellEnd"/>
      <w:r>
        <w:rPr>
          <w:rFonts w:ascii="Times New Roman" w:eastAsia="Times New Roman" w:hAnsi="Times New Roman" w:cs="Times New Roman"/>
          <w:sz w:val="24"/>
          <w:szCs w:val="24"/>
        </w:rPr>
        <w:t xml:space="preserve"> et al., 2020). Resistance to critical antibiotics, including carbapenems and extended-spectrum cephalosporins, was frequently reported. Carbapenem resistance was estimated at approximately 5% in </w:t>
      </w:r>
      <w:r>
        <w:rPr>
          <w:rFonts w:ascii="Times New Roman" w:eastAsia="Times New Roman" w:hAnsi="Times New Roman" w:cs="Times New Roman"/>
          <w:i/>
          <w:iCs/>
          <w:sz w:val="24"/>
          <w:szCs w:val="24"/>
        </w:rPr>
        <w:t>E. coli</w:t>
      </w:r>
      <w:r>
        <w:rPr>
          <w:rFonts w:ascii="Times New Roman" w:eastAsia="Times New Roman" w:hAnsi="Times New Roman" w:cs="Times New Roman"/>
          <w:sz w:val="24"/>
          <w:szCs w:val="24"/>
        </w:rPr>
        <w:t xml:space="preserve"> and 11% in </w:t>
      </w:r>
      <w:r>
        <w:rPr>
          <w:rFonts w:ascii="Times New Roman" w:eastAsia="Times New Roman" w:hAnsi="Times New Roman" w:cs="Times New Roman"/>
          <w:i/>
          <w:iCs/>
          <w:sz w:val="24"/>
          <w:szCs w:val="24"/>
        </w:rPr>
        <w:t>K. pneumon</w:t>
      </w:r>
      <w:r>
        <w:rPr>
          <w:rFonts w:ascii="Times New Roman" w:eastAsia="Times New Roman" w:hAnsi="Times New Roman" w:cs="Times New Roman"/>
          <w:i/>
          <w:iCs/>
          <w:sz w:val="24"/>
          <w:szCs w:val="24"/>
        </w:rPr>
        <w:t>iae</w:t>
      </w:r>
      <w:r>
        <w:rPr>
          <w:rFonts w:ascii="Times New Roman" w:eastAsia="Times New Roman" w:hAnsi="Times New Roman" w:cs="Times New Roman"/>
          <w:sz w:val="24"/>
          <w:szCs w:val="24"/>
        </w:rPr>
        <w:t xml:space="preserve">, while substantially higher resistance rates, reaching up to 56%, were observed in </w:t>
      </w:r>
      <w:r>
        <w:rPr>
          <w:rFonts w:ascii="Times New Roman" w:eastAsia="Times New Roman" w:hAnsi="Times New Roman" w:cs="Times New Roman"/>
          <w:i/>
          <w:iCs/>
          <w:sz w:val="24"/>
          <w:szCs w:val="24"/>
        </w:rPr>
        <w:t xml:space="preserve">Acinetobacter </w:t>
      </w:r>
      <w:proofErr w:type="spellStart"/>
      <w:r>
        <w:rPr>
          <w:rFonts w:ascii="Times New Roman" w:eastAsia="Times New Roman" w:hAnsi="Times New Roman" w:cs="Times New Roman"/>
          <w:i/>
          <w:iCs/>
          <w:sz w:val="24"/>
          <w:szCs w:val="24"/>
        </w:rPr>
        <w:t>baumannii</w:t>
      </w:r>
      <w:proofErr w:type="spellEnd"/>
      <w:r>
        <w:rPr>
          <w:rFonts w:ascii="Times New Roman" w:eastAsia="Times New Roman" w:hAnsi="Times New Roman" w:cs="Times New Roman"/>
          <w:sz w:val="24"/>
          <w:szCs w:val="24"/>
        </w:rPr>
        <w:t>, indicating its role as a major high-risk pathogen in hospital settings (</w:t>
      </w:r>
      <w:proofErr w:type="spellStart"/>
      <w:r>
        <w:rPr>
          <w:rFonts w:ascii="Times New Roman" w:eastAsia="Times New Roman" w:hAnsi="Times New Roman" w:cs="Times New Roman"/>
          <w:sz w:val="24"/>
          <w:szCs w:val="24"/>
        </w:rPr>
        <w:t>Argimón</w:t>
      </w:r>
      <w:proofErr w:type="spellEnd"/>
      <w:r>
        <w:rPr>
          <w:rFonts w:ascii="Times New Roman" w:eastAsia="Times New Roman" w:hAnsi="Times New Roman" w:cs="Times New Roman"/>
          <w:sz w:val="24"/>
          <w:szCs w:val="24"/>
        </w:rPr>
        <w:t xml:space="preserve"> et al., 2019).</w:t>
      </w:r>
    </w:p>
    <w:p w14:paraId="528A95D5" w14:textId="77777777" w:rsidR="007D5FB4" w:rsidRDefault="003D1A1D">
      <w:pPr>
        <w:pStyle w:val="Heading1"/>
        <w:keepNext w:val="0"/>
        <w:keepLines w:val="0"/>
        <w:spacing w:before="240" w:after="240"/>
        <w:jc w:val="both"/>
        <w:rPr>
          <w:rFonts w:ascii="Times New Roman" w:eastAsia="Times New Roman" w:hAnsi="Times New Roman" w:cs="Times New Roman"/>
          <w:sz w:val="24"/>
          <w:szCs w:val="24"/>
        </w:rPr>
      </w:pPr>
      <w:bookmarkStart w:id="18" w:name="_umcoie1yfkwj_Copy_2"/>
      <w:bookmarkEnd w:id="18"/>
      <w:r>
        <w:rPr>
          <w:rFonts w:ascii="Times New Roman" w:eastAsia="Times New Roman" w:hAnsi="Times New Roman" w:cs="Times New Roman"/>
          <w:sz w:val="24"/>
          <w:szCs w:val="24"/>
        </w:rPr>
        <w:t xml:space="preserve">Among Gram-positive organisms, resistance levels were generally lower but remained clinically relevant. </w:t>
      </w:r>
      <w:r>
        <w:rPr>
          <w:rFonts w:ascii="Times New Roman" w:eastAsia="Times New Roman" w:hAnsi="Times New Roman" w:cs="Times New Roman"/>
          <w:i/>
          <w:iCs/>
          <w:sz w:val="24"/>
          <w:szCs w:val="24"/>
        </w:rPr>
        <w:t>Streptococcus pneumoniae</w:t>
      </w:r>
      <w:r>
        <w:rPr>
          <w:rFonts w:ascii="Times New Roman" w:eastAsia="Times New Roman" w:hAnsi="Times New Roman" w:cs="Times New Roman"/>
          <w:sz w:val="24"/>
          <w:szCs w:val="24"/>
        </w:rPr>
        <w:t xml:space="preserve"> exhibited low resistance to levofloxacin and moderate resistance to penicillin (Sia et al., 2021), while methicillin-resistant </w:t>
      </w:r>
      <w:r>
        <w:rPr>
          <w:rFonts w:ascii="Times New Roman" w:eastAsia="Times New Roman" w:hAnsi="Times New Roman" w:cs="Times New Roman"/>
          <w:i/>
          <w:iCs/>
          <w:sz w:val="24"/>
          <w:szCs w:val="24"/>
        </w:rPr>
        <w:t>Staphylococcus aureus</w:t>
      </w:r>
      <w:r>
        <w:rPr>
          <w:rFonts w:ascii="Times New Roman" w:eastAsia="Times New Roman" w:hAnsi="Times New Roman" w:cs="Times New Roman"/>
          <w:sz w:val="24"/>
          <w:szCs w:val="24"/>
        </w:rPr>
        <w:t xml:space="preserve"> (MRSA) demonstrated an increasing trend, with prevalence rising from 15% to 27% in the post-pandemic period (</w:t>
      </w:r>
      <w:proofErr w:type="spellStart"/>
      <w:r>
        <w:rPr>
          <w:rFonts w:ascii="Times New Roman" w:eastAsia="Times New Roman" w:hAnsi="Times New Roman" w:cs="Times New Roman"/>
          <w:sz w:val="24"/>
          <w:szCs w:val="24"/>
        </w:rPr>
        <w:t>Bacabac</w:t>
      </w:r>
      <w:proofErr w:type="spellEnd"/>
      <w:r>
        <w:rPr>
          <w:rFonts w:ascii="Times New Roman" w:eastAsia="Times New Roman" w:hAnsi="Times New Roman" w:cs="Times New Roman"/>
          <w:sz w:val="24"/>
          <w:szCs w:val="24"/>
        </w:rPr>
        <w:t xml:space="preserve"> et al., 2025).</w:t>
      </w:r>
    </w:p>
    <w:p w14:paraId="29A2EB51" w14:textId="77777777" w:rsidR="007D5FB4" w:rsidRDefault="003D1A1D">
      <w:pPr>
        <w:pStyle w:val="Heading1"/>
        <w:keepNext w:val="0"/>
        <w:keepLines w:val="0"/>
        <w:spacing w:before="240" w:after="240"/>
        <w:jc w:val="both"/>
        <w:rPr>
          <w:rFonts w:ascii="Times New Roman" w:eastAsia="Times New Roman" w:hAnsi="Times New Roman" w:cs="Times New Roman"/>
          <w:sz w:val="24"/>
          <w:szCs w:val="24"/>
        </w:rPr>
      </w:pPr>
      <w:bookmarkStart w:id="19" w:name="_umcoie1yfkwj_Copy_3"/>
      <w:bookmarkEnd w:id="19"/>
      <w:r>
        <w:rPr>
          <w:rFonts w:ascii="Times New Roman" w:eastAsia="Times New Roman" w:hAnsi="Times New Roman" w:cs="Times New Roman"/>
          <w:sz w:val="24"/>
          <w:szCs w:val="24"/>
        </w:rPr>
        <w:t xml:space="preserve">Temporal analysis revealed a progressive increase in antimicrobial resistance, particularly following </w:t>
      </w:r>
      <w:r>
        <w:rPr>
          <w:rFonts w:ascii="Times New Roman" w:eastAsia="Times New Roman" w:hAnsi="Times New Roman" w:cs="Times New Roman"/>
          <w:sz w:val="24"/>
          <w:szCs w:val="24"/>
        </w:rPr>
        <w:t xml:space="preserve">the COVID-19 pandemic. Notable increases were observed in </w:t>
      </w:r>
      <w:r>
        <w:rPr>
          <w:rFonts w:ascii="Times New Roman" w:eastAsia="Times New Roman" w:hAnsi="Times New Roman" w:cs="Times New Roman"/>
          <w:i/>
          <w:iCs/>
          <w:sz w:val="24"/>
          <w:szCs w:val="24"/>
        </w:rPr>
        <w:t>Escherichia coli</w:t>
      </w:r>
      <w:r>
        <w:rPr>
          <w:rFonts w:ascii="Times New Roman" w:eastAsia="Times New Roman" w:hAnsi="Times New Roman" w:cs="Times New Roman"/>
          <w:sz w:val="24"/>
          <w:szCs w:val="24"/>
        </w:rPr>
        <w:t>, with ciprofloxacin resistance rising from 32% to 48% and ceftriaxone resistance from 28% to 43% (</w:t>
      </w:r>
      <w:proofErr w:type="spellStart"/>
      <w:r>
        <w:rPr>
          <w:rFonts w:ascii="Times New Roman" w:eastAsia="Times New Roman" w:hAnsi="Times New Roman" w:cs="Times New Roman"/>
          <w:sz w:val="24"/>
          <w:szCs w:val="24"/>
        </w:rPr>
        <w:t>Bacabac</w:t>
      </w:r>
      <w:proofErr w:type="spellEnd"/>
      <w:r>
        <w:rPr>
          <w:rFonts w:ascii="Times New Roman" w:eastAsia="Times New Roman" w:hAnsi="Times New Roman" w:cs="Times New Roman"/>
          <w:sz w:val="24"/>
          <w:szCs w:val="24"/>
        </w:rPr>
        <w:t xml:space="preserve"> et al., 2025). Regional variation was also reported, with higher resistance</w:t>
      </w:r>
      <w:r>
        <w:rPr>
          <w:rFonts w:ascii="Times New Roman" w:eastAsia="Times New Roman" w:hAnsi="Times New Roman" w:cs="Times New Roman"/>
          <w:sz w:val="24"/>
          <w:szCs w:val="24"/>
        </w:rPr>
        <w:t xml:space="preserve"> levels observed in Mindanao compared to Luzon and Visayas, suggesting disparities in antimicrobial use practices and healthcare infrastructure.</w:t>
      </w:r>
    </w:p>
    <w:p w14:paraId="6A2A3B38" w14:textId="77777777" w:rsidR="007D5FB4" w:rsidRDefault="003D1A1D">
      <w:pPr>
        <w:pStyle w:val="Heading1"/>
        <w:keepNext w:val="0"/>
        <w:keepLines w:val="0"/>
        <w:spacing w:before="240" w:after="240"/>
        <w:jc w:val="both"/>
        <w:rPr>
          <w:rFonts w:ascii="Times New Roman" w:eastAsia="Times New Roman" w:hAnsi="Times New Roman" w:cs="Times New Roman"/>
          <w:sz w:val="24"/>
          <w:szCs w:val="24"/>
        </w:rPr>
      </w:pPr>
      <w:bookmarkStart w:id="20" w:name="_umcoie1yfkwj_Copy_4"/>
      <w:bookmarkEnd w:id="20"/>
      <w:r>
        <w:rPr>
          <w:rFonts w:ascii="Times New Roman" w:eastAsia="Times New Roman" w:hAnsi="Times New Roman" w:cs="Times New Roman"/>
          <w:sz w:val="24"/>
          <w:szCs w:val="24"/>
        </w:rPr>
        <w:t>A strong association between antimicrobial consumption and resistance patterns was identified across multiple s</w:t>
      </w:r>
      <w:r>
        <w:rPr>
          <w:rFonts w:ascii="Times New Roman" w:eastAsia="Times New Roman" w:hAnsi="Times New Roman" w:cs="Times New Roman"/>
          <w:sz w:val="24"/>
          <w:szCs w:val="24"/>
        </w:rPr>
        <w:t xml:space="preserve">tudies. Significant correlations were observed between ciprofloxacin use and </w:t>
      </w:r>
      <w:r>
        <w:rPr>
          <w:rFonts w:ascii="Times New Roman" w:eastAsia="Times New Roman" w:hAnsi="Times New Roman" w:cs="Times New Roman"/>
          <w:i/>
          <w:iCs/>
          <w:sz w:val="24"/>
          <w:szCs w:val="24"/>
        </w:rPr>
        <w:t>E. coli</w:t>
      </w:r>
      <w:r>
        <w:rPr>
          <w:rFonts w:ascii="Times New Roman" w:eastAsia="Times New Roman" w:hAnsi="Times New Roman" w:cs="Times New Roman"/>
          <w:sz w:val="24"/>
          <w:szCs w:val="24"/>
        </w:rPr>
        <w:t xml:space="preserve"> resistance (r = 0.90), ceftazidime use and </w:t>
      </w:r>
      <w:r>
        <w:rPr>
          <w:rFonts w:ascii="Times New Roman" w:eastAsia="Times New Roman" w:hAnsi="Times New Roman" w:cs="Times New Roman"/>
          <w:i/>
          <w:iCs/>
          <w:sz w:val="24"/>
          <w:szCs w:val="24"/>
        </w:rPr>
        <w:t xml:space="preserve">Acinetobacter </w:t>
      </w:r>
      <w:proofErr w:type="spellStart"/>
      <w:r>
        <w:rPr>
          <w:rFonts w:ascii="Times New Roman" w:eastAsia="Times New Roman" w:hAnsi="Times New Roman" w:cs="Times New Roman"/>
          <w:i/>
          <w:iCs/>
          <w:sz w:val="24"/>
          <w:szCs w:val="24"/>
        </w:rPr>
        <w:t>baumannii</w:t>
      </w:r>
      <w:proofErr w:type="spellEnd"/>
      <w:r>
        <w:rPr>
          <w:rFonts w:ascii="Times New Roman" w:eastAsia="Times New Roman" w:hAnsi="Times New Roman" w:cs="Times New Roman"/>
          <w:sz w:val="24"/>
          <w:szCs w:val="24"/>
        </w:rPr>
        <w:t xml:space="preserve"> resistance (r = 0.61), and levofloxacin use and </w:t>
      </w:r>
      <w:r>
        <w:rPr>
          <w:rFonts w:ascii="Times New Roman" w:eastAsia="Times New Roman" w:hAnsi="Times New Roman" w:cs="Times New Roman"/>
          <w:i/>
          <w:iCs/>
          <w:sz w:val="24"/>
          <w:szCs w:val="24"/>
        </w:rPr>
        <w:t>Pseudomonas aeruginosa</w:t>
      </w:r>
      <w:r>
        <w:rPr>
          <w:rFonts w:ascii="Times New Roman" w:eastAsia="Times New Roman" w:hAnsi="Times New Roman" w:cs="Times New Roman"/>
          <w:sz w:val="24"/>
          <w:szCs w:val="24"/>
        </w:rPr>
        <w:t xml:space="preserve"> resistance (r = 0.71) (</w:t>
      </w:r>
      <w:proofErr w:type="spellStart"/>
      <w:r>
        <w:rPr>
          <w:rFonts w:ascii="Times New Roman" w:eastAsia="Times New Roman" w:hAnsi="Times New Roman" w:cs="Times New Roman"/>
          <w:sz w:val="24"/>
          <w:szCs w:val="24"/>
        </w:rPr>
        <w:t>Abeleda</w:t>
      </w:r>
      <w:proofErr w:type="spellEnd"/>
      <w:r>
        <w:rPr>
          <w:rFonts w:ascii="Times New Roman" w:eastAsia="Times New Roman" w:hAnsi="Times New Roman" w:cs="Times New Roman"/>
          <w:sz w:val="24"/>
          <w:szCs w:val="24"/>
        </w:rPr>
        <w:t xml:space="preserve"> et</w:t>
      </w:r>
      <w:r>
        <w:rPr>
          <w:rFonts w:ascii="Times New Roman" w:eastAsia="Times New Roman" w:hAnsi="Times New Roman" w:cs="Times New Roman"/>
          <w:sz w:val="24"/>
          <w:szCs w:val="24"/>
        </w:rPr>
        <w:t xml:space="preserve"> al., 2024). Healthcare facilities with established antimicrobial stewardship programs demonstrated smaller increases in resistance, highlighting the effectiveness of structured interventions in mitigating AMR.</w:t>
      </w:r>
    </w:p>
    <w:p w14:paraId="712EC768" w14:textId="77777777" w:rsidR="007D5FB4" w:rsidRDefault="003D1A1D">
      <w:pPr>
        <w:pStyle w:val="Heading1"/>
        <w:keepNext w:val="0"/>
        <w:keepLines w:val="0"/>
        <w:spacing w:before="240" w:after="240"/>
        <w:jc w:val="both"/>
        <w:rPr>
          <w:rFonts w:ascii="Times New Roman" w:eastAsia="Times New Roman" w:hAnsi="Times New Roman" w:cs="Times New Roman"/>
          <w:sz w:val="24"/>
          <w:szCs w:val="24"/>
        </w:rPr>
      </w:pPr>
      <w:bookmarkStart w:id="21" w:name="_umcoie1yfkwj_Copy_5"/>
      <w:bookmarkEnd w:id="21"/>
      <w:r>
        <w:rPr>
          <w:rFonts w:ascii="Times New Roman" w:eastAsia="Times New Roman" w:hAnsi="Times New Roman" w:cs="Times New Roman"/>
          <w:sz w:val="24"/>
          <w:szCs w:val="24"/>
        </w:rPr>
        <w:t>Molecular epidemiological studies further dem</w:t>
      </w:r>
      <w:r>
        <w:rPr>
          <w:rFonts w:ascii="Times New Roman" w:eastAsia="Times New Roman" w:hAnsi="Times New Roman" w:cs="Times New Roman"/>
          <w:sz w:val="24"/>
          <w:szCs w:val="24"/>
        </w:rPr>
        <w:t xml:space="preserve">onstrated that antimicrobial resistance in the Philippines is driven by both clonal dissemination and horizontal gene transfer mechanisms. Key resistance determinants identified included </w:t>
      </w:r>
      <w:proofErr w:type="spellStart"/>
      <w:r>
        <w:rPr>
          <w:rFonts w:ascii="Times New Roman" w:eastAsia="Times New Roman" w:hAnsi="Times New Roman" w:cs="Times New Roman"/>
          <w:sz w:val="24"/>
          <w:szCs w:val="24"/>
        </w:rPr>
        <w:t>carbapenemase</w:t>
      </w:r>
      <w:proofErr w:type="spellEnd"/>
      <w:r>
        <w:rPr>
          <w:rFonts w:ascii="Times New Roman" w:eastAsia="Times New Roman" w:hAnsi="Times New Roman" w:cs="Times New Roman"/>
          <w:sz w:val="24"/>
          <w:szCs w:val="24"/>
        </w:rPr>
        <w:t xml:space="preserve"> genes such as blaNDM-1, blaNDM-7, blaOXA-181, and blaOX</w:t>
      </w:r>
      <w:r>
        <w:rPr>
          <w:rFonts w:ascii="Times New Roman" w:eastAsia="Times New Roman" w:hAnsi="Times New Roman" w:cs="Times New Roman"/>
          <w:sz w:val="24"/>
          <w:szCs w:val="24"/>
        </w:rPr>
        <w:t>A-23 (</w:t>
      </w:r>
      <w:proofErr w:type="spellStart"/>
      <w:r>
        <w:rPr>
          <w:rFonts w:ascii="Times New Roman" w:eastAsia="Times New Roman" w:hAnsi="Times New Roman" w:cs="Times New Roman"/>
          <w:sz w:val="24"/>
          <w:szCs w:val="24"/>
        </w:rPr>
        <w:t>Argimón</w:t>
      </w:r>
      <w:proofErr w:type="spellEnd"/>
      <w:r>
        <w:rPr>
          <w:rFonts w:ascii="Times New Roman" w:eastAsia="Times New Roman" w:hAnsi="Times New Roman" w:cs="Times New Roman"/>
          <w:sz w:val="24"/>
          <w:szCs w:val="24"/>
        </w:rPr>
        <w:t xml:space="preserve"> et al., 2019). Genomic analyses revealed high concordance between phenotypic and genotypic resistance and identified the widespread distribution of high-risk clones of </w:t>
      </w:r>
      <w:r>
        <w:rPr>
          <w:rFonts w:ascii="Times New Roman" w:eastAsia="Times New Roman" w:hAnsi="Times New Roman" w:cs="Times New Roman"/>
          <w:i/>
          <w:iCs/>
          <w:sz w:val="24"/>
          <w:szCs w:val="24"/>
        </w:rPr>
        <w:t xml:space="preserve">Acinetobacter </w:t>
      </w:r>
      <w:proofErr w:type="spellStart"/>
      <w:r>
        <w:rPr>
          <w:rFonts w:ascii="Times New Roman" w:eastAsia="Times New Roman" w:hAnsi="Times New Roman" w:cs="Times New Roman"/>
          <w:i/>
          <w:iCs/>
          <w:sz w:val="24"/>
          <w:szCs w:val="24"/>
        </w:rPr>
        <w:t>baumannii</w:t>
      </w:r>
      <w:proofErr w:type="spellEnd"/>
      <w:r>
        <w:rPr>
          <w:rFonts w:ascii="Times New Roman" w:eastAsia="Times New Roman" w:hAnsi="Times New Roman" w:cs="Times New Roman"/>
          <w:sz w:val="24"/>
          <w:szCs w:val="24"/>
        </w:rPr>
        <w:t xml:space="preserve">, including sequence types ST195 and ST208, across </w:t>
      </w:r>
      <w:r>
        <w:rPr>
          <w:rFonts w:ascii="Times New Roman" w:eastAsia="Times New Roman" w:hAnsi="Times New Roman" w:cs="Times New Roman"/>
          <w:sz w:val="24"/>
          <w:szCs w:val="24"/>
        </w:rPr>
        <w:t>healthcare facilities (</w:t>
      </w:r>
      <w:proofErr w:type="spellStart"/>
      <w:r>
        <w:rPr>
          <w:rFonts w:ascii="Times New Roman" w:eastAsia="Times New Roman" w:hAnsi="Times New Roman" w:cs="Times New Roman"/>
          <w:sz w:val="24"/>
          <w:szCs w:val="24"/>
        </w:rPr>
        <w:t>Chilam</w:t>
      </w:r>
      <w:proofErr w:type="spellEnd"/>
      <w:r>
        <w:rPr>
          <w:rFonts w:ascii="Times New Roman" w:eastAsia="Times New Roman" w:hAnsi="Times New Roman" w:cs="Times New Roman"/>
          <w:sz w:val="24"/>
          <w:szCs w:val="24"/>
        </w:rPr>
        <w:t xml:space="preserve"> et al., 2021). These findings highlight the role of both local transmission and inter-hospital spread in driving AMR.</w:t>
      </w:r>
    </w:p>
    <w:p w14:paraId="2AA4C87C" w14:textId="77777777" w:rsidR="007D5FB4" w:rsidRDefault="003D1A1D">
      <w:pPr>
        <w:pStyle w:val="Heading1"/>
        <w:keepNext w:val="0"/>
        <w:keepLines w:val="0"/>
        <w:spacing w:before="240" w:after="240"/>
        <w:jc w:val="both"/>
        <w:rPr>
          <w:rFonts w:ascii="Times New Roman" w:eastAsia="Times New Roman" w:hAnsi="Times New Roman" w:cs="Times New Roman"/>
          <w:sz w:val="24"/>
          <w:szCs w:val="24"/>
        </w:rPr>
      </w:pPr>
      <w:bookmarkStart w:id="22" w:name="_98l1mol52nmj"/>
      <w:bookmarkEnd w:id="22"/>
      <w:r>
        <w:rPr>
          <w:rFonts w:ascii="Times New Roman" w:eastAsia="Times New Roman" w:hAnsi="Times New Roman" w:cs="Times New Roman"/>
          <w:sz w:val="24"/>
          <w:szCs w:val="24"/>
        </w:rPr>
        <w:t xml:space="preserve">Clinical outcome data from included studies demonstrated the substantial burden of antimicrobial resistance </w:t>
      </w:r>
      <w:r>
        <w:rPr>
          <w:rFonts w:ascii="Times New Roman" w:eastAsia="Times New Roman" w:hAnsi="Times New Roman" w:cs="Times New Roman"/>
          <w:sz w:val="24"/>
          <w:szCs w:val="24"/>
        </w:rPr>
        <w:t xml:space="preserve">on patient outcomes. Multidrug-resistant </w:t>
      </w:r>
      <w:r>
        <w:rPr>
          <w:rFonts w:ascii="Times New Roman" w:eastAsia="Times New Roman" w:hAnsi="Times New Roman" w:cs="Times New Roman"/>
          <w:i/>
          <w:iCs/>
          <w:sz w:val="24"/>
          <w:szCs w:val="24"/>
        </w:rPr>
        <w:t>Acinetobacter</w:t>
      </w:r>
      <w:r>
        <w:rPr>
          <w:rFonts w:ascii="Times New Roman" w:eastAsia="Times New Roman" w:hAnsi="Times New Roman" w:cs="Times New Roman"/>
          <w:sz w:val="24"/>
          <w:szCs w:val="24"/>
        </w:rPr>
        <w:t xml:space="preserve"> infections were associated with high mortality rates, reaching up to 60% in intensive care unit settings (Chua &amp; </w:t>
      </w:r>
      <w:proofErr w:type="spellStart"/>
      <w:r>
        <w:rPr>
          <w:rFonts w:ascii="Times New Roman" w:eastAsia="Times New Roman" w:hAnsi="Times New Roman" w:cs="Times New Roman"/>
          <w:sz w:val="24"/>
          <w:szCs w:val="24"/>
        </w:rPr>
        <w:t>Alejandria</w:t>
      </w:r>
      <w:proofErr w:type="spellEnd"/>
      <w:r>
        <w:rPr>
          <w:rFonts w:ascii="Times New Roman" w:eastAsia="Times New Roman" w:hAnsi="Times New Roman" w:cs="Times New Roman"/>
          <w:sz w:val="24"/>
          <w:szCs w:val="24"/>
        </w:rPr>
        <w:t xml:space="preserve">, 2008). Similarly, treatment of multidrug-resistant Gram-negative infections </w:t>
      </w:r>
      <w:r>
        <w:rPr>
          <w:rFonts w:ascii="Times New Roman" w:eastAsia="Times New Roman" w:hAnsi="Times New Roman" w:cs="Times New Roman"/>
          <w:sz w:val="24"/>
          <w:szCs w:val="24"/>
        </w:rPr>
        <w:t xml:space="preserve">using last-resort antibiotics such as colistin resulted in moderate clinical success (61.2%) but remained associated with high </w:t>
      </w:r>
      <w:r>
        <w:rPr>
          <w:rFonts w:ascii="Times New Roman" w:eastAsia="Times New Roman" w:hAnsi="Times New Roman" w:cs="Times New Roman"/>
          <w:sz w:val="24"/>
          <w:szCs w:val="24"/>
        </w:rPr>
        <w:lastRenderedPageBreak/>
        <w:t xml:space="preserve">mortality (41.6%) and significant adverse effects, including nephrotoxicity (Li &amp; Abad, 2020). Mortality among patients with </w:t>
      </w:r>
      <w:r>
        <w:rPr>
          <w:rFonts w:ascii="Times New Roman" w:eastAsia="Times New Roman" w:hAnsi="Times New Roman" w:cs="Times New Roman"/>
          <w:i/>
          <w:iCs/>
          <w:sz w:val="24"/>
          <w:szCs w:val="24"/>
        </w:rPr>
        <w:t>Acin</w:t>
      </w:r>
      <w:r>
        <w:rPr>
          <w:rFonts w:ascii="Times New Roman" w:eastAsia="Times New Roman" w:hAnsi="Times New Roman" w:cs="Times New Roman"/>
          <w:i/>
          <w:iCs/>
          <w:sz w:val="24"/>
          <w:szCs w:val="24"/>
        </w:rPr>
        <w:t xml:space="preserve">etobacter </w:t>
      </w:r>
      <w:proofErr w:type="spellStart"/>
      <w:r>
        <w:rPr>
          <w:rFonts w:ascii="Times New Roman" w:eastAsia="Times New Roman" w:hAnsi="Times New Roman" w:cs="Times New Roman"/>
          <w:i/>
          <w:iCs/>
          <w:sz w:val="24"/>
          <w:szCs w:val="24"/>
        </w:rPr>
        <w:t>baumannii</w:t>
      </w:r>
      <w:proofErr w:type="spellEnd"/>
      <w:r>
        <w:rPr>
          <w:rFonts w:ascii="Times New Roman" w:eastAsia="Times New Roman" w:hAnsi="Times New Roman" w:cs="Times New Roman"/>
          <w:sz w:val="24"/>
          <w:szCs w:val="24"/>
        </w:rPr>
        <w:t xml:space="preserve"> infections was also strongly associated with comorbidities and invasive procedures, with overall mortality reaching 46% (</w:t>
      </w:r>
      <w:proofErr w:type="spellStart"/>
      <w:r>
        <w:rPr>
          <w:rFonts w:ascii="Times New Roman" w:eastAsia="Times New Roman" w:hAnsi="Times New Roman" w:cs="Times New Roman"/>
          <w:sz w:val="24"/>
          <w:szCs w:val="24"/>
        </w:rPr>
        <w:t>Agoncillo</w:t>
      </w:r>
      <w:proofErr w:type="spellEnd"/>
      <w:r>
        <w:rPr>
          <w:rFonts w:ascii="Times New Roman" w:eastAsia="Times New Roman" w:hAnsi="Times New Roman" w:cs="Times New Roman"/>
          <w:sz w:val="24"/>
          <w:szCs w:val="24"/>
        </w:rPr>
        <w:t xml:space="preserve"> et al., 2020).</w:t>
      </w:r>
    </w:p>
    <w:p w14:paraId="0EABFF83" w14:textId="77777777" w:rsidR="007D5FB4" w:rsidRDefault="007D5FB4">
      <w:pPr>
        <w:pStyle w:val="Heading1"/>
        <w:keepNext w:val="0"/>
        <w:keepLines w:val="0"/>
        <w:spacing w:before="240" w:after="240"/>
        <w:jc w:val="both"/>
        <w:rPr>
          <w:rFonts w:ascii="Times New Roman" w:eastAsia="Times New Roman" w:hAnsi="Times New Roman" w:cs="Times New Roman"/>
          <w:b/>
          <w:bCs/>
          <w:sz w:val="24"/>
          <w:szCs w:val="24"/>
        </w:rPr>
      </w:pPr>
      <w:bookmarkStart w:id="23" w:name="_umcoie1yfkwj_Copy_6"/>
      <w:bookmarkEnd w:id="23"/>
    </w:p>
    <w:p w14:paraId="7775FC7C" w14:textId="77777777" w:rsidR="007D5FB4" w:rsidRDefault="003D1A1D">
      <w:pPr>
        <w:pStyle w:val="Heading1"/>
        <w:keepNext w:val="0"/>
        <w:keepLines w:val="0"/>
        <w:spacing w:before="480"/>
        <w:jc w:val="both"/>
        <w:rPr>
          <w:rFonts w:ascii="Times New Roman" w:eastAsia="Times New Roman" w:hAnsi="Times New Roman" w:cs="Times New Roman"/>
          <w:sz w:val="24"/>
          <w:szCs w:val="24"/>
        </w:rPr>
      </w:pPr>
      <w:bookmarkStart w:id="24" w:name="_kjjazoefyls8"/>
      <w:bookmarkEnd w:id="24"/>
      <w:r>
        <w:rPr>
          <w:rFonts w:ascii="Times New Roman" w:eastAsia="Times New Roman" w:hAnsi="Times New Roman" w:cs="Times New Roman"/>
          <w:b/>
          <w:bCs/>
          <w:sz w:val="24"/>
          <w:szCs w:val="24"/>
        </w:rPr>
        <w:t>DISCUSSION</w:t>
      </w:r>
      <w:r>
        <w:rPr>
          <w:rFonts w:ascii="Times New Roman" w:eastAsia="Times New Roman" w:hAnsi="Times New Roman" w:cs="Times New Roman"/>
          <w:b/>
          <w:bCs/>
          <w:sz w:val="24"/>
          <w:szCs w:val="24"/>
        </w:rPr>
        <w:br/>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This systematic review synthesizing 14 eligible studies provides a focused an</w:t>
      </w:r>
      <w:r>
        <w:rPr>
          <w:rFonts w:ascii="Times New Roman" w:eastAsia="Times New Roman" w:hAnsi="Times New Roman" w:cs="Times New Roman"/>
          <w:sz w:val="24"/>
          <w:szCs w:val="24"/>
        </w:rPr>
        <w:t>d methodologically robust assessment of antimicrobial resistance (AMR) in the Philippines. Although the number of included studies is relatively modest, this reflects the application of strict inclusion criteria restricting the analysis to studies reportin</w:t>
      </w:r>
      <w:r>
        <w:rPr>
          <w:rFonts w:ascii="Times New Roman" w:eastAsia="Times New Roman" w:hAnsi="Times New Roman" w:cs="Times New Roman"/>
          <w:sz w:val="24"/>
          <w:szCs w:val="24"/>
        </w:rPr>
        <w:t>g AMR data from human clinical isolates. This approach enhances the validity and comparability of findings by ensuring that only clinically relevant evidence is considered. The limited number of eligible studies also highlights gaps in standardized and nat</w:t>
      </w:r>
      <w:r>
        <w:rPr>
          <w:rFonts w:ascii="Times New Roman" w:eastAsia="Times New Roman" w:hAnsi="Times New Roman" w:cs="Times New Roman"/>
          <w:sz w:val="24"/>
          <w:szCs w:val="24"/>
        </w:rPr>
        <w:t>ionwide clinical AMR research in the Philippines, particularly the scarcity of multi-center and longitudinal investigations (</w:t>
      </w:r>
      <w:proofErr w:type="spellStart"/>
      <w:r>
        <w:rPr>
          <w:rFonts w:ascii="Times New Roman" w:eastAsia="Times New Roman" w:hAnsi="Times New Roman" w:cs="Times New Roman"/>
          <w:sz w:val="24"/>
          <w:szCs w:val="24"/>
        </w:rPr>
        <w:t>Argimón</w:t>
      </w:r>
      <w:proofErr w:type="spellEnd"/>
      <w:r>
        <w:rPr>
          <w:rFonts w:ascii="Times New Roman" w:eastAsia="Times New Roman" w:hAnsi="Times New Roman" w:cs="Times New Roman"/>
          <w:sz w:val="24"/>
          <w:szCs w:val="24"/>
        </w:rPr>
        <w:t xml:space="preserve"> et al., 2019; </w:t>
      </w:r>
      <w:proofErr w:type="spellStart"/>
      <w:r>
        <w:rPr>
          <w:rFonts w:ascii="Times New Roman" w:eastAsia="Times New Roman" w:hAnsi="Times New Roman" w:cs="Times New Roman"/>
          <w:sz w:val="24"/>
          <w:szCs w:val="24"/>
        </w:rPr>
        <w:t>Bacabac</w:t>
      </w:r>
      <w:proofErr w:type="spellEnd"/>
      <w:r>
        <w:rPr>
          <w:rFonts w:ascii="Times New Roman" w:eastAsia="Times New Roman" w:hAnsi="Times New Roman" w:cs="Times New Roman"/>
          <w:sz w:val="24"/>
          <w:szCs w:val="24"/>
        </w:rPr>
        <w:t xml:space="preserve"> et al., 2025).</w:t>
      </w:r>
    </w:p>
    <w:p w14:paraId="04640E39" w14:textId="77777777" w:rsidR="007D5FB4" w:rsidRDefault="003D1A1D">
      <w:pPr>
        <w:pStyle w:val="Heading1"/>
        <w:keepNext w:val="0"/>
        <w:keepLines w:val="0"/>
        <w:spacing w:before="240" w:after="240"/>
        <w:jc w:val="both"/>
        <w:rPr>
          <w:rFonts w:ascii="Times New Roman" w:eastAsia="Times New Roman" w:hAnsi="Times New Roman" w:cs="Times New Roman"/>
          <w:sz w:val="24"/>
          <w:szCs w:val="24"/>
        </w:rPr>
      </w:pPr>
      <w:bookmarkStart w:id="25" w:name="_kjjazoefyls8_Copy_1"/>
      <w:bookmarkEnd w:id="25"/>
      <w:r>
        <w:rPr>
          <w:rFonts w:ascii="Times New Roman" w:eastAsia="Times New Roman" w:hAnsi="Times New Roman" w:cs="Times New Roman"/>
          <w:sz w:val="24"/>
          <w:szCs w:val="24"/>
        </w:rPr>
        <w:t>Despite the limited number of studies, the findings consistently demonstrate a substan</w:t>
      </w:r>
      <w:r>
        <w:rPr>
          <w:rFonts w:ascii="Times New Roman" w:eastAsia="Times New Roman" w:hAnsi="Times New Roman" w:cs="Times New Roman"/>
          <w:sz w:val="24"/>
          <w:szCs w:val="24"/>
        </w:rPr>
        <w:t xml:space="preserve">tial and increasing burden of antimicrobial resistance, particularly among Gram-negative pathogens. High resistance rates in </w:t>
      </w:r>
      <w:r>
        <w:rPr>
          <w:rFonts w:ascii="Times New Roman" w:eastAsia="Times New Roman" w:hAnsi="Times New Roman" w:cs="Times New Roman"/>
          <w:i/>
          <w:iCs/>
          <w:sz w:val="24"/>
          <w:szCs w:val="24"/>
        </w:rPr>
        <w:t xml:space="preserve">Acinetobacter </w:t>
      </w:r>
      <w:proofErr w:type="spellStart"/>
      <w:r>
        <w:rPr>
          <w:rFonts w:ascii="Times New Roman" w:eastAsia="Times New Roman" w:hAnsi="Times New Roman" w:cs="Times New Roman"/>
          <w:i/>
          <w:iCs/>
          <w:sz w:val="24"/>
          <w:szCs w:val="24"/>
        </w:rPr>
        <w:t>baumannii</w:t>
      </w:r>
      <w:proofErr w:type="spellEnd"/>
      <w:r>
        <w:rPr>
          <w:rFonts w:ascii="Times New Roman" w:eastAsia="Times New Roman" w:hAnsi="Times New Roman" w:cs="Times New Roman"/>
          <w:sz w:val="24"/>
          <w:szCs w:val="24"/>
        </w:rPr>
        <w:t xml:space="preserve"> and increasing carbapenem resistance among </w:t>
      </w:r>
      <w:proofErr w:type="spellStart"/>
      <w:r>
        <w:rPr>
          <w:rFonts w:ascii="Times New Roman" w:eastAsia="Times New Roman" w:hAnsi="Times New Roman" w:cs="Times New Roman"/>
          <w:i/>
          <w:iCs/>
          <w:sz w:val="24"/>
          <w:szCs w:val="24"/>
        </w:rPr>
        <w:t>Enterobacterales</w:t>
      </w:r>
      <w:proofErr w:type="spellEnd"/>
      <w:r>
        <w:rPr>
          <w:rFonts w:ascii="Times New Roman" w:eastAsia="Times New Roman" w:hAnsi="Times New Roman" w:cs="Times New Roman"/>
          <w:sz w:val="24"/>
          <w:szCs w:val="24"/>
        </w:rPr>
        <w:t xml:space="preserve"> were consistently reported across studies, refl</w:t>
      </w:r>
      <w:r>
        <w:rPr>
          <w:rFonts w:ascii="Times New Roman" w:eastAsia="Times New Roman" w:hAnsi="Times New Roman" w:cs="Times New Roman"/>
          <w:sz w:val="24"/>
          <w:szCs w:val="24"/>
        </w:rPr>
        <w:t>ecting the growing challenge of managing hospital-acquired infections (</w:t>
      </w:r>
      <w:proofErr w:type="spellStart"/>
      <w:r>
        <w:rPr>
          <w:rFonts w:ascii="Times New Roman" w:eastAsia="Times New Roman" w:hAnsi="Times New Roman" w:cs="Times New Roman"/>
          <w:sz w:val="24"/>
          <w:szCs w:val="24"/>
        </w:rPr>
        <w:t>Argimón</w:t>
      </w:r>
      <w:proofErr w:type="spellEnd"/>
      <w:r>
        <w:rPr>
          <w:rFonts w:ascii="Times New Roman" w:eastAsia="Times New Roman" w:hAnsi="Times New Roman" w:cs="Times New Roman"/>
          <w:sz w:val="24"/>
          <w:szCs w:val="24"/>
        </w:rPr>
        <w:t xml:space="preserve"> et al., 2019; </w:t>
      </w:r>
      <w:proofErr w:type="spellStart"/>
      <w:r>
        <w:rPr>
          <w:rFonts w:ascii="Times New Roman" w:eastAsia="Times New Roman" w:hAnsi="Times New Roman" w:cs="Times New Roman"/>
          <w:sz w:val="24"/>
          <w:szCs w:val="24"/>
        </w:rPr>
        <w:t>Chilam</w:t>
      </w:r>
      <w:proofErr w:type="spellEnd"/>
      <w:r>
        <w:rPr>
          <w:rFonts w:ascii="Times New Roman" w:eastAsia="Times New Roman" w:hAnsi="Times New Roman" w:cs="Times New Roman"/>
          <w:sz w:val="24"/>
          <w:szCs w:val="24"/>
        </w:rPr>
        <w:t xml:space="preserve"> et al., 2021). These findings are consistent with global trends and emphasize the clinical significance of multidrug-resistant and extensively drug-resistan</w:t>
      </w:r>
      <w:r>
        <w:rPr>
          <w:rFonts w:ascii="Times New Roman" w:eastAsia="Times New Roman" w:hAnsi="Times New Roman" w:cs="Times New Roman"/>
          <w:sz w:val="24"/>
          <w:szCs w:val="24"/>
        </w:rPr>
        <w:t>t organisms in healthcare settings (WHO, 2023; Ng et al., 2025).</w:t>
      </w:r>
    </w:p>
    <w:p w14:paraId="0D8246D9" w14:textId="77777777" w:rsidR="007D5FB4" w:rsidRDefault="003D1A1D">
      <w:pPr>
        <w:pStyle w:val="Heading1"/>
        <w:keepNext w:val="0"/>
        <w:keepLines w:val="0"/>
        <w:spacing w:before="240" w:after="240"/>
        <w:jc w:val="both"/>
        <w:rPr>
          <w:rFonts w:ascii="Times New Roman" w:eastAsia="Times New Roman" w:hAnsi="Times New Roman" w:cs="Times New Roman"/>
          <w:sz w:val="24"/>
          <w:szCs w:val="24"/>
        </w:rPr>
      </w:pPr>
      <w:bookmarkStart w:id="26" w:name="_kjjazoefyls8_Copy_2"/>
      <w:bookmarkEnd w:id="26"/>
      <w:r>
        <w:rPr>
          <w:rFonts w:ascii="Times New Roman" w:eastAsia="Times New Roman" w:hAnsi="Times New Roman" w:cs="Times New Roman"/>
          <w:sz w:val="24"/>
          <w:szCs w:val="24"/>
        </w:rPr>
        <w:t xml:space="preserve">The observed increase in antimicrobial resistance following the COVID-19 pandemic, including rising resistance in </w:t>
      </w:r>
      <w:r>
        <w:rPr>
          <w:rFonts w:ascii="Times New Roman" w:eastAsia="Times New Roman" w:hAnsi="Times New Roman" w:cs="Times New Roman"/>
          <w:i/>
          <w:iCs/>
          <w:sz w:val="24"/>
          <w:szCs w:val="24"/>
        </w:rPr>
        <w:t>Escherichia coli</w:t>
      </w:r>
      <w:r>
        <w:rPr>
          <w:rFonts w:ascii="Times New Roman" w:eastAsia="Times New Roman" w:hAnsi="Times New Roman" w:cs="Times New Roman"/>
          <w:sz w:val="24"/>
          <w:szCs w:val="24"/>
        </w:rPr>
        <w:t xml:space="preserve"> and methicillin-resistant </w:t>
      </w:r>
      <w:r>
        <w:rPr>
          <w:rFonts w:ascii="Times New Roman" w:eastAsia="Times New Roman" w:hAnsi="Times New Roman" w:cs="Times New Roman"/>
          <w:i/>
          <w:iCs/>
          <w:sz w:val="24"/>
          <w:szCs w:val="24"/>
        </w:rPr>
        <w:t>Staphylococcus aureus</w:t>
      </w:r>
      <w:r>
        <w:rPr>
          <w:rFonts w:ascii="Times New Roman" w:eastAsia="Times New Roman" w:hAnsi="Times New Roman" w:cs="Times New Roman"/>
          <w:sz w:val="24"/>
          <w:szCs w:val="24"/>
        </w:rPr>
        <w:t xml:space="preserve"> (MRSA), sugg</w:t>
      </w:r>
      <w:r>
        <w:rPr>
          <w:rFonts w:ascii="Times New Roman" w:eastAsia="Times New Roman" w:hAnsi="Times New Roman" w:cs="Times New Roman"/>
          <w:sz w:val="24"/>
          <w:szCs w:val="24"/>
        </w:rPr>
        <w:t xml:space="preserve">ests that pandemic-related disruptions may have accelerated resistance development. Increased empirical antibiotic use, reduced diagnostic capacity, and strained infection control practices likely contributed to this trend. These findings are supported by </w:t>
      </w:r>
      <w:r>
        <w:rPr>
          <w:rFonts w:ascii="Times New Roman" w:eastAsia="Times New Roman" w:hAnsi="Times New Roman" w:cs="Times New Roman"/>
          <w:sz w:val="24"/>
          <w:szCs w:val="24"/>
        </w:rPr>
        <w:t>evidence of increased resistance rates reported in post-pandemic analyses (</w:t>
      </w:r>
      <w:proofErr w:type="spellStart"/>
      <w:r>
        <w:rPr>
          <w:rFonts w:ascii="Times New Roman" w:eastAsia="Times New Roman" w:hAnsi="Times New Roman" w:cs="Times New Roman"/>
          <w:sz w:val="24"/>
          <w:szCs w:val="24"/>
        </w:rPr>
        <w:t>Bacabac</w:t>
      </w:r>
      <w:proofErr w:type="spellEnd"/>
      <w:r>
        <w:rPr>
          <w:rFonts w:ascii="Times New Roman" w:eastAsia="Times New Roman" w:hAnsi="Times New Roman" w:cs="Times New Roman"/>
          <w:sz w:val="24"/>
          <w:szCs w:val="24"/>
        </w:rPr>
        <w:t xml:space="preserve"> et al., 2025) and broader reports describing disruptions in antimicrobial stewardship and surveillance systems during the pandemic (Boehme et al., 2022).</w:t>
      </w:r>
    </w:p>
    <w:p w14:paraId="59E4B7C4" w14:textId="77777777" w:rsidR="007D5FB4" w:rsidRDefault="003D1A1D">
      <w:pPr>
        <w:pStyle w:val="Heading1"/>
        <w:keepNext w:val="0"/>
        <w:keepLines w:val="0"/>
        <w:spacing w:before="240" w:after="240"/>
        <w:jc w:val="both"/>
        <w:rPr>
          <w:rFonts w:ascii="Times New Roman" w:eastAsia="Times New Roman" w:hAnsi="Times New Roman" w:cs="Times New Roman"/>
          <w:sz w:val="24"/>
          <w:szCs w:val="24"/>
        </w:rPr>
      </w:pPr>
      <w:bookmarkStart w:id="27" w:name="_kjjazoefyls8_Copy_3"/>
      <w:bookmarkEnd w:id="27"/>
      <w:r>
        <w:rPr>
          <w:rFonts w:ascii="Times New Roman" w:eastAsia="Times New Roman" w:hAnsi="Times New Roman" w:cs="Times New Roman"/>
          <w:sz w:val="24"/>
          <w:szCs w:val="24"/>
        </w:rPr>
        <w:t>The strong associat</w:t>
      </w:r>
      <w:r>
        <w:rPr>
          <w:rFonts w:ascii="Times New Roman" w:eastAsia="Times New Roman" w:hAnsi="Times New Roman" w:cs="Times New Roman"/>
          <w:sz w:val="24"/>
          <w:szCs w:val="24"/>
        </w:rPr>
        <w:t>ion between antimicrobial consumption and resistance patterns identified in this review reinforces antimicrobial misuse as a key driver of resistance. Significant correlations between antibiotic use and resistance were observed across multiple pathogens, i</w:t>
      </w:r>
      <w:r>
        <w:rPr>
          <w:rFonts w:ascii="Times New Roman" w:eastAsia="Times New Roman" w:hAnsi="Times New Roman" w:cs="Times New Roman"/>
          <w:sz w:val="24"/>
          <w:szCs w:val="24"/>
        </w:rPr>
        <w:t xml:space="preserve">ncluding </w:t>
      </w:r>
      <w:r>
        <w:rPr>
          <w:rFonts w:ascii="Times New Roman" w:eastAsia="Times New Roman" w:hAnsi="Times New Roman" w:cs="Times New Roman"/>
          <w:i/>
          <w:iCs/>
          <w:sz w:val="24"/>
          <w:szCs w:val="24"/>
        </w:rPr>
        <w:t>Escherichia coli</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Acinetobacter </w:t>
      </w:r>
      <w:proofErr w:type="spellStart"/>
      <w:r>
        <w:rPr>
          <w:rFonts w:ascii="Times New Roman" w:eastAsia="Times New Roman" w:hAnsi="Times New Roman" w:cs="Times New Roman"/>
          <w:i/>
          <w:iCs/>
          <w:sz w:val="24"/>
          <w:szCs w:val="24"/>
        </w:rPr>
        <w:t>baumannii</w:t>
      </w:r>
      <w:proofErr w:type="spellEnd"/>
      <w:r>
        <w:rPr>
          <w:rFonts w:ascii="Times New Roman" w:eastAsia="Times New Roman" w:hAnsi="Times New Roman" w:cs="Times New Roman"/>
          <w:sz w:val="24"/>
          <w:szCs w:val="24"/>
        </w:rPr>
        <w:t xml:space="preserve">, and </w:t>
      </w:r>
      <w:r>
        <w:rPr>
          <w:rFonts w:ascii="Times New Roman" w:eastAsia="Times New Roman" w:hAnsi="Times New Roman" w:cs="Times New Roman"/>
          <w:i/>
          <w:iCs/>
          <w:sz w:val="24"/>
          <w:szCs w:val="24"/>
        </w:rPr>
        <w:t>Pseudomonas aeruginosa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Abeleda</w:t>
      </w:r>
      <w:proofErr w:type="spellEnd"/>
      <w:r>
        <w:rPr>
          <w:rFonts w:ascii="Times New Roman" w:eastAsia="Times New Roman" w:hAnsi="Times New Roman" w:cs="Times New Roman"/>
          <w:sz w:val="24"/>
          <w:szCs w:val="24"/>
        </w:rPr>
        <w:t xml:space="preserve"> et al., 2024). These findings are consistent with existing literature emphasizing the role of inappropriate prescribing, self-medication, and weak regulatory enforcemen</w:t>
      </w:r>
      <w:r>
        <w:rPr>
          <w:rFonts w:ascii="Times New Roman" w:eastAsia="Times New Roman" w:hAnsi="Times New Roman" w:cs="Times New Roman"/>
          <w:sz w:val="24"/>
          <w:szCs w:val="24"/>
        </w:rPr>
        <w:t>t in accelerating AMR (</w:t>
      </w:r>
      <w:proofErr w:type="spellStart"/>
      <w:r>
        <w:rPr>
          <w:rFonts w:ascii="Times New Roman" w:eastAsia="Times New Roman" w:hAnsi="Times New Roman" w:cs="Times New Roman"/>
          <w:sz w:val="24"/>
          <w:szCs w:val="24"/>
        </w:rPr>
        <w:t>Endale</w:t>
      </w:r>
      <w:proofErr w:type="spellEnd"/>
      <w:r>
        <w:rPr>
          <w:rFonts w:ascii="Times New Roman" w:eastAsia="Times New Roman" w:hAnsi="Times New Roman" w:cs="Times New Roman"/>
          <w:sz w:val="24"/>
          <w:szCs w:val="24"/>
        </w:rPr>
        <w:t xml:space="preserve"> et al., 2023). The observed protective effect of antimicrobial stewardship programs further highlights the importance of structured interventions in reducing resistance trends (</w:t>
      </w:r>
      <w:proofErr w:type="spellStart"/>
      <w:r>
        <w:rPr>
          <w:rFonts w:ascii="Times New Roman" w:eastAsia="Times New Roman" w:hAnsi="Times New Roman" w:cs="Times New Roman"/>
          <w:sz w:val="24"/>
          <w:szCs w:val="24"/>
        </w:rPr>
        <w:t>Bacabac</w:t>
      </w:r>
      <w:proofErr w:type="spellEnd"/>
      <w:r>
        <w:rPr>
          <w:rFonts w:ascii="Times New Roman" w:eastAsia="Times New Roman" w:hAnsi="Times New Roman" w:cs="Times New Roman"/>
          <w:sz w:val="24"/>
          <w:szCs w:val="24"/>
        </w:rPr>
        <w:t xml:space="preserve"> et al., 2025).</w:t>
      </w:r>
    </w:p>
    <w:p w14:paraId="366AB83D" w14:textId="77777777" w:rsidR="007D5FB4" w:rsidRDefault="003D1A1D">
      <w:pPr>
        <w:pStyle w:val="Heading1"/>
        <w:keepNext w:val="0"/>
        <w:keepLines w:val="0"/>
        <w:spacing w:before="240" w:after="240"/>
        <w:jc w:val="both"/>
        <w:rPr>
          <w:rFonts w:ascii="Times New Roman" w:eastAsia="Times New Roman" w:hAnsi="Times New Roman" w:cs="Times New Roman"/>
          <w:sz w:val="24"/>
          <w:szCs w:val="24"/>
        </w:rPr>
      </w:pPr>
      <w:bookmarkStart w:id="28" w:name="_kjjazoefyls8_Copy_4"/>
      <w:bookmarkEnd w:id="28"/>
      <w:r>
        <w:rPr>
          <w:rFonts w:ascii="Times New Roman" w:eastAsia="Times New Roman" w:hAnsi="Times New Roman" w:cs="Times New Roman"/>
          <w:sz w:val="24"/>
          <w:szCs w:val="24"/>
        </w:rPr>
        <w:t xml:space="preserve">Molecular epidemiological </w:t>
      </w:r>
      <w:r>
        <w:rPr>
          <w:rFonts w:ascii="Times New Roman" w:eastAsia="Times New Roman" w:hAnsi="Times New Roman" w:cs="Times New Roman"/>
          <w:sz w:val="24"/>
          <w:szCs w:val="24"/>
        </w:rPr>
        <w:t xml:space="preserve">evidence demonstrates that antimicrobial resistance in the Philippines is driven by both clonal dissemination and horizontal gene transfer mechanisms. The detection of </w:t>
      </w:r>
      <w:r>
        <w:rPr>
          <w:rFonts w:ascii="Times New Roman" w:eastAsia="Times New Roman" w:hAnsi="Times New Roman" w:cs="Times New Roman"/>
          <w:sz w:val="24"/>
          <w:szCs w:val="24"/>
        </w:rPr>
        <w:lastRenderedPageBreak/>
        <w:t xml:space="preserve">key resistance genes, including </w:t>
      </w:r>
      <w:proofErr w:type="spellStart"/>
      <w:r>
        <w:rPr>
          <w:rFonts w:ascii="Times New Roman" w:eastAsia="Times New Roman" w:hAnsi="Times New Roman" w:cs="Times New Roman"/>
          <w:sz w:val="24"/>
          <w:szCs w:val="24"/>
        </w:rPr>
        <w:t>blaNDM</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blaOXA</w:t>
      </w:r>
      <w:proofErr w:type="spellEnd"/>
      <w:r>
        <w:rPr>
          <w:rFonts w:ascii="Times New Roman" w:eastAsia="Times New Roman" w:hAnsi="Times New Roman" w:cs="Times New Roman"/>
          <w:sz w:val="24"/>
          <w:szCs w:val="24"/>
        </w:rPr>
        <w:t xml:space="preserve"> variants, and the circulation of high-</w:t>
      </w:r>
      <w:r>
        <w:rPr>
          <w:rFonts w:ascii="Times New Roman" w:eastAsia="Times New Roman" w:hAnsi="Times New Roman" w:cs="Times New Roman"/>
          <w:sz w:val="24"/>
          <w:szCs w:val="24"/>
        </w:rPr>
        <w:t xml:space="preserve">risk clones of </w:t>
      </w:r>
      <w:r>
        <w:rPr>
          <w:rFonts w:ascii="Times New Roman" w:eastAsia="Times New Roman" w:hAnsi="Times New Roman" w:cs="Times New Roman"/>
          <w:i/>
          <w:iCs/>
          <w:sz w:val="24"/>
          <w:szCs w:val="24"/>
        </w:rPr>
        <w:t xml:space="preserve">Acinetobacter </w:t>
      </w:r>
      <w:proofErr w:type="spellStart"/>
      <w:r>
        <w:rPr>
          <w:rFonts w:ascii="Times New Roman" w:eastAsia="Times New Roman" w:hAnsi="Times New Roman" w:cs="Times New Roman"/>
          <w:i/>
          <w:iCs/>
          <w:sz w:val="24"/>
          <w:szCs w:val="24"/>
        </w:rPr>
        <w:t>baumannii</w:t>
      </w:r>
      <w:proofErr w:type="spellEnd"/>
      <w:r>
        <w:rPr>
          <w:rFonts w:ascii="Times New Roman" w:eastAsia="Times New Roman" w:hAnsi="Times New Roman" w:cs="Times New Roman"/>
          <w:sz w:val="24"/>
          <w:szCs w:val="24"/>
        </w:rPr>
        <w:t xml:space="preserve"> across healthcare facilities highlight the complex dynamics of AMR transmission (</w:t>
      </w:r>
      <w:proofErr w:type="spellStart"/>
      <w:r>
        <w:rPr>
          <w:rFonts w:ascii="Times New Roman" w:eastAsia="Times New Roman" w:hAnsi="Times New Roman" w:cs="Times New Roman"/>
          <w:sz w:val="24"/>
          <w:szCs w:val="24"/>
        </w:rPr>
        <w:t>Argimón</w:t>
      </w:r>
      <w:proofErr w:type="spellEnd"/>
      <w:r>
        <w:rPr>
          <w:rFonts w:ascii="Times New Roman" w:eastAsia="Times New Roman" w:hAnsi="Times New Roman" w:cs="Times New Roman"/>
          <w:sz w:val="24"/>
          <w:szCs w:val="24"/>
        </w:rPr>
        <w:t xml:space="preserve"> et al., 2019; </w:t>
      </w:r>
      <w:proofErr w:type="spellStart"/>
      <w:r>
        <w:rPr>
          <w:rFonts w:ascii="Times New Roman" w:eastAsia="Times New Roman" w:hAnsi="Times New Roman" w:cs="Times New Roman"/>
          <w:sz w:val="24"/>
          <w:szCs w:val="24"/>
        </w:rPr>
        <w:t>Chilam</w:t>
      </w:r>
      <w:proofErr w:type="spellEnd"/>
      <w:r>
        <w:rPr>
          <w:rFonts w:ascii="Times New Roman" w:eastAsia="Times New Roman" w:hAnsi="Times New Roman" w:cs="Times New Roman"/>
          <w:sz w:val="24"/>
          <w:szCs w:val="24"/>
        </w:rPr>
        <w:t xml:space="preserve"> et al., 2021). High concordance between phenotypic and genotypic resistance further supports the reliabilit</w:t>
      </w:r>
      <w:r>
        <w:rPr>
          <w:rFonts w:ascii="Times New Roman" w:eastAsia="Times New Roman" w:hAnsi="Times New Roman" w:cs="Times New Roman"/>
          <w:sz w:val="24"/>
          <w:szCs w:val="24"/>
        </w:rPr>
        <w:t>y of molecular surveillance approaches in understanding resistance patterns.</w:t>
      </w:r>
    </w:p>
    <w:p w14:paraId="372AD46D" w14:textId="77777777" w:rsidR="007D5FB4" w:rsidRDefault="003D1A1D">
      <w:pPr>
        <w:pStyle w:val="Heading1"/>
        <w:keepNext w:val="0"/>
        <w:keepLines w:val="0"/>
        <w:spacing w:before="240" w:after="240"/>
        <w:jc w:val="both"/>
        <w:rPr>
          <w:rFonts w:ascii="Times New Roman" w:eastAsia="Times New Roman" w:hAnsi="Times New Roman" w:cs="Times New Roman"/>
          <w:sz w:val="24"/>
          <w:szCs w:val="24"/>
        </w:rPr>
      </w:pPr>
      <w:bookmarkStart w:id="29" w:name="_kjjazoefyls8_Copy_5"/>
      <w:bookmarkEnd w:id="29"/>
      <w:r>
        <w:rPr>
          <w:rFonts w:ascii="Times New Roman" w:eastAsia="Times New Roman" w:hAnsi="Times New Roman" w:cs="Times New Roman"/>
          <w:sz w:val="24"/>
          <w:szCs w:val="24"/>
        </w:rPr>
        <w:t xml:space="preserve">The substantial clinical burden associated with antimicrobial resistance, including high mortality rates and limited treatment options, underscores the urgency of addressing this </w:t>
      </w:r>
      <w:r>
        <w:rPr>
          <w:rFonts w:ascii="Times New Roman" w:eastAsia="Times New Roman" w:hAnsi="Times New Roman" w:cs="Times New Roman"/>
          <w:sz w:val="24"/>
          <w:szCs w:val="24"/>
        </w:rPr>
        <w:t xml:space="preserve">issue. Multidrug-resistant </w:t>
      </w:r>
      <w:r>
        <w:rPr>
          <w:rFonts w:ascii="Times New Roman" w:eastAsia="Times New Roman" w:hAnsi="Times New Roman" w:cs="Times New Roman"/>
          <w:i/>
          <w:iCs/>
          <w:sz w:val="24"/>
          <w:szCs w:val="24"/>
        </w:rPr>
        <w:t>Acinetobacter</w:t>
      </w:r>
      <w:r>
        <w:rPr>
          <w:rFonts w:ascii="Times New Roman" w:eastAsia="Times New Roman" w:hAnsi="Times New Roman" w:cs="Times New Roman"/>
          <w:sz w:val="24"/>
          <w:szCs w:val="24"/>
        </w:rPr>
        <w:t xml:space="preserve"> infections were associated with mortality rates of up to 60% in intensive care settings (Chua &amp; </w:t>
      </w:r>
      <w:proofErr w:type="spellStart"/>
      <w:r>
        <w:rPr>
          <w:rFonts w:ascii="Times New Roman" w:eastAsia="Times New Roman" w:hAnsi="Times New Roman" w:cs="Times New Roman"/>
          <w:sz w:val="24"/>
          <w:szCs w:val="24"/>
        </w:rPr>
        <w:t>Alejandria</w:t>
      </w:r>
      <w:proofErr w:type="spellEnd"/>
      <w:r>
        <w:rPr>
          <w:rFonts w:ascii="Times New Roman" w:eastAsia="Times New Roman" w:hAnsi="Times New Roman" w:cs="Times New Roman"/>
          <w:sz w:val="24"/>
          <w:szCs w:val="24"/>
        </w:rPr>
        <w:t>, 2008), while treatment of multidrug-resistant Gram-negative infections using colistin demonstrated moderate clinical success but remained associate</w:t>
      </w:r>
      <w:r>
        <w:rPr>
          <w:rFonts w:ascii="Times New Roman" w:eastAsia="Times New Roman" w:hAnsi="Times New Roman" w:cs="Times New Roman"/>
          <w:sz w:val="24"/>
          <w:szCs w:val="24"/>
        </w:rPr>
        <w:t xml:space="preserve">d with high mortality and significant toxicity (Li &amp; Abad, 2020). Additionally, mortality among patients with </w:t>
      </w:r>
      <w:r>
        <w:rPr>
          <w:rFonts w:ascii="Times New Roman" w:eastAsia="Times New Roman" w:hAnsi="Times New Roman" w:cs="Times New Roman"/>
          <w:i/>
          <w:iCs/>
          <w:sz w:val="24"/>
          <w:szCs w:val="24"/>
        </w:rPr>
        <w:t xml:space="preserve">Acinetobacter </w:t>
      </w:r>
      <w:proofErr w:type="spellStart"/>
      <w:r>
        <w:rPr>
          <w:rFonts w:ascii="Times New Roman" w:eastAsia="Times New Roman" w:hAnsi="Times New Roman" w:cs="Times New Roman"/>
          <w:i/>
          <w:iCs/>
          <w:sz w:val="24"/>
          <w:szCs w:val="24"/>
        </w:rPr>
        <w:t>baumannii</w:t>
      </w:r>
      <w:proofErr w:type="spellEnd"/>
      <w:r>
        <w:rPr>
          <w:rFonts w:ascii="Times New Roman" w:eastAsia="Times New Roman" w:hAnsi="Times New Roman" w:cs="Times New Roman"/>
          <w:sz w:val="24"/>
          <w:szCs w:val="24"/>
        </w:rPr>
        <w:t xml:space="preserve"> infections was strongly associated with comorbidities and invasive procedures (</w:t>
      </w:r>
      <w:proofErr w:type="spellStart"/>
      <w:r>
        <w:rPr>
          <w:rFonts w:ascii="Times New Roman" w:eastAsia="Times New Roman" w:hAnsi="Times New Roman" w:cs="Times New Roman"/>
          <w:sz w:val="24"/>
          <w:szCs w:val="24"/>
        </w:rPr>
        <w:t>Agoncillo</w:t>
      </w:r>
      <w:proofErr w:type="spellEnd"/>
      <w:r>
        <w:rPr>
          <w:rFonts w:ascii="Times New Roman" w:eastAsia="Times New Roman" w:hAnsi="Times New Roman" w:cs="Times New Roman"/>
          <w:sz w:val="24"/>
          <w:szCs w:val="24"/>
        </w:rPr>
        <w:t xml:space="preserve"> et al., 2020), highlighting the c</w:t>
      </w:r>
      <w:r>
        <w:rPr>
          <w:rFonts w:ascii="Times New Roman" w:eastAsia="Times New Roman" w:hAnsi="Times New Roman" w:cs="Times New Roman"/>
          <w:sz w:val="24"/>
          <w:szCs w:val="24"/>
        </w:rPr>
        <w:t>linical complexity of managing resistant infections.</w:t>
      </w:r>
    </w:p>
    <w:p w14:paraId="01243264" w14:textId="77777777" w:rsidR="007D5FB4" w:rsidRDefault="003D1A1D">
      <w:pPr>
        <w:pStyle w:val="Heading1"/>
        <w:keepNext w:val="0"/>
        <w:keepLines w:val="0"/>
        <w:spacing w:before="240" w:after="240"/>
        <w:jc w:val="both"/>
        <w:rPr>
          <w:rFonts w:ascii="Times New Roman" w:eastAsia="Times New Roman" w:hAnsi="Times New Roman" w:cs="Times New Roman"/>
          <w:sz w:val="24"/>
          <w:szCs w:val="24"/>
        </w:rPr>
      </w:pPr>
      <w:bookmarkStart w:id="30" w:name="_6ffrd08ebidq"/>
      <w:bookmarkEnd w:id="30"/>
      <w:r>
        <w:rPr>
          <w:rFonts w:ascii="Times New Roman" w:eastAsia="Times New Roman" w:hAnsi="Times New Roman" w:cs="Times New Roman"/>
          <w:sz w:val="24"/>
          <w:szCs w:val="24"/>
        </w:rPr>
        <w:t>Overall, while the number of included studies is limited, the consistency of findings across surveillance, clinical, and molecular studies strengthens the reliability of this review. At the same time, th</w:t>
      </w:r>
      <w:r>
        <w:rPr>
          <w:rFonts w:ascii="Times New Roman" w:eastAsia="Times New Roman" w:hAnsi="Times New Roman" w:cs="Times New Roman"/>
          <w:sz w:val="24"/>
          <w:szCs w:val="24"/>
        </w:rPr>
        <w:t>e limited number of eligible studies underscores the need for more comprehensive, standardized, and geographically representative clinical AMR research in the Philippines to support evidence-based policy and intervention strategies.</w:t>
      </w:r>
    </w:p>
    <w:p w14:paraId="64ADE32B" w14:textId="77777777" w:rsidR="007D5FB4" w:rsidRDefault="007D5FB4">
      <w:pPr>
        <w:pStyle w:val="Heading1"/>
        <w:keepNext w:val="0"/>
        <w:keepLines w:val="0"/>
        <w:spacing w:before="480"/>
        <w:jc w:val="both"/>
        <w:rPr>
          <w:rFonts w:ascii="Times New Roman" w:eastAsia="Times New Roman" w:hAnsi="Times New Roman" w:cs="Times New Roman"/>
          <w:sz w:val="24"/>
          <w:szCs w:val="24"/>
        </w:rPr>
      </w:pPr>
      <w:bookmarkStart w:id="31" w:name="_iajevn49lotw"/>
      <w:bookmarkEnd w:id="31"/>
    </w:p>
    <w:p w14:paraId="7DF0D557" w14:textId="77777777" w:rsidR="007D5FB4" w:rsidRDefault="007D5FB4">
      <w:pPr>
        <w:pStyle w:val="normal1"/>
      </w:pPr>
    </w:p>
    <w:p w14:paraId="1B35656A" w14:textId="77777777" w:rsidR="007D5FB4" w:rsidRDefault="003D1A1D">
      <w:pPr>
        <w:pStyle w:val="Heading2"/>
        <w:keepNext w:val="0"/>
        <w:keepLines w:val="0"/>
        <w:spacing w:after="80"/>
        <w:jc w:val="both"/>
        <w:rPr>
          <w:rFonts w:ascii="Times New Roman" w:eastAsia="Times New Roman" w:hAnsi="Times New Roman" w:cs="Times New Roman"/>
          <w:b/>
          <w:bCs/>
          <w:sz w:val="24"/>
          <w:szCs w:val="24"/>
        </w:rPr>
      </w:pPr>
      <w:bookmarkStart w:id="32" w:name="_rcnicots5yvq"/>
      <w:bookmarkEnd w:id="32"/>
      <w:r>
        <w:rPr>
          <w:rFonts w:ascii="Times New Roman" w:eastAsia="Times New Roman" w:hAnsi="Times New Roman" w:cs="Times New Roman"/>
          <w:b/>
          <w:bCs/>
          <w:sz w:val="24"/>
          <w:szCs w:val="24"/>
        </w:rPr>
        <w:t>CONCLUSION</w:t>
      </w:r>
    </w:p>
    <w:p w14:paraId="6A806241" w14:textId="77777777" w:rsidR="007D5FB4" w:rsidRDefault="003D1A1D">
      <w:pPr>
        <w:pStyle w:val="Heading1"/>
        <w:keepNext w:val="0"/>
        <w:keepLines w:val="0"/>
        <w:spacing w:before="240" w:after="240"/>
        <w:jc w:val="both"/>
        <w:rPr>
          <w:rFonts w:ascii="Times New Roman" w:eastAsia="Times New Roman" w:hAnsi="Times New Roman" w:cs="Times New Roman"/>
          <w:sz w:val="24"/>
          <w:szCs w:val="24"/>
        </w:rPr>
      </w:pPr>
      <w:bookmarkStart w:id="33" w:name="_7lyu1gf46d4f"/>
      <w:bookmarkEnd w:id="33"/>
      <w:r>
        <w:rPr>
          <w:rFonts w:ascii="Times New Roman" w:eastAsia="Times New Roman" w:hAnsi="Times New Roman" w:cs="Times New Roman"/>
          <w:sz w:val="24"/>
          <w:szCs w:val="24"/>
        </w:rPr>
        <w:t>This syste</w:t>
      </w:r>
      <w:r>
        <w:rPr>
          <w:rFonts w:ascii="Times New Roman" w:eastAsia="Times New Roman" w:hAnsi="Times New Roman" w:cs="Times New Roman"/>
          <w:sz w:val="24"/>
          <w:szCs w:val="24"/>
        </w:rPr>
        <w:t xml:space="preserve">matic review, synthesizing 14 studies reporting antimicrobial resistance (AMR) data from human clinical isolates, demonstrates that AMR in the Philippines is a growing and significant public health concern, predominantly driven by Gram-negative pathogens. </w:t>
      </w:r>
      <w:r>
        <w:rPr>
          <w:rFonts w:ascii="Times New Roman" w:eastAsia="Times New Roman" w:hAnsi="Times New Roman" w:cs="Times New Roman"/>
          <w:sz w:val="24"/>
          <w:szCs w:val="24"/>
        </w:rPr>
        <w:t xml:space="preserve">High resistance rates observed in </w:t>
      </w:r>
      <w:r>
        <w:rPr>
          <w:rFonts w:ascii="Times New Roman" w:eastAsia="Times New Roman" w:hAnsi="Times New Roman" w:cs="Times New Roman"/>
          <w:i/>
          <w:iCs/>
          <w:sz w:val="24"/>
          <w:szCs w:val="24"/>
        </w:rPr>
        <w:t xml:space="preserve">Acinetobacter </w:t>
      </w:r>
      <w:proofErr w:type="spellStart"/>
      <w:r>
        <w:rPr>
          <w:rFonts w:ascii="Times New Roman" w:eastAsia="Times New Roman" w:hAnsi="Times New Roman" w:cs="Times New Roman"/>
          <w:i/>
          <w:iCs/>
          <w:sz w:val="24"/>
          <w:szCs w:val="24"/>
        </w:rPr>
        <w:t>baumannii</w:t>
      </w:r>
      <w:proofErr w:type="spellEnd"/>
      <w:r>
        <w:rPr>
          <w:rFonts w:ascii="Times New Roman" w:eastAsia="Times New Roman" w:hAnsi="Times New Roman" w:cs="Times New Roman"/>
          <w:sz w:val="24"/>
          <w:szCs w:val="24"/>
        </w:rPr>
        <w:t xml:space="preserve"> and increasing resistance to critical antibiotics, including carbapenems and third-generation cephalosporins, highlight the escalating difficulty in managing hospital-acquired infections and the nar</w:t>
      </w:r>
      <w:r>
        <w:rPr>
          <w:rFonts w:ascii="Times New Roman" w:eastAsia="Times New Roman" w:hAnsi="Times New Roman" w:cs="Times New Roman"/>
          <w:sz w:val="24"/>
          <w:szCs w:val="24"/>
        </w:rPr>
        <w:t>rowing range of effective therapeutic options (</w:t>
      </w:r>
      <w:proofErr w:type="spellStart"/>
      <w:r>
        <w:rPr>
          <w:rFonts w:ascii="Times New Roman" w:eastAsia="Times New Roman" w:hAnsi="Times New Roman" w:cs="Times New Roman"/>
          <w:sz w:val="24"/>
          <w:szCs w:val="24"/>
        </w:rPr>
        <w:t>Argimón</w:t>
      </w:r>
      <w:proofErr w:type="spellEnd"/>
      <w:r>
        <w:rPr>
          <w:rFonts w:ascii="Times New Roman" w:eastAsia="Times New Roman" w:hAnsi="Times New Roman" w:cs="Times New Roman"/>
          <w:sz w:val="24"/>
          <w:szCs w:val="24"/>
        </w:rPr>
        <w:t xml:space="preserve"> et al., 2019; </w:t>
      </w:r>
      <w:proofErr w:type="spellStart"/>
      <w:r>
        <w:rPr>
          <w:rFonts w:ascii="Times New Roman" w:eastAsia="Times New Roman" w:hAnsi="Times New Roman" w:cs="Times New Roman"/>
          <w:sz w:val="24"/>
          <w:szCs w:val="24"/>
        </w:rPr>
        <w:t>Chilam</w:t>
      </w:r>
      <w:proofErr w:type="spellEnd"/>
      <w:r>
        <w:rPr>
          <w:rFonts w:ascii="Times New Roman" w:eastAsia="Times New Roman" w:hAnsi="Times New Roman" w:cs="Times New Roman"/>
          <w:sz w:val="24"/>
          <w:szCs w:val="24"/>
        </w:rPr>
        <w:t xml:space="preserve"> et al., 2021).</w:t>
      </w:r>
    </w:p>
    <w:p w14:paraId="5A465425" w14:textId="77777777" w:rsidR="007D5FB4" w:rsidRDefault="003D1A1D">
      <w:pPr>
        <w:pStyle w:val="Heading1"/>
        <w:keepNext w:val="0"/>
        <w:keepLines w:val="0"/>
        <w:spacing w:before="240" w:after="240"/>
        <w:jc w:val="both"/>
        <w:rPr>
          <w:rFonts w:ascii="Times New Roman" w:eastAsia="Times New Roman" w:hAnsi="Times New Roman" w:cs="Times New Roman"/>
          <w:sz w:val="24"/>
          <w:szCs w:val="24"/>
        </w:rPr>
      </w:pPr>
      <w:bookmarkStart w:id="34" w:name="_7lyu1gf46d4f_Copy_1"/>
      <w:bookmarkEnd w:id="34"/>
      <w:r>
        <w:rPr>
          <w:rFonts w:ascii="Times New Roman" w:eastAsia="Times New Roman" w:hAnsi="Times New Roman" w:cs="Times New Roman"/>
          <w:sz w:val="24"/>
          <w:szCs w:val="24"/>
        </w:rPr>
        <w:t>The findings further indicate that antimicrobial resistance is strongly associated with patterns of antibiotic consumption, with evidence linking increased antimicro</w:t>
      </w:r>
      <w:r>
        <w:rPr>
          <w:rFonts w:ascii="Times New Roman" w:eastAsia="Times New Roman" w:hAnsi="Times New Roman" w:cs="Times New Roman"/>
          <w:sz w:val="24"/>
          <w:szCs w:val="24"/>
        </w:rPr>
        <w:t>bial use to rising resistance rates across multiple pathogens (</w:t>
      </w:r>
      <w:proofErr w:type="spellStart"/>
      <w:r>
        <w:rPr>
          <w:rFonts w:ascii="Times New Roman" w:eastAsia="Times New Roman" w:hAnsi="Times New Roman" w:cs="Times New Roman"/>
          <w:sz w:val="24"/>
          <w:szCs w:val="24"/>
        </w:rPr>
        <w:t>Abeleda</w:t>
      </w:r>
      <w:proofErr w:type="spellEnd"/>
      <w:r>
        <w:rPr>
          <w:rFonts w:ascii="Times New Roman" w:eastAsia="Times New Roman" w:hAnsi="Times New Roman" w:cs="Times New Roman"/>
          <w:sz w:val="24"/>
          <w:szCs w:val="24"/>
        </w:rPr>
        <w:t xml:space="preserve"> et al., 2024; </w:t>
      </w:r>
      <w:proofErr w:type="spellStart"/>
      <w:r>
        <w:rPr>
          <w:rFonts w:ascii="Times New Roman" w:eastAsia="Times New Roman" w:hAnsi="Times New Roman" w:cs="Times New Roman"/>
          <w:sz w:val="24"/>
          <w:szCs w:val="24"/>
        </w:rPr>
        <w:t>Bacabac</w:t>
      </w:r>
      <w:proofErr w:type="spellEnd"/>
      <w:r>
        <w:rPr>
          <w:rFonts w:ascii="Times New Roman" w:eastAsia="Times New Roman" w:hAnsi="Times New Roman" w:cs="Times New Roman"/>
          <w:sz w:val="24"/>
          <w:szCs w:val="24"/>
        </w:rPr>
        <w:t xml:space="preserve"> et al., 2025). The observed increase in resistance following the COVID-19 pandemic underscores the impact of healthcare system disruptions, including increased emp</w:t>
      </w:r>
      <w:r>
        <w:rPr>
          <w:rFonts w:ascii="Times New Roman" w:eastAsia="Times New Roman" w:hAnsi="Times New Roman" w:cs="Times New Roman"/>
          <w:sz w:val="24"/>
          <w:szCs w:val="24"/>
        </w:rPr>
        <w:t>irical antibiotic use and reduced surveillance capacity, on resistance development (</w:t>
      </w:r>
      <w:proofErr w:type="spellStart"/>
      <w:r>
        <w:rPr>
          <w:rFonts w:ascii="Times New Roman" w:eastAsia="Times New Roman" w:hAnsi="Times New Roman" w:cs="Times New Roman"/>
          <w:sz w:val="24"/>
          <w:szCs w:val="24"/>
        </w:rPr>
        <w:t>Bacabac</w:t>
      </w:r>
      <w:proofErr w:type="spellEnd"/>
      <w:r>
        <w:rPr>
          <w:rFonts w:ascii="Times New Roman" w:eastAsia="Times New Roman" w:hAnsi="Times New Roman" w:cs="Times New Roman"/>
          <w:sz w:val="24"/>
          <w:szCs w:val="24"/>
        </w:rPr>
        <w:t xml:space="preserve"> et al., 2025; Boehme et al., 2022).</w:t>
      </w:r>
    </w:p>
    <w:p w14:paraId="5716E4EF" w14:textId="77777777" w:rsidR="007D5FB4" w:rsidRDefault="003D1A1D">
      <w:pPr>
        <w:pStyle w:val="Heading1"/>
        <w:keepNext w:val="0"/>
        <w:keepLines w:val="0"/>
        <w:spacing w:before="240" w:after="240"/>
        <w:jc w:val="both"/>
        <w:rPr>
          <w:rFonts w:ascii="Times New Roman" w:eastAsia="Times New Roman" w:hAnsi="Times New Roman" w:cs="Times New Roman"/>
          <w:sz w:val="24"/>
          <w:szCs w:val="24"/>
        </w:rPr>
      </w:pPr>
      <w:bookmarkStart w:id="35" w:name="_7lyu1gf46d4f_Copy_2"/>
      <w:bookmarkEnd w:id="35"/>
      <w:r>
        <w:rPr>
          <w:rFonts w:ascii="Times New Roman" w:eastAsia="Times New Roman" w:hAnsi="Times New Roman" w:cs="Times New Roman"/>
          <w:sz w:val="24"/>
          <w:szCs w:val="24"/>
        </w:rPr>
        <w:t>Molecular evidence also demonstrates that AMR in the Philippines is driven by both clonal dissemination and horizontal gene tran</w:t>
      </w:r>
      <w:r>
        <w:rPr>
          <w:rFonts w:ascii="Times New Roman" w:eastAsia="Times New Roman" w:hAnsi="Times New Roman" w:cs="Times New Roman"/>
          <w:sz w:val="24"/>
          <w:szCs w:val="24"/>
        </w:rPr>
        <w:t>sfer, with the presence of key resistance genes and high-risk bacterial clones contributing to the spread of resistance within healthcare settings (</w:t>
      </w:r>
      <w:proofErr w:type="spellStart"/>
      <w:r>
        <w:rPr>
          <w:rFonts w:ascii="Times New Roman" w:eastAsia="Times New Roman" w:hAnsi="Times New Roman" w:cs="Times New Roman"/>
          <w:sz w:val="24"/>
          <w:szCs w:val="24"/>
        </w:rPr>
        <w:t>Argimón</w:t>
      </w:r>
      <w:proofErr w:type="spellEnd"/>
      <w:r>
        <w:rPr>
          <w:rFonts w:ascii="Times New Roman" w:eastAsia="Times New Roman" w:hAnsi="Times New Roman" w:cs="Times New Roman"/>
          <w:sz w:val="24"/>
          <w:szCs w:val="24"/>
        </w:rPr>
        <w:t xml:space="preserve"> et al., 2019; </w:t>
      </w:r>
      <w:proofErr w:type="spellStart"/>
      <w:r>
        <w:rPr>
          <w:rFonts w:ascii="Times New Roman" w:eastAsia="Times New Roman" w:hAnsi="Times New Roman" w:cs="Times New Roman"/>
          <w:sz w:val="24"/>
          <w:szCs w:val="24"/>
        </w:rPr>
        <w:t>Chilam</w:t>
      </w:r>
      <w:proofErr w:type="spellEnd"/>
      <w:r>
        <w:rPr>
          <w:rFonts w:ascii="Times New Roman" w:eastAsia="Times New Roman" w:hAnsi="Times New Roman" w:cs="Times New Roman"/>
          <w:sz w:val="24"/>
          <w:szCs w:val="24"/>
        </w:rPr>
        <w:t xml:space="preserve"> et al., 2021). The substantial clinical burden associated with AMR, including </w:t>
      </w:r>
      <w:r>
        <w:rPr>
          <w:rFonts w:ascii="Times New Roman" w:eastAsia="Times New Roman" w:hAnsi="Times New Roman" w:cs="Times New Roman"/>
          <w:sz w:val="24"/>
          <w:szCs w:val="24"/>
        </w:rPr>
        <w:lastRenderedPageBreak/>
        <w:t>h</w:t>
      </w:r>
      <w:r>
        <w:rPr>
          <w:rFonts w:ascii="Times New Roman" w:eastAsia="Times New Roman" w:hAnsi="Times New Roman" w:cs="Times New Roman"/>
          <w:sz w:val="24"/>
          <w:szCs w:val="24"/>
        </w:rPr>
        <w:t xml:space="preserve">igh mortality rates and reliance on last-resort antibiotics such as colistin, further emphasizes the urgency of addressing this issue (Chua &amp; </w:t>
      </w:r>
      <w:proofErr w:type="spellStart"/>
      <w:r>
        <w:rPr>
          <w:rFonts w:ascii="Times New Roman" w:eastAsia="Times New Roman" w:hAnsi="Times New Roman" w:cs="Times New Roman"/>
          <w:sz w:val="24"/>
          <w:szCs w:val="24"/>
        </w:rPr>
        <w:t>Alejandria</w:t>
      </w:r>
      <w:proofErr w:type="spellEnd"/>
      <w:r>
        <w:rPr>
          <w:rFonts w:ascii="Times New Roman" w:eastAsia="Times New Roman" w:hAnsi="Times New Roman" w:cs="Times New Roman"/>
          <w:sz w:val="24"/>
          <w:szCs w:val="24"/>
        </w:rPr>
        <w:t>, 2008; Li &amp; Abad, 2020).</w:t>
      </w:r>
    </w:p>
    <w:p w14:paraId="24598855" w14:textId="77777777" w:rsidR="007D5FB4" w:rsidRDefault="003D1A1D">
      <w:pPr>
        <w:pStyle w:val="Heading1"/>
        <w:keepNext w:val="0"/>
        <w:keepLines w:val="0"/>
        <w:spacing w:before="240" w:after="240"/>
        <w:jc w:val="both"/>
        <w:rPr>
          <w:rFonts w:ascii="Times New Roman" w:eastAsia="Times New Roman" w:hAnsi="Times New Roman" w:cs="Times New Roman"/>
          <w:sz w:val="24"/>
          <w:szCs w:val="24"/>
        </w:rPr>
      </w:pPr>
      <w:bookmarkStart w:id="36" w:name="_3lrj8bpcraxz"/>
      <w:bookmarkEnd w:id="36"/>
      <w:r>
        <w:rPr>
          <w:rFonts w:ascii="Times New Roman" w:eastAsia="Times New Roman" w:hAnsi="Times New Roman" w:cs="Times New Roman"/>
          <w:sz w:val="24"/>
          <w:szCs w:val="24"/>
        </w:rPr>
        <w:t>Although limited to a relatively small number of eligible studies, the consist</w:t>
      </w:r>
      <w:r>
        <w:rPr>
          <w:rFonts w:ascii="Times New Roman" w:eastAsia="Times New Roman" w:hAnsi="Times New Roman" w:cs="Times New Roman"/>
          <w:sz w:val="24"/>
          <w:szCs w:val="24"/>
        </w:rPr>
        <w:t xml:space="preserve">ency of findings across surveillance, clinical, and molecular investigations </w:t>
      </w:r>
      <w:proofErr w:type="gramStart"/>
      <w:r>
        <w:rPr>
          <w:rFonts w:ascii="Times New Roman" w:eastAsia="Times New Roman" w:hAnsi="Times New Roman" w:cs="Times New Roman"/>
          <w:sz w:val="24"/>
          <w:szCs w:val="24"/>
        </w:rPr>
        <w:t>strengthens</w:t>
      </w:r>
      <w:proofErr w:type="gramEnd"/>
      <w:r>
        <w:rPr>
          <w:rFonts w:ascii="Times New Roman" w:eastAsia="Times New Roman" w:hAnsi="Times New Roman" w:cs="Times New Roman"/>
          <w:sz w:val="24"/>
          <w:szCs w:val="24"/>
        </w:rPr>
        <w:t xml:space="preserve"> the validity of this review. At the same time, the limited number of studies highlights gaps in standardized and nationwide clinical AMR research in the Philippines. T</w:t>
      </w:r>
      <w:r>
        <w:rPr>
          <w:rFonts w:ascii="Times New Roman" w:eastAsia="Times New Roman" w:hAnsi="Times New Roman" w:cs="Times New Roman"/>
          <w:sz w:val="24"/>
          <w:szCs w:val="24"/>
        </w:rPr>
        <w:t>hese findings underscore the urgent need for strengthened surveillance systems, improved antimicrobial stewardship, and enhanced infection prevention and control measures to mitigate the growing burden of antimicrobial resistance.</w:t>
      </w:r>
    </w:p>
    <w:p w14:paraId="19CFE0C0" w14:textId="77777777" w:rsidR="007D5FB4" w:rsidRDefault="007D5FB4">
      <w:pPr>
        <w:pStyle w:val="Heading1"/>
        <w:keepNext w:val="0"/>
        <w:keepLines w:val="0"/>
        <w:spacing w:before="240" w:after="240"/>
        <w:jc w:val="both"/>
        <w:rPr>
          <w:rFonts w:ascii="Times New Roman" w:eastAsia="Times New Roman" w:hAnsi="Times New Roman" w:cs="Times New Roman"/>
          <w:sz w:val="24"/>
          <w:szCs w:val="24"/>
        </w:rPr>
      </w:pPr>
      <w:bookmarkStart w:id="37" w:name="_7lyu1gf46d4f_Copy_3"/>
      <w:bookmarkEnd w:id="37"/>
    </w:p>
    <w:p w14:paraId="56EDDE3F" w14:textId="77777777" w:rsidR="007D5FB4" w:rsidRDefault="007D5FB4">
      <w:pPr>
        <w:pStyle w:val="Heading1"/>
        <w:keepNext w:val="0"/>
        <w:keepLines w:val="0"/>
        <w:spacing w:before="240" w:after="240"/>
        <w:jc w:val="both"/>
        <w:rPr>
          <w:rFonts w:ascii="Times New Roman" w:eastAsia="Times New Roman" w:hAnsi="Times New Roman" w:cs="Times New Roman"/>
          <w:sz w:val="24"/>
          <w:szCs w:val="24"/>
        </w:rPr>
      </w:pPr>
      <w:bookmarkStart w:id="38" w:name="_pahlsn5vm0lg"/>
      <w:bookmarkEnd w:id="38"/>
    </w:p>
    <w:p w14:paraId="7E73EF13" w14:textId="77777777" w:rsidR="007D5FB4" w:rsidRDefault="007D5FB4">
      <w:pPr>
        <w:pStyle w:val="Heading2"/>
        <w:keepNext w:val="0"/>
        <w:keepLines w:val="0"/>
        <w:spacing w:after="80"/>
        <w:jc w:val="both"/>
        <w:rPr>
          <w:rFonts w:ascii="Times New Roman" w:eastAsia="Times New Roman" w:hAnsi="Times New Roman" w:cs="Times New Roman"/>
          <w:b/>
          <w:bCs/>
          <w:sz w:val="24"/>
          <w:szCs w:val="24"/>
        </w:rPr>
      </w:pPr>
      <w:bookmarkStart w:id="39" w:name="_lgzxegr1qx1s"/>
      <w:bookmarkEnd w:id="39"/>
    </w:p>
    <w:p w14:paraId="40A7A416" w14:textId="77777777" w:rsidR="007D5FB4" w:rsidRDefault="007D5FB4">
      <w:pPr>
        <w:pStyle w:val="Heading2"/>
        <w:keepNext w:val="0"/>
        <w:keepLines w:val="0"/>
        <w:spacing w:after="80"/>
        <w:jc w:val="both"/>
        <w:rPr>
          <w:rFonts w:ascii="Times New Roman" w:eastAsia="Times New Roman" w:hAnsi="Times New Roman" w:cs="Times New Roman"/>
          <w:b/>
          <w:bCs/>
          <w:sz w:val="24"/>
          <w:szCs w:val="24"/>
        </w:rPr>
      </w:pPr>
      <w:bookmarkStart w:id="40" w:name="_nrm8ikqy0snn"/>
      <w:bookmarkEnd w:id="40"/>
    </w:p>
    <w:p w14:paraId="7A4EC751" w14:textId="77777777" w:rsidR="007D5FB4" w:rsidRDefault="007D5FB4">
      <w:pPr>
        <w:pStyle w:val="Heading2"/>
        <w:keepNext w:val="0"/>
        <w:keepLines w:val="0"/>
        <w:spacing w:after="80"/>
        <w:jc w:val="both"/>
        <w:rPr>
          <w:rFonts w:ascii="Times New Roman" w:eastAsia="Times New Roman" w:hAnsi="Times New Roman" w:cs="Times New Roman"/>
          <w:b/>
          <w:bCs/>
          <w:sz w:val="24"/>
          <w:szCs w:val="24"/>
        </w:rPr>
      </w:pPr>
      <w:bookmarkStart w:id="41" w:name="_bpy2ix98r00q"/>
      <w:bookmarkEnd w:id="41"/>
    </w:p>
    <w:p w14:paraId="3B415AC6" w14:textId="77777777" w:rsidR="007D5FB4" w:rsidRDefault="003D1A1D">
      <w:pPr>
        <w:pStyle w:val="Heading2"/>
        <w:keepNext w:val="0"/>
        <w:keepLines w:val="0"/>
        <w:spacing w:after="80"/>
        <w:jc w:val="both"/>
        <w:rPr>
          <w:rFonts w:ascii="Times New Roman" w:eastAsia="Times New Roman" w:hAnsi="Times New Roman" w:cs="Times New Roman"/>
          <w:b/>
          <w:bCs/>
          <w:sz w:val="24"/>
          <w:szCs w:val="24"/>
        </w:rPr>
      </w:pPr>
      <w:bookmarkStart w:id="42" w:name="_xb010olrg1ml"/>
      <w:bookmarkEnd w:id="42"/>
      <w:r>
        <w:rPr>
          <w:rFonts w:ascii="Times New Roman" w:eastAsia="Times New Roman" w:hAnsi="Times New Roman" w:cs="Times New Roman"/>
          <w:b/>
          <w:bCs/>
          <w:sz w:val="24"/>
          <w:szCs w:val="24"/>
        </w:rPr>
        <w:t>RECOMMENDATIONS</w:t>
      </w:r>
    </w:p>
    <w:p w14:paraId="55442A95" w14:textId="77777777" w:rsidR="007D5FB4" w:rsidRDefault="007D5FB4">
      <w:pPr>
        <w:pStyle w:val="normal1"/>
      </w:pPr>
    </w:p>
    <w:p w14:paraId="33226900" w14:textId="77777777" w:rsidR="007D5FB4" w:rsidRDefault="003D1A1D">
      <w:pPr>
        <w:pStyle w:val="normal1"/>
        <w:spacing w:before="240" w:after="240" w:line="240" w:lineRule="auto"/>
        <w:jc w:val="both"/>
      </w:pPr>
      <w:r>
        <w:t>Based on the findings of this systematic review, several key recommendations are proposed to address antimicrobial resistance in the Philippines.</w:t>
      </w:r>
    </w:p>
    <w:p w14:paraId="4A22FACB" w14:textId="77777777" w:rsidR="007D5FB4" w:rsidRDefault="003D1A1D">
      <w:pPr>
        <w:pStyle w:val="normal1"/>
        <w:spacing w:before="240" w:after="240" w:line="240" w:lineRule="auto"/>
        <w:jc w:val="both"/>
      </w:pPr>
      <w:r>
        <w:t xml:space="preserve">First, antimicrobial stewardship programs should be strengthened and expanded across all healthcare settings. </w:t>
      </w:r>
      <w:r>
        <w:t>Implementation of standardized prescribing guidelines, routine audit and feedback systems, and continuous training of healthcare professionals is essential to promote rational antibiotic use and reduce inappropriate prescribing practices.</w:t>
      </w:r>
    </w:p>
    <w:p w14:paraId="3AFC16C3" w14:textId="77777777" w:rsidR="007D5FB4" w:rsidRDefault="003D1A1D">
      <w:pPr>
        <w:pStyle w:val="normal1"/>
        <w:spacing w:before="240" w:after="240" w:line="240" w:lineRule="auto"/>
        <w:jc w:val="both"/>
        <w:rPr>
          <w:color w:val="000000"/>
        </w:rPr>
      </w:pPr>
      <w:r>
        <w:rPr>
          <w:color w:val="000000"/>
        </w:rPr>
        <w:t xml:space="preserve">Second, national </w:t>
      </w:r>
      <w:r>
        <w:rPr>
          <w:color w:val="000000"/>
        </w:rPr>
        <w:t>antimicrobial resistance surveillance systems should be enhanced and standardized. Efforts should focus on expanding geographic coverage, particularly in underrepresented regions, and ensuring that laboratory methodologies for detection and screening are c</w:t>
      </w:r>
      <w:r>
        <w:rPr>
          <w:color w:val="000000"/>
        </w:rPr>
        <w:t>onsistently in place and readily available enabling the early identification of cases as they arise, thereby contributing to their timely confirmation and effective management. This includes the use of chromogenic agars in the isolation, modified Carbapene</w:t>
      </w:r>
      <w:r>
        <w:rPr>
          <w:color w:val="000000"/>
        </w:rPr>
        <w:t>m isolation method (</w:t>
      </w:r>
      <w:proofErr w:type="spellStart"/>
      <w:r>
        <w:rPr>
          <w:color w:val="000000"/>
        </w:rPr>
        <w:t>mCIM</w:t>
      </w:r>
      <w:proofErr w:type="spellEnd"/>
      <w:r>
        <w:rPr>
          <w:color w:val="000000"/>
        </w:rPr>
        <w:t>), EDTA-modified Carbapenem isolation method (</w:t>
      </w:r>
      <w:proofErr w:type="spellStart"/>
      <w:r>
        <w:rPr>
          <w:color w:val="000000"/>
        </w:rPr>
        <w:t>eCIM</w:t>
      </w:r>
      <w:proofErr w:type="spellEnd"/>
      <w:r>
        <w:rPr>
          <w:color w:val="000000"/>
        </w:rPr>
        <w:t xml:space="preserve">), and </w:t>
      </w:r>
      <w:proofErr w:type="spellStart"/>
      <w:r>
        <w:rPr>
          <w:color w:val="000000"/>
        </w:rPr>
        <w:t>Carbapenemase</w:t>
      </w:r>
      <w:proofErr w:type="spellEnd"/>
      <w:r>
        <w:rPr>
          <w:color w:val="000000"/>
        </w:rPr>
        <w:t xml:space="preserve"> </w:t>
      </w:r>
      <w:proofErr w:type="spellStart"/>
      <w:r>
        <w:rPr>
          <w:color w:val="000000"/>
        </w:rPr>
        <w:t>Nordmann-Poirel</w:t>
      </w:r>
      <w:proofErr w:type="spellEnd"/>
      <w:r>
        <w:rPr>
          <w:color w:val="000000"/>
        </w:rPr>
        <w:t xml:space="preserve"> (</w:t>
      </w:r>
      <w:proofErr w:type="spellStart"/>
      <w:r>
        <w:rPr>
          <w:color w:val="000000"/>
        </w:rPr>
        <w:t>CarbaNP</w:t>
      </w:r>
      <w:proofErr w:type="spellEnd"/>
      <w:r>
        <w:rPr>
          <w:color w:val="000000"/>
        </w:rPr>
        <w:t>) test. Integration of molecular surveillance approaches, such as whole-genome sequencing, should be supported to improve detection of re</w:t>
      </w:r>
      <w:r>
        <w:rPr>
          <w:color w:val="000000"/>
        </w:rPr>
        <w:t>sistance mechanisms and transmission dynamics.</w:t>
      </w:r>
    </w:p>
    <w:p w14:paraId="74020895" w14:textId="77777777" w:rsidR="007D5FB4" w:rsidRDefault="003D1A1D">
      <w:pPr>
        <w:pStyle w:val="normal1"/>
        <w:spacing w:before="240" w:after="240" w:line="240" w:lineRule="auto"/>
        <w:jc w:val="both"/>
      </w:pPr>
      <w:r>
        <w:t>Third, infection prevention and control measures should be reinforced, particularly in hospital and intensive care settings where multidrug-resistant organisms are most prevalent. Strengthening hygiene protoco</w:t>
      </w:r>
      <w:r>
        <w:t>ls, surveillance of hospital-acquired infections, and adherence to infection control practices are critical to limiting the spread of resistant pathogens.</w:t>
      </w:r>
    </w:p>
    <w:p w14:paraId="0D1042DA" w14:textId="77777777" w:rsidR="007D5FB4" w:rsidRDefault="003D1A1D">
      <w:pPr>
        <w:pStyle w:val="normal1"/>
        <w:spacing w:before="240" w:after="240" w:line="240" w:lineRule="auto"/>
        <w:jc w:val="both"/>
      </w:pPr>
      <w:r>
        <w:lastRenderedPageBreak/>
        <w:t xml:space="preserve">Fourth, regulatory enforcement on antimicrobial use should be improved, particularly in clinical and </w:t>
      </w:r>
      <w:r>
        <w:t>community settings. Policies restricting over-the-counter access to antibiotics should be strictly implemented, and monitoring systems should be strengthened to ensure compliance with prescribing regulations.</w:t>
      </w:r>
    </w:p>
    <w:p w14:paraId="43E16F73" w14:textId="77777777" w:rsidR="007D5FB4" w:rsidRDefault="003D1A1D">
      <w:pPr>
        <w:pStyle w:val="normal1"/>
        <w:spacing w:before="240" w:after="240" w:line="240" w:lineRule="auto"/>
        <w:jc w:val="both"/>
      </w:pPr>
      <w:r>
        <w:t>Finally, future research should prioritize mult</w:t>
      </w:r>
      <w:r>
        <w:t>icenter, longitudinal, and molecular epidemiological studies to better understand resistance trends, transmission dynamics, and the effectiveness of interventions. Strengthening collaboration among healthcare institutions, government agencies, and research</w:t>
      </w:r>
      <w:r>
        <w:t xml:space="preserve"> organizations will be essential to support evidence-based strategies for antimicrobial resistance control in the Philippines.</w:t>
      </w:r>
    </w:p>
    <w:p w14:paraId="1C70CFCD" w14:textId="77777777" w:rsidR="007D5FB4" w:rsidRDefault="007D5FB4">
      <w:pPr>
        <w:pStyle w:val="Heading1"/>
        <w:keepNext w:val="0"/>
        <w:keepLines w:val="0"/>
        <w:spacing w:before="480"/>
        <w:jc w:val="both"/>
        <w:rPr>
          <w:rFonts w:ascii="Times New Roman" w:eastAsia="Times New Roman" w:hAnsi="Times New Roman" w:cs="Times New Roman"/>
          <w:b/>
          <w:bCs/>
          <w:sz w:val="24"/>
          <w:szCs w:val="24"/>
        </w:rPr>
      </w:pPr>
      <w:bookmarkStart w:id="43" w:name="_gh6c8jkh7iag"/>
      <w:bookmarkStart w:id="44" w:name="_xpx912kam11f"/>
      <w:bookmarkEnd w:id="43"/>
      <w:bookmarkEnd w:id="44"/>
    </w:p>
    <w:p w14:paraId="2EE0A000" w14:textId="77777777" w:rsidR="007D5FB4" w:rsidRDefault="003D1A1D">
      <w:pPr>
        <w:pStyle w:val="Heading1"/>
        <w:keepNext w:val="0"/>
        <w:keepLines w:val="0"/>
        <w:spacing w:before="480"/>
        <w:jc w:val="both"/>
        <w:rPr>
          <w:rFonts w:ascii="Times New Roman" w:eastAsia="Times New Roman" w:hAnsi="Times New Roman" w:cs="Times New Roman"/>
          <w:b/>
          <w:bCs/>
          <w:sz w:val="46"/>
          <w:szCs w:val="46"/>
        </w:rPr>
      </w:pPr>
      <w:bookmarkStart w:id="45" w:name="_806qtydxdmey"/>
      <w:bookmarkEnd w:id="45"/>
      <w:r>
        <w:rPr>
          <w:rFonts w:ascii="Times New Roman" w:eastAsia="Times New Roman" w:hAnsi="Times New Roman" w:cs="Times New Roman"/>
          <w:b/>
          <w:bCs/>
          <w:sz w:val="24"/>
          <w:szCs w:val="24"/>
        </w:rPr>
        <w:t>REFERENCES</w:t>
      </w:r>
    </w:p>
    <w:p w14:paraId="7A66E023" w14:textId="77777777" w:rsidR="007D5FB4" w:rsidRDefault="003D1A1D">
      <w:pPr>
        <w:pStyle w:val="normal1"/>
        <w:spacing w:before="240" w:line="24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Abeleda</w:t>
      </w:r>
      <w:proofErr w:type="spellEnd"/>
      <w:r>
        <w:rPr>
          <w:rFonts w:ascii="Times New Roman" w:eastAsia="Times New Roman" w:hAnsi="Times New Roman" w:cs="Times New Roman"/>
          <w:sz w:val="24"/>
          <w:szCs w:val="24"/>
        </w:rPr>
        <w:t xml:space="preserve">, M. A., Peña, I., </w:t>
      </w:r>
      <w:proofErr w:type="spellStart"/>
      <w:r>
        <w:rPr>
          <w:rFonts w:ascii="Times New Roman" w:eastAsia="Times New Roman" w:hAnsi="Times New Roman" w:cs="Times New Roman"/>
          <w:sz w:val="24"/>
          <w:szCs w:val="24"/>
        </w:rPr>
        <w:t>Salenga</w:t>
      </w:r>
      <w:proofErr w:type="spellEnd"/>
      <w:r>
        <w:rPr>
          <w:rFonts w:ascii="Times New Roman" w:eastAsia="Times New Roman" w:hAnsi="Times New Roman" w:cs="Times New Roman"/>
          <w:sz w:val="24"/>
          <w:szCs w:val="24"/>
        </w:rPr>
        <w:t xml:space="preserve">, R., </w:t>
      </w:r>
      <w:proofErr w:type="spellStart"/>
      <w:r>
        <w:rPr>
          <w:rFonts w:ascii="Times New Roman" w:eastAsia="Times New Roman" w:hAnsi="Times New Roman" w:cs="Times New Roman"/>
          <w:sz w:val="24"/>
          <w:szCs w:val="24"/>
        </w:rPr>
        <w:t>Capule</w:t>
      </w:r>
      <w:proofErr w:type="spellEnd"/>
      <w:r>
        <w:rPr>
          <w:rFonts w:ascii="Times New Roman" w:eastAsia="Times New Roman" w:hAnsi="Times New Roman" w:cs="Times New Roman"/>
          <w:sz w:val="24"/>
          <w:szCs w:val="24"/>
        </w:rPr>
        <w:t xml:space="preserve">, F., </w:t>
      </w:r>
      <w:proofErr w:type="spellStart"/>
      <w:r>
        <w:rPr>
          <w:rFonts w:ascii="Times New Roman" w:eastAsia="Times New Roman" w:hAnsi="Times New Roman" w:cs="Times New Roman"/>
          <w:sz w:val="24"/>
          <w:szCs w:val="24"/>
        </w:rPr>
        <w:t>Nacabu</w:t>
      </w:r>
      <w:proofErr w:type="spellEnd"/>
      <w:r>
        <w:rPr>
          <w:rFonts w:ascii="Times New Roman" w:eastAsia="Times New Roman" w:hAnsi="Times New Roman" w:cs="Times New Roman"/>
          <w:sz w:val="24"/>
          <w:szCs w:val="24"/>
        </w:rPr>
        <w:t xml:space="preserve">-an, S. M., &amp; </w:t>
      </w:r>
      <w:proofErr w:type="spellStart"/>
      <w:r>
        <w:rPr>
          <w:rFonts w:ascii="Times New Roman" w:eastAsia="Times New Roman" w:hAnsi="Times New Roman" w:cs="Times New Roman"/>
          <w:sz w:val="24"/>
          <w:szCs w:val="24"/>
        </w:rPr>
        <w:t>Nala</w:t>
      </w:r>
      <w:proofErr w:type="spellEnd"/>
      <w:r>
        <w:rPr>
          <w:rFonts w:ascii="Times New Roman" w:eastAsia="Times New Roman" w:hAnsi="Times New Roman" w:cs="Times New Roman"/>
          <w:sz w:val="24"/>
          <w:szCs w:val="24"/>
        </w:rPr>
        <w:t>, P. (2024). Antimicrobial consumption</w:t>
      </w:r>
      <w:r>
        <w:rPr>
          <w:rFonts w:ascii="Times New Roman" w:eastAsia="Times New Roman" w:hAnsi="Times New Roman" w:cs="Times New Roman"/>
          <w:sz w:val="24"/>
          <w:szCs w:val="24"/>
        </w:rPr>
        <w:t xml:space="preserve"> and resistance of restricted antibiotics in a Level III government hospital. </w:t>
      </w:r>
      <w:r>
        <w:rPr>
          <w:rFonts w:ascii="Times New Roman" w:eastAsia="Times New Roman" w:hAnsi="Times New Roman" w:cs="Times New Roman"/>
          <w:i/>
          <w:iCs/>
          <w:sz w:val="24"/>
          <w:szCs w:val="24"/>
        </w:rPr>
        <w:t xml:space="preserve">Acta </w:t>
      </w:r>
      <w:proofErr w:type="spellStart"/>
      <w:r>
        <w:rPr>
          <w:rFonts w:ascii="Times New Roman" w:eastAsia="Times New Roman" w:hAnsi="Times New Roman" w:cs="Times New Roman"/>
          <w:i/>
          <w:iCs/>
          <w:sz w:val="24"/>
          <w:szCs w:val="24"/>
        </w:rPr>
        <w:t>Medica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Philippina</w:t>
      </w:r>
      <w:proofErr w:type="spellEnd"/>
      <w:r>
        <w:rPr>
          <w:rFonts w:ascii="Times New Roman" w:eastAsia="Times New Roman" w:hAnsi="Times New Roman" w:cs="Times New Roman"/>
          <w:i/>
          <w:iCs/>
          <w:sz w:val="24"/>
          <w:szCs w:val="24"/>
        </w:rPr>
        <w:t>, 58</w:t>
      </w:r>
      <w:r>
        <w:rPr>
          <w:rFonts w:ascii="Times New Roman" w:eastAsia="Times New Roman" w:hAnsi="Times New Roman" w:cs="Times New Roman"/>
          <w:sz w:val="24"/>
          <w:szCs w:val="24"/>
        </w:rPr>
        <w:t xml:space="preserve">(16), 68–76. https://doi.org/10.47895/amp.vi0.8056 </w:t>
      </w:r>
    </w:p>
    <w:p w14:paraId="57B18B23" w14:textId="77777777" w:rsidR="007D5FB4" w:rsidRDefault="003D1A1D">
      <w:pPr>
        <w:pStyle w:val="normal1"/>
        <w:spacing w:before="240" w:line="24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Agoncillo</w:t>
      </w:r>
      <w:proofErr w:type="spellEnd"/>
      <w:r>
        <w:rPr>
          <w:rFonts w:ascii="Times New Roman" w:eastAsia="Times New Roman" w:hAnsi="Times New Roman" w:cs="Times New Roman"/>
          <w:sz w:val="24"/>
          <w:szCs w:val="24"/>
        </w:rPr>
        <w:t xml:space="preserve">, A. R., Andres, R. P., </w:t>
      </w:r>
      <w:proofErr w:type="spellStart"/>
      <w:r>
        <w:rPr>
          <w:rFonts w:ascii="Times New Roman" w:eastAsia="Times New Roman" w:hAnsi="Times New Roman" w:cs="Times New Roman"/>
          <w:sz w:val="24"/>
          <w:szCs w:val="24"/>
        </w:rPr>
        <w:t>Bastona</w:t>
      </w:r>
      <w:proofErr w:type="spellEnd"/>
      <w:r>
        <w:rPr>
          <w:rFonts w:ascii="Times New Roman" w:eastAsia="Times New Roman" w:hAnsi="Times New Roman" w:cs="Times New Roman"/>
          <w:sz w:val="24"/>
          <w:szCs w:val="24"/>
        </w:rPr>
        <w:t>, J. N. C., &amp; Abu, C. T. (2020). Factors associated with mor</w:t>
      </w:r>
      <w:r>
        <w:rPr>
          <w:rFonts w:ascii="Times New Roman" w:eastAsia="Times New Roman" w:hAnsi="Times New Roman" w:cs="Times New Roman"/>
          <w:sz w:val="24"/>
          <w:szCs w:val="24"/>
        </w:rPr>
        <w:t xml:space="preserve">tality among </w:t>
      </w:r>
      <w:r>
        <w:rPr>
          <w:rFonts w:ascii="Times New Roman" w:eastAsia="Times New Roman" w:hAnsi="Times New Roman" w:cs="Times New Roman"/>
          <w:i/>
          <w:iCs/>
          <w:sz w:val="24"/>
          <w:szCs w:val="24"/>
        </w:rPr>
        <w:t xml:space="preserve">Acinetobacter </w:t>
      </w:r>
      <w:proofErr w:type="spellStart"/>
      <w:r>
        <w:rPr>
          <w:rFonts w:ascii="Times New Roman" w:eastAsia="Times New Roman" w:hAnsi="Times New Roman" w:cs="Times New Roman"/>
          <w:i/>
          <w:iCs/>
          <w:sz w:val="24"/>
          <w:szCs w:val="24"/>
        </w:rPr>
        <w:t>baumannii</w:t>
      </w:r>
      <w:proofErr w:type="spellEnd"/>
      <w:r>
        <w:rPr>
          <w:rFonts w:ascii="Times New Roman" w:eastAsia="Times New Roman" w:hAnsi="Times New Roman" w:cs="Times New Roman"/>
          <w:sz w:val="24"/>
          <w:szCs w:val="24"/>
        </w:rPr>
        <w:t xml:space="preserve"> infected patients in a tertiary hospital in the Philippines. </w:t>
      </w:r>
      <w:r>
        <w:rPr>
          <w:rFonts w:ascii="Times New Roman" w:eastAsia="Times New Roman" w:hAnsi="Times New Roman" w:cs="Times New Roman"/>
          <w:i/>
          <w:iCs/>
          <w:sz w:val="24"/>
          <w:szCs w:val="24"/>
        </w:rPr>
        <w:t>HERDIN Research Database</w:t>
      </w:r>
      <w:r>
        <w:rPr>
          <w:rFonts w:ascii="Times New Roman" w:eastAsia="Times New Roman" w:hAnsi="Times New Roman" w:cs="Times New Roman"/>
          <w:sz w:val="24"/>
          <w:szCs w:val="24"/>
        </w:rPr>
        <w:t>.</w:t>
      </w:r>
      <w:hyperlink r:id="rId7">
        <w:r w:rsidR="007D5FB4">
          <w:rPr>
            <w:rFonts w:ascii="Times New Roman" w:eastAsia="Times New Roman" w:hAnsi="Times New Roman" w:cs="Times New Roman"/>
            <w:sz w:val="24"/>
            <w:szCs w:val="24"/>
          </w:rPr>
          <w:t xml:space="preserve"> </w:t>
        </w:r>
      </w:hyperlink>
      <w:hyperlink r:id="rId8">
        <w:r w:rsidR="007D5FB4">
          <w:rPr>
            <w:rFonts w:ascii="Times New Roman" w:eastAsia="Times New Roman" w:hAnsi="Times New Roman" w:cs="Times New Roman"/>
            <w:sz w:val="24"/>
            <w:szCs w:val="24"/>
          </w:rPr>
          <w:t>https://www.herdin.ph/index.php?view=research&amp;cid=77312</w:t>
        </w:r>
      </w:hyperlink>
    </w:p>
    <w:p w14:paraId="51339142" w14:textId="77777777" w:rsidR="007D5FB4" w:rsidRDefault="003D1A1D">
      <w:pPr>
        <w:pStyle w:val="normal1"/>
        <w:spacing w:before="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w:t>
      </w:r>
      <w:proofErr w:type="spellStart"/>
      <w:r>
        <w:rPr>
          <w:rFonts w:ascii="Times New Roman" w:eastAsia="Times New Roman" w:hAnsi="Times New Roman" w:cs="Times New Roman"/>
          <w:sz w:val="24"/>
          <w:szCs w:val="24"/>
        </w:rPr>
        <w:t>Khalaifah</w:t>
      </w:r>
      <w:proofErr w:type="spellEnd"/>
      <w:r>
        <w:rPr>
          <w:rFonts w:ascii="Times New Roman" w:eastAsia="Times New Roman" w:hAnsi="Times New Roman" w:cs="Times New Roman"/>
          <w:sz w:val="24"/>
          <w:szCs w:val="24"/>
        </w:rPr>
        <w:t>, H., Rahman, M. H., Al-</w:t>
      </w:r>
      <w:proofErr w:type="spellStart"/>
      <w:r>
        <w:rPr>
          <w:rFonts w:ascii="Times New Roman" w:eastAsia="Times New Roman" w:hAnsi="Times New Roman" w:cs="Times New Roman"/>
          <w:sz w:val="24"/>
          <w:szCs w:val="24"/>
        </w:rPr>
        <w:t>Surrayai</w:t>
      </w:r>
      <w:proofErr w:type="spellEnd"/>
      <w:r>
        <w:rPr>
          <w:rFonts w:ascii="Times New Roman" w:eastAsia="Times New Roman" w:hAnsi="Times New Roman" w:cs="Times New Roman"/>
          <w:sz w:val="24"/>
          <w:szCs w:val="24"/>
        </w:rPr>
        <w:t>, T., Al-</w:t>
      </w:r>
      <w:proofErr w:type="spellStart"/>
      <w:r>
        <w:rPr>
          <w:rFonts w:ascii="Times New Roman" w:eastAsia="Times New Roman" w:hAnsi="Times New Roman" w:cs="Times New Roman"/>
          <w:sz w:val="24"/>
          <w:szCs w:val="24"/>
        </w:rPr>
        <w:t>Dhumair</w:t>
      </w:r>
      <w:proofErr w:type="spellEnd"/>
      <w:r>
        <w:rPr>
          <w:rFonts w:ascii="Times New Roman" w:eastAsia="Times New Roman" w:hAnsi="Times New Roman" w:cs="Times New Roman"/>
          <w:sz w:val="24"/>
          <w:szCs w:val="24"/>
        </w:rPr>
        <w:t>, A., &amp; Al-Hasan, M. (2025). A One-Health perspective of antimicrob</w:t>
      </w:r>
      <w:r>
        <w:rPr>
          <w:rFonts w:ascii="Times New Roman" w:eastAsia="Times New Roman" w:hAnsi="Times New Roman" w:cs="Times New Roman"/>
          <w:sz w:val="24"/>
          <w:szCs w:val="24"/>
        </w:rPr>
        <w:t xml:space="preserve">ial resistance (AMR): Human, animals and environmental health. </w:t>
      </w:r>
      <w:r>
        <w:rPr>
          <w:rFonts w:ascii="Times New Roman" w:eastAsia="Times New Roman" w:hAnsi="Times New Roman" w:cs="Times New Roman"/>
          <w:i/>
          <w:iCs/>
          <w:sz w:val="24"/>
          <w:szCs w:val="24"/>
        </w:rPr>
        <w:t>Life, 15</w:t>
      </w:r>
      <w:r>
        <w:rPr>
          <w:rFonts w:ascii="Times New Roman" w:eastAsia="Times New Roman" w:hAnsi="Times New Roman" w:cs="Times New Roman"/>
          <w:sz w:val="24"/>
          <w:szCs w:val="24"/>
        </w:rPr>
        <w:t>(10), 1598.</w:t>
      </w:r>
      <w:hyperlink r:id="rId9">
        <w:r w:rsidR="007D5FB4">
          <w:rPr>
            <w:rFonts w:ascii="Times New Roman" w:eastAsia="Times New Roman" w:hAnsi="Times New Roman" w:cs="Times New Roman"/>
            <w:sz w:val="24"/>
            <w:szCs w:val="24"/>
          </w:rPr>
          <w:t xml:space="preserve"> </w:t>
        </w:r>
      </w:hyperlink>
      <w:hyperlink r:id="rId10">
        <w:r w:rsidR="007D5FB4">
          <w:rPr>
            <w:rFonts w:ascii="Times New Roman" w:eastAsia="Times New Roman" w:hAnsi="Times New Roman" w:cs="Times New Roman"/>
            <w:sz w:val="24"/>
            <w:szCs w:val="24"/>
          </w:rPr>
          <w:t>https://doi.org/10.3390/life15101598</w:t>
        </w:r>
      </w:hyperlink>
    </w:p>
    <w:p w14:paraId="42587F1F" w14:textId="77777777" w:rsidR="007D5FB4" w:rsidRDefault="003D1A1D">
      <w:pPr>
        <w:pStyle w:val="normal1"/>
        <w:spacing w:before="240" w:line="24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Antochevis</w:t>
      </w:r>
      <w:proofErr w:type="spellEnd"/>
      <w:r>
        <w:rPr>
          <w:rFonts w:ascii="Times New Roman" w:eastAsia="Times New Roman" w:hAnsi="Times New Roman" w:cs="Times New Roman"/>
          <w:sz w:val="24"/>
          <w:szCs w:val="24"/>
        </w:rPr>
        <w:t>, L. C., et al</w:t>
      </w:r>
      <w:r>
        <w:rPr>
          <w:rFonts w:ascii="Times New Roman" w:eastAsia="Times New Roman" w:hAnsi="Times New Roman" w:cs="Times New Roman"/>
          <w:sz w:val="24"/>
          <w:szCs w:val="24"/>
        </w:rPr>
        <w:t xml:space="preserve">. (2025). World Health Organization priority antimicrobial resistance in </w:t>
      </w:r>
      <w:proofErr w:type="spellStart"/>
      <w:r>
        <w:rPr>
          <w:rFonts w:ascii="Times New Roman" w:eastAsia="Times New Roman" w:hAnsi="Times New Roman" w:cs="Times New Roman"/>
          <w:sz w:val="24"/>
          <w:szCs w:val="24"/>
        </w:rPr>
        <w:t>Enterobacterales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Acinetobacter </w:t>
      </w:r>
      <w:proofErr w:type="spellStart"/>
      <w:r>
        <w:rPr>
          <w:rFonts w:ascii="Times New Roman" w:eastAsia="Times New Roman" w:hAnsi="Times New Roman" w:cs="Times New Roman"/>
          <w:i/>
          <w:iCs/>
          <w:sz w:val="24"/>
          <w:szCs w:val="24"/>
        </w:rPr>
        <w:t>baumannii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Pseudomonas aeruginosa</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Staphylococcus aureus</w:t>
      </w:r>
      <w:r>
        <w:rPr>
          <w:rFonts w:ascii="Times New Roman" w:eastAsia="Times New Roman" w:hAnsi="Times New Roman" w:cs="Times New Roman"/>
          <w:sz w:val="24"/>
          <w:szCs w:val="24"/>
        </w:rPr>
        <w:t xml:space="preserve"> and </w:t>
      </w:r>
      <w:r>
        <w:rPr>
          <w:rFonts w:ascii="Times New Roman" w:eastAsia="Times New Roman" w:hAnsi="Times New Roman" w:cs="Times New Roman"/>
          <w:i/>
          <w:iCs/>
          <w:sz w:val="24"/>
          <w:szCs w:val="24"/>
        </w:rPr>
        <w:t>Enterococcus faecium</w:t>
      </w:r>
      <w:r>
        <w:rPr>
          <w:rFonts w:ascii="Times New Roman" w:eastAsia="Times New Roman" w:hAnsi="Times New Roman" w:cs="Times New Roman"/>
          <w:sz w:val="24"/>
          <w:szCs w:val="24"/>
        </w:rPr>
        <w:t xml:space="preserve"> healthcare-associated bloodstream infections in Brazil (ASCENSION). </w:t>
      </w:r>
      <w:r>
        <w:rPr>
          <w:rFonts w:ascii="Times New Roman" w:eastAsia="Times New Roman" w:hAnsi="Times New Roman" w:cs="Times New Roman"/>
          <w:i/>
          <w:iCs/>
          <w:sz w:val="24"/>
          <w:szCs w:val="24"/>
        </w:rPr>
        <w:t>T</w:t>
      </w:r>
      <w:r>
        <w:rPr>
          <w:rFonts w:ascii="Times New Roman" w:eastAsia="Times New Roman" w:hAnsi="Times New Roman" w:cs="Times New Roman"/>
          <w:i/>
          <w:iCs/>
          <w:sz w:val="24"/>
          <w:szCs w:val="24"/>
        </w:rPr>
        <w:t>he Lancet Regional Health – Americas, 43</w:t>
      </w:r>
      <w:r>
        <w:rPr>
          <w:rFonts w:ascii="Times New Roman" w:eastAsia="Times New Roman" w:hAnsi="Times New Roman" w:cs="Times New Roman"/>
          <w:sz w:val="24"/>
          <w:szCs w:val="24"/>
        </w:rPr>
        <w:t>, 101004.</w:t>
      </w:r>
      <w:hyperlink r:id="rId11">
        <w:r w:rsidR="007D5FB4">
          <w:rPr>
            <w:rFonts w:ascii="Times New Roman" w:eastAsia="Times New Roman" w:hAnsi="Times New Roman" w:cs="Times New Roman"/>
            <w:sz w:val="24"/>
            <w:szCs w:val="24"/>
          </w:rPr>
          <w:t xml:space="preserve"> </w:t>
        </w:r>
      </w:hyperlink>
      <w:hyperlink r:id="rId12">
        <w:r w:rsidR="007D5FB4">
          <w:rPr>
            <w:rFonts w:ascii="Times New Roman" w:eastAsia="Times New Roman" w:hAnsi="Times New Roman" w:cs="Times New Roman"/>
            <w:sz w:val="24"/>
            <w:szCs w:val="24"/>
          </w:rPr>
          <w:t>https://doi.org/10.1016/j.lana.2025.101004</w:t>
        </w:r>
      </w:hyperlink>
    </w:p>
    <w:p w14:paraId="5811A28D" w14:textId="77777777" w:rsidR="007D5FB4" w:rsidRDefault="003D1A1D">
      <w:pPr>
        <w:pStyle w:val="normal1"/>
        <w:spacing w:before="240" w:line="24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Argimón</w:t>
      </w:r>
      <w:proofErr w:type="spellEnd"/>
      <w:r>
        <w:rPr>
          <w:rFonts w:ascii="Times New Roman" w:eastAsia="Times New Roman" w:hAnsi="Times New Roman" w:cs="Times New Roman"/>
          <w:sz w:val="24"/>
          <w:szCs w:val="24"/>
        </w:rPr>
        <w:t>, S., et al. (2019). Integrating</w:t>
      </w:r>
      <w:r>
        <w:rPr>
          <w:rFonts w:ascii="Times New Roman" w:eastAsia="Times New Roman" w:hAnsi="Times New Roman" w:cs="Times New Roman"/>
          <w:sz w:val="24"/>
          <w:szCs w:val="24"/>
        </w:rPr>
        <w:t xml:space="preserve"> whole-genome sequencing within the National Antimicrobial Resistance Surveillance Program in the Philippines. </w:t>
      </w:r>
      <w:r>
        <w:rPr>
          <w:rFonts w:ascii="Times New Roman" w:eastAsia="Times New Roman" w:hAnsi="Times New Roman" w:cs="Times New Roman"/>
          <w:i/>
          <w:iCs/>
          <w:sz w:val="24"/>
          <w:szCs w:val="24"/>
        </w:rPr>
        <w:t>Nature Communications, 10</w:t>
      </w:r>
      <w:r>
        <w:rPr>
          <w:rFonts w:ascii="Times New Roman" w:eastAsia="Times New Roman" w:hAnsi="Times New Roman" w:cs="Times New Roman"/>
          <w:sz w:val="24"/>
          <w:szCs w:val="24"/>
        </w:rPr>
        <w:t>, 1–15.</w:t>
      </w:r>
      <w:hyperlink r:id="rId13">
        <w:r w:rsidR="007D5FB4">
          <w:rPr>
            <w:rFonts w:ascii="Times New Roman" w:eastAsia="Times New Roman" w:hAnsi="Times New Roman" w:cs="Times New Roman"/>
            <w:sz w:val="24"/>
            <w:szCs w:val="24"/>
          </w:rPr>
          <w:t xml:space="preserve"> </w:t>
        </w:r>
      </w:hyperlink>
      <w:hyperlink r:id="rId14">
        <w:r w:rsidR="007D5FB4">
          <w:rPr>
            <w:rFonts w:ascii="Times New Roman" w:eastAsia="Times New Roman" w:hAnsi="Times New Roman" w:cs="Times New Roman"/>
            <w:sz w:val="24"/>
            <w:szCs w:val="24"/>
          </w:rPr>
          <w:t>https://doi.org/10.1038/s41467-019-13977-7</w:t>
        </w:r>
      </w:hyperlink>
    </w:p>
    <w:p w14:paraId="3795D058" w14:textId="77777777" w:rsidR="007D5FB4" w:rsidRDefault="003D1A1D">
      <w:pPr>
        <w:pStyle w:val="normal1"/>
        <w:spacing w:before="240" w:line="24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Argimón</w:t>
      </w:r>
      <w:proofErr w:type="spellEnd"/>
      <w:r>
        <w:rPr>
          <w:rFonts w:ascii="Times New Roman" w:eastAsia="Times New Roman" w:hAnsi="Times New Roman" w:cs="Times New Roman"/>
          <w:sz w:val="24"/>
          <w:szCs w:val="24"/>
        </w:rPr>
        <w:t xml:space="preserve">, S., et al. (2020). Integrating whole-genome sequencing within the national antimicrobial resistance surveillance program in the Philippines. </w:t>
      </w:r>
      <w:r>
        <w:rPr>
          <w:rFonts w:ascii="Times New Roman" w:eastAsia="Times New Roman" w:hAnsi="Times New Roman" w:cs="Times New Roman"/>
          <w:i/>
          <w:iCs/>
          <w:sz w:val="24"/>
          <w:szCs w:val="24"/>
        </w:rPr>
        <w:t>Nature Communications, 11</w:t>
      </w:r>
      <w:r>
        <w:rPr>
          <w:rFonts w:ascii="Times New Roman" w:eastAsia="Times New Roman" w:hAnsi="Times New Roman" w:cs="Times New Roman"/>
          <w:sz w:val="24"/>
          <w:szCs w:val="24"/>
        </w:rPr>
        <w:t>, 2719.</w:t>
      </w:r>
      <w:hyperlink r:id="rId15">
        <w:r w:rsidR="007D5FB4">
          <w:rPr>
            <w:rFonts w:ascii="Times New Roman" w:eastAsia="Times New Roman" w:hAnsi="Times New Roman" w:cs="Times New Roman"/>
            <w:sz w:val="24"/>
            <w:szCs w:val="24"/>
          </w:rPr>
          <w:t xml:space="preserve"> </w:t>
        </w:r>
      </w:hyperlink>
      <w:hyperlink r:id="rId16">
        <w:r w:rsidR="007D5FB4">
          <w:rPr>
            <w:rFonts w:ascii="Times New Roman" w:eastAsia="Times New Roman" w:hAnsi="Times New Roman" w:cs="Times New Roman"/>
            <w:sz w:val="24"/>
            <w:szCs w:val="24"/>
          </w:rPr>
          <w:t>https://doi.org/10.1038/s41467-020-18459-2</w:t>
        </w:r>
      </w:hyperlink>
    </w:p>
    <w:p w14:paraId="096680A3" w14:textId="77777777" w:rsidR="007D5FB4" w:rsidRDefault="003D1A1D">
      <w:pPr>
        <w:pStyle w:val="normal1"/>
        <w:spacing w:before="240" w:line="24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Bacabac</w:t>
      </w:r>
      <w:proofErr w:type="spellEnd"/>
      <w:r>
        <w:rPr>
          <w:rFonts w:ascii="Times New Roman" w:eastAsia="Times New Roman" w:hAnsi="Times New Roman" w:cs="Times New Roman"/>
          <w:sz w:val="24"/>
          <w:szCs w:val="24"/>
        </w:rPr>
        <w:t xml:space="preserve">, E. J., Gomez, R., </w:t>
      </w:r>
      <w:proofErr w:type="spellStart"/>
      <w:r>
        <w:rPr>
          <w:rFonts w:ascii="Times New Roman" w:eastAsia="Times New Roman" w:hAnsi="Times New Roman" w:cs="Times New Roman"/>
          <w:sz w:val="24"/>
          <w:szCs w:val="24"/>
        </w:rPr>
        <w:t>Festin</w:t>
      </w:r>
      <w:proofErr w:type="spellEnd"/>
      <w:r>
        <w:rPr>
          <w:rFonts w:ascii="Times New Roman" w:eastAsia="Times New Roman" w:hAnsi="Times New Roman" w:cs="Times New Roman"/>
          <w:sz w:val="24"/>
          <w:szCs w:val="24"/>
        </w:rPr>
        <w:t xml:space="preserve">, P. C., </w:t>
      </w:r>
      <w:proofErr w:type="spellStart"/>
      <w:r>
        <w:rPr>
          <w:rFonts w:ascii="Times New Roman" w:eastAsia="Times New Roman" w:hAnsi="Times New Roman" w:cs="Times New Roman"/>
          <w:sz w:val="24"/>
          <w:szCs w:val="24"/>
        </w:rPr>
        <w:t>Abesamis</w:t>
      </w:r>
      <w:proofErr w:type="spellEnd"/>
      <w:r>
        <w:rPr>
          <w:rFonts w:ascii="Times New Roman" w:eastAsia="Times New Roman" w:hAnsi="Times New Roman" w:cs="Times New Roman"/>
          <w:sz w:val="24"/>
          <w:szCs w:val="24"/>
        </w:rPr>
        <w:t xml:space="preserve">, F., &amp; </w:t>
      </w:r>
      <w:proofErr w:type="spellStart"/>
      <w:r>
        <w:rPr>
          <w:rFonts w:ascii="Times New Roman" w:eastAsia="Times New Roman" w:hAnsi="Times New Roman" w:cs="Times New Roman"/>
          <w:sz w:val="24"/>
          <w:szCs w:val="24"/>
        </w:rPr>
        <w:t>Huttley</w:t>
      </w:r>
      <w:proofErr w:type="spellEnd"/>
      <w:r>
        <w:rPr>
          <w:rFonts w:ascii="Times New Roman" w:eastAsia="Times New Roman" w:hAnsi="Times New Roman" w:cs="Times New Roman"/>
          <w:sz w:val="24"/>
          <w:szCs w:val="24"/>
        </w:rPr>
        <w:t xml:space="preserve">, A. (2025). Antimicrobial resistance in </w:t>
      </w:r>
      <w:r>
        <w:rPr>
          <w:rFonts w:ascii="Times New Roman" w:eastAsia="Times New Roman" w:hAnsi="Times New Roman" w:cs="Times New Roman"/>
          <w:i/>
          <w:iCs/>
          <w:sz w:val="24"/>
          <w:szCs w:val="24"/>
        </w:rPr>
        <w:t>E</w:t>
      </w:r>
      <w:r>
        <w:rPr>
          <w:rFonts w:ascii="Times New Roman" w:eastAsia="Times New Roman" w:hAnsi="Times New Roman" w:cs="Times New Roman"/>
          <w:i/>
          <w:iCs/>
          <w:sz w:val="24"/>
          <w:szCs w:val="24"/>
        </w:rPr>
        <w:t>scherichia coli</w:t>
      </w:r>
      <w:r>
        <w:rPr>
          <w:rFonts w:ascii="Times New Roman" w:eastAsia="Times New Roman" w:hAnsi="Times New Roman" w:cs="Times New Roman"/>
          <w:sz w:val="24"/>
          <w:szCs w:val="24"/>
        </w:rPr>
        <w:t xml:space="preserve"> and </w:t>
      </w:r>
      <w:r>
        <w:rPr>
          <w:rFonts w:ascii="Times New Roman" w:eastAsia="Times New Roman" w:hAnsi="Times New Roman" w:cs="Times New Roman"/>
          <w:i/>
          <w:iCs/>
          <w:sz w:val="24"/>
          <w:szCs w:val="24"/>
        </w:rPr>
        <w:t>Staphylococcus aureus</w:t>
      </w:r>
      <w:r>
        <w:rPr>
          <w:rFonts w:ascii="Times New Roman" w:eastAsia="Times New Roman" w:hAnsi="Times New Roman" w:cs="Times New Roman"/>
          <w:sz w:val="24"/>
          <w:szCs w:val="24"/>
        </w:rPr>
        <w:t xml:space="preserve"> after the COVID-19 pandemic. </w:t>
      </w:r>
      <w:r>
        <w:rPr>
          <w:rFonts w:ascii="Times New Roman" w:eastAsia="Times New Roman" w:hAnsi="Times New Roman" w:cs="Times New Roman"/>
          <w:i/>
          <w:iCs/>
          <w:sz w:val="24"/>
          <w:szCs w:val="24"/>
        </w:rPr>
        <w:t>Journal of Advances in Medicine and Pharmaceutical Sciences, 4</w:t>
      </w:r>
      <w:r>
        <w:rPr>
          <w:rFonts w:ascii="Times New Roman" w:eastAsia="Times New Roman" w:hAnsi="Times New Roman" w:cs="Times New Roman"/>
          <w:sz w:val="24"/>
          <w:szCs w:val="24"/>
        </w:rPr>
        <w:t>(2), 53–63.</w:t>
      </w:r>
      <w:hyperlink r:id="rId17">
        <w:r w:rsidR="007D5FB4">
          <w:rPr>
            <w:rFonts w:ascii="Times New Roman" w:eastAsia="Times New Roman" w:hAnsi="Times New Roman" w:cs="Times New Roman"/>
            <w:sz w:val="24"/>
            <w:szCs w:val="24"/>
          </w:rPr>
          <w:t xml:space="preserve"> </w:t>
        </w:r>
      </w:hyperlink>
      <w:hyperlink r:id="rId18">
        <w:r w:rsidR="007D5FB4">
          <w:rPr>
            <w:rFonts w:ascii="Times New Roman" w:eastAsia="Times New Roman" w:hAnsi="Times New Roman" w:cs="Times New Roman"/>
            <w:sz w:val="24"/>
            <w:szCs w:val="24"/>
          </w:rPr>
          <w:t>https://doi.org/10.36079/lamintang.jamaps-0402.921</w:t>
        </w:r>
      </w:hyperlink>
    </w:p>
    <w:p w14:paraId="3C619753" w14:textId="77777777" w:rsidR="007D5FB4" w:rsidRDefault="003D1A1D">
      <w:pPr>
        <w:pStyle w:val="normal1"/>
        <w:spacing w:before="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Belay, W. Y., et al. (2024). Mechanism of antibacterial resistance, strategies and next-generation antimicrobials to contain antimicrobial resistance: A review. </w:t>
      </w:r>
      <w:r>
        <w:rPr>
          <w:rFonts w:ascii="Times New Roman" w:eastAsia="Times New Roman" w:hAnsi="Times New Roman" w:cs="Times New Roman"/>
          <w:i/>
          <w:iCs/>
          <w:sz w:val="24"/>
          <w:szCs w:val="24"/>
        </w:rPr>
        <w:t xml:space="preserve">Frontiers in </w:t>
      </w:r>
      <w:r>
        <w:rPr>
          <w:rFonts w:ascii="Times New Roman" w:eastAsia="Times New Roman" w:hAnsi="Times New Roman" w:cs="Times New Roman"/>
          <w:i/>
          <w:iCs/>
          <w:sz w:val="24"/>
          <w:szCs w:val="24"/>
        </w:rPr>
        <w:t>Pharmacology, 15</w:t>
      </w:r>
      <w:r>
        <w:rPr>
          <w:rFonts w:ascii="Times New Roman" w:eastAsia="Times New Roman" w:hAnsi="Times New Roman" w:cs="Times New Roman"/>
          <w:sz w:val="24"/>
          <w:szCs w:val="24"/>
        </w:rPr>
        <w:t>, 1444781.</w:t>
      </w:r>
      <w:hyperlink r:id="rId19">
        <w:r w:rsidR="007D5FB4">
          <w:rPr>
            <w:rFonts w:ascii="Times New Roman" w:eastAsia="Times New Roman" w:hAnsi="Times New Roman" w:cs="Times New Roman"/>
            <w:sz w:val="24"/>
            <w:szCs w:val="24"/>
          </w:rPr>
          <w:t xml:space="preserve"> </w:t>
        </w:r>
      </w:hyperlink>
      <w:hyperlink r:id="rId20">
        <w:r w:rsidR="007D5FB4">
          <w:rPr>
            <w:rFonts w:ascii="Times New Roman" w:eastAsia="Times New Roman" w:hAnsi="Times New Roman" w:cs="Times New Roman"/>
            <w:sz w:val="24"/>
            <w:szCs w:val="24"/>
          </w:rPr>
          <w:t>https://doi.org/10.3389/fphar.2024.1444781</w:t>
        </w:r>
      </w:hyperlink>
    </w:p>
    <w:p w14:paraId="06F72824" w14:textId="77777777" w:rsidR="007D5FB4" w:rsidRDefault="003D1A1D">
      <w:pPr>
        <w:pStyle w:val="normal1"/>
        <w:spacing w:before="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Boehme, K., Sia, S. B., </w:t>
      </w:r>
      <w:proofErr w:type="spellStart"/>
      <w:r>
        <w:rPr>
          <w:rFonts w:ascii="Times New Roman" w:eastAsia="Times New Roman" w:hAnsi="Times New Roman" w:cs="Times New Roman"/>
          <w:sz w:val="24"/>
          <w:szCs w:val="24"/>
        </w:rPr>
        <w:t>Ablola</w:t>
      </w:r>
      <w:proofErr w:type="spellEnd"/>
      <w:r>
        <w:rPr>
          <w:rFonts w:ascii="Times New Roman" w:eastAsia="Times New Roman" w:hAnsi="Times New Roman" w:cs="Times New Roman"/>
          <w:sz w:val="24"/>
          <w:szCs w:val="24"/>
        </w:rPr>
        <w:t xml:space="preserve">, F., </w:t>
      </w:r>
      <w:proofErr w:type="spellStart"/>
      <w:r>
        <w:rPr>
          <w:rFonts w:ascii="Times New Roman" w:eastAsia="Times New Roman" w:hAnsi="Times New Roman" w:cs="Times New Roman"/>
          <w:sz w:val="24"/>
          <w:szCs w:val="24"/>
        </w:rPr>
        <w:t>Gayeta</w:t>
      </w:r>
      <w:proofErr w:type="spellEnd"/>
      <w:r>
        <w:rPr>
          <w:rFonts w:ascii="Times New Roman" w:eastAsia="Times New Roman" w:hAnsi="Times New Roman" w:cs="Times New Roman"/>
          <w:sz w:val="24"/>
          <w:szCs w:val="24"/>
        </w:rPr>
        <w:t xml:space="preserve">, J., &amp; </w:t>
      </w:r>
      <w:proofErr w:type="spellStart"/>
      <w:r>
        <w:rPr>
          <w:rFonts w:ascii="Times New Roman" w:eastAsia="Times New Roman" w:hAnsi="Times New Roman" w:cs="Times New Roman"/>
          <w:sz w:val="24"/>
          <w:szCs w:val="24"/>
        </w:rPr>
        <w:t>Alea</w:t>
      </w:r>
      <w:proofErr w:type="spellEnd"/>
      <w:r>
        <w:rPr>
          <w:rFonts w:ascii="Times New Roman" w:eastAsia="Times New Roman" w:hAnsi="Times New Roman" w:cs="Times New Roman"/>
          <w:sz w:val="24"/>
          <w:szCs w:val="24"/>
        </w:rPr>
        <w:t xml:space="preserve">, M. C. (2022). Operational challenges of the Philippine antimicrobial resistance surveillance program during the COVID-19 pandemic. </w:t>
      </w:r>
      <w:r>
        <w:rPr>
          <w:rFonts w:ascii="Times New Roman" w:eastAsia="Times New Roman" w:hAnsi="Times New Roman" w:cs="Times New Roman"/>
          <w:i/>
          <w:iCs/>
          <w:sz w:val="24"/>
          <w:szCs w:val="24"/>
        </w:rPr>
        <w:t>Western Pacific Surveillance and Response Journal, 13</w:t>
      </w:r>
      <w:r>
        <w:rPr>
          <w:rFonts w:ascii="Times New Roman" w:eastAsia="Times New Roman" w:hAnsi="Times New Roman" w:cs="Times New Roman"/>
          <w:sz w:val="24"/>
          <w:szCs w:val="24"/>
        </w:rPr>
        <w:t>(3), 1–6.</w:t>
      </w:r>
      <w:hyperlink r:id="rId21">
        <w:r w:rsidR="007D5FB4">
          <w:rPr>
            <w:rFonts w:ascii="Times New Roman" w:eastAsia="Times New Roman" w:hAnsi="Times New Roman" w:cs="Times New Roman"/>
            <w:sz w:val="24"/>
            <w:szCs w:val="24"/>
          </w:rPr>
          <w:t xml:space="preserve"> </w:t>
        </w:r>
      </w:hyperlink>
      <w:hyperlink r:id="rId22">
        <w:r w:rsidR="007D5FB4">
          <w:rPr>
            <w:rFonts w:ascii="Times New Roman" w:eastAsia="Times New Roman" w:hAnsi="Times New Roman" w:cs="Times New Roman"/>
            <w:sz w:val="24"/>
            <w:szCs w:val="24"/>
          </w:rPr>
          <w:t>https://doi.org/10.5365/wpsar.2022.13.3.917</w:t>
        </w:r>
      </w:hyperlink>
    </w:p>
    <w:p w14:paraId="52CBB083" w14:textId="77777777" w:rsidR="007D5FB4" w:rsidRDefault="003D1A1D">
      <w:pPr>
        <w:pStyle w:val="normal1"/>
        <w:spacing w:before="240" w:line="24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Cantón</w:t>
      </w:r>
      <w:proofErr w:type="spellEnd"/>
      <w:r>
        <w:rPr>
          <w:rFonts w:ascii="Times New Roman" w:eastAsia="Times New Roman" w:hAnsi="Times New Roman" w:cs="Times New Roman"/>
          <w:sz w:val="24"/>
          <w:szCs w:val="24"/>
        </w:rPr>
        <w:t>, R., et al. (2023). Antimicrobial surveillance: A 20-year history of the SMART approa</w:t>
      </w:r>
      <w:r>
        <w:rPr>
          <w:rFonts w:ascii="Times New Roman" w:eastAsia="Times New Roman" w:hAnsi="Times New Roman" w:cs="Times New Roman"/>
          <w:sz w:val="24"/>
          <w:szCs w:val="24"/>
        </w:rPr>
        <w:t xml:space="preserve">ch to addressing global antimicrobial resistance into the future. </w:t>
      </w:r>
      <w:r>
        <w:rPr>
          <w:rFonts w:ascii="Times New Roman" w:eastAsia="Times New Roman" w:hAnsi="Times New Roman" w:cs="Times New Roman"/>
          <w:i/>
          <w:iCs/>
          <w:sz w:val="24"/>
          <w:szCs w:val="24"/>
        </w:rPr>
        <w:t>International Journal of Antimicrobial Agents, 62</w:t>
      </w:r>
      <w:r>
        <w:rPr>
          <w:rFonts w:ascii="Times New Roman" w:eastAsia="Times New Roman" w:hAnsi="Times New Roman" w:cs="Times New Roman"/>
          <w:sz w:val="24"/>
          <w:szCs w:val="24"/>
        </w:rPr>
        <w:t>(6), 107014.</w:t>
      </w:r>
      <w:hyperlink r:id="rId23">
        <w:r w:rsidR="007D5FB4">
          <w:rPr>
            <w:rFonts w:ascii="Times New Roman" w:eastAsia="Times New Roman" w:hAnsi="Times New Roman" w:cs="Times New Roman"/>
            <w:sz w:val="24"/>
            <w:szCs w:val="24"/>
          </w:rPr>
          <w:t xml:space="preserve"> </w:t>
        </w:r>
      </w:hyperlink>
      <w:hyperlink r:id="rId24">
        <w:r w:rsidR="007D5FB4">
          <w:rPr>
            <w:rFonts w:ascii="Times New Roman" w:eastAsia="Times New Roman" w:hAnsi="Times New Roman" w:cs="Times New Roman"/>
            <w:sz w:val="24"/>
            <w:szCs w:val="24"/>
          </w:rPr>
          <w:t>https://doi.org/10.1016/j.ijantimicag.2023.107014</w:t>
        </w:r>
      </w:hyperlink>
    </w:p>
    <w:p w14:paraId="6B3F7DB6" w14:textId="77777777" w:rsidR="007D5FB4" w:rsidRDefault="003D1A1D">
      <w:pPr>
        <w:pStyle w:val="normal1"/>
        <w:spacing w:before="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Castro, R. G., Legaspi, K. U., </w:t>
      </w:r>
      <w:proofErr w:type="spellStart"/>
      <w:r>
        <w:rPr>
          <w:rFonts w:ascii="Times New Roman" w:eastAsia="Times New Roman" w:hAnsi="Times New Roman" w:cs="Times New Roman"/>
          <w:sz w:val="24"/>
          <w:szCs w:val="24"/>
        </w:rPr>
        <w:t>Simangan</w:t>
      </w:r>
      <w:proofErr w:type="spellEnd"/>
      <w:r>
        <w:rPr>
          <w:rFonts w:ascii="Times New Roman" w:eastAsia="Times New Roman" w:hAnsi="Times New Roman" w:cs="Times New Roman"/>
          <w:sz w:val="24"/>
          <w:szCs w:val="24"/>
        </w:rPr>
        <w:t xml:space="preserve">, E. Z. P., </w:t>
      </w:r>
      <w:proofErr w:type="spellStart"/>
      <w:r>
        <w:rPr>
          <w:rFonts w:ascii="Times New Roman" w:eastAsia="Times New Roman" w:hAnsi="Times New Roman" w:cs="Times New Roman"/>
          <w:sz w:val="24"/>
          <w:szCs w:val="24"/>
        </w:rPr>
        <w:t>Tumaliuan</w:t>
      </w:r>
      <w:proofErr w:type="spellEnd"/>
      <w:r>
        <w:rPr>
          <w:rFonts w:ascii="Times New Roman" w:eastAsia="Times New Roman" w:hAnsi="Times New Roman" w:cs="Times New Roman"/>
          <w:sz w:val="24"/>
          <w:szCs w:val="24"/>
        </w:rPr>
        <w:t xml:space="preserve">, J. G. M., </w:t>
      </w:r>
      <w:proofErr w:type="spellStart"/>
      <w:r>
        <w:rPr>
          <w:rFonts w:ascii="Times New Roman" w:eastAsia="Times New Roman" w:hAnsi="Times New Roman" w:cs="Times New Roman"/>
          <w:sz w:val="24"/>
          <w:szCs w:val="24"/>
        </w:rPr>
        <w:t>Utayde</w:t>
      </w:r>
      <w:proofErr w:type="spellEnd"/>
      <w:r>
        <w:rPr>
          <w:rFonts w:ascii="Times New Roman" w:eastAsia="Times New Roman" w:hAnsi="Times New Roman" w:cs="Times New Roman"/>
          <w:sz w:val="24"/>
          <w:szCs w:val="24"/>
        </w:rPr>
        <w:t xml:space="preserve">, M. J. D., &amp; </w:t>
      </w:r>
      <w:proofErr w:type="spellStart"/>
      <w:r>
        <w:rPr>
          <w:rFonts w:ascii="Times New Roman" w:eastAsia="Times New Roman" w:hAnsi="Times New Roman" w:cs="Times New Roman"/>
          <w:sz w:val="24"/>
          <w:szCs w:val="24"/>
        </w:rPr>
        <w:t>Laureta</w:t>
      </w:r>
      <w:proofErr w:type="spellEnd"/>
      <w:r>
        <w:rPr>
          <w:rFonts w:ascii="Times New Roman" w:eastAsia="Times New Roman" w:hAnsi="Times New Roman" w:cs="Times New Roman"/>
          <w:sz w:val="24"/>
          <w:szCs w:val="24"/>
        </w:rPr>
        <w:t xml:space="preserve">, V. V. O. (2022). Healthcare provider related factors of antibiotic use. </w:t>
      </w:r>
      <w:r>
        <w:rPr>
          <w:rFonts w:ascii="Times New Roman" w:eastAsia="Times New Roman" w:hAnsi="Times New Roman" w:cs="Times New Roman"/>
          <w:i/>
          <w:iCs/>
          <w:sz w:val="24"/>
          <w:szCs w:val="24"/>
        </w:rPr>
        <w:t xml:space="preserve">Journal of Advances in </w:t>
      </w:r>
      <w:r>
        <w:rPr>
          <w:rFonts w:ascii="Times New Roman" w:eastAsia="Times New Roman" w:hAnsi="Times New Roman" w:cs="Times New Roman"/>
          <w:i/>
          <w:iCs/>
          <w:sz w:val="24"/>
          <w:szCs w:val="24"/>
        </w:rPr>
        <w:t>Allied Health Sciences Research, IX</w:t>
      </w:r>
      <w:r>
        <w:rPr>
          <w:rFonts w:ascii="Times New Roman" w:eastAsia="Times New Roman" w:hAnsi="Times New Roman" w:cs="Times New Roman"/>
          <w:sz w:val="24"/>
          <w:szCs w:val="24"/>
        </w:rPr>
        <w:t>, 6.</w:t>
      </w:r>
    </w:p>
    <w:p w14:paraId="7DC68D13" w14:textId="77777777" w:rsidR="007D5FB4" w:rsidRDefault="003D1A1D">
      <w:pPr>
        <w:pStyle w:val="normal1"/>
        <w:spacing w:before="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Centers for Disease Control and Prevention. (2025). About antimicrobial resistance.</w:t>
      </w:r>
      <w:hyperlink r:id="rId25">
        <w:r w:rsidR="007D5FB4">
          <w:rPr>
            <w:rFonts w:ascii="Times New Roman" w:eastAsia="Times New Roman" w:hAnsi="Times New Roman" w:cs="Times New Roman"/>
            <w:sz w:val="24"/>
            <w:szCs w:val="24"/>
          </w:rPr>
          <w:t xml:space="preserve"> </w:t>
        </w:r>
      </w:hyperlink>
      <w:hyperlink r:id="rId26">
        <w:r w:rsidR="007D5FB4">
          <w:rPr>
            <w:rFonts w:ascii="Times New Roman" w:eastAsia="Times New Roman" w:hAnsi="Times New Roman" w:cs="Times New Roman"/>
            <w:sz w:val="24"/>
            <w:szCs w:val="24"/>
          </w:rPr>
          <w:t>https://www.cdc.gov/antimicrobial-resistance/about/index.html</w:t>
        </w:r>
      </w:hyperlink>
    </w:p>
    <w:p w14:paraId="451F09B6" w14:textId="77777777" w:rsidR="007D5FB4" w:rsidRDefault="003D1A1D">
      <w:pPr>
        <w:pStyle w:val="normal1"/>
        <w:spacing w:before="240" w:line="24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Chilam</w:t>
      </w:r>
      <w:proofErr w:type="spellEnd"/>
      <w:r>
        <w:rPr>
          <w:rFonts w:ascii="Times New Roman" w:eastAsia="Times New Roman" w:hAnsi="Times New Roman" w:cs="Times New Roman"/>
          <w:sz w:val="24"/>
          <w:szCs w:val="24"/>
        </w:rPr>
        <w:t xml:space="preserve">, J., et al. (2021). Genomic surveillance of </w:t>
      </w:r>
      <w:r>
        <w:rPr>
          <w:rFonts w:ascii="Times New Roman" w:eastAsia="Times New Roman" w:hAnsi="Times New Roman" w:cs="Times New Roman"/>
          <w:i/>
          <w:iCs/>
          <w:sz w:val="24"/>
          <w:szCs w:val="24"/>
        </w:rPr>
        <w:t xml:space="preserve">Acinetobacter </w:t>
      </w:r>
      <w:proofErr w:type="spellStart"/>
      <w:r>
        <w:rPr>
          <w:rFonts w:ascii="Times New Roman" w:eastAsia="Times New Roman" w:hAnsi="Times New Roman" w:cs="Times New Roman"/>
          <w:i/>
          <w:iCs/>
          <w:sz w:val="24"/>
          <w:szCs w:val="24"/>
        </w:rPr>
        <w:t>baumannii</w:t>
      </w:r>
      <w:proofErr w:type="spellEnd"/>
      <w:r>
        <w:rPr>
          <w:rFonts w:ascii="Times New Roman" w:eastAsia="Times New Roman" w:hAnsi="Times New Roman" w:cs="Times New Roman"/>
          <w:sz w:val="24"/>
          <w:szCs w:val="24"/>
        </w:rPr>
        <w:t xml:space="preserve"> in the Philippines, 2013–2014. </w:t>
      </w:r>
      <w:r>
        <w:rPr>
          <w:rFonts w:ascii="Times New Roman" w:eastAsia="Times New Roman" w:hAnsi="Times New Roman" w:cs="Times New Roman"/>
          <w:i/>
          <w:iCs/>
          <w:sz w:val="24"/>
          <w:szCs w:val="24"/>
        </w:rPr>
        <w:t>Western Pacific Surveillance and Response Journal, 12</w:t>
      </w:r>
      <w:r>
        <w:rPr>
          <w:rFonts w:ascii="Times New Roman" w:eastAsia="Times New Roman" w:hAnsi="Times New Roman" w:cs="Times New Roman"/>
          <w:sz w:val="24"/>
          <w:szCs w:val="24"/>
        </w:rPr>
        <w:t xml:space="preserve">(4), </w:t>
      </w:r>
      <w:r>
        <w:rPr>
          <w:rFonts w:ascii="Times New Roman" w:eastAsia="Times New Roman" w:hAnsi="Times New Roman" w:cs="Times New Roman"/>
          <w:sz w:val="24"/>
          <w:szCs w:val="24"/>
        </w:rPr>
        <w:t>1–15.</w:t>
      </w:r>
      <w:hyperlink r:id="rId27">
        <w:r w:rsidR="007D5FB4">
          <w:rPr>
            <w:rFonts w:ascii="Times New Roman" w:eastAsia="Times New Roman" w:hAnsi="Times New Roman" w:cs="Times New Roman"/>
            <w:sz w:val="24"/>
            <w:szCs w:val="24"/>
          </w:rPr>
          <w:t xml:space="preserve"> </w:t>
        </w:r>
      </w:hyperlink>
      <w:hyperlink r:id="rId28">
        <w:r w:rsidR="007D5FB4">
          <w:rPr>
            <w:rFonts w:ascii="Times New Roman" w:eastAsia="Times New Roman" w:hAnsi="Times New Roman" w:cs="Times New Roman"/>
            <w:sz w:val="24"/>
            <w:szCs w:val="24"/>
          </w:rPr>
          <w:t>https://doi.org/10.5365/wpsar.2021.12.4.863</w:t>
        </w:r>
      </w:hyperlink>
    </w:p>
    <w:p w14:paraId="52C4760A" w14:textId="77777777" w:rsidR="007D5FB4" w:rsidRDefault="003D1A1D">
      <w:pPr>
        <w:pStyle w:val="normal1"/>
        <w:spacing w:before="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Chua, M. M.</w:t>
      </w:r>
      <w:proofErr w:type="gramStart"/>
      <w:r>
        <w:rPr>
          <w:rFonts w:ascii="Times New Roman" w:eastAsia="Times New Roman" w:hAnsi="Times New Roman" w:cs="Times New Roman"/>
          <w:sz w:val="24"/>
          <w:szCs w:val="24"/>
        </w:rPr>
        <w:t>,  &amp;</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Alejandria</w:t>
      </w:r>
      <w:proofErr w:type="spellEnd"/>
      <w:r>
        <w:rPr>
          <w:rFonts w:ascii="Times New Roman" w:eastAsia="Times New Roman" w:hAnsi="Times New Roman" w:cs="Times New Roman"/>
          <w:sz w:val="24"/>
          <w:szCs w:val="24"/>
        </w:rPr>
        <w:t>, M. M.(2008).The epidemiology of Acinetobacter infect</w:t>
      </w:r>
      <w:r>
        <w:rPr>
          <w:rFonts w:ascii="Times New Roman" w:eastAsia="Times New Roman" w:hAnsi="Times New Roman" w:cs="Times New Roman"/>
          <w:sz w:val="24"/>
          <w:szCs w:val="24"/>
        </w:rPr>
        <w:t>ions among critically ill adult patients admitted at the University of the Philippines - Philippine General Hospital. Philippine Journal of Microbiology and Infectious Diseases, 37(1), 38-53.</w:t>
      </w:r>
    </w:p>
    <w:p w14:paraId="55F13F30" w14:textId="77777777" w:rsidR="007D5FB4" w:rsidRDefault="003D1A1D">
      <w:pPr>
        <w:pStyle w:val="normal1"/>
        <w:spacing w:before="240" w:line="240" w:lineRule="auto"/>
        <w:ind w:left="720" w:hanging="720"/>
        <w:jc w:val="both"/>
        <w:rPr>
          <w:rFonts w:ascii="Times New Roman" w:eastAsia="Times New Roman" w:hAnsi="Times New Roman" w:cs="Times New Roman"/>
          <w:sz w:val="24"/>
          <w:szCs w:val="24"/>
        </w:rPr>
      </w:pPr>
      <w:hyperlink r:id="rId29">
        <w:r w:rsidR="007D5FB4">
          <w:rPr>
            <w:rFonts w:ascii="Times New Roman" w:eastAsia="Times New Roman" w:hAnsi="Times New Roman" w:cs="Times New Roman"/>
            <w:sz w:val="24"/>
            <w:szCs w:val="24"/>
          </w:rPr>
          <w:t>Clinical and Laboratory Standards Institute</w:t>
        </w:r>
      </w:hyperlink>
      <w:r w:rsidR="007D5FB4">
        <w:rPr>
          <w:rFonts w:ascii="Times New Roman" w:eastAsia="Times New Roman" w:hAnsi="Times New Roman" w:cs="Times New Roman"/>
          <w:sz w:val="24"/>
          <w:szCs w:val="24"/>
        </w:rPr>
        <w:t xml:space="preserve">. (2023, March 3). </w:t>
      </w:r>
      <w:r w:rsidR="007D5FB4">
        <w:rPr>
          <w:rFonts w:ascii="Times New Roman" w:eastAsia="Times New Roman" w:hAnsi="Times New Roman" w:cs="Times New Roman"/>
          <w:i/>
          <w:iCs/>
          <w:sz w:val="24"/>
          <w:szCs w:val="24"/>
        </w:rPr>
        <w:t>CLSI publishes CLSI M100—Performance standards for antimicrobial susceptibility testing, 33rd edition</w:t>
      </w:r>
      <w:r w:rsidR="007D5FB4">
        <w:rPr>
          <w:rFonts w:ascii="Times New Roman" w:eastAsia="Times New Roman" w:hAnsi="Times New Roman" w:cs="Times New Roman"/>
          <w:sz w:val="24"/>
          <w:szCs w:val="24"/>
        </w:rPr>
        <w:t>.</w:t>
      </w:r>
      <w:hyperlink r:id="rId30">
        <w:r w:rsidR="007D5FB4">
          <w:rPr>
            <w:rFonts w:ascii="Times New Roman" w:eastAsia="Times New Roman" w:hAnsi="Times New Roman" w:cs="Times New Roman"/>
            <w:sz w:val="24"/>
            <w:szCs w:val="24"/>
          </w:rPr>
          <w:t xml:space="preserve"> </w:t>
        </w:r>
      </w:hyperlink>
      <w:hyperlink r:id="rId31">
        <w:r w:rsidR="007D5FB4">
          <w:rPr>
            <w:rFonts w:ascii="Times New Roman" w:eastAsia="Times New Roman" w:hAnsi="Times New Roman" w:cs="Times New Roman"/>
            <w:sz w:val="24"/>
            <w:szCs w:val="24"/>
          </w:rPr>
          <w:t>https://clsi.org/about/news/clsi-publishes-m100-performance-standards-for-antimicrobial-susceptibility-testing-33rd-edition</w:t>
        </w:r>
      </w:hyperlink>
      <w:r w:rsidR="007D5FB4">
        <w:rPr>
          <w:rFonts w:ascii="Times New Roman" w:eastAsia="Times New Roman" w:hAnsi="Times New Roman" w:cs="Times New Roman"/>
          <w:sz w:val="24"/>
          <w:szCs w:val="24"/>
        </w:rPr>
        <w:t xml:space="preserve"> </w:t>
      </w:r>
    </w:p>
    <w:p w14:paraId="2312014F" w14:textId="77777777" w:rsidR="007D5FB4" w:rsidRDefault="003D1A1D">
      <w:pPr>
        <w:pStyle w:val="normal1"/>
        <w:spacing w:before="24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Connecticut Department of Public Health. (2026). Multidrug-resistant organisms (MDROs): What are they? https://portal.ct.gov/dph/hai/multidrugresistant-organisms-mdros-what-are-they?language=en_</w:t>
      </w:r>
      <w:r>
        <w:rPr>
          <w:rFonts w:ascii="Times New Roman" w:eastAsia="Times New Roman" w:hAnsi="Times New Roman" w:cs="Times New Roman"/>
          <w:sz w:val="24"/>
          <w:szCs w:val="24"/>
        </w:rPr>
        <w:t>US</w:t>
      </w:r>
    </w:p>
    <w:p w14:paraId="04C90A9F" w14:textId="77777777" w:rsidR="007D5FB4" w:rsidRDefault="003D1A1D">
      <w:pPr>
        <w:pStyle w:val="normal1"/>
        <w:spacing w:before="240" w:line="24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Cosentino</w:t>
      </w:r>
      <w:proofErr w:type="spellEnd"/>
      <w:r>
        <w:rPr>
          <w:rFonts w:ascii="Times New Roman" w:eastAsia="Times New Roman" w:hAnsi="Times New Roman" w:cs="Times New Roman"/>
          <w:sz w:val="24"/>
          <w:szCs w:val="24"/>
        </w:rPr>
        <w:t xml:space="preserve">, F., </w:t>
      </w:r>
      <w:proofErr w:type="spellStart"/>
      <w:r>
        <w:rPr>
          <w:rFonts w:ascii="Times New Roman" w:eastAsia="Times New Roman" w:hAnsi="Times New Roman" w:cs="Times New Roman"/>
          <w:sz w:val="24"/>
          <w:szCs w:val="24"/>
        </w:rPr>
        <w:t>Viale</w:t>
      </w:r>
      <w:proofErr w:type="spellEnd"/>
      <w:r>
        <w:rPr>
          <w:rFonts w:ascii="Times New Roman" w:eastAsia="Times New Roman" w:hAnsi="Times New Roman" w:cs="Times New Roman"/>
          <w:sz w:val="24"/>
          <w:szCs w:val="24"/>
        </w:rPr>
        <w:t xml:space="preserve">, P., &amp; </w:t>
      </w:r>
      <w:proofErr w:type="spellStart"/>
      <w:r>
        <w:rPr>
          <w:rFonts w:ascii="Times New Roman" w:eastAsia="Times New Roman" w:hAnsi="Times New Roman" w:cs="Times New Roman"/>
          <w:sz w:val="24"/>
          <w:szCs w:val="24"/>
        </w:rPr>
        <w:t>Giannella</w:t>
      </w:r>
      <w:proofErr w:type="spellEnd"/>
      <w:r>
        <w:rPr>
          <w:rFonts w:ascii="Times New Roman" w:eastAsia="Times New Roman" w:hAnsi="Times New Roman" w:cs="Times New Roman"/>
          <w:sz w:val="24"/>
          <w:szCs w:val="24"/>
        </w:rPr>
        <w:t xml:space="preserve">, M. (2023). MDR/XDR/PDR or DTR? Which definition best fits the resistance profile of </w:t>
      </w:r>
      <w:r>
        <w:rPr>
          <w:rFonts w:ascii="Times New Roman" w:eastAsia="Times New Roman" w:hAnsi="Times New Roman" w:cs="Times New Roman"/>
          <w:i/>
          <w:iCs/>
          <w:sz w:val="24"/>
          <w:szCs w:val="24"/>
        </w:rPr>
        <w:t>Pseudomonas aeruginosa</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Current Opinion in Infectious Diseases, 36</w:t>
      </w:r>
      <w:r>
        <w:rPr>
          <w:rFonts w:ascii="Times New Roman" w:eastAsia="Times New Roman" w:hAnsi="Times New Roman" w:cs="Times New Roman"/>
          <w:sz w:val="24"/>
          <w:szCs w:val="24"/>
        </w:rPr>
        <w:t>(6), 564–571.</w:t>
      </w:r>
      <w:hyperlink r:id="rId32">
        <w:r w:rsidR="007D5FB4">
          <w:rPr>
            <w:rFonts w:ascii="Times New Roman" w:eastAsia="Times New Roman" w:hAnsi="Times New Roman" w:cs="Times New Roman"/>
            <w:sz w:val="24"/>
            <w:szCs w:val="24"/>
          </w:rPr>
          <w:t xml:space="preserve"> </w:t>
        </w:r>
      </w:hyperlink>
      <w:hyperlink r:id="rId33">
        <w:r w:rsidR="007D5FB4">
          <w:rPr>
            <w:rFonts w:ascii="Times New Roman" w:eastAsia="Times New Roman" w:hAnsi="Times New Roman" w:cs="Times New Roman"/>
            <w:sz w:val="24"/>
            <w:szCs w:val="24"/>
          </w:rPr>
          <w:t>https://doi.org/10.1097/QCO.0000000000000966</w:t>
        </w:r>
      </w:hyperlink>
    </w:p>
    <w:p w14:paraId="2FA91DDA" w14:textId="77777777" w:rsidR="007D5FB4" w:rsidRDefault="003D1A1D">
      <w:pPr>
        <w:pStyle w:val="normal1"/>
        <w:spacing w:before="240" w:line="240" w:lineRule="auto"/>
        <w:ind w:left="720" w:hanging="72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Coyne, L., et al. (2020). The costs, benefits and human </w:t>
      </w:r>
      <w:proofErr w:type="spellStart"/>
      <w:r>
        <w:rPr>
          <w:rFonts w:ascii="Times New Roman" w:eastAsia="Times New Roman" w:hAnsi="Times New Roman" w:cs="Times New Roman"/>
          <w:sz w:val="24"/>
          <w:szCs w:val="24"/>
        </w:rPr>
        <w:t>behaviours</w:t>
      </w:r>
      <w:proofErr w:type="spellEnd"/>
      <w:r>
        <w:rPr>
          <w:rFonts w:ascii="Times New Roman" w:eastAsia="Times New Roman" w:hAnsi="Times New Roman" w:cs="Times New Roman"/>
          <w:sz w:val="24"/>
          <w:szCs w:val="24"/>
        </w:rPr>
        <w:t xml:space="preserve"> for antimicrobial</w:t>
      </w:r>
      <w:r>
        <w:rPr>
          <w:rFonts w:ascii="Times New Roman" w:eastAsia="Times New Roman" w:hAnsi="Times New Roman" w:cs="Times New Roman"/>
          <w:sz w:val="24"/>
          <w:szCs w:val="24"/>
        </w:rPr>
        <w:t xml:space="preserve"> use in small commercial broiler chicken systems. </w:t>
      </w:r>
      <w:r>
        <w:rPr>
          <w:rFonts w:ascii="Times New Roman" w:eastAsia="Times New Roman" w:hAnsi="Times New Roman" w:cs="Times New Roman"/>
          <w:i/>
          <w:iCs/>
          <w:sz w:val="24"/>
          <w:szCs w:val="24"/>
        </w:rPr>
        <w:t>Antibiotics, 9</w:t>
      </w:r>
      <w:r>
        <w:rPr>
          <w:rFonts w:ascii="Times New Roman" w:eastAsia="Times New Roman" w:hAnsi="Times New Roman" w:cs="Times New Roman"/>
          <w:sz w:val="24"/>
          <w:szCs w:val="24"/>
        </w:rPr>
        <w:t>(4), 154.</w:t>
      </w:r>
      <w:hyperlink r:id="rId34">
        <w:r w:rsidR="007D5FB4">
          <w:rPr>
            <w:rFonts w:ascii="Times New Roman" w:eastAsia="Times New Roman" w:hAnsi="Times New Roman" w:cs="Times New Roman"/>
            <w:sz w:val="24"/>
            <w:szCs w:val="24"/>
          </w:rPr>
          <w:t xml:space="preserve"> </w:t>
        </w:r>
      </w:hyperlink>
      <w:hyperlink r:id="rId35">
        <w:r w:rsidR="007D5FB4">
          <w:rPr>
            <w:rFonts w:ascii="Times New Roman" w:eastAsia="Times New Roman" w:hAnsi="Times New Roman" w:cs="Times New Roman"/>
            <w:sz w:val="24"/>
            <w:szCs w:val="24"/>
          </w:rPr>
          <w:t>https://doi.org/10.3390/antibiotics9040154</w:t>
        </w:r>
      </w:hyperlink>
    </w:p>
    <w:p w14:paraId="05EAEE7E" w14:textId="77777777" w:rsidR="007D5FB4" w:rsidRDefault="003D1A1D">
      <w:pPr>
        <w:pStyle w:val="normal1"/>
        <w:spacing w:before="24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Department of H</w:t>
      </w:r>
      <w:r>
        <w:rPr>
          <w:rFonts w:ascii="Times New Roman" w:eastAsia="Times New Roman" w:hAnsi="Times New Roman" w:cs="Times New Roman"/>
          <w:sz w:val="24"/>
          <w:szCs w:val="24"/>
        </w:rPr>
        <w:t xml:space="preserve">ealth (DOH). (2022). </w:t>
      </w:r>
      <w:r>
        <w:rPr>
          <w:rFonts w:ascii="Times New Roman" w:eastAsia="Times New Roman" w:hAnsi="Times New Roman" w:cs="Times New Roman"/>
          <w:i/>
          <w:iCs/>
          <w:sz w:val="24"/>
          <w:szCs w:val="24"/>
        </w:rPr>
        <w:t>Philippine antimicrobial resistance surveillance report 2022</w:t>
      </w:r>
      <w:r>
        <w:rPr>
          <w:rFonts w:ascii="Times New Roman" w:eastAsia="Times New Roman" w:hAnsi="Times New Roman" w:cs="Times New Roman"/>
          <w:sz w:val="24"/>
          <w:szCs w:val="24"/>
        </w:rPr>
        <w:t xml:space="preserve">. Research Institute for Tropical Medicine. </w:t>
      </w:r>
      <w:hyperlink r:id="rId36">
        <w:r w:rsidR="007D5FB4">
          <w:rPr>
            <w:rFonts w:ascii="Times New Roman" w:eastAsia="Times New Roman" w:hAnsi="Times New Roman" w:cs="Times New Roman"/>
            <w:sz w:val="24"/>
            <w:szCs w:val="24"/>
          </w:rPr>
          <w:t>https://arsp.com.ph/wp-content/uploads/2023/06/2022_annual_report_summary.pdf</w:t>
        </w:r>
      </w:hyperlink>
    </w:p>
    <w:p w14:paraId="20CC1764" w14:textId="77777777" w:rsidR="007D5FB4" w:rsidRDefault="003D1A1D">
      <w:pPr>
        <w:pStyle w:val="normal1"/>
        <w:spacing w:before="24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Department of Health (DOH). (2025, November 24</w:t>
      </w:r>
      <w:proofErr w:type="gramStart"/>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WAAW</w:t>
      </w:r>
      <w:proofErr w:type="gramEnd"/>
      <w:r>
        <w:rPr>
          <w:rFonts w:ascii="Times New Roman" w:eastAsia="Times New Roman" w:hAnsi="Times New Roman" w:cs="Times New Roman"/>
          <w:i/>
          <w:iCs/>
          <w:sz w:val="24"/>
          <w:szCs w:val="24"/>
        </w:rPr>
        <w:t xml:space="preserve"> 2025: Raising awareness on the Antimicrobial Resistance Surveillance Program in the Philippines</w:t>
      </w:r>
      <w:r>
        <w:rPr>
          <w:rFonts w:ascii="Times New Roman" w:eastAsia="Times New Roman" w:hAnsi="Times New Roman" w:cs="Times New Roman"/>
          <w:sz w:val="24"/>
          <w:szCs w:val="24"/>
        </w:rPr>
        <w:t xml:space="preserve">. </w:t>
      </w:r>
      <w:hyperlink r:id="rId37">
        <w:r w:rsidR="007D5FB4">
          <w:rPr>
            <w:rFonts w:ascii="Times New Roman" w:eastAsia="Times New Roman" w:hAnsi="Times New Roman" w:cs="Times New Roman"/>
            <w:sz w:val="24"/>
            <w:szCs w:val="24"/>
          </w:rPr>
          <w:t>https://www.downtoearth.org.in/health/waaw-2025-raising-awareness-on-the-antimicrobial-resistance-surveillance-program-in-the-philippines</w:t>
        </w:r>
      </w:hyperlink>
    </w:p>
    <w:p w14:paraId="50AA12F8" w14:textId="77777777" w:rsidR="007D5FB4" w:rsidRDefault="003D1A1D">
      <w:pPr>
        <w:pStyle w:val="normal1"/>
        <w:spacing w:before="240" w:line="24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Endale</w:t>
      </w:r>
      <w:proofErr w:type="spellEnd"/>
      <w:r>
        <w:rPr>
          <w:rFonts w:ascii="Times New Roman" w:eastAsia="Times New Roman" w:hAnsi="Times New Roman" w:cs="Times New Roman"/>
          <w:sz w:val="24"/>
          <w:szCs w:val="24"/>
        </w:rPr>
        <w:t xml:space="preserve">, H., </w:t>
      </w:r>
      <w:proofErr w:type="spellStart"/>
      <w:r>
        <w:rPr>
          <w:rFonts w:ascii="Times New Roman" w:eastAsia="Times New Roman" w:hAnsi="Times New Roman" w:cs="Times New Roman"/>
          <w:sz w:val="24"/>
          <w:szCs w:val="24"/>
        </w:rPr>
        <w:t>Mathewos</w:t>
      </w:r>
      <w:proofErr w:type="spellEnd"/>
      <w:r>
        <w:rPr>
          <w:rFonts w:ascii="Times New Roman" w:eastAsia="Times New Roman" w:hAnsi="Times New Roman" w:cs="Times New Roman"/>
          <w:sz w:val="24"/>
          <w:szCs w:val="24"/>
        </w:rPr>
        <w:t>, M</w:t>
      </w:r>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Abdeta</w:t>
      </w:r>
      <w:proofErr w:type="spellEnd"/>
      <w:r>
        <w:rPr>
          <w:rFonts w:ascii="Times New Roman" w:eastAsia="Times New Roman" w:hAnsi="Times New Roman" w:cs="Times New Roman"/>
          <w:sz w:val="24"/>
          <w:szCs w:val="24"/>
        </w:rPr>
        <w:t xml:space="preserve">, D. (2023). Potential causes of spread of antimicrobial resistance and preventive measures in a One Health perspective. </w:t>
      </w:r>
      <w:r>
        <w:rPr>
          <w:rFonts w:ascii="Times New Roman" w:eastAsia="Times New Roman" w:hAnsi="Times New Roman" w:cs="Times New Roman"/>
          <w:i/>
          <w:iCs/>
          <w:sz w:val="24"/>
          <w:szCs w:val="24"/>
        </w:rPr>
        <w:t>Infection and Drug Resistance, 16</w:t>
      </w:r>
      <w:r>
        <w:rPr>
          <w:rFonts w:ascii="Times New Roman" w:eastAsia="Times New Roman" w:hAnsi="Times New Roman" w:cs="Times New Roman"/>
          <w:sz w:val="24"/>
          <w:szCs w:val="24"/>
        </w:rPr>
        <w:t>, 7515–7545.</w:t>
      </w:r>
      <w:hyperlink r:id="rId38">
        <w:r w:rsidR="007D5FB4">
          <w:rPr>
            <w:rFonts w:ascii="Times New Roman" w:eastAsia="Times New Roman" w:hAnsi="Times New Roman" w:cs="Times New Roman"/>
            <w:sz w:val="24"/>
            <w:szCs w:val="24"/>
          </w:rPr>
          <w:t xml:space="preserve"> </w:t>
        </w:r>
      </w:hyperlink>
      <w:hyperlink r:id="rId39">
        <w:r w:rsidR="007D5FB4">
          <w:rPr>
            <w:rFonts w:ascii="Times New Roman" w:eastAsia="Times New Roman" w:hAnsi="Times New Roman" w:cs="Times New Roman"/>
            <w:sz w:val="24"/>
            <w:szCs w:val="24"/>
          </w:rPr>
          <w:t>https://doi.org/10.2147/IDR.S428837</w:t>
        </w:r>
      </w:hyperlink>
    </w:p>
    <w:p w14:paraId="27A6A46A" w14:textId="77777777" w:rsidR="007D5FB4" w:rsidRDefault="003D1A1D">
      <w:pPr>
        <w:pStyle w:val="normal1"/>
        <w:spacing w:before="240" w:line="24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Gandra</w:t>
      </w:r>
      <w:proofErr w:type="spellEnd"/>
      <w:r>
        <w:rPr>
          <w:rFonts w:ascii="Times New Roman" w:eastAsia="Times New Roman" w:hAnsi="Times New Roman" w:cs="Times New Roman"/>
          <w:sz w:val="24"/>
          <w:szCs w:val="24"/>
        </w:rPr>
        <w:t xml:space="preserve">, S., et al. (2020). Antimicrobial resistance surveillance in low- and middle-income countries. </w:t>
      </w:r>
      <w:r>
        <w:rPr>
          <w:rFonts w:ascii="Times New Roman" w:eastAsia="Times New Roman" w:hAnsi="Times New Roman" w:cs="Times New Roman"/>
          <w:i/>
          <w:iCs/>
          <w:sz w:val="24"/>
          <w:szCs w:val="24"/>
        </w:rPr>
        <w:t>Clinical Microbiology Reviews, 33</w:t>
      </w:r>
      <w:r>
        <w:rPr>
          <w:rFonts w:ascii="Times New Roman" w:eastAsia="Times New Roman" w:hAnsi="Times New Roman" w:cs="Times New Roman"/>
          <w:sz w:val="24"/>
          <w:szCs w:val="24"/>
        </w:rPr>
        <w:t>(3), e00048-19.</w:t>
      </w:r>
      <w:hyperlink r:id="rId40">
        <w:r w:rsidR="007D5FB4">
          <w:rPr>
            <w:rFonts w:ascii="Times New Roman" w:eastAsia="Times New Roman" w:hAnsi="Times New Roman" w:cs="Times New Roman"/>
            <w:sz w:val="24"/>
            <w:szCs w:val="24"/>
          </w:rPr>
          <w:t xml:space="preserve"> </w:t>
        </w:r>
      </w:hyperlink>
      <w:hyperlink r:id="rId41">
        <w:r w:rsidR="007D5FB4">
          <w:rPr>
            <w:rFonts w:ascii="Times New Roman" w:eastAsia="Times New Roman" w:hAnsi="Times New Roman" w:cs="Times New Roman"/>
            <w:sz w:val="24"/>
            <w:szCs w:val="24"/>
          </w:rPr>
          <w:t>https://doi.org/10.1128/CMR.00048-19</w:t>
        </w:r>
      </w:hyperlink>
    </w:p>
    <w:p w14:paraId="3EFE34B3" w14:textId="77777777" w:rsidR="007D5FB4" w:rsidRDefault="003D1A1D">
      <w:pPr>
        <w:pStyle w:val="normal1"/>
        <w:spacing w:before="240" w:line="24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Khehra</w:t>
      </w:r>
      <w:proofErr w:type="spellEnd"/>
      <w:r>
        <w:rPr>
          <w:rFonts w:ascii="Times New Roman" w:eastAsia="Times New Roman" w:hAnsi="Times New Roman" w:cs="Times New Roman"/>
          <w:sz w:val="24"/>
          <w:szCs w:val="24"/>
        </w:rPr>
        <w:t xml:space="preserve">, N., Padda, I. S., &amp; Zubair, M. (2025). </w:t>
      </w:r>
      <w:r>
        <w:rPr>
          <w:rFonts w:ascii="Times New Roman" w:eastAsia="Times New Roman" w:hAnsi="Times New Roman" w:cs="Times New Roman"/>
          <w:i/>
          <w:iCs/>
          <w:sz w:val="24"/>
          <w:szCs w:val="24"/>
        </w:rPr>
        <w:t>Polymerase chain reaction (PCR)</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StatPearls</w:t>
      </w:r>
      <w:proofErr w:type="spellEnd"/>
      <w:r>
        <w:rPr>
          <w:rFonts w:ascii="Times New Roman" w:eastAsia="Times New Roman" w:hAnsi="Times New Roman" w:cs="Times New Roman"/>
          <w:sz w:val="24"/>
          <w:szCs w:val="24"/>
        </w:rPr>
        <w:t xml:space="preserve"> Publishing.</w:t>
      </w:r>
      <w:hyperlink r:id="rId42">
        <w:r w:rsidR="007D5FB4">
          <w:rPr>
            <w:rFonts w:ascii="Times New Roman" w:eastAsia="Times New Roman" w:hAnsi="Times New Roman" w:cs="Times New Roman"/>
            <w:sz w:val="24"/>
            <w:szCs w:val="24"/>
          </w:rPr>
          <w:t xml:space="preserve"> </w:t>
        </w:r>
      </w:hyperlink>
      <w:hyperlink r:id="rId43">
        <w:r w:rsidR="007D5FB4">
          <w:rPr>
            <w:rFonts w:ascii="Times New Roman" w:eastAsia="Times New Roman" w:hAnsi="Times New Roman" w:cs="Times New Roman"/>
            <w:color w:val="1155CC"/>
            <w:sz w:val="24"/>
            <w:szCs w:val="24"/>
          </w:rPr>
          <w:t>https://europepmc.org/article/NBK/nbk589663</w:t>
        </w:r>
      </w:hyperlink>
      <w:r>
        <w:rPr>
          <w:rFonts w:ascii="Times New Roman" w:eastAsia="Times New Roman" w:hAnsi="Times New Roman" w:cs="Times New Roman"/>
          <w:sz w:val="24"/>
          <w:szCs w:val="24"/>
        </w:rPr>
        <w:t xml:space="preserve"> </w:t>
      </w:r>
    </w:p>
    <w:p w14:paraId="393887BA" w14:textId="77777777" w:rsidR="007D5FB4" w:rsidRDefault="003D1A1D">
      <w:pPr>
        <w:pStyle w:val="normal1"/>
        <w:spacing w:before="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 K. L., &amp; Abad, C. L. R. (2020). The clinical profile and outcomes of adult patients given intravenous colistin. </w:t>
      </w:r>
      <w:r>
        <w:rPr>
          <w:rFonts w:ascii="Times New Roman" w:eastAsia="Times New Roman" w:hAnsi="Times New Roman" w:cs="Times New Roman"/>
          <w:i/>
          <w:iCs/>
          <w:sz w:val="24"/>
          <w:szCs w:val="24"/>
        </w:rPr>
        <w:t>International Journal of Infectious Diseases, 93</w:t>
      </w:r>
      <w:r>
        <w:rPr>
          <w:rFonts w:ascii="Times New Roman" w:eastAsia="Times New Roman" w:hAnsi="Times New Roman" w:cs="Times New Roman"/>
          <w:sz w:val="24"/>
          <w:szCs w:val="24"/>
        </w:rPr>
        <w:t>, 9–14.</w:t>
      </w:r>
      <w:hyperlink r:id="rId44">
        <w:r w:rsidR="007D5FB4">
          <w:rPr>
            <w:rFonts w:ascii="Times New Roman" w:eastAsia="Times New Roman" w:hAnsi="Times New Roman" w:cs="Times New Roman"/>
            <w:sz w:val="24"/>
            <w:szCs w:val="24"/>
          </w:rPr>
          <w:t xml:space="preserve"> </w:t>
        </w:r>
      </w:hyperlink>
      <w:hyperlink r:id="rId45">
        <w:r w:rsidR="007D5FB4">
          <w:rPr>
            <w:rFonts w:ascii="Times New Roman" w:eastAsia="Times New Roman" w:hAnsi="Times New Roman" w:cs="Times New Roman"/>
            <w:sz w:val="24"/>
            <w:szCs w:val="24"/>
          </w:rPr>
          <w:t>https://doi.org/10.1016/j.ijid.2020.01.022</w:t>
        </w:r>
      </w:hyperlink>
    </w:p>
    <w:p w14:paraId="48BBB619" w14:textId="77777777" w:rsidR="007D5FB4" w:rsidRDefault="003D1A1D">
      <w:pPr>
        <w:pStyle w:val="normal1"/>
        <w:spacing w:before="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Ng, C., </w:t>
      </w:r>
      <w:proofErr w:type="spellStart"/>
      <w:r>
        <w:rPr>
          <w:rFonts w:ascii="Times New Roman" w:eastAsia="Times New Roman" w:hAnsi="Times New Roman" w:cs="Times New Roman"/>
          <w:sz w:val="24"/>
          <w:szCs w:val="24"/>
        </w:rPr>
        <w:t>Abrazaldo</w:t>
      </w:r>
      <w:proofErr w:type="spellEnd"/>
      <w:r>
        <w:rPr>
          <w:rFonts w:ascii="Times New Roman" w:eastAsia="Times New Roman" w:hAnsi="Times New Roman" w:cs="Times New Roman"/>
          <w:sz w:val="24"/>
          <w:szCs w:val="24"/>
        </w:rPr>
        <w:t>, J., de Vera, P</w:t>
      </w:r>
      <w:r>
        <w:rPr>
          <w:rFonts w:ascii="Times New Roman" w:eastAsia="Times New Roman" w:hAnsi="Times New Roman" w:cs="Times New Roman"/>
          <w:sz w:val="24"/>
          <w:szCs w:val="24"/>
        </w:rPr>
        <w:t xml:space="preserve">., Goh, S. G., &amp; Tan, B. F. (2025). Antibiotic resistance in the Philippines: Environmental reservoirs, spillovers, and One-Health research gaps. </w:t>
      </w:r>
      <w:r>
        <w:rPr>
          <w:rFonts w:ascii="Times New Roman" w:eastAsia="Times New Roman" w:hAnsi="Times New Roman" w:cs="Times New Roman"/>
          <w:i/>
          <w:iCs/>
          <w:sz w:val="24"/>
          <w:szCs w:val="24"/>
        </w:rPr>
        <w:t>Frontiers in Microbiology, 16</w:t>
      </w:r>
      <w:r>
        <w:rPr>
          <w:rFonts w:ascii="Times New Roman" w:eastAsia="Times New Roman" w:hAnsi="Times New Roman" w:cs="Times New Roman"/>
          <w:sz w:val="24"/>
          <w:szCs w:val="24"/>
        </w:rPr>
        <w:t>, 1711400.</w:t>
      </w:r>
      <w:hyperlink r:id="rId46">
        <w:r w:rsidR="007D5FB4">
          <w:rPr>
            <w:rFonts w:ascii="Times New Roman" w:eastAsia="Times New Roman" w:hAnsi="Times New Roman" w:cs="Times New Roman"/>
            <w:sz w:val="24"/>
            <w:szCs w:val="24"/>
          </w:rPr>
          <w:t xml:space="preserve"> </w:t>
        </w:r>
      </w:hyperlink>
      <w:hyperlink r:id="rId47">
        <w:r w:rsidR="007D5FB4">
          <w:rPr>
            <w:rFonts w:ascii="Times New Roman" w:eastAsia="Times New Roman" w:hAnsi="Times New Roman" w:cs="Times New Roman"/>
            <w:sz w:val="24"/>
            <w:szCs w:val="24"/>
          </w:rPr>
          <w:t>https://doi.org/10.3389/fmicb.2025.1711400</w:t>
        </w:r>
      </w:hyperlink>
    </w:p>
    <w:p w14:paraId="6445BA84" w14:textId="77777777" w:rsidR="007D5FB4" w:rsidRDefault="003D1A1D">
      <w:pPr>
        <w:pStyle w:val="normal1"/>
        <w:spacing w:before="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Page, M. J., McKenzie, J. E., </w:t>
      </w:r>
      <w:proofErr w:type="spellStart"/>
      <w:r>
        <w:rPr>
          <w:rFonts w:ascii="Times New Roman" w:eastAsia="Times New Roman" w:hAnsi="Times New Roman" w:cs="Times New Roman"/>
          <w:sz w:val="24"/>
          <w:szCs w:val="24"/>
        </w:rPr>
        <w:t>Bossuyt</w:t>
      </w:r>
      <w:proofErr w:type="spellEnd"/>
      <w:r>
        <w:rPr>
          <w:rFonts w:ascii="Times New Roman" w:eastAsia="Times New Roman" w:hAnsi="Times New Roman" w:cs="Times New Roman"/>
          <w:sz w:val="24"/>
          <w:szCs w:val="24"/>
        </w:rPr>
        <w:t xml:space="preserve">, P. M., </w:t>
      </w:r>
      <w:proofErr w:type="spellStart"/>
      <w:r>
        <w:rPr>
          <w:rFonts w:ascii="Times New Roman" w:eastAsia="Times New Roman" w:hAnsi="Times New Roman" w:cs="Times New Roman"/>
          <w:sz w:val="24"/>
          <w:szCs w:val="24"/>
        </w:rPr>
        <w:t>Boutron</w:t>
      </w:r>
      <w:proofErr w:type="spellEnd"/>
      <w:r>
        <w:rPr>
          <w:rFonts w:ascii="Times New Roman" w:eastAsia="Times New Roman" w:hAnsi="Times New Roman" w:cs="Times New Roman"/>
          <w:sz w:val="24"/>
          <w:szCs w:val="24"/>
        </w:rPr>
        <w:t xml:space="preserve">, I., Hoffmann, T. C., Mulrow, C. D., </w:t>
      </w:r>
      <w:proofErr w:type="spellStart"/>
      <w:r>
        <w:rPr>
          <w:rFonts w:ascii="Times New Roman" w:eastAsia="Times New Roman" w:hAnsi="Times New Roman" w:cs="Times New Roman"/>
          <w:sz w:val="24"/>
          <w:szCs w:val="24"/>
        </w:rPr>
        <w:t>Shamseer</w:t>
      </w:r>
      <w:proofErr w:type="spellEnd"/>
      <w:r>
        <w:rPr>
          <w:rFonts w:ascii="Times New Roman" w:eastAsia="Times New Roman" w:hAnsi="Times New Roman" w:cs="Times New Roman"/>
          <w:sz w:val="24"/>
          <w:szCs w:val="24"/>
        </w:rPr>
        <w:t xml:space="preserve">, L., </w:t>
      </w:r>
      <w:proofErr w:type="spellStart"/>
      <w:r>
        <w:rPr>
          <w:rFonts w:ascii="Times New Roman" w:eastAsia="Times New Roman" w:hAnsi="Times New Roman" w:cs="Times New Roman"/>
          <w:sz w:val="24"/>
          <w:szCs w:val="24"/>
        </w:rPr>
        <w:t>Tetzlaff</w:t>
      </w:r>
      <w:proofErr w:type="spellEnd"/>
      <w:r>
        <w:rPr>
          <w:rFonts w:ascii="Times New Roman" w:eastAsia="Times New Roman" w:hAnsi="Times New Roman" w:cs="Times New Roman"/>
          <w:sz w:val="24"/>
          <w:szCs w:val="24"/>
        </w:rPr>
        <w:t xml:space="preserve">, J. M., </w:t>
      </w:r>
      <w:proofErr w:type="spellStart"/>
      <w:r>
        <w:rPr>
          <w:rFonts w:ascii="Times New Roman" w:eastAsia="Times New Roman" w:hAnsi="Times New Roman" w:cs="Times New Roman"/>
          <w:sz w:val="24"/>
          <w:szCs w:val="24"/>
        </w:rPr>
        <w:t>Akl</w:t>
      </w:r>
      <w:proofErr w:type="spellEnd"/>
      <w:r>
        <w:rPr>
          <w:rFonts w:ascii="Times New Roman" w:eastAsia="Times New Roman" w:hAnsi="Times New Roman" w:cs="Times New Roman"/>
          <w:sz w:val="24"/>
          <w:szCs w:val="24"/>
        </w:rPr>
        <w:t>, E. A., Brennan, S. E., Chou, R.,</w:t>
      </w:r>
      <w:r>
        <w:rPr>
          <w:rFonts w:ascii="Times New Roman" w:eastAsia="Times New Roman" w:hAnsi="Times New Roman" w:cs="Times New Roman"/>
          <w:sz w:val="24"/>
          <w:szCs w:val="24"/>
        </w:rPr>
        <w:t xml:space="preserve"> Glanville, J., Grimshaw, J. M., </w:t>
      </w:r>
      <w:proofErr w:type="spellStart"/>
      <w:r>
        <w:rPr>
          <w:rFonts w:ascii="Times New Roman" w:eastAsia="Times New Roman" w:hAnsi="Times New Roman" w:cs="Times New Roman"/>
          <w:sz w:val="24"/>
          <w:szCs w:val="24"/>
        </w:rPr>
        <w:t>Hróbjartsson</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Lalu</w:t>
      </w:r>
      <w:proofErr w:type="spellEnd"/>
      <w:r>
        <w:rPr>
          <w:rFonts w:ascii="Times New Roman" w:eastAsia="Times New Roman" w:hAnsi="Times New Roman" w:cs="Times New Roman"/>
          <w:sz w:val="24"/>
          <w:szCs w:val="24"/>
        </w:rPr>
        <w:t xml:space="preserve">, M. M., Li, T., </w:t>
      </w:r>
      <w:proofErr w:type="spellStart"/>
      <w:r>
        <w:rPr>
          <w:rFonts w:ascii="Times New Roman" w:eastAsia="Times New Roman" w:hAnsi="Times New Roman" w:cs="Times New Roman"/>
          <w:sz w:val="24"/>
          <w:szCs w:val="24"/>
        </w:rPr>
        <w:t>Loder</w:t>
      </w:r>
      <w:proofErr w:type="spellEnd"/>
      <w:r>
        <w:rPr>
          <w:rFonts w:ascii="Times New Roman" w:eastAsia="Times New Roman" w:hAnsi="Times New Roman" w:cs="Times New Roman"/>
          <w:sz w:val="24"/>
          <w:szCs w:val="24"/>
        </w:rPr>
        <w:t xml:space="preserve">, E. W., Mayo-Wilson, E., McDonald, S., … Moher, D. (2021). </w:t>
      </w:r>
      <w:r>
        <w:rPr>
          <w:rFonts w:ascii="Times New Roman" w:eastAsia="Times New Roman" w:hAnsi="Times New Roman" w:cs="Times New Roman"/>
          <w:i/>
          <w:iCs/>
          <w:sz w:val="24"/>
          <w:szCs w:val="24"/>
        </w:rPr>
        <w:t>The PRISMA 2020 statement: An updated guideline for reporting systematic reviews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BMJ, 372</w:t>
      </w:r>
      <w:r>
        <w:rPr>
          <w:rFonts w:ascii="Times New Roman" w:eastAsia="Times New Roman" w:hAnsi="Times New Roman" w:cs="Times New Roman"/>
          <w:sz w:val="24"/>
          <w:szCs w:val="24"/>
        </w:rPr>
        <w:t>, n71.</w:t>
      </w:r>
      <w:hyperlink r:id="rId48">
        <w:r w:rsidR="007D5FB4">
          <w:rPr>
            <w:rFonts w:ascii="Times New Roman" w:eastAsia="Times New Roman" w:hAnsi="Times New Roman" w:cs="Times New Roman"/>
            <w:sz w:val="24"/>
            <w:szCs w:val="24"/>
          </w:rPr>
          <w:t xml:space="preserve"> </w:t>
        </w:r>
      </w:hyperlink>
      <w:hyperlink r:id="rId49">
        <w:r w:rsidR="007D5FB4">
          <w:rPr>
            <w:rFonts w:ascii="Times New Roman" w:eastAsia="Times New Roman" w:hAnsi="Times New Roman" w:cs="Times New Roman"/>
            <w:color w:val="1155CC"/>
            <w:sz w:val="24"/>
            <w:szCs w:val="24"/>
          </w:rPr>
          <w:t>https://doi.org/10.1136/bmj.n71</w:t>
        </w:r>
      </w:hyperlink>
    </w:p>
    <w:p w14:paraId="62114732" w14:textId="77777777" w:rsidR="007D5FB4" w:rsidRDefault="003D1A1D">
      <w:pPr>
        <w:pStyle w:val="normal1"/>
        <w:spacing w:before="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Sia, S., </w:t>
      </w:r>
      <w:proofErr w:type="spellStart"/>
      <w:r>
        <w:rPr>
          <w:rFonts w:ascii="Times New Roman" w:eastAsia="Times New Roman" w:hAnsi="Times New Roman" w:cs="Times New Roman"/>
          <w:sz w:val="24"/>
          <w:szCs w:val="24"/>
        </w:rPr>
        <w:t>Lagrada</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Olorosa</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Limas</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Jamoralin</w:t>
      </w:r>
      <w:proofErr w:type="spellEnd"/>
      <w:r>
        <w:rPr>
          <w:rFonts w:ascii="Times New Roman" w:eastAsia="Times New Roman" w:hAnsi="Times New Roman" w:cs="Times New Roman"/>
          <w:sz w:val="24"/>
          <w:szCs w:val="24"/>
        </w:rPr>
        <w:t xml:space="preserve">, M., Jr., </w:t>
      </w:r>
      <w:proofErr w:type="spellStart"/>
      <w:r>
        <w:rPr>
          <w:rFonts w:ascii="Times New Roman" w:eastAsia="Times New Roman" w:hAnsi="Times New Roman" w:cs="Times New Roman"/>
          <w:sz w:val="24"/>
          <w:szCs w:val="24"/>
        </w:rPr>
        <w:t>Macaranas</w:t>
      </w:r>
      <w:proofErr w:type="spellEnd"/>
      <w:r>
        <w:rPr>
          <w:rFonts w:ascii="Times New Roman" w:eastAsia="Times New Roman" w:hAnsi="Times New Roman" w:cs="Times New Roman"/>
          <w:sz w:val="24"/>
          <w:szCs w:val="24"/>
        </w:rPr>
        <w:t xml:space="preserve">, P. K., Espiritu, H. G., </w:t>
      </w:r>
      <w:proofErr w:type="spellStart"/>
      <w:r>
        <w:rPr>
          <w:rFonts w:ascii="Times New Roman" w:eastAsia="Times New Roman" w:hAnsi="Times New Roman" w:cs="Times New Roman"/>
          <w:sz w:val="24"/>
          <w:szCs w:val="24"/>
        </w:rPr>
        <w:t>Gayeta</w:t>
      </w:r>
      <w:proofErr w:type="spellEnd"/>
      <w:r>
        <w:rPr>
          <w:rFonts w:ascii="Times New Roman" w:eastAsia="Times New Roman" w:hAnsi="Times New Roman" w:cs="Times New Roman"/>
          <w:sz w:val="24"/>
          <w:szCs w:val="24"/>
        </w:rPr>
        <w:t xml:space="preserve">, J., </w:t>
      </w:r>
      <w:proofErr w:type="spellStart"/>
      <w:r>
        <w:rPr>
          <w:rFonts w:ascii="Times New Roman" w:eastAsia="Times New Roman" w:hAnsi="Times New Roman" w:cs="Times New Roman"/>
          <w:sz w:val="24"/>
          <w:szCs w:val="24"/>
        </w:rPr>
        <w:t>Masim</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Ablola</w:t>
      </w:r>
      <w:proofErr w:type="spellEnd"/>
      <w:r>
        <w:rPr>
          <w:rFonts w:ascii="Times New Roman" w:eastAsia="Times New Roman" w:hAnsi="Times New Roman" w:cs="Times New Roman"/>
          <w:sz w:val="24"/>
          <w:szCs w:val="24"/>
        </w:rPr>
        <w:t>, F., &amp; Carlos</w:t>
      </w:r>
      <w:r>
        <w:rPr>
          <w:rFonts w:ascii="Times New Roman" w:eastAsia="Times New Roman" w:hAnsi="Times New Roman" w:cs="Times New Roman"/>
          <w:sz w:val="24"/>
          <w:szCs w:val="24"/>
        </w:rPr>
        <w:t xml:space="preserve">, C. (2020). </w:t>
      </w:r>
      <w:r>
        <w:rPr>
          <w:rFonts w:ascii="Times New Roman" w:eastAsia="Times New Roman" w:hAnsi="Times New Roman" w:cs="Times New Roman"/>
          <w:i/>
          <w:iCs/>
          <w:sz w:val="24"/>
          <w:szCs w:val="24"/>
        </w:rPr>
        <w:t>A fifteen-year report of serotype distribution and antimicrobial resistance of Salmonella in the Philippines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Philippine Journal of Pathology</w:t>
      </w:r>
      <w:r>
        <w:rPr>
          <w:rFonts w:ascii="Times New Roman" w:eastAsia="Times New Roman" w:hAnsi="Times New Roman" w:cs="Times New Roman"/>
          <w:sz w:val="24"/>
          <w:szCs w:val="24"/>
        </w:rPr>
        <w:t>.</w:t>
      </w:r>
      <w:hyperlink r:id="rId50">
        <w:r w:rsidR="007D5FB4">
          <w:rPr>
            <w:rFonts w:ascii="Times New Roman" w:eastAsia="Times New Roman" w:hAnsi="Times New Roman" w:cs="Times New Roman"/>
            <w:sz w:val="24"/>
            <w:szCs w:val="24"/>
          </w:rPr>
          <w:t xml:space="preserve"> </w:t>
        </w:r>
      </w:hyperlink>
      <w:hyperlink r:id="rId51">
        <w:r w:rsidR="007D5FB4">
          <w:rPr>
            <w:rFonts w:ascii="Times New Roman" w:eastAsia="Times New Roman" w:hAnsi="Times New Roman" w:cs="Times New Roman"/>
            <w:color w:val="1155CC"/>
            <w:sz w:val="24"/>
            <w:szCs w:val="24"/>
          </w:rPr>
          <w:t>https://doi.org/10.21141/PJP.2020.03</w:t>
        </w:r>
      </w:hyperlink>
      <w:r>
        <w:rPr>
          <w:rFonts w:ascii="Times New Roman" w:eastAsia="Times New Roman" w:hAnsi="Times New Roman" w:cs="Times New Roman"/>
          <w:sz w:val="24"/>
          <w:szCs w:val="24"/>
        </w:rPr>
        <w:t xml:space="preserve">  </w:t>
      </w:r>
    </w:p>
    <w:p w14:paraId="4BE542EC" w14:textId="77777777" w:rsidR="007D5FB4" w:rsidRDefault="003D1A1D">
      <w:pPr>
        <w:pStyle w:val="normal1"/>
        <w:spacing w:before="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Sia, S. B., et al. (2021). Serotype distribution and antimicrobial resistance of </w:t>
      </w:r>
      <w:r>
        <w:rPr>
          <w:rFonts w:ascii="Times New Roman" w:eastAsia="Times New Roman" w:hAnsi="Times New Roman" w:cs="Times New Roman"/>
          <w:i/>
          <w:iCs/>
          <w:sz w:val="24"/>
          <w:szCs w:val="24"/>
        </w:rPr>
        <w:t>Streptococcus pneumoniae</w:t>
      </w:r>
      <w:r>
        <w:rPr>
          <w:rFonts w:ascii="Times New Roman" w:eastAsia="Times New Roman" w:hAnsi="Times New Roman" w:cs="Times New Roman"/>
          <w:sz w:val="24"/>
          <w:szCs w:val="24"/>
        </w:rPr>
        <w:t xml:space="preserve"> in the Philippines. </w:t>
      </w:r>
      <w:r>
        <w:rPr>
          <w:rFonts w:ascii="Times New Roman" w:eastAsia="Times New Roman" w:hAnsi="Times New Roman" w:cs="Times New Roman"/>
          <w:i/>
          <w:iCs/>
          <w:sz w:val="24"/>
          <w:szCs w:val="24"/>
        </w:rPr>
        <w:t>Western Pacific Surveillance and Response Journal, 12</w:t>
      </w:r>
      <w:r>
        <w:rPr>
          <w:rFonts w:ascii="Times New Roman" w:eastAsia="Times New Roman" w:hAnsi="Times New Roman" w:cs="Times New Roman"/>
          <w:sz w:val="24"/>
          <w:szCs w:val="24"/>
        </w:rPr>
        <w:t>(4).</w:t>
      </w:r>
      <w:hyperlink r:id="rId52">
        <w:r w:rsidR="007D5FB4">
          <w:rPr>
            <w:rFonts w:ascii="Times New Roman" w:eastAsia="Times New Roman" w:hAnsi="Times New Roman" w:cs="Times New Roman"/>
            <w:sz w:val="24"/>
            <w:szCs w:val="24"/>
          </w:rPr>
          <w:t xml:space="preserve"> </w:t>
        </w:r>
      </w:hyperlink>
      <w:hyperlink r:id="rId53">
        <w:r w:rsidR="007D5FB4">
          <w:rPr>
            <w:rFonts w:ascii="Times New Roman" w:eastAsia="Times New Roman" w:hAnsi="Times New Roman" w:cs="Times New Roman"/>
            <w:sz w:val="24"/>
            <w:szCs w:val="24"/>
          </w:rPr>
          <w:t>https://doi.org/10.5365/wpsar.2021.12.4.834</w:t>
        </w:r>
      </w:hyperlink>
    </w:p>
    <w:p w14:paraId="354537F1" w14:textId="77777777" w:rsidR="007D5FB4" w:rsidRDefault="003D1A1D">
      <w:pPr>
        <w:pStyle w:val="normal1"/>
        <w:spacing w:before="24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Valenzuela, S., et al. (2025). Situational analysis of antimicrobial resistance policies and program implem</w:t>
      </w:r>
      <w:r>
        <w:rPr>
          <w:rFonts w:ascii="Times New Roman" w:eastAsia="Times New Roman" w:hAnsi="Times New Roman" w:cs="Times New Roman"/>
          <w:sz w:val="24"/>
          <w:szCs w:val="24"/>
        </w:rPr>
        <w:t xml:space="preserve">entation in the Philippines. </w:t>
      </w:r>
      <w:r>
        <w:rPr>
          <w:rFonts w:ascii="Times New Roman" w:eastAsia="Times New Roman" w:hAnsi="Times New Roman" w:cs="Times New Roman"/>
          <w:i/>
          <w:iCs/>
          <w:sz w:val="24"/>
          <w:szCs w:val="24"/>
        </w:rPr>
        <w:t>One Health, 21</w:t>
      </w:r>
      <w:r>
        <w:rPr>
          <w:rFonts w:ascii="Times New Roman" w:eastAsia="Times New Roman" w:hAnsi="Times New Roman" w:cs="Times New Roman"/>
          <w:sz w:val="24"/>
          <w:szCs w:val="24"/>
        </w:rPr>
        <w:t>, 101255.</w:t>
      </w:r>
      <w:hyperlink r:id="rId54">
        <w:r w:rsidR="007D5FB4">
          <w:rPr>
            <w:rFonts w:ascii="Times New Roman" w:eastAsia="Times New Roman" w:hAnsi="Times New Roman" w:cs="Times New Roman"/>
            <w:sz w:val="24"/>
            <w:szCs w:val="24"/>
          </w:rPr>
          <w:t xml:space="preserve"> </w:t>
        </w:r>
      </w:hyperlink>
      <w:hyperlink r:id="rId55">
        <w:r w:rsidR="007D5FB4">
          <w:rPr>
            <w:rFonts w:ascii="Times New Roman" w:eastAsia="Times New Roman" w:hAnsi="Times New Roman" w:cs="Times New Roman"/>
            <w:sz w:val="24"/>
            <w:szCs w:val="24"/>
          </w:rPr>
          <w:t>https://doi.org/10.1016/j.onehlt.2025.101255</w:t>
        </w:r>
      </w:hyperlink>
    </w:p>
    <w:p w14:paraId="3B7FFB15" w14:textId="77777777" w:rsidR="007D5FB4" w:rsidRDefault="003D1A1D">
      <w:pPr>
        <w:pStyle w:val="normal1"/>
        <w:spacing w:before="24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World Health Organization. </w:t>
      </w:r>
      <w:r>
        <w:rPr>
          <w:rFonts w:ascii="Times New Roman" w:eastAsia="Times New Roman" w:hAnsi="Times New Roman" w:cs="Times New Roman"/>
          <w:sz w:val="24"/>
          <w:szCs w:val="24"/>
        </w:rPr>
        <w:t>(2023). Antimicrobial resistance. https://www.who.int/news-room/fact-sheets/detail/antimicrobial-resistance</w:t>
      </w:r>
    </w:p>
    <w:p w14:paraId="37D02900" w14:textId="77777777" w:rsidR="007D5FB4" w:rsidRDefault="003D1A1D">
      <w:pPr>
        <w:pStyle w:val="normal1"/>
        <w:spacing w:before="24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World Health Organization. (2024). WHO bacterial priority pathogens list. https://www.who.int/publications/i/item/9789240093461</w:t>
      </w:r>
    </w:p>
    <w:p w14:paraId="47C1ACB5" w14:textId="77777777" w:rsidR="007D5FB4" w:rsidRDefault="007D5FB4">
      <w:pPr>
        <w:pStyle w:val="normal1"/>
        <w:spacing w:before="240" w:line="240" w:lineRule="auto"/>
        <w:ind w:left="720" w:hanging="720"/>
        <w:jc w:val="both"/>
        <w:rPr>
          <w:rFonts w:ascii="Times New Roman" w:eastAsia="Times New Roman" w:hAnsi="Times New Roman" w:cs="Times New Roman"/>
          <w:sz w:val="24"/>
          <w:szCs w:val="24"/>
        </w:rPr>
      </w:pPr>
    </w:p>
    <w:p w14:paraId="6C0B6F12" w14:textId="77777777" w:rsidR="007D5FB4" w:rsidRDefault="007D5FB4">
      <w:pPr>
        <w:pStyle w:val="normal1"/>
        <w:spacing w:before="240" w:after="240" w:line="240" w:lineRule="auto"/>
        <w:ind w:left="720" w:hanging="720"/>
        <w:jc w:val="both"/>
        <w:rPr>
          <w:rFonts w:ascii="Times New Roman" w:eastAsia="Times New Roman" w:hAnsi="Times New Roman" w:cs="Times New Roman"/>
          <w:sz w:val="24"/>
          <w:szCs w:val="24"/>
        </w:rPr>
      </w:pPr>
    </w:p>
    <w:p w14:paraId="0DB10525" w14:textId="77777777" w:rsidR="007D5FB4" w:rsidRDefault="007D5FB4">
      <w:pPr>
        <w:pStyle w:val="Heading2"/>
        <w:keepNext w:val="0"/>
        <w:keepLines w:val="0"/>
        <w:spacing w:after="80"/>
        <w:jc w:val="both"/>
        <w:rPr>
          <w:rFonts w:ascii="Times New Roman" w:eastAsia="Times New Roman" w:hAnsi="Times New Roman" w:cs="Times New Roman"/>
          <w:b/>
          <w:bCs/>
          <w:sz w:val="24"/>
          <w:szCs w:val="24"/>
        </w:rPr>
        <w:sectPr w:rsidR="007D5FB4">
          <w:headerReference w:type="even" r:id="rId56"/>
          <w:headerReference w:type="default" r:id="rId57"/>
          <w:footerReference w:type="even" r:id="rId58"/>
          <w:footerReference w:type="default" r:id="rId59"/>
          <w:headerReference w:type="first" r:id="rId60"/>
          <w:footerReference w:type="first" r:id="rId61"/>
          <w:pgSz w:w="12240" w:h="15840"/>
          <w:pgMar w:top="1440" w:right="1440" w:bottom="1440" w:left="1440" w:header="720" w:footer="0" w:gutter="0"/>
          <w:pgNumType w:start="1"/>
          <w:cols w:space="720"/>
          <w:formProt w:val="0"/>
          <w:docGrid w:linePitch="100"/>
        </w:sectPr>
      </w:pPr>
      <w:bookmarkStart w:id="46" w:name="_ao1nws5bezdg"/>
      <w:bookmarkEnd w:id="46"/>
    </w:p>
    <w:p w14:paraId="5B1F1CCE" w14:textId="0F717454" w:rsidR="007D5FB4" w:rsidRDefault="003D1A1D">
      <w:pPr>
        <w:pStyle w:val="Heading1"/>
        <w:keepNext w:val="0"/>
        <w:keepLines w:val="0"/>
        <w:spacing w:before="480"/>
        <w:rPr>
          <w:rFonts w:ascii="Times New Roman" w:eastAsia="Times New Roman" w:hAnsi="Times New Roman" w:cs="Times New Roman"/>
          <w:b/>
          <w:bCs/>
          <w:sz w:val="24"/>
          <w:szCs w:val="24"/>
        </w:rPr>
      </w:pPr>
      <w:bookmarkStart w:id="47" w:name="_hizdmvkc2kft"/>
      <w:bookmarkStart w:id="48" w:name="_m6d8vuqewolz"/>
      <w:bookmarkEnd w:id="47"/>
      <w:bookmarkEnd w:id="48"/>
      <w:r>
        <w:rPr>
          <w:rFonts w:ascii="Times New Roman" w:eastAsia="Times New Roman" w:hAnsi="Times New Roman" w:cs="Times New Roman"/>
          <w:b/>
          <w:bCs/>
          <w:sz w:val="24"/>
          <w:szCs w:val="24"/>
        </w:rPr>
        <w:lastRenderedPageBreak/>
        <w:t>Table</w:t>
      </w:r>
      <w:r w:rsidR="007443FA">
        <w:rPr>
          <w:rFonts w:ascii="Times New Roman" w:eastAsia="Times New Roman" w:hAnsi="Times New Roman" w:cs="Times New Roman"/>
          <w:b/>
          <w:bCs/>
          <w:sz w:val="24"/>
          <w:szCs w:val="24"/>
        </w:rPr>
        <w:t xml:space="preserve"> 1</w:t>
      </w:r>
      <w:r>
        <w:rPr>
          <w:rFonts w:ascii="Times New Roman" w:eastAsia="Times New Roman" w:hAnsi="Times New Roman" w:cs="Times New Roman"/>
          <w:b/>
          <w:bCs/>
          <w:sz w:val="24"/>
          <w:szCs w:val="24"/>
        </w:rPr>
        <w:t>: Summary of Studies Synthesized (n = 14)</w:t>
      </w:r>
    </w:p>
    <w:tbl>
      <w:tblPr>
        <w:tblStyle w:val="TableNormal0"/>
        <w:tblW w:w="13470" w:type="dxa"/>
        <w:tblInd w:w="-210" w:type="dxa"/>
        <w:tblLayout w:type="fixed"/>
        <w:tblLook w:val="0600" w:firstRow="0" w:lastRow="0" w:firstColumn="0" w:lastColumn="0" w:noHBand="1" w:noVBand="1"/>
      </w:tblPr>
      <w:tblGrid>
        <w:gridCol w:w="2055"/>
        <w:gridCol w:w="1875"/>
        <w:gridCol w:w="1560"/>
        <w:gridCol w:w="2295"/>
        <w:gridCol w:w="2100"/>
        <w:gridCol w:w="1409"/>
        <w:gridCol w:w="2176"/>
      </w:tblGrid>
      <w:tr w:rsidR="007D5FB4" w14:paraId="2AAC483A" w14:textId="77777777">
        <w:trPr>
          <w:trHeight w:val="510"/>
        </w:trPr>
        <w:tc>
          <w:tcPr>
            <w:tcW w:w="2055" w:type="dxa"/>
          </w:tcPr>
          <w:p w14:paraId="53A0E5CC"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49" w:name="_lvm75kk5m3j2"/>
            <w:bookmarkEnd w:id="49"/>
            <w:r>
              <w:rPr>
                <w:rFonts w:ascii="Times New Roman" w:eastAsia="Times New Roman" w:hAnsi="Times New Roman" w:cs="Times New Roman"/>
                <w:sz w:val="24"/>
                <w:szCs w:val="24"/>
              </w:rPr>
              <w:t>Author (Year)</w:t>
            </w:r>
          </w:p>
        </w:tc>
        <w:tc>
          <w:tcPr>
            <w:tcW w:w="1875" w:type="dxa"/>
          </w:tcPr>
          <w:p w14:paraId="5E9CB094"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50" w:name="_lvm75kk5m3j2_Copy_1"/>
            <w:bookmarkEnd w:id="50"/>
            <w:r>
              <w:rPr>
                <w:rFonts w:ascii="Times New Roman" w:eastAsia="Times New Roman" w:hAnsi="Times New Roman" w:cs="Times New Roman"/>
                <w:sz w:val="24"/>
                <w:szCs w:val="24"/>
              </w:rPr>
              <w:t>Study Design</w:t>
            </w:r>
          </w:p>
        </w:tc>
        <w:tc>
          <w:tcPr>
            <w:tcW w:w="1560" w:type="dxa"/>
          </w:tcPr>
          <w:p w14:paraId="3C2F0611"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51" w:name="_lvm75kk5m3j2_Copy_2"/>
            <w:bookmarkEnd w:id="51"/>
            <w:r>
              <w:rPr>
                <w:rFonts w:ascii="Times New Roman" w:eastAsia="Times New Roman" w:hAnsi="Times New Roman" w:cs="Times New Roman"/>
                <w:sz w:val="24"/>
                <w:szCs w:val="24"/>
              </w:rPr>
              <w:t>Setting</w:t>
            </w:r>
          </w:p>
        </w:tc>
        <w:tc>
          <w:tcPr>
            <w:tcW w:w="2295" w:type="dxa"/>
          </w:tcPr>
          <w:p w14:paraId="73088E05"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52" w:name="_lvm75kk5m3j2_Copy_3"/>
            <w:bookmarkEnd w:id="52"/>
            <w:r>
              <w:rPr>
                <w:rFonts w:ascii="Times New Roman" w:eastAsia="Times New Roman" w:hAnsi="Times New Roman" w:cs="Times New Roman"/>
                <w:sz w:val="24"/>
                <w:szCs w:val="24"/>
              </w:rPr>
              <w:t>Pathogen(s)</w:t>
            </w:r>
          </w:p>
        </w:tc>
        <w:tc>
          <w:tcPr>
            <w:tcW w:w="2100" w:type="dxa"/>
          </w:tcPr>
          <w:p w14:paraId="2A3D3979"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53" w:name="_lvm75kk5m3j2_Copy_4"/>
            <w:bookmarkEnd w:id="53"/>
            <w:r>
              <w:rPr>
                <w:rFonts w:ascii="Times New Roman" w:eastAsia="Times New Roman" w:hAnsi="Times New Roman" w:cs="Times New Roman"/>
                <w:sz w:val="24"/>
                <w:szCs w:val="24"/>
              </w:rPr>
              <w:t>Sample Source</w:t>
            </w:r>
          </w:p>
        </w:tc>
        <w:tc>
          <w:tcPr>
            <w:tcW w:w="1409" w:type="dxa"/>
          </w:tcPr>
          <w:p w14:paraId="09D2A0EA"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54" w:name="_lvm75kk5m3j2_Copy_5"/>
            <w:bookmarkEnd w:id="54"/>
            <w:r>
              <w:rPr>
                <w:rFonts w:ascii="Times New Roman" w:eastAsia="Times New Roman" w:hAnsi="Times New Roman" w:cs="Times New Roman"/>
                <w:sz w:val="24"/>
                <w:szCs w:val="24"/>
              </w:rPr>
              <w:t>Method(s)</w:t>
            </w:r>
          </w:p>
        </w:tc>
        <w:tc>
          <w:tcPr>
            <w:tcW w:w="2176" w:type="dxa"/>
          </w:tcPr>
          <w:p w14:paraId="7073EF32"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55" w:name="_lvm75kk5m3j2_Copy_6"/>
            <w:bookmarkEnd w:id="55"/>
            <w:r>
              <w:rPr>
                <w:rFonts w:ascii="Times New Roman" w:eastAsia="Times New Roman" w:hAnsi="Times New Roman" w:cs="Times New Roman"/>
                <w:sz w:val="24"/>
                <w:szCs w:val="24"/>
              </w:rPr>
              <w:t>Key Findings</w:t>
            </w:r>
          </w:p>
        </w:tc>
      </w:tr>
      <w:tr w:rsidR="007D5FB4" w14:paraId="03896A22" w14:textId="77777777">
        <w:trPr>
          <w:trHeight w:val="885"/>
        </w:trPr>
        <w:tc>
          <w:tcPr>
            <w:tcW w:w="2055" w:type="dxa"/>
          </w:tcPr>
          <w:p w14:paraId="2E5BA4AD"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56" w:name="_lvm75kk5m3j2_Copy_7"/>
            <w:bookmarkEnd w:id="56"/>
            <w:proofErr w:type="spellStart"/>
            <w:r>
              <w:rPr>
                <w:rFonts w:ascii="Times New Roman" w:eastAsia="Times New Roman" w:hAnsi="Times New Roman" w:cs="Times New Roman"/>
                <w:sz w:val="24"/>
                <w:szCs w:val="24"/>
              </w:rPr>
              <w:t>Argimón</w:t>
            </w:r>
            <w:proofErr w:type="spellEnd"/>
            <w:r>
              <w:rPr>
                <w:rFonts w:ascii="Times New Roman" w:eastAsia="Times New Roman" w:hAnsi="Times New Roman" w:cs="Times New Roman"/>
                <w:sz w:val="24"/>
                <w:szCs w:val="24"/>
              </w:rPr>
              <w:t xml:space="preserve"> et al. (2019)</w:t>
            </w:r>
          </w:p>
        </w:tc>
        <w:tc>
          <w:tcPr>
            <w:tcW w:w="1875" w:type="dxa"/>
          </w:tcPr>
          <w:p w14:paraId="0CC93EE4"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57" w:name="_lvm75kk5m3j2_Copy_8"/>
            <w:bookmarkEnd w:id="57"/>
            <w:r>
              <w:rPr>
                <w:rFonts w:ascii="Times New Roman" w:eastAsia="Times New Roman" w:hAnsi="Times New Roman" w:cs="Times New Roman"/>
                <w:sz w:val="24"/>
                <w:szCs w:val="24"/>
              </w:rPr>
              <w:t xml:space="preserve">Surveillance </w:t>
            </w:r>
            <w:r>
              <w:rPr>
                <w:rFonts w:ascii="Times New Roman" w:eastAsia="Times New Roman" w:hAnsi="Times New Roman" w:cs="Times New Roman"/>
                <w:sz w:val="24"/>
                <w:szCs w:val="24"/>
              </w:rPr>
              <w:t>/ Molecular</w:t>
            </w:r>
          </w:p>
        </w:tc>
        <w:tc>
          <w:tcPr>
            <w:tcW w:w="1560" w:type="dxa"/>
          </w:tcPr>
          <w:p w14:paraId="1F7E7397"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58" w:name="_lvm75kk5m3j2_Copy_9"/>
            <w:bookmarkEnd w:id="58"/>
            <w:r>
              <w:rPr>
                <w:rFonts w:ascii="Times New Roman" w:eastAsia="Times New Roman" w:hAnsi="Times New Roman" w:cs="Times New Roman"/>
                <w:sz w:val="24"/>
                <w:szCs w:val="24"/>
              </w:rPr>
              <w:t>Multi-center</w:t>
            </w:r>
          </w:p>
        </w:tc>
        <w:tc>
          <w:tcPr>
            <w:tcW w:w="2295" w:type="dxa"/>
          </w:tcPr>
          <w:p w14:paraId="51253BA0"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59" w:name="_lvm75kk5m3j2_Copy_10"/>
            <w:bookmarkEnd w:id="59"/>
            <w:r>
              <w:rPr>
                <w:rFonts w:ascii="Times New Roman" w:eastAsia="Times New Roman" w:hAnsi="Times New Roman" w:cs="Times New Roman"/>
                <w:i/>
                <w:iCs/>
                <w:sz w:val="24"/>
                <w:szCs w:val="24"/>
              </w:rPr>
              <w:t>E. coli</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K. pneumoniae</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A. </w:t>
            </w:r>
            <w:proofErr w:type="spellStart"/>
            <w:r>
              <w:rPr>
                <w:rFonts w:ascii="Times New Roman" w:eastAsia="Times New Roman" w:hAnsi="Times New Roman" w:cs="Times New Roman"/>
                <w:i/>
                <w:iCs/>
                <w:sz w:val="24"/>
                <w:szCs w:val="24"/>
              </w:rPr>
              <w:t>baumannii</w:t>
            </w:r>
            <w:proofErr w:type="spellEnd"/>
          </w:p>
        </w:tc>
        <w:tc>
          <w:tcPr>
            <w:tcW w:w="2100" w:type="dxa"/>
          </w:tcPr>
          <w:p w14:paraId="1C6D45D0"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60" w:name="_lvm75kk5m3j2_Copy_11"/>
            <w:bookmarkEnd w:id="60"/>
            <w:r>
              <w:rPr>
                <w:rFonts w:ascii="Times New Roman" w:eastAsia="Times New Roman" w:hAnsi="Times New Roman" w:cs="Times New Roman"/>
                <w:sz w:val="24"/>
                <w:szCs w:val="24"/>
              </w:rPr>
              <w:t>Clinical isolates</w:t>
            </w:r>
          </w:p>
        </w:tc>
        <w:tc>
          <w:tcPr>
            <w:tcW w:w="1409" w:type="dxa"/>
          </w:tcPr>
          <w:p w14:paraId="271C0A7D"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61" w:name="_lvm75kk5m3j2_Copy_12"/>
            <w:bookmarkEnd w:id="61"/>
            <w:r>
              <w:rPr>
                <w:rFonts w:ascii="Times New Roman" w:eastAsia="Times New Roman" w:hAnsi="Times New Roman" w:cs="Times New Roman"/>
                <w:sz w:val="24"/>
                <w:szCs w:val="24"/>
              </w:rPr>
              <w:t>AST, WGS</w:t>
            </w:r>
          </w:p>
        </w:tc>
        <w:tc>
          <w:tcPr>
            <w:tcW w:w="2176" w:type="dxa"/>
          </w:tcPr>
          <w:p w14:paraId="79CB33A6"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62" w:name="_lvm75kk5m3j2_Copy_13"/>
            <w:bookmarkEnd w:id="62"/>
            <w:r>
              <w:rPr>
                <w:rFonts w:ascii="Times New Roman" w:eastAsia="Times New Roman" w:hAnsi="Times New Roman" w:cs="Times New Roman"/>
                <w:sz w:val="24"/>
                <w:szCs w:val="24"/>
              </w:rPr>
              <w:t>Carbapenem resistance; clonal dissemination</w:t>
            </w:r>
          </w:p>
        </w:tc>
      </w:tr>
      <w:tr w:rsidR="007D5FB4" w14:paraId="3BCF5207" w14:textId="77777777">
        <w:trPr>
          <w:trHeight w:val="662"/>
        </w:trPr>
        <w:tc>
          <w:tcPr>
            <w:tcW w:w="2055" w:type="dxa"/>
          </w:tcPr>
          <w:p w14:paraId="49B95386"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63" w:name="_lvm75kk5m3j2_Copy_14"/>
            <w:bookmarkEnd w:id="63"/>
            <w:proofErr w:type="spellStart"/>
            <w:r>
              <w:rPr>
                <w:rFonts w:ascii="Times New Roman" w:eastAsia="Times New Roman" w:hAnsi="Times New Roman" w:cs="Times New Roman"/>
                <w:sz w:val="24"/>
                <w:szCs w:val="24"/>
              </w:rPr>
              <w:t>Argimón</w:t>
            </w:r>
            <w:proofErr w:type="spellEnd"/>
            <w:r>
              <w:rPr>
                <w:rFonts w:ascii="Times New Roman" w:eastAsia="Times New Roman" w:hAnsi="Times New Roman" w:cs="Times New Roman"/>
                <w:sz w:val="24"/>
                <w:szCs w:val="24"/>
              </w:rPr>
              <w:t xml:space="preserve"> et al. (2020)</w:t>
            </w:r>
          </w:p>
        </w:tc>
        <w:tc>
          <w:tcPr>
            <w:tcW w:w="1875" w:type="dxa"/>
          </w:tcPr>
          <w:p w14:paraId="65C605DB"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64" w:name="_lvm75kk5m3j2_Copy_15"/>
            <w:bookmarkEnd w:id="64"/>
            <w:r>
              <w:rPr>
                <w:rFonts w:ascii="Times New Roman" w:eastAsia="Times New Roman" w:hAnsi="Times New Roman" w:cs="Times New Roman"/>
                <w:sz w:val="24"/>
                <w:szCs w:val="24"/>
              </w:rPr>
              <w:t>Molecular epidemiology</w:t>
            </w:r>
          </w:p>
        </w:tc>
        <w:tc>
          <w:tcPr>
            <w:tcW w:w="1560" w:type="dxa"/>
          </w:tcPr>
          <w:p w14:paraId="78DB9C04"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65" w:name="_lvm75kk5m3j2_Copy_16"/>
            <w:bookmarkEnd w:id="65"/>
            <w:r>
              <w:rPr>
                <w:rFonts w:ascii="Times New Roman" w:eastAsia="Times New Roman" w:hAnsi="Times New Roman" w:cs="Times New Roman"/>
                <w:sz w:val="24"/>
                <w:szCs w:val="24"/>
              </w:rPr>
              <w:t>National</w:t>
            </w:r>
          </w:p>
        </w:tc>
        <w:tc>
          <w:tcPr>
            <w:tcW w:w="2295" w:type="dxa"/>
          </w:tcPr>
          <w:p w14:paraId="1BFD3027"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66" w:name="_lvm75kk5m3j2_Copy_17"/>
            <w:bookmarkEnd w:id="66"/>
            <w:r>
              <w:rPr>
                <w:rFonts w:ascii="Times New Roman" w:eastAsia="Times New Roman" w:hAnsi="Times New Roman" w:cs="Times New Roman"/>
                <w:sz w:val="24"/>
                <w:szCs w:val="24"/>
              </w:rPr>
              <w:t>Gram-negative bacteria</w:t>
            </w:r>
          </w:p>
        </w:tc>
        <w:tc>
          <w:tcPr>
            <w:tcW w:w="2100" w:type="dxa"/>
          </w:tcPr>
          <w:p w14:paraId="5B2D14D1"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67" w:name="_lvm75kk5m3j2_Copy_18"/>
            <w:bookmarkEnd w:id="67"/>
            <w:r>
              <w:rPr>
                <w:rFonts w:ascii="Times New Roman" w:eastAsia="Times New Roman" w:hAnsi="Times New Roman" w:cs="Times New Roman"/>
                <w:sz w:val="24"/>
                <w:szCs w:val="24"/>
              </w:rPr>
              <w:t>Clinical isolates</w:t>
            </w:r>
          </w:p>
        </w:tc>
        <w:tc>
          <w:tcPr>
            <w:tcW w:w="1409" w:type="dxa"/>
          </w:tcPr>
          <w:p w14:paraId="6B848F28"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68" w:name="_lvm75kk5m3j2_Copy_19"/>
            <w:bookmarkEnd w:id="68"/>
            <w:r>
              <w:rPr>
                <w:rFonts w:ascii="Times New Roman" w:eastAsia="Times New Roman" w:hAnsi="Times New Roman" w:cs="Times New Roman"/>
                <w:sz w:val="24"/>
                <w:szCs w:val="24"/>
              </w:rPr>
              <w:t>WGS</w:t>
            </w:r>
          </w:p>
        </w:tc>
        <w:tc>
          <w:tcPr>
            <w:tcW w:w="2176" w:type="dxa"/>
          </w:tcPr>
          <w:p w14:paraId="5774EDB0"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69" w:name="_lvm75kk5m3j2_Copy_20"/>
            <w:bookmarkEnd w:id="69"/>
            <w:r>
              <w:rPr>
                <w:rFonts w:ascii="Times New Roman" w:eastAsia="Times New Roman" w:hAnsi="Times New Roman" w:cs="Times New Roman"/>
                <w:sz w:val="24"/>
                <w:szCs w:val="24"/>
              </w:rPr>
              <w:t xml:space="preserve">Horizontal gene </w:t>
            </w:r>
            <w:r>
              <w:rPr>
                <w:rFonts w:ascii="Times New Roman" w:eastAsia="Times New Roman" w:hAnsi="Times New Roman" w:cs="Times New Roman"/>
                <w:sz w:val="24"/>
                <w:szCs w:val="24"/>
              </w:rPr>
              <w:t>transfer; resistance genes</w:t>
            </w:r>
          </w:p>
        </w:tc>
      </w:tr>
      <w:tr w:rsidR="007D5FB4" w14:paraId="67914D8D" w14:textId="77777777">
        <w:trPr>
          <w:trHeight w:val="557"/>
        </w:trPr>
        <w:tc>
          <w:tcPr>
            <w:tcW w:w="2055" w:type="dxa"/>
          </w:tcPr>
          <w:p w14:paraId="1B8AAF43"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70" w:name="_lvm75kk5m3j2_Copy_21"/>
            <w:bookmarkEnd w:id="70"/>
            <w:proofErr w:type="spellStart"/>
            <w:r>
              <w:rPr>
                <w:rFonts w:ascii="Times New Roman" w:eastAsia="Times New Roman" w:hAnsi="Times New Roman" w:cs="Times New Roman"/>
                <w:sz w:val="24"/>
                <w:szCs w:val="24"/>
              </w:rPr>
              <w:t>Bacabac</w:t>
            </w:r>
            <w:proofErr w:type="spellEnd"/>
            <w:r>
              <w:rPr>
                <w:rFonts w:ascii="Times New Roman" w:eastAsia="Times New Roman" w:hAnsi="Times New Roman" w:cs="Times New Roman"/>
                <w:sz w:val="24"/>
                <w:szCs w:val="24"/>
              </w:rPr>
              <w:t xml:space="preserve"> et al. (2025)</w:t>
            </w:r>
          </w:p>
        </w:tc>
        <w:tc>
          <w:tcPr>
            <w:tcW w:w="1875" w:type="dxa"/>
          </w:tcPr>
          <w:p w14:paraId="32725337"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71" w:name="_lvm75kk5m3j2_Copy_22"/>
            <w:bookmarkEnd w:id="71"/>
            <w:r>
              <w:rPr>
                <w:rFonts w:ascii="Times New Roman" w:eastAsia="Times New Roman" w:hAnsi="Times New Roman" w:cs="Times New Roman"/>
                <w:sz w:val="24"/>
                <w:szCs w:val="24"/>
              </w:rPr>
              <w:t>Retrospective</w:t>
            </w:r>
          </w:p>
        </w:tc>
        <w:tc>
          <w:tcPr>
            <w:tcW w:w="1560" w:type="dxa"/>
          </w:tcPr>
          <w:p w14:paraId="66EF2F75"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72" w:name="_lvm75kk5m3j2_Copy_23"/>
            <w:bookmarkEnd w:id="72"/>
            <w:r>
              <w:rPr>
                <w:rFonts w:ascii="Times New Roman" w:eastAsia="Times New Roman" w:hAnsi="Times New Roman" w:cs="Times New Roman"/>
                <w:sz w:val="24"/>
                <w:szCs w:val="24"/>
              </w:rPr>
              <w:t>Hospital</w:t>
            </w:r>
          </w:p>
        </w:tc>
        <w:tc>
          <w:tcPr>
            <w:tcW w:w="2295" w:type="dxa"/>
          </w:tcPr>
          <w:p w14:paraId="00FC8A7A"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73" w:name="_lvm75kk5m3j2_Copy_24"/>
            <w:bookmarkEnd w:id="73"/>
            <w:r>
              <w:rPr>
                <w:rFonts w:ascii="Times New Roman" w:eastAsia="Times New Roman" w:hAnsi="Times New Roman" w:cs="Times New Roman"/>
                <w:i/>
                <w:iCs/>
                <w:sz w:val="24"/>
                <w:szCs w:val="24"/>
              </w:rPr>
              <w:t>E. coli</w:t>
            </w:r>
            <w:r>
              <w:rPr>
                <w:rFonts w:ascii="Times New Roman" w:eastAsia="Times New Roman" w:hAnsi="Times New Roman" w:cs="Times New Roman"/>
                <w:sz w:val="24"/>
                <w:szCs w:val="24"/>
              </w:rPr>
              <w:t>, MRSA</w:t>
            </w:r>
          </w:p>
        </w:tc>
        <w:tc>
          <w:tcPr>
            <w:tcW w:w="2100" w:type="dxa"/>
          </w:tcPr>
          <w:p w14:paraId="73591E2B"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74" w:name="_lvm75kk5m3j2_Copy_25"/>
            <w:bookmarkEnd w:id="74"/>
            <w:r>
              <w:rPr>
                <w:rFonts w:ascii="Times New Roman" w:eastAsia="Times New Roman" w:hAnsi="Times New Roman" w:cs="Times New Roman"/>
                <w:sz w:val="24"/>
                <w:szCs w:val="24"/>
              </w:rPr>
              <w:t>Clinical samples</w:t>
            </w:r>
          </w:p>
        </w:tc>
        <w:tc>
          <w:tcPr>
            <w:tcW w:w="1409" w:type="dxa"/>
          </w:tcPr>
          <w:p w14:paraId="3CE74C23"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75" w:name="_lvm75kk5m3j2_Copy_26"/>
            <w:bookmarkEnd w:id="75"/>
            <w:r>
              <w:rPr>
                <w:rFonts w:ascii="Times New Roman" w:eastAsia="Times New Roman" w:hAnsi="Times New Roman" w:cs="Times New Roman"/>
                <w:sz w:val="24"/>
                <w:szCs w:val="24"/>
              </w:rPr>
              <w:t>AST</w:t>
            </w:r>
          </w:p>
        </w:tc>
        <w:tc>
          <w:tcPr>
            <w:tcW w:w="2176" w:type="dxa"/>
          </w:tcPr>
          <w:p w14:paraId="1060AB1E"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76" w:name="_lvm75kk5m3j2_Copy_27"/>
            <w:bookmarkEnd w:id="76"/>
            <w:r>
              <w:rPr>
                <w:rFonts w:ascii="Times New Roman" w:eastAsia="Times New Roman" w:hAnsi="Times New Roman" w:cs="Times New Roman"/>
                <w:sz w:val="24"/>
                <w:szCs w:val="24"/>
              </w:rPr>
              <w:t>Increased resistance post-COVID-19</w:t>
            </w:r>
          </w:p>
        </w:tc>
      </w:tr>
      <w:tr w:rsidR="007D5FB4" w14:paraId="3CF62A1C" w14:textId="77777777">
        <w:trPr>
          <w:trHeight w:val="707"/>
        </w:trPr>
        <w:tc>
          <w:tcPr>
            <w:tcW w:w="2055" w:type="dxa"/>
          </w:tcPr>
          <w:p w14:paraId="4C590824"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77" w:name="_lvm75kk5m3j2_Copy_28"/>
            <w:bookmarkEnd w:id="77"/>
            <w:r>
              <w:rPr>
                <w:rFonts w:ascii="Times New Roman" w:eastAsia="Times New Roman" w:hAnsi="Times New Roman" w:cs="Times New Roman"/>
                <w:sz w:val="24"/>
                <w:szCs w:val="24"/>
              </w:rPr>
              <w:t>Sia et al. (2020)</w:t>
            </w:r>
          </w:p>
        </w:tc>
        <w:tc>
          <w:tcPr>
            <w:tcW w:w="1875" w:type="dxa"/>
          </w:tcPr>
          <w:p w14:paraId="0E9A38D4"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78" w:name="_lvm75kk5m3j2_Copy_29"/>
            <w:bookmarkEnd w:id="78"/>
            <w:r>
              <w:rPr>
                <w:rFonts w:ascii="Times New Roman" w:eastAsia="Times New Roman" w:hAnsi="Times New Roman" w:cs="Times New Roman"/>
                <w:sz w:val="24"/>
                <w:szCs w:val="24"/>
              </w:rPr>
              <w:t>Surveillance</w:t>
            </w:r>
          </w:p>
        </w:tc>
        <w:tc>
          <w:tcPr>
            <w:tcW w:w="1560" w:type="dxa"/>
          </w:tcPr>
          <w:p w14:paraId="4D82D822"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79" w:name="_lvm75kk5m3j2_Copy_30"/>
            <w:bookmarkEnd w:id="79"/>
            <w:r>
              <w:rPr>
                <w:rFonts w:ascii="Times New Roman" w:eastAsia="Times New Roman" w:hAnsi="Times New Roman" w:cs="Times New Roman"/>
                <w:sz w:val="24"/>
                <w:szCs w:val="24"/>
              </w:rPr>
              <w:t>National</w:t>
            </w:r>
          </w:p>
        </w:tc>
        <w:tc>
          <w:tcPr>
            <w:tcW w:w="2295" w:type="dxa"/>
          </w:tcPr>
          <w:p w14:paraId="2FAA7641"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80" w:name="_lvm75kk5m3j2_Copy_31"/>
            <w:bookmarkEnd w:id="80"/>
            <w:r>
              <w:rPr>
                <w:rFonts w:ascii="Times New Roman" w:eastAsia="Times New Roman" w:hAnsi="Times New Roman" w:cs="Times New Roman"/>
                <w:i/>
                <w:iCs/>
                <w:sz w:val="24"/>
                <w:szCs w:val="24"/>
              </w:rPr>
              <w:t>Salmonella spp.</w:t>
            </w:r>
          </w:p>
        </w:tc>
        <w:tc>
          <w:tcPr>
            <w:tcW w:w="2100" w:type="dxa"/>
          </w:tcPr>
          <w:p w14:paraId="398776A7"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81" w:name="_lvm75kk5m3j2_Copy_32"/>
            <w:bookmarkEnd w:id="81"/>
            <w:r>
              <w:rPr>
                <w:rFonts w:ascii="Times New Roman" w:eastAsia="Times New Roman" w:hAnsi="Times New Roman" w:cs="Times New Roman"/>
                <w:sz w:val="24"/>
                <w:szCs w:val="24"/>
              </w:rPr>
              <w:t>Blood/stool</w:t>
            </w:r>
          </w:p>
        </w:tc>
        <w:tc>
          <w:tcPr>
            <w:tcW w:w="1409" w:type="dxa"/>
          </w:tcPr>
          <w:p w14:paraId="1CDFB2BF"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82" w:name="_lvm75kk5m3j2_Copy_33"/>
            <w:bookmarkEnd w:id="82"/>
            <w:r>
              <w:rPr>
                <w:rFonts w:ascii="Times New Roman" w:eastAsia="Times New Roman" w:hAnsi="Times New Roman" w:cs="Times New Roman"/>
                <w:sz w:val="24"/>
                <w:szCs w:val="24"/>
              </w:rPr>
              <w:t>AST</w:t>
            </w:r>
          </w:p>
        </w:tc>
        <w:tc>
          <w:tcPr>
            <w:tcW w:w="2176" w:type="dxa"/>
          </w:tcPr>
          <w:p w14:paraId="4CD90734"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83" w:name="_lvm75kk5m3j2_Copy_34"/>
            <w:bookmarkEnd w:id="83"/>
            <w:r>
              <w:rPr>
                <w:rFonts w:ascii="Times New Roman" w:eastAsia="Times New Roman" w:hAnsi="Times New Roman" w:cs="Times New Roman"/>
                <w:sz w:val="24"/>
                <w:szCs w:val="24"/>
              </w:rPr>
              <w:t xml:space="preserve">Low resistance in </w:t>
            </w:r>
            <w:r>
              <w:rPr>
                <w:rFonts w:ascii="Times New Roman" w:eastAsia="Times New Roman" w:hAnsi="Times New Roman" w:cs="Times New Roman"/>
                <w:i/>
                <w:iCs/>
                <w:sz w:val="24"/>
                <w:szCs w:val="24"/>
              </w:rPr>
              <w:t>S. Typhi</w:t>
            </w:r>
          </w:p>
        </w:tc>
      </w:tr>
      <w:tr w:rsidR="007D5FB4" w14:paraId="7CFF864A" w14:textId="77777777">
        <w:trPr>
          <w:trHeight w:val="476"/>
        </w:trPr>
        <w:tc>
          <w:tcPr>
            <w:tcW w:w="2055" w:type="dxa"/>
          </w:tcPr>
          <w:p w14:paraId="4ABA544E"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84" w:name="_lvm75kk5m3j2_Copy_35"/>
            <w:bookmarkEnd w:id="84"/>
            <w:r>
              <w:rPr>
                <w:rFonts w:ascii="Times New Roman" w:eastAsia="Times New Roman" w:hAnsi="Times New Roman" w:cs="Times New Roman"/>
                <w:sz w:val="24"/>
                <w:szCs w:val="24"/>
              </w:rPr>
              <w:t xml:space="preserve">Sia et al. </w:t>
            </w:r>
            <w:r>
              <w:rPr>
                <w:rFonts w:ascii="Times New Roman" w:eastAsia="Times New Roman" w:hAnsi="Times New Roman" w:cs="Times New Roman"/>
                <w:sz w:val="24"/>
                <w:szCs w:val="24"/>
              </w:rPr>
              <w:t>(2021)</w:t>
            </w:r>
          </w:p>
        </w:tc>
        <w:tc>
          <w:tcPr>
            <w:tcW w:w="1875" w:type="dxa"/>
          </w:tcPr>
          <w:p w14:paraId="69410FE5"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85" w:name="_lvm75kk5m3j2_Copy_36"/>
            <w:bookmarkEnd w:id="85"/>
            <w:r>
              <w:rPr>
                <w:rFonts w:ascii="Times New Roman" w:eastAsia="Times New Roman" w:hAnsi="Times New Roman" w:cs="Times New Roman"/>
                <w:sz w:val="24"/>
                <w:szCs w:val="24"/>
              </w:rPr>
              <w:t>Surveillance</w:t>
            </w:r>
          </w:p>
        </w:tc>
        <w:tc>
          <w:tcPr>
            <w:tcW w:w="1560" w:type="dxa"/>
          </w:tcPr>
          <w:p w14:paraId="000BC30D"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86" w:name="_lvm75kk5m3j2_Copy_37"/>
            <w:bookmarkEnd w:id="86"/>
            <w:r>
              <w:rPr>
                <w:rFonts w:ascii="Times New Roman" w:eastAsia="Times New Roman" w:hAnsi="Times New Roman" w:cs="Times New Roman"/>
                <w:sz w:val="24"/>
                <w:szCs w:val="24"/>
              </w:rPr>
              <w:t>National</w:t>
            </w:r>
          </w:p>
        </w:tc>
        <w:tc>
          <w:tcPr>
            <w:tcW w:w="2295" w:type="dxa"/>
          </w:tcPr>
          <w:p w14:paraId="5E466AB1"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87" w:name="_lvm75kk5m3j2_Copy_38"/>
            <w:bookmarkEnd w:id="87"/>
            <w:r>
              <w:rPr>
                <w:rFonts w:ascii="Times New Roman" w:eastAsia="Times New Roman" w:hAnsi="Times New Roman" w:cs="Times New Roman"/>
                <w:i/>
                <w:iCs/>
                <w:sz w:val="24"/>
                <w:szCs w:val="24"/>
              </w:rPr>
              <w:t>S. pneumoniae</w:t>
            </w:r>
          </w:p>
        </w:tc>
        <w:tc>
          <w:tcPr>
            <w:tcW w:w="2100" w:type="dxa"/>
          </w:tcPr>
          <w:p w14:paraId="4E77DF25"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88" w:name="_lvm75kk5m3j2_Copy_39"/>
            <w:bookmarkEnd w:id="88"/>
            <w:r>
              <w:rPr>
                <w:rFonts w:ascii="Times New Roman" w:eastAsia="Times New Roman" w:hAnsi="Times New Roman" w:cs="Times New Roman"/>
                <w:sz w:val="24"/>
                <w:szCs w:val="24"/>
              </w:rPr>
              <w:t>Clinical isolates</w:t>
            </w:r>
          </w:p>
        </w:tc>
        <w:tc>
          <w:tcPr>
            <w:tcW w:w="1409" w:type="dxa"/>
          </w:tcPr>
          <w:p w14:paraId="67B8638F"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89" w:name="_lvm75kk5m3j2_Copy_40"/>
            <w:bookmarkEnd w:id="89"/>
            <w:r>
              <w:rPr>
                <w:rFonts w:ascii="Times New Roman" w:eastAsia="Times New Roman" w:hAnsi="Times New Roman" w:cs="Times New Roman"/>
                <w:sz w:val="24"/>
                <w:szCs w:val="24"/>
              </w:rPr>
              <w:t>AST</w:t>
            </w:r>
          </w:p>
        </w:tc>
        <w:tc>
          <w:tcPr>
            <w:tcW w:w="2176" w:type="dxa"/>
          </w:tcPr>
          <w:p w14:paraId="27D04BFA"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90" w:name="_lvm75kk5m3j2_Copy_41"/>
            <w:bookmarkEnd w:id="90"/>
            <w:r>
              <w:rPr>
                <w:rFonts w:ascii="Times New Roman" w:eastAsia="Times New Roman" w:hAnsi="Times New Roman" w:cs="Times New Roman"/>
                <w:sz w:val="24"/>
                <w:szCs w:val="24"/>
              </w:rPr>
              <w:t>Low resistance rates overall</w:t>
            </w:r>
          </w:p>
        </w:tc>
      </w:tr>
      <w:tr w:rsidR="007D5FB4" w14:paraId="72DA840A" w14:textId="77777777">
        <w:trPr>
          <w:trHeight w:val="347"/>
        </w:trPr>
        <w:tc>
          <w:tcPr>
            <w:tcW w:w="2055" w:type="dxa"/>
          </w:tcPr>
          <w:p w14:paraId="71CFC83B"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91" w:name="_lvm75kk5m3j2_Copy_42"/>
            <w:bookmarkEnd w:id="91"/>
            <w:proofErr w:type="spellStart"/>
            <w:r>
              <w:rPr>
                <w:rFonts w:ascii="Times New Roman" w:eastAsia="Times New Roman" w:hAnsi="Times New Roman" w:cs="Times New Roman"/>
                <w:sz w:val="24"/>
                <w:szCs w:val="24"/>
              </w:rPr>
              <w:t>Abeleda</w:t>
            </w:r>
            <w:proofErr w:type="spellEnd"/>
            <w:r>
              <w:rPr>
                <w:rFonts w:ascii="Times New Roman" w:eastAsia="Times New Roman" w:hAnsi="Times New Roman" w:cs="Times New Roman"/>
                <w:sz w:val="24"/>
                <w:szCs w:val="24"/>
              </w:rPr>
              <w:t xml:space="preserve"> et al. (2024)</w:t>
            </w:r>
          </w:p>
        </w:tc>
        <w:tc>
          <w:tcPr>
            <w:tcW w:w="1875" w:type="dxa"/>
          </w:tcPr>
          <w:p w14:paraId="4B41694F"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92" w:name="_lvm75kk5m3j2_Copy_43"/>
            <w:bookmarkEnd w:id="92"/>
            <w:r>
              <w:rPr>
                <w:rFonts w:ascii="Times New Roman" w:eastAsia="Times New Roman" w:hAnsi="Times New Roman" w:cs="Times New Roman"/>
                <w:sz w:val="24"/>
                <w:szCs w:val="24"/>
              </w:rPr>
              <w:t>Observational</w:t>
            </w:r>
          </w:p>
        </w:tc>
        <w:tc>
          <w:tcPr>
            <w:tcW w:w="1560" w:type="dxa"/>
          </w:tcPr>
          <w:p w14:paraId="2771C881"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93" w:name="_lvm75kk5m3j2_Copy_44"/>
            <w:bookmarkEnd w:id="93"/>
            <w:r>
              <w:rPr>
                <w:rFonts w:ascii="Times New Roman" w:eastAsia="Times New Roman" w:hAnsi="Times New Roman" w:cs="Times New Roman"/>
                <w:sz w:val="24"/>
                <w:szCs w:val="24"/>
              </w:rPr>
              <w:t>Hospital</w:t>
            </w:r>
          </w:p>
        </w:tc>
        <w:tc>
          <w:tcPr>
            <w:tcW w:w="2295" w:type="dxa"/>
          </w:tcPr>
          <w:p w14:paraId="5325B74E"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94" w:name="_lvm75kk5m3j2_Copy_45"/>
            <w:bookmarkEnd w:id="94"/>
            <w:r>
              <w:rPr>
                <w:rFonts w:ascii="Times New Roman" w:eastAsia="Times New Roman" w:hAnsi="Times New Roman" w:cs="Times New Roman"/>
                <w:sz w:val="24"/>
                <w:szCs w:val="24"/>
              </w:rPr>
              <w:t>Multiple pathogens</w:t>
            </w:r>
          </w:p>
        </w:tc>
        <w:tc>
          <w:tcPr>
            <w:tcW w:w="2100" w:type="dxa"/>
          </w:tcPr>
          <w:p w14:paraId="68F61F3F"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95" w:name="_lvm75kk5m3j2_Copy_46"/>
            <w:bookmarkEnd w:id="95"/>
            <w:r>
              <w:rPr>
                <w:rFonts w:ascii="Times New Roman" w:eastAsia="Times New Roman" w:hAnsi="Times New Roman" w:cs="Times New Roman"/>
                <w:sz w:val="24"/>
                <w:szCs w:val="24"/>
              </w:rPr>
              <w:t>Clinical isolates</w:t>
            </w:r>
          </w:p>
        </w:tc>
        <w:tc>
          <w:tcPr>
            <w:tcW w:w="1409" w:type="dxa"/>
          </w:tcPr>
          <w:p w14:paraId="4519B404"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96" w:name="_lvm75kk5m3j2_Copy_47"/>
            <w:bookmarkEnd w:id="96"/>
            <w:r>
              <w:rPr>
                <w:rFonts w:ascii="Times New Roman" w:eastAsia="Times New Roman" w:hAnsi="Times New Roman" w:cs="Times New Roman"/>
                <w:sz w:val="24"/>
                <w:szCs w:val="24"/>
              </w:rPr>
              <w:t>AST</w:t>
            </w:r>
          </w:p>
        </w:tc>
        <w:tc>
          <w:tcPr>
            <w:tcW w:w="2176" w:type="dxa"/>
          </w:tcPr>
          <w:p w14:paraId="061BC829"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97" w:name="_lvm75kk5m3j2_Copy_48"/>
            <w:bookmarkEnd w:id="97"/>
            <w:r>
              <w:rPr>
                <w:rFonts w:ascii="Times New Roman" w:eastAsia="Times New Roman" w:hAnsi="Times New Roman" w:cs="Times New Roman"/>
                <w:sz w:val="24"/>
                <w:szCs w:val="24"/>
              </w:rPr>
              <w:t>Strong correlation: antibiotic use vs resistance</w:t>
            </w:r>
          </w:p>
        </w:tc>
      </w:tr>
      <w:tr w:rsidR="007D5FB4" w14:paraId="4CA9646B" w14:textId="77777777">
        <w:trPr>
          <w:trHeight w:val="1370"/>
        </w:trPr>
        <w:tc>
          <w:tcPr>
            <w:tcW w:w="2055" w:type="dxa"/>
          </w:tcPr>
          <w:p w14:paraId="440867D9"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98" w:name="_lvm75kk5m3j2_Copy_49"/>
            <w:bookmarkEnd w:id="98"/>
            <w:r>
              <w:rPr>
                <w:rFonts w:ascii="Times New Roman" w:eastAsia="Times New Roman" w:hAnsi="Times New Roman" w:cs="Times New Roman"/>
                <w:sz w:val="24"/>
                <w:szCs w:val="24"/>
              </w:rPr>
              <w:t>RITM (2025)</w:t>
            </w:r>
          </w:p>
        </w:tc>
        <w:tc>
          <w:tcPr>
            <w:tcW w:w="1875" w:type="dxa"/>
          </w:tcPr>
          <w:p w14:paraId="1184BF2F"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99" w:name="_lvm75kk5m3j2_Copy_50"/>
            <w:bookmarkEnd w:id="99"/>
            <w:r>
              <w:rPr>
                <w:rFonts w:ascii="Times New Roman" w:eastAsia="Times New Roman" w:hAnsi="Times New Roman" w:cs="Times New Roman"/>
                <w:sz w:val="24"/>
                <w:szCs w:val="24"/>
              </w:rPr>
              <w:t xml:space="preserve">National </w:t>
            </w:r>
            <w:r>
              <w:rPr>
                <w:rFonts w:ascii="Times New Roman" w:eastAsia="Times New Roman" w:hAnsi="Times New Roman" w:cs="Times New Roman"/>
                <w:sz w:val="24"/>
                <w:szCs w:val="24"/>
              </w:rPr>
              <w:t>surveillance</w:t>
            </w:r>
          </w:p>
        </w:tc>
        <w:tc>
          <w:tcPr>
            <w:tcW w:w="1560" w:type="dxa"/>
          </w:tcPr>
          <w:p w14:paraId="2CA72F43"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100" w:name="_lvm75kk5m3j2_Copy_51"/>
            <w:bookmarkEnd w:id="100"/>
            <w:r>
              <w:rPr>
                <w:rFonts w:ascii="Times New Roman" w:eastAsia="Times New Roman" w:hAnsi="Times New Roman" w:cs="Times New Roman"/>
                <w:sz w:val="24"/>
                <w:szCs w:val="24"/>
              </w:rPr>
              <w:t>Multi-center</w:t>
            </w:r>
          </w:p>
        </w:tc>
        <w:tc>
          <w:tcPr>
            <w:tcW w:w="2295" w:type="dxa"/>
          </w:tcPr>
          <w:p w14:paraId="24CCF83B"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101" w:name="_lvm75kk5m3j2_Copy_52"/>
            <w:bookmarkEnd w:id="101"/>
            <w:r>
              <w:rPr>
                <w:rFonts w:ascii="Times New Roman" w:eastAsia="Times New Roman" w:hAnsi="Times New Roman" w:cs="Times New Roman"/>
                <w:sz w:val="24"/>
                <w:szCs w:val="24"/>
              </w:rPr>
              <w:t>Multiple pathogens</w:t>
            </w:r>
          </w:p>
        </w:tc>
        <w:tc>
          <w:tcPr>
            <w:tcW w:w="2100" w:type="dxa"/>
          </w:tcPr>
          <w:p w14:paraId="665BAF92"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102" w:name="_lvm75kk5m3j2_Copy_53"/>
            <w:bookmarkEnd w:id="102"/>
            <w:r>
              <w:rPr>
                <w:rFonts w:ascii="Times New Roman" w:eastAsia="Times New Roman" w:hAnsi="Times New Roman" w:cs="Times New Roman"/>
                <w:sz w:val="24"/>
                <w:szCs w:val="24"/>
              </w:rPr>
              <w:t>Clinical samples</w:t>
            </w:r>
          </w:p>
        </w:tc>
        <w:tc>
          <w:tcPr>
            <w:tcW w:w="1409" w:type="dxa"/>
          </w:tcPr>
          <w:p w14:paraId="666B6075"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103" w:name="_lvm75kk5m3j2_Copy_54"/>
            <w:bookmarkEnd w:id="103"/>
            <w:r>
              <w:rPr>
                <w:rFonts w:ascii="Times New Roman" w:eastAsia="Times New Roman" w:hAnsi="Times New Roman" w:cs="Times New Roman"/>
                <w:sz w:val="24"/>
                <w:szCs w:val="24"/>
              </w:rPr>
              <w:t>AST, WGS</w:t>
            </w:r>
          </w:p>
        </w:tc>
        <w:tc>
          <w:tcPr>
            <w:tcW w:w="2176" w:type="dxa"/>
          </w:tcPr>
          <w:p w14:paraId="40606256"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104" w:name="_lvm75kk5m3j2_Copy_55"/>
            <w:bookmarkEnd w:id="104"/>
            <w:r>
              <w:rPr>
                <w:rFonts w:ascii="Times New Roman" w:eastAsia="Times New Roman" w:hAnsi="Times New Roman" w:cs="Times New Roman"/>
                <w:sz w:val="24"/>
                <w:szCs w:val="24"/>
              </w:rPr>
              <w:t>High MDR/XDR Gram-negative burden</w:t>
            </w:r>
          </w:p>
        </w:tc>
      </w:tr>
      <w:tr w:rsidR="007D5FB4" w14:paraId="47E908A5" w14:textId="77777777">
        <w:trPr>
          <w:trHeight w:val="1118"/>
        </w:trPr>
        <w:tc>
          <w:tcPr>
            <w:tcW w:w="2055" w:type="dxa"/>
          </w:tcPr>
          <w:p w14:paraId="197E3B49"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105" w:name="_lvm75kk5m3j2_Copy_56"/>
            <w:bookmarkEnd w:id="105"/>
            <w:r>
              <w:rPr>
                <w:rFonts w:ascii="Times New Roman" w:eastAsia="Times New Roman" w:hAnsi="Times New Roman" w:cs="Times New Roman"/>
                <w:sz w:val="24"/>
                <w:szCs w:val="24"/>
              </w:rPr>
              <w:lastRenderedPageBreak/>
              <w:t>Centre for Genomic Pathogen Surveillance (2020)</w:t>
            </w:r>
          </w:p>
        </w:tc>
        <w:tc>
          <w:tcPr>
            <w:tcW w:w="1875" w:type="dxa"/>
          </w:tcPr>
          <w:p w14:paraId="1AB50DE7"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106" w:name="_lvm75kk5m3j2_Copy_57"/>
            <w:bookmarkEnd w:id="106"/>
            <w:r>
              <w:rPr>
                <w:rFonts w:ascii="Times New Roman" w:eastAsia="Times New Roman" w:hAnsi="Times New Roman" w:cs="Times New Roman"/>
                <w:sz w:val="24"/>
                <w:szCs w:val="24"/>
              </w:rPr>
              <w:t>Genomic surveillance</w:t>
            </w:r>
          </w:p>
        </w:tc>
        <w:tc>
          <w:tcPr>
            <w:tcW w:w="1560" w:type="dxa"/>
          </w:tcPr>
          <w:p w14:paraId="2EE31B1B"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107" w:name="_lvm75kk5m3j2_Copy_58"/>
            <w:bookmarkEnd w:id="107"/>
            <w:r>
              <w:rPr>
                <w:rFonts w:ascii="Times New Roman" w:eastAsia="Times New Roman" w:hAnsi="Times New Roman" w:cs="Times New Roman"/>
                <w:sz w:val="24"/>
                <w:szCs w:val="24"/>
              </w:rPr>
              <w:t>National</w:t>
            </w:r>
          </w:p>
        </w:tc>
        <w:tc>
          <w:tcPr>
            <w:tcW w:w="2295" w:type="dxa"/>
          </w:tcPr>
          <w:p w14:paraId="59939986"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108" w:name="_lvm75kk5m3j2_Copy_59"/>
            <w:bookmarkEnd w:id="108"/>
            <w:r>
              <w:rPr>
                <w:rFonts w:ascii="Times New Roman" w:eastAsia="Times New Roman" w:hAnsi="Times New Roman" w:cs="Times New Roman"/>
                <w:sz w:val="24"/>
                <w:szCs w:val="24"/>
              </w:rPr>
              <w:t>Multiple pathogens</w:t>
            </w:r>
          </w:p>
        </w:tc>
        <w:tc>
          <w:tcPr>
            <w:tcW w:w="2100" w:type="dxa"/>
          </w:tcPr>
          <w:p w14:paraId="0E7584CC"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109" w:name="_lvm75kk5m3j2_Copy_60"/>
            <w:bookmarkEnd w:id="109"/>
            <w:r>
              <w:rPr>
                <w:rFonts w:ascii="Times New Roman" w:eastAsia="Times New Roman" w:hAnsi="Times New Roman" w:cs="Times New Roman"/>
                <w:sz w:val="24"/>
                <w:szCs w:val="24"/>
              </w:rPr>
              <w:t>Clinical isolates</w:t>
            </w:r>
          </w:p>
        </w:tc>
        <w:tc>
          <w:tcPr>
            <w:tcW w:w="1409" w:type="dxa"/>
          </w:tcPr>
          <w:p w14:paraId="4D7434CA"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110" w:name="_lvm75kk5m3j2_Copy_61"/>
            <w:bookmarkEnd w:id="110"/>
            <w:r>
              <w:rPr>
                <w:rFonts w:ascii="Times New Roman" w:eastAsia="Times New Roman" w:hAnsi="Times New Roman" w:cs="Times New Roman"/>
                <w:sz w:val="24"/>
                <w:szCs w:val="24"/>
              </w:rPr>
              <w:t>WGS</w:t>
            </w:r>
          </w:p>
        </w:tc>
        <w:tc>
          <w:tcPr>
            <w:tcW w:w="2176" w:type="dxa"/>
          </w:tcPr>
          <w:p w14:paraId="7E1A0970"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111" w:name="_lvm75kk5m3j2_Copy_62"/>
            <w:bookmarkEnd w:id="111"/>
            <w:r>
              <w:rPr>
                <w:rFonts w:ascii="Times New Roman" w:eastAsia="Times New Roman" w:hAnsi="Times New Roman" w:cs="Times New Roman"/>
                <w:sz w:val="24"/>
                <w:szCs w:val="24"/>
              </w:rPr>
              <w:t>Enhanced outbreak detection and</w:t>
            </w:r>
            <w:r>
              <w:rPr>
                <w:rFonts w:ascii="Times New Roman" w:eastAsia="Times New Roman" w:hAnsi="Times New Roman" w:cs="Times New Roman"/>
                <w:sz w:val="24"/>
                <w:szCs w:val="24"/>
              </w:rPr>
              <w:t xml:space="preserve"> tracking</w:t>
            </w:r>
          </w:p>
        </w:tc>
      </w:tr>
      <w:tr w:rsidR="007D5FB4" w14:paraId="63DA584B" w14:textId="77777777">
        <w:trPr>
          <w:trHeight w:val="326"/>
        </w:trPr>
        <w:tc>
          <w:tcPr>
            <w:tcW w:w="2055" w:type="dxa"/>
          </w:tcPr>
          <w:p w14:paraId="51FD7EA0"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112" w:name="_lvm75kk5m3j2_Copy_63"/>
            <w:bookmarkEnd w:id="112"/>
            <w:proofErr w:type="spellStart"/>
            <w:r>
              <w:rPr>
                <w:rFonts w:ascii="Times New Roman" w:eastAsia="Times New Roman" w:hAnsi="Times New Roman" w:cs="Times New Roman"/>
                <w:sz w:val="24"/>
                <w:szCs w:val="24"/>
              </w:rPr>
              <w:t>Chilam</w:t>
            </w:r>
            <w:proofErr w:type="spellEnd"/>
            <w:r>
              <w:rPr>
                <w:rFonts w:ascii="Times New Roman" w:eastAsia="Times New Roman" w:hAnsi="Times New Roman" w:cs="Times New Roman"/>
                <w:sz w:val="24"/>
                <w:szCs w:val="24"/>
              </w:rPr>
              <w:t xml:space="preserve"> et al. (2021)</w:t>
            </w:r>
          </w:p>
        </w:tc>
        <w:tc>
          <w:tcPr>
            <w:tcW w:w="1875" w:type="dxa"/>
          </w:tcPr>
          <w:p w14:paraId="04EFB46B"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113" w:name="_lvm75kk5m3j2_Copy_64"/>
            <w:bookmarkEnd w:id="113"/>
            <w:r>
              <w:rPr>
                <w:rFonts w:ascii="Times New Roman" w:eastAsia="Times New Roman" w:hAnsi="Times New Roman" w:cs="Times New Roman"/>
                <w:sz w:val="24"/>
                <w:szCs w:val="24"/>
              </w:rPr>
              <w:t>Molecular</w:t>
            </w:r>
          </w:p>
        </w:tc>
        <w:tc>
          <w:tcPr>
            <w:tcW w:w="1560" w:type="dxa"/>
          </w:tcPr>
          <w:p w14:paraId="7AE91CBF"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114" w:name="_lvm75kk5m3j2_Copy_65"/>
            <w:bookmarkEnd w:id="114"/>
            <w:r>
              <w:rPr>
                <w:rFonts w:ascii="Times New Roman" w:eastAsia="Times New Roman" w:hAnsi="Times New Roman" w:cs="Times New Roman"/>
                <w:sz w:val="24"/>
                <w:szCs w:val="24"/>
              </w:rPr>
              <w:t>Multi-center</w:t>
            </w:r>
          </w:p>
        </w:tc>
        <w:tc>
          <w:tcPr>
            <w:tcW w:w="2295" w:type="dxa"/>
          </w:tcPr>
          <w:p w14:paraId="5C00CE36"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115" w:name="_lvm75kk5m3j2_Copy_66"/>
            <w:bookmarkEnd w:id="115"/>
            <w:r>
              <w:rPr>
                <w:rFonts w:ascii="Times New Roman" w:eastAsia="Times New Roman" w:hAnsi="Times New Roman" w:cs="Times New Roman"/>
                <w:i/>
                <w:iCs/>
                <w:sz w:val="24"/>
                <w:szCs w:val="24"/>
              </w:rPr>
              <w:t xml:space="preserve">A. </w:t>
            </w:r>
            <w:proofErr w:type="spellStart"/>
            <w:r>
              <w:rPr>
                <w:rFonts w:ascii="Times New Roman" w:eastAsia="Times New Roman" w:hAnsi="Times New Roman" w:cs="Times New Roman"/>
                <w:i/>
                <w:iCs/>
                <w:sz w:val="24"/>
                <w:szCs w:val="24"/>
              </w:rPr>
              <w:t>baumannii</w:t>
            </w:r>
            <w:proofErr w:type="spellEnd"/>
          </w:p>
        </w:tc>
        <w:tc>
          <w:tcPr>
            <w:tcW w:w="2100" w:type="dxa"/>
          </w:tcPr>
          <w:p w14:paraId="25F3CD27"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116" w:name="_lvm75kk5m3j2_Copy_67"/>
            <w:bookmarkEnd w:id="116"/>
            <w:r>
              <w:rPr>
                <w:rFonts w:ascii="Times New Roman" w:eastAsia="Times New Roman" w:hAnsi="Times New Roman" w:cs="Times New Roman"/>
                <w:sz w:val="24"/>
                <w:szCs w:val="24"/>
              </w:rPr>
              <w:t>Clinical isolates</w:t>
            </w:r>
          </w:p>
        </w:tc>
        <w:tc>
          <w:tcPr>
            <w:tcW w:w="1409" w:type="dxa"/>
          </w:tcPr>
          <w:p w14:paraId="15121B5A"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117" w:name="_lvm75kk5m3j2_Copy_68"/>
            <w:bookmarkEnd w:id="117"/>
            <w:r>
              <w:rPr>
                <w:rFonts w:ascii="Times New Roman" w:eastAsia="Times New Roman" w:hAnsi="Times New Roman" w:cs="Times New Roman"/>
                <w:sz w:val="24"/>
                <w:szCs w:val="24"/>
              </w:rPr>
              <w:t>AST, WGS</w:t>
            </w:r>
          </w:p>
        </w:tc>
        <w:tc>
          <w:tcPr>
            <w:tcW w:w="2176" w:type="dxa"/>
          </w:tcPr>
          <w:p w14:paraId="72AFF86D"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118" w:name="_lvm75kk5m3j2_Copy_69"/>
            <w:bookmarkEnd w:id="118"/>
            <w:r>
              <w:rPr>
                <w:rFonts w:ascii="Times New Roman" w:eastAsia="Times New Roman" w:hAnsi="Times New Roman" w:cs="Times New Roman"/>
                <w:sz w:val="24"/>
                <w:szCs w:val="24"/>
              </w:rPr>
              <w:t>High-risk clones (ST195, ST208)</w:t>
            </w:r>
          </w:p>
        </w:tc>
      </w:tr>
      <w:tr w:rsidR="007D5FB4" w14:paraId="24749444" w14:textId="77777777">
        <w:trPr>
          <w:trHeight w:val="677"/>
        </w:trPr>
        <w:tc>
          <w:tcPr>
            <w:tcW w:w="2055" w:type="dxa"/>
          </w:tcPr>
          <w:p w14:paraId="4A7A2843"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119" w:name="_lvm75kk5m3j2_Copy_70"/>
            <w:bookmarkEnd w:id="119"/>
            <w:proofErr w:type="spellStart"/>
            <w:r>
              <w:rPr>
                <w:rFonts w:ascii="Times New Roman" w:eastAsia="Times New Roman" w:hAnsi="Times New Roman" w:cs="Times New Roman"/>
                <w:sz w:val="24"/>
                <w:szCs w:val="24"/>
              </w:rPr>
              <w:t>Carascal</w:t>
            </w:r>
            <w:proofErr w:type="spellEnd"/>
            <w:r>
              <w:rPr>
                <w:rFonts w:ascii="Times New Roman" w:eastAsia="Times New Roman" w:hAnsi="Times New Roman" w:cs="Times New Roman"/>
                <w:sz w:val="24"/>
                <w:szCs w:val="24"/>
              </w:rPr>
              <w:t xml:space="preserve"> et al. (2024)</w:t>
            </w:r>
          </w:p>
        </w:tc>
        <w:tc>
          <w:tcPr>
            <w:tcW w:w="1875" w:type="dxa"/>
          </w:tcPr>
          <w:p w14:paraId="4B676536"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120" w:name="_lvm75kk5m3j2_Copy_71"/>
            <w:bookmarkEnd w:id="120"/>
            <w:r>
              <w:rPr>
                <w:rFonts w:ascii="Times New Roman" w:eastAsia="Times New Roman" w:hAnsi="Times New Roman" w:cs="Times New Roman"/>
                <w:sz w:val="24"/>
                <w:szCs w:val="24"/>
              </w:rPr>
              <w:t>Molecular</w:t>
            </w:r>
          </w:p>
        </w:tc>
        <w:tc>
          <w:tcPr>
            <w:tcW w:w="1560" w:type="dxa"/>
          </w:tcPr>
          <w:p w14:paraId="58A29E69"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121" w:name="_lvm75kk5m3j2_Copy_72"/>
            <w:bookmarkEnd w:id="121"/>
            <w:r>
              <w:rPr>
                <w:rFonts w:ascii="Times New Roman" w:eastAsia="Times New Roman" w:hAnsi="Times New Roman" w:cs="Times New Roman"/>
                <w:sz w:val="24"/>
                <w:szCs w:val="24"/>
              </w:rPr>
              <w:t>Hospital</w:t>
            </w:r>
          </w:p>
        </w:tc>
        <w:tc>
          <w:tcPr>
            <w:tcW w:w="2295" w:type="dxa"/>
          </w:tcPr>
          <w:p w14:paraId="71A3FB28"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122" w:name="_lvm75kk5m3j2_Copy_73"/>
            <w:bookmarkEnd w:id="122"/>
            <w:r>
              <w:rPr>
                <w:rFonts w:ascii="Times New Roman" w:eastAsia="Times New Roman" w:hAnsi="Times New Roman" w:cs="Times New Roman"/>
                <w:i/>
                <w:iCs/>
                <w:sz w:val="24"/>
                <w:szCs w:val="24"/>
              </w:rPr>
              <w:t xml:space="preserve">A. </w:t>
            </w:r>
            <w:proofErr w:type="spellStart"/>
            <w:r>
              <w:rPr>
                <w:rFonts w:ascii="Times New Roman" w:eastAsia="Times New Roman" w:hAnsi="Times New Roman" w:cs="Times New Roman"/>
                <w:i/>
                <w:iCs/>
                <w:sz w:val="24"/>
                <w:szCs w:val="24"/>
              </w:rPr>
              <w:t>baumannii</w:t>
            </w:r>
            <w:proofErr w:type="spellEnd"/>
          </w:p>
        </w:tc>
        <w:tc>
          <w:tcPr>
            <w:tcW w:w="2100" w:type="dxa"/>
          </w:tcPr>
          <w:p w14:paraId="3AE725A4"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123" w:name="_lvm75kk5m3j2_Copy_74"/>
            <w:bookmarkEnd w:id="123"/>
            <w:r>
              <w:rPr>
                <w:rFonts w:ascii="Times New Roman" w:eastAsia="Times New Roman" w:hAnsi="Times New Roman" w:cs="Times New Roman"/>
                <w:sz w:val="24"/>
                <w:szCs w:val="24"/>
              </w:rPr>
              <w:t>Clinical isolates</w:t>
            </w:r>
          </w:p>
        </w:tc>
        <w:tc>
          <w:tcPr>
            <w:tcW w:w="1409" w:type="dxa"/>
          </w:tcPr>
          <w:p w14:paraId="509BE503"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124" w:name="_lvm75kk5m3j2_Copy_75"/>
            <w:bookmarkEnd w:id="124"/>
            <w:r>
              <w:rPr>
                <w:rFonts w:ascii="Times New Roman" w:eastAsia="Times New Roman" w:hAnsi="Times New Roman" w:cs="Times New Roman"/>
                <w:sz w:val="24"/>
                <w:szCs w:val="24"/>
              </w:rPr>
              <w:t>PCR, AST</w:t>
            </w:r>
          </w:p>
        </w:tc>
        <w:tc>
          <w:tcPr>
            <w:tcW w:w="2176" w:type="dxa"/>
          </w:tcPr>
          <w:p w14:paraId="07AD752B"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125" w:name="_lvm75kk5m3j2_Copy_76"/>
            <w:bookmarkEnd w:id="125"/>
            <w:r>
              <w:rPr>
                <w:rFonts w:ascii="Times New Roman" w:eastAsia="Times New Roman" w:hAnsi="Times New Roman" w:cs="Times New Roman"/>
                <w:sz w:val="24"/>
                <w:szCs w:val="24"/>
              </w:rPr>
              <w:t xml:space="preserve">High prevalence of </w:t>
            </w:r>
            <w:proofErr w:type="spellStart"/>
            <w:r>
              <w:rPr>
                <w:rFonts w:ascii="Times New Roman" w:eastAsia="Times New Roman" w:hAnsi="Times New Roman" w:cs="Times New Roman"/>
                <w:sz w:val="24"/>
                <w:szCs w:val="24"/>
              </w:rPr>
              <w:t>carbapenemase</w:t>
            </w:r>
            <w:proofErr w:type="spellEnd"/>
            <w:r>
              <w:rPr>
                <w:rFonts w:ascii="Times New Roman" w:eastAsia="Times New Roman" w:hAnsi="Times New Roman" w:cs="Times New Roman"/>
                <w:sz w:val="24"/>
                <w:szCs w:val="24"/>
              </w:rPr>
              <w:t xml:space="preserve"> genes</w:t>
            </w:r>
          </w:p>
        </w:tc>
      </w:tr>
      <w:tr w:rsidR="007D5FB4" w14:paraId="74215D00" w14:textId="77777777">
        <w:trPr>
          <w:trHeight w:val="855"/>
        </w:trPr>
        <w:tc>
          <w:tcPr>
            <w:tcW w:w="2055" w:type="dxa"/>
          </w:tcPr>
          <w:p w14:paraId="2768BD89"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126" w:name="_lvm75kk5m3j2_Copy_77"/>
            <w:bookmarkEnd w:id="126"/>
            <w:r>
              <w:rPr>
                <w:rFonts w:ascii="Times New Roman" w:eastAsia="Times New Roman" w:hAnsi="Times New Roman" w:cs="Times New Roman"/>
                <w:sz w:val="24"/>
                <w:szCs w:val="24"/>
              </w:rPr>
              <w:t>Chua &amp;</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Alejandria</w:t>
            </w:r>
            <w:proofErr w:type="spellEnd"/>
            <w:r>
              <w:rPr>
                <w:rFonts w:ascii="Times New Roman" w:eastAsia="Times New Roman" w:hAnsi="Times New Roman" w:cs="Times New Roman"/>
                <w:sz w:val="24"/>
                <w:szCs w:val="24"/>
              </w:rPr>
              <w:t xml:space="preserve"> (2008)</w:t>
            </w:r>
          </w:p>
        </w:tc>
        <w:tc>
          <w:tcPr>
            <w:tcW w:w="1875" w:type="dxa"/>
          </w:tcPr>
          <w:p w14:paraId="783BF986"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127" w:name="_lvm75kk5m3j2_Copy_78"/>
            <w:bookmarkEnd w:id="127"/>
            <w:r>
              <w:rPr>
                <w:rFonts w:ascii="Times New Roman" w:eastAsia="Times New Roman" w:hAnsi="Times New Roman" w:cs="Times New Roman"/>
                <w:sz w:val="24"/>
                <w:szCs w:val="24"/>
              </w:rPr>
              <w:t>Prospective</w:t>
            </w:r>
          </w:p>
        </w:tc>
        <w:tc>
          <w:tcPr>
            <w:tcW w:w="1560" w:type="dxa"/>
          </w:tcPr>
          <w:p w14:paraId="2FE071D5"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128" w:name="_lvm75kk5m3j2_Copy_79"/>
            <w:bookmarkEnd w:id="128"/>
            <w:r>
              <w:rPr>
                <w:rFonts w:ascii="Times New Roman" w:eastAsia="Times New Roman" w:hAnsi="Times New Roman" w:cs="Times New Roman"/>
                <w:sz w:val="24"/>
                <w:szCs w:val="24"/>
              </w:rPr>
              <w:t>ICU</w:t>
            </w:r>
          </w:p>
        </w:tc>
        <w:tc>
          <w:tcPr>
            <w:tcW w:w="2295" w:type="dxa"/>
          </w:tcPr>
          <w:p w14:paraId="507BBE70"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129" w:name="_lvm75kk5m3j2_Copy_80"/>
            <w:bookmarkEnd w:id="129"/>
            <w:r>
              <w:rPr>
                <w:rFonts w:ascii="Times New Roman" w:eastAsia="Times New Roman" w:hAnsi="Times New Roman" w:cs="Times New Roman"/>
                <w:i/>
                <w:iCs/>
                <w:sz w:val="24"/>
                <w:szCs w:val="24"/>
              </w:rPr>
              <w:t>Acinetobacter spp.</w:t>
            </w:r>
          </w:p>
        </w:tc>
        <w:tc>
          <w:tcPr>
            <w:tcW w:w="2100" w:type="dxa"/>
          </w:tcPr>
          <w:p w14:paraId="3645A229"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130" w:name="_lvm75kk5m3j2_Copy_81"/>
            <w:bookmarkEnd w:id="130"/>
            <w:r>
              <w:rPr>
                <w:rFonts w:ascii="Times New Roman" w:eastAsia="Times New Roman" w:hAnsi="Times New Roman" w:cs="Times New Roman"/>
                <w:sz w:val="24"/>
                <w:szCs w:val="24"/>
              </w:rPr>
              <w:t>Respiratory samples</w:t>
            </w:r>
          </w:p>
        </w:tc>
        <w:tc>
          <w:tcPr>
            <w:tcW w:w="1409" w:type="dxa"/>
          </w:tcPr>
          <w:p w14:paraId="286ABFB6"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131" w:name="_lvm75kk5m3j2_Copy_82"/>
            <w:bookmarkEnd w:id="131"/>
            <w:r>
              <w:rPr>
                <w:rFonts w:ascii="Times New Roman" w:eastAsia="Times New Roman" w:hAnsi="Times New Roman" w:cs="Times New Roman"/>
                <w:sz w:val="24"/>
                <w:szCs w:val="24"/>
              </w:rPr>
              <w:t>AST</w:t>
            </w:r>
          </w:p>
        </w:tc>
        <w:tc>
          <w:tcPr>
            <w:tcW w:w="2176" w:type="dxa"/>
          </w:tcPr>
          <w:p w14:paraId="2249612A"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132" w:name="_lvm75kk5m3j2_Copy_83"/>
            <w:bookmarkEnd w:id="132"/>
            <w:r>
              <w:rPr>
                <w:rFonts w:ascii="Times New Roman" w:eastAsia="Times New Roman" w:hAnsi="Times New Roman" w:cs="Times New Roman"/>
                <w:sz w:val="24"/>
                <w:szCs w:val="24"/>
              </w:rPr>
              <w:t>High MDR rate; high mortality</w:t>
            </w:r>
          </w:p>
        </w:tc>
      </w:tr>
      <w:tr w:rsidR="007D5FB4" w14:paraId="40FC0434" w14:textId="77777777">
        <w:trPr>
          <w:trHeight w:val="765"/>
        </w:trPr>
        <w:tc>
          <w:tcPr>
            <w:tcW w:w="2055" w:type="dxa"/>
          </w:tcPr>
          <w:p w14:paraId="3EF9B38C"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133" w:name="_lvm75kk5m3j2_Copy_84"/>
            <w:bookmarkEnd w:id="133"/>
            <w:proofErr w:type="spellStart"/>
            <w:r>
              <w:rPr>
                <w:rFonts w:ascii="Times New Roman" w:eastAsia="Times New Roman" w:hAnsi="Times New Roman" w:cs="Times New Roman"/>
                <w:sz w:val="24"/>
                <w:szCs w:val="24"/>
              </w:rPr>
              <w:t>Agoncillo</w:t>
            </w:r>
            <w:proofErr w:type="spellEnd"/>
            <w:r>
              <w:rPr>
                <w:rFonts w:ascii="Times New Roman" w:eastAsia="Times New Roman" w:hAnsi="Times New Roman" w:cs="Times New Roman"/>
                <w:sz w:val="24"/>
                <w:szCs w:val="24"/>
              </w:rPr>
              <w:t xml:space="preserve"> et al. (2020)</w:t>
            </w:r>
          </w:p>
        </w:tc>
        <w:tc>
          <w:tcPr>
            <w:tcW w:w="1875" w:type="dxa"/>
          </w:tcPr>
          <w:p w14:paraId="0C69E717"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134" w:name="_lvm75kk5m3j2_Copy_85"/>
            <w:bookmarkEnd w:id="134"/>
            <w:r>
              <w:rPr>
                <w:rFonts w:ascii="Times New Roman" w:eastAsia="Times New Roman" w:hAnsi="Times New Roman" w:cs="Times New Roman"/>
                <w:sz w:val="24"/>
                <w:szCs w:val="24"/>
              </w:rPr>
              <w:t>Retrospective</w:t>
            </w:r>
          </w:p>
        </w:tc>
        <w:tc>
          <w:tcPr>
            <w:tcW w:w="1560" w:type="dxa"/>
          </w:tcPr>
          <w:p w14:paraId="55D3200A"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135" w:name="_lvm75kk5m3j2_Copy_86"/>
            <w:bookmarkEnd w:id="135"/>
            <w:r>
              <w:rPr>
                <w:rFonts w:ascii="Times New Roman" w:eastAsia="Times New Roman" w:hAnsi="Times New Roman" w:cs="Times New Roman"/>
                <w:sz w:val="24"/>
                <w:szCs w:val="24"/>
              </w:rPr>
              <w:t>Hospital</w:t>
            </w:r>
          </w:p>
        </w:tc>
        <w:tc>
          <w:tcPr>
            <w:tcW w:w="2295" w:type="dxa"/>
          </w:tcPr>
          <w:p w14:paraId="1F8112CD"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136" w:name="_lvm75kk5m3j2_Copy_87"/>
            <w:bookmarkEnd w:id="136"/>
            <w:r>
              <w:rPr>
                <w:rFonts w:ascii="Times New Roman" w:eastAsia="Times New Roman" w:hAnsi="Times New Roman" w:cs="Times New Roman"/>
                <w:i/>
                <w:iCs/>
                <w:sz w:val="24"/>
                <w:szCs w:val="24"/>
              </w:rPr>
              <w:t xml:space="preserve">A. </w:t>
            </w:r>
            <w:proofErr w:type="spellStart"/>
            <w:r>
              <w:rPr>
                <w:rFonts w:ascii="Times New Roman" w:eastAsia="Times New Roman" w:hAnsi="Times New Roman" w:cs="Times New Roman"/>
                <w:i/>
                <w:iCs/>
                <w:sz w:val="24"/>
                <w:szCs w:val="24"/>
              </w:rPr>
              <w:t>baumannii</w:t>
            </w:r>
            <w:proofErr w:type="spellEnd"/>
          </w:p>
        </w:tc>
        <w:tc>
          <w:tcPr>
            <w:tcW w:w="2100" w:type="dxa"/>
          </w:tcPr>
          <w:p w14:paraId="35BAFCEB"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137" w:name="_lvm75kk5m3j2_Copy_88"/>
            <w:bookmarkEnd w:id="137"/>
            <w:r>
              <w:rPr>
                <w:rFonts w:ascii="Times New Roman" w:eastAsia="Times New Roman" w:hAnsi="Times New Roman" w:cs="Times New Roman"/>
                <w:sz w:val="24"/>
                <w:szCs w:val="24"/>
              </w:rPr>
              <w:t>Clinical samples</w:t>
            </w:r>
          </w:p>
        </w:tc>
        <w:tc>
          <w:tcPr>
            <w:tcW w:w="1409" w:type="dxa"/>
          </w:tcPr>
          <w:p w14:paraId="618590EC"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138" w:name="_lvm75kk5m3j2_Copy_89"/>
            <w:bookmarkEnd w:id="138"/>
            <w:r>
              <w:rPr>
                <w:rFonts w:ascii="Times New Roman" w:eastAsia="Times New Roman" w:hAnsi="Times New Roman" w:cs="Times New Roman"/>
                <w:sz w:val="24"/>
                <w:szCs w:val="24"/>
              </w:rPr>
              <w:t>AST</w:t>
            </w:r>
          </w:p>
        </w:tc>
        <w:tc>
          <w:tcPr>
            <w:tcW w:w="2176" w:type="dxa"/>
          </w:tcPr>
          <w:p w14:paraId="5C15877F"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139" w:name="_lvm75kk5m3j2_Copy_90"/>
            <w:bookmarkEnd w:id="139"/>
            <w:r>
              <w:rPr>
                <w:rFonts w:ascii="Times New Roman" w:eastAsia="Times New Roman" w:hAnsi="Times New Roman" w:cs="Times New Roman"/>
                <w:sz w:val="24"/>
                <w:szCs w:val="24"/>
              </w:rPr>
              <w:t>46% mortality; linked to comorbidities</w:t>
            </w:r>
          </w:p>
        </w:tc>
      </w:tr>
      <w:tr w:rsidR="007D5FB4" w14:paraId="0922532F" w14:textId="77777777">
        <w:trPr>
          <w:trHeight w:val="555"/>
        </w:trPr>
        <w:tc>
          <w:tcPr>
            <w:tcW w:w="2055" w:type="dxa"/>
          </w:tcPr>
          <w:p w14:paraId="1F3A1C67"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140" w:name="_lvm75kk5m3j2_Copy_91"/>
            <w:bookmarkEnd w:id="140"/>
            <w:r>
              <w:rPr>
                <w:rFonts w:ascii="Times New Roman" w:eastAsia="Times New Roman" w:hAnsi="Times New Roman" w:cs="Times New Roman"/>
                <w:sz w:val="24"/>
                <w:szCs w:val="24"/>
              </w:rPr>
              <w:t>Li &amp; Abad (2020)</w:t>
            </w:r>
          </w:p>
        </w:tc>
        <w:tc>
          <w:tcPr>
            <w:tcW w:w="1875" w:type="dxa"/>
          </w:tcPr>
          <w:p w14:paraId="13606946"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141" w:name="_lvm75kk5m3j2_Copy_92"/>
            <w:bookmarkEnd w:id="141"/>
            <w:r>
              <w:rPr>
                <w:rFonts w:ascii="Times New Roman" w:eastAsia="Times New Roman" w:hAnsi="Times New Roman" w:cs="Times New Roman"/>
                <w:sz w:val="24"/>
                <w:szCs w:val="24"/>
              </w:rPr>
              <w:t>Retrospective</w:t>
            </w:r>
          </w:p>
        </w:tc>
        <w:tc>
          <w:tcPr>
            <w:tcW w:w="1560" w:type="dxa"/>
          </w:tcPr>
          <w:p w14:paraId="74B34B56"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142" w:name="_lvm75kk5m3j2_Copy_93"/>
            <w:bookmarkEnd w:id="142"/>
            <w:r>
              <w:rPr>
                <w:rFonts w:ascii="Times New Roman" w:eastAsia="Times New Roman" w:hAnsi="Times New Roman" w:cs="Times New Roman"/>
                <w:sz w:val="24"/>
                <w:szCs w:val="24"/>
              </w:rPr>
              <w:t>Hospital</w:t>
            </w:r>
          </w:p>
        </w:tc>
        <w:tc>
          <w:tcPr>
            <w:tcW w:w="2295" w:type="dxa"/>
          </w:tcPr>
          <w:p w14:paraId="1D5E2931"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143" w:name="_lvm75kk5m3j2_Copy_94"/>
            <w:bookmarkEnd w:id="143"/>
            <w:r>
              <w:rPr>
                <w:rFonts w:ascii="Times New Roman" w:eastAsia="Times New Roman" w:hAnsi="Times New Roman" w:cs="Times New Roman"/>
                <w:sz w:val="24"/>
                <w:szCs w:val="24"/>
              </w:rPr>
              <w:t>MDR Gram-negative</w:t>
            </w:r>
          </w:p>
        </w:tc>
        <w:tc>
          <w:tcPr>
            <w:tcW w:w="2100" w:type="dxa"/>
          </w:tcPr>
          <w:p w14:paraId="405EF586"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144" w:name="_lvm75kk5m3j2_Copy_95"/>
            <w:bookmarkEnd w:id="144"/>
            <w:r>
              <w:rPr>
                <w:rFonts w:ascii="Times New Roman" w:eastAsia="Times New Roman" w:hAnsi="Times New Roman" w:cs="Times New Roman"/>
                <w:sz w:val="24"/>
                <w:szCs w:val="24"/>
              </w:rPr>
              <w:t>Clinical samples</w:t>
            </w:r>
          </w:p>
        </w:tc>
        <w:tc>
          <w:tcPr>
            <w:tcW w:w="1409" w:type="dxa"/>
          </w:tcPr>
          <w:p w14:paraId="15FDDC6A"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145" w:name="_lvm75kk5m3j2_Copy_96"/>
            <w:bookmarkEnd w:id="145"/>
            <w:r>
              <w:rPr>
                <w:rFonts w:ascii="Times New Roman" w:eastAsia="Times New Roman" w:hAnsi="Times New Roman" w:cs="Times New Roman"/>
                <w:sz w:val="24"/>
                <w:szCs w:val="24"/>
              </w:rPr>
              <w:t>AST</w:t>
            </w:r>
          </w:p>
        </w:tc>
        <w:tc>
          <w:tcPr>
            <w:tcW w:w="2176" w:type="dxa"/>
          </w:tcPr>
          <w:p w14:paraId="46FD93F7"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146" w:name="_lvm75kk5m3j2_Copy_97"/>
            <w:bookmarkEnd w:id="146"/>
            <w:r>
              <w:rPr>
                <w:rFonts w:ascii="Times New Roman" w:eastAsia="Times New Roman" w:hAnsi="Times New Roman" w:cs="Times New Roman"/>
                <w:sz w:val="24"/>
                <w:szCs w:val="24"/>
              </w:rPr>
              <w:t>High mortality; colistin toxicity</w:t>
            </w:r>
          </w:p>
        </w:tc>
      </w:tr>
      <w:tr w:rsidR="007D5FB4" w14:paraId="183E88B7" w14:textId="77777777">
        <w:trPr>
          <w:trHeight w:val="735"/>
        </w:trPr>
        <w:tc>
          <w:tcPr>
            <w:tcW w:w="2055" w:type="dxa"/>
          </w:tcPr>
          <w:p w14:paraId="04DDED7F"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147" w:name="_lvm75kk5m3j2_Copy_98"/>
            <w:bookmarkEnd w:id="147"/>
            <w:r>
              <w:rPr>
                <w:rFonts w:ascii="Times New Roman" w:eastAsia="Times New Roman" w:hAnsi="Times New Roman" w:cs="Times New Roman"/>
                <w:sz w:val="24"/>
                <w:szCs w:val="24"/>
              </w:rPr>
              <w:t>Velasco et al. (2020)</w:t>
            </w:r>
          </w:p>
        </w:tc>
        <w:tc>
          <w:tcPr>
            <w:tcW w:w="1875" w:type="dxa"/>
          </w:tcPr>
          <w:p w14:paraId="50ECD62F"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148" w:name="_lvm75kk5m3j2_Copy_99"/>
            <w:bookmarkEnd w:id="148"/>
            <w:r>
              <w:rPr>
                <w:rFonts w:ascii="Times New Roman" w:eastAsia="Times New Roman" w:hAnsi="Times New Roman" w:cs="Times New Roman"/>
                <w:sz w:val="24"/>
                <w:szCs w:val="24"/>
              </w:rPr>
              <w:t>Observational</w:t>
            </w:r>
          </w:p>
        </w:tc>
        <w:tc>
          <w:tcPr>
            <w:tcW w:w="1560" w:type="dxa"/>
          </w:tcPr>
          <w:p w14:paraId="28E1B9FE"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149" w:name="_lvm75kk5m3j2_Copy_100"/>
            <w:bookmarkEnd w:id="149"/>
            <w:r>
              <w:rPr>
                <w:rFonts w:ascii="Times New Roman" w:eastAsia="Times New Roman" w:hAnsi="Times New Roman" w:cs="Times New Roman"/>
                <w:sz w:val="24"/>
                <w:szCs w:val="24"/>
              </w:rPr>
              <w:t>Hospital</w:t>
            </w:r>
          </w:p>
        </w:tc>
        <w:tc>
          <w:tcPr>
            <w:tcW w:w="2295" w:type="dxa"/>
          </w:tcPr>
          <w:p w14:paraId="76A914D8"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150" w:name="_lvm75kk5m3j2_Copy_101"/>
            <w:bookmarkEnd w:id="150"/>
            <w:r>
              <w:rPr>
                <w:rFonts w:ascii="Times New Roman" w:eastAsia="Times New Roman" w:hAnsi="Times New Roman" w:cs="Times New Roman"/>
                <w:sz w:val="24"/>
                <w:szCs w:val="24"/>
              </w:rPr>
              <w:t>Gram-negative bacteria</w:t>
            </w:r>
          </w:p>
        </w:tc>
        <w:tc>
          <w:tcPr>
            <w:tcW w:w="2100" w:type="dxa"/>
          </w:tcPr>
          <w:p w14:paraId="4F919EED"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151" w:name="_lvm75kk5m3j2_Copy_102"/>
            <w:bookmarkEnd w:id="151"/>
            <w:r>
              <w:rPr>
                <w:rFonts w:ascii="Times New Roman" w:eastAsia="Times New Roman" w:hAnsi="Times New Roman" w:cs="Times New Roman"/>
                <w:sz w:val="24"/>
                <w:szCs w:val="24"/>
              </w:rPr>
              <w:t>Wound samples</w:t>
            </w:r>
          </w:p>
        </w:tc>
        <w:tc>
          <w:tcPr>
            <w:tcW w:w="1409" w:type="dxa"/>
          </w:tcPr>
          <w:p w14:paraId="208AB8B3"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152" w:name="_lvm75kk5m3j2_Copy_103"/>
            <w:bookmarkEnd w:id="152"/>
            <w:r>
              <w:rPr>
                <w:rFonts w:ascii="Times New Roman" w:eastAsia="Times New Roman" w:hAnsi="Times New Roman" w:cs="Times New Roman"/>
                <w:sz w:val="24"/>
                <w:szCs w:val="24"/>
              </w:rPr>
              <w:t>AST, PCR</w:t>
            </w:r>
          </w:p>
        </w:tc>
        <w:tc>
          <w:tcPr>
            <w:tcW w:w="2176" w:type="dxa"/>
          </w:tcPr>
          <w:p w14:paraId="04DC7343"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153" w:name="_lvm75kk5m3j2_Copy_104"/>
            <w:bookmarkEnd w:id="153"/>
            <w:r>
              <w:rPr>
                <w:rFonts w:ascii="Times New Roman" w:eastAsia="Times New Roman" w:hAnsi="Times New Roman" w:cs="Times New Roman"/>
                <w:sz w:val="24"/>
                <w:szCs w:val="24"/>
              </w:rPr>
              <w:t>Carbapenem resistance (</w:t>
            </w:r>
            <w:proofErr w:type="spellStart"/>
            <w:r>
              <w:rPr>
                <w:rFonts w:ascii="Times New Roman" w:eastAsia="Times New Roman" w:hAnsi="Times New Roman" w:cs="Times New Roman"/>
                <w:sz w:val="24"/>
                <w:szCs w:val="24"/>
              </w:rPr>
              <w:t>blaNDM</w:t>
            </w:r>
            <w:proofErr w:type="spellEnd"/>
            <w:r>
              <w:rPr>
                <w:rFonts w:ascii="Times New Roman" w:eastAsia="Times New Roman" w:hAnsi="Times New Roman" w:cs="Times New Roman"/>
                <w:sz w:val="24"/>
                <w:szCs w:val="24"/>
              </w:rPr>
              <w:t>)</w:t>
            </w:r>
          </w:p>
        </w:tc>
      </w:tr>
      <w:tr w:rsidR="007D5FB4" w14:paraId="5BF4515A" w14:textId="77777777">
        <w:trPr>
          <w:trHeight w:val="810"/>
        </w:trPr>
        <w:tc>
          <w:tcPr>
            <w:tcW w:w="2055" w:type="dxa"/>
          </w:tcPr>
          <w:p w14:paraId="320F90E0"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154" w:name="_lvm75kk5m3j2_Copy_105"/>
            <w:bookmarkEnd w:id="154"/>
            <w:proofErr w:type="spellStart"/>
            <w:r>
              <w:rPr>
                <w:rFonts w:ascii="Times New Roman" w:eastAsia="Times New Roman" w:hAnsi="Times New Roman" w:cs="Times New Roman"/>
                <w:sz w:val="24"/>
                <w:szCs w:val="24"/>
              </w:rPr>
              <w:t>Abordo</w:t>
            </w:r>
            <w:proofErr w:type="spellEnd"/>
            <w:r>
              <w:rPr>
                <w:rFonts w:ascii="Times New Roman" w:eastAsia="Times New Roman" w:hAnsi="Times New Roman" w:cs="Times New Roman"/>
                <w:sz w:val="24"/>
                <w:szCs w:val="24"/>
              </w:rPr>
              <w:t xml:space="preserve"> et al. (2023)</w:t>
            </w:r>
          </w:p>
        </w:tc>
        <w:tc>
          <w:tcPr>
            <w:tcW w:w="1875" w:type="dxa"/>
          </w:tcPr>
          <w:p w14:paraId="1A35A44A"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155" w:name="_lvm75kk5m3j2_Copy_106"/>
            <w:bookmarkEnd w:id="155"/>
            <w:r>
              <w:rPr>
                <w:rFonts w:ascii="Times New Roman" w:eastAsia="Times New Roman" w:hAnsi="Times New Roman" w:cs="Times New Roman"/>
                <w:sz w:val="24"/>
                <w:szCs w:val="24"/>
              </w:rPr>
              <w:t>Molecular</w:t>
            </w:r>
          </w:p>
        </w:tc>
        <w:tc>
          <w:tcPr>
            <w:tcW w:w="1560" w:type="dxa"/>
          </w:tcPr>
          <w:p w14:paraId="16EC663B"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156" w:name="_lvm75kk5m3j2_Copy_107"/>
            <w:bookmarkEnd w:id="156"/>
            <w:r>
              <w:rPr>
                <w:rFonts w:ascii="Times New Roman" w:eastAsia="Times New Roman" w:hAnsi="Times New Roman" w:cs="Times New Roman"/>
                <w:sz w:val="24"/>
                <w:szCs w:val="24"/>
              </w:rPr>
              <w:t>Hospital</w:t>
            </w:r>
          </w:p>
        </w:tc>
        <w:tc>
          <w:tcPr>
            <w:tcW w:w="2295" w:type="dxa"/>
          </w:tcPr>
          <w:p w14:paraId="061A9385"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157" w:name="_lvm75kk5m3j2_Copy_108"/>
            <w:bookmarkEnd w:id="157"/>
            <w:r>
              <w:rPr>
                <w:rFonts w:ascii="Times New Roman" w:eastAsia="Times New Roman" w:hAnsi="Times New Roman" w:cs="Times New Roman"/>
                <w:sz w:val="24"/>
                <w:szCs w:val="24"/>
              </w:rPr>
              <w:t>Gram-negative bacilli</w:t>
            </w:r>
          </w:p>
        </w:tc>
        <w:tc>
          <w:tcPr>
            <w:tcW w:w="2100" w:type="dxa"/>
          </w:tcPr>
          <w:p w14:paraId="4499FDA1"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158" w:name="_lvm75kk5m3j2_Copy_109"/>
            <w:bookmarkEnd w:id="158"/>
            <w:r>
              <w:rPr>
                <w:rFonts w:ascii="Times New Roman" w:eastAsia="Times New Roman" w:hAnsi="Times New Roman" w:cs="Times New Roman"/>
                <w:sz w:val="24"/>
                <w:szCs w:val="24"/>
              </w:rPr>
              <w:t>Clinical samples</w:t>
            </w:r>
          </w:p>
        </w:tc>
        <w:tc>
          <w:tcPr>
            <w:tcW w:w="1409" w:type="dxa"/>
          </w:tcPr>
          <w:p w14:paraId="62A3D8B0"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159" w:name="_lvm75kk5m3j2_Copy_110"/>
            <w:bookmarkEnd w:id="159"/>
            <w:r>
              <w:rPr>
                <w:rFonts w:ascii="Times New Roman" w:eastAsia="Times New Roman" w:hAnsi="Times New Roman" w:cs="Times New Roman"/>
                <w:sz w:val="24"/>
                <w:szCs w:val="24"/>
              </w:rPr>
              <w:t>PCR, AST</w:t>
            </w:r>
          </w:p>
        </w:tc>
        <w:tc>
          <w:tcPr>
            <w:tcW w:w="2176" w:type="dxa"/>
          </w:tcPr>
          <w:p w14:paraId="42BCB18D" w14:textId="77777777" w:rsidR="007D5FB4" w:rsidRDefault="003D1A1D">
            <w:pPr>
              <w:pStyle w:val="Heading1"/>
              <w:keepNext w:val="0"/>
              <w:keepLines w:val="0"/>
              <w:spacing w:before="0" w:after="0"/>
              <w:rPr>
                <w:rFonts w:ascii="Times New Roman" w:eastAsia="Times New Roman" w:hAnsi="Times New Roman" w:cs="Times New Roman"/>
                <w:sz w:val="24"/>
                <w:szCs w:val="24"/>
              </w:rPr>
            </w:pPr>
            <w:bookmarkStart w:id="160" w:name="_xrixpysv8zw"/>
            <w:bookmarkEnd w:id="160"/>
            <w:r>
              <w:rPr>
                <w:rFonts w:ascii="Times New Roman" w:eastAsia="Times New Roman" w:hAnsi="Times New Roman" w:cs="Times New Roman"/>
                <w:sz w:val="24"/>
                <w:szCs w:val="24"/>
              </w:rPr>
              <w:t>Multi-class β-lactamase genes</w:t>
            </w:r>
          </w:p>
        </w:tc>
      </w:tr>
    </w:tbl>
    <w:p w14:paraId="46E1CF73" w14:textId="77777777" w:rsidR="007D5FB4" w:rsidRDefault="007D5FB4">
      <w:pPr>
        <w:pStyle w:val="Heading1"/>
        <w:keepNext w:val="0"/>
        <w:keepLines w:val="0"/>
        <w:spacing w:before="480"/>
        <w:rPr>
          <w:rFonts w:ascii="Times New Roman" w:eastAsia="Times New Roman" w:hAnsi="Times New Roman" w:cs="Times New Roman"/>
          <w:b/>
          <w:bCs/>
          <w:sz w:val="24"/>
          <w:szCs w:val="24"/>
        </w:rPr>
      </w:pPr>
      <w:bookmarkStart w:id="161" w:name="_lvm75kk5m3j2_Copy_111"/>
      <w:bookmarkEnd w:id="161"/>
    </w:p>
    <w:p w14:paraId="5FE03BE0" w14:textId="77777777" w:rsidR="007D5FB4" w:rsidRDefault="007D5FB4">
      <w:pPr>
        <w:pStyle w:val="normal1"/>
        <w:jc w:val="both"/>
        <w:rPr>
          <w:rFonts w:ascii="Times New Roman" w:eastAsia="Times New Roman" w:hAnsi="Times New Roman" w:cs="Times New Roman"/>
          <w:sz w:val="24"/>
          <w:szCs w:val="24"/>
        </w:rPr>
      </w:pPr>
    </w:p>
    <w:sectPr w:rsidR="007D5FB4">
      <w:headerReference w:type="even" r:id="rId62"/>
      <w:headerReference w:type="default" r:id="rId63"/>
      <w:headerReference w:type="first" r:id="rId64"/>
      <w:pgSz w:w="15840" w:h="12240" w:orient="landscape"/>
      <w:pgMar w:top="1440" w:right="1440" w:bottom="1440" w:left="1440" w:header="720" w:footer="0"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8744FB" w14:textId="77777777" w:rsidR="003D1A1D" w:rsidRDefault="003D1A1D">
      <w:pPr>
        <w:spacing w:line="240" w:lineRule="auto"/>
      </w:pPr>
      <w:r>
        <w:separator/>
      </w:r>
    </w:p>
  </w:endnote>
  <w:endnote w:type="continuationSeparator" w:id="0">
    <w:p w14:paraId="26214CB7" w14:textId="77777777" w:rsidR="003D1A1D" w:rsidRDefault="003D1A1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swiss"/>
    <w:pitch w:val="variable"/>
    <w:embedRegular r:id="rId1" w:fontKey="{8860917F-9431-46F6-825B-62FEE91FEE93}"/>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embedRegular r:id="rId2" w:fontKey="{EAE00C6E-616A-47F6-9BFD-240C1B01A345}"/>
    <w:embedItalic r:id="rId3" w:fontKey="{D494D987-73C3-4F7C-B590-320FF01FAFAB}"/>
  </w:font>
  <w:font w:name="Mangal">
    <w:panose1 w:val="00000400000000000000"/>
    <w:charset w:val="00"/>
    <w:family w:val="roman"/>
    <w:pitch w:val="variable"/>
    <w:sig w:usb0="00008003" w:usb1="00000000" w:usb2="00000000" w:usb3="00000000" w:csb0="00000001" w:csb1="00000000"/>
    <w:embedRegular r:id="rId4" w:fontKey="{9F8565B9-408E-4785-8807-7B408084C316}"/>
  </w:font>
  <w:font w:name="Calibri">
    <w:panose1 w:val="020F0502020204030204"/>
    <w:charset w:val="00"/>
    <w:family w:val="swiss"/>
    <w:pitch w:val="variable"/>
    <w:sig w:usb0="E4002EFF" w:usb1="C200247B" w:usb2="00000009" w:usb3="00000000" w:csb0="000001FF" w:csb1="00000000"/>
    <w:embedRegular r:id="rId5" w:fontKey="{E42345EE-5AE5-4BC2-95CC-2BD52421CCE7}"/>
  </w:font>
  <w:font w:name="Cambria">
    <w:panose1 w:val="02040503050406030204"/>
    <w:charset w:val="00"/>
    <w:family w:val="roman"/>
    <w:pitch w:val="variable"/>
    <w:sig w:usb0="E00006FF" w:usb1="420024FF" w:usb2="02000000" w:usb3="00000000" w:csb0="0000019F" w:csb1="00000000"/>
    <w:embedRegular r:id="rId6" w:fontKey="{9806D13C-0D8F-4459-8C59-1894FB3957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EADF4" w14:textId="77777777" w:rsidR="008B4241" w:rsidRDefault="008B42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17A62" w14:textId="77777777" w:rsidR="008B4241" w:rsidRDefault="008B42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1D27F" w14:textId="77777777" w:rsidR="008B4241" w:rsidRDefault="008B42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5F4C09" w14:textId="77777777" w:rsidR="003D1A1D" w:rsidRDefault="003D1A1D">
      <w:pPr>
        <w:spacing w:line="240" w:lineRule="auto"/>
      </w:pPr>
      <w:r>
        <w:separator/>
      </w:r>
    </w:p>
  </w:footnote>
  <w:footnote w:type="continuationSeparator" w:id="0">
    <w:p w14:paraId="20604161" w14:textId="77777777" w:rsidR="003D1A1D" w:rsidRDefault="003D1A1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963E8" w14:textId="7E1868DD" w:rsidR="007D5FB4" w:rsidRDefault="008B4241">
    <w:pPr>
      <w:pStyle w:val="Header"/>
    </w:pPr>
    <w:r>
      <w:rPr>
        <w:noProof/>
      </w:rPr>
      <w:pict w14:anchorId="57D0BE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0110"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02725" w14:textId="6DF20E2B" w:rsidR="007D5FB4" w:rsidRDefault="008B4241">
    <w:pPr>
      <w:pStyle w:val="normal1"/>
    </w:pPr>
    <w:r>
      <w:rPr>
        <w:noProof/>
      </w:rPr>
      <w:pict w14:anchorId="174C87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0111"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93B8C" w14:textId="157511FF" w:rsidR="007D5FB4" w:rsidRDefault="008B4241">
    <w:pPr>
      <w:pStyle w:val="normal1"/>
    </w:pPr>
    <w:r>
      <w:rPr>
        <w:noProof/>
      </w:rPr>
      <w:pict w14:anchorId="178647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0109"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F4E0E3" w14:textId="6CCC0A72" w:rsidR="008B4241" w:rsidRDefault="008B4241">
    <w:pPr>
      <w:pStyle w:val="Header"/>
    </w:pPr>
    <w:r>
      <w:rPr>
        <w:noProof/>
      </w:rPr>
      <w:pict w14:anchorId="58666F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0113" o:spid="_x0000_s2053" type="#_x0000_t136" style="position:absolute;margin-left:0;margin-top:0;width:592.85pt;height:66.9pt;rotation:315;z-index:-251649024;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5920F" w14:textId="2A9C75F8" w:rsidR="007D5FB4" w:rsidRDefault="008B4241">
    <w:pPr>
      <w:pStyle w:val="normal1"/>
    </w:pPr>
    <w:r>
      <w:rPr>
        <w:noProof/>
      </w:rPr>
      <w:pict w14:anchorId="0F6180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0114" o:spid="_x0000_s2054" type="#_x0000_t136" style="position:absolute;margin-left:0;margin-top:0;width:592.85pt;height:66.9pt;rotation:315;z-index:-25164697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E4763" w14:textId="3F69A4FF" w:rsidR="007D5FB4" w:rsidRDefault="008B4241">
    <w:pPr>
      <w:pStyle w:val="normal1"/>
    </w:pPr>
    <w:r>
      <w:rPr>
        <w:noProof/>
      </w:rPr>
      <w:pict w14:anchorId="35D820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0112" o:spid="_x0000_s2052" type="#_x0000_t136" style="position:absolute;margin-left:0;margin-top:0;width:592.85pt;height:66.9pt;rotation:315;z-index:-251651072;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embedTrueTypeFonts/>
  <w:proofState w:spelling="clean" w:grammar="clean"/>
  <w:defaultTabStop w:val="720"/>
  <w:autoHyphenation/>
  <w:hyphenationZone w:val="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FB4"/>
    <w:rsid w:val="00326848"/>
    <w:rsid w:val="00341338"/>
    <w:rsid w:val="003A55AC"/>
    <w:rsid w:val="003D1A1D"/>
    <w:rsid w:val="007443FA"/>
    <w:rsid w:val="00794FB9"/>
    <w:rsid w:val="007D5FB4"/>
    <w:rsid w:val="00833084"/>
    <w:rsid w:val="008B4241"/>
    <w:rsid w:val="00BE2930"/>
    <w:rsid w:val="00E141F6"/>
    <w:rsid w:val="00E76067"/>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CDFB88E"/>
  <w15:docId w15:val="{FDAACDD6-8BF6-492F-93CE-112A87423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zh-CN" w:bidi="hi-IN"/>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line="276" w:lineRule="auto"/>
    </w:pPr>
  </w:style>
  <w:style w:type="paragraph" w:styleId="Heading1">
    <w:name w:val="heading 1"/>
    <w:basedOn w:val="normal1"/>
    <w:next w:val="normal1"/>
    <w:uiPriority w:val="9"/>
    <w:qFormat/>
    <w:pPr>
      <w:keepNext/>
      <w:keepLines/>
      <w:spacing w:before="400" w:after="120" w:line="240" w:lineRule="auto"/>
      <w:outlineLvl w:val="0"/>
    </w:pPr>
    <w:rPr>
      <w:sz w:val="40"/>
      <w:szCs w:val="40"/>
    </w:rPr>
  </w:style>
  <w:style w:type="paragraph" w:styleId="Heading2">
    <w:name w:val="heading 2"/>
    <w:basedOn w:val="normal1"/>
    <w:next w:val="normal1"/>
    <w:uiPriority w:val="9"/>
    <w:unhideWhenUsed/>
    <w:qFormat/>
    <w:pPr>
      <w:keepNext/>
      <w:keepLines/>
      <w:spacing w:before="360" w:after="120" w:line="240" w:lineRule="auto"/>
      <w:outlineLvl w:val="1"/>
    </w:pPr>
    <w:rPr>
      <w:sz w:val="32"/>
      <w:szCs w:val="32"/>
    </w:rPr>
  </w:style>
  <w:style w:type="paragraph" w:styleId="Heading3">
    <w:name w:val="heading 3"/>
    <w:basedOn w:val="normal1"/>
    <w:next w:val="normal1"/>
    <w:uiPriority w:val="9"/>
    <w:unhideWhenUsed/>
    <w:qFormat/>
    <w:pPr>
      <w:keepNext/>
      <w:keepLines/>
      <w:spacing w:before="320" w:after="80" w:line="240" w:lineRule="auto"/>
      <w:outlineLvl w:val="2"/>
    </w:pPr>
    <w:rPr>
      <w:color w:val="434343"/>
      <w:sz w:val="28"/>
      <w:szCs w:val="28"/>
    </w:rPr>
  </w:style>
  <w:style w:type="paragraph" w:styleId="Heading4">
    <w:name w:val="heading 4"/>
    <w:basedOn w:val="normal1"/>
    <w:next w:val="normal1"/>
    <w:uiPriority w:val="9"/>
    <w:semiHidden/>
    <w:unhideWhenUsed/>
    <w:qFormat/>
    <w:pPr>
      <w:keepNext/>
      <w:keepLines/>
      <w:spacing w:before="280" w:after="80" w:line="240" w:lineRule="auto"/>
      <w:outlineLvl w:val="3"/>
    </w:pPr>
    <w:rPr>
      <w:color w:val="666666"/>
      <w:sz w:val="24"/>
      <w:szCs w:val="24"/>
    </w:rPr>
  </w:style>
  <w:style w:type="paragraph" w:styleId="Heading5">
    <w:name w:val="heading 5"/>
    <w:basedOn w:val="normal1"/>
    <w:next w:val="normal1"/>
    <w:uiPriority w:val="9"/>
    <w:semiHidden/>
    <w:unhideWhenUsed/>
    <w:qFormat/>
    <w:pPr>
      <w:keepNext/>
      <w:keepLines/>
      <w:spacing w:before="240" w:after="80" w:line="240" w:lineRule="auto"/>
      <w:outlineLvl w:val="4"/>
    </w:pPr>
    <w:rPr>
      <w:color w:val="666666"/>
    </w:rPr>
  </w:style>
  <w:style w:type="paragraph" w:styleId="Heading6">
    <w:name w:val="heading 6"/>
    <w:basedOn w:val="normal1"/>
    <w:next w:val="normal1"/>
    <w:uiPriority w:val="9"/>
    <w:semiHidden/>
    <w:unhideWhenUsed/>
    <w:qFormat/>
    <w:pPr>
      <w:keepNext/>
      <w:keepLines/>
      <w:spacing w:before="240" w:after="80" w:line="240" w:lineRule="auto"/>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80"/>
      <w:u w:val="single"/>
    </w:rPr>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customStyle="1" w:styleId="normal1">
    <w:name w:val="normal1"/>
    <w:qFormat/>
    <w:pPr>
      <w:spacing w:line="276" w:lineRule="auto"/>
    </w:pPr>
  </w:style>
  <w:style w:type="paragraph" w:styleId="Title">
    <w:name w:val="Title"/>
    <w:basedOn w:val="normal1"/>
    <w:next w:val="normal1"/>
    <w:uiPriority w:val="10"/>
    <w:qFormat/>
    <w:pPr>
      <w:keepNext/>
      <w:keepLines/>
      <w:spacing w:after="60" w:line="240" w:lineRule="auto"/>
    </w:pPr>
    <w:rPr>
      <w:sz w:val="52"/>
      <w:szCs w:val="52"/>
    </w:rPr>
  </w:style>
  <w:style w:type="paragraph" w:styleId="Subtitle">
    <w:name w:val="Subtitle"/>
    <w:basedOn w:val="normal1"/>
    <w:next w:val="normal1"/>
    <w:uiPriority w:val="11"/>
    <w:qFormat/>
    <w:pPr>
      <w:keepNext/>
      <w:keepLines/>
      <w:spacing w:after="320" w:line="240" w:lineRule="auto"/>
    </w:pPr>
    <w:rPr>
      <w:color w:val="666666"/>
      <w:sz w:val="30"/>
      <w:szCs w:val="30"/>
    </w:rPr>
  </w:style>
  <w:style w:type="paragraph" w:customStyle="1" w:styleId="HeaderandFooter">
    <w:name w:val="Header and Footer"/>
    <w:basedOn w:val="Normal"/>
    <w:qFormat/>
  </w:style>
  <w:style w:type="paragraph" w:styleId="Header">
    <w:name w:val="header"/>
    <w:basedOn w:val="HeaderandFooter"/>
  </w:style>
  <w:style w:type="table" w:customStyle="1" w:styleId="TableNormal0">
    <w:name w:val="TableNormal"/>
    <w:tblPr>
      <w:tblCellMar>
        <w:top w:w="100" w:type="dxa"/>
        <w:left w:w="100" w:type="dxa"/>
        <w:bottom w:w="100" w:type="dxa"/>
        <w:right w:w="100" w:type="dxa"/>
      </w:tblCellMar>
    </w:tblPr>
  </w:style>
  <w:style w:type="character" w:styleId="UnresolvedMention">
    <w:name w:val="Unresolved Mention"/>
    <w:basedOn w:val="DefaultParagraphFont"/>
    <w:uiPriority w:val="99"/>
    <w:semiHidden/>
    <w:unhideWhenUsed/>
    <w:rsid w:val="00794FB9"/>
    <w:rPr>
      <w:color w:val="605E5C"/>
      <w:shd w:val="clear" w:color="auto" w:fill="E1DFDD"/>
    </w:rPr>
  </w:style>
  <w:style w:type="paragraph" w:styleId="Footer">
    <w:name w:val="footer"/>
    <w:basedOn w:val="Normal"/>
    <w:link w:val="FooterChar"/>
    <w:uiPriority w:val="99"/>
    <w:unhideWhenUsed/>
    <w:rsid w:val="008B4241"/>
    <w:pPr>
      <w:tabs>
        <w:tab w:val="center" w:pos="4680"/>
        <w:tab w:val="right" w:pos="9360"/>
      </w:tabs>
      <w:spacing w:line="240" w:lineRule="auto"/>
    </w:pPr>
    <w:rPr>
      <w:rFonts w:cs="Mangal"/>
      <w:szCs w:val="20"/>
    </w:rPr>
  </w:style>
  <w:style w:type="character" w:customStyle="1" w:styleId="FooterChar">
    <w:name w:val="Footer Char"/>
    <w:basedOn w:val="DefaultParagraphFont"/>
    <w:link w:val="Footer"/>
    <w:uiPriority w:val="99"/>
    <w:rsid w:val="008B4241"/>
    <w:rPr>
      <w:rFonts w:cs="Mang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www.cdc.gov/antimicrobial-resistance/about/index.html" TargetMode="External"/><Relationship Id="rId21" Type="http://schemas.openxmlformats.org/officeDocument/2006/relationships/hyperlink" Target="https://doi.org/10.5365/wpsar.2022.13.3.917" TargetMode="External"/><Relationship Id="rId34" Type="http://schemas.openxmlformats.org/officeDocument/2006/relationships/hyperlink" Target="https://doi.org/10.3390/antibiotics9040154" TargetMode="External"/><Relationship Id="rId42" Type="http://schemas.openxmlformats.org/officeDocument/2006/relationships/hyperlink" Target="https://europepmc.org/article/NBK/nbk589663" TargetMode="External"/><Relationship Id="rId47" Type="http://schemas.openxmlformats.org/officeDocument/2006/relationships/hyperlink" Target="https://doi.org/10.3389/fmicb.2025.1711400" TargetMode="External"/><Relationship Id="rId50" Type="http://schemas.openxmlformats.org/officeDocument/2006/relationships/hyperlink" Target="https://doi.org/10.21141/PJP.2020.03" TargetMode="External"/><Relationship Id="rId55" Type="http://schemas.openxmlformats.org/officeDocument/2006/relationships/hyperlink" Target="https://doi.org/10.1016/j.onehlt.2025.101255" TargetMode="External"/><Relationship Id="rId63" Type="http://schemas.openxmlformats.org/officeDocument/2006/relationships/header" Target="header5.xml"/><Relationship Id="rId7" Type="http://schemas.openxmlformats.org/officeDocument/2006/relationships/hyperlink" Target="https://www.herdin.ph/index.php?view=research&amp;cid=77312" TargetMode="External"/><Relationship Id="rId2" Type="http://schemas.openxmlformats.org/officeDocument/2006/relationships/settings" Target="settings.xml"/><Relationship Id="rId16" Type="http://schemas.openxmlformats.org/officeDocument/2006/relationships/hyperlink" Target="https://doi.org/10.1038/s41467-020-18459-2" TargetMode="External"/><Relationship Id="rId29" Type="http://schemas.openxmlformats.org/officeDocument/2006/relationships/hyperlink" Target="https://clsi.org/?utm_source=chatgpt.com" TargetMode="External"/><Relationship Id="rId11" Type="http://schemas.openxmlformats.org/officeDocument/2006/relationships/hyperlink" Target="https://doi.org/10.1016/j.lana.2025.101004" TargetMode="External"/><Relationship Id="rId24" Type="http://schemas.openxmlformats.org/officeDocument/2006/relationships/hyperlink" Target="https://doi.org/10.1016/j.ijantimicag.2023.107014" TargetMode="External"/><Relationship Id="rId32" Type="http://schemas.openxmlformats.org/officeDocument/2006/relationships/hyperlink" Target="https://doi.org/10.1097/QCO.0000000000000966" TargetMode="External"/><Relationship Id="rId37" Type="http://schemas.openxmlformats.org/officeDocument/2006/relationships/hyperlink" Target="https://www.downtoearth.org.in/health/waaw-2025-raising-awareness-on-the-antimicrobial-resistance-surveillance-program-in-the-philippines" TargetMode="External"/><Relationship Id="rId40" Type="http://schemas.openxmlformats.org/officeDocument/2006/relationships/hyperlink" Target="https://doi.org/10.1128/CMR.00048-19" TargetMode="External"/><Relationship Id="rId45" Type="http://schemas.openxmlformats.org/officeDocument/2006/relationships/hyperlink" Target="https://doi.org/10.1016/j.ijid.2020.01.022" TargetMode="External"/><Relationship Id="rId53" Type="http://schemas.openxmlformats.org/officeDocument/2006/relationships/hyperlink" Target="https://doi.org/10.5365/wpsar.2021.12.4.834" TargetMode="External"/><Relationship Id="rId58" Type="http://schemas.openxmlformats.org/officeDocument/2006/relationships/footer" Target="footer1.xml"/><Relationship Id="rId66" Type="http://schemas.openxmlformats.org/officeDocument/2006/relationships/theme" Target="theme/theme1.xml"/><Relationship Id="rId5" Type="http://schemas.openxmlformats.org/officeDocument/2006/relationships/endnotes" Target="endnotes.xml"/><Relationship Id="rId61" Type="http://schemas.openxmlformats.org/officeDocument/2006/relationships/footer" Target="footer3.xml"/><Relationship Id="rId19" Type="http://schemas.openxmlformats.org/officeDocument/2006/relationships/hyperlink" Target="https://doi.org/10.3389/fphar.2024.1444781" TargetMode="External"/><Relationship Id="rId14" Type="http://schemas.openxmlformats.org/officeDocument/2006/relationships/hyperlink" Target="https://doi.org/10.1038/s41467-019-13977-7" TargetMode="External"/><Relationship Id="rId22" Type="http://schemas.openxmlformats.org/officeDocument/2006/relationships/hyperlink" Target="https://doi.org/10.5365/wpsar.2022.13.3.917" TargetMode="External"/><Relationship Id="rId27" Type="http://schemas.openxmlformats.org/officeDocument/2006/relationships/hyperlink" Target="https://doi.org/10.5365/wpsar.2021.12.4.863" TargetMode="External"/><Relationship Id="rId30" Type="http://schemas.openxmlformats.org/officeDocument/2006/relationships/hyperlink" Target="https://clsi.org/about/news/clsi-publishes-m100-performance-standards-for-antimicrobial-susceptibility-testing-33rd-edition/" TargetMode="External"/><Relationship Id="rId35" Type="http://schemas.openxmlformats.org/officeDocument/2006/relationships/hyperlink" Target="https://doi.org/10.3390/antibiotics9040154" TargetMode="External"/><Relationship Id="rId43" Type="http://schemas.openxmlformats.org/officeDocument/2006/relationships/hyperlink" Target="https://europepmc.org/article/NBK/nbk589663" TargetMode="External"/><Relationship Id="rId48" Type="http://schemas.openxmlformats.org/officeDocument/2006/relationships/hyperlink" Target="https://doi.org/10.1136/bmj.n71" TargetMode="External"/><Relationship Id="rId56" Type="http://schemas.openxmlformats.org/officeDocument/2006/relationships/header" Target="header1.xml"/><Relationship Id="rId64" Type="http://schemas.openxmlformats.org/officeDocument/2006/relationships/header" Target="header6.xml"/><Relationship Id="rId8" Type="http://schemas.openxmlformats.org/officeDocument/2006/relationships/hyperlink" Target="https://www.herdin.ph/index.php?view=research&amp;cid=77312" TargetMode="External"/><Relationship Id="rId51" Type="http://schemas.openxmlformats.org/officeDocument/2006/relationships/hyperlink" Target="https://doi.org/10.21141/PJP.2020.03" TargetMode="External"/><Relationship Id="rId3" Type="http://schemas.openxmlformats.org/officeDocument/2006/relationships/webSettings" Target="webSettings.xml"/><Relationship Id="rId12" Type="http://schemas.openxmlformats.org/officeDocument/2006/relationships/hyperlink" Target="https://doi.org/10.1016/j.lana.2025.101004" TargetMode="External"/><Relationship Id="rId17" Type="http://schemas.openxmlformats.org/officeDocument/2006/relationships/hyperlink" Target="https://doi.org/10.36079/lamintang.jamaps-0402.921" TargetMode="External"/><Relationship Id="rId25" Type="http://schemas.openxmlformats.org/officeDocument/2006/relationships/hyperlink" Target="https://www.cdc.gov/antimicrobial-resistance/about/index.html" TargetMode="External"/><Relationship Id="rId33" Type="http://schemas.openxmlformats.org/officeDocument/2006/relationships/hyperlink" Target="https://doi.org/10.1097/QCO.0000000000000966" TargetMode="External"/><Relationship Id="rId38" Type="http://schemas.openxmlformats.org/officeDocument/2006/relationships/hyperlink" Target="https://doi.org/10.2147/IDR.S428837" TargetMode="External"/><Relationship Id="rId46" Type="http://schemas.openxmlformats.org/officeDocument/2006/relationships/hyperlink" Target="https://doi.org/10.3389/fmicb.2025.1711400" TargetMode="External"/><Relationship Id="rId59" Type="http://schemas.openxmlformats.org/officeDocument/2006/relationships/footer" Target="footer2.xml"/><Relationship Id="rId20" Type="http://schemas.openxmlformats.org/officeDocument/2006/relationships/hyperlink" Target="https://doi.org/10.3389/fphar.2024.1444781" TargetMode="External"/><Relationship Id="rId41" Type="http://schemas.openxmlformats.org/officeDocument/2006/relationships/hyperlink" Target="https://doi.org/10.1128/CMR.00048-19" TargetMode="External"/><Relationship Id="rId54" Type="http://schemas.openxmlformats.org/officeDocument/2006/relationships/hyperlink" Target="https://doi.org/10.1016/j.onehlt.2025.101255" TargetMode="External"/><Relationship Id="rId62" Type="http://schemas.openxmlformats.org/officeDocument/2006/relationships/header" Target="header4.xm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hyperlink" Target="https://doi.org/10.1038/s41467-020-18459-2" TargetMode="External"/><Relationship Id="rId23" Type="http://schemas.openxmlformats.org/officeDocument/2006/relationships/hyperlink" Target="https://doi.org/10.1016/j.ijantimicag.2023.107014" TargetMode="External"/><Relationship Id="rId28" Type="http://schemas.openxmlformats.org/officeDocument/2006/relationships/hyperlink" Target="https://doi.org/10.5365/wpsar.2021.12.4.863" TargetMode="External"/><Relationship Id="rId36" Type="http://schemas.openxmlformats.org/officeDocument/2006/relationships/hyperlink" Target="https://arsp.com.ph/wp-content/uploads/2023/06/2022_annual_report_summary.pdf" TargetMode="External"/><Relationship Id="rId49" Type="http://schemas.openxmlformats.org/officeDocument/2006/relationships/hyperlink" Target="https://doi.org/10.1136/bmj.n71" TargetMode="External"/><Relationship Id="rId57" Type="http://schemas.openxmlformats.org/officeDocument/2006/relationships/header" Target="header2.xml"/><Relationship Id="rId10" Type="http://schemas.openxmlformats.org/officeDocument/2006/relationships/hyperlink" Target="https://doi.org/10.3390/life15101598" TargetMode="External"/><Relationship Id="rId31" Type="http://schemas.openxmlformats.org/officeDocument/2006/relationships/hyperlink" Target="https://clsi.org/about/news/clsi-publishes-m100-performance-standards-for-antimicrobial-susceptibility-testing-33rd-edition/" TargetMode="External"/><Relationship Id="rId44" Type="http://schemas.openxmlformats.org/officeDocument/2006/relationships/hyperlink" Target="https://doi.org/10.1016/j.ijid.2020.01.022" TargetMode="External"/><Relationship Id="rId52" Type="http://schemas.openxmlformats.org/officeDocument/2006/relationships/hyperlink" Target="https://doi.org/10.5365/wpsar.2021.12.4.834" TargetMode="External"/><Relationship Id="rId60" Type="http://schemas.openxmlformats.org/officeDocument/2006/relationships/header" Target="header3.xml"/><Relationship Id="rId65"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doi.org/10.3390/life15101598" TargetMode="External"/><Relationship Id="rId13" Type="http://schemas.openxmlformats.org/officeDocument/2006/relationships/hyperlink" Target="https://doi.org/10.1038/s41467-019-13977-7" TargetMode="External"/><Relationship Id="rId18" Type="http://schemas.openxmlformats.org/officeDocument/2006/relationships/hyperlink" Target="https://doi.org/10.36079/lamintang.jamaps-0402.921" TargetMode="External"/><Relationship Id="rId39" Type="http://schemas.openxmlformats.org/officeDocument/2006/relationships/hyperlink" Target="https://doi.org/10.2147/IDR.S428837"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16</Pages>
  <Words>6407</Words>
  <Characters>36521</Characters>
  <Application>Microsoft Office Word</Application>
  <DocSecurity>0</DocSecurity>
  <Lines>304</Lines>
  <Paragraphs>85</Paragraphs>
  <ScaleCrop>false</ScaleCrop>
  <Company/>
  <LinksUpToDate>false</LinksUpToDate>
  <CharactersWithSpaces>42843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SDI 1084</cp:lastModifiedBy>
  <cp:revision>9</cp:revision>
  <dcterms:created xsi:type="dcterms:W3CDTF">2026-05-20T07:21:00Z</dcterms:created>
  <dcterms:modified xsi:type="dcterms:W3CDTF">2026-05-20T13:27:00Z</dcterms:modified>
  <dc:language>en-US</dc:language>
</cp:coreProperties>
</file>