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73A5" w14:textId="77777777" w:rsidR="004F164E" w:rsidRPr="004F164E" w:rsidRDefault="004F164E" w:rsidP="004F164E">
      <w:pPr>
        <w:spacing w:before="100" w:beforeAutospacing="1" w:after="100" w:afterAutospacing="1" w:line="240" w:lineRule="auto"/>
        <w:outlineLvl w:val="1"/>
        <w:rPr>
          <w:rFonts w:ascii="Times New Roman" w:eastAsia="Times New Roman" w:hAnsi="Times New Roman" w:cs="Times New Roman"/>
          <w:b/>
          <w:bCs/>
          <w:i/>
          <w:iCs/>
          <w:sz w:val="36"/>
          <w:szCs w:val="36"/>
          <w:u w:val="single"/>
          <w:lang w:val="en-US"/>
        </w:rPr>
      </w:pPr>
      <w:r w:rsidRPr="004F164E">
        <w:rPr>
          <w:rFonts w:ascii="Times New Roman" w:eastAsia="Times New Roman" w:hAnsi="Times New Roman" w:cs="Times New Roman"/>
          <w:b/>
          <w:bCs/>
          <w:i/>
          <w:iCs/>
          <w:sz w:val="36"/>
          <w:szCs w:val="36"/>
          <w:u w:val="single"/>
          <w:lang w:val="en-US"/>
        </w:rPr>
        <w:t>Review Article</w:t>
      </w:r>
    </w:p>
    <w:p w14:paraId="511E896A" w14:textId="77777777" w:rsidR="004137AA" w:rsidRPr="004137AA" w:rsidRDefault="004137AA" w:rsidP="004137AA">
      <w:pPr>
        <w:spacing w:before="100" w:beforeAutospacing="1" w:after="100" w:afterAutospacing="1" w:line="240" w:lineRule="auto"/>
        <w:outlineLvl w:val="1"/>
        <w:rPr>
          <w:rFonts w:ascii="Times New Roman" w:eastAsia="Times New Roman" w:hAnsi="Times New Roman" w:cs="Times New Roman"/>
          <w:b/>
          <w:bCs/>
          <w:sz w:val="36"/>
          <w:szCs w:val="36"/>
        </w:rPr>
      </w:pPr>
      <w:r w:rsidRPr="004137AA">
        <w:rPr>
          <w:rFonts w:ascii="Times New Roman" w:eastAsia="Times New Roman" w:hAnsi="Times New Roman" w:cs="Times New Roman"/>
          <w:b/>
          <w:bCs/>
          <w:sz w:val="36"/>
          <w:szCs w:val="36"/>
        </w:rPr>
        <w:t>PATENTING OF BIOTECHNOLOGY INNOVATIONS IN PLANT BREEDING: SCOPE, LIMITATIONS, AND ETHICAL CONCERNS</w:t>
      </w:r>
    </w:p>
    <w:p w14:paraId="1B8A7AC1"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2A941063"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Abstract</w:t>
      </w:r>
    </w:p>
    <w:p w14:paraId="0D456A61"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patenting of biotechnology innovations in plant breeding occupies one of the most contested intersections of intellectual property law, agricultural science, and global ethics. Over the past five decades, the expansion of utility patents, plant variety rights, and related forms of intellectual property protection to encompass seeds, genetic traits, gene-editing tools, and biological processes has reshaped the landscape of crop improvement worldwide. This review critically examines the scope of patent protection currently afforded to plant biotechnology innovations, surveys the principal limitations that constrain both patentees and those who seek freedom to operate, and engages systematically with the ethical concerns that have accumulated around these developments. The article traces the evolution of the international legal framework from the foundational TRIPS Agreement and the UPOV Convention through to the 2024 WIPO Treaty on Intellectual Property, Genetic Resources and Associated Traditional Knowledge. It examines how recent genomic technologies, particularly CRISPR-Cas genome editing, are generating unprecedented patent complexity, and considers how regulatory debates in the European Union illustrate the broader tensions between innovation incentives and public interest imperatives. The concentration of patent portfolios within a small number of transnational agrochemical corporations is analysed in relation to seed market consolidation, rising seed prices, and narrowing access to genetic resources for public-sector breeders and smallholder farmers. Ethical concerns addressed include biopiracy, the erosion of farmers' seed-saving rights, the threat to agrobiodiversity, and the inequitable distribution of biotechnological benefits between the Global North and Global South. The review also considers emerging alternative models, including open-source licensing and digital sequence information governance frameworks, and reflects on the contested future of intellectual property in plant breeding.</w:t>
      </w:r>
    </w:p>
    <w:p w14:paraId="3B0EB87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Keywords:</w:t>
      </w:r>
      <w:r w:rsidRPr="004137AA">
        <w:rPr>
          <w:rFonts w:ascii="Times New Roman" w:eastAsia="Times New Roman" w:hAnsi="Times New Roman" w:cs="Times New Roman"/>
          <w:sz w:val="24"/>
          <w:szCs w:val="24"/>
        </w:rPr>
        <w:t xml:space="preserve"> plant biotechnology; patent law; plant variety rights; CRISPR; gene editing; TRIPS Agreement; UPOV Convention; biopiracy; farmers' rights; agrobiodiversity; open-source seeds; digital sequence information; seed industry consolidation</w:t>
      </w:r>
    </w:p>
    <w:p w14:paraId="3EC8AEE3"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33EA10A2"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1. Introduction</w:t>
      </w:r>
    </w:p>
    <w:p w14:paraId="358CEC59"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1.1 Background and Context</w:t>
      </w:r>
    </w:p>
    <w:p w14:paraId="7A53CF78"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capacity of human societies to feed themselves has always depended, in part, on the ability of farmers and plant breeders to develop improved crop varieties. For the greater part of agricultural history, this process was a diffuse, collective, and largely open enterprise; seeds were saved, shared, adapted, and exchanged across generations and communities </w:t>
      </w:r>
      <w:r w:rsidRPr="004137AA">
        <w:rPr>
          <w:rFonts w:ascii="Times New Roman" w:eastAsia="Times New Roman" w:hAnsi="Times New Roman" w:cs="Times New Roman"/>
          <w:sz w:val="24"/>
          <w:szCs w:val="24"/>
        </w:rPr>
        <w:lastRenderedPageBreak/>
        <w:t>without formal restriction. The emergence of commercial plant breeding in the late nineteenth century, and the subsequent industrialisation of seed markets in the twentieth, progressively altered this relationship, introducing legal instruments designed to secure proprietary returns on breeding investments. Intellectual property rights (IPRs) for plant innovations emerged in stages, beginning with the United States Plant Patent Act of 1930 and culminating in the broadening, through successive national and international instruments, of patent protection to encompass the genetic sequences, biological processes, and genomic tools that underpin contemporary agricultural biotechnology.</w:t>
      </w:r>
    </w:p>
    <w:p w14:paraId="7C4B372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current system rests on several interlocking frameworks. The Agreement on Trade-Related Aspects of Intellectual Property Rights (TRIPS), adopted in 1994 as part of the establishment of the World Trade Organisation, obliged all member states to provide effective protection for plant varieties, either through patents or a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and prohibited the wholesale exclusion of plant-related inventions from patent protection (Wu, 2024). The International Convention for the Protection of New Varieties of Plants (UPOV Convention), now in its 1991 revision, provides the dominant multilateral model for plant variety rights (PVRs), sometimes called plant breeders' rights (PBRs), offering an alternative or complementary system to utility patents (Yu &amp; Chung, 2021). Layered atop these instruments are national patent regimes, the European Patent Convention, and a growing body of bilateral agreements, administrative decisions, and court rulings that together determine what can and cannot be patented in the realm of plant biology.</w:t>
      </w:r>
    </w:p>
    <w:p w14:paraId="6C910B5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advent of modern biotechnology dramatically expanded the scope of what was patentable. The landmark US Supreme Court ruling in </w:t>
      </w:r>
      <w:r w:rsidRPr="004137AA">
        <w:rPr>
          <w:rFonts w:ascii="Times New Roman" w:eastAsia="Times New Roman" w:hAnsi="Times New Roman" w:cs="Times New Roman"/>
          <w:i/>
          <w:iCs/>
          <w:sz w:val="24"/>
          <w:szCs w:val="24"/>
        </w:rPr>
        <w:t>Diamond v. Chakrabarty</w:t>
      </w:r>
      <w:r w:rsidRPr="004137AA">
        <w:rPr>
          <w:rFonts w:ascii="Times New Roman" w:eastAsia="Times New Roman" w:hAnsi="Times New Roman" w:cs="Times New Roman"/>
          <w:sz w:val="24"/>
          <w:szCs w:val="24"/>
        </w:rPr>
        <w:t xml:space="preserve"> (1980) established that living organisms produced by human ingenuity could constitute patentable subject matter, opening the door to the patenting of transgenic plants and eventually their component genetic sequences (Clancy &amp; Moschini, 2017). The commercialisation of genetically modified (GM) crops in the 1990s brought the first wave of broad agricultural biotechnology patents, many held by large agrochemical firms, and catalysed a period of rapid consolidation in the global seed industry (Howard, 2015). More recently, the development of CRISPR-Cas genome editing systems has added a further layer of complexity, with two rival patent estates — one originating at the University of California, Berkeley, and another at the Broad Institute of MIT and Harvard — contesting priority rights over fundamental technologies with enormous agricultural application (Chang, 2023).</w:t>
      </w:r>
    </w:p>
    <w:p w14:paraId="136E1AC0" w14:textId="6C31C0B9" w:rsid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social and ethical consequences of this system have attracted sustained critical attention. Concerns include the appropriation of genetic resources and traditional knowledge from developing countries without fair compensation (biopiracy), the curtailment of farmers' rights to save and replant seed, the concentration of market and innovation power in the hands of a small number of transnational corporations, the threat that uniform commercial varieties and private seed systems pose to agrobiodiversity, and the differential access to the products of publicly funded genomic research (Qaim, 2020; Khoury et al., 2022; Bartkowski et al., 2018). These concerns are no longer confined to academic debate; they are actively shaping regulatory negotiations at the international level, including the recently concluded 2024 WIPO Treaty on Intellectual Property, Genetic Resources and Associated Traditional Knowledge, and the ongoing European Union legislative process concerning new genomic techniques (Perron-Welch, 2025; Jiang et al., 2025).</w:t>
      </w:r>
    </w:p>
    <w:p w14:paraId="4BBB7D28" w14:textId="77777777" w:rsidR="00B66131" w:rsidRPr="004137AA" w:rsidRDefault="00B66131" w:rsidP="004137AA">
      <w:pPr>
        <w:spacing w:before="100" w:beforeAutospacing="1" w:after="100" w:afterAutospacing="1" w:line="240" w:lineRule="auto"/>
        <w:rPr>
          <w:rFonts w:ascii="Times New Roman" w:eastAsia="Times New Roman" w:hAnsi="Times New Roman" w:cs="Times New Roman"/>
          <w:sz w:val="24"/>
          <w:szCs w:val="24"/>
        </w:rPr>
      </w:pPr>
    </w:p>
    <w:p w14:paraId="0204E622"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lastRenderedPageBreak/>
        <w:t>1.2 Scope and Objectives</w:t>
      </w:r>
    </w:p>
    <w:p w14:paraId="10FD6A8A"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This review has five principal objectives. First, it provides a structured account of the legal landscape governing the patenting of plant biotechnology innovations, with attention to both the opportunities and the structural limitations of current frameworks. Second, it examines how emerging technologies — particularly CRISPR-based genome editing — are intensifying tensions within existing intellectual property systems. Third, it critically analyses the economic and competitive consequences of IP concentration in the global seed industry. Fourth, it surveys the ethical dimensions of plant biotechnology patenting across a range of issues from biopiracy and traditional knowledge to food security and biodiversity. Fifth, it considers emerging alternative models and governance proposals. The review does not address medical biotechnology except where patent law principles apply equally to plant and human applications. Policy recommendations are discussed analytically rather than prescriptively, in keeping with the critical review format.</w:t>
      </w:r>
    </w:p>
    <w:p w14:paraId="64ECEED9"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7093ECF2"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2. Methods for Literature Selection</w:t>
      </w:r>
    </w:p>
    <w:p w14:paraId="75F5F240"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2.1 Databases and Search Strategy</w:t>
      </w:r>
    </w:p>
    <w:p w14:paraId="775B88A4"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Literature for this review was identified through systematic searches of the following databases: Web of Science, Scopus, Google Scholar, PubMed, AGRIS (FAO Global Index of Agricultural Research), CAB Abstracts, the JSTOR Global Plant Science Collection, WIPO PATENTSCOPE (for regulatory and legislative background), and the Social Science Research Network (SSRN) for pre-publication working papers in law and economics. For legal and policy documents, the EUR-Lex database of European Union legislation and the WIPO Legal Database were additionally consulted.</w:t>
      </w:r>
    </w:p>
    <w:p w14:paraId="0D96047A"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Search queries employed combinations of the following terms: </w:t>
      </w:r>
      <w:r w:rsidRPr="004137AA">
        <w:rPr>
          <w:rFonts w:ascii="Times New Roman" w:eastAsia="Times New Roman" w:hAnsi="Times New Roman" w:cs="Times New Roman"/>
          <w:i/>
          <w:iCs/>
          <w:sz w:val="24"/>
          <w:szCs w:val="24"/>
        </w:rPr>
        <w:t>plant patents; plant variety rights; plant breeders' rights; biotechnology patents; UPOV Convention; TRIPS Article 27.3(b); CRISPR-Cas patents; gene editing intellectual property; new genomic techniques regulation; new plant breeding techniques; biopiracy; traditional knowledge; farmers' rights; seed saving; agrobiodiversity; digital sequence information; access and benefit sharing; Nagoya Protocol; ITPGRFA; seed industry consolidation; open source seed; patent thickets; essentially biological processes; European Patent Office</w:t>
      </w:r>
      <w:r w:rsidRPr="004137AA">
        <w:rPr>
          <w:rFonts w:ascii="Times New Roman" w:eastAsia="Times New Roman" w:hAnsi="Times New Roman" w:cs="Times New Roman"/>
          <w:sz w:val="24"/>
          <w:szCs w:val="24"/>
        </w:rPr>
        <w:t>. Searches were conducted without date restriction for foundational and historical papers, but primary inclusion priority was given to papers published between 2001 and 2026. All searches were last performed in</w:t>
      </w:r>
      <w:r w:rsidRPr="00EF698D">
        <w:rPr>
          <w:rFonts w:ascii="Times New Roman" w:eastAsia="Times New Roman" w:hAnsi="Times New Roman" w:cs="Times New Roman"/>
          <w:sz w:val="24"/>
          <w:szCs w:val="24"/>
        </w:rPr>
        <w:t xml:space="preserve"> the first week of </w:t>
      </w:r>
      <w:r w:rsidRPr="004137AA">
        <w:rPr>
          <w:rFonts w:ascii="Times New Roman" w:eastAsia="Times New Roman" w:hAnsi="Times New Roman" w:cs="Times New Roman"/>
          <w:sz w:val="24"/>
          <w:szCs w:val="24"/>
        </w:rPr>
        <w:t>May 2026.</w:t>
      </w:r>
    </w:p>
    <w:p w14:paraId="4F366A67"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2.2 Inclusion and Exclusion Criteria</w:t>
      </w:r>
    </w:p>
    <w:p w14:paraId="759CC01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Inclusion criteria required that sources be: (a) published in peer-reviewed academic journals, or, in the case of institutional reports, emanating from authoritative international organisations such as the FAO, WHO, WIPO, the World Bank, or equivalent government bodies with a verifiable URL; (b) directly relevant to intellectual property, patenting, plant breeding, or the ethics thereof; and (c) available in English. Grey literature, conference papers, trade publications, patents themselves, and non-peer-reviewed opinion pieces were excluded. Book chapters were excluded except where they provided critical methodological or legal context not available in journal form. Classic older papers supplementing the </w:t>
      </w:r>
      <w:r w:rsidRPr="004137AA">
        <w:rPr>
          <w:rFonts w:ascii="Times New Roman" w:eastAsia="Times New Roman" w:hAnsi="Times New Roman" w:cs="Times New Roman"/>
          <w:sz w:val="24"/>
          <w:szCs w:val="24"/>
        </w:rPr>
        <w:lastRenderedPageBreak/>
        <w:t>minimum of 35 peer-reviewed references are included without upper limit, provided their DOIs could be confirmed as live.</w:t>
      </w:r>
    </w:p>
    <w:p w14:paraId="198227EC"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2.3 Screening Workflow and Duplicate Handling</w:t>
      </w:r>
    </w:p>
    <w:p w14:paraId="31423C10"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An initial title and abstract screening was conducted to eliminate irrelevant material; full-text review followed for all records passing this stage. Duplicate records retrieved across multiple databases were de-duplicated by DOI cross-referencing. Every reference included in this review was verified through direct access to its DOI landing page to confirm the accuracy of author names, journal title, volume, pages, year of publication, and DOI string. References whose DOI could not be confirmed as resolving to a live page, or whose metadata could not be independently verified, were discarded regardless of topical relevance.</w:t>
      </w:r>
    </w:p>
    <w:p w14:paraId="5506F58C"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2.4 Rationale for Narrative Review Approach</w:t>
      </w:r>
    </w:p>
    <w:p w14:paraId="0706DD7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 systematic review with meta-analysis was judged inappropriate for this topic on methodological grounds. The body of literature under consideration spans legal scholarship, agricultural economics, moral philosophy, molecular plant biology, and policy analysis — disciplines that employ incommensurable research methodologies and forms of evidence that cannot meaningfully be pooled quantitatively. As Greenhalgh et al. (2018) have argued, narrative reviews serve a complementary and distinct purpose from systematic reviews, providing interpretive synthesis and critical engagement with heterogeneous literatures that resist the constraints of narrow, pre-specified review questions. The breadth of the topic — spanning international treaty law, agronomic science, ethical theory, and political economy — makes a narrative critical review the most appropriate format for generating scholarly insight and identifying cross-disciplinary tensions.</w:t>
      </w:r>
    </w:p>
    <w:p w14:paraId="2D6BF840"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221F820C"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3. Historical Context and Legal Framework</w:t>
      </w:r>
    </w:p>
    <w:p w14:paraId="2DCCD52F"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3.1 The Evolution of Plant-Related Intellectual Property</w:t>
      </w:r>
    </w:p>
    <w:p w14:paraId="261B4936"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legal history of plant intellectual property begins in earnest with the United States Plant Patent Act of 1930, which extended patent protection to asexually reproduced plant varieties. This was followed by the Plant Variety Protection Act of 1970, which provided patent-like protection for sexually reproduced varieties through a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The conceptual watershed came with </w:t>
      </w:r>
      <w:r w:rsidRPr="004137AA">
        <w:rPr>
          <w:rFonts w:ascii="Times New Roman" w:eastAsia="Times New Roman" w:hAnsi="Times New Roman" w:cs="Times New Roman"/>
          <w:i/>
          <w:iCs/>
          <w:sz w:val="24"/>
          <w:szCs w:val="24"/>
        </w:rPr>
        <w:t>Diamond v. Chakrabarty</w:t>
      </w:r>
      <w:r w:rsidRPr="004137AA">
        <w:rPr>
          <w:rFonts w:ascii="Times New Roman" w:eastAsia="Times New Roman" w:hAnsi="Times New Roman" w:cs="Times New Roman"/>
          <w:sz w:val="24"/>
          <w:szCs w:val="24"/>
        </w:rPr>
        <w:t xml:space="preserve"> (1980), in which the US Supreme Court ruled that a human-made, genetically engineered bacterium was patentable as a "manufacture or composition of matter." Although this case concerned a microorganism rather than a plant, its logic rapidly extended to higher plants, culminating in the ruling in </w:t>
      </w:r>
      <w:r w:rsidRPr="004137AA">
        <w:rPr>
          <w:rFonts w:ascii="Times New Roman" w:eastAsia="Times New Roman" w:hAnsi="Times New Roman" w:cs="Times New Roman"/>
          <w:i/>
          <w:iCs/>
          <w:sz w:val="24"/>
          <w:szCs w:val="24"/>
        </w:rPr>
        <w:t>J.E.M. Ag Supply, Inc. v. Pioneer Hi-Bred International, Inc.</w:t>
      </w:r>
      <w:r w:rsidRPr="004137AA">
        <w:rPr>
          <w:rFonts w:ascii="Times New Roman" w:eastAsia="Times New Roman" w:hAnsi="Times New Roman" w:cs="Times New Roman"/>
          <w:sz w:val="24"/>
          <w:szCs w:val="24"/>
        </w:rPr>
        <w:t xml:space="preserve"> (2001), which confirmed that utility patents could be obtained for sexually reproduced seed-bearing plants (Clancy &amp; Moschini, 2017).</w:t>
      </w:r>
    </w:p>
    <w:p w14:paraId="7FD46DF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In Europe, a different and more contested path was taken. The European Patent Convention (EPC) explicitly excludes plant varieties and essentially biological processes for producing plants from patentability under Article 53(b), while EU Directive 98/44/EC on the legal protection of biotechnological inventions sought to clarify that plants characterised by a specific gene insertion could be patented as inventions even if individual plant varieties remained excluded. The resulting legal uncertainty generated a series of high-profile disputes </w:t>
      </w:r>
      <w:r w:rsidRPr="004137AA">
        <w:rPr>
          <w:rFonts w:ascii="Times New Roman" w:eastAsia="Times New Roman" w:hAnsi="Times New Roman" w:cs="Times New Roman"/>
          <w:sz w:val="24"/>
          <w:szCs w:val="24"/>
        </w:rPr>
        <w:lastRenderedPageBreak/>
        <w:t xml:space="preserve">before the Enlarged Board of Appeal of the European Patent Office (EPO), most notably the Broccoli and Tomato cases, whose successive rulings between 2010 and 2020 progressively clarified — though did not fully resolve — the extent of the essentially biological process exclusion (Jiang et al., 2025). The 2020 opinion in </w:t>
      </w:r>
      <w:r w:rsidRPr="004137AA">
        <w:rPr>
          <w:rFonts w:ascii="Times New Roman" w:eastAsia="Times New Roman" w:hAnsi="Times New Roman" w:cs="Times New Roman"/>
          <w:i/>
          <w:iCs/>
          <w:sz w:val="24"/>
          <w:szCs w:val="24"/>
        </w:rPr>
        <w:t>G 3/19</w:t>
      </w:r>
      <w:r w:rsidRPr="004137AA">
        <w:rPr>
          <w:rFonts w:ascii="Times New Roman" w:eastAsia="Times New Roman" w:hAnsi="Times New Roman" w:cs="Times New Roman"/>
          <w:sz w:val="24"/>
          <w:szCs w:val="24"/>
        </w:rPr>
        <w:t xml:space="preserve"> (Pepper) finally established that plants produced exclusively by essentially biological processes are not patentable under the EPC, aligning EPO practice with the position long maintained by the European Commission.</w:t>
      </w:r>
    </w:p>
    <w:p w14:paraId="138C66C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At the international level, the TRIPS Agreement marked a decisive turning point. Its Article 27.3(b) required WTO member states to protect plant varieties through patents, an effective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or some combination of both. Crucially, the Agreement permitted but did not require the exclusion of plants from patentability, leaving states with a degree of flexibility that has been exercised very differently across the world (Wu, 2024;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2014).</w:t>
      </w:r>
    </w:p>
    <w:p w14:paraId="0C50322C"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3.2 The International Legal Architecture</w:t>
      </w:r>
    </w:p>
    <w:p w14:paraId="7BA16CD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architecture governing plant intellectual property is characterised by productive tension among several overlapping international instruments. </w:t>
      </w:r>
      <w:r w:rsidR="00EF698D" w:rsidRPr="004137AA">
        <w:rPr>
          <w:rFonts w:ascii="Times New Roman" w:eastAsia="Times New Roman" w:hAnsi="Times New Roman" w:cs="Times New Roman"/>
          <w:bCs/>
          <w:sz w:val="24"/>
          <w:szCs w:val="24"/>
        </w:rPr>
        <w:t>Table 1</w:t>
      </w:r>
      <w:r w:rsidR="00EF698D" w:rsidRPr="00EF698D">
        <w:rPr>
          <w:rFonts w:ascii="Times New Roman" w:eastAsia="Times New Roman" w:hAnsi="Times New Roman" w:cs="Times New Roman"/>
          <w:bCs/>
          <w:sz w:val="24"/>
          <w:szCs w:val="24"/>
        </w:rPr>
        <w:t xml:space="preserve"> summarizes the principal international instruments governing plant intellectual property.</w:t>
      </w:r>
      <w:r w:rsidR="00EF698D">
        <w:rPr>
          <w:rFonts w:ascii="Times New Roman" w:eastAsia="Times New Roman" w:hAnsi="Times New Roman" w:cs="Times New Roman"/>
          <w:bCs/>
          <w:sz w:val="24"/>
          <w:szCs w:val="24"/>
        </w:rPr>
        <w:t xml:space="preserve"> </w:t>
      </w:r>
      <w:r w:rsidRPr="004137AA">
        <w:rPr>
          <w:rFonts w:ascii="Times New Roman" w:eastAsia="Times New Roman" w:hAnsi="Times New Roman" w:cs="Times New Roman"/>
          <w:sz w:val="24"/>
          <w:szCs w:val="24"/>
        </w:rPr>
        <w:t>The UPOV Convention, now in its 1991 revision, underpins plant breeders' rights in over 75 member states (Yu &amp; Chung, 2021). Under UPOV 1991, a new variety must be distinct, uniform, and stable (DUS) to qualify for protection, and protection lasts a minimum of 20 years (25 for trees and vines). The 1991 Act strengthened breeders' rights compared with the 1978 Act, extending them to harvested material and essentially derived varieties, and significantly restricting the traditional farmer's privilege to save seed for subsequent planting (Lawson, 2023; Yu &amp; Chung, 2021).</w:t>
      </w:r>
      <w:r w:rsidR="00EF698D" w:rsidRPr="00EF698D">
        <w:rPr>
          <w:rFonts w:ascii="Times New Roman" w:eastAsia="Times New Roman" w:hAnsi="Times New Roman" w:cs="Times New Roman"/>
          <w:sz w:val="24"/>
          <w:szCs w:val="24"/>
        </w:rPr>
        <w:t xml:space="preserve"> </w:t>
      </w:r>
    </w:p>
    <w:p w14:paraId="7AD97069"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Alongside UPOV sits the International Treaty on Plant Genetic Resources for Food and Agriculture (ITPGRFA), also known as the Plant Treaty or Seed Treaty, which entered into force in 2004. The ITPGRFA establishes a Multilateral System (MLS) for facilitated access to genetic resources of 64 listed food and forage crops, with benefit-sharing obligations for commercial users. It also recognises Farmers' Rights — including the right to save, use, exchange, and sell farm-saved seed — though the operationalisation of these rights is left to national legislation (Ebert et al., 2023). The relationship between UPOV's increasingly restrictive protection of breeders' rights and the ITPGRFA's recognition of farmers' rights represents one of the central structural tensions in contemporary international plant IP governance.</w:t>
      </w:r>
    </w:p>
    <w:p w14:paraId="02BA532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Convention on Biological Diversity (CBD) and the Nagoya Protocol on Access and Benefit Sharing (2010) add a further layer, recognising state sovereignty over genetic resources and requiring that users of genetic resources obtain prior informed consent and share benefits equitably with provider countries. As Ebert et al. (2023) document, the complexity of navigating these overlapping access and benefit-sharing (ABS) obligations has increased substantially in recent years, sometimes discouraging the very exchanges of plant genetic material that both conservation and plant breeding require. The 2024 WIPO Treaty on Intellectual Property, Genetic Resources and Associated Traditional Knowledge (GRATK Treaty) represents the most recent attempt to integrate these frameworks, introducing mandatory disclosure requirements for patent applicants who rely on genetic resources or traditional knowledge (Perron-Welch, 2025).</w:t>
      </w:r>
    </w:p>
    <w:p w14:paraId="41158F88"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lastRenderedPageBreak/>
        <w:t>Table 1: Principal International Instruments Governing Plant Intellectual Property</w:t>
      </w:r>
    </w:p>
    <w:tbl>
      <w:tblPr>
        <w:tblStyle w:val="TableGrid"/>
        <w:tblW w:w="0" w:type="auto"/>
        <w:tblLook w:val="04A0" w:firstRow="1" w:lastRow="0" w:firstColumn="1" w:lastColumn="0" w:noHBand="0" w:noVBand="1"/>
      </w:tblPr>
      <w:tblGrid>
        <w:gridCol w:w="2014"/>
        <w:gridCol w:w="1463"/>
        <w:gridCol w:w="3674"/>
        <w:gridCol w:w="2091"/>
      </w:tblGrid>
      <w:tr w:rsidR="004137AA" w:rsidRPr="004137AA" w14:paraId="4FFB2A32" w14:textId="77777777" w:rsidTr="00EF698D">
        <w:tc>
          <w:tcPr>
            <w:tcW w:w="0" w:type="auto"/>
            <w:hideMark/>
          </w:tcPr>
          <w:p w14:paraId="7330385C"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Instrument</w:t>
            </w:r>
          </w:p>
        </w:tc>
        <w:tc>
          <w:tcPr>
            <w:tcW w:w="0" w:type="auto"/>
            <w:hideMark/>
          </w:tcPr>
          <w:p w14:paraId="1BEF1E1B"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Adoption Year</w:t>
            </w:r>
          </w:p>
        </w:tc>
        <w:tc>
          <w:tcPr>
            <w:tcW w:w="0" w:type="auto"/>
            <w:hideMark/>
          </w:tcPr>
          <w:p w14:paraId="3F62AEE0"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Principal Provisions</w:t>
            </w:r>
          </w:p>
        </w:tc>
        <w:tc>
          <w:tcPr>
            <w:tcW w:w="0" w:type="auto"/>
            <w:hideMark/>
          </w:tcPr>
          <w:p w14:paraId="47DBA2A3"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Administering Body</w:t>
            </w:r>
          </w:p>
        </w:tc>
      </w:tr>
      <w:tr w:rsidR="004137AA" w:rsidRPr="004137AA" w14:paraId="49A62371" w14:textId="77777777" w:rsidTr="00EF698D">
        <w:tc>
          <w:tcPr>
            <w:tcW w:w="0" w:type="auto"/>
            <w:hideMark/>
          </w:tcPr>
          <w:p w14:paraId="718E97F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UPOV Convention (1991 Act)</w:t>
            </w:r>
          </w:p>
        </w:tc>
        <w:tc>
          <w:tcPr>
            <w:tcW w:w="0" w:type="auto"/>
            <w:hideMark/>
          </w:tcPr>
          <w:p w14:paraId="06694D8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1991</w:t>
            </w:r>
          </w:p>
        </w:tc>
        <w:tc>
          <w:tcPr>
            <w:tcW w:w="0" w:type="auto"/>
            <w:hideMark/>
          </w:tcPr>
          <w:p w14:paraId="10D009B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Plant breeders' rights, DUS criteria, essentially derived variety protection</w:t>
            </w:r>
          </w:p>
        </w:tc>
        <w:tc>
          <w:tcPr>
            <w:tcW w:w="0" w:type="auto"/>
            <w:hideMark/>
          </w:tcPr>
          <w:p w14:paraId="18107005"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UPOV (Geneva)</w:t>
            </w:r>
          </w:p>
        </w:tc>
      </w:tr>
      <w:tr w:rsidR="004137AA" w:rsidRPr="004137AA" w14:paraId="26E1FAFF" w14:textId="77777777" w:rsidTr="00EF698D">
        <w:tc>
          <w:tcPr>
            <w:tcW w:w="0" w:type="auto"/>
            <w:hideMark/>
          </w:tcPr>
          <w:p w14:paraId="05AA85A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TRIPS Agreement, Art. 27.3(b)</w:t>
            </w:r>
          </w:p>
        </w:tc>
        <w:tc>
          <w:tcPr>
            <w:tcW w:w="0" w:type="auto"/>
            <w:hideMark/>
          </w:tcPr>
          <w:p w14:paraId="79D6758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1994</w:t>
            </w:r>
          </w:p>
        </w:tc>
        <w:tc>
          <w:tcPr>
            <w:tcW w:w="0" w:type="auto"/>
            <w:hideMark/>
          </w:tcPr>
          <w:p w14:paraId="3368247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Obligation to protect plant varieties by patents,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or both</w:t>
            </w:r>
          </w:p>
        </w:tc>
        <w:tc>
          <w:tcPr>
            <w:tcW w:w="0" w:type="auto"/>
            <w:hideMark/>
          </w:tcPr>
          <w:p w14:paraId="3D4BFAD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WTO</w:t>
            </w:r>
          </w:p>
        </w:tc>
      </w:tr>
      <w:tr w:rsidR="004137AA" w:rsidRPr="004137AA" w14:paraId="1B6307CB" w14:textId="77777777" w:rsidTr="00EF698D">
        <w:tc>
          <w:tcPr>
            <w:tcW w:w="0" w:type="auto"/>
            <w:hideMark/>
          </w:tcPr>
          <w:p w14:paraId="4666BEA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Convention on Biological Diversity</w:t>
            </w:r>
          </w:p>
        </w:tc>
        <w:tc>
          <w:tcPr>
            <w:tcW w:w="0" w:type="auto"/>
            <w:hideMark/>
          </w:tcPr>
          <w:p w14:paraId="6EAD31CF"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1992</w:t>
            </w:r>
          </w:p>
        </w:tc>
        <w:tc>
          <w:tcPr>
            <w:tcW w:w="0" w:type="auto"/>
            <w:hideMark/>
          </w:tcPr>
          <w:p w14:paraId="055CB8EE"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State sovereignty over genetic resources; access and benefit sharing</w:t>
            </w:r>
          </w:p>
        </w:tc>
        <w:tc>
          <w:tcPr>
            <w:tcW w:w="0" w:type="auto"/>
            <w:hideMark/>
          </w:tcPr>
          <w:p w14:paraId="512F3723"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CBD Secretariat/UNEP</w:t>
            </w:r>
          </w:p>
        </w:tc>
      </w:tr>
      <w:tr w:rsidR="004137AA" w:rsidRPr="004137AA" w14:paraId="6C3E4F27" w14:textId="77777777" w:rsidTr="00EF698D">
        <w:tc>
          <w:tcPr>
            <w:tcW w:w="0" w:type="auto"/>
            <w:hideMark/>
          </w:tcPr>
          <w:p w14:paraId="412EB49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ITPGRFA (Plant Treaty)</w:t>
            </w:r>
          </w:p>
        </w:tc>
        <w:tc>
          <w:tcPr>
            <w:tcW w:w="0" w:type="auto"/>
            <w:hideMark/>
          </w:tcPr>
          <w:p w14:paraId="37D1CC8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2001 (in force 2004)</w:t>
            </w:r>
          </w:p>
        </w:tc>
        <w:tc>
          <w:tcPr>
            <w:tcW w:w="0" w:type="auto"/>
            <w:hideMark/>
          </w:tcPr>
          <w:p w14:paraId="06A05D8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Multilateral system for facilitated access; Farmers' Rights recognition</w:t>
            </w:r>
          </w:p>
        </w:tc>
        <w:tc>
          <w:tcPr>
            <w:tcW w:w="0" w:type="auto"/>
            <w:hideMark/>
          </w:tcPr>
          <w:p w14:paraId="513152B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FAO</w:t>
            </w:r>
          </w:p>
        </w:tc>
      </w:tr>
      <w:tr w:rsidR="004137AA" w:rsidRPr="004137AA" w14:paraId="37A8841E" w14:textId="77777777" w:rsidTr="00EF698D">
        <w:tc>
          <w:tcPr>
            <w:tcW w:w="0" w:type="auto"/>
            <w:hideMark/>
          </w:tcPr>
          <w:p w14:paraId="2D6F78DD"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Nagoya Protocol</w:t>
            </w:r>
          </w:p>
        </w:tc>
        <w:tc>
          <w:tcPr>
            <w:tcW w:w="0" w:type="auto"/>
            <w:hideMark/>
          </w:tcPr>
          <w:p w14:paraId="287C8D2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2010 (in force 2014)</w:t>
            </w:r>
          </w:p>
        </w:tc>
        <w:tc>
          <w:tcPr>
            <w:tcW w:w="0" w:type="auto"/>
            <w:hideMark/>
          </w:tcPr>
          <w:p w14:paraId="4D3EF27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Prior informed consent; equitable benefit sharing; compliance mechanisms</w:t>
            </w:r>
          </w:p>
        </w:tc>
        <w:tc>
          <w:tcPr>
            <w:tcW w:w="0" w:type="auto"/>
            <w:hideMark/>
          </w:tcPr>
          <w:p w14:paraId="02E8CA6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CBD Secretariat</w:t>
            </w:r>
          </w:p>
        </w:tc>
      </w:tr>
      <w:tr w:rsidR="004137AA" w:rsidRPr="004137AA" w14:paraId="1F1CAEF6" w14:textId="77777777" w:rsidTr="00EF698D">
        <w:tc>
          <w:tcPr>
            <w:tcW w:w="0" w:type="auto"/>
            <w:hideMark/>
          </w:tcPr>
          <w:p w14:paraId="56E1321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WIPO GRATK Treaty</w:t>
            </w:r>
          </w:p>
        </w:tc>
        <w:tc>
          <w:tcPr>
            <w:tcW w:w="0" w:type="auto"/>
            <w:hideMark/>
          </w:tcPr>
          <w:p w14:paraId="184A856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2024</w:t>
            </w:r>
          </w:p>
        </w:tc>
        <w:tc>
          <w:tcPr>
            <w:tcW w:w="0" w:type="auto"/>
            <w:hideMark/>
          </w:tcPr>
          <w:p w14:paraId="7DEB8D7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Mandatory disclosure of genetic resource and traditional knowledge origin in patent applications</w:t>
            </w:r>
          </w:p>
        </w:tc>
        <w:tc>
          <w:tcPr>
            <w:tcW w:w="0" w:type="auto"/>
            <w:hideMark/>
          </w:tcPr>
          <w:p w14:paraId="509FD78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WIPO</w:t>
            </w:r>
          </w:p>
        </w:tc>
      </w:tr>
    </w:tbl>
    <w:p w14:paraId="2A70E770"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Sources: Lawson (2023); Wu (2024); Ebert et al. (2023); Perron-Welch (2025); Wynberg et al. (2021).</w:t>
      </w:r>
    </w:p>
    <w:p w14:paraId="486B85E2"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5FFC12E8"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4. Patentability of Plant Biotechnology Innovations</w:t>
      </w:r>
    </w:p>
    <w:p w14:paraId="646E2605"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4.1 Patentable Subject Matter in Plant Biotechnology</w:t>
      </w:r>
    </w:p>
    <w:p w14:paraId="70B5828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scope of patentable subject matter in plant biotechnology has expanded considerably over the past four decades. In most jurisdictions, patents may be obtained for: isolated gene sequences and their functional applications; transgenic plants containing foreign DNA constructs; biological vectors used in plant transformation; methods of plant transformation; molecular markers and marker-assisted selection tools; herbicide-tolerance and insect-resistance traits; and, in many countries, plant varieties themselves where utility patent regimes apply (Smulders et al., 2021; Clancy &amp; Moschini, 2017). The result is a dense and layered system of overlapping protections in which any given commercial seed product may be covered by numerous patents, each requiring licensing agreements and freedom-to-operate analyses before use.</w:t>
      </w:r>
    </w:p>
    <w:p w14:paraId="7E5E5B46"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coexistence of patents and PVRs on the same plant material has been a persistent source of complexity. In principle, PVRs provide the primary form of protection for new varieties, while patents protect the underlying technical innovations — genetic traits, transformation methods, marker systems — that may be incorporated into many varieties simultaneously. In practice, however, this division is not cleanly maintained. The US Supreme Court's ruling in </w:t>
      </w:r>
      <w:r w:rsidRPr="004137AA">
        <w:rPr>
          <w:rFonts w:ascii="Times New Roman" w:eastAsia="Times New Roman" w:hAnsi="Times New Roman" w:cs="Times New Roman"/>
          <w:i/>
          <w:iCs/>
          <w:sz w:val="24"/>
          <w:szCs w:val="24"/>
        </w:rPr>
        <w:t>J.E.M. Ag Supply</w:t>
      </w:r>
      <w:r w:rsidRPr="004137AA">
        <w:rPr>
          <w:rFonts w:ascii="Times New Roman" w:eastAsia="Times New Roman" w:hAnsi="Times New Roman" w:cs="Times New Roman"/>
          <w:sz w:val="24"/>
          <w:szCs w:val="24"/>
        </w:rPr>
        <w:t xml:space="preserve"> confirmed that the same corn hybrid could be simultaneously protected by a utility patent and a Plant Variety Protection certificate, creating what critics have </w:t>
      </w:r>
      <w:r w:rsidRPr="004137AA">
        <w:rPr>
          <w:rFonts w:ascii="Times New Roman" w:eastAsia="Times New Roman" w:hAnsi="Times New Roman" w:cs="Times New Roman"/>
          <w:sz w:val="24"/>
          <w:szCs w:val="24"/>
        </w:rPr>
        <w:lastRenderedPageBreak/>
        <w:t>characterised as layered proprietary protection that can make it extremely difficult for third parties to breed independently (Howard, 2015; Lukasiewicz et al., 2024).</w:t>
      </w:r>
    </w:p>
    <w:p w14:paraId="04E0769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patent system interacts with PVRs through the breeder's exemption and the research exemption, both of which allow some use of protected material for non-commercial purposes. Under UPOV PVRs, the breeder's exemption is broad: a variety protected by PVR may be freely used as germplasm to develop a new variety, and the new variety may be commercialised without payment to the original holder, unless it constitutes an essentially derived variety (EDV) of the original (Bostyn, 2021). Under patent law, however, the research exemption is considerably narrower in most jurisdictions — permitting use of patented material for experimental purposes but not for commercial breeding or variety development (Lukasiewicz et al., 2024). The practical implication is that the shift from PVR to patent protection as the dominant form of seed IP simultaneously curtails the breeder's freedom to use protected materials as inputs for further innovation.</w:t>
      </w:r>
    </w:p>
    <w:p w14:paraId="3232DA9F"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4.2 Novel Breeding Technologies and Patent Complexity</w:t>
      </w:r>
    </w:p>
    <w:p w14:paraId="63F9D615"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emergence of site-directed nuclease technologies, and particularly CRISPR-Cas systems, has introduced a new dimension of patent complexity in plant biotechnology. CRISPR-Cas9 genome editing enables precise, targeted modifications to plant DNA with unprecedented ease and efficiency, substantially reducing the cost of developing novel trait combinations and accelerating the timeline from research to commercial variety (Yin et al., 2017; Bartkowski et al., 2018). The technology's scientific power has been matched, however, by an intense contest for foundational IP rights.</w:t>
      </w:r>
    </w:p>
    <w:p w14:paraId="0296D90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patent landscape for CRISPR in plant applications is characterised by what commentators have called a "patent thicket" — a dense web of overlapping claims that complicates freedom to operate for both public-sector researchers and smaller private breeders (Kock, 2021; Glenna, 2023). </w:t>
      </w:r>
      <w:r w:rsidR="00EF698D" w:rsidRPr="00EF698D">
        <w:rPr>
          <w:rFonts w:ascii="Times New Roman" w:eastAsia="Times New Roman" w:hAnsi="Times New Roman" w:cs="Times New Roman"/>
          <w:sz w:val="24"/>
          <w:szCs w:val="24"/>
        </w:rPr>
        <w:t xml:space="preserve">Idris </w:t>
      </w:r>
      <w:r w:rsidRPr="004137AA">
        <w:rPr>
          <w:rFonts w:ascii="Times New Roman" w:eastAsia="Times New Roman" w:hAnsi="Times New Roman" w:cs="Times New Roman"/>
          <w:sz w:val="24"/>
          <w:szCs w:val="24"/>
        </w:rPr>
        <w:t>(2023) identifies CRISPR-related intellectual property restrictions as among the most significant legal barriers to the adoption of gene editing in plant improvement, particularly in developing countries where licensing fees may be prohibitive. Glenna (2023), drawing on interviews with German plant scientists, found that many researchers perceived existing IP policies as impeding collaboration, restricting access to foundational technologies, and creating uncertainty about whether their gene-edited materials would be eligible for commercialisation. This concern is particularly acute for public-sector breeders whose mandate is to serve smallholder farmers and low-income consumers who are not attractive markets for the transnational corporations that hold the most valuable patents.</w:t>
      </w:r>
    </w:p>
    <w:p w14:paraId="701146A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question of how gene-edited plants should be classified for regulatory purposes has become entangled with patent questions in ways that differ markedly across jurisdictions. In the United States, CRISPR edits that do not introduce foreign DNA may escape GMO regulation while still being subject to patent protection. In the European Union, the 2018 Court of Justice ruling in </w:t>
      </w:r>
      <w:proofErr w:type="spellStart"/>
      <w:r w:rsidRPr="004137AA">
        <w:rPr>
          <w:rFonts w:ascii="Times New Roman" w:eastAsia="Times New Roman" w:hAnsi="Times New Roman" w:cs="Times New Roman"/>
          <w:i/>
          <w:iCs/>
          <w:sz w:val="24"/>
          <w:szCs w:val="24"/>
        </w:rPr>
        <w:t>Confédération</w:t>
      </w:r>
      <w:proofErr w:type="spellEnd"/>
      <w:r w:rsidRPr="004137AA">
        <w:rPr>
          <w:rFonts w:ascii="Times New Roman" w:eastAsia="Times New Roman" w:hAnsi="Times New Roman" w:cs="Times New Roman"/>
          <w:i/>
          <w:iCs/>
          <w:sz w:val="24"/>
          <w:szCs w:val="24"/>
        </w:rPr>
        <w:t xml:space="preserve"> </w:t>
      </w:r>
      <w:proofErr w:type="spellStart"/>
      <w:r w:rsidRPr="004137AA">
        <w:rPr>
          <w:rFonts w:ascii="Times New Roman" w:eastAsia="Times New Roman" w:hAnsi="Times New Roman" w:cs="Times New Roman"/>
          <w:i/>
          <w:iCs/>
          <w:sz w:val="24"/>
          <w:szCs w:val="24"/>
        </w:rPr>
        <w:t>paysanne</w:t>
      </w:r>
      <w:proofErr w:type="spellEnd"/>
      <w:r w:rsidRPr="004137AA">
        <w:rPr>
          <w:rFonts w:ascii="Times New Roman" w:eastAsia="Times New Roman" w:hAnsi="Times New Roman" w:cs="Times New Roman"/>
          <w:i/>
          <w:iCs/>
          <w:sz w:val="24"/>
          <w:szCs w:val="24"/>
        </w:rPr>
        <w:t xml:space="preserve"> v. Premier </w:t>
      </w:r>
      <w:proofErr w:type="spellStart"/>
      <w:r w:rsidRPr="004137AA">
        <w:rPr>
          <w:rFonts w:ascii="Times New Roman" w:eastAsia="Times New Roman" w:hAnsi="Times New Roman" w:cs="Times New Roman"/>
          <w:i/>
          <w:iCs/>
          <w:sz w:val="24"/>
          <w:szCs w:val="24"/>
        </w:rPr>
        <w:t>ministre</w:t>
      </w:r>
      <w:proofErr w:type="spellEnd"/>
      <w:r w:rsidRPr="004137AA">
        <w:rPr>
          <w:rFonts w:ascii="Times New Roman" w:eastAsia="Times New Roman" w:hAnsi="Times New Roman" w:cs="Times New Roman"/>
          <w:sz w:val="24"/>
          <w:szCs w:val="24"/>
        </w:rPr>
        <w:t xml:space="preserve"> (Case C-528/16) placed gene-edited organisms under the existing GMO Directive, but the European Commission's 2023 Proposal for a Regulation on New Genomic Techniques (NGTs) reflected growing pressure to establish a differentiated regulatory framework — one in which the patentability of NGT plants has become one of the most contested political questions (Lukasiewicz et al., 2024; Jiang et al., 2025).</w:t>
      </w:r>
    </w:p>
    <w:p w14:paraId="61D11FDB"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lastRenderedPageBreak/>
        <w:t>4.3 The Essentially Biological Processes Exclusion in Europe</w:t>
      </w:r>
    </w:p>
    <w:p w14:paraId="2EC01091"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Europe's approach to plant patents has been heavily shaped by the EPC's exclusion of essentially biological processes and its application in the high-profile Broccoli and Tomato case series. The history of these rulings is instructive about the difficulty of maintaining coherent patent law in a field where the boundary between natural processes and technical invention is intrinsically blurred. As Jiang et al. (2025) summarise, the Enlarged Board of Appeal rulings G 2/12 (Tomato II) and G 2/13 (Broccoli II) in 2015 held that plant products obtained by essentially biological processes could themselves be patented even if the process was excluded, a conclusion that was subsequently overturned by the EPO's Administrative Council through an amendment to Rule 28 and eventually settled by the Enlarged Board of Appeal in G 3/19 (Pepper) in 2020, which confirmed that plants produced exclusively by essentially biological processes are not patentable.</w:t>
      </w:r>
    </w:p>
    <w:p w14:paraId="194855C2"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What these cases demonstrate is that the contours of plant patent protection are not determined purely by statutory text but are continuously reconstructed through institutional contest and strategic litigation. The ongoing NGT regulation debate in the European Union illustrates the same dynamic in a new register. The European Parliament's first-reading position, adopted in February 2024, proposed a complete ban on patents for NGT plants, while the compromise text agreed in late 2025 took a more nuanced approach, permitting patents on NGT plants but excluding those whose traits occur naturally or are derived by biological means — an approach intended to prevent patents on conventional traits whilst preserving incentives for technological innovation (Jiang et al., 2025; Lukasiewicz et al., 2024).</w:t>
      </w:r>
      <w:r w:rsidR="00EF698D">
        <w:rPr>
          <w:rFonts w:ascii="Times New Roman" w:eastAsia="Times New Roman" w:hAnsi="Times New Roman" w:cs="Times New Roman"/>
          <w:sz w:val="24"/>
          <w:szCs w:val="24"/>
        </w:rPr>
        <w:t xml:space="preserve"> Table 2 summarizes different </w:t>
      </w:r>
      <w:r w:rsidR="00EF698D" w:rsidRPr="00EF698D">
        <w:rPr>
          <w:rFonts w:ascii="Times New Roman" w:eastAsia="Times New Roman" w:hAnsi="Times New Roman" w:cs="Times New Roman"/>
          <w:bCs/>
          <w:sz w:val="24"/>
          <w:szCs w:val="24"/>
        </w:rPr>
        <w:t>categories of plant biotechnology innovation and their patentability status across key jurisdictions</w:t>
      </w:r>
      <w:r w:rsidR="00EF698D">
        <w:rPr>
          <w:rFonts w:ascii="Times New Roman" w:eastAsia="Times New Roman" w:hAnsi="Times New Roman" w:cs="Times New Roman"/>
          <w:bCs/>
          <w:sz w:val="24"/>
          <w:szCs w:val="24"/>
        </w:rPr>
        <w:t>.</w:t>
      </w:r>
    </w:p>
    <w:p w14:paraId="070EA71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2: Categories of Plant Biotechnology Innovation and Their Patentability Status Across Key Jurisdictions</w:t>
      </w:r>
    </w:p>
    <w:tbl>
      <w:tblPr>
        <w:tblStyle w:val="TableGrid"/>
        <w:tblW w:w="0" w:type="auto"/>
        <w:tblLook w:val="04A0" w:firstRow="1" w:lastRow="0" w:firstColumn="1" w:lastColumn="0" w:noHBand="0" w:noVBand="1"/>
      </w:tblPr>
      <w:tblGrid>
        <w:gridCol w:w="2348"/>
        <w:gridCol w:w="2136"/>
        <w:gridCol w:w="2557"/>
        <w:gridCol w:w="2201"/>
      </w:tblGrid>
      <w:tr w:rsidR="004137AA" w:rsidRPr="004137AA" w14:paraId="272C3AC9" w14:textId="77777777" w:rsidTr="00EF698D">
        <w:tc>
          <w:tcPr>
            <w:tcW w:w="0" w:type="auto"/>
            <w:hideMark/>
          </w:tcPr>
          <w:p w14:paraId="582D700D"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Innovation Category</w:t>
            </w:r>
          </w:p>
        </w:tc>
        <w:tc>
          <w:tcPr>
            <w:tcW w:w="0" w:type="auto"/>
            <w:hideMark/>
          </w:tcPr>
          <w:p w14:paraId="62309A3B"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USA</w:t>
            </w:r>
          </w:p>
        </w:tc>
        <w:tc>
          <w:tcPr>
            <w:tcW w:w="0" w:type="auto"/>
            <w:hideMark/>
          </w:tcPr>
          <w:p w14:paraId="7D99BEC5"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EU (EPC)</w:t>
            </w:r>
          </w:p>
        </w:tc>
        <w:tc>
          <w:tcPr>
            <w:tcW w:w="0" w:type="auto"/>
            <w:hideMark/>
          </w:tcPr>
          <w:p w14:paraId="0E3876A4"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Developing Countries (TRIPS-Compliant)</w:t>
            </w:r>
          </w:p>
        </w:tc>
      </w:tr>
      <w:tr w:rsidR="004137AA" w:rsidRPr="004137AA" w14:paraId="4DCC55D5" w14:textId="77777777" w:rsidTr="00EF698D">
        <w:tc>
          <w:tcPr>
            <w:tcW w:w="0" w:type="auto"/>
            <w:hideMark/>
          </w:tcPr>
          <w:p w14:paraId="66D7F64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Transgenic plants (novel trait insertion)</w:t>
            </w:r>
          </w:p>
        </w:tc>
        <w:tc>
          <w:tcPr>
            <w:tcW w:w="0" w:type="auto"/>
            <w:hideMark/>
          </w:tcPr>
          <w:p w14:paraId="060EEF2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(utility patent)</w:t>
            </w:r>
          </w:p>
        </w:tc>
        <w:tc>
          <w:tcPr>
            <w:tcW w:w="0" w:type="auto"/>
            <w:hideMark/>
          </w:tcPr>
          <w:p w14:paraId="05F9BFAE"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(not "variety")</w:t>
            </w:r>
          </w:p>
        </w:tc>
        <w:tc>
          <w:tcPr>
            <w:tcW w:w="0" w:type="auto"/>
            <w:hideMark/>
          </w:tcPr>
          <w:p w14:paraId="593B2A23"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 many exclude plants</w:t>
            </w:r>
          </w:p>
        </w:tc>
      </w:tr>
      <w:tr w:rsidR="004137AA" w:rsidRPr="004137AA" w14:paraId="3F687B4E" w14:textId="77777777" w:rsidTr="00EF698D">
        <w:tc>
          <w:tcPr>
            <w:tcW w:w="0" w:type="auto"/>
            <w:hideMark/>
          </w:tcPr>
          <w:p w14:paraId="3305B36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Plant varieties </w:t>
            </w:r>
            <w:r w:rsidRPr="004137AA">
              <w:rPr>
                <w:rFonts w:ascii="Times New Roman" w:eastAsia="Times New Roman" w:hAnsi="Times New Roman" w:cs="Times New Roman"/>
                <w:i/>
                <w:iCs/>
                <w:sz w:val="24"/>
                <w:szCs w:val="24"/>
              </w:rPr>
              <w:t>per se</w:t>
            </w:r>
          </w:p>
        </w:tc>
        <w:tc>
          <w:tcPr>
            <w:tcW w:w="0" w:type="auto"/>
            <w:hideMark/>
          </w:tcPr>
          <w:p w14:paraId="7CC06D4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(utility patent); PVP also available</w:t>
            </w:r>
          </w:p>
        </w:tc>
        <w:tc>
          <w:tcPr>
            <w:tcW w:w="0" w:type="auto"/>
            <w:hideMark/>
          </w:tcPr>
          <w:p w14:paraId="7D2C339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Excluded from patents; PVR available</w:t>
            </w:r>
          </w:p>
        </w:tc>
        <w:tc>
          <w:tcPr>
            <w:tcW w:w="0" w:type="auto"/>
            <w:hideMark/>
          </w:tcPr>
          <w:p w14:paraId="23C45E75"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PVP generally required</w:t>
            </w:r>
          </w:p>
        </w:tc>
      </w:tr>
      <w:tr w:rsidR="004137AA" w:rsidRPr="004137AA" w14:paraId="239154C2" w14:textId="77777777" w:rsidTr="00EF698D">
        <w:tc>
          <w:tcPr>
            <w:tcW w:w="0" w:type="auto"/>
            <w:hideMark/>
          </w:tcPr>
          <w:p w14:paraId="264F4025"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Essentially biological processes (crossing, selection)</w:t>
            </w:r>
          </w:p>
        </w:tc>
        <w:tc>
          <w:tcPr>
            <w:tcW w:w="0" w:type="auto"/>
            <w:hideMark/>
          </w:tcPr>
          <w:p w14:paraId="495C98FE"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w:t>
            </w:r>
          </w:p>
        </w:tc>
        <w:tc>
          <w:tcPr>
            <w:tcW w:w="0" w:type="auto"/>
            <w:hideMark/>
          </w:tcPr>
          <w:p w14:paraId="0066220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Excluded (EPC Art. 53(b))</w:t>
            </w:r>
          </w:p>
        </w:tc>
        <w:tc>
          <w:tcPr>
            <w:tcW w:w="0" w:type="auto"/>
            <w:hideMark/>
          </w:tcPr>
          <w:p w14:paraId="6934A456"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r w:rsidR="004137AA" w:rsidRPr="004137AA" w14:paraId="47E9C6B5" w14:textId="77777777" w:rsidTr="00EF698D">
        <w:tc>
          <w:tcPr>
            <w:tcW w:w="0" w:type="auto"/>
            <w:hideMark/>
          </w:tcPr>
          <w:p w14:paraId="196D4C5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CRISPR-edited plants (no foreign DNA)</w:t>
            </w:r>
          </w:p>
        </w:tc>
        <w:tc>
          <w:tcPr>
            <w:tcW w:w="0" w:type="auto"/>
            <w:hideMark/>
          </w:tcPr>
          <w:p w14:paraId="1116E32D"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no GMO regulation</w:t>
            </w:r>
          </w:p>
        </w:tc>
        <w:tc>
          <w:tcPr>
            <w:tcW w:w="0" w:type="auto"/>
            <w:hideMark/>
          </w:tcPr>
          <w:p w14:paraId="3615FDF4"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Contested; under GMO Directive pending NGT Regulation</w:t>
            </w:r>
          </w:p>
        </w:tc>
        <w:tc>
          <w:tcPr>
            <w:tcW w:w="0" w:type="auto"/>
            <w:hideMark/>
          </w:tcPr>
          <w:p w14:paraId="04BC53D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 many treat as GM</w:t>
            </w:r>
          </w:p>
        </w:tc>
      </w:tr>
      <w:tr w:rsidR="004137AA" w:rsidRPr="004137AA" w14:paraId="5EA049EB" w14:textId="77777777" w:rsidTr="00EF698D">
        <w:tc>
          <w:tcPr>
            <w:tcW w:w="0" w:type="auto"/>
            <w:hideMark/>
          </w:tcPr>
          <w:p w14:paraId="6E78F8E6"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Isolated gene sequences / DNA</w:t>
            </w:r>
          </w:p>
        </w:tc>
        <w:tc>
          <w:tcPr>
            <w:tcW w:w="0" w:type="auto"/>
            <w:hideMark/>
          </w:tcPr>
          <w:p w14:paraId="31F18604"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(post-AIA limits)</w:t>
            </w:r>
          </w:p>
        </w:tc>
        <w:tc>
          <w:tcPr>
            <w:tcW w:w="0" w:type="auto"/>
            <w:hideMark/>
          </w:tcPr>
          <w:p w14:paraId="19AF280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if technical function shown</w:t>
            </w:r>
          </w:p>
        </w:tc>
        <w:tc>
          <w:tcPr>
            <w:tcW w:w="0" w:type="auto"/>
            <w:hideMark/>
          </w:tcPr>
          <w:p w14:paraId="6F9FC047"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r w:rsidR="004137AA" w:rsidRPr="004137AA" w14:paraId="1337B002" w14:textId="77777777" w:rsidTr="00EF698D">
        <w:tc>
          <w:tcPr>
            <w:tcW w:w="0" w:type="auto"/>
            <w:hideMark/>
          </w:tcPr>
          <w:p w14:paraId="4640AC64"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Molecular markers and breeding methods</w:t>
            </w:r>
          </w:p>
        </w:tc>
        <w:tc>
          <w:tcPr>
            <w:tcW w:w="0" w:type="auto"/>
            <w:hideMark/>
          </w:tcPr>
          <w:p w14:paraId="3A22410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w:t>
            </w:r>
          </w:p>
        </w:tc>
        <w:tc>
          <w:tcPr>
            <w:tcW w:w="0" w:type="auto"/>
            <w:hideMark/>
          </w:tcPr>
          <w:p w14:paraId="4F24CAE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if technical contribution</w:t>
            </w:r>
          </w:p>
        </w:tc>
        <w:tc>
          <w:tcPr>
            <w:tcW w:w="0" w:type="auto"/>
            <w:hideMark/>
          </w:tcPr>
          <w:p w14:paraId="518916A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bl>
    <w:p w14:paraId="5A68094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Sources: Smulders et al. (2021); Lukasiewicz et al. (2024); Jiang et al. (2025); Wu (2024).</w:t>
      </w:r>
    </w:p>
    <w:p w14:paraId="6439C13D"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16B71B14"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5. Plant Variety Rights and Their Relationship to Patents</w:t>
      </w:r>
    </w:p>
    <w:p w14:paraId="0996808C"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5.1 The UPOV System</w:t>
      </w:r>
    </w:p>
    <w:p w14:paraId="6DCE29C3"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UPOV system provides a model of IPR for plant varieties that is deliberately calibrated to the biological realities of plant breeding — specifically the fact that plant varieties, unlike chemical compounds or mechanical devices, reproduce themselves and can be reverse-engineered by observing phenotypic characteristics. To qualify for protection under UPOV 1991, a variety must be distinct from existing varieties, sufficiently uniform across its constituent plants, and stable across reproductive cycles. Protection lasts at least 20 years (25 for trees and vines), and the holder obtains exclusive rights over the production, offering for sale, selling, exporting, importing, and stocking of reproductive material of the protected variety (Yu &amp; Chung, 2021; Lawson, 2023).</w:t>
      </w:r>
    </w:p>
    <w:p w14:paraId="192512CE"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UPOV system incorporates two fundamental exceptions that distinguish PVRs from patents. The breeder's exemption allows any breeder to freely use a protected variety as crossing material to develop a new variety, and to commercialise that variety, provided it is sufficiently distinct from the protected original. The farmer's privilege allows farmers to save seed of a protected variety from their own harvest for replanting on their own holding, subject to certain conditions and possible royalty obligations under UPOV 1991 (Lawson, 2023). Both exemptions reflect recognition that plant breeding is an inherently cumulative enterprise in which any restriction on access to existing germplasm risks creating an "anti-commons" that impedes follow-on innovation (Kock, 2021).</w:t>
      </w:r>
    </w:p>
    <w:p w14:paraId="3E4F3124"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Yang et al. (2021) have highlighted a growing tension between the DUS testing system and the realities of modern molecular plant breeding, noting that the distinctness criterion, which relies primarily on observable morphological characteristics, may be inadequate for reliably distinguishing varieties that differ principally at the molecular level. As NGTs enable the introduction of precise, individually imperceptible genetic changes, the adequacy of conventional DUS testing becomes increasingly uncertain. Yang et al. (2021) propose integrating genomic marker data into distinctness assessments, a reform that would require amendments to UPOV guidelines and national implementing regulations.</w:t>
      </w:r>
    </w:p>
    <w:p w14:paraId="7F1D16C7"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5.2 The Breeder's Exemption and Essentially Derived Varieties</w:t>
      </w:r>
    </w:p>
    <w:p w14:paraId="19FFD54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concept of essentially derived varieties (EDVs), introduced in UPOV 1991, was designed to prevent free-riding on the original breeder's investment by making it impermissible to commercialise a variety that is predominantly derived from a protected original without a licence from that original holder. Under Article 14(5) of UPOV 1991, an EDV must be predominantly derived from the initial variety, clearly distinguishable from it, and conform to the initial variety in essential characteristics. The concept was controversial from the outset, because determining what constitutes "predominantly derived" is inherently complex, particularly in the context of marker-assisted backcrossing and gene editing, which can introduce minute changes while retaining the overwhelming genomic background of an existing variety (Bostyn, 2021).</w:t>
      </w:r>
    </w:p>
    <w:p w14:paraId="06A6619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Bostyn (2021) has argued persuasively that the current EDV framework is inadequate for the era of NGTs, because a single nucleotide change introduced by CRISPR could, in principle, </w:t>
      </w:r>
      <w:r w:rsidRPr="004137AA">
        <w:rPr>
          <w:rFonts w:ascii="Times New Roman" w:eastAsia="Times New Roman" w:hAnsi="Times New Roman" w:cs="Times New Roman"/>
          <w:sz w:val="24"/>
          <w:szCs w:val="24"/>
        </w:rPr>
        <w:lastRenderedPageBreak/>
        <w:t>render an existing variety essentially derived from a protected original, significantly undermining the breeder's exemption that has historically been central to cumulative plant breeding. Bostyn proposes a quantitative genomic similarity threshold for determining EDV status, a solution that would require revision of the UPOV 1991 Act — a politically complex undertaking given the diverse interests of UPOV member states. The tension between protecting the investments of original breeders and preserving the cumulative innovation that has historically characterised plant breeding is thus sharpened rather than resolved by the advent of precision editing technologies.</w:t>
      </w:r>
    </w:p>
    <w:p w14:paraId="37FB5C76"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5.3 TRIPS Article 27.3(b) and Developing Countries</w:t>
      </w:r>
    </w:p>
    <w:p w14:paraId="4116FCF3"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flexibility afforded to developing countries by TRIPS Article 27.3(b) has been extensively debated since the Agreement's adoption. The provision requires member states to provide effective protection for plant varieties but leaves open whether this protection takes the form of patents, an effective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or both. This flexibility was understood, at the time of negotiation, to permit developing countries to adopt regimes that balance breeders' rights against farmers' rights and food security objectives. In practice, however, the flexibility has been constrained by two forces: the pressure of TRIPS-plus bilateral trade agreements, which frequently require signatory developing countries to adopt UPOV 1991; and the lack of institutional capacity in many developing countries to design and implement truly differentiated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regimes.</w:t>
      </w:r>
    </w:p>
    <w:p w14:paraId="29F2C734"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India's Protection of Plant Varieties and Farmers' Rights (PPVFR) Act of 2001 represents the most developed attempt to create an alternative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model that explicitly recognises and protects farmers' rights alongside breeders' rights. Wu (2024) has conducted a comparative textual analysis demonstrating that, when assessed against the Sustainable Development Goals, India's model scores considerably more favourably than UPOV 1991, particularly on dimensions of food security, biodiversity conservation, and equitable benefit sharing. The UPOV model, Wu argues, prioritises commercial breeding interests over broader social objectives in ways that may be particularly disadvantageous for the farming communities of the Global South, where smallholder agriculture remains economically and culturally central.</w:t>
      </w:r>
    </w:p>
    <w:p w14:paraId="61D0CFF5"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22C6E171"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6. Corporate Concentration, Patent Thickets, and Market Power</w:t>
      </w:r>
    </w:p>
    <w:p w14:paraId="42C3740F"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6.1 The Seed Industry Consolidation</w:t>
      </w:r>
    </w:p>
    <w:p w14:paraId="5F482C4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relationship between the expansion of intellectual property protections for plant innovations and the consolidation of the commercial seed industry is one of the most thoroughly documented and contested aspects of contemporary agricultural political economy. Howard (2015) traced how the introduction of patent-like protections for certain seed types in 1970 and the subsequent commercialisation of fully patent-protected transgenic seeds in the 1990s catalysed successive waves of merger and acquisition activity, transforming a sector that had comprised thousands of competing independent firms in the mid-twentieth century into one dominated by a handful of transnational corporations. Clancy and Moschini (2017) demonstrate that the strengthening of IPRs over the same period was associated with a shift of agricultural innovation from the public to the private sector, and </w:t>
      </w:r>
      <w:r w:rsidRPr="004137AA">
        <w:rPr>
          <w:rFonts w:ascii="Times New Roman" w:eastAsia="Times New Roman" w:hAnsi="Times New Roman" w:cs="Times New Roman"/>
          <w:sz w:val="24"/>
          <w:szCs w:val="24"/>
        </w:rPr>
        <w:lastRenderedPageBreak/>
        <w:t>with a concentration of research and development expenditure in proprietary crop varieties designed for commercial, mechanised farming systems.</w:t>
      </w:r>
    </w:p>
    <w:p w14:paraId="6ED78EE9"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most dramatic phase of consolidation occurred between 2015 and 2018, when a series of mega-mergers reduced the "Big Six" global agrochemical and seed corporations to a "Big Four": Bayer (which acquired Monsanto), Corteva Agriscience (formed from the merger of Dow Chemical and DuPont's agricultural divisions), Syngenta (acquired by ChemChina), and BASF. The United States Department of Agriculture's Economic Research Service subsequently reported that by 2018–2020, Bayer and Corteva together controlled 72 per cent of planted corn acres and 66 per cent of planted soybean acres in the United States, with the top four firms controlling approximately 84 per cent and 78 per cent of those markets respectively (USDA ERS, 2023). These figures represent a marked intensification of the concentration trends that Howard (2015) and Clancy and Moschini (2017) had documented in earlier periods.</w:t>
      </w:r>
    </w:p>
    <w:p w14:paraId="5E9268CB"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6.2 Patent Thickets, Licensing Costs, and Freedom to Operate</w:t>
      </w:r>
    </w:p>
    <w:p w14:paraId="31CB202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concentration of patent portfolios in a small number of firms has created what competition economists call "patent thickets" — dense webs of overlapping intellectual property rights that impose substantial transaction costs on anyone seeking to develop new varieties using protected traits or technologies. Kock (2021) examines the dimensions of this problem in the context of new breeding technologies, arguing that the convergence of multiple patent estates covering CRISPR tools, target genes, trait improvements, and specific variety backgrounds creates an environment of acute legal uncertainty that disproportionately disadvantages public-sector breeders, small and medium-sized seed companies, and researchers in developing countries who lack the legal expertise and financial resources to navigate freedom-to-operate analyses.</w:t>
      </w:r>
    </w:p>
    <w:p w14:paraId="589DE51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Smulders et al. (2021) note that intellectual property systems in plant breeding, originally designed to incentivise innovation, have increasingly been used by dominant market actors as instruments of market foreclosure — preventing competitors from accessing enabling technologies and consolidating control over germplasm development pipelines. The problem is compounded by the fact that patents, unlike PVRs, do not contain a full breeder's exemption; commercial plant breeders who wish to use a patented trait in their varieties must obtain a licence from the patent holder, who may decline to grant it or impose onerous conditions (Lukasiewicz et al., 2024; </w:t>
      </w: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w:t>
      </w: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have also noted that when patents on first-generation transgenic events expire, regulatory data requirements for demonstrating the safety of genetically modified plants effectively recreate barriers to generic competition, because no generic seed developer can afford to replicate the extensive safety dossier compiled by the original patent holder.</w:t>
      </w:r>
    </w:p>
    <w:p w14:paraId="3C6A8A88" w14:textId="77777777" w:rsidR="00E55C68" w:rsidRPr="004137AA" w:rsidRDefault="004137AA" w:rsidP="00E55C68">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Glenna (2023) provides qualitative evidence from public plant scientists in Germany that these systemic pressures have begun to redirect public research investment away from applied plant improvement towards basic genomic science, where freedom to operate is less constrained — a reorientation that may ultimately serve the interests of the private sector, which can draw on publicly funded genomic knowledge as a basis for proprietary product development.</w:t>
      </w:r>
      <w:r w:rsidR="00E55C68">
        <w:rPr>
          <w:rFonts w:ascii="Times New Roman" w:eastAsia="Times New Roman" w:hAnsi="Times New Roman" w:cs="Times New Roman"/>
          <w:sz w:val="24"/>
          <w:szCs w:val="24"/>
        </w:rPr>
        <w:t xml:space="preserve"> </w:t>
      </w:r>
      <w:r w:rsidR="00E55C68" w:rsidRPr="004137AA">
        <w:rPr>
          <w:rFonts w:ascii="Times New Roman" w:eastAsia="Times New Roman" w:hAnsi="Times New Roman" w:cs="Times New Roman"/>
          <w:bCs/>
          <w:sz w:val="24"/>
          <w:szCs w:val="24"/>
        </w:rPr>
        <w:t>Table 3</w:t>
      </w:r>
      <w:r w:rsidR="00E55C68">
        <w:rPr>
          <w:rFonts w:ascii="Times New Roman" w:eastAsia="Times New Roman" w:hAnsi="Times New Roman" w:cs="Times New Roman"/>
          <w:b/>
          <w:bCs/>
          <w:sz w:val="24"/>
          <w:szCs w:val="24"/>
        </w:rPr>
        <w:t xml:space="preserve"> </w:t>
      </w:r>
      <w:r w:rsidR="000E41BF">
        <w:rPr>
          <w:rFonts w:ascii="Times New Roman" w:eastAsia="Times New Roman" w:hAnsi="Times New Roman" w:cs="Times New Roman"/>
          <w:bCs/>
          <w:sz w:val="24"/>
          <w:szCs w:val="24"/>
        </w:rPr>
        <w:t>provides information</w:t>
      </w:r>
      <w:r w:rsidR="00E55C68" w:rsidRPr="00E55C68">
        <w:rPr>
          <w:rFonts w:ascii="Times New Roman" w:eastAsia="Times New Roman" w:hAnsi="Times New Roman" w:cs="Times New Roman"/>
          <w:bCs/>
          <w:sz w:val="24"/>
          <w:szCs w:val="24"/>
        </w:rPr>
        <w:t xml:space="preserve"> of </w:t>
      </w:r>
      <w:r w:rsidR="00E55C68" w:rsidRPr="004137AA">
        <w:rPr>
          <w:rFonts w:ascii="Times New Roman" w:eastAsia="Times New Roman" w:hAnsi="Times New Roman" w:cs="Times New Roman"/>
          <w:bCs/>
          <w:sz w:val="24"/>
          <w:szCs w:val="24"/>
        </w:rPr>
        <w:t>market share concentration in the global seed industry</w:t>
      </w:r>
      <w:r w:rsidR="00E55C68" w:rsidRPr="00E55C68">
        <w:rPr>
          <w:rFonts w:ascii="Times New Roman" w:eastAsia="Times New Roman" w:hAnsi="Times New Roman" w:cs="Times New Roman"/>
          <w:bCs/>
          <w:sz w:val="24"/>
          <w:szCs w:val="24"/>
        </w:rPr>
        <w:t>.</w:t>
      </w:r>
    </w:p>
    <w:p w14:paraId="5E5161D0"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p>
    <w:p w14:paraId="732263AB"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lastRenderedPageBreak/>
        <w:t>Table 3: Market Share Concentration in the Global Seed Industry (2018–2020)</w:t>
      </w:r>
    </w:p>
    <w:tbl>
      <w:tblPr>
        <w:tblStyle w:val="TableGrid"/>
        <w:tblW w:w="0" w:type="auto"/>
        <w:tblLook w:val="04A0" w:firstRow="1" w:lastRow="0" w:firstColumn="1" w:lastColumn="0" w:noHBand="0" w:noVBand="1"/>
      </w:tblPr>
      <w:tblGrid>
        <w:gridCol w:w="3120"/>
        <w:gridCol w:w="4609"/>
        <w:gridCol w:w="1513"/>
      </w:tblGrid>
      <w:tr w:rsidR="004137AA" w:rsidRPr="004137AA" w14:paraId="6BE65167" w14:textId="77777777" w:rsidTr="00EF698D">
        <w:tc>
          <w:tcPr>
            <w:tcW w:w="0" w:type="auto"/>
            <w:hideMark/>
          </w:tcPr>
          <w:p w14:paraId="095681AC"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Indicator</w:t>
            </w:r>
          </w:p>
        </w:tc>
        <w:tc>
          <w:tcPr>
            <w:tcW w:w="0" w:type="auto"/>
            <w:hideMark/>
          </w:tcPr>
          <w:p w14:paraId="56B96259"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Value</w:t>
            </w:r>
          </w:p>
        </w:tc>
        <w:tc>
          <w:tcPr>
            <w:tcW w:w="0" w:type="auto"/>
            <w:hideMark/>
          </w:tcPr>
          <w:p w14:paraId="20FED962"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Source</w:t>
            </w:r>
          </w:p>
        </w:tc>
      </w:tr>
      <w:tr w:rsidR="004137AA" w:rsidRPr="004137AA" w14:paraId="04B75D9F" w14:textId="77777777" w:rsidTr="00EF698D">
        <w:tc>
          <w:tcPr>
            <w:tcW w:w="0" w:type="auto"/>
            <w:hideMark/>
          </w:tcPr>
          <w:p w14:paraId="7DCDBD3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Share of US corn seed market controlled by Bayer and Corteva</w:t>
            </w:r>
          </w:p>
        </w:tc>
        <w:tc>
          <w:tcPr>
            <w:tcW w:w="0" w:type="auto"/>
            <w:hideMark/>
          </w:tcPr>
          <w:p w14:paraId="58E1279F"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~72% of planted acres</w:t>
            </w:r>
          </w:p>
        </w:tc>
        <w:tc>
          <w:tcPr>
            <w:tcW w:w="0" w:type="auto"/>
            <w:hideMark/>
          </w:tcPr>
          <w:p w14:paraId="50B9D89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67269393" w14:textId="77777777" w:rsidTr="00EF698D">
        <w:tc>
          <w:tcPr>
            <w:tcW w:w="0" w:type="auto"/>
            <w:hideMark/>
          </w:tcPr>
          <w:p w14:paraId="098F4FC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Share of US soybean seed market controlled by Bayer and Corteva</w:t>
            </w:r>
          </w:p>
        </w:tc>
        <w:tc>
          <w:tcPr>
            <w:tcW w:w="0" w:type="auto"/>
            <w:hideMark/>
          </w:tcPr>
          <w:p w14:paraId="59F4C69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~66% of planted acres</w:t>
            </w:r>
          </w:p>
        </w:tc>
        <w:tc>
          <w:tcPr>
            <w:tcW w:w="0" w:type="auto"/>
            <w:hideMark/>
          </w:tcPr>
          <w:p w14:paraId="1E741A6D"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7D9687DE" w14:textId="77777777" w:rsidTr="00EF698D">
        <w:tc>
          <w:tcPr>
            <w:tcW w:w="0" w:type="auto"/>
            <w:hideMark/>
          </w:tcPr>
          <w:p w14:paraId="4DF84F4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Top-4 firm share (CR4) of US corn seed market</w:t>
            </w:r>
          </w:p>
        </w:tc>
        <w:tc>
          <w:tcPr>
            <w:tcW w:w="0" w:type="auto"/>
            <w:hideMark/>
          </w:tcPr>
          <w:p w14:paraId="4A06780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~84% of planted acres</w:t>
            </w:r>
          </w:p>
        </w:tc>
        <w:tc>
          <w:tcPr>
            <w:tcW w:w="0" w:type="auto"/>
            <w:hideMark/>
          </w:tcPr>
          <w:p w14:paraId="7537ED46"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6F39C58F" w14:textId="77777777" w:rsidTr="00EF698D">
        <w:tc>
          <w:tcPr>
            <w:tcW w:w="0" w:type="auto"/>
            <w:hideMark/>
          </w:tcPr>
          <w:p w14:paraId="12E75027"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Top-4 firm share (CR4) of US soybean seed market</w:t>
            </w:r>
          </w:p>
        </w:tc>
        <w:tc>
          <w:tcPr>
            <w:tcW w:w="0" w:type="auto"/>
            <w:hideMark/>
          </w:tcPr>
          <w:p w14:paraId="4EFAAF6D"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~78% of planted acres</w:t>
            </w:r>
          </w:p>
        </w:tc>
        <w:tc>
          <w:tcPr>
            <w:tcW w:w="0" w:type="auto"/>
            <w:hideMark/>
          </w:tcPr>
          <w:p w14:paraId="0228B87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7398DA75" w14:textId="77777777" w:rsidTr="00EF698D">
        <w:tc>
          <w:tcPr>
            <w:tcW w:w="0" w:type="auto"/>
            <w:hideMark/>
          </w:tcPr>
          <w:p w14:paraId="165CE35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Nature of CRISPR patent landscape in plant applications</w:t>
            </w:r>
          </w:p>
        </w:tc>
        <w:tc>
          <w:tcPr>
            <w:tcW w:w="0" w:type="auto"/>
            <w:hideMark/>
          </w:tcPr>
          <w:p w14:paraId="048AF3E7"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Growing number of overlapping patents constituting a "patent thicket" impairing public-sector freedom to operate</w:t>
            </w:r>
          </w:p>
        </w:tc>
        <w:tc>
          <w:tcPr>
            <w:tcW w:w="0" w:type="auto"/>
            <w:hideMark/>
          </w:tcPr>
          <w:p w14:paraId="61BB903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Kock (2021); </w:t>
            </w:r>
            <w:r w:rsidR="00EF698D" w:rsidRPr="00EF698D">
              <w:rPr>
                <w:rFonts w:ascii="Times New Roman" w:eastAsia="Times New Roman" w:hAnsi="Times New Roman" w:cs="Times New Roman"/>
                <w:sz w:val="24"/>
                <w:szCs w:val="24"/>
              </w:rPr>
              <w:t xml:space="preserve">Idris </w:t>
            </w:r>
            <w:r w:rsidRPr="004137AA">
              <w:rPr>
                <w:rFonts w:ascii="Times New Roman" w:eastAsia="Times New Roman" w:hAnsi="Times New Roman" w:cs="Times New Roman"/>
                <w:sz w:val="24"/>
                <w:szCs w:val="24"/>
              </w:rPr>
              <w:t>(2023)</w:t>
            </w:r>
          </w:p>
        </w:tc>
      </w:tr>
    </w:tbl>
    <w:p w14:paraId="4A01AF18"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 xml:space="preserve">Sources: USDA ERS (2023); Kock (2021); </w:t>
      </w:r>
      <w:r w:rsidR="00EF698D" w:rsidRPr="00EF698D">
        <w:rPr>
          <w:rFonts w:ascii="Times New Roman" w:eastAsia="Times New Roman" w:hAnsi="Times New Roman" w:cs="Times New Roman"/>
          <w:i/>
          <w:iCs/>
          <w:sz w:val="24"/>
          <w:szCs w:val="24"/>
        </w:rPr>
        <w:t xml:space="preserve">Idris </w:t>
      </w:r>
      <w:r w:rsidRPr="004137AA">
        <w:rPr>
          <w:rFonts w:ascii="Times New Roman" w:eastAsia="Times New Roman" w:hAnsi="Times New Roman" w:cs="Times New Roman"/>
          <w:i/>
          <w:iCs/>
          <w:sz w:val="24"/>
          <w:szCs w:val="24"/>
        </w:rPr>
        <w:t>(2023); Howard (2015); Clancy &amp; Moschini (2017).</w:t>
      </w:r>
    </w:p>
    <w:p w14:paraId="3DA6F779"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4970A8EF"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7. Ethical Concerns</w:t>
      </w:r>
    </w:p>
    <w:p w14:paraId="020DB9B6"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7.1 Biopiracy and the Appropriation of Traditional Knowledge</w:t>
      </w:r>
    </w:p>
    <w:p w14:paraId="639A2945"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Biopiracy — the unauthorised appropriation of genetic resources or traditional knowledge from communities, typically in the Global South, for commercial exploitation without fair benefit-sharing — has been one of the most persistently debated ethical issues in plant biotechnology patenting since the 1990s. Numerous documented cases — including the attempted patenting of the pesticidal properties of neem, the anti-inflammatory properties of turmeric, and the distinctive fragrance of basmati rice — illustrated how patent systems based on novelty and inventive step might allow firms to commercialise indigenous knowledge with minor modifications while depriving originating communities of any share in the benefits (Perron-Welch, 2025; Wu, 2024).</w:t>
      </w:r>
    </w:p>
    <w:p w14:paraId="2C2E3814"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international community's principal responses — the CBD, the Nagoya Protocol, and now the 2024 WIPO GRATK Treaty — represent progressive attempts to close the gap between the incentive logic of patent law, which rewards documented human invention, and the ethical imperative of equitable benefit sharing with traditional custodians of biological diversity. Perron-Welch (2025) analyses the GRATK Treaty's mandatory disclosure of origin requirements as a meaningful step forward, noting that they create the first binding international obligation for patent applicants to disclose the genetic resources and associated traditional knowledge on which their inventions draw. However, the Treaty's enforcement mechanisms remain relatively weak — disclosure failures do not automatically invalidate patents under the agreed text — and the extent to which the Treaty will practically deter biopiracy remains to be seen.</w:t>
      </w:r>
    </w:p>
    <w:p w14:paraId="042A12F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Ebert et al. (2023) document the growing practical barriers that complex ABS requirements impose on </w:t>
      </w:r>
      <w:proofErr w:type="spellStart"/>
      <w:r w:rsidRPr="004137AA">
        <w:rPr>
          <w:rFonts w:ascii="Times New Roman" w:eastAsia="Times New Roman" w:hAnsi="Times New Roman" w:cs="Times New Roman"/>
          <w:sz w:val="24"/>
          <w:szCs w:val="24"/>
        </w:rPr>
        <w:t>genebank</w:t>
      </w:r>
      <w:proofErr w:type="spellEnd"/>
      <w:r w:rsidRPr="004137AA">
        <w:rPr>
          <w:rFonts w:ascii="Times New Roman" w:eastAsia="Times New Roman" w:hAnsi="Times New Roman" w:cs="Times New Roman"/>
          <w:sz w:val="24"/>
          <w:szCs w:val="24"/>
        </w:rPr>
        <w:t xml:space="preserve"> curators and plant breeders who wish to access genetic resources held in </w:t>
      </w:r>
      <w:r w:rsidRPr="004137AA">
        <w:rPr>
          <w:rFonts w:ascii="Times New Roman" w:eastAsia="Times New Roman" w:hAnsi="Times New Roman" w:cs="Times New Roman"/>
          <w:sz w:val="24"/>
          <w:szCs w:val="24"/>
        </w:rPr>
        <w:lastRenderedPageBreak/>
        <w:t xml:space="preserve">international collections. When every access transaction requires negotiation of bilateral ABS agreements, the transaction costs of germplasm exchange increase substantially, discouraging the scientific collaboration that is essential for sustainable agricultural development. The ITPGRFA's Multilateral System offers a partial solution for listed crops, but its coverage remains limited and its benefit-sharing mechanisms have not generated the financial flows that were originally anticipated (Ebert et al., 2023;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w:t>
      </w:r>
    </w:p>
    <w:p w14:paraId="5D271E78"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7.2 Farmers' Rights and Seed Saving</w:t>
      </w:r>
    </w:p>
    <w:p w14:paraId="40C8C20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right of farmers to save seed from their harvest for replanting in the following season is arguably the oldest and most fundamental practice in the history of agriculture. Over the past four decades, this right has been progressively constrained by the combined effect of plant variety protection, utility patents, technology use agreements, and the biological properties of hybrid seeds, which do not breed true and therefore provide no practical benefit to farmers who save them. The ethical dimension of this trend is acute: seed saving is not merely an economic strategy for resource-constrained farmers; it is also a practice of agronomic adaptation, cultural identity, and collective stewardship of genetic diversity that has underpinned food systems for millennia (</w:t>
      </w:r>
      <w:proofErr w:type="spellStart"/>
      <w:r w:rsidRPr="004137AA">
        <w:rPr>
          <w:rFonts w:ascii="Times New Roman" w:eastAsia="Times New Roman" w:hAnsi="Times New Roman" w:cs="Times New Roman"/>
          <w:sz w:val="24"/>
          <w:szCs w:val="24"/>
        </w:rPr>
        <w:t>Kotschi</w:t>
      </w:r>
      <w:proofErr w:type="spellEnd"/>
      <w:r w:rsidRPr="004137AA">
        <w:rPr>
          <w:rFonts w:ascii="Times New Roman" w:eastAsia="Times New Roman" w:hAnsi="Times New Roman" w:cs="Times New Roman"/>
          <w:sz w:val="24"/>
          <w:szCs w:val="24"/>
        </w:rPr>
        <w:t xml:space="preserve"> &amp; </w:t>
      </w:r>
      <w:proofErr w:type="spellStart"/>
      <w:r w:rsidRPr="004137AA">
        <w:rPr>
          <w:rFonts w:ascii="Times New Roman" w:eastAsia="Times New Roman" w:hAnsi="Times New Roman" w:cs="Times New Roman"/>
          <w:sz w:val="24"/>
          <w:szCs w:val="24"/>
        </w:rPr>
        <w:t>Horneburg</w:t>
      </w:r>
      <w:proofErr w:type="spellEnd"/>
      <w:r w:rsidRPr="004137AA">
        <w:rPr>
          <w:rFonts w:ascii="Times New Roman" w:eastAsia="Times New Roman" w:hAnsi="Times New Roman" w:cs="Times New Roman"/>
          <w:sz w:val="24"/>
          <w:szCs w:val="24"/>
        </w:rPr>
        <w:t xml:space="preserve">, 2018; </w:t>
      </w:r>
      <w:proofErr w:type="spellStart"/>
      <w:r w:rsidRPr="004137AA">
        <w:rPr>
          <w:rFonts w:ascii="Times New Roman" w:eastAsia="Times New Roman" w:hAnsi="Times New Roman" w:cs="Times New Roman"/>
          <w:sz w:val="24"/>
          <w:szCs w:val="24"/>
        </w:rPr>
        <w:t>Louwaars</w:t>
      </w:r>
      <w:proofErr w:type="spellEnd"/>
      <w:r w:rsidRPr="004137AA">
        <w:rPr>
          <w:rFonts w:ascii="Times New Roman" w:eastAsia="Times New Roman" w:hAnsi="Times New Roman" w:cs="Times New Roman"/>
          <w:sz w:val="24"/>
          <w:szCs w:val="24"/>
        </w:rPr>
        <w:t>, 2019).</w:t>
      </w:r>
    </w:p>
    <w:p w14:paraId="70C8579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legal position of farmers' seed saving differs markedly across jurisdictions. Under UPOV 1991, the farmer's privilege has become optional and conditional, subject to equitable remuneration to breeders and confined to propagation on the farmer's own holding. Under utility patent regimes, there is no farmer's privilege at all: a farmer who replants patented seed commits patent infringement regardless of the circumstances (Wu, 2024; Lawson, 2023). These legal frameworks have been criticised as reproducing, through legal mechanisms, the structural dependency that Green Revolution agricultural development created through agronomy — transforming farmers from agents of crop improvement into passive consumers of technology produced and controlled by others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2014).</w:t>
      </w:r>
    </w:p>
    <w:p w14:paraId="50D61067"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tension between breeders' rights and farmers' rights is also reflected in the inconsistency between UPOV and the ITPGRFA. The Plant Treaty's recognition of Farmers' Rights — including the right to save, use, exchange, and sell farm-saved seed — is formally compatible with UPOV, since both instruments acknowledge these rights in principle, but UPOV 1991 permits member states to restrict the farmer's privilege significantly, and bilateral TRIPS-plus agreements frequently require developing countries to join UPOV 1991, effectively foreclosing national legislative space to enact broad farmers' rights protections (Wynberg et al., 2021; Ebert et al., 2023).</w:t>
      </w:r>
    </w:p>
    <w:p w14:paraId="3F402EB0"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7.3 Food Security, Access, and the North–South Divide</w:t>
      </w:r>
    </w:p>
    <w:p w14:paraId="1C4BE5AA"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relationship between plant biotechnology patenting and food security is characterised by genuine ambiguity. On one hand, the patent system provides incentives for private investment in crop improvement that, on the evidence reviewed by Qaim (2020), has contributed to yield increases and reductions in pesticide use in some contexts. On the other, the structure of private R&amp;D investment is heavily skewed towards crops and farming systems that are commercially attractive — primarily commodity crops grown in industrialised agriculture — rather than towards the orphan and subsistence crops on which the world's poorest and most food-insecure people depend (Glenna, 2023; Chang, 2023).</w:t>
      </w:r>
    </w:p>
    <w:p w14:paraId="26B6686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Bartkowski et al. (2018) identify a structural paradox in the governance of CRISPR-based crop improvement: the technology is potentially transformative for food security in developing countries precisely because it is relatively cheap, portable, and applicable to locally adapted varieties — yet the patent thickets surrounding fundamental CRISPR tools are primarily held by Northern universities and corporations whose licensing strategies may effectively prevent low-income country researchers from deploying the technology for public benefit. The economic logic of the patent system, which concentrates innovation in markets where returns can be appropriated, pulls in a direction precisely opposite to the social need for accessible innovation in smallholder-dominated farming systems.</w:t>
      </w:r>
    </w:p>
    <w:p w14:paraId="3ED0E3E1"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Smulders et al. (2021) note that even where CRISPR patents are licensed on nominally favourable terms for humanitarian purposes, the administrative and legal burden of establishing eligibility, negotiating agreements, and ensuring compliance can be prohibitive for resource-constrained institutions in developing countries. This is compounded by regulatory divergence: where gene-edited crops are treated as GMOs — as in the European Union and in many developing countries — they face regulatory approval processes that are prohibitively expensive for public institutions operating without the resources of major corporations.</w:t>
      </w:r>
    </w:p>
    <w:p w14:paraId="6EC3171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Rising seed prices provide another lens on the food security implications of plant IP concentration. The USDA Economic Research Service (2023) reported that between 1990 and 2020, prices paid by US farmers for crop seed increased by an average of 170 per cent, with prices for crops grown predominantly with patented genetically modified traits rising by 463 per cent — compared with a 56 per cent increase in commodity output prices over the same period. The welfare implications for farmers in both developed and developing countries of this sustained divergence between input and output price trajectories deserve continued attention from agricultural economists and policymakers alike.</w:t>
      </w:r>
    </w:p>
    <w:p w14:paraId="4D5A8E59"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7.4 Biodiversity and Agrobiodiversity</w:t>
      </w:r>
    </w:p>
    <w:p w14:paraId="2613CBDE"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Perhaps the most profound, if least immediately visible, ethical concern associated with plant biotechnology patenting is its relationship to the erosion of crop genetic diversity. The standard economic argument for private plant breeding — that intellectual property protection incentivises investment in higher-yielding varieties — does not engage systematically with the agrobiodiversity consequences of the varietal replacement it entails. As Khoury et al. (2022) document in a comprehensive synthesis of the evidence on crop genetic erosion, the spread of a small number of uniform commercial varieties across large agricultural areas has reduced the effective diversity of crop plants at the farm level, even as collections in ex-situ </w:t>
      </w:r>
      <w:proofErr w:type="spellStart"/>
      <w:r w:rsidRPr="004137AA">
        <w:rPr>
          <w:rFonts w:ascii="Times New Roman" w:eastAsia="Times New Roman" w:hAnsi="Times New Roman" w:cs="Times New Roman"/>
          <w:sz w:val="24"/>
          <w:szCs w:val="24"/>
        </w:rPr>
        <w:t>genebanks</w:t>
      </w:r>
      <w:proofErr w:type="spellEnd"/>
      <w:r w:rsidRPr="004137AA">
        <w:rPr>
          <w:rFonts w:ascii="Times New Roman" w:eastAsia="Times New Roman" w:hAnsi="Times New Roman" w:cs="Times New Roman"/>
          <w:sz w:val="24"/>
          <w:szCs w:val="24"/>
        </w:rPr>
        <w:t xml:space="preserve"> have expanded.</w:t>
      </w:r>
    </w:p>
    <w:p w14:paraId="6080CDD3"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mechanisms through which plant IP systems contribute to agrobiodiversity loss are multiple. The DUS requirements for PVR protection, which mandate that protected varieties be uniform across plants and stable across generations, effectively exclude the genetically heterogeneous landraces and farmer varieties that constitute much of the world's crop diversity from formal IP protection, while also making them ineligible for official certification and marketing in many jurisdictions (Yang et al., 2021;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xml:space="preserve">, 2014). Patent-protected varieties, which may be simultaneously covered by exclusive rights on the variety and on the </w:t>
      </w:r>
      <w:proofErr w:type="gramStart"/>
      <w:r w:rsidRPr="004137AA">
        <w:rPr>
          <w:rFonts w:ascii="Times New Roman" w:eastAsia="Times New Roman" w:hAnsi="Times New Roman" w:cs="Times New Roman"/>
          <w:sz w:val="24"/>
          <w:szCs w:val="24"/>
        </w:rPr>
        <w:t>traits</w:t>
      </w:r>
      <w:proofErr w:type="gramEnd"/>
      <w:r w:rsidRPr="004137AA">
        <w:rPr>
          <w:rFonts w:ascii="Times New Roman" w:eastAsia="Times New Roman" w:hAnsi="Times New Roman" w:cs="Times New Roman"/>
          <w:sz w:val="24"/>
          <w:szCs w:val="24"/>
        </w:rPr>
        <w:t xml:space="preserve"> they express, further concentrate the genetics of commercial agriculture. Khoury et al. (2022) note that the privatisation of germplasm and the associated narrowing of genetic bases in commercial crops creates systemic fragility — a </w:t>
      </w:r>
      <w:r w:rsidRPr="004137AA">
        <w:rPr>
          <w:rFonts w:ascii="Times New Roman" w:eastAsia="Times New Roman" w:hAnsi="Times New Roman" w:cs="Times New Roman"/>
          <w:sz w:val="24"/>
          <w:szCs w:val="24"/>
        </w:rPr>
        <w:lastRenderedPageBreak/>
        <w:t>concern illustrated historically by the susceptibility of uniform high-yielding varieties to new pathogen strains that emerge beyond the range of their engineered or selected resistance.</w:t>
      </w:r>
    </w:p>
    <w:p w14:paraId="4865111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Wynberg et al. (2021) situate the challenge of agrobiodiversity conservation within the governance debate over digital sequence information (DSI), noting that the rapid digitisation of genomic data has allowed actors to generate commercially valuable information from crop genetic resources without needing physical access to the germplasm itself, thereby circumventing ABS frameworks and removing any financial incentive for provider countries to maintain </w:t>
      </w:r>
      <w:r w:rsidRPr="004137AA">
        <w:rPr>
          <w:rFonts w:ascii="Times New Roman" w:eastAsia="Times New Roman" w:hAnsi="Times New Roman" w:cs="Times New Roman"/>
          <w:i/>
          <w:iCs/>
          <w:sz w:val="24"/>
          <w:szCs w:val="24"/>
        </w:rPr>
        <w:t>in situ</w:t>
      </w:r>
      <w:r w:rsidRPr="004137AA">
        <w:rPr>
          <w:rFonts w:ascii="Times New Roman" w:eastAsia="Times New Roman" w:hAnsi="Times New Roman" w:cs="Times New Roman"/>
          <w:sz w:val="24"/>
          <w:szCs w:val="24"/>
        </w:rPr>
        <w:t xml:space="preserve"> diversity. Brink and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xml:space="preserve"> (2022) model the practical consequences for plant </w:t>
      </w:r>
      <w:proofErr w:type="spellStart"/>
      <w:r w:rsidRPr="004137AA">
        <w:rPr>
          <w:rFonts w:ascii="Times New Roman" w:eastAsia="Times New Roman" w:hAnsi="Times New Roman" w:cs="Times New Roman"/>
          <w:sz w:val="24"/>
          <w:szCs w:val="24"/>
        </w:rPr>
        <w:t>genebanks</w:t>
      </w:r>
      <w:proofErr w:type="spellEnd"/>
      <w:r w:rsidRPr="004137AA">
        <w:rPr>
          <w:rFonts w:ascii="Times New Roman" w:eastAsia="Times New Roman" w:hAnsi="Times New Roman" w:cs="Times New Roman"/>
          <w:sz w:val="24"/>
          <w:szCs w:val="24"/>
        </w:rPr>
        <w:t xml:space="preserve"> of alternative DSI governance scenarios, concluding that approaches that restrict access to sequence data could substantially impede scientific collaboration and variety development, while approaches that allow unrestricted access without benefit-sharing obligations would leave provider countries without compensation for the genetic heritage they conserve.</w:t>
      </w:r>
    </w:p>
    <w:p w14:paraId="684E49DE"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1E74BCAA"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8. Emerging Governance Frameworks and Alternative Models</w:t>
      </w:r>
    </w:p>
    <w:p w14:paraId="7F7698A0"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8.1 Digital Sequence Information and the ITPGRFA</w:t>
      </w:r>
    </w:p>
    <w:p w14:paraId="03CA2E49"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Digital sequence information — the nucleic acid sequence data derived from genetic resources — has emerged as one of the most contested issues in international biodiversity governance since 2018, when the CBD convened an ad hoc expert group to assess whether DSI should fall within the scope of ABS obligations. The stakes are high: if DSI is treated as a genetic resource subject to Nagoya Protocol requirements, open access to genomic databases could be restricted, impeding science globally; if DSI is treated as free data outside ABS frameworks, countries of origin lose any leverage to secure benefits from the commercialisation of sequence information derived from their biodiversity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 Wynberg et al., 2021).</w:t>
      </w:r>
    </w:p>
    <w:p w14:paraId="7E5E593E"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resolution of this issue at the CBD COP15 in Kunming-Montreal in 2022 established a multilateral mechanism for benefit sharing from DSI use, without restricting access to the sequence information itself. This represents a significant governance innovation: rather than following the Nagoya Protocol's bilateral, resource-by-resource model, the DSI mechanism pools contributions from commercial users of biodiversity data into a common fund that supports conservation and capacity-building in biodiversity-rich countries. The ITPGRFA is developing a parallel mechanism for plant genetic resources in the agricultural domain, recognising that the Plant Treaty's Multilateral System could be extended to cover DSI alongside physical germplasm (Ebert et al., 2023;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w:t>
      </w:r>
    </w:p>
    <w:p w14:paraId="04929E9B"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8.2 The 2024 WIPO GRATK Treaty</w:t>
      </w:r>
    </w:p>
    <w:p w14:paraId="07DB5630"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adoption in May 2024 of the WIPO Treaty on Intellectual Property, Genetic Resources and Associated Traditional Knowledge marked the culmination of more than two decades of intergovernmental negotiations. As Perron-Welch (2025) analyses, the Treaty introduces a mandatory disclosure of origin requirement into the global patent system for the first time: patent applicants whose inventions are based on genetic resources or associated traditional knowledge must disclose the country of origin or provenance of those resources in their </w:t>
      </w:r>
      <w:r w:rsidRPr="004137AA">
        <w:rPr>
          <w:rFonts w:ascii="Times New Roman" w:eastAsia="Times New Roman" w:hAnsi="Times New Roman" w:cs="Times New Roman"/>
          <w:sz w:val="24"/>
          <w:szCs w:val="24"/>
        </w:rPr>
        <w:lastRenderedPageBreak/>
        <w:t>patent applications. This requirement is designed to facilitate benefit sharing by creating a paper trail that connects patent grants to the genetic heritage from which innovations derive.</w:t>
      </w:r>
    </w:p>
    <w:p w14:paraId="0486138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Treaty's significance for plant biotechnology is considerable. Patents on plant traits, varieties, or breeding methods that draw on traditionally cultivated crop species, landraces, or wild relatives will in future be subject to disclosure requirements that, if properly enforced, should make biopiracy more visible and easier to contest. The WIPO GRATK Treaty does not, however, harmonise the consequences of non-disclosure: parties retain discretion to determine whether failure to disclose renders a patent invalid or unenforceable. This flexibility, inserted at the insistence of major patent-holding countries, has been criticised as a significant weakening of the Treaty's deterrent effect (Perron-Welch, 2025).</w:t>
      </w:r>
    </w:p>
    <w:p w14:paraId="26A8F731" w14:textId="77777777"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8.3 Open-Source and Alternative Licensing Models</w:t>
      </w:r>
    </w:p>
    <w:p w14:paraId="3B1FED04"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most direct response to the constraints that proprietary IP regimes place on plant breeders and farmers has been the development of open-source seed (OSS) initiatives, which apply concepts drawn from the free and open-source software movement to plant germplasm. The Open Source Seed Initiative (OSSI), founded in the United States in 2012, employs a simple pledge under which varieties are made available on the condition that any material derived from them also remains accessible to others on the same open terms (Luby &amp; Goldman, 2016). The Open Source Seeds Licence developed in Germany by </w:t>
      </w:r>
      <w:proofErr w:type="spellStart"/>
      <w:r w:rsidRPr="004137AA">
        <w:rPr>
          <w:rFonts w:ascii="Times New Roman" w:eastAsia="Times New Roman" w:hAnsi="Times New Roman" w:cs="Times New Roman"/>
          <w:sz w:val="24"/>
          <w:szCs w:val="24"/>
        </w:rPr>
        <w:t>Agrecol</w:t>
      </w:r>
      <w:proofErr w:type="spellEnd"/>
      <w:r w:rsidRPr="004137AA">
        <w:rPr>
          <w:rFonts w:ascii="Times New Roman" w:eastAsia="Times New Roman" w:hAnsi="Times New Roman" w:cs="Times New Roman"/>
          <w:sz w:val="24"/>
          <w:szCs w:val="24"/>
        </w:rPr>
        <w:t xml:space="preserve"> and colleagues uses a contractual licensing mechanism to create a legally enforceable "copyleft" equivalent for plant germplasm — a protected commons in which the germplasm can be freely used but never privatised (</w:t>
      </w:r>
      <w:proofErr w:type="spellStart"/>
      <w:r w:rsidRPr="004137AA">
        <w:rPr>
          <w:rFonts w:ascii="Times New Roman" w:eastAsia="Times New Roman" w:hAnsi="Times New Roman" w:cs="Times New Roman"/>
          <w:sz w:val="24"/>
          <w:szCs w:val="24"/>
        </w:rPr>
        <w:t>Kotschi</w:t>
      </w:r>
      <w:proofErr w:type="spellEnd"/>
      <w:r w:rsidRPr="004137AA">
        <w:rPr>
          <w:rFonts w:ascii="Times New Roman" w:eastAsia="Times New Roman" w:hAnsi="Times New Roman" w:cs="Times New Roman"/>
          <w:sz w:val="24"/>
          <w:szCs w:val="24"/>
        </w:rPr>
        <w:t xml:space="preserve"> &amp; </w:t>
      </w:r>
      <w:proofErr w:type="spellStart"/>
      <w:r w:rsidRPr="004137AA">
        <w:rPr>
          <w:rFonts w:ascii="Times New Roman" w:eastAsia="Times New Roman" w:hAnsi="Times New Roman" w:cs="Times New Roman"/>
          <w:sz w:val="24"/>
          <w:szCs w:val="24"/>
        </w:rPr>
        <w:t>Horneburg</w:t>
      </w:r>
      <w:proofErr w:type="spellEnd"/>
      <w:r w:rsidRPr="004137AA">
        <w:rPr>
          <w:rFonts w:ascii="Times New Roman" w:eastAsia="Times New Roman" w:hAnsi="Times New Roman" w:cs="Times New Roman"/>
          <w:sz w:val="24"/>
          <w:szCs w:val="24"/>
        </w:rPr>
        <w:t>, 2018).</w:t>
      </w:r>
    </w:p>
    <w:p w14:paraId="52D4809A"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proofErr w:type="spellStart"/>
      <w:r w:rsidRPr="004137AA">
        <w:rPr>
          <w:rFonts w:ascii="Times New Roman" w:eastAsia="Times New Roman" w:hAnsi="Times New Roman" w:cs="Times New Roman"/>
          <w:sz w:val="24"/>
          <w:szCs w:val="24"/>
        </w:rPr>
        <w:t>Louwaars</w:t>
      </w:r>
      <w:proofErr w:type="spellEnd"/>
      <w:r w:rsidRPr="004137AA">
        <w:rPr>
          <w:rFonts w:ascii="Times New Roman" w:eastAsia="Times New Roman" w:hAnsi="Times New Roman" w:cs="Times New Roman"/>
          <w:sz w:val="24"/>
          <w:szCs w:val="24"/>
        </w:rPr>
        <w:t xml:space="preserve"> (2019) provides a nuanced assessment of these initiatives, noting that while they successfully prevent the enclosure of the varieties they cover, they cannot by themselves reverse the systemic dynamics that have produced IP concentration. OSS varieties remain a small fraction of the commercial market, and the pledge mechanism — which relies on the moral commitment of users rather than legal enforcement — offers limited protection against actors who absorb OSS germplasm into conventionally protected breeding programmes. Kock (2021) argues that more systemic solutions are needed, including patent pools, standardised licensing clearinghouses, and compulsory licensing provisions for NGT tools used in public-interest plant improvement. The Max Planck Institute for Innovation and Competition has proposed a cross-institutional licensing platform that would allow breeders to access patented plant traits at fair and reasonable costs determined by an independent expert process, combining collective licensing with incentives for efficient negotiation (Kock, 2021).</w:t>
      </w:r>
    </w:p>
    <w:p w14:paraId="3D567F18"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examine the opportunities created by the expiry of foundational GM crop patents, arguing that off-patent transgenic events — the specific DNA insertion events that generated first-generation GM crops — could become available for generic use by developing-country breeders and public institutions, subject to navigating regulatory approval requirements. The practical barriers to generic GM crop development are substantial, however: regulatory data requirements, which must be met independently by any new applicant seeking approval for an off-patent event, represent a major ongoing cost that effectively prevents generic competition even after patents lapse.</w:t>
      </w:r>
    </w:p>
    <w:p w14:paraId="60C3F3B8" w14:textId="77777777" w:rsidR="00B66131" w:rsidRDefault="00B66131" w:rsidP="004137AA">
      <w:pPr>
        <w:spacing w:before="100" w:beforeAutospacing="1" w:after="100" w:afterAutospacing="1" w:line="240" w:lineRule="auto"/>
        <w:outlineLvl w:val="3"/>
        <w:rPr>
          <w:rFonts w:ascii="Times New Roman" w:eastAsia="Times New Roman" w:hAnsi="Times New Roman" w:cs="Times New Roman"/>
          <w:b/>
          <w:bCs/>
          <w:sz w:val="24"/>
          <w:szCs w:val="24"/>
        </w:rPr>
      </w:pPr>
    </w:p>
    <w:p w14:paraId="3A568BD1" w14:textId="72BD3C6C" w:rsidR="004137AA" w:rsidRPr="004137AA" w:rsidRDefault="004137AA" w:rsidP="004137AA">
      <w:pPr>
        <w:spacing w:before="100" w:beforeAutospacing="1" w:after="100" w:afterAutospacing="1" w:line="240" w:lineRule="auto"/>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lastRenderedPageBreak/>
        <w:t>8.4 The EU NGT Regulation and the Future of Plant Patent Policy</w:t>
      </w:r>
    </w:p>
    <w:p w14:paraId="253EB16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European Union's legislative deliberations over the regulation of plants produced by new genomic techniques represent a microcosm of the wider tensions in plant IP governance. The 2023 European Commission Proposal sought simultaneously to relax GMO regulatory requirements for NGT plants that could have been produced by conventional breeding, and to address patent concerns through transparency mechanisms and a Commission study on patent impacts. The European Parliament's 2024 first-reading position went further, proposing an outright ban on patents for all NGT plants (Jiang et al., 2025; Lukasiewicz et al., 2024).</w:t>
      </w:r>
    </w:p>
    <w:p w14:paraId="7129C75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debate in the EU is instructive in several respects. It illustrates how questions of patent law, which have traditionally been treated as the province of IP specialists, have become central concerns for agricultural policymakers, environmental advocates, and farming organisations who recognise that the IP treatment of gene-edited varieties will fundamentally shape who develops them, on whose behalf, and under what conditions of access. Jiang et al. (2025) offer a sceptical assessment of the patent ban approach, arguing that abandoning patents would create legal uncertainty, deprive innovators of proportionate protection for their investments, and potentially push innovation activity towards trade secret protection rather than the disclosure that patents formally require. Lukasiewicz et al. (2024), writing from a plant science perspective, identify a more balanced path through enhanced transparency, extended breeder's exemptions for patented NGT plant traits, and compulsory licensing provisions for food security purposes — an approach that attempts to reconcile breeders' needs with broader public interest imperatives.</w:t>
      </w:r>
      <w:r w:rsidR="000E41BF">
        <w:rPr>
          <w:rFonts w:ascii="Times New Roman" w:eastAsia="Times New Roman" w:hAnsi="Times New Roman" w:cs="Times New Roman"/>
          <w:sz w:val="24"/>
          <w:szCs w:val="24"/>
        </w:rPr>
        <w:t xml:space="preserve"> </w:t>
      </w:r>
      <w:r w:rsidR="000E41BF" w:rsidRPr="000E41BF">
        <w:rPr>
          <w:rFonts w:ascii="Times New Roman" w:eastAsia="Times New Roman" w:hAnsi="Times New Roman" w:cs="Times New Roman"/>
          <w:sz w:val="24"/>
          <w:szCs w:val="24"/>
        </w:rPr>
        <w:t>Table 4</w:t>
      </w:r>
      <w:r w:rsidR="000E41BF">
        <w:rPr>
          <w:rFonts w:ascii="Times New Roman" w:eastAsia="Times New Roman" w:hAnsi="Times New Roman" w:cs="Times New Roman"/>
          <w:sz w:val="24"/>
          <w:szCs w:val="24"/>
        </w:rPr>
        <w:t xml:space="preserve"> provides </w:t>
      </w:r>
      <w:r w:rsidR="000E41BF" w:rsidRPr="000E41BF">
        <w:rPr>
          <w:rFonts w:ascii="Times New Roman" w:eastAsia="Times New Roman" w:hAnsi="Times New Roman" w:cs="Times New Roman"/>
          <w:sz w:val="24"/>
          <w:szCs w:val="24"/>
        </w:rPr>
        <w:t>comparative summary of alternative governance approaches to plant intellectual property</w:t>
      </w:r>
      <w:r w:rsidR="000E41BF">
        <w:rPr>
          <w:rFonts w:ascii="Times New Roman" w:eastAsia="Times New Roman" w:hAnsi="Times New Roman" w:cs="Times New Roman"/>
          <w:sz w:val="24"/>
          <w:szCs w:val="24"/>
        </w:rPr>
        <w:t>.</w:t>
      </w:r>
    </w:p>
    <w:p w14:paraId="6AD22508"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4: Comparative Summary of Alternative Governance Approaches to Plant Intellectual Property</w:t>
      </w:r>
    </w:p>
    <w:tbl>
      <w:tblPr>
        <w:tblStyle w:val="TableGrid"/>
        <w:tblW w:w="0" w:type="auto"/>
        <w:tblLook w:val="04A0" w:firstRow="1" w:lastRow="0" w:firstColumn="1" w:lastColumn="0" w:noHBand="0" w:noVBand="1"/>
      </w:tblPr>
      <w:tblGrid>
        <w:gridCol w:w="2158"/>
        <w:gridCol w:w="2448"/>
        <w:gridCol w:w="2312"/>
        <w:gridCol w:w="2324"/>
      </w:tblGrid>
      <w:tr w:rsidR="004137AA" w:rsidRPr="004137AA" w14:paraId="2DC7C895" w14:textId="77777777" w:rsidTr="00EF698D">
        <w:tc>
          <w:tcPr>
            <w:tcW w:w="0" w:type="auto"/>
            <w:hideMark/>
          </w:tcPr>
          <w:p w14:paraId="1AE393A0"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Approach</w:t>
            </w:r>
          </w:p>
        </w:tc>
        <w:tc>
          <w:tcPr>
            <w:tcW w:w="0" w:type="auto"/>
            <w:hideMark/>
          </w:tcPr>
          <w:p w14:paraId="27A3345F"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Core Mechanism</w:t>
            </w:r>
          </w:p>
        </w:tc>
        <w:tc>
          <w:tcPr>
            <w:tcW w:w="0" w:type="auto"/>
            <w:hideMark/>
          </w:tcPr>
          <w:p w14:paraId="3B1CF2C9"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Key Advantage</w:t>
            </w:r>
          </w:p>
        </w:tc>
        <w:tc>
          <w:tcPr>
            <w:tcW w:w="0" w:type="auto"/>
            <w:hideMark/>
          </w:tcPr>
          <w:p w14:paraId="609ACD6D" w14:textId="77777777" w:rsidR="004137AA" w:rsidRPr="004137AA" w:rsidRDefault="004137AA" w:rsidP="004137AA">
            <w:pPr>
              <w:jc w:val="center"/>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Key Limitation</w:t>
            </w:r>
          </w:p>
        </w:tc>
      </w:tr>
      <w:tr w:rsidR="004137AA" w:rsidRPr="004137AA" w14:paraId="1E63438F" w14:textId="77777777" w:rsidTr="00EF698D">
        <w:tc>
          <w:tcPr>
            <w:tcW w:w="0" w:type="auto"/>
            <w:hideMark/>
          </w:tcPr>
          <w:p w14:paraId="6466CAE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Open Source Seed Pledge (OSSI)</w:t>
            </w:r>
          </w:p>
        </w:tc>
        <w:tc>
          <w:tcPr>
            <w:tcW w:w="0" w:type="auto"/>
            <w:hideMark/>
          </w:tcPr>
          <w:p w14:paraId="5681EFE8"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Voluntary moral commitment; no formal IP</w:t>
            </w:r>
          </w:p>
        </w:tc>
        <w:tc>
          <w:tcPr>
            <w:tcW w:w="0" w:type="auto"/>
            <w:hideMark/>
          </w:tcPr>
          <w:p w14:paraId="51DD6CC6"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Low transaction cost; accessible to smallholders</w:t>
            </w:r>
          </w:p>
        </w:tc>
        <w:tc>
          <w:tcPr>
            <w:tcW w:w="0" w:type="auto"/>
            <w:hideMark/>
          </w:tcPr>
          <w:p w14:paraId="36A2CB6F"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Limited legal enforceability; small market coverage</w:t>
            </w:r>
          </w:p>
        </w:tc>
      </w:tr>
      <w:tr w:rsidR="004137AA" w:rsidRPr="004137AA" w14:paraId="6BF5D868" w14:textId="77777777" w:rsidTr="00EF698D">
        <w:tc>
          <w:tcPr>
            <w:tcW w:w="0" w:type="auto"/>
            <w:hideMark/>
          </w:tcPr>
          <w:p w14:paraId="61237D7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Open Source Seeds Licence (Germany)</w:t>
            </w:r>
          </w:p>
        </w:tc>
        <w:tc>
          <w:tcPr>
            <w:tcW w:w="0" w:type="auto"/>
            <w:hideMark/>
          </w:tcPr>
          <w:p w14:paraId="2990569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Contractual "copyleft" licensing</w:t>
            </w:r>
          </w:p>
        </w:tc>
        <w:tc>
          <w:tcPr>
            <w:tcW w:w="0" w:type="auto"/>
            <w:hideMark/>
          </w:tcPr>
          <w:p w14:paraId="21574A2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Legally enforceable; prevents privatisation of derivatives</w:t>
            </w:r>
          </w:p>
        </w:tc>
        <w:tc>
          <w:tcPr>
            <w:tcW w:w="0" w:type="auto"/>
            <w:hideMark/>
          </w:tcPr>
          <w:p w14:paraId="2CC3BB5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Complexity; jurisdictional limits</w:t>
            </w:r>
          </w:p>
        </w:tc>
      </w:tr>
      <w:tr w:rsidR="004137AA" w:rsidRPr="004137AA" w14:paraId="5532ADF4" w14:textId="77777777" w:rsidTr="00EF698D">
        <w:tc>
          <w:tcPr>
            <w:tcW w:w="0" w:type="auto"/>
            <w:hideMark/>
          </w:tcPr>
          <w:p w14:paraId="517C00A5"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 Pools / Clearinghouses</w:t>
            </w:r>
          </w:p>
        </w:tc>
        <w:tc>
          <w:tcPr>
            <w:tcW w:w="0" w:type="auto"/>
            <w:hideMark/>
          </w:tcPr>
          <w:p w14:paraId="1D31A55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Collective licensing at standard terms</w:t>
            </w:r>
          </w:p>
        </w:tc>
        <w:tc>
          <w:tcPr>
            <w:tcW w:w="0" w:type="auto"/>
            <w:hideMark/>
          </w:tcPr>
          <w:p w14:paraId="149FD31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Reduces transaction costs; broadens access</w:t>
            </w:r>
          </w:p>
        </w:tc>
        <w:tc>
          <w:tcPr>
            <w:tcW w:w="0" w:type="auto"/>
            <w:hideMark/>
          </w:tcPr>
          <w:p w14:paraId="5271075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Requires major patent holder participation</w:t>
            </w:r>
          </w:p>
        </w:tc>
      </w:tr>
      <w:tr w:rsidR="004137AA" w:rsidRPr="004137AA" w14:paraId="7C5B820B" w14:textId="77777777" w:rsidTr="00EF698D">
        <w:tc>
          <w:tcPr>
            <w:tcW w:w="0" w:type="auto"/>
            <w:hideMark/>
          </w:tcPr>
          <w:p w14:paraId="14484954"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Compulsory Licensing</w:t>
            </w:r>
          </w:p>
        </w:tc>
        <w:tc>
          <w:tcPr>
            <w:tcW w:w="0" w:type="auto"/>
            <w:hideMark/>
          </w:tcPr>
          <w:p w14:paraId="3431CD45"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Government-mandated licensing for public interest</w:t>
            </w:r>
          </w:p>
        </w:tc>
        <w:tc>
          <w:tcPr>
            <w:tcW w:w="0" w:type="auto"/>
            <w:hideMark/>
          </w:tcPr>
          <w:p w14:paraId="759C9AEB"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Addresses extreme access barriers</w:t>
            </w:r>
          </w:p>
        </w:tc>
        <w:tc>
          <w:tcPr>
            <w:tcW w:w="0" w:type="auto"/>
            <w:hideMark/>
          </w:tcPr>
          <w:p w14:paraId="13F014D2"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Politically contentious; may deter future investment</w:t>
            </w:r>
          </w:p>
        </w:tc>
      </w:tr>
      <w:tr w:rsidR="004137AA" w:rsidRPr="004137AA" w14:paraId="675EC308" w14:textId="77777777" w:rsidTr="00EF698D">
        <w:tc>
          <w:tcPr>
            <w:tcW w:w="0" w:type="auto"/>
            <w:hideMark/>
          </w:tcPr>
          <w:p w14:paraId="5D98E451"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NGT Patent Ban (EU Parliament proposal)</w:t>
            </w:r>
          </w:p>
        </w:tc>
        <w:tc>
          <w:tcPr>
            <w:tcW w:w="0" w:type="auto"/>
            <w:hideMark/>
          </w:tcPr>
          <w:p w14:paraId="4D7BEF3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Legislative prohibition of patents on gene-edited plants</w:t>
            </w:r>
          </w:p>
        </w:tc>
        <w:tc>
          <w:tcPr>
            <w:tcW w:w="0" w:type="auto"/>
            <w:hideMark/>
          </w:tcPr>
          <w:p w14:paraId="2695BBA6"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Prevents lock-in of natural genetic traits; supports SME breeders</w:t>
            </w:r>
          </w:p>
        </w:tc>
        <w:tc>
          <w:tcPr>
            <w:tcW w:w="0" w:type="auto"/>
            <w:hideMark/>
          </w:tcPr>
          <w:p w14:paraId="594C8387"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Legal uncertainty; may drive innovation towards secrecy</w:t>
            </w:r>
          </w:p>
        </w:tc>
      </w:tr>
      <w:tr w:rsidR="004137AA" w:rsidRPr="004137AA" w14:paraId="2F45CF53" w14:textId="77777777" w:rsidTr="00EF698D">
        <w:tc>
          <w:tcPr>
            <w:tcW w:w="0" w:type="auto"/>
            <w:hideMark/>
          </w:tcPr>
          <w:p w14:paraId="396D06D0"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Independent Licensing Platform</w:t>
            </w:r>
          </w:p>
        </w:tc>
        <w:tc>
          <w:tcPr>
            <w:tcW w:w="0" w:type="auto"/>
            <w:hideMark/>
          </w:tcPr>
          <w:p w14:paraId="26AB2B89"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Fair cost pricing via independent expert process; mutual non-assertion</w:t>
            </w:r>
          </w:p>
        </w:tc>
        <w:tc>
          <w:tcPr>
            <w:tcW w:w="0" w:type="auto"/>
            <w:hideMark/>
          </w:tcPr>
          <w:p w14:paraId="0FB1F5AC"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Transparent access at fair costs; global scope</w:t>
            </w:r>
          </w:p>
        </w:tc>
        <w:tc>
          <w:tcPr>
            <w:tcW w:w="0" w:type="auto"/>
            <w:hideMark/>
          </w:tcPr>
          <w:p w14:paraId="392A853A" w14:textId="77777777" w:rsidR="004137AA" w:rsidRPr="004137AA" w:rsidRDefault="004137AA" w:rsidP="004137AA">
            <w:pPr>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Requires voluntary participation of rights holders</w:t>
            </w:r>
          </w:p>
        </w:tc>
      </w:tr>
    </w:tbl>
    <w:p w14:paraId="242F610C"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lastRenderedPageBreak/>
        <w:t xml:space="preserve">Sources: </w:t>
      </w:r>
      <w:proofErr w:type="spellStart"/>
      <w:r w:rsidRPr="004137AA">
        <w:rPr>
          <w:rFonts w:ascii="Times New Roman" w:eastAsia="Times New Roman" w:hAnsi="Times New Roman" w:cs="Times New Roman"/>
          <w:i/>
          <w:iCs/>
          <w:sz w:val="24"/>
          <w:szCs w:val="24"/>
        </w:rPr>
        <w:t>Kotschi</w:t>
      </w:r>
      <w:proofErr w:type="spellEnd"/>
      <w:r w:rsidRPr="004137AA">
        <w:rPr>
          <w:rFonts w:ascii="Times New Roman" w:eastAsia="Times New Roman" w:hAnsi="Times New Roman" w:cs="Times New Roman"/>
          <w:i/>
          <w:iCs/>
          <w:sz w:val="24"/>
          <w:szCs w:val="24"/>
        </w:rPr>
        <w:t xml:space="preserve"> &amp; </w:t>
      </w:r>
      <w:proofErr w:type="spellStart"/>
      <w:r w:rsidRPr="004137AA">
        <w:rPr>
          <w:rFonts w:ascii="Times New Roman" w:eastAsia="Times New Roman" w:hAnsi="Times New Roman" w:cs="Times New Roman"/>
          <w:i/>
          <w:iCs/>
          <w:sz w:val="24"/>
          <w:szCs w:val="24"/>
        </w:rPr>
        <w:t>Horneburg</w:t>
      </w:r>
      <w:proofErr w:type="spellEnd"/>
      <w:r w:rsidRPr="004137AA">
        <w:rPr>
          <w:rFonts w:ascii="Times New Roman" w:eastAsia="Times New Roman" w:hAnsi="Times New Roman" w:cs="Times New Roman"/>
          <w:i/>
          <w:iCs/>
          <w:sz w:val="24"/>
          <w:szCs w:val="24"/>
        </w:rPr>
        <w:t xml:space="preserve"> (2018); Luby &amp; Goldman (2016); </w:t>
      </w:r>
      <w:proofErr w:type="spellStart"/>
      <w:r w:rsidRPr="004137AA">
        <w:rPr>
          <w:rFonts w:ascii="Times New Roman" w:eastAsia="Times New Roman" w:hAnsi="Times New Roman" w:cs="Times New Roman"/>
          <w:i/>
          <w:iCs/>
          <w:sz w:val="24"/>
          <w:szCs w:val="24"/>
        </w:rPr>
        <w:t>Louwaars</w:t>
      </w:r>
      <w:proofErr w:type="spellEnd"/>
      <w:r w:rsidRPr="004137AA">
        <w:rPr>
          <w:rFonts w:ascii="Times New Roman" w:eastAsia="Times New Roman" w:hAnsi="Times New Roman" w:cs="Times New Roman"/>
          <w:i/>
          <w:iCs/>
          <w:sz w:val="24"/>
          <w:szCs w:val="24"/>
        </w:rPr>
        <w:t xml:space="preserve"> (2019); Kock (2021); Jiang et al. (2025); Lukasiewicz et al. (2024).</w:t>
      </w:r>
    </w:p>
    <w:p w14:paraId="48AABE2F" w14:textId="77777777" w:rsidR="004137AA" w:rsidRPr="004137AA" w:rsidRDefault="004137AA" w:rsidP="004137AA">
      <w:pPr>
        <w:spacing w:after="0" w:line="240" w:lineRule="auto"/>
        <w:rPr>
          <w:rFonts w:ascii="Times New Roman" w:eastAsia="Times New Roman" w:hAnsi="Times New Roman" w:cs="Times New Roman"/>
          <w:sz w:val="24"/>
          <w:szCs w:val="24"/>
        </w:rPr>
      </w:pPr>
      <w:bookmarkStart w:id="0" w:name="_GoBack"/>
      <w:bookmarkEnd w:id="0"/>
    </w:p>
    <w:p w14:paraId="594EED16"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9. Conclusions</w:t>
      </w:r>
    </w:p>
    <w:p w14:paraId="43EA40EE"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patenting of biotechnology innovations in plant breeding has created a system of extraordinary complexity and, on any impartial assessment, significant inequity. The fundamental tension within this system is between two legitimate but often competing goods: the incentivisation of costly, specialised research and development through the promise of temporary monopoly profits, and the maintenance of open access to the genetic and technological resources that make cumulative plant improvement possible. The evidence reviewed in this article suggests that the current balance is substantially misaligned, favouring the former at the expense of the latter, and that the costs of this misalignment fall disproportionately on public-sector breeders, smallholder farmers, developing countries, and the agrobiodiversity commons.</w:t>
      </w:r>
    </w:p>
    <w:p w14:paraId="0CC9BF6F"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concentration of patent portfolios in the hands of four transnational agrochemical corporations has restructured the global seed industry in ways that serve commercial efficiency but undermine diversity of innovation, agricultural resilience, and farmers' autonomy. The emergence of CRISPR-based genome editing has introduced new possibilities for democratised plant improvement, but also new layers of patent complexity that threaten to replicate the barriers that already limit access to first-generation transgenic technologies. The inadequacy of existing international governance frameworks — from UPOV's increasingly strained relationship with genomic technologies, to the Nagoya Protocol's transaction-cost-laden access regime, to the belated and incomplete attempt of the 2024 WIPO GRATK Treaty to address biopiracy — reflects the difficulty of adapting inherited legal instruments to a rapidly evolving technological environment.</w:t>
      </w:r>
    </w:p>
    <w:p w14:paraId="32C1B80D"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Alternative models — open-source seeds, patent pools, integrated licensing platforms, and compulsory licensing — offer partial solutions that merit much greater policy attention and institutional support than they have thus far received. The European Union's NGT regulation debate, for all its complexity and contestation, represents one of the most serious contemporary engagements with the question of how plant IP rules should be designed in the public interest, and its ultimate legislative resolution will be closely watched and may set precedents for other jurisdictions.</w:t>
      </w:r>
    </w:p>
    <w:p w14:paraId="4CBEA370"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overarching lesson of this review is that intellectual property in plant breeding is not merely a technical legal question but a deeply political one, with far-reaching consequences for who has access to the means of food production, who benefits from agricultural innovation, and whether the biodiversity that underpins long-term agricultural resilience can be conserved against the enclosure pressures of a proprietary seed system. Addressing these questions will require not only legal reform but a broader </w:t>
      </w:r>
      <w:proofErr w:type="spellStart"/>
      <w:r w:rsidRPr="004137AA">
        <w:rPr>
          <w:rFonts w:ascii="Times New Roman" w:eastAsia="Times New Roman" w:hAnsi="Times New Roman" w:cs="Times New Roman"/>
          <w:sz w:val="24"/>
          <w:szCs w:val="24"/>
        </w:rPr>
        <w:t>reconceptualisation</w:t>
      </w:r>
      <w:proofErr w:type="spellEnd"/>
      <w:r w:rsidRPr="004137AA">
        <w:rPr>
          <w:rFonts w:ascii="Times New Roman" w:eastAsia="Times New Roman" w:hAnsi="Times New Roman" w:cs="Times New Roman"/>
          <w:sz w:val="24"/>
          <w:szCs w:val="24"/>
        </w:rPr>
        <w:t xml:space="preserve"> of plant genetic resources as a shared heritage with both scientific and cultural dimensions — a </w:t>
      </w:r>
      <w:proofErr w:type="spellStart"/>
      <w:r w:rsidRPr="004137AA">
        <w:rPr>
          <w:rFonts w:ascii="Times New Roman" w:eastAsia="Times New Roman" w:hAnsi="Times New Roman" w:cs="Times New Roman"/>
          <w:sz w:val="24"/>
          <w:szCs w:val="24"/>
        </w:rPr>
        <w:t>reconceptualisation</w:t>
      </w:r>
      <w:proofErr w:type="spellEnd"/>
      <w:r w:rsidRPr="004137AA">
        <w:rPr>
          <w:rFonts w:ascii="Times New Roman" w:eastAsia="Times New Roman" w:hAnsi="Times New Roman" w:cs="Times New Roman"/>
          <w:sz w:val="24"/>
          <w:szCs w:val="24"/>
        </w:rPr>
        <w:t xml:space="preserve"> that the letter of international law has intermittently acknowledged but that practice has consistently struggled to operationalise.</w:t>
      </w:r>
    </w:p>
    <w:p w14:paraId="4890DBED"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7851DD93"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lastRenderedPageBreak/>
        <w:t>10. Limitations</w:t>
      </w:r>
    </w:p>
    <w:p w14:paraId="77AE3F5E" w14:textId="77777777" w:rsidR="004137AA" w:rsidRPr="004137AA" w:rsidRDefault="004137AA" w:rsidP="004137AA">
      <w:pPr>
        <w:spacing w:before="100" w:beforeAutospacing="1" w:after="100" w:afterAutospacing="1" w:line="240" w:lineRule="auto"/>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This review carries several inherent limitations that should be acknowledged. The primary selection of literature in English means that important scholarship published in other languages — including significant bodies of work on plant variety protection in French, German, Spanish, and Japanese — may have been inadequately represented. The rapidly evolving regulatory landscape, particularly in the European Union and in countries adopting new genomic technique regulations, means that some policy developments reported in verified sources may have been superseded by legislative events occurring after the search date of May 2026. The narrative review methodology, while appropriate to the interdisciplinary scope of the topic, introduces a degree of selectivity that a fully systematic review would avoid; the synthesis reflects the authors' interpretive judgement about which themes and tensions are most significant, and other reviewers might have weighted different evidence differently. Finally, the economic literature on plant patent impacts is largely drawn from North American and European contexts, and the generalisation of its findings to agricultural systems in South and Southeast Asia, Sub-Saharan Africa, and Latin America — where smallholder farming systems, seed-saving practices, and IP enforcement environments differ fundamentally — should be undertaken with appropriate caution.</w:t>
      </w:r>
    </w:p>
    <w:p w14:paraId="72C1F9CC" w14:textId="77777777" w:rsidR="004137AA" w:rsidRPr="004137AA" w:rsidRDefault="004137AA" w:rsidP="004137AA">
      <w:pPr>
        <w:spacing w:after="0" w:line="240" w:lineRule="auto"/>
        <w:rPr>
          <w:rFonts w:ascii="Times New Roman" w:eastAsia="Times New Roman" w:hAnsi="Times New Roman" w:cs="Times New Roman"/>
          <w:sz w:val="24"/>
          <w:szCs w:val="24"/>
        </w:rPr>
      </w:pPr>
    </w:p>
    <w:p w14:paraId="169902AB" w14:textId="77777777" w:rsidR="004137AA" w:rsidRPr="004137AA" w:rsidRDefault="004137AA" w:rsidP="004137AA">
      <w:pPr>
        <w:spacing w:before="100" w:beforeAutospacing="1" w:after="100" w:afterAutospacing="1" w:line="240" w:lineRule="auto"/>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References</w:t>
      </w:r>
    </w:p>
    <w:p w14:paraId="070821D5" w14:textId="77777777" w:rsidR="00EF698D" w:rsidRPr="00EF698D" w:rsidRDefault="00EF698D" w:rsidP="00EF698D">
      <w:pPr>
        <w:pStyle w:val="NormalWeb"/>
        <w:rPr>
          <w:lang w:val="en-GB"/>
        </w:rPr>
      </w:pPr>
      <w:r w:rsidRPr="00EF698D">
        <w:rPr>
          <w:lang w:val="en-GB"/>
        </w:rPr>
        <w:t xml:space="preserve">Bartkowski, B., Theesfeld, I., </w:t>
      </w:r>
      <w:proofErr w:type="spellStart"/>
      <w:r w:rsidRPr="00EF698D">
        <w:rPr>
          <w:lang w:val="en-GB"/>
        </w:rPr>
        <w:t>Pirscher</w:t>
      </w:r>
      <w:proofErr w:type="spellEnd"/>
      <w:r w:rsidRPr="00EF698D">
        <w:rPr>
          <w:lang w:val="en-GB"/>
        </w:rPr>
        <w:t xml:space="preserve">, F., &amp; Timaeus, J. (2018). Snipping around for food: Economic, ethical and policy implications of CRISPR/Cas genome editing. </w:t>
      </w:r>
      <w:proofErr w:type="spellStart"/>
      <w:r w:rsidRPr="00EF698D">
        <w:rPr>
          <w:rStyle w:val="Emphasis"/>
          <w:lang w:val="en-GB"/>
        </w:rPr>
        <w:t>Geoforum</w:t>
      </w:r>
      <w:proofErr w:type="spellEnd"/>
      <w:r w:rsidRPr="00EF698D">
        <w:rPr>
          <w:rStyle w:val="Emphasis"/>
          <w:lang w:val="en-GB"/>
        </w:rPr>
        <w:t>, 96</w:t>
      </w:r>
      <w:r w:rsidRPr="00EF698D">
        <w:rPr>
          <w:lang w:val="en-GB"/>
        </w:rPr>
        <w:t xml:space="preserve">, 172–180. </w:t>
      </w:r>
      <w:hyperlink r:id="rId7" w:tgtFrame="_new" w:history="1">
        <w:r w:rsidRPr="00EF698D">
          <w:rPr>
            <w:rStyle w:val="Hyperlink"/>
            <w:lang w:val="en-GB"/>
          </w:rPr>
          <w:t>https://doi.org/10.1016/j.geoforum.2018.07.017</w:t>
        </w:r>
      </w:hyperlink>
    </w:p>
    <w:p w14:paraId="5E069556" w14:textId="77777777" w:rsidR="00EF698D" w:rsidRPr="00EF698D" w:rsidRDefault="00EF698D" w:rsidP="00EF698D">
      <w:pPr>
        <w:pStyle w:val="NormalWeb"/>
        <w:rPr>
          <w:lang w:val="en-GB"/>
        </w:rPr>
      </w:pPr>
      <w:r w:rsidRPr="00EF698D">
        <w:rPr>
          <w:lang w:val="en-GB"/>
        </w:rPr>
        <w:t xml:space="preserve">Batur, F., &amp; </w:t>
      </w:r>
      <w:proofErr w:type="spellStart"/>
      <w:r w:rsidRPr="00EF698D">
        <w:rPr>
          <w:lang w:val="en-GB"/>
        </w:rPr>
        <w:t>Dedeurwaerdere</w:t>
      </w:r>
      <w:proofErr w:type="spellEnd"/>
      <w:r w:rsidRPr="00EF698D">
        <w:rPr>
          <w:lang w:val="en-GB"/>
        </w:rPr>
        <w:t xml:space="preserve">, T. (2014). The use of agrobiodiversity for plant improvement and the intellectual property paradigm: Institutional fit and legal tools for mass selection, conventional and molecular plant breeding. </w:t>
      </w:r>
      <w:r w:rsidRPr="00EF698D">
        <w:rPr>
          <w:rStyle w:val="Emphasis"/>
          <w:lang w:val="en-GB"/>
        </w:rPr>
        <w:t>Life Sciences, Society and Policy, 10</w:t>
      </w:r>
      <w:r w:rsidRPr="00EF698D">
        <w:rPr>
          <w:lang w:val="en-GB"/>
        </w:rPr>
        <w:t xml:space="preserve">, Article 14. </w:t>
      </w:r>
      <w:hyperlink r:id="rId8" w:tgtFrame="_new" w:history="1">
        <w:r w:rsidRPr="00EF698D">
          <w:rPr>
            <w:rStyle w:val="Hyperlink"/>
            <w:lang w:val="en-GB"/>
          </w:rPr>
          <w:t>https://doi.org/10.1186/s40504-014-0014-7</w:t>
        </w:r>
      </w:hyperlink>
    </w:p>
    <w:p w14:paraId="3D9BDD7B" w14:textId="77777777" w:rsidR="00EF698D" w:rsidRPr="00EF698D" w:rsidRDefault="00EF698D" w:rsidP="00EF698D">
      <w:pPr>
        <w:pStyle w:val="NormalWeb"/>
        <w:rPr>
          <w:lang w:val="en-GB"/>
        </w:rPr>
      </w:pPr>
      <w:r w:rsidRPr="00EF698D">
        <w:rPr>
          <w:lang w:val="en-GB"/>
        </w:rPr>
        <w:t xml:space="preserve">Bostyn, S. J. R. (2021). Towards a fair scope of protection for plant breeders’ rights in an era of new breeding techniques: Proposals for a modernization of the essentially derived variety concept. </w:t>
      </w:r>
      <w:r w:rsidRPr="00EF698D">
        <w:rPr>
          <w:rStyle w:val="Emphasis"/>
          <w:lang w:val="en-GB"/>
        </w:rPr>
        <w:t>Agronomy, 11</w:t>
      </w:r>
      <w:r w:rsidRPr="00EF698D">
        <w:rPr>
          <w:lang w:val="en-GB"/>
        </w:rPr>
        <w:t xml:space="preserve">(8), Article 1511. </w:t>
      </w:r>
      <w:hyperlink r:id="rId9" w:tgtFrame="_new" w:history="1">
        <w:r w:rsidRPr="00EF698D">
          <w:rPr>
            <w:rStyle w:val="Hyperlink"/>
            <w:lang w:val="en-GB"/>
          </w:rPr>
          <w:t>https://doi.org/10.3390/agronomy11081511</w:t>
        </w:r>
      </w:hyperlink>
    </w:p>
    <w:p w14:paraId="1F8C9E56" w14:textId="77777777" w:rsidR="00EF698D" w:rsidRPr="00EF698D" w:rsidRDefault="00EF698D" w:rsidP="00EF698D">
      <w:pPr>
        <w:pStyle w:val="NormalWeb"/>
        <w:rPr>
          <w:lang w:val="en-GB"/>
        </w:rPr>
      </w:pPr>
      <w:r w:rsidRPr="00EF698D">
        <w:rPr>
          <w:lang w:val="en-GB"/>
        </w:rPr>
        <w:t xml:space="preserve">Brink, M., &amp; van </w:t>
      </w:r>
      <w:proofErr w:type="spellStart"/>
      <w:r w:rsidRPr="00EF698D">
        <w:rPr>
          <w:lang w:val="en-GB"/>
        </w:rPr>
        <w:t>Hintum</w:t>
      </w:r>
      <w:proofErr w:type="spellEnd"/>
      <w:r w:rsidRPr="00EF698D">
        <w:rPr>
          <w:lang w:val="en-GB"/>
        </w:rPr>
        <w:t xml:space="preserve">, T. J. L. (2022). Practical consequences of digital sequence information (DSI) definitions and access and benefit-sharing scenarios from a plant </w:t>
      </w:r>
      <w:proofErr w:type="spellStart"/>
      <w:r w:rsidRPr="00EF698D">
        <w:rPr>
          <w:lang w:val="en-GB"/>
        </w:rPr>
        <w:t>genebank’s</w:t>
      </w:r>
      <w:proofErr w:type="spellEnd"/>
      <w:r w:rsidRPr="00EF698D">
        <w:rPr>
          <w:lang w:val="en-GB"/>
        </w:rPr>
        <w:t xml:space="preserve"> perspective. </w:t>
      </w:r>
      <w:r w:rsidRPr="00EF698D">
        <w:rPr>
          <w:rStyle w:val="Emphasis"/>
          <w:lang w:val="en-GB"/>
        </w:rPr>
        <w:t>Plants, People, Planet, 4</w:t>
      </w:r>
      <w:r w:rsidRPr="00EF698D">
        <w:rPr>
          <w:lang w:val="en-GB"/>
        </w:rPr>
        <w:t xml:space="preserve">(1), 23–32. </w:t>
      </w:r>
      <w:hyperlink r:id="rId10" w:tgtFrame="_new" w:history="1">
        <w:r w:rsidRPr="00EF698D">
          <w:rPr>
            <w:rStyle w:val="Hyperlink"/>
            <w:lang w:val="en-GB"/>
          </w:rPr>
          <w:t>https://doi.org/10.1002/ppp3.10201</w:t>
        </w:r>
      </w:hyperlink>
    </w:p>
    <w:p w14:paraId="70A31D3C" w14:textId="77777777" w:rsidR="00EF698D" w:rsidRPr="00EF698D" w:rsidRDefault="00EF698D" w:rsidP="00EF698D">
      <w:pPr>
        <w:pStyle w:val="NormalWeb"/>
        <w:rPr>
          <w:lang w:val="en-GB"/>
        </w:rPr>
      </w:pPr>
      <w:r w:rsidRPr="00EF698D">
        <w:rPr>
          <w:lang w:val="en-GB"/>
        </w:rPr>
        <w:t xml:space="preserve">Idris, S. H., Mat Jalaluddin, N. S., &amp; Chang, L. W. (2023). Ethical and legal implications of gene editing in plant breeding: A systematic literature review. </w:t>
      </w:r>
      <w:r w:rsidRPr="00EF698D">
        <w:rPr>
          <w:rStyle w:val="Emphasis"/>
          <w:lang w:val="en-GB"/>
        </w:rPr>
        <w:t>Journal of Zhejiang University-SCIENCE B, 24</w:t>
      </w:r>
      <w:r w:rsidRPr="00EF698D">
        <w:rPr>
          <w:lang w:val="en-GB"/>
        </w:rPr>
        <w:t xml:space="preserve">, 1093–1105. </w:t>
      </w:r>
      <w:hyperlink r:id="rId11" w:tgtFrame="_new" w:history="1">
        <w:r w:rsidRPr="00EF698D">
          <w:rPr>
            <w:rStyle w:val="Hyperlink"/>
            <w:lang w:val="en-GB"/>
          </w:rPr>
          <w:t>https://doi.org/10.1631/jzus.B2200601</w:t>
        </w:r>
      </w:hyperlink>
      <w:r w:rsidRPr="00EF698D">
        <w:rPr>
          <w:lang w:val="en-GB"/>
        </w:rPr>
        <w:t xml:space="preserve"> </w:t>
      </w:r>
    </w:p>
    <w:p w14:paraId="3CA57864" w14:textId="77777777" w:rsidR="00EF698D" w:rsidRPr="00EF698D" w:rsidRDefault="00EF698D" w:rsidP="00EF698D">
      <w:pPr>
        <w:pStyle w:val="NormalWeb"/>
        <w:rPr>
          <w:lang w:val="en-GB"/>
        </w:rPr>
      </w:pPr>
      <w:r w:rsidRPr="00EF698D">
        <w:rPr>
          <w:lang w:val="en-GB"/>
        </w:rPr>
        <w:t xml:space="preserve">Clancy, M. S., &amp; Moschini, G. (2017). Intellectual property rights and the ascent of proprietary innovation in agriculture. </w:t>
      </w:r>
      <w:r w:rsidRPr="00EF698D">
        <w:rPr>
          <w:rStyle w:val="Emphasis"/>
          <w:lang w:val="en-GB"/>
        </w:rPr>
        <w:t>Annual Review of Resource Economics, 9</w:t>
      </w:r>
      <w:r w:rsidRPr="00EF698D">
        <w:rPr>
          <w:lang w:val="en-GB"/>
        </w:rPr>
        <w:t xml:space="preserve">, 53–74. </w:t>
      </w:r>
      <w:hyperlink r:id="rId12" w:tgtFrame="_new" w:history="1">
        <w:r w:rsidRPr="00EF698D">
          <w:rPr>
            <w:rStyle w:val="Hyperlink"/>
            <w:lang w:val="en-GB"/>
          </w:rPr>
          <w:t>https://doi.org/10.1146/annurev-resource-100516-053524</w:t>
        </w:r>
      </w:hyperlink>
    </w:p>
    <w:p w14:paraId="330855E4" w14:textId="77777777" w:rsidR="00EF698D" w:rsidRPr="00EF698D" w:rsidRDefault="00EF698D" w:rsidP="00EF698D">
      <w:pPr>
        <w:pStyle w:val="NormalWeb"/>
        <w:rPr>
          <w:lang w:val="en-GB"/>
        </w:rPr>
      </w:pPr>
      <w:r w:rsidRPr="00EF698D">
        <w:rPr>
          <w:lang w:val="en-GB"/>
        </w:rPr>
        <w:lastRenderedPageBreak/>
        <w:t xml:space="preserve">Ebert, A. W., Engels, J. M. M., Schafleitner, R., van </w:t>
      </w:r>
      <w:proofErr w:type="spellStart"/>
      <w:r w:rsidRPr="00EF698D">
        <w:rPr>
          <w:lang w:val="en-GB"/>
        </w:rPr>
        <w:t>Hintum</w:t>
      </w:r>
      <w:proofErr w:type="spellEnd"/>
      <w:r w:rsidRPr="00EF698D">
        <w:rPr>
          <w:lang w:val="en-GB"/>
        </w:rPr>
        <w:t xml:space="preserve">, T. J. L., &amp; Mwila, G. (2023). Critical review of the increasing complexity of access and benefit-sharing policies of genetic resources for </w:t>
      </w:r>
      <w:proofErr w:type="spellStart"/>
      <w:r w:rsidRPr="00EF698D">
        <w:rPr>
          <w:lang w:val="en-GB"/>
        </w:rPr>
        <w:t>genebank</w:t>
      </w:r>
      <w:proofErr w:type="spellEnd"/>
      <w:r w:rsidRPr="00EF698D">
        <w:rPr>
          <w:lang w:val="en-GB"/>
        </w:rPr>
        <w:t xml:space="preserve"> curators and plant breeders: A public and private sector perspective. </w:t>
      </w:r>
      <w:r w:rsidRPr="00EF698D">
        <w:rPr>
          <w:rStyle w:val="Emphasis"/>
          <w:lang w:val="en-GB"/>
        </w:rPr>
        <w:t>Plants, 12</w:t>
      </w:r>
      <w:r w:rsidRPr="00EF698D">
        <w:rPr>
          <w:lang w:val="en-GB"/>
        </w:rPr>
        <w:t xml:space="preserve">(16), Article 2992. </w:t>
      </w:r>
      <w:hyperlink r:id="rId13" w:tgtFrame="_new" w:history="1">
        <w:r w:rsidRPr="00EF698D">
          <w:rPr>
            <w:rStyle w:val="Hyperlink"/>
            <w:lang w:val="en-GB"/>
          </w:rPr>
          <w:t>https://doi.org/10.3390/plants12162992</w:t>
        </w:r>
      </w:hyperlink>
    </w:p>
    <w:p w14:paraId="61D3E331" w14:textId="77777777" w:rsidR="00EF698D" w:rsidRPr="00EF698D" w:rsidRDefault="00EF698D" w:rsidP="00EF698D">
      <w:pPr>
        <w:pStyle w:val="NormalWeb"/>
        <w:rPr>
          <w:lang w:val="en-GB"/>
        </w:rPr>
      </w:pPr>
      <w:r w:rsidRPr="00EF698D">
        <w:rPr>
          <w:lang w:val="en-GB"/>
        </w:rPr>
        <w:t xml:space="preserve">Glenna, L. L. (2023). Are intellectual property policies for gene-edited crops fit for purpose? The perspectives of German scientists. </w:t>
      </w:r>
      <w:r w:rsidRPr="00EF698D">
        <w:rPr>
          <w:rStyle w:val="Emphasis"/>
          <w:lang w:val="en-GB"/>
        </w:rPr>
        <w:t>Plants, People, Planet, 5</w:t>
      </w:r>
      <w:r w:rsidRPr="00EF698D">
        <w:rPr>
          <w:lang w:val="en-GB"/>
        </w:rPr>
        <w:t xml:space="preserve">(6), 976–984. </w:t>
      </w:r>
      <w:hyperlink r:id="rId14" w:tgtFrame="_new" w:history="1">
        <w:r w:rsidRPr="00EF698D">
          <w:rPr>
            <w:rStyle w:val="Hyperlink"/>
            <w:lang w:val="en-GB"/>
          </w:rPr>
          <w:t>https://doi.org/10.1002/ppp3.10397</w:t>
        </w:r>
      </w:hyperlink>
    </w:p>
    <w:p w14:paraId="18BFC710" w14:textId="77777777" w:rsidR="00EF698D" w:rsidRPr="00EF698D" w:rsidRDefault="00EF698D" w:rsidP="00EF698D">
      <w:pPr>
        <w:pStyle w:val="NormalWeb"/>
        <w:rPr>
          <w:lang w:val="en-GB"/>
        </w:rPr>
      </w:pPr>
      <w:r w:rsidRPr="00EF698D">
        <w:rPr>
          <w:lang w:val="en-GB"/>
        </w:rPr>
        <w:t xml:space="preserve">Greenhalgh, T., Thorne, S., &amp; </w:t>
      </w:r>
      <w:proofErr w:type="spellStart"/>
      <w:r w:rsidRPr="00EF698D">
        <w:rPr>
          <w:lang w:val="en-GB"/>
        </w:rPr>
        <w:t>Malterud</w:t>
      </w:r>
      <w:proofErr w:type="spellEnd"/>
      <w:r w:rsidRPr="00EF698D">
        <w:rPr>
          <w:lang w:val="en-GB"/>
        </w:rPr>
        <w:t xml:space="preserve">, K. (2018). Time to challenge the spurious hierarchy of systematic over narrative reviews? </w:t>
      </w:r>
      <w:r w:rsidRPr="00EF698D">
        <w:rPr>
          <w:rStyle w:val="Emphasis"/>
          <w:lang w:val="en-GB"/>
        </w:rPr>
        <w:t>European Journal of Clinical Investigation, 48</w:t>
      </w:r>
      <w:r w:rsidRPr="00EF698D">
        <w:rPr>
          <w:lang w:val="en-GB"/>
        </w:rPr>
        <w:t xml:space="preserve">(6), Article e12931. </w:t>
      </w:r>
      <w:hyperlink r:id="rId15" w:tgtFrame="_new" w:history="1">
        <w:r w:rsidRPr="00EF698D">
          <w:rPr>
            <w:rStyle w:val="Hyperlink"/>
            <w:lang w:val="en-GB"/>
          </w:rPr>
          <w:t>https://doi.org/10.1111/eci.12931</w:t>
        </w:r>
      </w:hyperlink>
    </w:p>
    <w:p w14:paraId="104478BF" w14:textId="77777777" w:rsidR="00EF698D" w:rsidRPr="00EF698D" w:rsidRDefault="00EF698D" w:rsidP="00EF698D">
      <w:pPr>
        <w:pStyle w:val="NormalWeb"/>
        <w:rPr>
          <w:lang w:val="en-GB"/>
        </w:rPr>
      </w:pPr>
      <w:r w:rsidRPr="00EF698D">
        <w:rPr>
          <w:lang w:val="en-GB"/>
        </w:rPr>
        <w:t xml:space="preserve">Howard, P. H. (2015). Intellectual property and consolidation in the seed industry. </w:t>
      </w:r>
      <w:r w:rsidRPr="00EF698D">
        <w:rPr>
          <w:rStyle w:val="Emphasis"/>
          <w:lang w:val="en-GB"/>
        </w:rPr>
        <w:t>Crop Science, 55</w:t>
      </w:r>
      <w:r w:rsidRPr="00EF698D">
        <w:rPr>
          <w:lang w:val="en-GB"/>
        </w:rPr>
        <w:t xml:space="preserve">(6), 2489–2495. </w:t>
      </w:r>
      <w:hyperlink r:id="rId16" w:tgtFrame="_new" w:history="1">
        <w:r w:rsidRPr="00EF698D">
          <w:rPr>
            <w:rStyle w:val="Hyperlink"/>
            <w:lang w:val="en-GB"/>
          </w:rPr>
          <w:t>https://doi.org/10.2135/cropsci2014.09.0669</w:t>
        </w:r>
      </w:hyperlink>
    </w:p>
    <w:p w14:paraId="2DD8F940" w14:textId="77777777" w:rsidR="00EF698D" w:rsidRPr="00EF698D" w:rsidRDefault="00EF698D" w:rsidP="00EF698D">
      <w:pPr>
        <w:pStyle w:val="NormalWeb"/>
        <w:rPr>
          <w:lang w:val="en-GB"/>
        </w:rPr>
      </w:pPr>
      <w:r w:rsidRPr="00EF698D">
        <w:rPr>
          <w:lang w:val="en-GB"/>
        </w:rPr>
        <w:t xml:space="preserve">Jiang, L., Adcock, M., &amp; Yang, H. (2025). To patent or not to patent: Challenges and solutions to the patent ban on new genomic techniques plant in EU. </w:t>
      </w:r>
      <w:r w:rsidRPr="00EF698D">
        <w:rPr>
          <w:rStyle w:val="Emphasis"/>
          <w:lang w:val="en-GB"/>
        </w:rPr>
        <w:t>GM Crops &amp; Food, 16</w:t>
      </w:r>
      <w:r w:rsidRPr="00EF698D">
        <w:rPr>
          <w:lang w:val="en-GB"/>
        </w:rPr>
        <w:t xml:space="preserve">(1), 562–574. </w:t>
      </w:r>
      <w:hyperlink r:id="rId17" w:tgtFrame="_new" w:history="1">
        <w:r w:rsidRPr="00EF698D">
          <w:rPr>
            <w:rStyle w:val="Hyperlink"/>
            <w:lang w:val="en-GB"/>
          </w:rPr>
          <w:t>https://doi.org/10.1080/21645698.2025.2548638</w:t>
        </w:r>
      </w:hyperlink>
      <w:r w:rsidRPr="00EF698D">
        <w:rPr>
          <w:lang w:val="en-GB"/>
        </w:rPr>
        <w:t xml:space="preserve"> </w:t>
      </w:r>
    </w:p>
    <w:p w14:paraId="77DED920" w14:textId="77777777" w:rsidR="00EF698D" w:rsidRPr="00EF698D" w:rsidRDefault="00EF698D" w:rsidP="00EF698D">
      <w:pPr>
        <w:pStyle w:val="NormalWeb"/>
        <w:rPr>
          <w:lang w:val="en-GB"/>
        </w:rPr>
      </w:pPr>
      <w:r w:rsidRPr="00EF698D">
        <w:rPr>
          <w:lang w:val="en-GB"/>
        </w:rPr>
        <w:t xml:space="preserve">Khoury, C. K., Brush, S., Costich, D. E., Curry, H. A., de Haan, S., Engels, J. M. M., Guarino, L., Hoban, S., Mercer, K. L., Miller, A. J., Nabhan, G. P., Perales, H. R., Richards, C., Riggins, C., &amp; Thormann, I. (2022). Crop genetic erosion: Understanding and responding to loss of crop diversity. </w:t>
      </w:r>
      <w:r w:rsidRPr="00EF698D">
        <w:rPr>
          <w:rStyle w:val="Emphasis"/>
          <w:lang w:val="en-GB"/>
        </w:rPr>
        <w:t>New Phytologist, 233</w:t>
      </w:r>
      <w:r w:rsidRPr="00EF698D">
        <w:rPr>
          <w:lang w:val="en-GB"/>
        </w:rPr>
        <w:t xml:space="preserve">(1), 84–118. </w:t>
      </w:r>
      <w:hyperlink r:id="rId18" w:tgtFrame="_new" w:history="1">
        <w:r w:rsidRPr="00EF698D">
          <w:rPr>
            <w:rStyle w:val="Hyperlink"/>
            <w:lang w:val="en-GB"/>
          </w:rPr>
          <w:t>https://doi.org/10.1111/nph.17733</w:t>
        </w:r>
      </w:hyperlink>
    </w:p>
    <w:p w14:paraId="3B3C8867" w14:textId="77777777" w:rsidR="00EF698D" w:rsidRPr="00EF698D" w:rsidRDefault="00EF698D" w:rsidP="00EF698D">
      <w:pPr>
        <w:pStyle w:val="NormalWeb"/>
        <w:rPr>
          <w:lang w:val="en-GB"/>
        </w:rPr>
      </w:pPr>
      <w:r w:rsidRPr="00EF698D">
        <w:rPr>
          <w:lang w:val="en-GB"/>
        </w:rPr>
        <w:t xml:space="preserve">Kock, M. A. (2021). Open intellectual property models for plant innovations in the context of new breeding technologies. </w:t>
      </w:r>
      <w:r w:rsidRPr="00EF698D">
        <w:rPr>
          <w:rStyle w:val="Emphasis"/>
          <w:lang w:val="en-GB"/>
        </w:rPr>
        <w:t>Agronomy, 11</w:t>
      </w:r>
      <w:r w:rsidRPr="00EF698D">
        <w:rPr>
          <w:lang w:val="en-GB"/>
        </w:rPr>
        <w:t xml:space="preserve">(6), Article 1218. </w:t>
      </w:r>
      <w:hyperlink r:id="rId19" w:tgtFrame="_new" w:history="1">
        <w:r w:rsidRPr="00EF698D">
          <w:rPr>
            <w:rStyle w:val="Hyperlink"/>
            <w:lang w:val="en-GB"/>
          </w:rPr>
          <w:t>https://doi.org/10.3390/agronomy11061218</w:t>
        </w:r>
      </w:hyperlink>
    </w:p>
    <w:p w14:paraId="1C49A0ED" w14:textId="77777777" w:rsidR="00EF698D" w:rsidRPr="00EF698D" w:rsidRDefault="00EF698D" w:rsidP="00EF698D">
      <w:pPr>
        <w:pStyle w:val="NormalWeb"/>
        <w:rPr>
          <w:lang w:val="en-GB"/>
        </w:rPr>
      </w:pPr>
      <w:proofErr w:type="spellStart"/>
      <w:r w:rsidRPr="00EF698D">
        <w:rPr>
          <w:lang w:val="en-GB"/>
        </w:rPr>
        <w:t>Kotschi</w:t>
      </w:r>
      <w:proofErr w:type="spellEnd"/>
      <w:r w:rsidRPr="00EF698D">
        <w:rPr>
          <w:lang w:val="en-GB"/>
        </w:rPr>
        <w:t xml:space="preserve">, J., &amp; </w:t>
      </w:r>
      <w:proofErr w:type="spellStart"/>
      <w:r w:rsidRPr="00EF698D">
        <w:rPr>
          <w:lang w:val="en-GB"/>
        </w:rPr>
        <w:t>Horneburg</w:t>
      </w:r>
      <w:proofErr w:type="spellEnd"/>
      <w:r w:rsidRPr="00EF698D">
        <w:rPr>
          <w:lang w:val="en-GB"/>
        </w:rPr>
        <w:t xml:space="preserve">, B. (2018). The Open Source Seed Licence: A novel approach to safeguarding access to plant germplasm. </w:t>
      </w:r>
      <w:r w:rsidRPr="00EF698D">
        <w:rPr>
          <w:rStyle w:val="Emphasis"/>
          <w:lang w:val="en-GB"/>
        </w:rPr>
        <w:t>PLOS Biology, 16</w:t>
      </w:r>
      <w:r w:rsidRPr="00EF698D">
        <w:rPr>
          <w:lang w:val="en-GB"/>
        </w:rPr>
        <w:t xml:space="preserve">(10), Article e3000023. </w:t>
      </w:r>
      <w:hyperlink r:id="rId20" w:tgtFrame="_new" w:history="1">
        <w:r w:rsidRPr="00EF698D">
          <w:rPr>
            <w:rStyle w:val="Hyperlink"/>
            <w:lang w:val="en-GB"/>
          </w:rPr>
          <w:t>https://doi.org/10.1371/journal.pbio.3000023</w:t>
        </w:r>
      </w:hyperlink>
    </w:p>
    <w:p w14:paraId="4FAF5ED7" w14:textId="77777777" w:rsidR="00EF698D" w:rsidRPr="00EF698D" w:rsidRDefault="00EF698D" w:rsidP="00EF698D">
      <w:pPr>
        <w:pStyle w:val="NormalWeb"/>
        <w:rPr>
          <w:lang w:val="en-GB"/>
        </w:rPr>
      </w:pPr>
      <w:r w:rsidRPr="00EF698D">
        <w:rPr>
          <w:lang w:val="en-GB"/>
        </w:rPr>
        <w:t xml:space="preserve">Lawson, C. (2023). Propagating materials and harvested materials: Clarifying the scope of plant variety or breeder’s rights. </w:t>
      </w:r>
      <w:r w:rsidRPr="00EF698D">
        <w:rPr>
          <w:rStyle w:val="Emphasis"/>
          <w:lang w:val="en-GB"/>
        </w:rPr>
        <w:t>Journal of Intellectual Property Law &amp; Practice, 18</w:t>
      </w:r>
      <w:r w:rsidRPr="00EF698D">
        <w:rPr>
          <w:lang w:val="en-GB"/>
        </w:rPr>
        <w:t xml:space="preserve">(9), 655–672. </w:t>
      </w:r>
      <w:hyperlink r:id="rId21" w:tgtFrame="_new" w:history="1">
        <w:r w:rsidRPr="00EF698D">
          <w:rPr>
            <w:rStyle w:val="Hyperlink"/>
            <w:lang w:val="en-GB"/>
          </w:rPr>
          <w:t>https://doi.org/10.1093/jiplp/jpad065</w:t>
        </w:r>
      </w:hyperlink>
    </w:p>
    <w:p w14:paraId="15D64788" w14:textId="77777777" w:rsidR="00EF698D" w:rsidRPr="00EF698D" w:rsidRDefault="00EF698D" w:rsidP="00EF698D">
      <w:pPr>
        <w:pStyle w:val="NormalWeb"/>
        <w:rPr>
          <w:lang w:val="en-GB"/>
        </w:rPr>
      </w:pPr>
      <w:proofErr w:type="spellStart"/>
      <w:r w:rsidRPr="00EF698D">
        <w:rPr>
          <w:lang w:val="en-GB"/>
        </w:rPr>
        <w:t>Louwaars</w:t>
      </w:r>
      <w:proofErr w:type="spellEnd"/>
      <w:r w:rsidRPr="00EF698D">
        <w:rPr>
          <w:lang w:val="en-GB"/>
        </w:rPr>
        <w:t xml:space="preserve">, N. (2019). Open source seed, a revolution in breeding or yet another attack on the breeder’s exemption? </w:t>
      </w:r>
      <w:r w:rsidRPr="00EF698D">
        <w:rPr>
          <w:rStyle w:val="Emphasis"/>
          <w:lang w:val="en-GB"/>
        </w:rPr>
        <w:t>Frontiers in Plant Science, 10</w:t>
      </w:r>
      <w:r w:rsidRPr="00EF698D">
        <w:rPr>
          <w:lang w:val="en-GB"/>
        </w:rPr>
        <w:t xml:space="preserve">, Article 1127. </w:t>
      </w:r>
      <w:hyperlink r:id="rId22" w:tgtFrame="_new" w:history="1">
        <w:r w:rsidRPr="00EF698D">
          <w:rPr>
            <w:rStyle w:val="Hyperlink"/>
            <w:lang w:val="en-GB"/>
          </w:rPr>
          <w:t>https://doi.org/10.3389/fpls.2019.01127</w:t>
        </w:r>
      </w:hyperlink>
    </w:p>
    <w:p w14:paraId="5882F5AF" w14:textId="77777777" w:rsidR="00EF698D" w:rsidRPr="00EF698D" w:rsidRDefault="00EF698D" w:rsidP="00EF698D">
      <w:pPr>
        <w:pStyle w:val="NormalWeb"/>
        <w:rPr>
          <w:lang w:val="en-GB"/>
        </w:rPr>
      </w:pPr>
      <w:r w:rsidRPr="00EF698D">
        <w:rPr>
          <w:lang w:val="en-GB"/>
        </w:rPr>
        <w:t xml:space="preserve">Luby, C. H., &amp; Goldman, I. L. (2016). Freeing crop genetics through the Open Source Seed Initiative. </w:t>
      </w:r>
      <w:r w:rsidRPr="00EF698D">
        <w:rPr>
          <w:rStyle w:val="Emphasis"/>
          <w:lang w:val="en-GB"/>
        </w:rPr>
        <w:t>PLOS Biology, 14</w:t>
      </w:r>
      <w:r w:rsidRPr="00EF698D">
        <w:rPr>
          <w:lang w:val="en-GB"/>
        </w:rPr>
        <w:t xml:space="preserve">(4), Article e1002441. </w:t>
      </w:r>
      <w:hyperlink r:id="rId23" w:tgtFrame="_new" w:history="1">
        <w:r w:rsidRPr="00EF698D">
          <w:rPr>
            <w:rStyle w:val="Hyperlink"/>
            <w:lang w:val="en-GB"/>
          </w:rPr>
          <w:t>https://doi.org/10.1371/journal.pbio.1002441</w:t>
        </w:r>
      </w:hyperlink>
    </w:p>
    <w:p w14:paraId="33182D24" w14:textId="77777777" w:rsidR="00EF698D" w:rsidRPr="00EF698D" w:rsidRDefault="00EF698D" w:rsidP="00EF698D">
      <w:pPr>
        <w:pStyle w:val="NormalWeb"/>
        <w:rPr>
          <w:lang w:val="en-GB"/>
        </w:rPr>
      </w:pPr>
      <w:r w:rsidRPr="00EF698D">
        <w:rPr>
          <w:lang w:val="en-GB"/>
        </w:rPr>
        <w:t xml:space="preserve">Lukasiewicz, J. M., van de Wiel, C. C. M., Lotz, L. A. P., &amp; Smulders, M. J. M. (2024). Intellectual property rights and plants made by new genomic techniques: Access to technology and gene-edited traits in plant breeding. </w:t>
      </w:r>
      <w:r w:rsidRPr="00EF698D">
        <w:rPr>
          <w:rStyle w:val="Emphasis"/>
          <w:lang w:val="en-GB"/>
        </w:rPr>
        <w:t>Outlook on Agriculture, 53</w:t>
      </w:r>
      <w:r w:rsidRPr="00EF698D">
        <w:rPr>
          <w:lang w:val="en-GB"/>
        </w:rPr>
        <w:t xml:space="preserve">(3), 205–215. </w:t>
      </w:r>
      <w:hyperlink r:id="rId24" w:tgtFrame="_new" w:history="1">
        <w:r w:rsidRPr="00EF698D">
          <w:rPr>
            <w:rStyle w:val="Hyperlink"/>
            <w:lang w:val="en-GB"/>
          </w:rPr>
          <w:t>https://doi.org/10.1177/00307270241277219</w:t>
        </w:r>
      </w:hyperlink>
      <w:r w:rsidRPr="00EF698D">
        <w:rPr>
          <w:lang w:val="en-GB"/>
        </w:rPr>
        <w:t xml:space="preserve"> </w:t>
      </w:r>
    </w:p>
    <w:p w14:paraId="41888D81" w14:textId="77777777" w:rsidR="00EF698D" w:rsidRPr="00EF698D" w:rsidRDefault="00EF698D" w:rsidP="00EF698D">
      <w:pPr>
        <w:pStyle w:val="NormalWeb"/>
        <w:rPr>
          <w:lang w:val="en-GB"/>
        </w:rPr>
      </w:pPr>
      <w:r w:rsidRPr="00EF698D">
        <w:rPr>
          <w:lang w:val="en-GB"/>
        </w:rPr>
        <w:lastRenderedPageBreak/>
        <w:t xml:space="preserve">Perron-Welch, F. (2025). Bio-based innovation and the global patent system: Exploring the WIPO Treaty on Intellectual Property, Genetic Resources and Associated Traditional Knowledge. </w:t>
      </w:r>
      <w:r w:rsidRPr="00EF698D">
        <w:rPr>
          <w:rStyle w:val="Emphasis"/>
          <w:lang w:val="en-GB"/>
        </w:rPr>
        <w:t>GRUR International, 74</w:t>
      </w:r>
      <w:r w:rsidRPr="00EF698D">
        <w:rPr>
          <w:lang w:val="en-GB"/>
        </w:rPr>
        <w:t xml:space="preserve">(5), 436–446. </w:t>
      </w:r>
      <w:hyperlink r:id="rId25" w:tgtFrame="_new" w:history="1">
        <w:r w:rsidRPr="00EF698D">
          <w:rPr>
            <w:rStyle w:val="Hyperlink"/>
            <w:lang w:val="en-GB"/>
          </w:rPr>
          <w:t>https://doi.org/10.1093/grurint/ikae133</w:t>
        </w:r>
      </w:hyperlink>
    </w:p>
    <w:p w14:paraId="2EA95605" w14:textId="77777777" w:rsidR="00EF698D" w:rsidRPr="00EF698D" w:rsidRDefault="00EF698D" w:rsidP="00EF698D">
      <w:pPr>
        <w:pStyle w:val="NormalWeb"/>
        <w:rPr>
          <w:lang w:val="en-GB"/>
        </w:rPr>
      </w:pPr>
      <w:r w:rsidRPr="00EF698D">
        <w:rPr>
          <w:lang w:val="en-GB"/>
        </w:rPr>
        <w:t xml:space="preserve">Qaim, M. (2020). Role of new plant breeding technologies for food security and sustainable agricultural development. </w:t>
      </w:r>
      <w:r w:rsidRPr="00EF698D">
        <w:rPr>
          <w:rStyle w:val="Emphasis"/>
          <w:lang w:val="en-GB"/>
        </w:rPr>
        <w:t>Applied Economic Perspectives and Policy, 42</w:t>
      </w:r>
      <w:r w:rsidRPr="00EF698D">
        <w:rPr>
          <w:lang w:val="en-GB"/>
        </w:rPr>
        <w:t xml:space="preserve">(2), 129–150. </w:t>
      </w:r>
      <w:hyperlink r:id="rId26" w:tgtFrame="_new" w:history="1">
        <w:r w:rsidRPr="00EF698D">
          <w:rPr>
            <w:rStyle w:val="Hyperlink"/>
            <w:lang w:val="en-GB"/>
          </w:rPr>
          <w:t>https://doi.org/10.1002/aepp.13044</w:t>
        </w:r>
      </w:hyperlink>
    </w:p>
    <w:p w14:paraId="3155D496" w14:textId="77777777" w:rsidR="00EF698D" w:rsidRPr="00EF698D" w:rsidRDefault="00EF698D" w:rsidP="00EF698D">
      <w:pPr>
        <w:pStyle w:val="NormalWeb"/>
        <w:rPr>
          <w:lang w:val="en-GB"/>
        </w:rPr>
      </w:pPr>
      <w:proofErr w:type="spellStart"/>
      <w:r w:rsidRPr="00EF698D">
        <w:rPr>
          <w:lang w:val="en-GB"/>
        </w:rPr>
        <w:t>Rüdelsheim</w:t>
      </w:r>
      <w:proofErr w:type="spellEnd"/>
      <w:r w:rsidRPr="00EF698D">
        <w:rPr>
          <w:lang w:val="en-GB"/>
        </w:rPr>
        <w:t xml:space="preserve">, P., Dumont, P., </w:t>
      </w:r>
      <w:proofErr w:type="spellStart"/>
      <w:r w:rsidRPr="00EF698D">
        <w:rPr>
          <w:lang w:val="en-GB"/>
        </w:rPr>
        <w:t>Freyssinet</w:t>
      </w:r>
      <w:proofErr w:type="spellEnd"/>
      <w:r w:rsidRPr="00EF698D">
        <w:rPr>
          <w:lang w:val="en-GB"/>
        </w:rPr>
        <w:t xml:space="preserve">, G., </w:t>
      </w:r>
      <w:proofErr w:type="spellStart"/>
      <w:r w:rsidRPr="00EF698D">
        <w:rPr>
          <w:lang w:val="en-GB"/>
        </w:rPr>
        <w:t>Pertry</w:t>
      </w:r>
      <w:proofErr w:type="spellEnd"/>
      <w:r w:rsidRPr="00EF698D">
        <w:rPr>
          <w:lang w:val="en-GB"/>
        </w:rPr>
        <w:t xml:space="preserve">, I., &amp; Heijde, M. (2018). Off-patent transgenic events: Challenges and opportunities for new actors and markets in agriculture. </w:t>
      </w:r>
      <w:r w:rsidRPr="00EF698D">
        <w:rPr>
          <w:rStyle w:val="Emphasis"/>
          <w:lang w:val="en-GB"/>
        </w:rPr>
        <w:t>Frontiers in Bioengineering and Biotechnology, 6</w:t>
      </w:r>
      <w:r w:rsidRPr="00EF698D">
        <w:rPr>
          <w:lang w:val="en-GB"/>
        </w:rPr>
        <w:t xml:space="preserve">, Article 71. </w:t>
      </w:r>
      <w:hyperlink r:id="rId27" w:tgtFrame="_new" w:history="1">
        <w:r w:rsidRPr="00EF698D">
          <w:rPr>
            <w:rStyle w:val="Hyperlink"/>
            <w:lang w:val="en-GB"/>
          </w:rPr>
          <w:t>https://doi.org/10.3389/fbioe.2018.00071</w:t>
        </w:r>
      </w:hyperlink>
    </w:p>
    <w:p w14:paraId="44C93F01" w14:textId="77777777" w:rsidR="00EF698D" w:rsidRPr="00EF698D" w:rsidRDefault="00EF698D" w:rsidP="00EF698D">
      <w:pPr>
        <w:pStyle w:val="NormalWeb"/>
        <w:rPr>
          <w:lang w:val="en-GB"/>
        </w:rPr>
      </w:pPr>
      <w:r w:rsidRPr="00EF698D">
        <w:rPr>
          <w:lang w:val="en-GB"/>
        </w:rPr>
        <w:t xml:space="preserve">Smulders, M. J. M., van de Wiel, C. C. M., &amp; Lotz, L. A. P. (2021). The use of intellectual property systems in plant breeding for ensuring deployment of good agricultural practices. </w:t>
      </w:r>
      <w:r w:rsidRPr="00EF698D">
        <w:rPr>
          <w:rStyle w:val="Emphasis"/>
          <w:lang w:val="en-GB"/>
        </w:rPr>
        <w:t>Agronomy, 11</w:t>
      </w:r>
      <w:r w:rsidRPr="00EF698D">
        <w:rPr>
          <w:lang w:val="en-GB"/>
        </w:rPr>
        <w:t xml:space="preserve">(6), Article 1163. </w:t>
      </w:r>
      <w:hyperlink r:id="rId28" w:tgtFrame="_new" w:history="1">
        <w:r w:rsidRPr="00EF698D">
          <w:rPr>
            <w:rStyle w:val="Hyperlink"/>
            <w:lang w:val="en-GB"/>
          </w:rPr>
          <w:t>https://doi.org/10.3390/agronomy11061163</w:t>
        </w:r>
      </w:hyperlink>
    </w:p>
    <w:p w14:paraId="7782F243" w14:textId="77777777" w:rsidR="00EF698D" w:rsidRPr="00EF698D" w:rsidRDefault="00EF698D" w:rsidP="00EF698D">
      <w:pPr>
        <w:pStyle w:val="NormalWeb"/>
        <w:rPr>
          <w:lang w:val="en-GB"/>
        </w:rPr>
      </w:pPr>
      <w:r w:rsidRPr="00EF698D">
        <w:rPr>
          <w:lang w:val="en-GB"/>
        </w:rPr>
        <w:t xml:space="preserve">U.S. Department of Agriculture, Economic Research Service. (2023, August). Expanded intellectual property protections for crop seeds increase innovation and market power for companies. </w:t>
      </w:r>
      <w:r w:rsidRPr="00EF698D">
        <w:rPr>
          <w:rStyle w:val="Emphasis"/>
          <w:lang w:val="en-GB"/>
        </w:rPr>
        <w:t>Amber Waves</w:t>
      </w:r>
      <w:r w:rsidRPr="00EF698D">
        <w:rPr>
          <w:lang w:val="en-GB"/>
        </w:rPr>
        <w:t xml:space="preserve">. </w:t>
      </w:r>
      <w:hyperlink r:id="rId29" w:tgtFrame="_new" w:history="1">
        <w:r w:rsidRPr="00EF698D">
          <w:rPr>
            <w:rStyle w:val="Hyperlink"/>
            <w:lang w:val="en-GB"/>
          </w:rPr>
          <w:t>https://www.ers.usda.gov/amber-waves/2023/august/expanded-intellectual-property-protections-for-crop-seeds-increase-innovation-and-market-power-for-companies</w:t>
        </w:r>
      </w:hyperlink>
    </w:p>
    <w:p w14:paraId="7594D991" w14:textId="77777777" w:rsidR="00EF698D" w:rsidRPr="00EF698D" w:rsidRDefault="00EF698D" w:rsidP="00EF698D">
      <w:pPr>
        <w:pStyle w:val="NormalWeb"/>
        <w:rPr>
          <w:lang w:val="en-GB"/>
        </w:rPr>
      </w:pPr>
      <w:r w:rsidRPr="00EF698D">
        <w:rPr>
          <w:lang w:val="en-GB"/>
        </w:rPr>
        <w:t xml:space="preserve">Wu, C. (2024). Balancing protection of plant varieties and other public interests. </w:t>
      </w:r>
      <w:r w:rsidRPr="00EF698D">
        <w:rPr>
          <w:rStyle w:val="Emphasis"/>
          <w:lang w:val="en-GB"/>
        </w:rPr>
        <w:t>Sustainability, 16</w:t>
      </w:r>
      <w:r w:rsidRPr="00EF698D">
        <w:rPr>
          <w:lang w:val="en-GB"/>
        </w:rPr>
        <w:t xml:space="preserve">(13), Article 5445. </w:t>
      </w:r>
      <w:hyperlink r:id="rId30" w:tgtFrame="_new" w:history="1">
        <w:r w:rsidRPr="00EF698D">
          <w:rPr>
            <w:rStyle w:val="Hyperlink"/>
            <w:lang w:val="en-GB"/>
          </w:rPr>
          <w:t>https://doi.org/10.3390/su16135445</w:t>
        </w:r>
      </w:hyperlink>
    </w:p>
    <w:p w14:paraId="6A6B78CC" w14:textId="77777777" w:rsidR="00EF698D" w:rsidRPr="00EF698D" w:rsidRDefault="00EF698D" w:rsidP="00EF698D">
      <w:pPr>
        <w:pStyle w:val="NormalWeb"/>
        <w:rPr>
          <w:lang w:val="en-GB"/>
        </w:rPr>
      </w:pPr>
      <w:r w:rsidRPr="00EF698D">
        <w:rPr>
          <w:lang w:val="en-GB"/>
        </w:rPr>
        <w:t xml:space="preserve">Wynberg, R., Andersen, R., Laird, S., </w:t>
      </w:r>
      <w:proofErr w:type="spellStart"/>
      <w:r w:rsidRPr="00EF698D">
        <w:rPr>
          <w:lang w:val="en-GB"/>
        </w:rPr>
        <w:t>Kusena</w:t>
      </w:r>
      <w:proofErr w:type="spellEnd"/>
      <w:r w:rsidRPr="00EF698D">
        <w:rPr>
          <w:lang w:val="en-GB"/>
        </w:rPr>
        <w:t xml:space="preserve">, K., Prip, C., &amp; </w:t>
      </w:r>
      <w:proofErr w:type="spellStart"/>
      <w:r w:rsidRPr="00EF698D">
        <w:rPr>
          <w:lang w:val="en-GB"/>
        </w:rPr>
        <w:t>Westengen</w:t>
      </w:r>
      <w:proofErr w:type="spellEnd"/>
      <w:r w:rsidRPr="00EF698D">
        <w:rPr>
          <w:lang w:val="en-GB"/>
        </w:rPr>
        <w:t xml:space="preserve">, O. T. (2021). Farmers’ rights and digital sequence information: Crisis or opportunity to reclaim stewardship over agrobiodiversity? </w:t>
      </w:r>
      <w:r w:rsidRPr="00EF698D">
        <w:rPr>
          <w:rStyle w:val="Emphasis"/>
          <w:lang w:val="en-GB"/>
        </w:rPr>
        <w:t>Frontiers in Plant Science, 12</w:t>
      </w:r>
      <w:r w:rsidRPr="00EF698D">
        <w:rPr>
          <w:lang w:val="en-GB"/>
        </w:rPr>
        <w:t xml:space="preserve">, Article 686728. </w:t>
      </w:r>
      <w:hyperlink r:id="rId31" w:tgtFrame="_new" w:history="1">
        <w:r w:rsidRPr="00EF698D">
          <w:rPr>
            <w:rStyle w:val="Hyperlink"/>
            <w:lang w:val="en-GB"/>
          </w:rPr>
          <w:t>https://doi.org/10.3389/fpls.2021.686728</w:t>
        </w:r>
      </w:hyperlink>
    </w:p>
    <w:p w14:paraId="38062451" w14:textId="77777777" w:rsidR="00EF698D" w:rsidRPr="00EF698D" w:rsidRDefault="00EF698D" w:rsidP="00EF698D">
      <w:pPr>
        <w:pStyle w:val="NormalWeb"/>
        <w:rPr>
          <w:lang w:val="en-GB"/>
        </w:rPr>
      </w:pPr>
      <w:r w:rsidRPr="00EF698D">
        <w:rPr>
          <w:lang w:val="en-GB"/>
        </w:rPr>
        <w:t xml:space="preserve">Yang, C. J., Russell, J., Ramsay, L., Thomas, W., Powell, W., &amp; Mackay, I. (2021). Overcoming barriers to the registration of new plant varieties under the DUS system. </w:t>
      </w:r>
      <w:r w:rsidRPr="00EF698D">
        <w:rPr>
          <w:rStyle w:val="Emphasis"/>
          <w:lang w:val="en-GB"/>
        </w:rPr>
        <w:t>Communications Biology, 4</w:t>
      </w:r>
      <w:r w:rsidRPr="00EF698D">
        <w:rPr>
          <w:lang w:val="en-GB"/>
        </w:rPr>
        <w:t xml:space="preserve">, Article 302. </w:t>
      </w:r>
      <w:hyperlink r:id="rId32" w:tgtFrame="_new" w:history="1">
        <w:r w:rsidRPr="00EF698D">
          <w:rPr>
            <w:rStyle w:val="Hyperlink"/>
            <w:lang w:val="en-GB"/>
          </w:rPr>
          <w:t>https://doi.org/10.1038/s42003-021-01840-9</w:t>
        </w:r>
      </w:hyperlink>
    </w:p>
    <w:p w14:paraId="5EAC1B14" w14:textId="77777777" w:rsidR="00EF698D" w:rsidRPr="00EF698D" w:rsidRDefault="00EF698D" w:rsidP="00EF698D">
      <w:pPr>
        <w:pStyle w:val="NormalWeb"/>
        <w:rPr>
          <w:lang w:val="en-GB"/>
        </w:rPr>
      </w:pPr>
      <w:r w:rsidRPr="00EF698D">
        <w:rPr>
          <w:lang w:val="en-GB"/>
        </w:rPr>
        <w:t xml:space="preserve">Yin, K., Gao, C., &amp; Qiu, J.-L. (2017). Progress and prospects in plant genome editing. </w:t>
      </w:r>
      <w:r w:rsidRPr="00EF698D">
        <w:rPr>
          <w:rStyle w:val="Emphasis"/>
          <w:lang w:val="en-GB"/>
        </w:rPr>
        <w:t>Nature Plants, 3</w:t>
      </w:r>
      <w:r w:rsidRPr="00EF698D">
        <w:rPr>
          <w:lang w:val="en-GB"/>
        </w:rPr>
        <w:t xml:space="preserve">, Article 17107. </w:t>
      </w:r>
      <w:hyperlink r:id="rId33" w:tgtFrame="_new" w:history="1">
        <w:r w:rsidRPr="00EF698D">
          <w:rPr>
            <w:rStyle w:val="Hyperlink"/>
            <w:lang w:val="en-GB"/>
          </w:rPr>
          <w:t>https://doi.org/10.1038/nplants.2017.107</w:t>
        </w:r>
      </w:hyperlink>
    </w:p>
    <w:p w14:paraId="0B97BE70" w14:textId="77777777" w:rsidR="00EF698D" w:rsidRPr="00EF698D" w:rsidRDefault="00EF698D" w:rsidP="00EF698D">
      <w:pPr>
        <w:pStyle w:val="NormalWeb"/>
        <w:rPr>
          <w:lang w:val="en-GB"/>
        </w:rPr>
      </w:pPr>
      <w:r w:rsidRPr="00EF698D">
        <w:rPr>
          <w:lang w:val="en-GB"/>
        </w:rPr>
        <w:t xml:space="preserve">Yu, J.-K., &amp; Chung, Y.-S. (2021). Plant variety protection: Current practices and insights. </w:t>
      </w:r>
      <w:r w:rsidRPr="00EF698D">
        <w:rPr>
          <w:rStyle w:val="Emphasis"/>
          <w:lang w:val="en-GB"/>
        </w:rPr>
        <w:t>Genes, 12</w:t>
      </w:r>
      <w:r w:rsidRPr="00EF698D">
        <w:rPr>
          <w:lang w:val="en-GB"/>
        </w:rPr>
        <w:t xml:space="preserve">(8), Article 1127. </w:t>
      </w:r>
      <w:hyperlink r:id="rId34" w:tgtFrame="_new" w:history="1">
        <w:r w:rsidRPr="00EF698D">
          <w:rPr>
            <w:rStyle w:val="Hyperlink"/>
            <w:lang w:val="en-GB"/>
          </w:rPr>
          <w:t>https://doi.org/10.3390/genes12081127</w:t>
        </w:r>
      </w:hyperlink>
    </w:p>
    <w:p w14:paraId="57717EF1" w14:textId="77777777" w:rsidR="00D75C9D" w:rsidRPr="00EF698D" w:rsidRDefault="00D75C9D"/>
    <w:sectPr w:rsidR="00D75C9D" w:rsidRPr="00EF698D"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4D6BE" w14:textId="77777777" w:rsidR="006C3717" w:rsidRDefault="006C3717" w:rsidP="008A74DE">
      <w:pPr>
        <w:spacing w:after="0" w:line="240" w:lineRule="auto"/>
      </w:pPr>
      <w:r>
        <w:separator/>
      </w:r>
    </w:p>
  </w:endnote>
  <w:endnote w:type="continuationSeparator" w:id="0">
    <w:p w14:paraId="6D5483B9" w14:textId="77777777" w:rsidR="006C3717" w:rsidRDefault="006C3717" w:rsidP="008A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49E9E" w14:textId="77777777" w:rsidR="008A74DE" w:rsidRDefault="008A7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D9D8" w14:textId="77777777" w:rsidR="008A74DE" w:rsidRDefault="008A7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CCBF" w14:textId="77777777" w:rsidR="008A74DE" w:rsidRDefault="008A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D2D9" w14:textId="77777777" w:rsidR="006C3717" w:rsidRDefault="006C3717" w:rsidP="008A74DE">
      <w:pPr>
        <w:spacing w:after="0" w:line="240" w:lineRule="auto"/>
      </w:pPr>
      <w:r>
        <w:separator/>
      </w:r>
    </w:p>
  </w:footnote>
  <w:footnote w:type="continuationSeparator" w:id="0">
    <w:p w14:paraId="0B08AA81" w14:textId="77777777" w:rsidR="006C3717" w:rsidRDefault="006C3717" w:rsidP="008A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97D7" w14:textId="1AB5DFBC" w:rsidR="008A74DE" w:rsidRDefault="008A74DE">
    <w:pPr>
      <w:pStyle w:val="Header"/>
    </w:pPr>
    <w:r>
      <w:rPr>
        <w:noProof/>
      </w:rPr>
      <w:pict w14:anchorId="6703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B184" w14:textId="7AFBF107" w:rsidR="008A74DE" w:rsidRDefault="008A74DE">
    <w:pPr>
      <w:pStyle w:val="Header"/>
    </w:pPr>
    <w:r>
      <w:rPr>
        <w:noProof/>
      </w:rPr>
      <w:pict w14:anchorId="7BB8C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3D031" w14:textId="78EB9CAD" w:rsidR="008A74DE" w:rsidRDefault="008A74DE">
    <w:pPr>
      <w:pStyle w:val="Header"/>
    </w:pPr>
    <w:r>
      <w:rPr>
        <w:noProof/>
      </w:rPr>
      <w:pict w14:anchorId="11AB6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41E72"/>
    <w:multiLevelType w:val="hybridMultilevel"/>
    <w:tmpl w:val="4938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37AA"/>
    <w:rsid w:val="000E41BF"/>
    <w:rsid w:val="001E4551"/>
    <w:rsid w:val="003A104D"/>
    <w:rsid w:val="004137AA"/>
    <w:rsid w:val="004F164E"/>
    <w:rsid w:val="00541C6D"/>
    <w:rsid w:val="006C3717"/>
    <w:rsid w:val="007D5FED"/>
    <w:rsid w:val="008A74DE"/>
    <w:rsid w:val="008C7B54"/>
    <w:rsid w:val="00A2270F"/>
    <w:rsid w:val="00B66131"/>
    <w:rsid w:val="00CB6EB6"/>
    <w:rsid w:val="00D75C9D"/>
    <w:rsid w:val="00E55C68"/>
    <w:rsid w:val="00EF698D"/>
    <w:rsid w:val="00F6047F"/>
    <w:rsid w:val="00F752D6"/>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A4C1E"/>
  <w15:docId w15:val="{8DBC90C9-77F0-4A0D-974C-90867EC6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ListParagraph">
    <w:name w:val="List Paragraph"/>
    <w:basedOn w:val="Normal"/>
    <w:uiPriority w:val="34"/>
    <w:qFormat/>
    <w:rsid w:val="00EF698D"/>
    <w:pPr>
      <w:ind w:left="720"/>
      <w:contextualSpacing/>
    </w:pPr>
  </w:style>
  <w:style w:type="paragraph" w:styleId="NormalWeb">
    <w:name w:val="Normal (Web)"/>
    <w:basedOn w:val="Normal"/>
    <w:uiPriority w:val="99"/>
    <w:semiHidden/>
    <w:unhideWhenUsed/>
    <w:rsid w:val="00EF69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F698D"/>
    <w:rPr>
      <w:i/>
      <w:iCs/>
    </w:rPr>
  </w:style>
  <w:style w:type="character" w:styleId="Hyperlink">
    <w:name w:val="Hyperlink"/>
    <w:basedOn w:val="DefaultParagraphFont"/>
    <w:uiPriority w:val="99"/>
    <w:semiHidden/>
    <w:unhideWhenUsed/>
    <w:rsid w:val="00EF698D"/>
    <w:rPr>
      <w:color w:val="0000FF"/>
      <w:u w:val="single"/>
    </w:rPr>
  </w:style>
  <w:style w:type="character" w:styleId="Strong">
    <w:name w:val="Strong"/>
    <w:basedOn w:val="DefaultParagraphFont"/>
    <w:uiPriority w:val="22"/>
    <w:qFormat/>
    <w:rsid w:val="00EF698D"/>
    <w:rPr>
      <w:b/>
      <w:bCs/>
    </w:rPr>
  </w:style>
  <w:style w:type="table" w:styleId="TableGrid">
    <w:name w:val="Table Grid"/>
    <w:basedOn w:val="TableNormal"/>
    <w:uiPriority w:val="39"/>
    <w:rsid w:val="00EF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DE"/>
  </w:style>
  <w:style w:type="paragraph" w:styleId="Footer">
    <w:name w:val="footer"/>
    <w:basedOn w:val="Normal"/>
    <w:link w:val="FooterChar"/>
    <w:uiPriority w:val="99"/>
    <w:unhideWhenUsed/>
    <w:rsid w:val="008A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396471">
      <w:bodyDiv w:val="1"/>
      <w:marLeft w:val="0"/>
      <w:marRight w:val="0"/>
      <w:marTop w:val="0"/>
      <w:marBottom w:val="0"/>
      <w:divBdr>
        <w:top w:val="none" w:sz="0" w:space="0" w:color="auto"/>
        <w:left w:val="none" w:sz="0" w:space="0" w:color="auto"/>
        <w:bottom w:val="none" w:sz="0" w:space="0" w:color="auto"/>
        <w:right w:val="none" w:sz="0" w:space="0" w:color="auto"/>
      </w:divBdr>
      <w:divsChild>
        <w:div w:id="791676632">
          <w:marLeft w:val="0"/>
          <w:marRight w:val="0"/>
          <w:marTop w:val="0"/>
          <w:marBottom w:val="0"/>
          <w:divBdr>
            <w:top w:val="none" w:sz="0" w:space="0" w:color="auto"/>
            <w:left w:val="none" w:sz="0" w:space="0" w:color="auto"/>
            <w:bottom w:val="none" w:sz="0" w:space="0" w:color="auto"/>
            <w:right w:val="none" w:sz="0" w:space="0" w:color="auto"/>
          </w:divBdr>
          <w:divsChild>
            <w:div w:id="1852136893">
              <w:marLeft w:val="0"/>
              <w:marRight w:val="0"/>
              <w:marTop w:val="0"/>
              <w:marBottom w:val="0"/>
              <w:divBdr>
                <w:top w:val="none" w:sz="0" w:space="0" w:color="auto"/>
                <w:left w:val="none" w:sz="0" w:space="0" w:color="auto"/>
                <w:bottom w:val="none" w:sz="0" w:space="0" w:color="auto"/>
                <w:right w:val="none" w:sz="0" w:space="0" w:color="auto"/>
              </w:divBdr>
              <w:divsChild>
                <w:div w:id="1269194721">
                  <w:marLeft w:val="0"/>
                  <w:marRight w:val="0"/>
                  <w:marTop w:val="0"/>
                  <w:marBottom w:val="0"/>
                  <w:divBdr>
                    <w:top w:val="none" w:sz="0" w:space="0" w:color="auto"/>
                    <w:left w:val="none" w:sz="0" w:space="0" w:color="auto"/>
                    <w:bottom w:val="none" w:sz="0" w:space="0" w:color="auto"/>
                    <w:right w:val="none" w:sz="0" w:space="0" w:color="auto"/>
                  </w:divBdr>
                  <w:divsChild>
                    <w:div w:id="692613253">
                      <w:marLeft w:val="0"/>
                      <w:marRight w:val="0"/>
                      <w:marTop w:val="0"/>
                      <w:marBottom w:val="0"/>
                      <w:divBdr>
                        <w:top w:val="none" w:sz="0" w:space="0" w:color="auto"/>
                        <w:left w:val="none" w:sz="0" w:space="0" w:color="auto"/>
                        <w:bottom w:val="none" w:sz="0" w:space="0" w:color="auto"/>
                        <w:right w:val="none" w:sz="0" w:space="0" w:color="auto"/>
                      </w:divBdr>
                      <w:divsChild>
                        <w:div w:id="1079670456">
                          <w:marLeft w:val="0"/>
                          <w:marRight w:val="0"/>
                          <w:marTop w:val="0"/>
                          <w:marBottom w:val="0"/>
                          <w:divBdr>
                            <w:top w:val="none" w:sz="0" w:space="0" w:color="auto"/>
                            <w:left w:val="none" w:sz="0" w:space="0" w:color="auto"/>
                            <w:bottom w:val="none" w:sz="0" w:space="0" w:color="auto"/>
                            <w:right w:val="none" w:sz="0" w:space="0" w:color="auto"/>
                          </w:divBdr>
                          <w:divsChild>
                            <w:div w:id="294528488">
                              <w:marLeft w:val="0"/>
                              <w:marRight w:val="0"/>
                              <w:marTop w:val="0"/>
                              <w:marBottom w:val="0"/>
                              <w:divBdr>
                                <w:top w:val="none" w:sz="0" w:space="0" w:color="auto"/>
                                <w:left w:val="none" w:sz="0" w:space="0" w:color="auto"/>
                                <w:bottom w:val="none" w:sz="0" w:space="0" w:color="auto"/>
                                <w:right w:val="none" w:sz="0" w:space="0" w:color="auto"/>
                              </w:divBdr>
                              <w:divsChild>
                                <w:div w:id="1104425097">
                                  <w:marLeft w:val="0"/>
                                  <w:marRight w:val="0"/>
                                  <w:marTop w:val="0"/>
                                  <w:marBottom w:val="0"/>
                                  <w:divBdr>
                                    <w:top w:val="none" w:sz="0" w:space="0" w:color="auto"/>
                                    <w:left w:val="none" w:sz="0" w:space="0" w:color="auto"/>
                                    <w:bottom w:val="none" w:sz="0" w:space="0" w:color="auto"/>
                                    <w:right w:val="none" w:sz="0" w:space="0" w:color="auto"/>
                                  </w:divBdr>
                                  <w:divsChild>
                                    <w:div w:id="2020424046">
                                      <w:marLeft w:val="0"/>
                                      <w:marRight w:val="0"/>
                                      <w:marTop w:val="0"/>
                                      <w:marBottom w:val="0"/>
                                      <w:divBdr>
                                        <w:top w:val="none" w:sz="0" w:space="0" w:color="auto"/>
                                        <w:left w:val="none" w:sz="0" w:space="0" w:color="auto"/>
                                        <w:bottom w:val="none" w:sz="0" w:space="0" w:color="auto"/>
                                        <w:right w:val="none" w:sz="0" w:space="0" w:color="auto"/>
                                      </w:divBdr>
                                      <w:divsChild>
                                        <w:div w:id="16445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737527">
      <w:bodyDiv w:val="1"/>
      <w:marLeft w:val="0"/>
      <w:marRight w:val="0"/>
      <w:marTop w:val="0"/>
      <w:marBottom w:val="0"/>
      <w:divBdr>
        <w:top w:val="none" w:sz="0" w:space="0" w:color="auto"/>
        <w:left w:val="none" w:sz="0" w:space="0" w:color="auto"/>
        <w:bottom w:val="none" w:sz="0" w:space="0" w:color="auto"/>
        <w:right w:val="none" w:sz="0" w:space="0" w:color="auto"/>
      </w:divBdr>
      <w:divsChild>
        <w:div w:id="1841383682">
          <w:marLeft w:val="0"/>
          <w:marRight w:val="0"/>
          <w:marTop w:val="0"/>
          <w:marBottom w:val="0"/>
          <w:divBdr>
            <w:top w:val="none" w:sz="0" w:space="0" w:color="auto"/>
            <w:left w:val="none" w:sz="0" w:space="0" w:color="auto"/>
            <w:bottom w:val="none" w:sz="0" w:space="0" w:color="auto"/>
            <w:right w:val="none" w:sz="0" w:space="0" w:color="auto"/>
          </w:divBdr>
        </w:div>
        <w:div w:id="1845897497">
          <w:marLeft w:val="0"/>
          <w:marRight w:val="0"/>
          <w:marTop w:val="0"/>
          <w:marBottom w:val="0"/>
          <w:divBdr>
            <w:top w:val="none" w:sz="0" w:space="0" w:color="auto"/>
            <w:left w:val="none" w:sz="0" w:space="0" w:color="auto"/>
            <w:bottom w:val="none" w:sz="0" w:space="0" w:color="auto"/>
            <w:right w:val="none" w:sz="0" w:space="0" w:color="auto"/>
          </w:divBdr>
        </w:div>
        <w:div w:id="1076367035">
          <w:marLeft w:val="0"/>
          <w:marRight w:val="0"/>
          <w:marTop w:val="0"/>
          <w:marBottom w:val="0"/>
          <w:divBdr>
            <w:top w:val="none" w:sz="0" w:space="0" w:color="auto"/>
            <w:left w:val="none" w:sz="0" w:space="0" w:color="auto"/>
            <w:bottom w:val="none" w:sz="0" w:space="0" w:color="auto"/>
            <w:right w:val="none" w:sz="0" w:space="0" w:color="auto"/>
          </w:divBdr>
        </w:div>
        <w:div w:id="929436161">
          <w:marLeft w:val="0"/>
          <w:marRight w:val="0"/>
          <w:marTop w:val="0"/>
          <w:marBottom w:val="0"/>
          <w:divBdr>
            <w:top w:val="none" w:sz="0" w:space="0" w:color="auto"/>
            <w:left w:val="none" w:sz="0" w:space="0" w:color="auto"/>
            <w:bottom w:val="none" w:sz="0" w:space="0" w:color="auto"/>
            <w:right w:val="none" w:sz="0" w:space="0" w:color="auto"/>
          </w:divBdr>
        </w:div>
      </w:divsChild>
    </w:div>
    <w:div w:id="1376199194">
      <w:bodyDiv w:val="1"/>
      <w:marLeft w:val="0"/>
      <w:marRight w:val="0"/>
      <w:marTop w:val="0"/>
      <w:marBottom w:val="0"/>
      <w:divBdr>
        <w:top w:val="none" w:sz="0" w:space="0" w:color="auto"/>
        <w:left w:val="none" w:sz="0" w:space="0" w:color="auto"/>
        <w:bottom w:val="none" w:sz="0" w:space="0" w:color="auto"/>
        <w:right w:val="none" w:sz="0" w:space="0" w:color="auto"/>
      </w:divBdr>
      <w:divsChild>
        <w:div w:id="428281346">
          <w:marLeft w:val="0"/>
          <w:marRight w:val="0"/>
          <w:marTop w:val="0"/>
          <w:marBottom w:val="0"/>
          <w:divBdr>
            <w:top w:val="none" w:sz="0" w:space="0" w:color="auto"/>
            <w:left w:val="none" w:sz="0" w:space="0" w:color="auto"/>
            <w:bottom w:val="none" w:sz="0" w:space="0" w:color="auto"/>
            <w:right w:val="none" w:sz="0" w:space="0" w:color="auto"/>
          </w:divBdr>
        </w:div>
        <w:div w:id="1702784131">
          <w:marLeft w:val="0"/>
          <w:marRight w:val="0"/>
          <w:marTop w:val="0"/>
          <w:marBottom w:val="0"/>
          <w:divBdr>
            <w:top w:val="none" w:sz="0" w:space="0" w:color="auto"/>
            <w:left w:val="none" w:sz="0" w:space="0" w:color="auto"/>
            <w:bottom w:val="none" w:sz="0" w:space="0" w:color="auto"/>
            <w:right w:val="none" w:sz="0" w:space="0" w:color="auto"/>
          </w:divBdr>
        </w:div>
        <w:div w:id="73019323">
          <w:marLeft w:val="0"/>
          <w:marRight w:val="0"/>
          <w:marTop w:val="0"/>
          <w:marBottom w:val="0"/>
          <w:divBdr>
            <w:top w:val="none" w:sz="0" w:space="0" w:color="auto"/>
            <w:left w:val="none" w:sz="0" w:space="0" w:color="auto"/>
            <w:bottom w:val="none" w:sz="0" w:space="0" w:color="auto"/>
            <w:right w:val="none" w:sz="0" w:space="0" w:color="auto"/>
          </w:divBdr>
        </w:div>
        <w:div w:id="1007438752">
          <w:marLeft w:val="0"/>
          <w:marRight w:val="0"/>
          <w:marTop w:val="0"/>
          <w:marBottom w:val="0"/>
          <w:divBdr>
            <w:top w:val="none" w:sz="0" w:space="0" w:color="auto"/>
            <w:left w:val="none" w:sz="0" w:space="0" w:color="auto"/>
            <w:bottom w:val="none" w:sz="0" w:space="0" w:color="auto"/>
            <w:right w:val="none" w:sz="0" w:space="0" w:color="auto"/>
          </w:divBdr>
        </w:div>
      </w:divsChild>
    </w:div>
    <w:div w:id="1999840065">
      <w:bodyDiv w:val="1"/>
      <w:marLeft w:val="0"/>
      <w:marRight w:val="0"/>
      <w:marTop w:val="0"/>
      <w:marBottom w:val="0"/>
      <w:divBdr>
        <w:top w:val="none" w:sz="0" w:space="0" w:color="auto"/>
        <w:left w:val="none" w:sz="0" w:space="0" w:color="auto"/>
        <w:bottom w:val="none" w:sz="0" w:space="0" w:color="auto"/>
        <w:right w:val="none" w:sz="0" w:space="0" w:color="auto"/>
      </w:divBdr>
      <w:divsChild>
        <w:div w:id="1068923592">
          <w:marLeft w:val="0"/>
          <w:marRight w:val="0"/>
          <w:marTop w:val="0"/>
          <w:marBottom w:val="0"/>
          <w:divBdr>
            <w:top w:val="none" w:sz="0" w:space="0" w:color="auto"/>
            <w:left w:val="none" w:sz="0" w:space="0" w:color="auto"/>
            <w:bottom w:val="none" w:sz="0" w:space="0" w:color="auto"/>
            <w:right w:val="none" w:sz="0" w:space="0" w:color="auto"/>
          </w:divBdr>
          <w:divsChild>
            <w:div w:id="2076388253">
              <w:marLeft w:val="0"/>
              <w:marRight w:val="0"/>
              <w:marTop w:val="0"/>
              <w:marBottom w:val="0"/>
              <w:divBdr>
                <w:top w:val="none" w:sz="0" w:space="0" w:color="auto"/>
                <w:left w:val="none" w:sz="0" w:space="0" w:color="auto"/>
                <w:bottom w:val="none" w:sz="0" w:space="0" w:color="auto"/>
                <w:right w:val="none" w:sz="0" w:space="0" w:color="auto"/>
              </w:divBdr>
              <w:divsChild>
                <w:div w:id="704596967">
                  <w:marLeft w:val="0"/>
                  <w:marRight w:val="0"/>
                  <w:marTop w:val="0"/>
                  <w:marBottom w:val="0"/>
                  <w:divBdr>
                    <w:top w:val="none" w:sz="0" w:space="0" w:color="auto"/>
                    <w:left w:val="none" w:sz="0" w:space="0" w:color="auto"/>
                    <w:bottom w:val="none" w:sz="0" w:space="0" w:color="auto"/>
                    <w:right w:val="none" w:sz="0" w:space="0" w:color="auto"/>
                  </w:divBdr>
                  <w:divsChild>
                    <w:div w:id="1136726672">
                      <w:marLeft w:val="0"/>
                      <w:marRight w:val="0"/>
                      <w:marTop w:val="0"/>
                      <w:marBottom w:val="0"/>
                      <w:divBdr>
                        <w:top w:val="none" w:sz="0" w:space="0" w:color="auto"/>
                        <w:left w:val="none" w:sz="0" w:space="0" w:color="auto"/>
                        <w:bottom w:val="none" w:sz="0" w:space="0" w:color="auto"/>
                        <w:right w:val="none" w:sz="0" w:space="0" w:color="auto"/>
                      </w:divBdr>
                      <w:divsChild>
                        <w:div w:id="1752237598">
                          <w:marLeft w:val="0"/>
                          <w:marRight w:val="0"/>
                          <w:marTop w:val="0"/>
                          <w:marBottom w:val="0"/>
                          <w:divBdr>
                            <w:top w:val="none" w:sz="0" w:space="0" w:color="auto"/>
                            <w:left w:val="none" w:sz="0" w:space="0" w:color="auto"/>
                            <w:bottom w:val="none" w:sz="0" w:space="0" w:color="auto"/>
                            <w:right w:val="none" w:sz="0" w:space="0" w:color="auto"/>
                          </w:divBdr>
                          <w:divsChild>
                            <w:div w:id="98763565">
                              <w:marLeft w:val="0"/>
                              <w:marRight w:val="0"/>
                              <w:marTop w:val="0"/>
                              <w:marBottom w:val="0"/>
                              <w:divBdr>
                                <w:top w:val="none" w:sz="0" w:space="0" w:color="auto"/>
                                <w:left w:val="none" w:sz="0" w:space="0" w:color="auto"/>
                                <w:bottom w:val="none" w:sz="0" w:space="0" w:color="auto"/>
                                <w:right w:val="none" w:sz="0" w:space="0" w:color="auto"/>
                              </w:divBdr>
                              <w:divsChild>
                                <w:div w:id="573440637">
                                  <w:marLeft w:val="0"/>
                                  <w:marRight w:val="0"/>
                                  <w:marTop w:val="0"/>
                                  <w:marBottom w:val="0"/>
                                  <w:divBdr>
                                    <w:top w:val="none" w:sz="0" w:space="0" w:color="auto"/>
                                    <w:left w:val="none" w:sz="0" w:space="0" w:color="auto"/>
                                    <w:bottom w:val="none" w:sz="0" w:space="0" w:color="auto"/>
                                    <w:right w:val="none" w:sz="0" w:space="0" w:color="auto"/>
                                  </w:divBdr>
                                  <w:divsChild>
                                    <w:div w:id="1618683847">
                                      <w:marLeft w:val="0"/>
                                      <w:marRight w:val="0"/>
                                      <w:marTop w:val="0"/>
                                      <w:marBottom w:val="0"/>
                                      <w:divBdr>
                                        <w:top w:val="none" w:sz="0" w:space="0" w:color="auto"/>
                                        <w:left w:val="none" w:sz="0" w:space="0" w:color="auto"/>
                                        <w:bottom w:val="none" w:sz="0" w:space="0" w:color="auto"/>
                                        <w:right w:val="none" w:sz="0" w:space="0" w:color="auto"/>
                                      </w:divBdr>
                                      <w:divsChild>
                                        <w:div w:id="7528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lants12162992?utm_source=chatgpt.com" TargetMode="External"/><Relationship Id="rId18" Type="http://schemas.openxmlformats.org/officeDocument/2006/relationships/hyperlink" Target="https://doi.org/10.1111/nph.17733" TargetMode="External"/><Relationship Id="rId26" Type="http://schemas.openxmlformats.org/officeDocument/2006/relationships/hyperlink" Target="https://doi.org/10.1002/aepp.13044" TargetMode="External"/><Relationship Id="rId39" Type="http://schemas.openxmlformats.org/officeDocument/2006/relationships/header" Target="header3.xml"/><Relationship Id="rId21" Type="http://schemas.openxmlformats.org/officeDocument/2006/relationships/hyperlink" Target="https://doi.org/10.1093/jiplp/jpad065?utm_source=chatgpt.com" TargetMode="External"/><Relationship Id="rId34" Type="http://schemas.openxmlformats.org/officeDocument/2006/relationships/hyperlink" Target="https://doi.org/10.3390/genes12081127" TargetMode="External"/><Relationship Id="rId42" Type="http://schemas.openxmlformats.org/officeDocument/2006/relationships/theme" Target="theme/theme1.xml"/><Relationship Id="rId7" Type="http://schemas.openxmlformats.org/officeDocument/2006/relationships/hyperlink" Target="https://doi.org/10.1016/j.geoforum.2018.07.017" TargetMode="External"/><Relationship Id="rId2" Type="http://schemas.openxmlformats.org/officeDocument/2006/relationships/styles" Target="styles.xml"/><Relationship Id="rId16" Type="http://schemas.openxmlformats.org/officeDocument/2006/relationships/hyperlink" Target="https://doi.org/10.2135/cropsci2014.09.0669" TargetMode="External"/><Relationship Id="rId20" Type="http://schemas.openxmlformats.org/officeDocument/2006/relationships/hyperlink" Target="https://doi.org/10.1371/journal.pbio.3000023" TargetMode="External"/><Relationship Id="rId29" Type="http://schemas.openxmlformats.org/officeDocument/2006/relationships/hyperlink" Target="https://www.ers.usda.gov/amber-waves/2023/august/expanded-intellectual-property-protections-for-crop-seeds-increase-innovation-and-market-power-for-compani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31/jzus.B2200601?utm_source=chatgpt.com" TargetMode="External"/><Relationship Id="rId24" Type="http://schemas.openxmlformats.org/officeDocument/2006/relationships/hyperlink" Target="https://doi.org/10.1177/00307270241277219" TargetMode="External"/><Relationship Id="rId32" Type="http://schemas.openxmlformats.org/officeDocument/2006/relationships/hyperlink" Target="https://doi.org/10.1038/s42003-021-01840-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11/eci.12931" TargetMode="External"/><Relationship Id="rId23" Type="http://schemas.openxmlformats.org/officeDocument/2006/relationships/hyperlink" Target="https://doi.org/10.1371/journal.pbio.1002441?utm_source=chatgpt.com" TargetMode="External"/><Relationship Id="rId28" Type="http://schemas.openxmlformats.org/officeDocument/2006/relationships/hyperlink" Target="https://doi.org/10.3390/agronomy11061163" TargetMode="External"/><Relationship Id="rId36" Type="http://schemas.openxmlformats.org/officeDocument/2006/relationships/header" Target="header2.xml"/><Relationship Id="rId10" Type="http://schemas.openxmlformats.org/officeDocument/2006/relationships/hyperlink" Target="https://doi.org/10.1002/ppp3.10201" TargetMode="External"/><Relationship Id="rId19" Type="http://schemas.openxmlformats.org/officeDocument/2006/relationships/hyperlink" Target="https://doi.org/10.3390/agronomy11061218?utm_source=chatgpt.com" TargetMode="External"/><Relationship Id="rId31" Type="http://schemas.openxmlformats.org/officeDocument/2006/relationships/hyperlink" Target="https://doi.org/10.3389/fpls.2021.686728" TargetMode="External"/><Relationship Id="rId4" Type="http://schemas.openxmlformats.org/officeDocument/2006/relationships/webSettings" Target="webSettings.xml"/><Relationship Id="rId9" Type="http://schemas.openxmlformats.org/officeDocument/2006/relationships/hyperlink" Target="https://doi.org/10.3390/agronomy11081511" TargetMode="External"/><Relationship Id="rId14" Type="http://schemas.openxmlformats.org/officeDocument/2006/relationships/hyperlink" Target="https://doi.org/10.1002/ppp3.10397" TargetMode="External"/><Relationship Id="rId22" Type="http://schemas.openxmlformats.org/officeDocument/2006/relationships/hyperlink" Target="https://doi.org/10.3389/fpls.2019.01127" TargetMode="External"/><Relationship Id="rId27" Type="http://schemas.openxmlformats.org/officeDocument/2006/relationships/hyperlink" Target="https://doi.org/10.3389/fbioe.2018.00071" TargetMode="External"/><Relationship Id="rId30" Type="http://schemas.openxmlformats.org/officeDocument/2006/relationships/hyperlink" Target="https://doi.org/10.3390/su16135445" TargetMode="External"/><Relationship Id="rId35" Type="http://schemas.openxmlformats.org/officeDocument/2006/relationships/header" Target="header1.xml"/><Relationship Id="rId8" Type="http://schemas.openxmlformats.org/officeDocument/2006/relationships/hyperlink" Target="https://doi.org/10.1186/s40504-014-0014-7?utm_source=chatgpt.com" TargetMode="External"/><Relationship Id="rId3" Type="http://schemas.openxmlformats.org/officeDocument/2006/relationships/settings" Target="settings.xml"/><Relationship Id="rId12" Type="http://schemas.openxmlformats.org/officeDocument/2006/relationships/hyperlink" Target="https://doi.org/10.1146/annurev-resource-100516-053524?utm_source=chatgpt.com" TargetMode="External"/><Relationship Id="rId17" Type="http://schemas.openxmlformats.org/officeDocument/2006/relationships/hyperlink" Target="https://doi.org/10.1080/21645698.2025.2548638" TargetMode="External"/><Relationship Id="rId25" Type="http://schemas.openxmlformats.org/officeDocument/2006/relationships/hyperlink" Target="https://doi.org/10.1093/grurint/ikae133" TargetMode="External"/><Relationship Id="rId33" Type="http://schemas.openxmlformats.org/officeDocument/2006/relationships/hyperlink" Target="https://doi.org/10.1038/nplants.2017.10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21</Pages>
  <Words>10484</Words>
  <Characters>59762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6</cp:revision>
  <dcterms:created xsi:type="dcterms:W3CDTF">2026-05-18T15:43:00Z</dcterms:created>
  <dcterms:modified xsi:type="dcterms:W3CDTF">2026-05-19T10:18:00Z</dcterms:modified>
</cp:coreProperties>
</file>