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69694" w14:textId="77777777" w:rsidR="004971E4" w:rsidRPr="004971E4" w:rsidRDefault="004971E4" w:rsidP="004971E4">
      <w:pPr>
        <w:spacing w:after="200"/>
        <w:jc w:val="right"/>
        <w:rPr>
          <w:rFonts w:ascii="Arial" w:hAnsi="Arial" w:cs="Arial"/>
          <w:b/>
          <w:bCs/>
          <w:i/>
          <w:iCs/>
          <w:color w:val="000000" w:themeColor="text1"/>
          <w:sz w:val="36"/>
          <w:szCs w:val="36"/>
          <w:u w:val="single"/>
          <w:lang w:val="en-US"/>
        </w:rPr>
      </w:pPr>
      <w:r w:rsidRPr="004971E4">
        <w:rPr>
          <w:rFonts w:ascii="Arial" w:hAnsi="Arial" w:cs="Arial"/>
          <w:b/>
          <w:bCs/>
          <w:i/>
          <w:iCs/>
          <w:color w:val="000000" w:themeColor="text1"/>
          <w:sz w:val="36"/>
          <w:szCs w:val="36"/>
          <w:u w:val="single"/>
          <w:lang w:val="en-US"/>
        </w:rPr>
        <w:t>Original Research Article</w:t>
      </w:r>
    </w:p>
    <w:p w14:paraId="08E73703" w14:textId="28239A95" w:rsidR="00511253" w:rsidRPr="00A1241F" w:rsidRDefault="00FF31BF" w:rsidP="005D0912">
      <w:pPr>
        <w:spacing w:after="200"/>
        <w:jc w:val="right"/>
        <w:rPr>
          <w:rFonts w:ascii="Arial" w:hAnsi="Arial" w:cs="Arial"/>
          <w:color w:val="000000" w:themeColor="text1"/>
          <w:sz w:val="36"/>
          <w:szCs w:val="36"/>
        </w:rPr>
      </w:pPr>
      <w:r w:rsidRPr="00A1241F">
        <w:rPr>
          <w:rFonts w:ascii="Arial" w:hAnsi="Arial" w:cs="Arial"/>
          <w:b/>
          <w:bCs/>
          <w:color w:val="000000" w:themeColor="text1"/>
          <w:sz w:val="36"/>
          <w:szCs w:val="36"/>
        </w:rPr>
        <w:t xml:space="preserve">Growth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erformance of HD-K75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igs and the </w:t>
      </w:r>
      <w:r w:rsidR="005D73AC" w:rsidRPr="00A1241F">
        <w:rPr>
          <w:rFonts w:ascii="Arial" w:hAnsi="Arial" w:cs="Arial"/>
          <w:b/>
          <w:bCs/>
          <w:color w:val="000000" w:themeColor="text1"/>
          <w:sz w:val="36"/>
          <w:szCs w:val="36"/>
        </w:rPr>
        <w:t>i</w:t>
      </w:r>
      <w:r w:rsidRPr="00A1241F">
        <w:rPr>
          <w:rFonts w:ascii="Arial" w:hAnsi="Arial" w:cs="Arial"/>
          <w:b/>
          <w:bCs/>
          <w:color w:val="000000" w:themeColor="text1"/>
          <w:sz w:val="36"/>
          <w:szCs w:val="36"/>
        </w:rPr>
        <w:t xml:space="preserve">nfluence of </w:t>
      </w:r>
      <w:r w:rsidR="005D73AC" w:rsidRPr="00A1241F">
        <w:rPr>
          <w:rFonts w:ascii="Arial" w:hAnsi="Arial" w:cs="Arial"/>
          <w:b/>
          <w:bCs/>
          <w:color w:val="000000" w:themeColor="text1"/>
          <w:sz w:val="36"/>
          <w:szCs w:val="36"/>
        </w:rPr>
        <w:t>n</w:t>
      </w:r>
      <w:r w:rsidRPr="00A1241F">
        <w:rPr>
          <w:rFonts w:ascii="Arial" w:hAnsi="Arial" w:cs="Arial"/>
          <w:b/>
          <w:bCs/>
          <w:color w:val="000000" w:themeColor="text1"/>
          <w:sz w:val="36"/>
          <w:szCs w:val="36"/>
        </w:rPr>
        <w:t>on-</w:t>
      </w:r>
      <w:r w:rsidR="005D73AC" w:rsidRPr="00A1241F">
        <w:rPr>
          <w:rFonts w:ascii="Arial" w:hAnsi="Arial" w:cs="Arial"/>
          <w:b/>
          <w:bCs/>
          <w:color w:val="000000" w:themeColor="text1"/>
          <w:sz w:val="36"/>
          <w:szCs w:val="36"/>
        </w:rPr>
        <w:t>g</w:t>
      </w:r>
      <w:r w:rsidRPr="00A1241F">
        <w:rPr>
          <w:rFonts w:ascii="Arial" w:hAnsi="Arial" w:cs="Arial"/>
          <w:b/>
          <w:bCs/>
          <w:color w:val="000000" w:themeColor="text1"/>
          <w:sz w:val="36"/>
          <w:szCs w:val="36"/>
        </w:rPr>
        <w:t xml:space="preserve">enetic </w:t>
      </w:r>
      <w:r w:rsidR="005D73AC" w:rsidRPr="00A1241F">
        <w:rPr>
          <w:rFonts w:ascii="Arial" w:hAnsi="Arial" w:cs="Arial"/>
          <w:b/>
          <w:bCs/>
          <w:color w:val="000000" w:themeColor="text1"/>
          <w:sz w:val="36"/>
          <w:szCs w:val="36"/>
        </w:rPr>
        <w:t>f</w:t>
      </w:r>
      <w:r w:rsidRPr="00A1241F">
        <w:rPr>
          <w:rFonts w:ascii="Arial" w:hAnsi="Arial" w:cs="Arial"/>
          <w:b/>
          <w:bCs/>
          <w:color w:val="000000" w:themeColor="text1"/>
          <w:sz w:val="36"/>
          <w:szCs w:val="36"/>
        </w:rPr>
        <w:t xml:space="preserve">actors on </w:t>
      </w:r>
      <w:r w:rsidR="005D73AC" w:rsidRPr="00A1241F">
        <w:rPr>
          <w:rFonts w:ascii="Arial" w:hAnsi="Arial" w:cs="Arial"/>
          <w:b/>
          <w:bCs/>
          <w:color w:val="000000" w:themeColor="text1"/>
          <w:sz w:val="36"/>
          <w:szCs w:val="36"/>
        </w:rPr>
        <w:t>b</w:t>
      </w:r>
      <w:r w:rsidRPr="00A1241F">
        <w:rPr>
          <w:rFonts w:ascii="Arial" w:hAnsi="Arial" w:cs="Arial"/>
          <w:b/>
          <w:bCs/>
          <w:color w:val="000000" w:themeColor="text1"/>
          <w:sz w:val="36"/>
          <w:szCs w:val="36"/>
        </w:rPr>
        <w:t xml:space="preserve">ody </w:t>
      </w:r>
      <w:r w:rsidR="005D73AC" w:rsidRPr="00A1241F">
        <w:rPr>
          <w:rFonts w:ascii="Arial" w:hAnsi="Arial" w:cs="Arial"/>
          <w:b/>
          <w:bCs/>
          <w:color w:val="000000" w:themeColor="text1"/>
          <w:sz w:val="36"/>
          <w:szCs w:val="36"/>
        </w:rPr>
        <w:t>w</w:t>
      </w:r>
      <w:r w:rsidRPr="00A1241F">
        <w:rPr>
          <w:rFonts w:ascii="Arial" w:hAnsi="Arial" w:cs="Arial"/>
          <w:b/>
          <w:bCs/>
          <w:color w:val="000000" w:themeColor="text1"/>
          <w:sz w:val="36"/>
          <w:szCs w:val="36"/>
        </w:rPr>
        <w:t xml:space="preserve">eight at </w:t>
      </w:r>
      <w:r w:rsidR="005D73AC" w:rsidRPr="00A1241F">
        <w:rPr>
          <w:rFonts w:ascii="Arial" w:hAnsi="Arial" w:cs="Arial"/>
          <w:b/>
          <w:bCs/>
          <w:color w:val="000000" w:themeColor="text1"/>
          <w:sz w:val="36"/>
          <w:szCs w:val="36"/>
        </w:rPr>
        <w:t>d</w:t>
      </w:r>
      <w:r w:rsidRPr="00A1241F">
        <w:rPr>
          <w:rFonts w:ascii="Arial" w:hAnsi="Arial" w:cs="Arial"/>
          <w:b/>
          <w:bCs/>
          <w:color w:val="000000" w:themeColor="text1"/>
          <w:sz w:val="36"/>
          <w:szCs w:val="36"/>
        </w:rPr>
        <w:t xml:space="preserve">ifferent </w:t>
      </w:r>
      <w:r w:rsidR="005D73AC" w:rsidRPr="00A1241F">
        <w:rPr>
          <w:rFonts w:ascii="Arial" w:hAnsi="Arial" w:cs="Arial"/>
          <w:b/>
          <w:bCs/>
          <w:color w:val="000000" w:themeColor="text1"/>
          <w:sz w:val="36"/>
          <w:szCs w:val="36"/>
        </w:rPr>
        <w:t>a</w:t>
      </w:r>
      <w:r w:rsidRPr="00A1241F">
        <w:rPr>
          <w:rFonts w:ascii="Arial" w:hAnsi="Arial" w:cs="Arial"/>
          <w:b/>
          <w:bCs/>
          <w:color w:val="000000" w:themeColor="text1"/>
          <w:sz w:val="36"/>
          <w:szCs w:val="36"/>
        </w:rPr>
        <w:t>ges</w:t>
      </w:r>
    </w:p>
    <w:p w14:paraId="54A8C27E" w14:textId="77777777" w:rsidR="00F13674" w:rsidRPr="005D0912" w:rsidRDefault="00F13674" w:rsidP="005D0912">
      <w:pPr>
        <w:spacing w:before="200" w:after="100"/>
        <w:jc w:val="right"/>
        <w:rPr>
          <w:rFonts w:ascii="Arial" w:hAnsi="Arial" w:cs="Arial"/>
          <w:b/>
          <w:bCs/>
          <w:caps/>
          <w:color w:val="000000" w:themeColor="text1"/>
          <w:sz w:val="20"/>
          <w:szCs w:val="20"/>
        </w:rPr>
      </w:pPr>
    </w:p>
    <w:p w14:paraId="610B0060" w14:textId="693A384F" w:rsidR="00511253" w:rsidRPr="005D0912" w:rsidRDefault="00FF31BF" w:rsidP="006E4BA2">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ABSTRACT</w:t>
      </w:r>
    </w:p>
    <w:p w14:paraId="7E1A3D3C" w14:textId="717C4808"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investigation was undertaken to evaluate the growth performance of HD-K75 pigs and to assess the effects of season of birth, sex, and parity on body weight at birth, weaning (42 days), five months, and eight months of age. Performance records of 1,416 HD-K75 pigs maintained at the nucleus herd of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Data were analysed by least-squares analysis of variance following the model of Harvey (1990), and subclass means were compared using Duncan's Multiple Range Test (DMRT). The overall least-squares means (LSM ± SE) for body weight at birth, weaning, five months, and eight months of age were 1.059 ± 0.004, 11.779 ± 0.039, 45.178 ± 0.289, and 75.371 ± 0.515 kg, respectively. Season of birth exerted no significant effect on body weight at any of the ages studied. Sex had a significant influence only on birth weight, with male piglets being significantly heavier than females, whereas parity significantly affected body weight at birth and weaning but not at later ages. These findings indicate that HD-K75 pigs perform satisfactorily under the intensive management system practised at the nucleus herd and are well adapted to the agroclimatic conditions of Assam.</w:t>
      </w:r>
    </w:p>
    <w:p w14:paraId="4FAC293F" w14:textId="77777777" w:rsidR="00511253" w:rsidRPr="005D0912" w:rsidRDefault="00511253">
      <w:pPr>
        <w:spacing w:before="120"/>
        <w:rPr>
          <w:rFonts w:ascii="Arial" w:hAnsi="Arial" w:cs="Arial"/>
          <w:color w:val="000000" w:themeColor="text1"/>
          <w:sz w:val="20"/>
          <w:szCs w:val="20"/>
        </w:rPr>
      </w:pPr>
    </w:p>
    <w:p w14:paraId="1AB738DF" w14:textId="77777777" w:rsidR="00511253" w:rsidRPr="005D0912" w:rsidRDefault="00FF31BF">
      <w:pPr>
        <w:spacing w:after="120"/>
        <w:rPr>
          <w:rFonts w:ascii="Arial" w:hAnsi="Arial" w:cs="Arial"/>
          <w:color w:val="000000" w:themeColor="text1"/>
          <w:sz w:val="20"/>
          <w:szCs w:val="20"/>
        </w:rPr>
      </w:pPr>
      <w:r w:rsidRPr="005D0912">
        <w:rPr>
          <w:rFonts w:ascii="Arial" w:hAnsi="Arial" w:cs="Arial"/>
          <w:b/>
          <w:bCs/>
          <w:color w:val="000000" w:themeColor="text1"/>
          <w:sz w:val="20"/>
          <w:szCs w:val="20"/>
        </w:rPr>
        <w:t xml:space="preserve">Keywords: </w:t>
      </w:r>
      <w:r w:rsidRPr="005D0912">
        <w:rPr>
          <w:rFonts w:ascii="Arial" w:hAnsi="Arial" w:cs="Arial"/>
          <w:i/>
          <w:iCs/>
          <w:color w:val="000000" w:themeColor="text1"/>
          <w:sz w:val="20"/>
          <w:szCs w:val="20"/>
        </w:rPr>
        <w:t>HD-K75; growth traits; least-squares analysis; non-genetic factors; pig; Northeast India</w:t>
      </w:r>
    </w:p>
    <w:p w14:paraId="020D7478"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1. INTRODUCTION</w:t>
      </w:r>
    </w:p>
    <w:p w14:paraId="5939CE93" w14:textId="176FC124"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Pig farming constitutes a crucial component of the agricultural economy and socio-cultural </w:t>
      </w:r>
      <w:r w:rsidR="00F63A1D" w:rsidRPr="005D0912">
        <w:rPr>
          <w:rFonts w:ascii="Arial" w:hAnsi="Arial" w:cs="Arial"/>
          <w:color w:val="000000" w:themeColor="text1"/>
          <w:sz w:val="20"/>
          <w:szCs w:val="20"/>
        </w:rPr>
        <w:t>practices</w:t>
      </w:r>
      <w:r w:rsidRPr="005D0912">
        <w:rPr>
          <w:rFonts w:ascii="Arial" w:hAnsi="Arial" w:cs="Arial"/>
          <w:color w:val="000000" w:themeColor="text1"/>
          <w:sz w:val="20"/>
          <w:szCs w:val="20"/>
        </w:rPr>
        <w:t xml:space="preserve"> of tribal communities in Northeast India. Assam leads all northeastern states in pig population, with 2.09 million pigs recorded in the 20</w:t>
      </w:r>
      <w:r w:rsidRPr="005D0912">
        <w:rPr>
          <w:rFonts w:ascii="Arial" w:hAnsi="Arial" w:cs="Arial"/>
          <w:color w:val="000000" w:themeColor="text1"/>
          <w:sz w:val="20"/>
          <w:szCs w:val="20"/>
          <w:vertAlign w:val="superscript"/>
        </w:rPr>
        <w:t>th</w:t>
      </w:r>
      <w:r w:rsidRPr="005D0912">
        <w:rPr>
          <w:rFonts w:ascii="Arial" w:hAnsi="Arial" w:cs="Arial"/>
          <w:color w:val="000000" w:themeColor="text1"/>
          <w:sz w:val="20"/>
          <w:szCs w:val="20"/>
        </w:rPr>
        <w:t xml:space="preserve"> Livestock Census (2019). The piggery sector in Assam represents a significant source of income and livelihood for a substantial proportion of the rural population. Despite this potential, the growth and development of the industry </w:t>
      </w:r>
      <w:r w:rsidR="00F13674" w:rsidRPr="005D0912">
        <w:rPr>
          <w:rFonts w:ascii="Arial" w:hAnsi="Arial" w:cs="Arial"/>
          <w:color w:val="000000" w:themeColor="text1"/>
          <w:sz w:val="20"/>
          <w:szCs w:val="20"/>
        </w:rPr>
        <w:t>have</w:t>
      </w:r>
      <w:r w:rsidRPr="005D0912">
        <w:rPr>
          <w:rFonts w:ascii="Arial" w:hAnsi="Arial" w:cs="Arial"/>
          <w:color w:val="000000" w:themeColor="text1"/>
          <w:sz w:val="20"/>
          <w:szCs w:val="20"/>
        </w:rPr>
        <w:t xml:space="preserve"> been constrained by an inadequate supply of quality germplasm possessing both high production performance and adaptability to the prevailing agroclimatic conditions.</w:t>
      </w:r>
    </w:p>
    <w:p w14:paraId="19B6B2FA"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To address this challenge, the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xml:space="preserve">, Guwahati, developed a composite pig variety designated HD-K75, comprising 75% Hampshire and 25% indigenous inheritance. This variety has demonstrated superior production performance alongside satisfactory adaptability to local conditions, and has gained progressive acceptance among farmers in the region (Das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AICRP on Pigs maintains the nucleus herd of HD-K75 and disseminates quality germplasm to farmers, thereby supporting the establishment of multiplier herds under field conditions.</w:t>
      </w:r>
    </w:p>
    <w:p w14:paraId="10FCD593" w14:textId="572A8A1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Growth is a fundamental trait in livestock improvement programmes, since it directly determines the efficiency of meat production (Pragna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Body weight at birth, weaning, and post-weaning ages are routinely employed as selection criteria in pig improvement programmes, as they reliably reflect the genetic potential of animals for growth (Mungate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1999). However, accurate genetic evaluation requires a thorough understanding and adequate statistical accounting of the non-genetic sources of variation</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such as season of birth, sex, and parity</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that influence these traits. Literature pertaining to the </w:t>
      </w:r>
      <w:r w:rsidRPr="005D0912">
        <w:rPr>
          <w:rFonts w:ascii="Arial" w:hAnsi="Arial" w:cs="Arial"/>
          <w:color w:val="000000" w:themeColor="text1"/>
          <w:sz w:val="20"/>
          <w:szCs w:val="20"/>
        </w:rPr>
        <w:lastRenderedPageBreak/>
        <w:t>growth performance of HD-K75 pigs under nucleus herd conditions in Assam is limited, which underscores the relevance of the present investigation. Therefore, the present study was undertaken to estimate the growth performance of HD-K75 pigs and to evaluate the influence of season of birth, sex, and parity on body weight at different ages.</w:t>
      </w:r>
    </w:p>
    <w:p w14:paraId="4E9A1715"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2. MATERIALS AND METHODS</w:t>
      </w:r>
    </w:p>
    <w:p w14:paraId="087460B1" w14:textId="01E1774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2.1 </w:t>
      </w:r>
      <w:r w:rsidR="00633514" w:rsidRPr="005D0912">
        <w:rPr>
          <w:rFonts w:ascii="Arial" w:hAnsi="Arial" w:cs="Arial"/>
          <w:b/>
          <w:bCs/>
          <w:color w:val="000000" w:themeColor="text1"/>
          <w:sz w:val="20"/>
          <w:szCs w:val="20"/>
        </w:rPr>
        <w:t>ANIMALS AND DATA</w:t>
      </w:r>
    </w:p>
    <w:p w14:paraId="73AE148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Performance records of 1,416 HD-K75 pigs maintained at the nucleus herd of AICRP on Pigs,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in the present study. Data were collected from history sheets and herd registers, and included information on animal identification, date of birth, sire and dam identification number, sex, dam parity, and body weight recorded at birth, weaning (42 days), five months, and eight months of age. All animals were reared under a uniform intensive management system with standardized feeding, housing, and health care practices.</w:t>
      </w:r>
    </w:p>
    <w:p w14:paraId="78568204" w14:textId="2417450A"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2.2 </w:t>
      </w:r>
      <w:r w:rsidR="00633514" w:rsidRPr="005D0912">
        <w:rPr>
          <w:rFonts w:ascii="Arial" w:hAnsi="Arial" w:cs="Arial"/>
          <w:b/>
          <w:bCs/>
          <w:color w:val="000000" w:themeColor="text1"/>
          <w:sz w:val="20"/>
          <w:szCs w:val="20"/>
        </w:rPr>
        <w:t>CLASSIFICATION OF DATA</w:t>
      </w:r>
    </w:p>
    <w:p w14:paraId="29C6C0C6" w14:textId="7E1DBEB3"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Data were classified according to three non-genetic factors: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season of birth</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S1: March to May, S2: June to September, S3: October to November, and S4: December to February; (ii) sex</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male and female; and (iii) dam parity</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parity 1, parity 2, and parity 3. Records with missing information were excluded from analysis.</w:t>
      </w:r>
    </w:p>
    <w:p w14:paraId="48DE465E" w14:textId="28533220"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2.3 </w:t>
      </w:r>
      <w:r w:rsidR="00633514" w:rsidRPr="005D0912">
        <w:rPr>
          <w:rFonts w:ascii="Arial" w:hAnsi="Arial" w:cs="Arial"/>
          <w:b/>
          <w:bCs/>
          <w:color w:val="000000" w:themeColor="text1"/>
          <w:sz w:val="20"/>
          <w:szCs w:val="20"/>
        </w:rPr>
        <w:t>STATISTICAL ANALYSIS</w:t>
      </w:r>
    </w:p>
    <w:p w14:paraId="123E6735" w14:textId="3B417ABC"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Data were analysed using least-squares analysis of variance to evaluate the effects of the above non-genetic factors on body weight, following the methodology described by Harvey (1990). The statistical model employed was:</w:t>
      </w:r>
    </w:p>
    <w:p w14:paraId="7F0A14AC" w14:textId="77777777" w:rsidR="00511253" w:rsidRPr="005D0912" w:rsidRDefault="00FF31BF">
      <w:pPr>
        <w:spacing w:before="100" w:after="100"/>
        <w:jc w:val="center"/>
        <w:rPr>
          <w:rFonts w:ascii="Arial" w:hAnsi="Arial" w:cs="Arial"/>
          <w:color w:val="000000" w:themeColor="text1"/>
          <w:sz w:val="20"/>
          <w:szCs w:val="20"/>
        </w:rPr>
      </w:pPr>
      <w:proofErr w:type="spellStart"/>
      <w:r w:rsidRPr="005D0912">
        <w:rPr>
          <w:rFonts w:ascii="Arial" w:hAnsi="Arial" w:cs="Arial"/>
          <w:i/>
          <w:iCs/>
          <w:color w:val="000000" w:themeColor="text1"/>
          <w:sz w:val="20"/>
          <w:szCs w:val="20"/>
        </w:rPr>
        <w:t>Y</w:t>
      </w:r>
      <w:r w:rsidRPr="005D0912">
        <w:rPr>
          <w:rFonts w:ascii="Arial" w:hAnsi="Arial" w:cs="Arial"/>
          <w:i/>
          <w:iCs/>
          <w:color w:val="000000" w:themeColor="text1"/>
          <w:sz w:val="20"/>
          <w:szCs w:val="20"/>
          <w:vertAlign w:val="subscript"/>
        </w:rPr>
        <w:t>ijkl</w:t>
      </w:r>
      <w:proofErr w:type="spellEnd"/>
      <w:r w:rsidRPr="005D0912">
        <w:rPr>
          <w:rFonts w:ascii="Arial" w:hAnsi="Arial" w:cs="Arial"/>
          <w:i/>
          <w:iCs/>
          <w:color w:val="000000" w:themeColor="text1"/>
          <w:sz w:val="20"/>
          <w:szCs w:val="20"/>
          <w:vertAlign w:val="subscript"/>
        </w:rPr>
        <w:t xml:space="preserve"> </w:t>
      </w:r>
      <w:r w:rsidRPr="005D0912">
        <w:rPr>
          <w:rFonts w:ascii="Arial" w:hAnsi="Arial" w:cs="Arial"/>
          <w:i/>
          <w:iCs/>
          <w:color w:val="000000" w:themeColor="text1"/>
          <w:sz w:val="20"/>
          <w:szCs w:val="20"/>
        </w:rPr>
        <w:t>= µ + S</w:t>
      </w:r>
      <w:r w:rsidRPr="005D0912">
        <w:rPr>
          <w:rFonts w:ascii="Arial" w:hAnsi="Arial" w:cs="Arial"/>
          <w:i/>
          <w:iCs/>
          <w:color w:val="000000" w:themeColor="text1"/>
          <w:sz w:val="20"/>
          <w:szCs w:val="20"/>
          <w:vertAlign w:val="subscript"/>
        </w:rPr>
        <w:t xml:space="preserve">i </w:t>
      </w:r>
      <w:r w:rsidRPr="005D0912">
        <w:rPr>
          <w:rFonts w:ascii="Arial" w:hAnsi="Arial" w:cs="Arial"/>
          <w:i/>
          <w:iCs/>
          <w:color w:val="000000" w:themeColor="text1"/>
          <w:sz w:val="20"/>
          <w:szCs w:val="20"/>
        </w:rPr>
        <w:t xml:space="preserve">+ </w:t>
      </w:r>
      <w:proofErr w:type="spellStart"/>
      <w:r w:rsidRPr="005D0912">
        <w:rPr>
          <w:rFonts w:ascii="Arial" w:hAnsi="Arial" w:cs="Arial"/>
          <w:i/>
          <w:iCs/>
          <w:color w:val="000000" w:themeColor="text1"/>
          <w:sz w:val="20"/>
          <w:szCs w:val="20"/>
        </w:rPr>
        <w:t>X</w:t>
      </w:r>
      <w:r w:rsidRPr="005D0912">
        <w:rPr>
          <w:rFonts w:ascii="Arial" w:hAnsi="Arial" w:cs="Arial"/>
          <w:i/>
          <w:iCs/>
          <w:color w:val="000000" w:themeColor="text1"/>
          <w:sz w:val="20"/>
          <w:szCs w:val="20"/>
          <w:vertAlign w:val="subscript"/>
        </w:rPr>
        <w:t>j</w:t>
      </w:r>
      <w:proofErr w:type="spellEnd"/>
      <w:r w:rsidRPr="005D0912">
        <w:rPr>
          <w:rFonts w:ascii="Arial" w:hAnsi="Arial" w:cs="Arial"/>
          <w:i/>
          <w:iCs/>
          <w:color w:val="000000" w:themeColor="text1"/>
          <w:sz w:val="20"/>
          <w:szCs w:val="20"/>
        </w:rPr>
        <w:t xml:space="preserve"> + </w:t>
      </w:r>
      <w:proofErr w:type="spellStart"/>
      <w:r w:rsidRPr="005D0912">
        <w:rPr>
          <w:rFonts w:ascii="Arial" w:hAnsi="Arial" w:cs="Arial"/>
          <w:i/>
          <w:iCs/>
          <w:color w:val="000000" w:themeColor="text1"/>
          <w:sz w:val="20"/>
          <w:szCs w:val="20"/>
        </w:rPr>
        <w:t>P</w:t>
      </w:r>
      <w:r w:rsidRPr="005D0912">
        <w:rPr>
          <w:rFonts w:ascii="Arial" w:hAnsi="Arial" w:cs="Arial"/>
          <w:i/>
          <w:iCs/>
          <w:color w:val="000000" w:themeColor="text1"/>
          <w:sz w:val="20"/>
          <w:szCs w:val="20"/>
          <w:vertAlign w:val="subscript"/>
        </w:rPr>
        <w:t>k</w:t>
      </w:r>
      <w:proofErr w:type="spellEnd"/>
      <w:r w:rsidRPr="005D0912">
        <w:rPr>
          <w:rFonts w:ascii="Arial" w:hAnsi="Arial" w:cs="Arial"/>
          <w:i/>
          <w:iCs/>
          <w:color w:val="000000" w:themeColor="text1"/>
          <w:sz w:val="20"/>
          <w:szCs w:val="20"/>
        </w:rPr>
        <w:t xml:space="preserve"> + </w:t>
      </w:r>
      <w:proofErr w:type="spellStart"/>
      <w:r w:rsidRPr="005D0912">
        <w:rPr>
          <w:rFonts w:ascii="Arial" w:hAnsi="Arial" w:cs="Arial"/>
          <w:i/>
          <w:iCs/>
          <w:color w:val="000000" w:themeColor="text1"/>
          <w:sz w:val="20"/>
          <w:szCs w:val="20"/>
        </w:rPr>
        <w:t>e</w:t>
      </w:r>
      <w:r w:rsidRPr="005D0912">
        <w:rPr>
          <w:rFonts w:ascii="Arial" w:hAnsi="Arial" w:cs="Arial"/>
          <w:i/>
          <w:iCs/>
          <w:color w:val="000000" w:themeColor="text1"/>
          <w:sz w:val="20"/>
          <w:szCs w:val="20"/>
          <w:vertAlign w:val="subscript"/>
        </w:rPr>
        <w:t>ijkl</w:t>
      </w:r>
      <w:proofErr w:type="spellEnd"/>
    </w:p>
    <w:p w14:paraId="40C80212"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where </w:t>
      </w:r>
      <w:proofErr w:type="spellStart"/>
      <w:r w:rsidRPr="005D0912">
        <w:rPr>
          <w:rFonts w:ascii="Arial" w:hAnsi="Arial" w:cs="Arial"/>
          <w:color w:val="000000" w:themeColor="text1"/>
          <w:sz w:val="20"/>
          <w:szCs w:val="20"/>
        </w:rPr>
        <w:t>Y</w:t>
      </w:r>
      <w:r w:rsidRPr="005D0912">
        <w:rPr>
          <w:rFonts w:ascii="Arial" w:hAnsi="Arial" w:cs="Arial"/>
          <w:color w:val="000000" w:themeColor="text1"/>
          <w:sz w:val="20"/>
          <w:szCs w:val="20"/>
          <w:vertAlign w:val="subscript"/>
        </w:rPr>
        <w:t>ijkl</w:t>
      </w:r>
      <w:proofErr w:type="spellEnd"/>
      <w:r w:rsidRPr="005D0912">
        <w:rPr>
          <w:rFonts w:ascii="Arial" w:hAnsi="Arial" w:cs="Arial"/>
          <w:color w:val="000000" w:themeColor="text1"/>
          <w:sz w:val="20"/>
          <w:szCs w:val="20"/>
          <w:vertAlign w:val="subscript"/>
        </w:rPr>
        <w:t xml:space="preserve"> </w:t>
      </w:r>
      <w:r w:rsidRPr="005D0912">
        <w:rPr>
          <w:rFonts w:ascii="Arial" w:hAnsi="Arial" w:cs="Arial"/>
          <w:color w:val="000000" w:themeColor="text1"/>
          <w:sz w:val="20"/>
          <w:szCs w:val="20"/>
        </w:rPr>
        <w:t>is the observation on the l-</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animal born in the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the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from the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µ is the overall population mean; Si is the fixed effect of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birth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xml:space="preserve"> = 1, 2, 3, 4); </w:t>
      </w:r>
      <w:proofErr w:type="spellStart"/>
      <w:r w:rsidRPr="005D0912">
        <w:rPr>
          <w:rFonts w:ascii="Arial" w:hAnsi="Arial" w:cs="Arial"/>
          <w:color w:val="000000" w:themeColor="text1"/>
          <w:sz w:val="20"/>
          <w:szCs w:val="20"/>
        </w:rPr>
        <w:t>Xj</w:t>
      </w:r>
      <w:proofErr w:type="spellEnd"/>
      <w:r w:rsidRPr="005D0912">
        <w:rPr>
          <w:rFonts w:ascii="Arial" w:hAnsi="Arial" w:cs="Arial"/>
          <w:color w:val="000000" w:themeColor="text1"/>
          <w:sz w:val="20"/>
          <w:szCs w:val="20"/>
        </w:rPr>
        <w:t xml:space="preserve"> is the fixed effect of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(j = 1, 2); Pk is the fixed effect of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(k = 1, 2, 3); and </w:t>
      </w:r>
      <w:proofErr w:type="spellStart"/>
      <w:r w:rsidRPr="005D0912">
        <w:rPr>
          <w:rFonts w:ascii="Arial" w:hAnsi="Arial" w:cs="Arial"/>
          <w:color w:val="000000" w:themeColor="text1"/>
          <w:sz w:val="20"/>
          <w:szCs w:val="20"/>
        </w:rPr>
        <w:t>eijkl</w:t>
      </w:r>
      <w:proofErr w:type="spellEnd"/>
      <w:r w:rsidRPr="005D0912">
        <w:rPr>
          <w:rFonts w:ascii="Arial" w:hAnsi="Arial" w:cs="Arial"/>
          <w:color w:val="000000" w:themeColor="text1"/>
          <w:sz w:val="20"/>
          <w:szCs w:val="20"/>
        </w:rPr>
        <w:t xml:space="preserve"> is the random error assumed to be independently and identically distributed as N(0, σ²e). Differences among subclass means were tested using Duncan's Multiple Range Test (DMRT), as modified by Kramer (1957). Means within a column bearing different superscripts differ significantly (P &lt; 0.05).</w:t>
      </w:r>
    </w:p>
    <w:p w14:paraId="540442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3. RESULTS AND DISCUSSION</w:t>
      </w:r>
    </w:p>
    <w:p w14:paraId="42774FA3" w14:textId="52CDBECE"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 </w:t>
      </w:r>
      <w:r w:rsidR="00633514" w:rsidRPr="005D0912">
        <w:rPr>
          <w:rFonts w:ascii="Arial" w:hAnsi="Arial" w:cs="Arial"/>
          <w:b/>
          <w:bCs/>
          <w:color w:val="000000" w:themeColor="text1"/>
          <w:sz w:val="20"/>
          <w:szCs w:val="20"/>
        </w:rPr>
        <w:t>OVERALL GROWTH PERFORMANCE</w:t>
      </w:r>
    </w:p>
    <w:p w14:paraId="7636E9B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overall least-squares means (LSM ± SE) for body weight at birth, weaning, five months, and eight months of age in HD-K75 pigs were 1.059 ± 0.004 kg, 11.779 ± 0.039 kg, 45.178 ± 0.289 kg, and 75.371 ± 0.515 kg, respectively (Table 1). These estimates reflect satisfactory growth performance of HD-K75 pigs under the prevailing intensive management conditions at the nucleus herd.</w:t>
      </w:r>
    </w:p>
    <w:p w14:paraId="33B118F4" w14:textId="69895603"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3.1.1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Birth</w:t>
      </w:r>
    </w:p>
    <w:p w14:paraId="2C170BB4"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overall LSM for birth weight in HD-K75 pigs (1.059 ± 0.004 kg; n = 1,416) was comparable to reports by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in ¾ Landrace × ½ indigenous pigs (1.06 ± 0.02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in Large White pigs (1.05 ± 0.01 kg), 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in ½ Large White Yorkshire × ½ indigenous crosses (1.03 ± 0.01 kg),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HD-K75 pigs (1.001 ± 0.001 kg). Higher birth weights have been reported in Landrace (1.44 ± 0.49 kg; </w:t>
      </w:r>
      <w:proofErr w:type="spellStart"/>
      <w:r w:rsidRPr="005D0912">
        <w:rPr>
          <w:rFonts w:ascii="Arial" w:hAnsi="Arial" w:cs="Arial"/>
          <w:color w:val="000000" w:themeColor="text1"/>
          <w:sz w:val="20"/>
          <w:szCs w:val="20"/>
        </w:rPr>
        <w:t>Eyovwunu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Duroc (1.40 ± 0.08 kg;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¾ Hampshire × </w:t>
      </w:r>
      <w:proofErr w:type="spellStart"/>
      <w:r w:rsidRPr="005D0912">
        <w:rPr>
          <w:rFonts w:ascii="Arial" w:hAnsi="Arial" w:cs="Arial"/>
          <w:color w:val="000000" w:themeColor="text1"/>
          <w:sz w:val="20"/>
          <w:szCs w:val="20"/>
        </w:rPr>
        <w:t>Jharsuk</w:t>
      </w:r>
      <w:proofErr w:type="spellEnd"/>
      <w:r w:rsidRPr="005D0912">
        <w:rPr>
          <w:rFonts w:ascii="Arial" w:hAnsi="Arial" w:cs="Arial"/>
          <w:color w:val="000000" w:themeColor="text1"/>
          <w:sz w:val="20"/>
          <w:szCs w:val="20"/>
        </w:rPr>
        <w:t xml:space="preserve"> crosses (1.36 ± 0.02 kg; Kumar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Hampshire × indigenous crosses (1.25 ± 0.34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Markedly lower birth weights are characteristic of indigenous pig breeds of Northeast India, such as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of Nagaland (0.34–0.38 kg; </w:t>
      </w:r>
      <w:proofErr w:type="spellStart"/>
      <w:r w:rsidRPr="005D0912">
        <w:rPr>
          <w:rFonts w:ascii="Arial" w:hAnsi="Arial" w:cs="Arial"/>
          <w:color w:val="000000" w:themeColor="text1"/>
          <w:sz w:val="20"/>
          <w:szCs w:val="20"/>
        </w:rPr>
        <w:t>Lanuyanger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lastRenderedPageBreak/>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Losou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(0.49 ± 0.01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2017), reflecting the influence of a lower degree of exotic inheritance in those genotypes.</w:t>
      </w:r>
    </w:p>
    <w:p w14:paraId="0B28C1AD" w14:textId="40E2ED8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3.1.2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Weaning</w:t>
      </w:r>
    </w:p>
    <w:p w14:paraId="359AAFB0" w14:textId="01EF8CA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weaning weight (11.779 ± 0.039 kg; n = 1,372) is among the higher estimates reported for crossbred pigs in India. Comparable values </w:t>
      </w:r>
      <w:r w:rsidR="00655710" w:rsidRPr="005D0912">
        <w:rPr>
          <w:rFonts w:ascii="Arial" w:hAnsi="Arial" w:cs="Arial"/>
          <w:color w:val="000000" w:themeColor="text1"/>
          <w:sz w:val="20"/>
          <w:szCs w:val="20"/>
        </w:rPr>
        <w:t>were</w:t>
      </w:r>
      <w:r w:rsidRPr="005D0912">
        <w:rPr>
          <w:rFonts w:ascii="Arial" w:hAnsi="Arial" w:cs="Arial"/>
          <w:color w:val="000000" w:themeColor="text1"/>
          <w:sz w:val="20"/>
          <w:szCs w:val="20"/>
        </w:rPr>
        <w:t xml:space="preserve"> obtained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(2006) in ¾ Hampshire × ¼ indigenous pigs (10.618 ± 0.109 kg). Substantially lower weaning weights have been documented in indigenous breeds such as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w:t>
      </w:r>
      <w:proofErr w:type="spellStart"/>
      <w:r w:rsidRPr="005D0912">
        <w:rPr>
          <w:rFonts w:ascii="Arial" w:hAnsi="Arial" w:cs="Arial"/>
          <w:color w:val="000000" w:themeColor="text1"/>
          <w:sz w:val="20"/>
          <w:szCs w:val="20"/>
        </w:rPr>
        <w:t>Goan</w:t>
      </w:r>
      <w:proofErr w:type="spellEnd"/>
      <w:r w:rsidRPr="005D0912">
        <w:rPr>
          <w:rFonts w:ascii="Arial" w:hAnsi="Arial" w:cs="Arial"/>
          <w:color w:val="000000" w:themeColor="text1"/>
          <w:sz w:val="20"/>
          <w:szCs w:val="20"/>
        </w:rPr>
        <w:t xml:space="preserve"> pigs (3.76 ± 0.12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of Nagaland (3.91 ± 0.10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Nigerian indigenous pigs (4.17 ± 0.20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and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(4.32 ± 0.43 kg; </w:t>
      </w:r>
      <w:proofErr w:type="spellStart"/>
      <w:r w:rsidRPr="005D0912">
        <w:rPr>
          <w:rFonts w:ascii="Arial" w:hAnsi="Arial" w:cs="Arial"/>
          <w:color w:val="000000" w:themeColor="text1"/>
          <w:sz w:val="20"/>
          <w:szCs w:val="20"/>
        </w:rPr>
        <w:t>Yeptho</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The pronounced difference in weaning </w:t>
      </w:r>
      <w:r w:rsidR="00655710" w:rsidRPr="005D0912">
        <w:rPr>
          <w:rFonts w:ascii="Arial" w:hAnsi="Arial" w:cs="Arial"/>
          <w:color w:val="000000" w:themeColor="text1"/>
          <w:sz w:val="20"/>
          <w:szCs w:val="20"/>
        </w:rPr>
        <w:t xml:space="preserve">weighted </w:t>
      </w:r>
      <w:r w:rsidRPr="005D0912">
        <w:rPr>
          <w:rFonts w:ascii="Arial" w:hAnsi="Arial" w:cs="Arial"/>
          <w:color w:val="000000" w:themeColor="text1"/>
          <w:sz w:val="20"/>
          <w:szCs w:val="20"/>
        </w:rPr>
        <w:t>between HD-K75 and indigenous breeds may be attributed to differences in genetic composition, management system, nutritional inputs, and age at weaning.</w:t>
      </w:r>
    </w:p>
    <w:p w14:paraId="0A52C25D" w14:textId="17F8120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3.1.3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Five Months</w:t>
      </w:r>
    </w:p>
    <w:p w14:paraId="23F731F1"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five months of age (45.178 ± 0.289 kg; n = 111) was considerably higher than figures reported for several indigenous and crossbred genotypes, including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of Mizoram (12.65 ± 3.4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Niang Megha pigs of Meghalaya (16.45 ± 1.23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w:t>
      </w:r>
      <w:proofErr w:type="spellStart"/>
      <w:r w:rsidRPr="005D0912">
        <w:rPr>
          <w:rFonts w:ascii="Arial" w:hAnsi="Arial" w:cs="Arial"/>
          <w:color w:val="000000" w:themeColor="text1"/>
          <w:sz w:val="20"/>
          <w:szCs w:val="20"/>
        </w:rPr>
        <w:t>Goan</w:t>
      </w:r>
      <w:proofErr w:type="spellEnd"/>
      <w:r w:rsidRPr="005D0912">
        <w:rPr>
          <w:rFonts w:ascii="Arial" w:hAnsi="Arial" w:cs="Arial"/>
          <w:color w:val="000000" w:themeColor="text1"/>
          <w:sz w:val="20"/>
          <w:szCs w:val="20"/>
        </w:rPr>
        <w:t xml:space="preserve"> pigs of Goa (17.92 ± 0.83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and Tamworth × Jharkhand desi pigs (23.70 ± 0.55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2020). The superior five-month weight of HD-K75 is consistent with its higher proportion of Hampshire inheritance and the uniform management practices at the nucleus herd.</w:t>
      </w:r>
    </w:p>
    <w:p w14:paraId="5D43C151" w14:textId="6D24ADE9"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3.1.4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Eight Months</w:t>
      </w:r>
    </w:p>
    <w:p w14:paraId="0B5C274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eight months of age (75.371 ± 0.515 kg; n = 111) was comparable to that reported by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the same genotype (71.229 ± 0.110 kg). Substantially lower eight-month weights have been reported in indigenous and low-exotic-inheritance crossbreds, including local indigenous pigs of Assam (32.45 ± 1.48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(23.79 ± 5.2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Wak</w:t>
      </w:r>
      <w:proofErr w:type="spellEnd"/>
      <w:r w:rsidRPr="005D0912">
        <w:rPr>
          <w:rFonts w:ascii="Arial" w:hAnsi="Arial" w:cs="Arial"/>
          <w:color w:val="000000" w:themeColor="text1"/>
          <w:sz w:val="20"/>
          <w:szCs w:val="20"/>
        </w:rPr>
        <w:t xml:space="preserve"> </w:t>
      </w:r>
      <w:proofErr w:type="spellStart"/>
      <w:r w:rsidRPr="005D0912">
        <w:rPr>
          <w:rFonts w:ascii="Arial" w:hAnsi="Arial" w:cs="Arial"/>
          <w:color w:val="000000" w:themeColor="text1"/>
          <w:sz w:val="20"/>
          <w:szCs w:val="20"/>
        </w:rPr>
        <w:t>Chambil</w:t>
      </w:r>
      <w:proofErr w:type="spellEnd"/>
      <w:r w:rsidRPr="005D0912">
        <w:rPr>
          <w:rFonts w:ascii="Arial" w:hAnsi="Arial" w:cs="Arial"/>
          <w:color w:val="000000" w:themeColor="text1"/>
          <w:sz w:val="20"/>
          <w:szCs w:val="20"/>
        </w:rPr>
        <w:t xml:space="preserve"> pigs of Meghalaya (27.59 ± 1.53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2021), and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w:t>
      </w:r>
      <w:proofErr w:type="spellStart"/>
      <w:r w:rsidRPr="005D0912">
        <w:rPr>
          <w:rFonts w:ascii="Arial" w:hAnsi="Arial" w:cs="Arial"/>
          <w:color w:val="000000" w:themeColor="text1"/>
          <w:sz w:val="20"/>
          <w:szCs w:val="20"/>
        </w:rPr>
        <w:t>Goan</w:t>
      </w:r>
      <w:proofErr w:type="spellEnd"/>
      <w:r w:rsidRPr="005D0912">
        <w:rPr>
          <w:rFonts w:ascii="Arial" w:hAnsi="Arial" w:cs="Arial"/>
          <w:color w:val="000000" w:themeColor="text1"/>
          <w:sz w:val="20"/>
          <w:szCs w:val="20"/>
        </w:rPr>
        <w:t xml:space="preserve"> pigs of Goa (34.53 ± 1.53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eight-month weight of HD-K75 is indicative of its potential for commercial slaughter at a market-acceptable weight within a reasonable production cycle.</w:t>
      </w:r>
    </w:p>
    <w:p w14:paraId="695C9DDF" w14:textId="4B78877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 </w:t>
      </w:r>
      <w:r w:rsidR="00633514" w:rsidRPr="005D0912">
        <w:rPr>
          <w:rFonts w:ascii="Arial" w:hAnsi="Arial" w:cs="Arial"/>
          <w:b/>
          <w:bCs/>
          <w:color w:val="000000" w:themeColor="text1"/>
          <w:sz w:val="20"/>
          <w:szCs w:val="20"/>
        </w:rPr>
        <w:t>EFFECTS OF NON-GENETIC FACTORS ON BODY WEIGHT</w:t>
      </w:r>
    </w:p>
    <w:p w14:paraId="2121593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results of least-squares analysis of variance examining the effects of season of birth, sex, and parity on body weight at different ages are presented in Table 2.</w:t>
      </w:r>
    </w:p>
    <w:p w14:paraId="17696236" w14:textId="0A5923A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3.2.1 </w:t>
      </w:r>
      <w:r w:rsidR="00633514" w:rsidRPr="005D0912">
        <w:rPr>
          <w:rFonts w:ascii="Arial" w:hAnsi="Arial" w:cs="Arial"/>
          <w:b/>
          <w:bCs/>
          <w:color w:val="000000" w:themeColor="text1"/>
          <w:sz w:val="20"/>
          <w:szCs w:val="20"/>
        </w:rPr>
        <w:t xml:space="preserve">Effect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 xml:space="preserve">f Season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f Birth</w:t>
      </w:r>
    </w:p>
    <w:p w14:paraId="40E97E6B" w14:textId="15FF7BE1"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Season of birth did not exert a significant influence on body weight at any of the ages studied (Table 2). This finding is in agreement with reports by </w:t>
      </w:r>
      <w:proofErr w:type="spellStart"/>
      <w:r w:rsidRPr="005D0912">
        <w:rPr>
          <w:rFonts w:ascii="Arial" w:hAnsi="Arial" w:cs="Arial"/>
          <w:color w:val="000000" w:themeColor="text1"/>
          <w:sz w:val="20"/>
          <w:szCs w:val="20"/>
        </w:rPr>
        <w:t>Palve</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(2000), Pradeep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Kumari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(2005),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and Bey (2018). The non-significance of season may be attributed to the standardized intensive management system, uniform feeding schedule, and temperature-regulated housing maintained at the nucleus herd, which effectively buffer seasonal climatic variation. In contrast, significant seasonal effects on body weight have been reported by Prakash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(2008),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possibly reflecting greater agroclimatic variation and less-controlled management in those studies.</w:t>
      </w:r>
    </w:p>
    <w:p w14:paraId="58A3AFAD"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3.2.2 Effect of Sex</w:t>
      </w:r>
    </w:p>
    <w:p w14:paraId="1A9773C4" w14:textId="78D8CD12"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Sex had a significant effect on body weight at birth (P &lt; 0.05), with male piglets recording a significantly higher mean birth weight (1.066 ± 0.005 kg) compared to female piglets (1.052 ± 0.005 kg). The influence of sex on body weight at weaning, five months, and eight months of age was not significant, although males tended to be heavier at all post-weaning stages. The significant sex effect on birth weight observed in the present study is consistent with the findings of Deka and </w:t>
      </w:r>
      <w:proofErr w:type="spellStart"/>
      <w:r w:rsidRPr="005D0912">
        <w:rPr>
          <w:rFonts w:ascii="Arial" w:hAnsi="Arial" w:cs="Arial"/>
          <w:color w:val="000000" w:themeColor="text1"/>
          <w:sz w:val="20"/>
          <w:szCs w:val="20"/>
        </w:rPr>
        <w:t>Bardoloi</w:t>
      </w:r>
      <w:proofErr w:type="spellEnd"/>
      <w:r w:rsidRPr="005D0912">
        <w:rPr>
          <w:rFonts w:ascii="Arial" w:hAnsi="Arial" w:cs="Arial"/>
          <w:color w:val="000000" w:themeColor="text1"/>
          <w:sz w:val="20"/>
          <w:szCs w:val="20"/>
        </w:rPr>
        <w:t xml:space="preserve"> (2004), </w:t>
      </w:r>
      <w:proofErr w:type="spellStart"/>
      <w:r w:rsidRPr="005D0912">
        <w:rPr>
          <w:rFonts w:ascii="Arial" w:hAnsi="Arial" w:cs="Arial"/>
          <w:color w:val="000000" w:themeColor="text1"/>
          <w:sz w:val="20"/>
          <w:szCs w:val="20"/>
        </w:rPr>
        <w:t>Kalita</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lastRenderedPageBreak/>
        <w:t>(2006),</w:t>
      </w:r>
      <w:r w:rsidR="0066198F"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Lalremruata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and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A non-significant sex effect on birth weight was reported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(2001), Deka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and Bey (2018). Significant sex effects at weaning and older ages have been reported by Banik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(2013), Chusi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which may reflect the differential expression of sex hormones at later developmental stages and variation in management practices among studies.</w:t>
      </w:r>
    </w:p>
    <w:p w14:paraId="3F40D99B"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3.2.3 Effect of Parity</w:t>
      </w:r>
    </w:p>
    <w:p w14:paraId="35E8DA03" w14:textId="531486EE"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Parity significantly influenced body weight at birth and at weaning, but not at five months or eight months of age. Piglets born to third-parity sows had the highest birth weight (1.075 ± 0.007 kg) and weaning weight (11.905 ± 0.079 kg), while piglets from first-parity sows recorded the lowest values (1.037 ± 0.008 kg and 11.701 ± 0.083 kg at birth and weaning, respectively). A progressive increase in body weight from parity 1 to parity 3 was observed, a trend consistent with reports by Knecht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Significant parity effects on birth weight alone were reported by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while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reported significant parity effects specifically at weaning.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found parity to exert a non-significant influence on both birth and weaning weights. The superior birth and weaning weights of piglets from third-parity sows may be explained by greater physiological maturity of older sows, increased body reserves, enhanced uterine capacity, and improved mammary gland development and secretory function, leading to superior prenatal nutrition and higher colostrum and milk yield in early lactation. The non-significant parity effect at five and eight months of age suggests that post-weaning growth is primarily governed by the individual genetic potential of the animal and uniform environmental management, rather than the dam's parity.</w:t>
      </w:r>
    </w:p>
    <w:p w14:paraId="4100829A" w14:textId="77777777" w:rsidR="00511253" w:rsidRPr="005D0912" w:rsidRDefault="00511253">
      <w:pPr>
        <w:spacing w:before="200"/>
        <w:rPr>
          <w:rFonts w:ascii="Arial" w:hAnsi="Arial" w:cs="Arial"/>
          <w:color w:val="000000" w:themeColor="text1"/>
          <w:sz w:val="20"/>
          <w:szCs w:val="20"/>
        </w:rPr>
      </w:pPr>
    </w:p>
    <w:p w14:paraId="4B9F1BCC"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1. Least-squares means (LSM ± SE) and results of Duncan's Multiple Range Test (DMRT) for body weight at birth, weaning, five months, and eight months of age in HD-K75 pigs classified by season of birth, sex, and parity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90"/>
        <w:gridCol w:w="1790"/>
        <w:gridCol w:w="1790"/>
        <w:gridCol w:w="1790"/>
      </w:tblGrid>
      <w:tr w:rsidR="00511253" w:rsidRPr="005D0912" w14:paraId="49262250"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FA3062"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Sub-class</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1F002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E56EA15" w14:textId="094E49BB"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5F0DC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49F950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 (kg)</w:t>
            </w:r>
          </w:p>
        </w:tc>
      </w:tr>
      <w:tr w:rsidR="00511253" w:rsidRPr="005D0912" w14:paraId="466CA80C"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FF23F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51295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0FEE2A"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307508"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106A17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r>
      <w:tr w:rsidR="00511253" w:rsidRPr="005D0912" w14:paraId="3562198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77A41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Overall mean (µ)</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5DE9DA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1.059 ± 0.004 (1416)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85322A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11.779 ± 0.039 (1372)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8662F6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45.178 ± 0.289 (111)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334385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75.371 ± 0.515 (111)</w:t>
            </w:r>
          </w:p>
        </w:tc>
      </w:tr>
      <w:tr w:rsidR="00511253" w:rsidRPr="005D0912" w14:paraId="3205F63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7930D3"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52C2A7"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D025CC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EAD3B04"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DFFAA" w14:textId="77777777" w:rsidR="00511253" w:rsidRPr="005D0912" w:rsidRDefault="00511253">
            <w:pPr>
              <w:jc w:val="center"/>
              <w:rPr>
                <w:rFonts w:ascii="Arial" w:hAnsi="Arial" w:cs="Arial"/>
                <w:color w:val="000000" w:themeColor="text1"/>
                <w:sz w:val="20"/>
                <w:szCs w:val="20"/>
              </w:rPr>
            </w:pPr>
          </w:p>
        </w:tc>
      </w:tr>
      <w:tr w:rsidR="00511253" w:rsidRPr="005D0912" w14:paraId="08D9AC6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9C3BDE7"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S1 (Mar–May)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5590E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1.042 ± 0.011 (311)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490039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11.771 ± 0.111 (307)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E5FB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8F84E1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63BC63EA"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1B83E58"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S2 (Jun–Sep)</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43C75A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0.007 (275)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E7A970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11.711 ± 0.076 (260)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FFED9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44.941 ± 0.321 (35)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8496B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74.915 ± 0.572 (35)</w:t>
            </w:r>
          </w:p>
        </w:tc>
      </w:tr>
      <w:tr w:rsidR="00511253" w:rsidRPr="005D0912" w14:paraId="30E36C9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51E54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S3 (Oct–Nov)</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D64D8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1.061 ± 0.006 (649)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D6A1C3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11.844 ± 0.065 (628)</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AC9962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45.416 ± 0.376 (76)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92B2D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75.827 ± 0.669 (76)</w:t>
            </w:r>
          </w:p>
        </w:tc>
      </w:tr>
      <w:tr w:rsidR="00511253" w:rsidRPr="005D0912" w14:paraId="50A81F4F"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FC9ED8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S4 (Dec–Feb)</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0AABDA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0.009 (181)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3B309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11.789 ± 0.099 (177)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C4318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ABE62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7215D55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C5F0B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0AF8BB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8FEE61"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1B8E59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4CB057" w14:textId="77777777" w:rsidR="00511253" w:rsidRPr="005D0912" w:rsidRDefault="00511253">
            <w:pPr>
              <w:jc w:val="center"/>
              <w:rPr>
                <w:rFonts w:ascii="Arial" w:hAnsi="Arial" w:cs="Arial"/>
                <w:color w:val="000000" w:themeColor="text1"/>
                <w:sz w:val="20"/>
                <w:szCs w:val="20"/>
              </w:rPr>
            </w:pPr>
          </w:p>
        </w:tc>
      </w:tr>
      <w:tr w:rsidR="00511253" w:rsidRPr="005D0912" w14:paraId="22E5FD42"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A581D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738B1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1.066</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0.005 (651)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ABFE1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11.814 ± 0.052 (633)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A3ED70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45.204 ± 0.349 (51)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CBDCE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75.168 ± 0.623 (51)</w:t>
            </w:r>
          </w:p>
        </w:tc>
      </w:tr>
      <w:tr w:rsidR="00511253" w:rsidRPr="005D0912" w14:paraId="7D93E32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C318C10"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Female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3D73F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1.052</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0.005 (765)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B6291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11.743 ± 0.049 (739)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E52CD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45.152 ± 0.313 (60)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995A97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75.574 ± 0.558 (60)</w:t>
            </w:r>
          </w:p>
        </w:tc>
      </w:tr>
      <w:tr w:rsidR="00511253" w:rsidRPr="005D0912" w14:paraId="447736F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7EE2D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Parity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7D0C2BE"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ECBEA29"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E2F98B"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18C0A63" w14:textId="77777777" w:rsidR="00511253" w:rsidRPr="005D0912" w:rsidRDefault="00511253">
            <w:pPr>
              <w:jc w:val="center"/>
              <w:rPr>
                <w:rFonts w:ascii="Arial" w:hAnsi="Arial" w:cs="Arial"/>
                <w:color w:val="000000" w:themeColor="text1"/>
                <w:sz w:val="20"/>
                <w:szCs w:val="20"/>
              </w:rPr>
            </w:pPr>
          </w:p>
        </w:tc>
      </w:tr>
      <w:tr w:rsidR="00511253" w:rsidRPr="005D0912" w14:paraId="56F2AE1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C850BCF"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lastRenderedPageBreak/>
              <w:t xml:space="preserve">  Parity 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722C8C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1.037</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0.008 (430)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7C9C0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11.701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0.083 (410)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7ACBC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45.198 ± 0.577 (10)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8E868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74.775 ± 1.029 (10)</w:t>
            </w:r>
          </w:p>
        </w:tc>
      </w:tr>
      <w:tr w:rsidR="00511253" w:rsidRPr="005D0912" w14:paraId="61AD1D3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0CA2D6"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ACFAB5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0.008 (482)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BEDA41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11.731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0.080 (471)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BEA2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11D88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2FAC13CD"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945D2B1"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6B0AD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0.007 (504)</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305F2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11.905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0.079 (491)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3691E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45.158 ± 0.197 (101)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687B80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75.968 ± 0.350 (101)</w:t>
            </w:r>
          </w:p>
        </w:tc>
      </w:tr>
    </w:tbl>
    <w:p w14:paraId="778073D7" w14:textId="6AF5768D" w:rsidR="00511253" w:rsidRPr="005D0912" w:rsidRDefault="00FF31BF">
      <w:pPr>
        <w:spacing w:before="80" w:after="80"/>
        <w:rPr>
          <w:rFonts w:ascii="Arial" w:hAnsi="Arial" w:cs="Arial"/>
          <w:color w:val="000000" w:themeColor="text1"/>
          <w:sz w:val="20"/>
          <w:szCs w:val="20"/>
        </w:rPr>
      </w:pPr>
      <w:r w:rsidRPr="005D0912">
        <w:rPr>
          <w:rFonts w:ascii="Arial" w:hAnsi="Arial" w:cs="Arial"/>
          <w:i/>
          <w:iCs/>
          <w:color w:val="000000" w:themeColor="text1"/>
          <w:sz w:val="20"/>
          <w:szCs w:val="20"/>
        </w:rPr>
        <w:t>Means within a column with different superscripts (a, b) differ significantly (P &lt; 0.05</w:t>
      </w:r>
      <w:r w:rsidR="00633514">
        <w:rPr>
          <w:rFonts w:ascii="Arial" w:hAnsi="Arial" w:cs="Arial"/>
          <w:i/>
          <w:iCs/>
          <w:color w:val="000000" w:themeColor="text1"/>
          <w:sz w:val="20"/>
          <w:szCs w:val="20"/>
        </w:rPr>
        <w:t>)</w:t>
      </w:r>
    </w:p>
    <w:p w14:paraId="15E8ED2E" w14:textId="77777777" w:rsidR="00511253" w:rsidRPr="005D0912" w:rsidRDefault="00511253">
      <w:pPr>
        <w:spacing w:before="200"/>
        <w:rPr>
          <w:rFonts w:ascii="Arial" w:hAnsi="Arial" w:cs="Arial"/>
          <w:color w:val="000000" w:themeColor="text1"/>
          <w:sz w:val="20"/>
          <w:szCs w:val="20"/>
        </w:rPr>
      </w:pPr>
    </w:p>
    <w:p w14:paraId="23DFAABF"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2. Least-squares analysis of variance for the effects of season of birth, sex, and parity on body weight (kg) at birth, weaning, five months, and eight months of age in HD-K75 pigs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1"/>
        <w:gridCol w:w="605"/>
        <w:gridCol w:w="790"/>
        <w:gridCol w:w="850"/>
        <w:gridCol w:w="605"/>
        <w:gridCol w:w="790"/>
        <w:gridCol w:w="739"/>
        <w:gridCol w:w="494"/>
        <w:gridCol w:w="790"/>
        <w:gridCol w:w="661"/>
        <w:gridCol w:w="494"/>
        <w:gridCol w:w="790"/>
        <w:gridCol w:w="661"/>
      </w:tblGrid>
      <w:tr w:rsidR="00511253" w:rsidRPr="005D0912" w14:paraId="619CA898"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A61B3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Source of variation</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D6F88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E64019"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35ED2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D7C49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w:t>
            </w:r>
          </w:p>
        </w:tc>
      </w:tr>
      <w:tr w:rsidR="00511253" w:rsidRPr="005D0912" w14:paraId="424B71B2"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1FCB8B8"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473B1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B2CFCD"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DABB4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4F311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1A1B5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979AFE"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21D99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7A45A9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34B85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918945"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4C12D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7B251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r>
      <w:tr w:rsidR="00511253" w:rsidRPr="005D0912" w14:paraId="4A2B86E9"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55A14A"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1975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C6B60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0.0241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0428A6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1.816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C56D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1656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0.9934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F65C4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0.728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53E5FD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4EF8B5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4.2454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C1EA2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1.460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E4036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0861A7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15.634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3B176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1.695 </w:t>
            </w:r>
            <w:r w:rsidRPr="005D0912">
              <w:rPr>
                <w:rFonts w:ascii="Arial" w:hAnsi="Arial" w:cs="Arial"/>
                <w:color w:val="000000" w:themeColor="text1"/>
                <w:sz w:val="20"/>
                <w:szCs w:val="20"/>
                <w:vertAlign w:val="superscript"/>
              </w:rPr>
              <w:t>NS</w:t>
            </w:r>
          </w:p>
        </w:tc>
      </w:tr>
      <w:tr w:rsidR="00511253" w:rsidRPr="005D0912" w14:paraId="77840017"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E3705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A58747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E78FD6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0.0624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29E592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4.696*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FCEBC8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92369F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1.6874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EA4602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1.237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308851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8E6988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0.0717</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7720D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0.025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2343DE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937F10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4.4921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2599A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0.487 </w:t>
            </w:r>
            <w:r w:rsidRPr="005D0912">
              <w:rPr>
                <w:rFonts w:ascii="Arial" w:hAnsi="Arial" w:cs="Arial"/>
                <w:color w:val="000000" w:themeColor="text1"/>
                <w:sz w:val="20"/>
                <w:szCs w:val="20"/>
                <w:vertAlign w:val="superscript"/>
              </w:rPr>
              <w:t>NS</w:t>
            </w:r>
          </w:p>
        </w:tc>
      </w:tr>
      <w:tr w:rsidR="00511253" w:rsidRPr="005D0912" w14:paraId="47341006"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E04788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Parity</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91B64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0AA1B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0.1672</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EA3D0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12.567*</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34DA4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AA7161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4.7974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061AE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3.516*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0423D5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3852B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0.0109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CA89D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0.004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C1759B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D8D1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10.081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F9C6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1.093 </w:t>
            </w:r>
            <w:r w:rsidRPr="005D0912">
              <w:rPr>
                <w:rFonts w:ascii="Arial" w:hAnsi="Arial" w:cs="Arial"/>
                <w:color w:val="000000" w:themeColor="text1"/>
                <w:sz w:val="20"/>
                <w:szCs w:val="20"/>
                <w:vertAlign w:val="superscript"/>
              </w:rPr>
              <w:t>NS</w:t>
            </w:r>
          </w:p>
        </w:tc>
      </w:tr>
      <w:tr w:rsidR="00511253" w:rsidRPr="005D0912" w14:paraId="275E53AF"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579D0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Error</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3310A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1409</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7F4AC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0.0133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6476FA"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23547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1365</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176F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1.3643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1AA37B"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7FE7B5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8CE109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2.9079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5F7134"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C86DDD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FA38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9.2226</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653C94D" w14:textId="77777777" w:rsidR="00511253" w:rsidRPr="005D0912" w:rsidRDefault="00511253">
            <w:pPr>
              <w:jc w:val="center"/>
              <w:rPr>
                <w:rFonts w:ascii="Arial" w:hAnsi="Arial" w:cs="Arial"/>
                <w:color w:val="000000" w:themeColor="text1"/>
                <w:sz w:val="20"/>
                <w:szCs w:val="20"/>
              </w:rPr>
            </w:pPr>
          </w:p>
        </w:tc>
      </w:tr>
    </w:tbl>
    <w:p w14:paraId="68BD29B4" w14:textId="77777777" w:rsidR="00511253" w:rsidRPr="005D0912" w:rsidRDefault="00FF31BF">
      <w:pPr>
        <w:spacing w:before="80" w:after="80"/>
        <w:rPr>
          <w:rFonts w:ascii="Arial" w:hAnsi="Arial" w:cs="Arial"/>
          <w:color w:val="000000" w:themeColor="text1"/>
          <w:sz w:val="20"/>
          <w:szCs w:val="20"/>
        </w:rPr>
      </w:pPr>
      <w:r w:rsidRPr="005D0912">
        <w:rPr>
          <w:rFonts w:ascii="Arial" w:hAnsi="Arial" w:cs="Arial"/>
          <w:i/>
          <w:iCs/>
          <w:color w:val="000000" w:themeColor="text1"/>
          <w:sz w:val="20"/>
          <w:szCs w:val="20"/>
        </w:rPr>
        <w:t>df = degrees of freedom; MSS = mean sum of squares; NS = non-significant; * P &lt; 0.05</w:t>
      </w:r>
    </w:p>
    <w:p w14:paraId="3BF5C305" w14:textId="77777777" w:rsidR="00511253" w:rsidRPr="005D0912" w:rsidRDefault="00511253">
      <w:pPr>
        <w:spacing w:before="160"/>
        <w:rPr>
          <w:rFonts w:ascii="Arial" w:hAnsi="Arial" w:cs="Arial"/>
          <w:color w:val="000000" w:themeColor="text1"/>
          <w:sz w:val="20"/>
          <w:szCs w:val="20"/>
        </w:rPr>
      </w:pPr>
    </w:p>
    <w:p w14:paraId="5E476E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4. CONCLUSION</w:t>
      </w:r>
    </w:p>
    <w:p w14:paraId="75665273" w14:textId="40471565" w:rsidR="00511253" w:rsidRPr="005D0912" w:rsidRDefault="00FF31BF" w:rsidP="00455644">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study demonstrates that HD-K75 pigs maintained at the AICRP nucleus herd,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exhibit satisfactory growth performance across all ages evaluated, reflecting their genetic potential and adaptability to the agroclimatic conditions of Assam. Season of birth did not significantly influence body weight at any age, indicating effective buffering by the intensive management system. Sex significantly affected birth weight, with males being heavier at birth, while parity significantly influenced body weight at birth and weaning, with higher-parity sows producing heavier piglets</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likely due to greater physiological maturity and improved mammary function. Post-weaning growth was largely independent of both sex and parity effects under the uniform management conditions of the nucleus herd. Extended field-level evaluation of HD-K75 across diverse </w:t>
      </w:r>
      <w:proofErr w:type="spellStart"/>
      <w:r w:rsidRPr="005D0912">
        <w:rPr>
          <w:rFonts w:ascii="Arial" w:hAnsi="Arial" w:cs="Arial"/>
          <w:color w:val="000000" w:themeColor="text1"/>
          <w:sz w:val="20"/>
          <w:szCs w:val="20"/>
        </w:rPr>
        <w:t>agro</w:t>
      </w:r>
      <w:proofErr w:type="spellEnd"/>
      <w:r w:rsidRPr="005D0912">
        <w:rPr>
          <w:rFonts w:ascii="Arial" w:hAnsi="Arial" w:cs="Arial"/>
          <w:color w:val="000000" w:themeColor="text1"/>
          <w:sz w:val="20"/>
          <w:szCs w:val="20"/>
        </w:rPr>
        <w:t>-climatic zones of Assam and neighbouring states is recommended to comprehensively assess the production potential and adaptability of this genotype under varying management and environmental conditions.</w:t>
      </w:r>
    </w:p>
    <w:p w14:paraId="62439102" w14:textId="77777777" w:rsidR="00455644" w:rsidRPr="00455644" w:rsidRDefault="00455644" w:rsidP="00455644">
      <w:pPr>
        <w:spacing w:before="60" w:after="60" w:line="276" w:lineRule="auto"/>
        <w:jc w:val="both"/>
        <w:rPr>
          <w:rFonts w:ascii="Arial" w:hAnsi="Arial" w:cs="Arial"/>
          <w:b/>
          <w:bCs/>
          <w:color w:val="000000" w:themeColor="text1"/>
          <w:sz w:val="20"/>
          <w:szCs w:val="20"/>
        </w:rPr>
      </w:pPr>
      <w:r w:rsidRPr="00455644">
        <w:rPr>
          <w:rFonts w:ascii="Arial" w:hAnsi="Arial" w:cs="Arial"/>
          <w:b/>
          <w:bCs/>
          <w:color w:val="000000" w:themeColor="text1"/>
          <w:sz w:val="20"/>
          <w:szCs w:val="20"/>
        </w:rPr>
        <w:t>COMPETING INTERESTS</w:t>
      </w:r>
    </w:p>
    <w:p w14:paraId="22094F02" w14:textId="551EF6B5" w:rsidR="005D0912" w:rsidRPr="005D0912" w:rsidRDefault="00455644" w:rsidP="00455644">
      <w:pPr>
        <w:spacing w:before="60" w:after="60" w:line="276" w:lineRule="auto"/>
        <w:jc w:val="both"/>
        <w:rPr>
          <w:rFonts w:ascii="Arial" w:hAnsi="Arial" w:cs="Arial"/>
          <w:color w:val="000000" w:themeColor="text1"/>
          <w:sz w:val="20"/>
          <w:szCs w:val="20"/>
        </w:rPr>
      </w:pPr>
      <w:r w:rsidRPr="00455644">
        <w:rPr>
          <w:rFonts w:ascii="Arial" w:hAnsi="Arial" w:cs="Arial"/>
          <w:color w:val="000000" w:themeColor="text1"/>
          <w:sz w:val="20"/>
          <w:szCs w:val="20"/>
        </w:rPr>
        <w:t>Authors have declared that no competing interests exist.</w:t>
      </w:r>
    </w:p>
    <w:p w14:paraId="22D7EC1F" w14:textId="77777777" w:rsidR="00511253" w:rsidRPr="005D0912" w:rsidRDefault="00FF31BF">
      <w:pPr>
        <w:spacing w:before="200" w:after="100"/>
        <w:rPr>
          <w:rFonts w:ascii="Arial" w:hAnsi="Arial" w:cs="Arial"/>
          <w:color w:val="000000" w:themeColor="text1"/>
          <w:sz w:val="20"/>
          <w:szCs w:val="20"/>
        </w:rPr>
      </w:pPr>
      <w:bookmarkStart w:id="0" w:name="_GoBack"/>
      <w:bookmarkEnd w:id="0"/>
      <w:r w:rsidRPr="005D0912">
        <w:rPr>
          <w:rFonts w:ascii="Arial" w:hAnsi="Arial" w:cs="Arial"/>
          <w:b/>
          <w:bCs/>
          <w:caps/>
          <w:color w:val="000000" w:themeColor="text1"/>
          <w:sz w:val="20"/>
          <w:szCs w:val="20"/>
        </w:rPr>
        <w:t>REFERENCES</w:t>
      </w:r>
    </w:p>
    <w:p w14:paraId="508A2E10"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Adeoye, A. A.; Udoh, J. E.; </w:t>
      </w:r>
      <w:proofErr w:type="spellStart"/>
      <w:r w:rsidRPr="00F148C1">
        <w:rPr>
          <w:rFonts w:ascii="Arial" w:hAnsi="Arial" w:cs="Arial"/>
          <w:color w:val="000000" w:themeColor="text1"/>
          <w:sz w:val="20"/>
          <w:szCs w:val="20"/>
        </w:rPr>
        <w:t>Ikcobi</w:t>
      </w:r>
      <w:proofErr w:type="spellEnd"/>
      <w:r w:rsidRPr="00F148C1">
        <w:rPr>
          <w:rFonts w:ascii="Arial" w:hAnsi="Arial" w:cs="Arial"/>
          <w:color w:val="000000" w:themeColor="text1"/>
          <w:sz w:val="20"/>
          <w:szCs w:val="20"/>
        </w:rPr>
        <w:t xml:space="preserve">, C. O. N.; </w:t>
      </w:r>
      <w:proofErr w:type="spellStart"/>
      <w:r w:rsidRPr="00F148C1">
        <w:rPr>
          <w:rFonts w:ascii="Arial" w:hAnsi="Arial" w:cs="Arial"/>
          <w:color w:val="000000" w:themeColor="text1"/>
          <w:sz w:val="20"/>
          <w:szCs w:val="20"/>
        </w:rPr>
        <w:t>Adebambo</w:t>
      </w:r>
      <w:proofErr w:type="spellEnd"/>
      <w:r w:rsidRPr="00F148C1">
        <w:rPr>
          <w:rFonts w:ascii="Arial" w:hAnsi="Arial" w:cs="Arial"/>
          <w:color w:val="000000" w:themeColor="text1"/>
          <w:sz w:val="20"/>
          <w:szCs w:val="20"/>
        </w:rPr>
        <w:t>, O. A. and Rotimi, E. A. (2016). Reproductive Performance of ASF-recovered Pigs in South-West Nigeria. World Scientific News, 53(3): 417–429.</w:t>
      </w:r>
    </w:p>
    <w:p w14:paraId="6015FC9E"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 xml:space="preserve">Aier, T.; Zaman, G. U.; Aziz, A.; Goswami, R. N.; Kalita, D.; </w:t>
      </w:r>
      <w:proofErr w:type="spellStart"/>
      <w:r w:rsidRPr="00F148C1">
        <w:rPr>
          <w:rFonts w:ascii="Arial" w:hAnsi="Arial" w:cs="Arial"/>
          <w:color w:val="000000" w:themeColor="text1"/>
          <w:sz w:val="20"/>
          <w:szCs w:val="20"/>
        </w:rPr>
        <w:t>Saharia</w:t>
      </w:r>
      <w:proofErr w:type="spellEnd"/>
      <w:r w:rsidRPr="00F148C1">
        <w:rPr>
          <w:rFonts w:ascii="Arial" w:hAnsi="Arial" w:cs="Arial"/>
          <w:color w:val="000000" w:themeColor="text1"/>
          <w:sz w:val="20"/>
          <w:szCs w:val="20"/>
        </w:rPr>
        <w:t>, S. and Ahmed, K. (2020). Studies on pre- and post-weaning growth performance of Hampshire × Desi half-bred pigs. Journal of Entomology and Zoology Studies, 8(4): 420–423.</w:t>
      </w:r>
    </w:p>
    <w:p w14:paraId="46892D50" w14:textId="42DAA055"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Banik, S.; Naskar, S.; Pankaj, P. K.; </w:t>
      </w:r>
      <w:proofErr w:type="spellStart"/>
      <w:r w:rsidRPr="00F148C1">
        <w:rPr>
          <w:rFonts w:ascii="Arial" w:hAnsi="Arial" w:cs="Arial"/>
          <w:color w:val="000000" w:themeColor="text1"/>
          <w:sz w:val="20"/>
          <w:szCs w:val="20"/>
        </w:rPr>
        <w:t>Pourouchottamane</w:t>
      </w:r>
      <w:proofErr w:type="spellEnd"/>
      <w:r w:rsidRPr="00F148C1">
        <w:rPr>
          <w:rFonts w:ascii="Arial" w:hAnsi="Arial" w:cs="Arial"/>
          <w:color w:val="000000" w:themeColor="text1"/>
          <w:sz w:val="20"/>
          <w:szCs w:val="20"/>
        </w:rPr>
        <w:t xml:space="preserve">, R.; Barman, K.; Sahoo, N. R. and </w:t>
      </w:r>
      <w:proofErr w:type="spellStart"/>
      <w:r w:rsidRPr="00F148C1">
        <w:rPr>
          <w:rFonts w:ascii="Arial" w:hAnsi="Arial" w:cs="Arial"/>
          <w:color w:val="000000" w:themeColor="text1"/>
          <w:sz w:val="20"/>
          <w:szCs w:val="20"/>
        </w:rPr>
        <w:t>Tamuli</w:t>
      </w:r>
      <w:proofErr w:type="spellEnd"/>
      <w:r w:rsidRPr="00F148C1">
        <w:rPr>
          <w:rFonts w:ascii="Arial" w:hAnsi="Arial" w:cs="Arial"/>
          <w:color w:val="000000" w:themeColor="text1"/>
          <w:sz w:val="20"/>
          <w:szCs w:val="20"/>
        </w:rPr>
        <w:t>, M. K. (2013). Construction of growth band for early selection of indigenous pigs in India. Applied Biological Research, 15(1): 73–77.</w:t>
      </w:r>
      <w:r w:rsidR="00587714">
        <w:rPr>
          <w:rFonts w:ascii="Arial" w:hAnsi="Arial" w:cs="Arial"/>
          <w:color w:val="000000" w:themeColor="text1"/>
          <w:sz w:val="20"/>
          <w:szCs w:val="20"/>
        </w:rPr>
        <w:t xml:space="preserve"> </w:t>
      </w:r>
      <w:hyperlink r:id="rId8" w:history="1">
        <w:r w:rsidR="00587714" w:rsidRPr="00F81C3A">
          <w:rPr>
            <w:rStyle w:val="Hyperlink"/>
            <w:rFonts w:ascii="Arial" w:hAnsi="Arial" w:cs="Arial"/>
            <w:sz w:val="20"/>
            <w:szCs w:val="20"/>
          </w:rPr>
          <w:t>https://www.cabidigitallibrary.org/doi/full/10.5555/20143234801</w:t>
        </w:r>
      </w:hyperlink>
      <w:r w:rsidR="00587714">
        <w:rPr>
          <w:rFonts w:ascii="Arial" w:hAnsi="Arial" w:cs="Arial"/>
          <w:color w:val="000000" w:themeColor="text1"/>
          <w:sz w:val="20"/>
          <w:szCs w:val="20"/>
        </w:rPr>
        <w:t xml:space="preserve"> </w:t>
      </w:r>
    </w:p>
    <w:p w14:paraId="688E141F" w14:textId="0A1A1EAC" w:rsidR="00587714" w:rsidRDefault="00FF31BF" w:rsidP="00F148C1">
      <w:pPr>
        <w:pStyle w:val="ListParagraph"/>
        <w:numPr>
          <w:ilvl w:val="0"/>
          <w:numId w:val="2"/>
        </w:numPr>
        <w:spacing w:before="40" w:after="40"/>
        <w:jc w:val="both"/>
        <w:rPr>
          <w:rFonts w:ascii="Arial" w:hAnsi="Arial" w:cs="Arial"/>
          <w:color w:val="000000" w:themeColor="text1"/>
          <w:sz w:val="20"/>
          <w:szCs w:val="20"/>
        </w:rPr>
      </w:pPr>
      <w:r w:rsidRPr="00587714">
        <w:rPr>
          <w:rFonts w:ascii="Arial" w:hAnsi="Arial" w:cs="Arial"/>
          <w:color w:val="000000" w:themeColor="text1"/>
          <w:sz w:val="20"/>
          <w:szCs w:val="20"/>
        </w:rPr>
        <w:t>Bayan, J.; Zaman, G. U.; Kalita, D.; Goswami, R. N.; Phookan, A.; Akhtar, F. and Sulabh, S. (2024). Least-squares analysis of non-genetic factors on the growth performance traits of HD-K75 pigs. Uttar Pradesh Journal of Zoology, 45(14): 131–143.</w:t>
      </w:r>
      <w:r w:rsidR="00587714" w:rsidRPr="00587714">
        <w:rPr>
          <w:rFonts w:ascii="Arial" w:hAnsi="Arial" w:cs="Arial"/>
          <w:color w:val="000000" w:themeColor="text1"/>
          <w:sz w:val="20"/>
          <w:szCs w:val="20"/>
        </w:rPr>
        <w:t xml:space="preserve"> </w:t>
      </w:r>
      <w:hyperlink r:id="rId9" w:history="1">
        <w:r w:rsidR="00587714" w:rsidRPr="00F81C3A">
          <w:rPr>
            <w:rStyle w:val="Hyperlink"/>
            <w:rFonts w:ascii="Arial" w:hAnsi="Arial" w:cs="Arial"/>
            <w:sz w:val="20"/>
            <w:szCs w:val="20"/>
          </w:rPr>
          <w:t>https://doi.org/10.56557/upjoz/2024/v45i144186</w:t>
        </w:r>
      </w:hyperlink>
      <w:r w:rsidR="00587714" w:rsidRPr="00587714">
        <w:rPr>
          <w:rFonts w:ascii="Arial" w:hAnsi="Arial" w:cs="Arial"/>
          <w:color w:val="000000" w:themeColor="text1"/>
          <w:sz w:val="20"/>
          <w:szCs w:val="20"/>
        </w:rPr>
        <w:t>.</w:t>
      </w:r>
    </w:p>
    <w:p w14:paraId="00E64A5C" w14:textId="4C4E5028" w:rsidR="00511253" w:rsidRPr="00587714" w:rsidRDefault="00FF31BF" w:rsidP="00F148C1">
      <w:pPr>
        <w:pStyle w:val="ListParagraph"/>
        <w:numPr>
          <w:ilvl w:val="0"/>
          <w:numId w:val="2"/>
        </w:numPr>
        <w:spacing w:before="40" w:after="40"/>
        <w:jc w:val="both"/>
        <w:rPr>
          <w:rFonts w:ascii="Arial" w:hAnsi="Arial" w:cs="Arial"/>
          <w:color w:val="000000" w:themeColor="text1"/>
          <w:sz w:val="20"/>
          <w:szCs w:val="20"/>
        </w:rPr>
      </w:pPr>
      <w:r w:rsidRPr="00587714">
        <w:rPr>
          <w:rFonts w:ascii="Arial" w:hAnsi="Arial" w:cs="Arial"/>
          <w:color w:val="000000" w:themeColor="text1"/>
          <w:sz w:val="20"/>
          <w:szCs w:val="20"/>
        </w:rPr>
        <w:t xml:space="preserve">Buthelezi, N. L.; </w:t>
      </w:r>
      <w:proofErr w:type="spellStart"/>
      <w:r w:rsidRPr="00587714">
        <w:rPr>
          <w:rFonts w:ascii="Arial" w:hAnsi="Arial" w:cs="Arial"/>
          <w:color w:val="000000" w:themeColor="text1"/>
          <w:sz w:val="20"/>
          <w:szCs w:val="20"/>
        </w:rPr>
        <w:t>Mtileni</w:t>
      </w:r>
      <w:proofErr w:type="spellEnd"/>
      <w:r w:rsidRPr="00587714">
        <w:rPr>
          <w:rFonts w:ascii="Arial" w:hAnsi="Arial" w:cs="Arial"/>
          <w:color w:val="000000" w:themeColor="text1"/>
          <w:sz w:val="20"/>
          <w:szCs w:val="20"/>
        </w:rPr>
        <w:t xml:space="preserve">, B.; </w:t>
      </w:r>
      <w:proofErr w:type="spellStart"/>
      <w:r w:rsidRPr="00587714">
        <w:rPr>
          <w:rFonts w:ascii="Arial" w:hAnsi="Arial" w:cs="Arial"/>
          <w:color w:val="000000" w:themeColor="text1"/>
          <w:sz w:val="20"/>
          <w:szCs w:val="20"/>
        </w:rPr>
        <w:t>Nephawe</w:t>
      </w:r>
      <w:proofErr w:type="spellEnd"/>
      <w:r w:rsidRPr="00587714">
        <w:rPr>
          <w:rFonts w:ascii="Arial" w:hAnsi="Arial" w:cs="Arial"/>
          <w:color w:val="000000" w:themeColor="text1"/>
          <w:sz w:val="20"/>
          <w:szCs w:val="20"/>
        </w:rPr>
        <w:t xml:space="preserve">, K. A.; Modiba, M. C.; </w:t>
      </w:r>
      <w:proofErr w:type="spellStart"/>
      <w:r w:rsidRPr="00587714">
        <w:rPr>
          <w:rFonts w:ascii="Arial" w:hAnsi="Arial" w:cs="Arial"/>
          <w:color w:val="000000" w:themeColor="text1"/>
          <w:sz w:val="20"/>
          <w:szCs w:val="20"/>
        </w:rPr>
        <w:t>Mpedi</w:t>
      </w:r>
      <w:proofErr w:type="spellEnd"/>
      <w:r w:rsidRPr="00587714">
        <w:rPr>
          <w:rFonts w:ascii="Arial" w:hAnsi="Arial" w:cs="Arial"/>
          <w:color w:val="000000" w:themeColor="text1"/>
          <w:sz w:val="20"/>
          <w:szCs w:val="20"/>
        </w:rPr>
        <w:t>, H.; Idowu, P. A. and Mpofu, T. J. (2024). Effects of parity, season of birth, and sex on within-litter variation and pre-weaning performance of F1 Large White × Landrace pigs. Veterinary World, 17(7): 1459–1468.</w:t>
      </w:r>
      <w:r w:rsidR="00587714">
        <w:rPr>
          <w:rFonts w:ascii="Arial" w:hAnsi="Arial" w:cs="Arial"/>
          <w:color w:val="000000" w:themeColor="text1"/>
          <w:sz w:val="20"/>
          <w:szCs w:val="20"/>
        </w:rPr>
        <w:t xml:space="preserve"> </w:t>
      </w:r>
      <w:hyperlink r:id="rId10" w:history="1">
        <w:r w:rsidR="00587714" w:rsidRPr="00F81C3A">
          <w:rPr>
            <w:rStyle w:val="Hyperlink"/>
            <w:rFonts w:ascii="Arial" w:hAnsi="Arial" w:cs="Arial"/>
            <w:sz w:val="20"/>
            <w:szCs w:val="20"/>
          </w:rPr>
          <w:t>https://doi.org/10.14202/vetworld.2024.1459-1468</w:t>
        </w:r>
      </w:hyperlink>
      <w:r w:rsidR="00587714">
        <w:rPr>
          <w:rFonts w:ascii="Arial" w:hAnsi="Arial" w:cs="Arial"/>
          <w:color w:val="000000" w:themeColor="text1"/>
          <w:sz w:val="20"/>
          <w:szCs w:val="20"/>
        </w:rPr>
        <w:t xml:space="preserve"> </w:t>
      </w:r>
    </w:p>
    <w:p w14:paraId="1DBF52E9" w14:textId="0CD8CA64"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Chakurkar</w:t>
      </w:r>
      <w:proofErr w:type="spellEnd"/>
      <w:r w:rsidRPr="00F148C1">
        <w:rPr>
          <w:rFonts w:ascii="Arial" w:hAnsi="Arial" w:cs="Arial"/>
          <w:color w:val="000000" w:themeColor="text1"/>
          <w:sz w:val="20"/>
          <w:szCs w:val="20"/>
        </w:rPr>
        <w:t xml:space="preserve">, E. B.; Sahu, A. R.; </w:t>
      </w:r>
      <w:proofErr w:type="spellStart"/>
      <w:r w:rsidRPr="00F148C1">
        <w:rPr>
          <w:rFonts w:ascii="Arial" w:hAnsi="Arial" w:cs="Arial"/>
          <w:color w:val="000000" w:themeColor="text1"/>
          <w:sz w:val="20"/>
          <w:szCs w:val="20"/>
        </w:rPr>
        <w:t>Gokuldas</w:t>
      </w:r>
      <w:proofErr w:type="spellEnd"/>
      <w:r w:rsidRPr="00F148C1">
        <w:rPr>
          <w:rFonts w:ascii="Arial" w:hAnsi="Arial" w:cs="Arial"/>
          <w:color w:val="000000" w:themeColor="text1"/>
          <w:sz w:val="20"/>
          <w:szCs w:val="20"/>
        </w:rPr>
        <w:t xml:space="preserve">, P. P.; Banik, S. and Naik, S. (2023). Phenotypic attributes and production performances of </w:t>
      </w:r>
      <w:proofErr w:type="spellStart"/>
      <w:r w:rsidRPr="00F148C1">
        <w:rPr>
          <w:rFonts w:ascii="Arial" w:hAnsi="Arial" w:cs="Arial"/>
          <w:color w:val="000000" w:themeColor="text1"/>
          <w:sz w:val="20"/>
          <w:szCs w:val="20"/>
        </w:rPr>
        <w:t>Agonda</w:t>
      </w:r>
      <w:proofErr w:type="spellEnd"/>
      <w:r w:rsidRPr="00F148C1">
        <w:rPr>
          <w:rFonts w:ascii="Arial" w:hAnsi="Arial" w:cs="Arial"/>
          <w:color w:val="000000" w:themeColor="text1"/>
          <w:sz w:val="20"/>
          <w:szCs w:val="20"/>
        </w:rPr>
        <w:t xml:space="preserve"> </w:t>
      </w:r>
      <w:proofErr w:type="spellStart"/>
      <w:r w:rsidRPr="00F148C1">
        <w:rPr>
          <w:rFonts w:ascii="Arial" w:hAnsi="Arial" w:cs="Arial"/>
          <w:color w:val="000000" w:themeColor="text1"/>
          <w:sz w:val="20"/>
          <w:szCs w:val="20"/>
        </w:rPr>
        <w:t>Goan</w:t>
      </w:r>
      <w:proofErr w:type="spellEnd"/>
      <w:r w:rsidRPr="00F148C1">
        <w:rPr>
          <w:rFonts w:ascii="Arial" w:hAnsi="Arial" w:cs="Arial"/>
          <w:color w:val="000000" w:themeColor="text1"/>
          <w:sz w:val="20"/>
          <w:szCs w:val="20"/>
        </w:rPr>
        <w:t xml:space="preserve"> pig. Indian Journal of Animal Sciences, 93(7): 711–715.</w:t>
      </w:r>
      <w:r w:rsidR="00587714" w:rsidRPr="00587714">
        <w:t xml:space="preserve"> </w:t>
      </w:r>
      <w:hyperlink r:id="rId11" w:history="1">
        <w:r w:rsidR="00587714" w:rsidRPr="00F81C3A">
          <w:rPr>
            <w:rStyle w:val="Hyperlink"/>
            <w:rFonts w:ascii="Arial" w:hAnsi="Arial" w:cs="Arial"/>
            <w:sz w:val="20"/>
            <w:szCs w:val="20"/>
          </w:rPr>
          <w:t>https://doi.org/10.56093/ijans.v93i7.132349</w:t>
        </w:r>
      </w:hyperlink>
      <w:r w:rsidR="00587714">
        <w:rPr>
          <w:rFonts w:ascii="Arial" w:hAnsi="Arial" w:cs="Arial"/>
          <w:color w:val="000000" w:themeColor="text1"/>
          <w:sz w:val="20"/>
          <w:szCs w:val="20"/>
        </w:rPr>
        <w:t xml:space="preserve"> </w:t>
      </w:r>
    </w:p>
    <w:p w14:paraId="4FDC83EB" w14:textId="1F87CDFC"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Chusi, Z.; Savino, N.; Dhali, A. and Perumal, P. (2015). Phenotypic morphometric parameters of indigenous pig of Nagaland. Indian Journal of Animal Sciences, 85(12): 1334–1337.</w:t>
      </w:r>
      <w:r w:rsidR="006B6F74" w:rsidRPr="006B6F74">
        <w:rPr>
          <w:rFonts w:ascii="Arial" w:hAnsi="Arial" w:cs="Arial"/>
          <w:color w:val="000000" w:themeColor="text1"/>
          <w:sz w:val="20"/>
          <w:szCs w:val="20"/>
        </w:rPr>
        <w:t xml:space="preserve"> </w:t>
      </w:r>
      <w:hyperlink r:id="rId12" w:history="1">
        <w:r w:rsidR="006B6F74" w:rsidRPr="00F81C3A">
          <w:rPr>
            <w:rStyle w:val="Hyperlink"/>
            <w:rFonts w:ascii="Arial" w:hAnsi="Arial" w:cs="Arial"/>
            <w:sz w:val="20"/>
            <w:szCs w:val="20"/>
          </w:rPr>
          <w:t>https://doi.org/10.56093/ijans.v85i12.54392</w:t>
        </w:r>
      </w:hyperlink>
      <w:r w:rsidR="006B6F74">
        <w:rPr>
          <w:rFonts w:ascii="Arial" w:hAnsi="Arial" w:cs="Arial"/>
          <w:color w:val="000000" w:themeColor="text1"/>
          <w:sz w:val="20"/>
          <w:szCs w:val="20"/>
        </w:rPr>
        <w:t xml:space="preserve"> </w:t>
      </w:r>
    </w:p>
    <w:p w14:paraId="59BDBA74" w14:textId="4C2EDEA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Das, E.; Kalita, D.; Goswami, R. N.; Phookan, A.; </w:t>
      </w:r>
      <w:proofErr w:type="spellStart"/>
      <w:r w:rsidRPr="00F148C1">
        <w:rPr>
          <w:rFonts w:ascii="Arial" w:hAnsi="Arial" w:cs="Arial"/>
          <w:color w:val="000000" w:themeColor="text1"/>
          <w:sz w:val="20"/>
          <w:szCs w:val="20"/>
        </w:rPr>
        <w:t>Khanikar</w:t>
      </w:r>
      <w:proofErr w:type="spellEnd"/>
      <w:r w:rsidRPr="00F148C1">
        <w:rPr>
          <w:rFonts w:ascii="Arial" w:hAnsi="Arial" w:cs="Arial"/>
          <w:color w:val="000000" w:themeColor="text1"/>
          <w:sz w:val="20"/>
          <w:szCs w:val="20"/>
        </w:rPr>
        <w:t>, D. and Deka, N. (2023). Growth performance of HD-K75 pigs in the original nucleus herd. International Journal of Veterinary Sciences and Animal Husbandry, 8(6): 24–28.</w:t>
      </w:r>
      <w:r w:rsidR="006B6F74" w:rsidRPr="006B6F74">
        <w:t xml:space="preserve"> </w:t>
      </w:r>
      <w:hyperlink r:id="rId13" w:history="1">
        <w:r w:rsidR="006B6F74" w:rsidRPr="00F81C3A">
          <w:rPr>
            <w:rStyle w:val="Hyperlink"/>
            <w:rFonts w:ascii="Arial" w:hAnsi="Arial" w:cs="Arial"/>
            <w:sz w:val="20"/>
            <w:szCs w:val="20"/>
          </w:rPr>
          <w:t>https://www.veterinarypaper.com/archives/2023/8/6/A/8-5-77</w:t>
        </w:r>
      </w:hyperlink>
      <w:r w:rsidR="006B6F74">
        <w:rPr>
          <w:rFonts w:ascii="Arial" w:hAnsi="Arial" w:cs="Arial"/>
          <w:color w:val="000000" w:themeColor="text1"/>
          <w:sz w:val="20"/>
          <w:szCs w:val="20"/>
        </w:rPr>
        <w:t xml:space="preserve"> </w:t>
      </w:r>
    </w:p>
    <w:p w14:paraId="4332A596" w14:textId="0D77ED56"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Deka, D.; Kalita, D.; Das, D. and Nath, D. R. (2004). Genetic studies on the performance of Hampshire and indigenous crosses. Indian Veterinary Medical Journal, 23(7): 112–115.</w:t>
      </w:r>
    </w:p>
    <w:p w14:paraId="743B5F3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Deka, K. and </w:t>
      </w:r>
      <w:proofErr w:type="spellStart"/>
      <w:r w:rsidRPr="00F148C1">
        <w:rPr>
          <w:rFonts w:ascii="Arial" w:hAnsi="Arial" w:cs="Arial"/>
          <w:color w:val="000000" w:themeColor="text1"/>
          <w:sz w:val="20"/>
          <w:szCs w:val="20"/>
        </w:rPr>
        <w:t>Bardoloi</w:t>
      </w:r>
      <w:proofErr w:type="spellEnd"/>
      <w:r w:rsidRPr="00F148C1">
        <w:rPr>
          <w:rFonts w:ascii="Arial" w:hAnsi="Arial" w:cs="Arial"/>
          <w:color w:val="000000" w:themeColor="text1"/>
          <w:sz w:val="20"/>
          <w:szCs w:val="20"/>
        </w:rPr>
        <w:t>, T. (2004). Factors influencing body weights at different stages of growth and heritability estimates in Hampshire × indigenous pigs in Assam. Indian Veterinary Journal, 81: 527–531.</w:t>
      </w:r>
    </w:p>
    <w:p w14:paraId="24C16667" w14:textId="726DD759"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Devendran, P.; Gopinathan, A.; Murugan, M. and </w:t>
      </w:r>
      <w:proofErr w:type="spellStart"/>
      <w:r w:rsidRPr="00F148C1">
        <w:rPr>
          <w:rFonts w:ascii="Arial" w:hAnsi="Arial" w:cs="Arial"/>
          <w:color w:val="000000" w:themeColor="text1"/>
          <w:sz w:val="20"/>
          <w:szCs w:val="20"/>
        </w:rPr>
        <w:t>Cauveri</w:t>
      </w:r>
      <w:proofErr w:type="spellEnd"/>
      <w:r w:rsidRPr="00F148C1">
        <w:rPr>
          <w:rFonts w:ascii="Arial" w:hAnsi="Arial" w:cs="Arial"/>
          <w:color w:val="000000" w:themeColor="text1"/>
          <w:sz w:val="20"/>
          <w:szCs w:val="20"/>
        </w:rPr>
        <w:t>, D. (2015). Pre-weaning body weights of Large White Yorkshire (50%) pig generations. Indian Journal of Animal Research, 49(3): 284–287.</w:t>
      </w:r>
      <w:r w:rsidR="006B6F74">
        <w:rPr>
          <w:rFonts w:ascii="Arial" w:hAnsi="Arial" w:cs="Arial"/>
          <w:color w:val="000000" w:themeColor="text1"/>
          <w:sz w:val="20"/>
          <w:szCs w:val="20"/>
        </w:rPr>
        <w:t xml:space="preserve"> </w:t>
      </w:r>
      <w:hyperlink r:id="rId14" w:history="1">
        <w:r w:rsidR="006B6F74" w:rsidRPr="00F81C3A">
          <w:rPr>
            <w:rStyle w:val="Hyperlink"/>
            <w:rFonts w:ascii="Arial" w:hAnsi="Arial" w:cs="Arial"/>
            <w:sz w:val="20"/>
            <w:szCs w:val="20"/>
          </w:rPr>
          <w:t>https://doi.org/10.5958/0976-0555.2015.00117.X</w:t>
        </w:r>
      </w:hyperlink>
      <w:r w:rsidR="006B6F74">
        <w:rPr>
          <w:rFonts w:ascii="Arial" w:hAnsi="Arial" w:cs="Arial"/>
          <w:color w:val="000000" w:themeColor="text1"/>
          <w:sz w:val="20"/>
          <w:szCs w:val="20"/>
        </w:rPr>
        <w:t xml:space="preserve"> </w:t>
      </w:r>
    </w:p>
    <w:p w14:paraId="2A823C96" w14:textId="647177A8"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Eyovwunu, D.; </w:t>
      </w:r>
      <w:proofErr w:type="spellStart"/>
      <w:r w:rsidRPr="00F148C1">
        <w:rPr>
          <w:rFonts w:ascii="Arial" w:hAnsi="Arial" w:cs="Arial"/>
          <w:color w:val="000000" w:themeColor="text1"/>
          <w:sz w:val="20"/>
          <w:szCs w:val="20"/>
        </w:rPr>
        <w:t>Omeje</w:t>
      </w:r>
      <w:proofErr w:type="spellEnd"/>
      <w:r w:rsidRPr="00F148C1">
        <w:rPr>
          <w:rFonts w:ascii="Arial" w:hAnsi="Arial" w:cs="Arial"/>
          <w:color w:val="000000" w:themeColor="text1"/>
          <w:sz w:val="20"/>
          <w:szCs w:val="20"/>
        </w:rPr>
        <w:t xml:space="preserve">, S. I. and </w:t>
      </w:r>
      <w:proofErr w:type="spellStart"/>
      <w:r w:rsidRPr="00F148C1">
        <w:rPr>
          <w:rFonts w:ascii="Arial" w:hAnsi="Arial" w:cs="Arial"/>
          <w:color w:val="000000" w:themeColor="text1"/>
          <w:sz w:val="20"/>
          <w:szCs w:val="20"/>
        </w:rPr>
        <w:t>Akpodiete</w:t>
      </w:r>
      <w:proofErr w:type="spellEnd"/>
      <w:r w:rsidRPr="00F148C1">
        <w:rPr>
          <w:rFonts w:ascii="Arial" w:hAnsi="Arial" w:cs="Arial"/>
          <w:color w:val="000000" w:themeColor="text1"/>
          <w:sz w:val="20"/>
          <w:szCs w:val="20"/>
        </w:rPr>
        <w:t>, J. O. (2016). Effects of genotype on the reproductive traits of the female pigs. IOSR Journal of Agriculture and Veterinary Science, 9(3): 20–22.</w:t>
      </w:r>
      <w:r w:rsidR="006B6F74">
        <w:rPr>
          <w:rFonts w:ascii="Arial" w:hAnsi="Arial" w:cs="Arial"/>
          <w:color w:val="000000" w:themeColor="text1"/>
          <w:sz w:val="20"/>
          <w:szCs w:val="20"/>
        </w:rPr>
        <w:t xml:space="preserve"> </w:t>
      </w:r>
      <w:hyperlink r:id="rId15" w:history="1">
        <w:r w:rsidR="00FF15AD" w:rsidRPr="00F81C3A">
          <w:rPr>
            <w:rStyle w:val="Hyperlink"/>
            <w:rFonts w:ascii="Arial" w:hAnsi="Arial" w:cs="Arial"/>
            <w:sz w:val="20"/>
            <w:szCs w:val="20"/>
          </w:rPr>
          <w:t xml:space="preserve">https://doi.org/10.9790/2380-09312022     </w:t>
        </w:r>
      </w:hyperlink>
      <w:r w:rsidR="006B6F74">
        <w:rPr>
          <w:rFonts w:ascii="Arial" w:hAnsi="Arial" w:cs="Arial"/>
          <w:color w:val="000000" w:themeColor="text1"/>
          <w:sz w:val="20"/>
          <w:szCs w:val="20"/>
        </w:rPr>
        <w:t xml:space="preserve"> </w:t>
      </w:r>
    </w:p>
    <w:p w14:paraId="615AFEB0" w14:textId="0988A73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Gowrimanokari</w:t>
      </w:r>
      <w:proofErr w:type="spellEnd"/>
      <w:r w:rsidRPr="00F148C1">
        <w:rPr>
          <w:rFonts w:ascii="Arial" w:hAnsi="Arial" w:cs="Arial"/>
          <w:color w:val="000000" w:themeColor="text1"/>
          <w:sz w:val="20"/>
          <w:szCs w:val="20"/>
        </w:rPr>
        <w:t>, K. V.; Thiagarajan, R.; Venkataramanan, R. and Gopi, H. (2018). Effect of inbreeding on pre-weaning and sow performance traits in Large White Yorkshire pigs. Indian Journal of Animal Research, B-3623: 1–5.</w:t>
      </w:r>
      <w:r w:rsidR="00BB1307">
        <w:rPr>
          <w:rFonts w:ascii="Arial" w:hAnsi="Arial" w:cs="Arial"/>
          <w:color w:val="000000" w:themeColor="text1"/>
          <w:sz w:val="20"/>
          <w:szCs w:val="20"/>
        </w:rPr>
        <w:t xml:space="preserve"> </w:t>
      </w:r>
      <w:hyperlink r:id="rId16" w:history="1">
        <w:r w:rsidR="00BB1307" w:rsidRPr="00F81C3A">
          <w:rPr>
            <w:rStyle w:val="Hyperlink"/>
            <w:rFonts w:ascii="Arial" w:hAnsi="Arial" w:cs="Arial"/>
            <w:sz w:val="20"/>
            <w:szCs w:val="20"/>
          </w:rPr>
          <w:t>https://doi.org/10.18805/ijar.B-3623</w:t>
        </w:r>
      </w:hyperlink>
      <w:r w:rsidR="00BB1307">
        <w:rPr>
          <w:rFonts w:ascii="Arial" w:hAnsi="Arial" w:cs="Arial"/>
          <w:color w:val="000000" w:themeColor="text1"/>
          <w:sz w:val="20"/>
          <w:szCs w:val="20"/>
        </w:rPr>
        <w:t xml:space="preserve"> </w:t>
      </w:r>
    </w:p>
    <w:p w14:paraId="7AE9889D"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Harvey, W. R. (1990). User's Guide for LSMLMW and MIXMDL, PC-2 Version. Ohio State University, Columbus, USA.</w:t>
      </w:r>
    </w:p>
    <w:p w14:paraId="6C2AF7B4"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Kadirvel, G.; Kumar, R.; Borah, S.; Singh, N.; Devi, Y.; </w:t>
      </w:r>
      <w:proofErr w:type="spellStart"/>
      <w:r w:rsidRPr="00F148C1">
        <w:rPr>
          <w:rFonts w:ascii="Arial" w:hAnsi="Arial" w:cs="Arial"/>
          <w:color w:val="000000" w:themeColor="text1"/>
          <w:sz w:val="20"/>
          <w:szCs w:val="20"/>
        </w:rPr>
        <w:t>Jamatia</w:t>
      </w:r>
      <w:proofErr w:type="spellEnd"/>
      <w:r w:rsidRPr="00F148C1">
        <w:rPr>
          <w:rFonts w:ascii="Arial" w:hAnsi="Arial" w:cs="Arial"/>
          <w:color w:val="000000" w:themeColor="text1"/>
          <w:sz w:val="20"/>
          <w:szCs w:val="20"/>
        </w:rPr>
        <w:t xml:space="preserve">, K. and </w:t>
      </w:r>
      <w:proofErr w:type="spellStart"/>
      <w:r w:rsidRPr="00F148C1">
        <w:rPr>
          <w:rFonts w:ascii="Arial" w:hAnsi="Arial" w:cs="Arial"/>
          <w:color w:val="000000" w:themeColor="text1"/>
          <w:sz w:val="20"/>
          <w:szCs w:val="20"/>
        </w:rPr>
        <w:t>Deori</w:t>
      </w:r>
      <w:proofErr w:type="spellEnd"/>
      <w:r w:rsidRPr="00F148C1">
        <w:rPr>
          <w:rFonts w:ascii="Arial" w:hAnsi="Arial" w:cs="Arial"/>
          <w:color w:val="000000" w:themeColor="text1"/>
          <w:sz w:val="20"/>
          <w:szCs w:val="20"/>
        </w:rPr>
        <w:t xml:space="preserve">, S. (2021). Phenotypic characterization and performance evaluation of </w:t>
      </w:r>
      <w:proofErr w:type="spellStart"/>
      <w:r w:rsidRPr="00F148C1">
        <w:rPr>
          <w:rFonts w:ascii="Arial" w:hAnsi="Arial" w:cs="Arial"/>
          <w:color w:val="000000" w:themeColor="text1"/>
          <w:sz w:val="20"/>
          <w:szCs w:val="20"/>
        </w:rPr>
        <w:t>Wak</w:t>
      </w:r>
      <w:proofErr w:type="spellEnd"/>
      <w:r w:rsidRPr="00F148C1">
        <w:rPr>
          <w:rFonts w:ascii="Arial" w:hAnsi="Arial" w:cs="Arial"/>
          <w:color w:val="000000" w:themeColor="text1"/>
          <w:sz w:val="20"/>
          <w:szCs w:val="20"/>
        </w:rPr>
        <w:t xml:space="preserve"> </w:t>
      </w:r>
      <w:proofErr w:type="spellStart"/>
      <w:r w:rsidRPr="00F148C1">
        <w:rPr>
          <w:rFonts w:ascii="Arial" w:hAnsi="Arial" w:cs="Arial"/>
          <w:color w:val="000000" w:themeColor="text1"/>
          <w:sz w:val="20"/>
          <w:szCs w:val="20"/>
        </w:rPr>
        <w:t>Chambil</w:t>
      </w:r>
      <w:proofErr w:type="spellEnd"/>
      <w:r w:rsidRPr="00F148C1">
        <w:rPr>
          <w:rFonts w:ascii="Arial" w:hAnsi="Arial" w:cs="Arial"/>
          <w:color w:val="000000" w:themeColor="text1"/>
          <w:sz w:val="20"/>
          <w:szCs w:val="20"/>
        </w:rPr>
        <w:t>: A unique indigenous pig of Northeast India. Indian Journal of Hill Farming, 34: 75–81.</w:t>
      </w:r>
    </w:p>
    <w:p w14:paraId="476D9A38" w14:textId="2CAAFCC3"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Kadirvel, G.; Singh, N. M.; Rahman, M.; Singh, L. A.; </w:t>
      </w:r>
      <w:proofErr w:type="spellStart"/>
      <w:r w:rsidRPr="00F148C1">
        <w:rPr>
          <w:rFonts w:ascii="Arial" w:hAnsi="Arial" w:cs="Arial"/>
          <w:color w:val="000000" w:themeColor="text1"/>
          <w:sz w:val="20"/>
          <w:szCs w:val="20"/>
        </w:rPr>
        <w:t>Khargharia</w:t>
      </w:r>
      <w:proofErr w:type="spellEnd"/>
      <w:r w:rsidRPr="00F148C1">
        <w:rPr>
          <w:rFonts w:ascii="Arial" w:hAnsi="Arial" w:cs="Arial"/>
          <w:color w:val="000000" w:themeColor="text1"/>
          <w:sz w:val="20"/>
          <w:szCs w:val="20"/>
        </w:rPr>
        <w:t>, G. and Kumar, R. (2020). A comparative evaluation on productive and reproductive traits of Tamworth × Desi and Hampshire × Niang Megha pigs under subtropical hill ecosystem in Eastern Himalayas, India. Indian Journal of Animal Research, 54(11): 1332–1337.</w:t>
      </w:r>
      <w:r w:rsidR="00936E7C" w:rsidRPr="00936E7C">
        <w:t xml:space="preserve"> </w:t>
      </w:r>
      <w:hyperlink r:id="rId17" w:history="1">
        <w:r w:rsidR="00936E7C" w:rsidRPr="00936E7C">
          <w:rPr>
            <w:rStyle w:val="Hyperlink"/>
            <w:rFonts w:ascii="Arial" w:hAnsi="Arial" w:cs="Arial"/>
            <w:sz w:val="20"/>
            <w:szCs w:val="20"/>
          </w:rPr>
          <w:t>https://doi.org/10.18805/ijar.B-3824</w:t>
        </w:r>
      </w:hyperlink>
      <w:r w:rsidR="00936E7C">
        <w:rPr>
          <w:rFonts w:ascii="Arial" w:hAnsi="Arial" w:cs="Arial"/>
          <w:color w:val="000000" w:themeColor="text1"/>
          <w:sz w:val="20"/>
          <w:szCs w:val="20"/>
        </w:rPr>
        <w:t xml:space="preserve"> </w:t>
      </w:r>
    </w:p>
    <w:p w14:paraId="7DE4D692"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Kalita, D.; Das, D. and Goswami, R. N. (2001). Body weights of indigenous pigs of Assam and their crosses with Hampshire as affected by various factors. Indian Veterinary Journal, 78: 1024–1027.</w:t>
      </w:r>
    </w:p>
    <w:p w14:paraId="4F08A516"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Kalita, D.; Goswami, R. N. and Deka, D. (2006). Genetic studies on body weight of crossbred pigs of Assam. Indian Veterinary Journal, 83(8): 850–852.</w:t>
      </w:r>
    </w:p>
    <w:p w14:paraId="19B2152F"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Kaushik, P.; Banik, S.; Naskar, S.; Barman, K.; Das, A. K. and Sarma, D. K. (2017). Effect of different genetic and non-genetic factors on pre-weaning litter and growth performance of pigs. Indian Journal of Animal Research, 51(1): 179–181.</w:t>
      </w:r>
    </w:p>
    <w:p w14:paraId="3561A185" w14:textId="57991A94"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Knecht, D.; </w:t>
      </w:r>
      <w:proofErr w:type="spellStart"/>
      <w:r w:rsidRPr="00F148C1">
        <w:rPr>
          <w:rFonts w:ascii="Arial" w:hAnsi="Arial" w:cs="Arial"/>
          <w:color w:val="000000" w:themeColor="text1"/>
          <w:sz w:val="20"/>
          <w:szCs w:val="20"/>
        </w:rPr>
        <w:t>Srodon</w:t>
      </w:r>
      <w:proofErr w:type="spellEnd"/>
      <w:r w:rsidRPr="00F148C1">
        <w:rPr>
          <w:rFonts w:ascii="Arial" w:hAnsi="Arial" w:cs="Arial"/>
          <w:color w:val="000000" w:themeColor="text1"/>
          <w:sz w:val="20"/>
          <w:szCs w:val="20"/>
        </w:rPr>
        <w:t>, S. and Duzinski, K. (2015). The impact of season, parity and breed on selected reproductive performance parameters of sows. Archives Animal Breeding, 58(1): 49–56.</w:t>
      </w:r>
      <w:r w:rsidR="00434ECD" w:rsidRPr="00434ECD">
        <w:t xml:space="preserve"> </w:t>
      </w:r>
      <w:hyperlink r:id="rId18" w:history="1">
        <w:r w:rsidR="00434ECD" w:rsidRPr="00434ECD">
          <w:rPr>
            <w:rStyle w:val="Hyperlink"/>
            <w:rFonts w:ascii="Arial" w:hAnsi="Arial" w:cs="Arial"/>
            <w:sz w:val="20"/>
            <w:szCs w:val="20"/>
          </w:rPr>
          <w:t>https://doi.org/10.5194/aab-58-49-2015</w:t>
        </w:r>
      </w:hyperlink>
      <w:r w:rsidR="00434ECD">
        <w:rPr>
          <w:rFonts w:ascii="Arial" w:hAnsi="Arial" w:cs="Arial"/>
          <w:color w:val="000000" w:themeColor="text1"/>
          <w:sz w:val="20"/>
          <w:szCs w:val="20"/>
        </w:rPr>
        <w:t xml:space="preserve"> </w:t>
      </w:r>
    </w:p>
    <w:p w14:paraId="7D7E314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Kramer, C. Y. (1957). Extension of multiple range tests to group means with unequal numbers of replications. Biometrics, 13: 307–310.</w:t>
      </w:r>
    </w:p>
    <w:p w14:paraId="6D362379"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 R.; Mandal, B.; Kumari, N. and Patel, N. (2018). Performance of different genetic groups of pigs maintained under AICRP on Pig. International Journal of Current Microbiology and Applied Sciences, 7: 822–826.</w:t>
      </w:r>
    </w:p>
    <w:p w14:paraId="50FBC454"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Kumari, B. P.; Reddy, V. R. C.; Reddy, K. K. and Rao, C. H. (2005). Effect of inbreeding on some economic traits of indigenous pigs. Indian Journal of Animal Sciences, 75(8): 949–952.</w:t>
      </w:r>
    </w:p>
    <w:p w14:paraId="65A7AF98" w14:textId="67979BED"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Lalremruata, C.; Hmar, L. and Kalita, G. (2015). Study on the growth performance and mortality in pre-weaning Burmese piglets reared under field condition of Aizawl, India. Indian Journal of Animal Research, 49(2): 262–264.</w:t>
      </w:r>
      <w:r w:rsidR="00434ECD">
        <w:rPr>
          <w:rFonts w:ascii="Arial" w:hAnsi="Arial" w:cs="Arial"/>
          <w:color w:val="000000" w:themeColor="text1"/>
          <w:sz w:val="20"/>
          <w:szCs w:val="20"/>
        </w:rPr>
        <w:t xml:space="preserve"> </w:t>
      </w:r>
      <w:hyperlink r:id="rId19" w:history="1">
        <w:r w:rsidR="00D14D6B" w:rsidRPr="00F81C3A">
          <w:rPr>
            <w:rStyle w:val="Hyperlink"/>
            <w:rFonts w:ascii="Arial" w:hAnsi="Arial" w:cs="Arial"/>
            <w:sz w:val="20"/>
            <w:szCs w:val="20"/>
          </w:rPr>
          <w:t>https://doi.org/10.5958/0976-0555.2015.00115.6</w:t>
        </w:r>
      </w:hyperlink>
      <w:r w:rsidR="00D14D6B">
        <w:rPr>
          <w:rFonts w:ascii="Arial" w:hAnsi="Arial" w:cs="Arial"/>
          <w:color w:val="000000" w:themeColor="text1"/>
          <w:sz w:val="20"/>
          <w:szCs w:val="20"/>
        </w:rPr>
        <w:t xml:space="preserve"> </w:t>
      </w:r>
    </w:p>
    <w:p w14:paraId="6D083554"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Lanuyanger</w:t>
      </w:r>
      <w:proofErr w:type="spellEnd"/>
      <w:r w:rsidRPr="00F148C1">
        <w:rPr>
          <w:rFonts w:ascii="Arial" w:hAnsi="Arial" w:cs="Arial"/>
          <w:color w:val="000000" w:themeColor="text1"/>
          <w:sz w:val="20"/>
          <w:szCs w:val="20"/>
        </w:rPr>
        <w:t xml:space="preserve">, A.; Nizamuddin, B.;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C.;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Vidyarthi, V. K.; Savino, N. and Singh, R. (2023). Productive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 xml:space="preserve"> Vo pig in field condition. Journal of Zoology, 44(11): 7–14.</w:t>
      </w:r>
    </w:p>
    <w:p w14:paraId="6EF2D2E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Losou</w:t>
      </w:r>
      <w:proofErr w:type="spellEnd"/>
      <w:r w:rsidRPr="00F148C1">
        <w:rPr>
          <w:rFonts w:ascii="Arial" w:hAnsi="Arial" w:cs="Arial"/>
          <w:color w:val="000000" w:themeColor="text1"/>
          <w:sz w:val="20"/>
          <w:szCs w:val="20"/>
        </w:rPr>
        <w:t xml:space="preserve">, L.;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C.;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and Singh, R. (2022). Productive and reproductive performance of female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-Vo pig under field condition. IOSR Journal of Agriculture and Veterinary Science, 15(9): 34–38.</w:t>
      </w:r>
    </w:p>
    <w:p w14:paraId="749287DD" w14:textId="02230B5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Mungate, F.; Dzama, K.; </w:t>
      </w:r>
      <w:proofErr w:type="spellStart"/>
      <w:r w:rsidRPr="00F148C1">
        <w:rPr>
          <w:rFonts w:ascii="Arial" w:hAnsi="Arial" w:cs="Arial"/>
          <w:color w:val="000000" w:themeColor="text1"/>
          <w:sz w:val="20"/>
          <w:szCs w:val="20"/>
        </w:rPr>
        <w:t>Mandisodza</w:t>
      </w:r>
      <w:proofErr w:type="spellEnd"/>
      <w:r w:rsidRPr="00F148C1">
        <w:rPr>
          <w:rFonts w:ascii="Arial" w:hAnsi="Arial" w:cs="Arial"/>
          <w:color w:val="000000" w:themeColor="text1"/>
          <w:sz w:val="20"/>
          <w:szCs w:val="20"/>
        </w:rPr>
        <w:t>, K. and Shoniwa, A. (1999). Some non-genetic factors affecting commercial pig production in Zimbabwe. South African Journal of Animal Science, 29(3): 1–8.</w:t>
      </w:r>
      <w:r w:rsidR="00434ECD">
        <w:rPr>
          <w:rFonts w:ascii="Arial" w:hAnsi="Arial" w:cs="Arial"/>
          <w:color w:val="000000" w:themeColor="text1"/>
          <w:sz w:val="20"/>
          <w:szCs w:val="20"/>
        </w:rPr>
        <w:t xml:space="preserve"> </w:t>
      </w:r>
      <w:hyperlink r:id="rId20" w:history="1">
        <w:r w:rsidR="00434ECD" w:rsidRPr="00F81C3A">
          <w:rPr>
            <w:rStyle w:val="Hyperlink"/>
            <w:rFonts w:ascii="Arial" w:hAnsi="Arial" w:cs="Arial"/>
            <w:sz w:val="20"/>
            <w:szCs w:val="20"/>
          </w:rPr>
          <w:t>https://doi.org/10.4314/sajas.v29i3.44202</w:t>
        </w:r>
      </w:hyperlink>
      <w:r w:rsidR="00434ECD">
        <w:rPr>
          <w:rFonts w:ascii="Arial" w:hAnsi="Arial" w:cs="Arial"/>
          <w:color w:val="000000" w:themeColor="text1"/>
          <w:sz w:val="20"/>
          <w:szCs w:val="20"/>
        </w:rPr>
        <w:t xml:space="preserve"> </w:t>
      </w:r>
    </w:p>
    <w:p w14:paraId="34732B49" w14:textId="3EC577C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Naha, B. C.; Gaur, G. K.; Patel, B. H. M. and Sahoo, N. R. (2017). Growth and litter traits in crossbred pigs across the non-genetic factors. Indian Journal of Animal Research, 51(4): 798–800.</w:t>
      </w:r>
      <w:r w:rsidR="00434ECD">
        <w:rPr>
          <w:rFonts w:ascii="Arial" w:hAnsi="Arial" w:cs="Arial"/>
          <w:color w:val="000000" w:themeColor="text1"/>
          <w:sz w:val="20"/>
          <w:szCs w:val="20"/>
        </w:rPr>
        <w:t xml:space="preserve"> </w:t>
      </w:r>
      <w:hyperlink r:id="rId21" w:history="1">
        <w:r w:rsidR="00434ECD" w:rsidRPr="00D14D6B">
          <w:rPr>
            <w:rStyle w:val="Hyperlink"/>
            <w:rFonts w:ascii="Arial" w:hAnsi="Arial" w:cs="Arial"/>
            <w:sz w:val="20"/>
            <w:szCs w:val="20"/>
          </w:rPr>
          <w:t>https://doi.org/</w:t>
        </w:r>
        <w:r w:rsidR="00D14D6B" w:rsidRPr="00D14D6B">
          <w:rPr>
            <w:rStyle w:val="Hyperlink"/>
          </w:rPr>
          <w:t xml:space="preserve"> </w:t>
        </w:r>
        <w:r w:rsidR="00D14D6B" w:rsidRPr="00D14D6B">
          <w:rPr>
            <w:rStyle w:val="Hyperlink"/>
            <w:rFonts w:ascii="Arial" w:hAnsi="Arial" w:cs="Arial"/>
            <w:sz w:val="20"/>
            <w:szCs w:val="20"/>
          </w:rPr>
          <w:t xml:space="preserve">10.18805/ijar.v0iOF.8500 </w:t>
        </w:r>
      </w:hyperlink>
      <w:r w:rsidR="00434ECD">
        <w:rPr>
          <w:rFonts w:ascii="Arial" w:hAnsi="Arial" w:cs="Arial"/>
          <w:color w:val="000000" w:themeColor="text1"/>
          <w:sz w:val="20"/>
          <w:szCs w:val="20"/>
        </w:rPr>
        <w:t xml:space="preserve"> </w:t>
      </w:r>
    </w:p>
    <w:p w14:paraId="41506F0E"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Palve</w:t>
      </w:r>
      <w:proofErr w:type="spellEnd"/>
      <w:r w:rsidRPr="00F148C1">
        <w:rPr>
          <w:rFonts w:ascii="Arial" w:hAnsi="Arial" w:cs="Arial"/>
          <w:color w:val="000000" w:themeColor="text1"/>
          <w:sz w:val="20"/>
          <w:szCs w:val="20"/>
        </w:rPr>
        <w:t>, S.; Maitra, D. N.; Pyne, A. K.; Roy, S. K. and Majumdar, S. C. (2000). Effect of season on litter traits of Large White Yorkshire pigs in West Bengal. Indian Veterinary Journal, 77(1): 640–642.</w:t>
      </w:r>
    </w:p>
    <w:p w14:paraId="204BA1CD"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Pradeep, A. A.; </w:t>
      </w:r>
      <w:proofErr w:type="spellStart"/>
      <w:r w:rsidRPr="00F148C1">
        <w:rPr>
          <w:rFonts w:ascii="Arial" w:hAnsi="Arial" w:cs="Arial"/>
          <w:color w:val="000000" w:themeColor="text1"/>
          <w:sz w:val="20"/>
          <w:szCs w:val="20"/>
        </w:rPr>
        <w:t>Govindaiah</w:t>
      </w:r>
      <w:proofErr w:type="spellEnd"/>
      <w:r w:rsidRPr="00F148C1">
        <w:rPr>
          <w:rFonts w:ascii="Arial" w:hAnsi="Arial" w:cs="Arial"/>
          <w:color w:val="000000" w:themeColor="text1"/>
          <w:sz w:val="20"/>
          <w:szCs w:val="20"/>
        </w:rPr>
        <w:t>, M. G.; Nagaraja, C. S.; Devi, M. V. and Rao, S. S. (2004). Birth weight, weaning weight and pre-weaning pig mortality rate of local and improved piglets of coastal Karnataka region. Indian Journal of Animal Sciences, 74(1): 110–112.</w:t>
      </w:r>
    </w:p>
    <w:p w14:paraId="108AF9CF"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Pragna, P.; </w:t>
      </w:r>
      <w:proofErr w:type="spellStart"/>
      <w:r w:rsidRPr="00F148C1">
        <w:rPr>
          <w:rFonts w:ascii="Arial" w:hAnsi="Arial" w:cs="Arial"/>
          <w:color w:val="000000" w:themeColor="text1"/>
          <w:sz w:val="20"/>
          <w:szCs w:val="20"/>
        </w:rPr>
        <w:t>Sejian</w:t>
      </w:r>
      <w:proofErr w:type="spellEnd"/>
      <w:r w:rsidRPr="00F148C1">
        <w:rPr>
          <w:rFonts w:ascii="Arial" w:hAnsi="Arial" w:cs="Arial"/>
          <w:color w:val="000000" w:themeColor="text1"/>
          <w:sz w:val="20"/>
          <w:szCs w:val="20"/>
        </w:rPr>
        <w:t xml:space="preserve">, V.; </w:t>
      </w:r>
      <w:proofErr w:type="spellStart"/>
      <w:r w:rsidRPr="00F148C1">
        <w:rPr>
          <w:rFonts w:ascii="Arial" w:hAnsi="Arial" w:cs="Arial"/>
          <w:color w:val="000000" w:themeColor="text1"/>
          <w:sz w:val="20"/>
          <w:szCs w:val="20"/>
        </w:rPr>
        <w:t>Bagath</w:t>
      </w:r>
      <w:proofErr w:type="spellEnd"/>
      <w:r w:rsidRPr="00F148C1">
        <w:rPr>
          <w:rFonts w:ascii="Arial" w:hAnsi="Arial" w:cs="Arial"/>
          <w:color w:val="000000" w:themeColor="text1"/>
          <w:sz w:val="20"/>
          <w:szCs w:val="20"/>
        </w:rPr>
        <w:t>, M.; Krishnan, G.; Archana, P. R.; Soren, N. M.; Beena, V. and Bhatta, R. (2018). Comparative assessment of growth performance of three different indigenous goat breeds exposed to summer heat stress. Journal of Animal Physiology and Animal Nutrition, 102: 825–836.</w:t>
      </w:r>
    </w:p>
    <w:p w14:paraId="3E9E46DA"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Prakash, M. G.; Ravi, A.; Kumari, B. P. and Rao, D. S. (2008). Reproductive and productive performance of crossbred pigs. Indian Journal of Animal Sciences, 78: 1291–1297.</w:t>
      </w:r>
    </w:p>
    <w:p w14:paraId="5910EC11" w14:textId="1C176E2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Reddy, P. P.; Metta, M.; Hiremath, S. S.; Suresh, J.; Vinoo, R. and Reddy, P. R. (2022). Genetic evaluation of post-weaning growth performances in Large White Yorkshire crossbred pigs. Indian Journal of Animal Research, 59(7): 1092–1097.</w:t>
      </w:r>
      <w:r w:rsidR="00434ECD">
        <w:rPr>
          <w:rFonts w:ascii="Arial" w:hAnsi="Arial" w:cs="Arial"/>
          <w:color w:val="000000" w:themeColor="text1"/>
          <w:sz w:val="20"/>
          <w:szCs w:val="20"/>
        </w:rPr>
        <w:t xml:space="preserve"> </w:t>
      </w:r>
      <w:hyperlink r:id="rId22" w:history="1">
        <w:r w:rsidR="00434ECD" w:rsidRPr="00F81C3A">
          <w:rPr>
            <w:rStyle w:val="Hyperlink"/>
            <w:rFonts w:ascii="Arial" w:hAnsi="Arial" w:cs="Arial"/>
            <w:sz w:val="20"/>
            <w:szCs w:val="20"/>
          </w:rPr>
          <w:t>https://doi.org/10.18805/ijar.B-4833</w:t>
        </w:r>
      </w:hyperlink>
      <w:r w:rsidR="00434ECD">
        <w:rPr>
          <w:rFonts w:ascii="Arial" w:hAnsi="Arial" w:cs="Arial"/>
          <w:color w:val="000000" w:themeColor="text1"/>
          <w:sz w:val="20"/>
          <w:szCs w:val="20"/>
        </w:rPr>
        <w:t xml:space="preserve"> </w:t>
      </w:r>
    </w:p>
    <w:p w14:paraId="793D1DF7"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Singh, N. M.; Medhi, K.; Gogoi, S. H. and Pathak, B. (2020). Reproductive, growth performance and carcass traits of pigs raised under existing low input tribal backyard pig production system in Dima </w:t>
      </w:r>
      <w:proofErr w:type="spellStart"/>
      <w:r w:rsidRPr="00F148C1">
        <w:rPr>
          <w:rFonts w:ascii="Arial" w:hAnsi="Arial" w:cs="Arial"/>
          <w:color w:val="000000" w:themeColor="text1"/>
          <w:sz w:val="20"/>
          <w:szCs w:val="20"/>
        </w:rPr>
        <w:t>Hasao</w:t>
      </w:r>
      <w:proofErr w:type="spellEnd"/>
      <w:r w:rsidRPr="00F148C1">
        <w:rPr>
          <w:rFonts w:ascii="Arial" w:hAnsi="Arial" w:cs="Arial"/>
          <w:color w:val="000000" w:themeColor="text1"/>
          <w:sz w:val="20"/>
          <w:szCs w:val="20"/>
        </w:rPr>
        <w:t>, Assam, Northeast India. Journal of Entomology and Zoology Studies, 8(4): 12–17.</w:t>
      </w:r>
    </w:p>
    <w:p w14:paraId="38B38C1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Verma, P. K.; Kumar, R.; Shekhar, S. and Prasad, S. (2020). Growth performance of local pig of Jharkhand under different management systems. Journal of Entomology and Zoology Studies, 8(2): 101–102.</w:t>
      </w:r>
    </w:p>
    <w:p w14:paraId="5B12DFEB"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Yeptho, V.;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and Singh, R. (2022). Growth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-Vo pig under farm condition. Journal of Research in Agriculture and Animal Science, 9(12): 44–49.</w:t>
      </w:r>
    </w:p>
    <w:p w14:paraId="7E251ABA"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 xml:space="preserve">Zaman, G.; Aziz, A. and Kiba, H. Z. (2017). Body weights and body measurements of </w:t>
      </w:r>
      <w:proofErr w:type="spellStart"/>
      <w:r w:rsidRPr="00F148C1">
        <w:rPr>
          <w:rFonts w:ascii="Arial" w:hAnsi="Arial" w:cs="Arial"/>
          <w:color w:val="000000" w:themeColor="text1"/>
          <w:sz w:val="20"/>
          <w:szCs w:val="20"/>
        </w:rPr>
        <w:t>Suwo</w:t>
      </w:r>
      <w:proofErr w:type="spellEnd"/>
      <w:r w:rsidRPr="00F148C1">
        <w:rPr>
          <w:rFonts w:ascii="Arial" w:hAnsi="Arial" w:cs="Arial"/>
          <w:color w:val="000000" w:themeColor="text1"/>
          <w:sz w:val="20"/>
          <w:szCs w:val="20"/>
        </w:rPr>
        <w:t xml:space="preserve"> pigs of Nagaland at different ages. The North-East Veterinarian, 17(1): 6–8.</w:t>
      </w:r>
    </w:p>
    <w:p w14:paraId="707F4209" w14:textId="7D04D9BC"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Zosangpuii</w:t>
      </w:r>
      <w:proofErr w:type="spellEnd"/>
      <w:r w:rsidRPr="00F148C1">
        <w:rPr>
          <w:rFonts w:ascii="Arial" w:hAnsi="Arial" w:cs="Arial"/>
          <w:color w:val="000000" w:themeColor="text1"/>
          <w:sz w:val="20"/>
          <w:szCs w:val="20"/>
        </w:rPr>
        <w:t xml:space="preserve">, J. B.; </w:t>
      </w:r>
      <w:proofErr w:type="spellStart"/>
      <w:r w:rsidRPr="00F148C1">
        <w:rPr>
          <w:rFonts w:ascii="Arial" w:hAnsi="Arial" w:cs="Arial"/>
          <w:color w:val="000000" w:themeColor="text1"/>
          <w:sz w:val="20"/>
          <w:szCs w:val="20"/>
        </w:rPr>
        <w:t>Lalliankimi</w:t>
      </w:r>
      <w:proofErr w:type="spellEnd"/>
      <w:r w:rsidRPr="00F148C1">
        <w:rPr>
          <w:rFonts w:ascii="Arial" w:hAnsi="Arial" w:cs="Arial"/>
          <w:color w:val="000000" w:themeColor="text1"/>
          <w:sz w:val="20"/>
          <w:szCs w:val="20"/>
        </w:rPr>
        <w:t xml:space="preserve">, H.; Hmar, L.; Singh, N. S. and </w:t>
      </w:r>
      <w:proofErr w:type="spellStart"/>
      <w:r w:rsidRPr="00F148C1">
        <w:rPr>
          <w:rFonts w:ascii="Arial" w:hAnsi="Arial" w:cs="Arial"/>
          <w:color w:val="000000" w:themeColor="text1"/>
          <w:sz w:val="20"/>
          <w:szCs w:val="20"/>
        </w:rPr>
        <w:t>Leihang</w:t>
      </w:r>
      <w:proofErr w:type="spellEnd"/>
      <w:r w:rsidRPr="00F148C1">
        <w:rPr>
          <w:rFonts w:ascii="Arial" w:hAnsi="Arial" w:cs="Arial"/>
          <w:color w:val="000000" w:themeColor="text1"/>
          <w:sz w:val="20"/>
          <w:szCs w:val="20"/>
        </w:rPr>
        <w:t>, E. L. (2020). Phenotypic characterization of local pigs (</w:t>
      </w:r>
      <w:proofErr w:type="spellStart"/>
      <w:r w:rsidRPr="00F148C1">
        <w:rPr>
          <w:rFonts w:ascii="Arial" w:hAnsi="Arial" w:cs="Arial"/>
          <w:color w:val="000000" w:themeColor="text1"/>
          <w:sz w:val="20"/>
          <w:szCs w:val="20"/>
        </w:rPr>
        <w:t>Zovawk</w:t>
      </w:r>
      <w:proofErr w:type="spellEnd"/>
      <w:r w:rsidRPr="00F148C1">
        <w:rPr>
          <w:rFonts w:ascii="Arial" w:hAnsi="Arial" w:cs="Arial"/>
          <w:color w:val="000000" w:themeColor="text1"/>
          <w:sz w:val="20"/>
          <w:szCs w:val="20"/>
        </w:rPr>
        <w:t>) in Mizoram. Journal of Entomology and Zoology Studies, 8(5): 336–338.</w:t>
      </w:r>
      <w:r w:rsidR="00434ECD">
        <w:rPr>
          <w:rFonts w:ascii="Arial" w:hAnsi="Arial" w:cs="Arial"/>
          <w:color w:val="000000" w:themeColor="text1"/>
          <w:sz w:val="20"/>
          <w:szCs w:val="20"/>
        </w:rPr>
        <w:t xml:space="preserve"> </w:t>
      </w:r>
      <w:hyperlink r:id="rId23" w:history="1">
        <w:r w:rsidR="00434ECD" w:rsidRPr="00F81C3A">
          <w:rPr>
            <w:rStyle w:val="Hyperlink"/>
            <w:rFonts w:ascii="Arial" w:hAnsi="Arial" w:cs="Arial"/>
            <w:sz w:val="20"/>
            <w:szCs w:val="20"/>
          </w:rPr>
          <w:t>https://doi.org/10.22271/j.ento.2020.v8.i5e.7528</w:t>
        </w:r>
      </w:hyperlink>
      <w:r w:rsidR="00434ECD">
        <w:rPr>
          <w:rFonts w:ascii="Arial" w:hAnsi="Arial" w:cs="Arial"/>
          <w:color w:val="000000" w:themeColor="text1"/>
          <w:sz w:val="20"/>
          <w:szCs w:val="20"/>
        </w:rPr>
        <w:t xml:space="preserve"> </w:t>
      </w:r>
    </w:p>
    <w:sectPr w:rsidR="00511253" w:rsidRPr="00F148C1" w:rsidSect="007B718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F26E" w14:textId="77777777" w:rsidR="00B916ED" w:rsidRDefault="00B916ED">
      <w:r>
        <w:separator/>
      </w:r>
    </w:p>
  </w:endnote>
  <w:endnote w:type="continuationSeparator" w:id="0">
    <w:p w14:paraId="2E67343E" w14:textId="77777777" w:rsidR="00B916ED" w:rsidRDefault="00B9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3F81" w14:textId="77777777" w:rsidR="00FC0B30" w:rsidRDefault="00FC0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0786" w14:textId="77777777" w:rsidR="00FC0B30" w:rsidRDefault="00FC0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71C3" w14:textId="77777777" w:rsidR="00FC0B30" w:rsidRDefault="00FC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C0E67" w14:textId="77777777" w:rsidR="00B916ED" w:rsidRDefault="00B916ED">
      <w:r>
        <w:separator/>
      </w:r>
    </w:p>
  </w:footnote>
  <w:footnote w:type="continuationSeparator" w:id="0">
    <w:p w14:paraId="2175B1ED" w14:textId="77777777" w:rsidR="00B916ED" w:rsidRDefault="00B9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26A2" w14:textId="38A3ABD5" w:rsidR="00FC0B30" w:rsidRDefault="00FC0B30">
    <w:pPr>
      <w:pStyle w:val="Header"/>
    </w:pPr>
    <w:r>
      <w:rPr>
        <w:noProof/>
      </w:rPr>
      <w:pict w14:anchorId="2432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B42E" w14:textId="0426B378" w:rsidR="00FC0B30" w:rsidRDefault="00FC0B30">
    <w:pPr>
      <w:pStyle w:val="Header"/>
    </w:pPr>
    <w:r>
      <w:rPr>
        <w:noProof/>
      </w:rPr>
      <w:pict w14:anchorId="0986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39DA" w14:textId="3273F937" w:rsidR="00FC0B30" w:rsidRDefault="00FC0B30">
    <w:pPr>
      <w:pStyle w:val="Header"/>
    </w:pPr>
    <w:r>
      <w:rPr>
        <w:noProof/>
      </w:rPr>
      <w:pict w14:anchorId="77EBF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D01"/>
    <w:multiLevelType w:val="hybridMultilevel"/>
    <w:tmpl w:val="1D84B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D0C7977"/>
    <w:multiLevelType w:val="hybridMultilevel"/>
    <w:tmpl w:val="FBCEC9B6"/>
    <w:lvl w:ilvl="0" w:tplc="EEC6C5CA">
      <w:start w:val="1"/>
      <w:numFmt w:val="bullet"/>
      <w:lvlText w:val="●"/>
      <w:lvlJc w:val="left"/>
      <w:pPr>
        <w:ind w:left="720" w:hanging="360"/>
      </w:pPr>
    </w:lvl>
    <w:lvl w:ilvl="1" w:tplc="806E8822">
      <w:start w:val="1"/>
      <w:numFmt w:val="bullet"/>
      <w:lvlText w:val="○"/>
      <w:lvlJc w:val="left"/>
      <w:pPr>
        <w:ind w:left="1440" w:hanging="360"/>
      </w:pPr>
    </w:lvl>
    <w:lvl w:ilvl="2" w:tplc="EAA093F0">
      <w:start w:val="1"/>
      <w:numFmt w:val="bullet"/>
      <w:lvlText w:val="■"/>
      <w:lvlJc w:val="left"/>
      <w:pPr>
        <w:ind w:left="2160" w:hanging="360"/>
      </w:pPr>
    </w:lvl>
    <w:lvl w:ilvl="3" w:tplc="04E8B5CE">
      <w:start w:val="1"/>
      <w:numFmt w:val="bullet"/>
      <w:lvlText w:val="●"/>
      <w:lvlJc w:val="left"/>
      <w:pPr>
        <w:ind w:left="2880" w:hanging="360"/>
      </w:pPr>
    </w:lvl>
    <w:lvl w:ilvl="4" w:tplc="120E1958">
      <w:start w:val="1"/>
      <w:numFmt w:val="bullet"/>
      <w:lvlText w:val="○"/>
      <w:lvlJc w:val="left"/>
      <w:pPr>
        <w:ind w:left="3600" w:hanging="360"/>
      </w:pPr>
    </w:lvl>
    <w:lvl w:ilvl="5" w:tplc="9F8C3A70">
      <w:start w:val="1"/>
      <w:numFmt w:val="bullet"/>
      <w:lvlText w:val="■"/>
      <w:lvlJc w:val="left"/>
      <w:pPr>
        <w:ind w:left="4320" w:hanging="360"/>
      </w:pPr>
    </w:lvl>
    <w:lvl w:ilvl="6" w:tplc="5BFE793A">
      <w:start w:val="1"/>
      <w:numFmt w:val="bullet"/>
      <w:lvlText w:val="●"/>
      <w:lvlJc w:val="left"/>
      <w:pPr>
        <w:ind w:left="5040" w:hanging="360"/>
      </w:pPr>
    </w:lvl>
    <w:lvl w:ilvl="7" w:tplc="15BE6168">
      <w:start w:val="1"/>
      <w:numFmt w:val="bullet"/>
      <w:lvlText w:val="●"/>
      <w:lvlJc w:val="left"/>
      <w:pPr>
        <w:ind w:left="5760" w:hanging="360"/>
      </w:pPr>
    </w:lvl>
    <w:lvl w:ilvl="8" w:tplc="2E700A6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53"/>
    <w:rsid w:val="00063EA6"/>
    <w:rsid w:val="000C6214"/>
    <w:rsid w:val="000D3F76"/>
    <w:rsid w:val="001E11C3"/>
    <w:rsid w:val="002374CB"/>
    <w:rsid w:val="002D7E7A"/>
    <w:rsid w:val="003202EE"/>
    <w:rsid w:val="003472FE"/>
    <w:rsid w:val="0035685E"/>
    <w:rsid w:val="00375A85"/>
    <w:rsid w:val="00403B63"/>
    <w:rsid w:val="00434ECD"/>
    <w:rsid w:val="00455644"/>
    <w:rsid w:val="004763AC"/>
    <w:rsid w:val="004971E4"/>
    <w:rsid w:val="004A421A"/>
    <w:rsid w:val="004D20D1"/>
    <w:rsid w:val="00503DE1"/>
    <w:rsid w:val="00511253"/>
    <w:rsid w:val="00587714"/>
    <w:rsid w:val="00591DD8"/>
    <w:rsid w:val="005D0912"/>
    <w:rsid w:val="005D73AC"/>
    <w:rsid w:val="00601E0A"/>
    <w:rsid w:val="006217CB"/>
    <w:rsid w:val="00633514"/>
    <w:rsid w:val="00655710"/>
    <w:rsid w:val="00660F67"/>
    <w:rsid w:val="0066198F"/>
    <w:rsid w:val="006B6F74"/>
    <w:rsid w:val="006D364E"/>
    <w:rsid w:val="006E4BA2"/>
    <w:rsid w:val="00713D8B"/>
    <w:rsid w:val="00784A46"/>
    <w:rsid w:val="007B2307"/>
    <w:rsid w:val="007B718E"/>
    <w:rsid w:val="007C44E3"/>
    <w:rsid w:val="00826BB3"/>
    <w:rsid w:val="00901A1F"/>
    <w:rsid w:val="00936E7C"/>
    <w:rsid w:val="0097298E"/>
    <w:rsid w:val="00A03F40"/>
    <w:rsid w:val="00A1241F"/>
    <w:rsid w:val="00A33088"/>
    <w:rsid w:val="00B068B0"/>
    <w:rsid w:val="00B71EFB"/>
    <w:rsid w:val="00B916ED"/>
    <w:rsid w:val="00BA490C"/>
    <w:rsid w:val="00BB1307"/>
    <w:rsid w:val="00C01CDA"/>
    <w:rsid w:val="00C275C3"/>
    <w:rsid w:val="00C36AC5"/>
    <w:rsid w:val="00C453BE"/>
    <w:rsid w:val="00CB740A"/>
    <w:rsid w:val="00CC6077"/>
    <w:rsid w:val="00CD6B39"/>
    <w:rsid w:val="00D14D6B"/>
    <w:rsid w:val="00D4782B"/>
    <w:rsid w:val="00DC1673"/>
    <w:rsid w:val="00E30DB3"/>
    <w:rsid w:val="00E7040A"/>
    <w:rsid w:val="00E802B5"/>
    <w:rsid w:val="00E87242"/>
    <w:rsid w:val="00EB608B"/>
    <w:rsid w:val="00EC1CA2"/>
    <w:rsid w:val="00ED35B9"/>
    <w:rsid w:val="00F13674"/>
    <w:rsid w:val="00F148C1"/>
    <w:rsid w:val="00F21146"/>
    <w:rsid w:val="00F2764C"/>
    <w:rsid w:val="00F433F5"/>
    <w:rsid w:val="00F63A1D"/>
    <w:rsid w:val="00FC0B30"/>
    <w:rsid w:val="00FF15AD"/>
    <w:rsid w:val="00FF31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75A79"/>
  <w15:docId w15:val="{065A977D-D9FB-45C0-99D4-C6AFCC6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3674"/>
    <w:pPr>
      <w:tabs>
        <w:tab w:val="center" w:pos="4513"/>
        <w:tab w:val="right" w:pos="9026"/>
      </w:tabs>
    </w:pPr>
  </w:style>
  <w:style w:type="character" w:customStyle="1" w:styleId="HeaderChar">
    <w:name w:val="Header Char"/>
    <w:basedOn w:val="DefaultParagraphFont"/>
    <w:link w:val="Header"/>
    <w:uiPriority w:val="99"/>
    <w:rsid w:val="00F13674"/>
  </w:style>
  <w:style w:type="paragraph" w:styleId="Footer">
    <w:name w:val="footer"/>
    <w:basedOn w:val="Normal"/>
    <w:link w:val="FooterChar"/>
    <w:uiPriority w:val="99"/>
    <w:unhideWhenUsed/>
    <w:rsid w:val="00F13674"/>
    <w:pPr>
      <w:tabs>
        <w:tab w:val="center" w:pos="4513"/>
        <w:tab w:val="right" w:pos="9026"/>
      </w:tabs>
    </w:pPr>
  </w:style>
  <w:style w:type="character" w:customStyle="1" w:styleId="FooterChar">
    <w:name w:val="Footer Char"/>
    <w:basedOn w:val="DefaultParagraphFont"/>
    <w:link w:val="Footer"/>
    <w:uiPriority w:val="99"/>
    <w:rsid w:val="00F13674"/>
  </w:style>
  <w:style w:type="character" w:styleId="UnresolvedMention">
    <w:name w:val="Unresolved Mention"/>
    <w:basedOn w:val="DefaultParagraphFont"/>
    <w:uiPriority w:val="99"/>
    <w:semiHidden/>
    <w:unhideWhenUsed/>
    <w:rsid w:val="00CC6077"/>
    <w:rPr>
      <w:color w:val="605E5C"/>
      <w:shd w:val="clear" w:color="auto" w:fill="E1DFDD"/>
    </w:rPr>
  </w:style>
  <w:style w:type="character" w:styleId="LineNumber">
    <w:name w:val="line number"/>
    <w:basedOn w:val="DefaultParagraphFont"/>
    <w:uiPriority w:val="99"/>
    <w:semiHidden/>
    <w:unhideWhenUsed/>
    <w:rsid w:val="005D0912"/>
  </w:style>
  <w:style w:type="character" w:styleId="FollowedHyperlink">
    <w:name w:val="FollowedHyperlink"/>
    <w:basedOn w:val="DefaultParagraphFont"/>
    <w:uiPriority w:val="99"/>
    <w:semiHidden/>
    <w:unhideWhenUsed/>
    <w:rsid w:val="005877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20143234801" TargetMode="External"/><Relationship Id="rId13" Type="http://schemas.openxmlformats.org/officeDocument/2006/relationships/hyperlink" Target="https://www.veterinarypaper.com/archives/2023/8/6/A/8-5-77" TargetMode="External"/><Relationship Id="rId18" Type="http://schemas.openxmlformats.org/officeDocument/2006/relationships/hyperlink" Target="https://doi.org/10.5194/aab-58-49-201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8805/ijar.v0iOF.8500" TargetMode="External"/><Relationship Id="rId7" Type="http://schemas.openxmlformats.org/officeDocument/2006/relationships/endnotes" Target="endnotes.xml"/><Relationship Id="rId12" Type="http://schemas.openxmlformats.org/officeDocument/2006/relationships/hyperlink" Target="https://doi.org/10.56093/ijans.v85i12.54392" TargetMode="External"/><Relationship Id="rId17" Type="http://schemas.openxmlformats.org/officeDocument/2006/relationships/hyperlink" Target="https://doi.org/10.18805/ijar.B-38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8805/ijar.B-3623" TargetMode="External"/><Relationship Id="rId20" Type="http://schemas.openxmlformats.org/officeDocument/2006/relationships/hyperlink" Target="https://doi.org/10.4314/sajas.v29i3.4420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93/ijans.v93i7.13234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9790/2380-09312022%20%20%20%20%20" TargetMode="External"/><Relationship Id="rId23" Type="http://schemas.openxmlformats.org/officeDocument/2006/relationships/hyperlink" Target="https://doi.org/10.22271/j.ento.2020.v8.i5e.7528" TargetMode="External"/><Relationship Id="rId28" Type="http://schemas.openxmlformats.org/officeDocument/2006/relationships/header" Target="header3.xml"/><Relationship Id="rId10" Type="http://schemas.openxmlformats.org/officeDocument/2006/relationships/hyperlink" Target="https://doi.org/10.14202/vetworld.2024.1459-1468" TargetMode="External"/><Relationship Id="rId19" Type="http://schemas.openxmlformats.org/officeDocument/2006/relationships/hyperlink" Target="https://doi.org/10.5958/0976-0555.2015.0011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6557/upjoz/2024/v45i144186" TargetMode="External"/><Relationship Id="rId14" Type="http://schemas.openxmlformats.org/officeDocument/2006/relationships/hyperlink" Target="https://doi.org/10.5958/0976-0555.2015.00117.X" TargetMode="External"/><Relationship Id="rId22" Type="http://schemas.openxmlformats.org/officeDocument/2006/relationships/hyperlink" Target="https://doi.org/10.18805/ijar.B-483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B742-B483-4E4E-AB62-B5EB3CC0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20</cp:revision>
  <dcterms:created xsi:type="dcterms:W3CDTF">2026-05-07T23:48:00Z</dcterms:created>
  <dcterms:modified xsi:type="dcterms:W3CDTF">2026-05-12T11:50:00Z</dcterms:modified>
</cp:coreProperties>
</file>