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B53D5" w14:textId="77777777" w:rsidR="007F099A" w:rsidRDefault="007F099A" w:rsidP="007F099A">
      <w:pPr>
        <w:spacing w:after="120" w:line="240" w:lineRule="auto"/>
        <w:jc w:val="center"/>
        <w:outlineLvl w:val="1"/>
        <w:rPr>
          <w:rFonts w:ascii="Times New Roman" w:eastAsia="Times New Roman" w:hAnsi="Times New Roman" w:cs="Times New Roman"/>
          <w:b/>
          <w:bCs/>
          <w:color w:val="1F1F1F"/>
          <w:kern w:val="36"/>
          <w:sz w:val="32"/>
          <w:szCs w:val="32"/>
          <w:lang w:eastAsia="en-IN" w:bidi="hi-IN"/>
          <w14:ligatures w14:val="none"/>
        </w:rPr>
      </w:pPr>
      <w:r w:rsidRPr="007F099A">
        <w:rPr>
          <w:rFonts w:ascii="Times New Roman" w:eastAsia="Times New Roman" w:hAnsi="Times New Roman" w:cs="Times New Roman"/>
          <w:b/>
          <w:bCs/>
          <w:color w:val="1F1F1F"/>
          <w:kern w:val="36"/>
          <w:sz w:val="32"/>
          <w:szCs w:val="32"/>
          <w:lang w:eastAsia="en-IN" w:bidi="hi-IN"/>
          <w14:ligatures w14:val="none"/>
        </w:rPr>
        <w:t>Enhancing Banana Yield and Profitability Through Bunch Skirting</w:t>
      </w:r>
    </w:p>
    <w:p w14:paraId="67773545" w14:textId="77777777" w:rsidR="00B1024D" w:rsidRDefault="00B1024D" w:rsidP="007F099A">
      <w:pPr>
        <w:spacing w:after="120" w:line="240" w:lineRule="auto"/>
        <w:jc w:val="center"/>
        <w:outlineLvl w:val="1"/>
        <w:rPr>
          <w:rFonts w:ascii="Times New Roman" w:eastAsia="Times New Roman" w:hAnsi="Times New Roman" w:cs="Times New Roman"/>
          <w:b/>
          <w:bCs/>
          <w:color w:val="1F1F1F"/>
          <w:kern w:val="36"/>
          <w:sz w:val="32"/>
          <w:szCs w:val="32"/>
          <w:lang w:eastAsia="en-IN" w:bidi="hi-IN"/>
          <w14:ligatures w14:val="none"/>
        </w:rPr>
      </w:pPr>
    </w:p>
    <w:p w14:paraId="433698FB" w14:textId="53DCB62C" w:rsidR="00A3761D" w:rsidRDefault="00A3761D" w:rsidP="00B1024D">
      <w:pPr>
        <w:spacing w:after="120" w:line="240" w:lineRule="auto"/>
        <w:jc w:val="center"/>
        <w:outlineLvl w:val="1"/>
        <w:rPr>
          <w:rFonts w:ascii="Times New Roman" w:eastAsia="Times New Roman" w:hAnsi="Times New Roman" w:cs="Times New Roman"/>
          <w:i/>
          <w:iCs/>
          <w:color w:val="1F1F1F"/>
          <w:kern w:val="36"/>
          <w:sz w:val="32"/>
          <w:szCs w:val="32"/>
          <w:lang w:eastAsia="en-IN" w:bidi="hi-IN"/>
          <w14:ligatures w14:val="none"/>
        </w:rPr>
      </w:pPr>
    </w:p>
    <w:p w14:paraId="5545930B" w14:textId="77777777" w:rsidR="00ED57B6" w:rsidRPr="00B1024D" w:rsidRDefault="00ED57B6" w:rsidP="00B1024D">
      <w:pPr>
        <w:spacing w:after="120" w:line="240" w:lineRule="auto"/>
        <w:jc w:val="center"/>
        <w:outlineLvl w:val="1"/>
        <w:rPr>
          <w:rFonts w:ascii="Times New Roman" w:eastAsia="Times New Roman" w:hAnsi="Times New Roman" w:cs="Times New Roman"/>
          <w:i/>
          <w:iCs/>
          <w:color w:val="1F1F1F"/>
          <w:kern w:val="36"/>
          <w:sz w:val="32"/>
          <w:szCs w:val="32"/>
          <w:lang w:eastAsia="en-IN" w:bidi="hi-IN"/>
          <w14:ligatures w14:val="none"/>
        </w:rPr>
      </w:pPr>
      <w:bookmarkStart w:id="0" w:name="_GoBack"/>
      <w:bookmarkEnd w:id="0"/>
    </w:p>
    <w:p w14:paraId="05E50F79" w14:textId="1D2C4FBA"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Abstract</w:t>
      </w:r>
    </w:p>
    <w:p w14:paraId="3F8F4A88" w14:textId="0A586AA9"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Banana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Musa spp.</w:t>
      </w:r>
      <w:r w:rsidRPr="007F099A">
        <w:rPr>
          <w:rFonts w:ascii="Times New Roman" w:eastAsia="Times New Roman" w:hAnsi="Times New Roman" w:cs="Times New Roman"/>
          <w:color w:val="1F1F1F"/>
          <w:kern w:val="0"/>
          <w:sz w:val="24"/>
          <w:szCs w:val="24"/>
          <w:lang w:eastAsia="en-IN" w:bidi="hi-IN"/>
          <w14:ligatures w14:val="none"/>
        </w:rPr>
        <w:t>) is a vital horticultural crop, yet achieving premium market quality remains a challenge due to biotic and abiotic stresses during bunch development. This study evaluates the multi-dimensional impact of bunch skirting technology through Front Line Demonstrations (FLDs) conducted over three consecutive years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2023</w:t>
      </w:r>
      <w:r w:rsidRPr="007F099A">
        <w:rPr>
          <w:rFonts w:ascii="Times New Roman" w:eastAsia="Times New Roman" w:hAnsi="Times New Roman" w:cs="Times New Roman"/>
          <w:color w:val="1F1F1F"/>
          <w:kern w:val="0"/>
          <w:sz w:val="24"/>
          <w:szCs w:val="24"/>
          <w:lang w:eastAsia="en-IN" w:bidi="hi-IN"/>
          <w14:ligatures w14:val="none"/>
        </w:rPr>
        <w:t xml:space="preserve"> to 20</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across various villages. The primary objective was to assess the technology against traditional farmer practices (control) by measuring agronomic improvements, economic viability, and the efficacy of FLDs as an extension methodology for accelerating technology adoption. Data from 39 participating farmers (13 per year) were </w:t>
      </w:r>
      <w:proofErr w:type="spellStart"/>
      <w:r w:rsidRPr="007F099A">
        <w:rPr>
          <w:rFonts w:ascii="Times New Roman" w:eastAsia="Times New Roman" w:hAnsi="Times New Roman" w:cs="Times New Roman"/>
          <w:color w:val="1F1F1F"/>
          <w:kern w:val="0"/>
          <w:sz w:val="24"/>
          <w:szCs w:val="24"/>
          <w:lang w:eastAsia="en-IN" w:bidi="hi-IN"/>
          <w14:ligatures w14:val="none"/>
        </w:rPr>
        <w:t>analyzed</w:t>
      </w:r>
      <w:proofErr w:type="spellEnd"/>
      <w:r w:rsidRPr="007F099A">
        <w:rPr>
          <w:rFonts w:ascii="Times New Roman" w:eastAsia="Times New Roman" w:hAnsi="Times New Roman" w:cs="Times New Roman"/>
          <w:color w:val="1F1F1F"/>
          <w:kern w:val="0"/>
          <w:sz w:val="24"/>
          <w:szCs w:val="24"/>
          <w:lang w:eastAsia="en-IN" w:bidi="hi-IN"/>
          <w14:ligatures w14:val="none"/>
        </w:rPr>
        <w:t>.</w:t>
      </w:r>
    </w:p>
    <w:p w14:paraId="772B185F" w14:textId="3C46112F"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Agronomic results indicated a consistent and statistically significant improvement in fruit girth and overall yield. In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the average yield per hectare increased by 13.16%, with similar sustained growth in subsequent years. Economically, despite an additional expenditure of Rs. 54,450/ha for skirting bags, the intervention yielded a substantially higher average Benefit-Cost (B:C) ratio compared to the control, culminating in a B:C ratio of 2.78 in 20</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The Incremental Cost-Benefit Ratio (ICBR) proved the investment highly lucrative. Furthermore, the extension analysis revealed that the technology significantly reduced yield variability among farmers, mitigating perceived financial risks. The sustained positive outcomes across diverse geographical micro-climates within the study area underscore skirting as a highly profitable intervention and validate the participatory FLD model for bridging the lab-to-land gap in agricultural technology.</w:t>
      </w:r>
    </w:p>
    <w:p w14:paraId="3DAB034E" w14:textId="65DD09D4" w:rsidR="00E076A3" w:rsidRDefault="00E076A3" w:rsidP="00E076A3">
      <w:pPr>
        <w:pStyle w:val="NormalWeb"/>
      </w:pPr>
      <w:r w:rsidRPr="00E076A3">
        <w:rPr>
          <w:b/>
          <w:bCs/>
          <w:color w:val="1F1F1F"/>
        </w:rPr>
        <w:t>Key words</w:t>
      </w:r>
      <w:r>
        <w:rPr>
          <w:color w:val="1F1F1F"/>
        </w:rPr>
        <w:t xml:space="preserve">: </w:t>
      </w:r>
      <w:r w:rsidRPr="00E076A3">
        <w:t>Bunch Skirting, Banana (</w:t>
      </w:r>
      <w:r w:rsidRPr="00E076A3">
        <w:rPr>
          <w:i/>
          <w:iCs/>
        </w:rPr>
        <w:t>Musa spp.</w:t>
      </w:r>
      <w:r w:rsidRPr="00E076A3">
        <w:t>), Field Level Demonstration (FLD), Cost-</w:t>
      </w:r>
      <w:r>
        <w:t xml:space="preserve">     </w:t>
      </w:r>
      <w:r w:rsidRPr="00E076A3">
        <w:t>Benefit Ratio, Yield Enhancement</w:t>
      </w:r>
    </w:p>
    <w:p w14:paraId="4B52F3F7" w14:textId="2B438FA0"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p>
    <w:p w14:paraId="48662385" w14:textId="77777777"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1. Introduction</w:t>
      </w:r>
    </w:p>
    <w:p w14:paraId="6588D7A7" w14:textId="413F268F"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The global agricultural landscape places a high premium on not just the total volume of crop yield, but the aesthetic and physiological quality of the produce. Banana (</w:t>
      </w:r>
      <w:r w:rsidRPr="00336A68">
        <w:rPr>
          <w:rFonts w:ascii="Times New Roman" w:eastAsia="Times New Roman" w:hAnsi="Times New Roman" w:cs="Times New Roman"/>
          <w:i/>
          <w:iCs/>
          <w:color w:val="1F1F1F"/>
          <w:kern w:val="0"/>
          <w:sz w:val="24"/>
          <w:szCs w:val="24"/>
          <w:lang w:eastAsia="en-IN" w:bidi="hi-IN"/>
          <w14:ligatures w14:val="none"/>
        </w:rPr>
        <w:t xml:space="preserve">Musa </w:t>
      </w:r>
      <w:proofErr w:type="spellStart"/>
      <w:r w:rsidRPr="00336A68">
        <w:rPr>
          <w:rFonts w:ascii="Times New Roman" w:eastAsia="Times New Roman" w:hAnsi="Times New Roman" w:cs="Times New Roman"/>
          <w:i/>
          <w:iCs/>
          <w:color w:val="1F1F1F"/>
          <w:kern w:val="0"/>
          <w:sz w:val="24"/>
          <w:szCs w:val="24"/>
          <w:lang w:eastAsia="en-IN" w:bidi="hi-IN"/>
          <w14:ligatures w14:val="none"/>
        </w:rPr>
        <w:t>sapientum</w:t>
      </w:r>
      <w:proofErr w:type="spellEnd"/>
      <w:r w:rsidRPr="00336A68">
        <w:rPr>
          <w:rFonts w:ascii="Times New Roman" w:eastAsia="Times New Roman" w:hAnsi="Times New Roman" w:cs="Times New Roman"/>
          <w:color w:val="1F1F1F"/>
          <w:kern w:val="0"/>
          <w:sz w:val="24"/>
          <w:szCs w:val="24"/>
          <w:lang w:eastAsia="en-IN" w:bidi="hi-IN"/>
          <w14:ligatures w14:val="none"/>
        </w:rPr>
        <w:t>) is an important fruit crop globally, and its commercial viability is heavily dependent on the visual appeal and size of the individual fingers. While India leads the world in banana production, accounting for around 18% of the worldwide crop of 139 million metric tonnes, its exports remain minimal for various quality-related reasons. In highly competitive export markets and local supermarkets, the physical appearance of the peel</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including key attributes such as uniform colour, shape, size, and freedom from defects</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 xml:space="preserve">is crucial for ensuring repeat purchases (Hewett, 2006; </w:t>
      </w:r>
      <w:proofErr w:type="spellStart"/>
      <w:r w:rsidRPr="00336A68">
        <w:rPr>
          <w:rFonts w:ascii="Times New Roman" w:eastAsia="Times New Roman" w:hAnsi="Times New Roman" w:cs="Times New Roman"/>
          <w:color w:val="1F1F1F"/>
          <w:kern w:val="0"/>
          <w:sz w:val="24"/>
          <w:szCs w:val="24"/>
          <w:lang w:eastAsia="en-IN" w:bidi="hi-IN"/>
          <w14:ligatures w14:val="none"/>
        </w:rPr>
        <w:t>Shewfelt</w:t>
      </w:r>
      <w:proofErr w:type="spellEnd"/>
      <w:r w:rsidRPr="00336A68">
        <w:rPr>
          <w:rFonts w:ascii="Times New Roman" w:eastAsia="Times New Roman" w:hAnsi="Times New Roman" w:cs="Times New Roman"/>
          <w:color w:val="1F1F1F"/>
          <w:kern w:val="0"/>
          <w:sz w:val="24"/>
          <w:szCs w:val="24"/>
          <w:lang w:eastAsia="en-IN" w:bidi="hi-IN"/>
          <w14:ligatures w14:val="none"/>
        </w:rPr>
        <w:t xml:space="preserve">, 2009). </w:t>
      </w:r>
    </w:p>
    <w:p w14:paraId="4DC604A6"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 xml:space="preserve">However, in tropical and subtropical growing regions, banana bunches are continuously exposed to a myriad of biotic and abiotic stress factors during the long four to six months it takes for the fruits to ripen. Fluctuating extreme temperatures, wind-borne debris hitting the delicate outer skin, intense solar radiation leading to sunscald, and the abrasive rubbing of adjacent leaves and petioles frequently cause superficial blemishes and cellular damage (Anon, </w:t>
      </w:r>
      <w:r w:rsidRPr="00336A68">
        <w:rPr>
          <w:rFonts w:ascii="Times New Roman" w:eastAsia="Times New Roman" w:hAnsi="Times New Roman" w:cs="Times New Roman"/>
          <w:color w:val="1F1F1F"/>
          <w:kern w:val="0"/>
          <w:sz w:val="24"/>
          <w:szCs w:val="24"/>
          <w:lang w:eastAsia="en-IN" w:bidi="hi-IN"/>
          <w14:ligatures w14:val="none"/>
        </w:rPr>
        <w:lastRenderedPageBreak/>
        <w:t xml:space="preserve">2003). Furthermore, pre-harvest feeding by insect pests, such as various species of </w:t>
      </w:r>
      <w:proofErr w:type="spellStart"/>
      <w:r w:rsidRPr="00336A68">
        <w:rPr>
          <w:rFonts w:ascii="Times New Roman" w:eastAsia="Times New Roman" w:hAnsi="Times New Roman" w:cs="Times New Roman"/>
          <w:color w:val="1F1F1F"/>
          <w:kern w:val="0"/>
          <w:sz w:val="24"/>
          <w:szCs w:val="24"/>
          <w:lang w:eastAsia="en-IN" w:bidi="hi-IN"/>
          <w14:ligatures w14:val="none"/>
        </w:rPr>
        <w:t>thrips</w:t>
      </w:r>
      <w:proofErr w:type="spellEnd"/>
      <w:r w:rsidRPr="00336A68">
        <w:rPr>
          <w:rFonts w:ascii="Times New Roman" w:eastAsia="Times New Roman" w:hAnsi="Times New Roman" w:cs="Times New Roman"/>
          <w:color w:val="1F1F1F"/>
          <w:kern w:val="0"/>
          <w:sz w:val="24"/>
          <w:szCs w:val="24"/>
          <w:lang w:eastAsia="en-IN" w:bidi="hi-IN"/>
          <w14:ligatures w14:val="none"/>
        </w:rPr>
        <w:t xml:space="preserve"> and fruit scarring beetles (</w:t>
      </w:r>
      <w:proofErr w:type="spellStart"/>
      <w:r w:rsidRPr="00336A68">
        <w:rPr>
          <w:rFonts w:ascii="Times New Roman" w:eastAsia="Times New Roman" w:hAnsi="Times New Roman" w:cs="Times New Roman"/>
          <w:i/>
          <w:iCs/>
          <w:color w:val="1F1F1F"/>
          <w:kern w:val="0"/>
          <w:sz w:val="24"/>
          <w:szCs w:val="24"/>
          <w:lang w:eastAsia="en-IN" w:bidi="hi-IN"/>
          <w14:ligatures w14:val="none"/>
        </w:rPr>
        <w:t>Colaspis</w:t>
      </w:r>
      <w:proofErr w:type="spellEnd"/>
      <w:r w:rsidRPr="00336A68">
        <w:rPr>
          <w:rFonts w:ascii="Times New Roman" w:eastAsia="Times New Roman" w:hAnsi="Times New Roman" w:cs="Times New Roman"/>
          <w:i/>
          <w:iCs/>
          <w:color w:val="1F1F1F"/>
          <w:kern w:val="0"/>
          <w:sz w:val="24"/>
          <w:szCs w:val="24"/>
          <w:lang w:eastAsia="en-IN" w:bidi="hi-IN"/>
          <w14:ligatures w14:val="none"/>
        </w:rPr>
        <w:t xml:space="preserve"> </w:t>
      </w:r>
      <w:proofErr w:type="spellStart"/>
      <w:r w:rsidRPr="00336A68">
        <w:rPr>
          <w:rFonts w:ascii="Times New Roman" w:eastAsia="Times New Roman" w:hAnsi="Times New Roman" w:cs="Times New Roman"/>
          <w:i/>
          <w:iCs/>
          <w:color w:val="1F1F1F"/>
          <w:kern w:val="0"/>
          <w:sz w:val="24"/>
          <w:szCs w:val="24"/>
          <w:lang w:eastAsia="en-IN" w:bidi="hi-IN"/>
          <w14:ligatures w14:val="none"/>
        </w:rPr>
        <w:t>hypochlora</w:t>
      </w:r>
      <w:proofErr w:type="spellEnd"/>
      <w:r w:rsidRPr="00336A68">
        <w:rPr>
          <w:rFonts w:ascii="Times New Roman" w:eastAsia="Times New Roman" w:hAnsi="Times New Roman" w:cs="Times New Roman"/>
          <w:color w:val="1F1F1F"/>
          <w:kern w:val="0"/>
          <w:sz w:val="24"/>
          <w:szCs w:val="24"/>
          <w:lang w:eastAsia="en-IN" w:bidi="hi-IN"/>
          <w14:ligatures w14:val="none"/>
        </w:rPr>
        <w:t xml:space="preserve">), as well as damage from birds and bats, are primarily responsible for severe peel degradation. These factors lead to a significant downgrade in fruit quality, ultimately resulting in severe economic losses for the cultivator in both domestic and export markets where quality standards are strict. </w:t>
      </w:r>
    </w:p>
    <w:p w14:paraId="40AD2C1F" w14:textId="40D96AE6"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To mitigate these challenges, the physical protection of the developing fruit bunch is required. Bunch skirting</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the practice of covering the banana bunch with specialized polyethylene or woven bags shortly after the emergence of the last hand</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has been recognized as a highly effective micro</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 xml:space="preserve">climate engineering technique. The skirting bag serves a dual purpose. First, it acts as a mechanical barrier against insect vectors, bird feeding, dust, light hail, and mechanical abrasions caused by adjacent leaves, while also preventing agrochemical residues from settling directly on the fruit. Second, it creates a favourable microenvironment around the developing fruit (Fan and </w:t>
      </w:r>
      <w:proofErr w:type="spellStart"/>
      <w:r w:rsidRPr="00336A68">
        <w:rPr>
          <w:rFonts w:ascii="Times New Roman" w:eastAsia="Times New Roman" w:hAnsi="Times New Roman" w:cs="Times New Roman"/>
          <w:color w:val="1F1F1F"/>
          <w:kern w:val="0"/>
          <w:sz w:val="24"/>
          <w:szCs w:val="24"/>
          <w:lang w:eastAsia="en-IN" w:bidi="hi-IN"/>
          <w14:ligatures w14:val="none"/>
        </w:rPr>
        <w:t>Mattheis</w:t>
      </w:r>
      <w:proofErr w:type="spellEnd"/>
      <w:r w:rsidRPr="00336A68">
        <w:rPr>
          <w:rFonts w:ascii="Times New Roman" w:eastAsia="Times New Roman" w:hAnsi="Times New Roman" w:cs="Times New Roman"/>
          <w:color w:val="1F1F1F"/>
          <w:kern w:val="0"/>
          <w:sz w:val="24"/>
          <w:szCs w:val="24"/>
          <w:lang w:eastAsia="en-IN" w:bidi="hi-IN"/>
          <w14:ligatures w14:val="none"/>
        </w:rPr>
        <w:t>, 1998). The modified internal atmosphere, characterized by retained humidity and elevated temperatures</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which can increase on average by 0.5°C (</w:t>
      </w:r>
      <w:proofErr w:type="spellStart"/>
      <w:r w:rsidRPr="00336A68">
        <w:rPr>
          <w:rFonts w:ascii="Times New Roman" w:eastAsia="Times New Roman" w:hAnsi="Times New Roman" w:cs="Times New Roman"/>
          <w:color w:val="1F1F1F"/>
          <w:kern w:val="0"/>
          <w:sz w:val="24"/>
          <w:szCs w:val="24"/>
          <w:lang w:eastAsia="en-IN" w:bidi="hi-IN"/>
          <w14:ligatures w14:val="none"/>
        </w:rPr>
        <w:t>Ganry</w:t>
      </w:r>
      <w:proofErr w:type="spellEnd"/>
      <w:r w:rsidRPr="00336A68">
        <w:rPr>
          <w:rFonts w:ascii="Times New Roman" w:eastAsia="Times New Roman" w:hAnsi="Times New Roman" w:cs="Times New Roman"/>
          <w:color w:val="1F1F1F"/>
          <w:kern w:val="0"/>
          <w:sz w:val="24"/>
          <w:szCs w:val="24"/>
          <w:lang w:eastAsia="en-IN" w:bidi="hi-IN"/>
          <w14:ligatures w14:val="none"/>
        </w:rPr>
        <w:t>, 1975) and up to 7°C during the warmest hours (Soto, 2010)</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 xml:space="preserve">accelerates physiological development. This leads to an increase in fruit girth, length, and overall bunch weight, and can reduce the flower-to-harvest interval by 4 to 14 days. Furthermore, covers protect the fruit from winter chilling and temperatures below 12°C to 13°C, which otherwise cause unacceptable under-peel discolouration (Hailu et al., 2013; Snowden, 2010). By adopting this physical protection technique, more emphasis is placed on reducing the use of chemical pesticides, thereby ensuring worker safety and environmental protection (Sharma et al., 2009). </w:t>
      </w:r>
    </w:p>
    <w:p w14:paraId="4E82769B"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 xml:space="preserve">Despite the proven physiological benefits of bunch skirting in controlled research environments, widespread adoption among small and marginal farmers remains sluggish. This delayed adoption is primarily attributed to the initial capital investment required for the bags and the intensive labour associated with their application. While modern innovations like UV-stabilized polypropylene spun-bond non-woven fabrics allow for better air and moisture circulation, the upfront cost is still a barrier. Farmers inherently operate in a risk-averse framework; without localized, visible proof of financial returns, theoretical yield increases are insufficient drivers for behavioural change. </w:t>
      </w:r>
    </w:p>
    <w:p w14:paraId="7E0CEDE0" w14:textId="6554860C"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Consequently, agricultural extension systems utilize Field Level Demonstrations (FLDs) to bridge the technology transfer gap. FLDs are not merely experimental trials; they are participatory, on-farm educational tools designed to demonstrate the techno-economic viability of a new practice alongside traditional methods. Because bunch covering is laborious, its benefit-cost ratio must be rigorously investigated and proven in the field to promote the widespread adoption of the method</w:t>
      </w:r>
      <w:r w:rsidR="00FA064C">
        <w:rPr>
          <w:rFonts w:ascii="Times New Roman" w:eastAsia="Times New Roman" w:hAnsi="Times New Roman" w:cs="Times New Roman"/>
          <w:color w:val="1F1F1F"/>
          <w:kern w:val="0"/>
          <w:sz w:val="24"/>
          <w:szCs w:val="24"/>
          <w:lang w:eastAsia="en-IN" w:bidi="hi-IN"/>
          <w14:ligatures w14:val="none"/>
        </w:rPr>
        <w:t xml:space="preserve"> (</w:t>
      </w:r>
      <w:proofErr w:type="spellStart"/>
      <w:r w:rsidR="00FA064C" w:rsidRPr="00FA064C">
        <w:rPr>
          <w:rFonts w:ascii="Times New Roman" w:eastAsia="Times New Roman" w:hAnsi="Times New Roman" w:cs="Times New Roman"/>
          <w:color w:val="1F1F1F"/>
          <w:kern w:val="0"/>
          <w:sz w:val="24"/>
          <w:szCs w:val="24"/>
          <w:lang w:eastAsia="en-IN" w:bidi="hi-IN"/>
          <w14:ligatures w14:val="none"/>
        </w:rPr>
        <w:t>Thakare</w:t>
      </w:r>
      <w:proofErr w:type="spellEnd"/>
      <w:r w:rsidR="00FA064C">
        <w:rPr>
          <w:rFonts w:ascii="Times New Roman" w:eastAsia="Times New Roman" w:hAnsi="Times New Roman" w:cs="Times New Roman"/>
          <w:color w:val="1F1F1F"/>
          <w:kern w:val="0"/>
          <w:sz w:val="24"/>
          <w:szCs w:val="24"/>
          <w:lang w:eastAsia="en-IN" w:bidi="hi-IN"/>
          <w14:ligatures w14:val="none"/>
        </w:rPr>
        <w:t xml:space="preserve"> U.G and</w:t>
      </w:r>
      <w:r w:rsidR="00FA064C" w:rsidRPr="00FA064C">
        <w:rPr>
          <w:rFonts w:ascii="Times New Roman" w:eastAsia="Times New Roman" w:hAnsi="Times New Roman" w:cs="Times New Roman"/>
          <w:color w:val="1F1F1F"/>
          <w:kern w:val="0"/>
          <w:sz w:val="24"/>
          <w:szCs w:val="24"/>
          <w:lang w:eastAsia="en-IN" w:bidi="hi-IN"/>
          <w14:ligatures w14:val="none"/>
        </w:rPr>
        <w:t xml:space="preserve"> Ingle, P. O.</w:t>
      </w:r>
      <w:r w:rsidR="00FA064C">
        <w:rPr>
          <w:rFonts w:ascii="Times New Roman" w:eastAsia="Times New Roman" w:hAnsi="Times New Roman" w:cs="Times New Roman"/>
          <w:color w:val="1F1F1F"/>
          <w:kern w:val="0"/>
          <w:sz w:val="24"/>
          <w:szCs w:val="24"/>
          <w:lang w:eastAsia="en-IN" w:bidi="hi-IN"/>
          <w14:ligatures w14:val="none"/>
        </w:rPr>
        <w:t>,</w:t>
      </w:r>
      <w:r w:rsidR="00FA064C" w:rsidRPr="00FA064C">
        <w:rPr>
          <w:rFonts w:ascii="Times New Roman" w:eastAsia="Times New Roman" w:hAnsi="Times New Roman" w:cs="Times New Roman"/>
          <w:color w:val="1F1F1F"/>
          <w:kern w:val="0"/>
          <w:sz w:val="24"/>
          <w:szCs w:val="24"/>
          <w:lang w:eastAsia="en-IN" w:bidi="hi-IN"/>
          <w14:ligatures w14:val="none"/>
        </w:rPr>
        <w:t>2007</w:t>
      </w:r>
      <w:r w:rsidR="00D07CD2">
        <w:rPr>
          <w:rFonts w:ascii="Times New Roman" w:eastAsia="Times New Roman" w:hAnsi="Times New Roman" w:cs="Times New Roman"/>
          <w:color w:val="1F1F1F"/>
          <w:kern w:val="0"/>
          <w:sz w:val="24"/>
          <w:szCs w:val="24"/>
          <w:lang w:eastAsia="en-IN" w:bidi="hi-IN"/>
          <w14:ligatures w14:val="none"/>
        </w:rPr>
        <w:t>; U G Thakare.,2025)</w:t>
      </w:r>
    </w:p>
    <w:p w14:paraId="510E94D9"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This paper presents a comprehensive, three-year longitudinal study evaluating the impact of banana bunch skirting through FLDs. The study is uniquely structured to analyse the intervention through three distinct lenses:</w:t>
      </w:r>
    </w:p>
    <w:p w14:paraId="37712705"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Agronomic Impact:</w:t>
      </w:r>
      <w:r w:rsidRPr="00336A68">
        <w:rPr>
          <w:rFonts w:ascii="Times New Roman" w:eastAsia="Times New Roman" w:hAnsi="Times New Roman" w:cs="Times New Roman"/>
          <w:color w:val="1F1F1F"/>
          <w:kern w:val="0"/>
          <w:sz w:val="24"/>
          <w:szCs w:val="24"/>
          <w:lang w:eastAsia="en-IN" w:bidi="hi-IN"/>
          <w14:ligatures w14:val="none"/>
        </w:rPr>
        <w:t xml:space="preserve"> Quantifying the physical improvements in fruit girth and crop yield.</w:t>
      </w:r>
    </w:p>
    <w:p w14:paraId="0AF2AAA9"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Techno-Economic Feasibility:</w:t>
      </w:r>
      <w:r w:rsidRPr="00336A68">
        <w:rPr>
          <w:rFonts w:ascii="Times New Roman" w:eastAsia="Times New Roman" w:hAnsi="Times New Roman" w:cs="Times New Roman"/>
          <w:color w:val="1F1F1F"/>
          <w:kern w:val="0"/>
          <w:sz w:val="24"/>
          <w:szCs w:val="24"/>
          <w:lang w:eastAsia="en-IN" w:bidi="hi-IN"/>
          <w14:ligatures w14:val="none"/>
        </w:rPr>
        <w:t xml:space="preserve"> Assessing the cost-effectiveness, net profitability, and return on investment.</w:t>
      </w:r>
    </w:p>
    <w:p w14:paraId="1A89BF95"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Extension Efficacy:</w:t>
      </w:r>
      <w:r w:rsidRPr="00336A68">
        <w:rPr>
          <w:rFonts w:ascii="Times New Roman" w:eastAsia="Times New Roman" w:hAnsi="Times New Roman" w:cs="Times New Roman"/>
          <w:color w:val="1F1F1F"/>
          <w:kern w:val="0"/>
          <w:sz w:val="24"/>
          <w:szCs w:val="24"/>
          <w:lang w:eastAsia="en-IN" w:bidi="hi-IN"/>
          <w14:ligatures w14:val="none"/>
        </w:rPr>
        <w:t xml:space="preserve"> Analysing the consistency of results across different farmers to evaluate the technology's scalability and risk-mitigation potential.</w:t>
      </w:r>
    </w:p>
    <w:p w14:paraId="77E6ADBD" w14:textId="59E9C17E"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p>
    <w:p w14:paraId="67A430E1" w14:textId="77777777"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2. Materials and Methods</w:t>
      </w:r>
    </w:p>
    <w:p w14:paraId="20F42672"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lastRenderedPageBreak/>
        <w:t>2.1 Study Area and Site Selection</w:t>
      </w:r>
    </w:p>
    <w:p w14:paraId="51739CCF" w14:textId="678E99A9"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study was conducted over three consecutive agricultural years: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2023</w:t>
      </w:r>
      <w:r w:rsidRPr="007F099A">
        <w:rPr>
          <w:rFonts w:ascii="Times New Roman" w:eastAsia="Times New Roman" w:hAnsi="Times New Roman" w:cs="Times New Roman"/>
          <w:color w:val="1F1F1F"/>
          <w:kern w:val="0"/>
          <w:sz w:val="24"/>
          <w:szCs w:val="24"/>
          <w:lang w:eastAsia="en-IN" w:bidi="hi-IN"/>
          <w14:ligatures w14:val="none"/>
        </w:rPr>
        <w:t>, 20</w:t>
      </w:r>
      <w:r w:rsidR="007F099A">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and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To ensure the robustness of the data and eliminate bias from highly localized soil or micro-climatic anomalies, the demonstrations were distributed across multiple villages, including </w:t>
      </w:r>
      <w:proofErr w:type="spellStart"/>
      <w:r w:rsidRPr="007F099A">
        <w:rPr>
          <w:rFonts w:ascii="Times New Roman" w:eastAsia="Times New Roman" w:hAnsi="Times New Roman" w:cs="Times New Roman"/>
          <w:color w:val="1F1F1F"/>
          <w:kern w:val="0"/>
          <w:sz w:val="24"/>
          <w:szCs w:val="24"/>
          <w:lang w:eastAsia="en-IN" w:bidi="hi-IN"/>
          <w14:ligatures w14:val="none"/>
        </w:rPr>
        <w:t>Dongargaon</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Masa, </w:t>
      </w:r>
      <w:proofErr w:type="spellStart"/>
      <w:r w:rsidRPr="007F099A">
        <w:rPr>
          <w:rFonts w:ascii="Times New Roman" w:eastAsia="Times New Roman" w:hAnsi="Times New Roman" w:cs="Times New Roman"/>
          <w:color w:val="1F1F1F"/>
          <w:kern w:val="0"/>
          <w:sz w:val="24"/>
          <w:szCs w:val="24"/>
          <w:lang w:eastAsia="en-IN" w:bidi="hi-IN"/>
          <w14:ligatures w14:val="none"/>
        </w:rPr>
        <w:t>Akoli</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Bochara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Rajura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Hiwarkhed</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Gordha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and </w:t>
      </w:r>
      <w:proofErr w:type="spellStart"/>
      <w:r w:rsidRPr="007F099A">
        <w:rPr>
          <w:rFonts w:ascii="Times New Roman" w:eastAsia="Times New Roman" w:hAnsi="Times New Roman" w:cs="Times New Roman"/>
          <w:color w:val="1F1F1F"/>
          <w:kern w:val="0"/>
          <w:sz w:val="24"/>
          <w:szCs w:val="24"/>
          <w:lang w:eastAsia="en-IN" w:bidi="hi-IN"/>
          <w14:ligatures w14:val="none"/>
        </w:rPr>
        <w:t>Ruikhed</w:t>
      </w:r>
      <w:proofErr w:type="spellEnd"/>
      <w:r w:rsidRPr="007F099A">
        <w:rPr>
          <w:rFonts w:ascii="Times New Roman" w:eastAsia="Times New Roman" w:hAnsi="Times New Roman" w:cs="Times New Roman"/>
          <w:color w:val="1F1F1F"/>
          <w:kern w:val="0"/>
          <w:sz w:val="24"/>
          <w:szCs w:val="24"/>
          <w:lang w:eastAsia="en-IN" w:bidi="hi-IN"/>
          <w14:ligatures w14:val="none"/>
        </w:rPr>
        <w:t>. A total of 39 progressive farmers (13 farmers per academic year) were selected purposively based on their willingness to participate, active engagement in banana cultivation, and ability to maintain meticulous field records.</w:t>
      </w:r>
    </w:p>
    <w:p w14:paraId="5B539048"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2.2 Experimental Design</w:t>
      </w:r>
    </w:p>
    <w:p w14:paraId="2FD30741" w14:textId="62D78393"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 xml:space="preserve">The </w:t>
      </w:r>
      <w:r w:rsidR="009665B2" w:rsidRPr="007F099A">
        <w:rPr>
          <w:rFonts w:ascii="Times New Roman" w:eastAsia="Times New Roman" w:hAnsi="Times New Roman" w:cs="Times New Roman"/>
          <w:color w:val="1F1F1F"/>
          <w:kern w:val="0"/>
          <w:sz w:val="24"/>
          <w:szCs w:val="24"/>
          <w:lang w:eastAsia="en-IN" w:bidi="hi-IN"/>
          <w14:ligatures w14:val="none"/>
        </w:rPr>
        <w:t>Front-Line</w:t>
      </w:r>
      <w:r w:rsidRPr="007F099A">
        <w:rPr>
          <w:rFonts w:ascii="Times New Roman" w:eastAsia="Times New Roman" w:hAnsi="Times New Roman" w:cs="Times New Roman"/>
          <w:color w:val="1F1F1F"/>
          <w:kern w:val="0"/>
          <w:sz w:val="24"/>
          <w:szCs w:val="24"/>
          <w:lang w:eastAsia="en-IN" w:bidi="hi-IN"/>
          <w14:ligatures w14:val="none"/>
        </w:rPr>
        <w:t xml:space="preserve"> Demonstrations were laid out in the farmers' fields, dividing the cultivation area into two distinct treatment blocks to facilitate direct comparison:</w:t>
      </w:r>
    </w:p>
    <w:p w14:paraId="4DCA0E12" w14:textId="77777777" w:rsidR="00ED30DA" w:rsidRPr="007F099A" w:rsidRDefault="00ED30DA" w:rsidP="007F099A">
      <w:pPr>
        <w:numPr>
          <w:ilvl w:val="0"/>
          <w:numId w:val="2"/>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T1 (Control Group):</w:t>
      </w:r>
      <w:r w:rsidRPr="007F099A">
        <w:rPr>
          <w:rFonts w:ascii="Times New Roman" w:eastAsia="Times New Roman" w:hAnsi="Times New Roman" w:cs="Times New Roman"/>
          <w:color w:val="1F1F1F"/>
          <w:kern w:val="0"/>
          <w:sz w:val="24"/>
          <w:szCs w:val="24"/>
          <w:lang w:eastAsia="en-IN" w:bidi="hi-IN"/>
          <w14:ligatures w14:val="none"/>
        </w:rPr>
        <w:t xml:space="preserve"> Cultivation based on prevailing traditional farmer practices, which notably excluded the use of any physical bunch protection or skirting.</w:t>
      </w:r>
    </w:p>
    <w:p w14:paraId="5B8AB0FD" w14:textId="77777777" w:rsidR="00ED30DA" w:rsidRPr="007F099A" w:rsidRDefault="00ED30DA" w:rsidP="007F099A">
      <w:pPr>
        <w:numPr>
          <w:ilvl w:val="0"/>
          <w:numId w:val="2"/>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T2 (Demonstration Group):</w:t>
      </w:r>
      <w:r w:rsidRPr="007F099A">
        <w:rPr>
          <w:rFonts w:ascii="Times New Roman" w:eastAsia="Times New Roman" w:hAnsi="Times New Roman" w:cs="Times New Roman"/>
          <w:color w:val="1F1F1F"/>
          <w:kern w:val="0"/>
          <w:sz w:val="24"/>
          <w:szCs w:val="24"/>
          <w:lang w:eastAsia="en-IN" w:bidi="hi-IN"/>
          <w14:ligatures w14:val="none"/>
        </w:rPr>
        <w:t xml:space="preserve"> Cultivation incorporating the recommended technology of bunch skirting bags. The bags were applied uniformly after the complete emergence of the bunch and the removal of the male bud (</w:t>
      </w:r>
      <w:proofErr w:type="spellStart"/>
      <w:r w:rsidRPr="007F099A">
        <w:rPr>
          <w:rFonts w:ascii="Times New Roman" w:eastAsia="Times New Roman" w:hAnsi="Times New Roman" w:cs="Times New Roman"/>
          <w:color w:val="1F1F1F"/>
          <w:kern w:val="0"/>
          <w:sz w:val="24"/>
          <w:szCs w:val="24"/>
          <w:lang w:eastAsia="en-IN" w:bidi="hi-IN"/>
          <w14:ligatures w14:val="none"/>
        </w:rPr>
        <w:t>denavelling</w:t>
      </w:r>
      <w:proofErr w:type="spellEnd"/>
      <w:r w:rsidRPr="007F099A">
        <w:rPr>
          <w:rFonts w:ascii="Times New Roman" w:eastAsia="Times New Roman" w:hAnsi="Times New Roman" w:cs="Times New Roman"/>
          <w:color w:val="1F1F1F"/>
          <w:kern w:val="0"/>
          <w:sz w:val="24"/>
          <w:szCs w:val="24"/>
          <w:lang w:eastAsia="en-IN" w:bidi="hi-IN"/>
          <w14:ligatures w14:val="none"/>
        </w:rPr>
        <w:t>).</w:t>
      </w:r>
    </w:p>
    <w:p w14:paraId="72B4BBB0"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To maintain statistical integrity, the plant population was strictly standardized at 3,630 plants per hectare across all demonstration and control plots. The cost of the skirting bags was calculated at Rs. 15 per unit, resulting in a fixed additional expenditure of Rs. 54,450 per hectare for the T2 plots.</w:t>
      </w:r>
    </w:p>
    <w:p w14:paraId="1A9150B7"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2.3 Data Collection and Statistical Analysis</w:t>
      </w:r>
    </w:p>
    <w:p w14:paraId="53D24709"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Quantitative field data was recorded meticulously at the time of harvest.</w:t>
      </w:r>
    </w:p>
    <w:p w14:paraId="44FBF3D8" w14:textId="77777777" w:rsidR="00ED30DA" w:rsidRPr="007F099A" w:rsidRDefault="00ED30DA" w:rsidP="007F099A">
      <w:pPr>
        <w:numPr>
          <w:ilvl w:val="0"/>
          <w:numId w:val="3"/>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Agronomic Parameters:</w:t>
      </w:r>
      <w:r w:rsidRPr="007F099A">
        <w:rPr>
          <w:rFonts w:ascii="Times New Roman" w:eastAsia="Times New Roman" w:hAnsi="Times New Roman" w:cs="Times New Roman"/>
          <w:color w:val="1F1F1F"/>
          <w:kern w:val="0"/>
          <w:sz w:val="24"/>
          <w:szCs w:val="24"/>
          <w:lang w:eastAsia="en-IN" w:bidi="hi-IN"/>
          <w14:ligatures w14:val="none"/>
        </w:rPr>
        <w:t xml:space="preserve"> The primary physical metrics recorded were the average girth of the fruits (measured in </w:t>
      </w:r>
      <w:proofErr w:type="spellStart"/>
      <w:r w:rsidRPr="007F099A">
        <w:rPr>
          <w:rFonts w:ascii="Times New Roman" w:eastAsia="Times New Roman" w:hAnsi="Times New Roman" w:cs="Times New Roman"/>
          <w:color w:val="1F1F1F"/>
          <w:kern w:val="0"/>
          <w:sz w:val="24"/>
          <w:szCs w:val="24"/>
          <w:lang w:eastAsia="en-IN" w:bidi="hi-IN"/>
          <w14:ligatures w14:val="none"/>
        </w:rPr>
        <w:t>centimeters</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at the middle finger of the second hand) and the total yield. Yield was calculated both on a per-plant basis (kg) and aggregated to a per-hectare basis (quintals).</w:t>
      </w:r>
    </w:p>
    <w:p w14:paraId="10C67B91" w14:textId="77777777" w:rsidR="00ED30DA" w:rsidRPr="007F099A" w:rsidRDefault="00ED30DA" w:rsidP="007F099A">
      <w:pPr>
        <w:numPr>
          <w:ilvl w:val="0"/>
          <w:numId w:val="3"/>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Economic Parameters:</w:t>
      </w:r>
      <w:r w:rsidRPr="007F099A">
        <w:rPr>
          <w:rFonts w:ascii="Times New Roman" w:eastAsia="Times New Roman" w:hAnsi="Times New Roman" w:cs="Times New Roman"/>
          <w:color w:val="1F1F1F"/>
          <w:kern w:val="0"/>
          <w:sz w:val="24"/>
          <w:szCs w:val="24"/>
          <w:lang w:eastAsia="en-IN" w:bidi="hi-IN"/>
          <w14:ligatures w14:val="none"/>
        </w:rPr>
        <w:t xml:space="preserve"> Detailed ledgers of the cost of cultivation (expenditure per hectare) were maintained. Upon market sale, the gross income was recorded. From these figures, the Net Income and the Benefit-Cost (B:C) ratio were derived.</w:t>
      </w:r>
    </w:p>
    <w:p w14:paraId="297F11D7"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Furthermore, to isolate the specific financial efficacy of the skirting bags, the Incremental Cost-Benefit Ratio (ICBR) was calculated using the following formula:</w:t>
      </w:r>
    </w:p>
    <w:p w14:paraId="13567708" w14:textId="49BAF215"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m:oMathPara>
        <m:oMath>
          <m:r>
            <w:rPr>
              <w:rFonts w:ascii="Cambria Math" w:eastAsia="Times New Roman" w:hAnsi="Cambria Math" w:cs="Times New Roman"/>
              <w:color w:val="1F1F1F"/>
              <w:kern w:val="0"/>
              <w:sz w:val="24"/>
              <w:szCs w:val="24"/>
              <w:lang w:eastAsia="en-IN" w:bidi="hi-IN"/>
              <w14:ligatures w14:val="none"/>
            </w:rPr>
            <m:t>ICBR=</m:t>
          </m:r>
          <m:f>
            <m:fPr>
              <m:ctrlPr>
                <w:rPr>
                  <w:rFonts w:ascii="Cambria Math" w:eastAsia="Times New Roman" w:hAnsi="Cambria Math" w:cs="Times New Roman"/>
                  <w:color w:val="1F1F1F"/>
                  <w:kern w:val="0"/>
                  <w:sz w:val="24"/>
                  <w:szCs w:val="24"/>
                  <w:lang w:eastAsia="en-IN" w:bidi="hi-IN"/>
                  <w14:ligatures w14:val="none"/>
                </w:rPr>
              </m:ctrlPr>
            </m:fPr>
            <m:num>
              <m:r>
                <w:rPr>
                  <w:rFonts w:ascii="Cambria Math" w:eastAsia="Times New Roman" w:hAnsi="Cambria Math" w:cs="Times New Roman"/>
                  <w:color w:val="1F1F1F"/>
                  <w:kern w:val="0"/>
                  <w:sz w:val="24"/>
                  <w:szCs w:val="24"/>
                  <w:lang w:eastAsia="en-IN" w:bidi="hi-IN"/>
                  <w14:ligatures w14:val="none"/>
                </w:rPr>
                <m:t>Expenditure</m:t>
              </m:r>
              <m:r>
                <w:rPr>
                  <w:rFonts w:ascii="Cambria Math" w:eastAsia="Times New Roman" w:hAnsi="Cambria Math" w:cs="Times New Roman"/>
                  <w:color w:val="1F1F1F"/>
                  <w:kern w:val="0"/>
                  <w:sz w:val="24"/>
                  <w:szCs w:val="24"/>
                  <w:vertAlign w:val="subscript"/>
                  <w:lang w:eastAsia="en-IN" w:bidi="hi-IN"/>
                  <w14:ligatures w14:val="none"/>
                </w:rPr>
                <m:t>T2</m:t>
              </m:r>
              <m:r>
                <w:rPr>
                  <w:rFonts w:ascii="Cambria Math" w:eastAsia="Times New Roman" w:hAnsi="Cambria Math" w:cs="Times New Roman"/>
                  <w:color w:val="1F1F1F"/>
                  <w:kern w:val="0"/>
                  <w:sz w:val="24"/>
                  <w:szCs w:val="24"/>
                  <w:lang w:eastAsia="en-IN" w:bidi="hi-IN"/>
                  <w14:ligatures w14:val="none"/>
                </w:rPr>
                <m:t>​-Expenditure</m:t>
              </m:r>
              <m:r>
                <w:rPr>
                  <w:rFonts w:ascii="Cambria Math" w:eastAsia="Times New Roman" w:hAnsi="Cambria Math" w:cs="Times New Roman"/>
                  <w:color w:val="1F1F1F"/>
                  <w:kern w:val="0"/>
                  <w:sz w:val="24"/>
                  <w:szCs w:val="24"/>
                  <w:vertAlign w:val="subscript"/>
                  <w:lang w:eastAsia="en-IN" w:bidi="hi-IN"/>
                  <w14:ligatures w14:val="none"/>
                </w:rPr>
                <m:t>T1</m:t>
              </m:r>
            </m:num>
            <m:den>
              <m:r>
                <m:rPr>
                  <m:sty m:val="p"/>
                </m:rPr>
                <w:rPr>
                  <w:rFonts w:ascii="Cambria Math" w:eastAsia="Times New Roman" w:hAnsi="Cambria Math" w:cs="Times New Roman"/>
                  <w:color w:val="1F1F1F"/>
                  <w:kern w:val="0"/>
                  <w:sz w:val="24"/>
                  <w:szCs w:val="24"/>
                  <w:lang w:eastAsia="en-IN" w:bidi="hi-IN"/>
                  <w14:ligatures w14:val="none"/>
                </w:rPr>
                <m:t>Gross Income</m:t>
              </m:r>
              <m:r>
                <m:rPr>
                  <m:sty m:val="p"/>
                </m:rPr>
                <w:rPr>
                  <w:rFonts w:ascii="Cambria Math" w:eastAsia="Times New Roman" w:hAnsi="Cambria Math" w:cs="Times New Roman"/>
                  <w:color w:val="1F1F1F"/>
                  <w:kern w:val="0"/>
                  <w:sz w:val="24"/>
                  <w:szCs w:val="24"/>
                  <w:vertAlign w:val="subscript"/>
                  <w:lang w:eastAsia="en-IN" w:bidi="hi-IN"/>
                  <w14:ligatures w14:val="none"/>
                </w:rPr>
                <m:t>T2</m:t>
              </m:r>
              <m:r>
                <m:rPr>
                  <m:sty m:val="p"/>
                </m:rPr>
                <w:rPr>
                  <w:rFonts w:ascii="Cambria Math" w:eastAsia="Times New Roman" w:hAnsi="Cambria Math" w:cs="Times New Roman"/>
                  <w:color w:val="1F1F1F"/>
                  <w:kern w:val="0"/>
                  <w:sz w:val="24"/>
                  <w:szCs w:val="24"/>
                  <w:lang w:eastAsia="en-IN" w:bidi="hi-IN"/>
                  <w14:ligatures w14:val="none"/>
                </w:rPr>
                <m:t>​-Gross Income</m:t>
              </m:r>
              <m:r>
                <m:rPr>
                  <m:sty m:val="p"/>
                </m:rPr>
                <w:rPr>
                  <w:rFonts w:ascii="Cambria Math" w:eastAsia="Times New Roman" w:hAnsi="Cambria Math" w:cs="Times New Roman"/>
                  <w:color w:val="1F1F1F"/>
                  <w:kern w:val="0"/>
                  <w:sz w:val="24"/>
                  <w:szCs w:val="24"/>
                  <w:vertAlign w:val="subscript"/>
                  <w:lang w:eastAsia="en-IN" w:bidi="hi-IN"/>
                  <w14:ligatures w14:val="none"/>
                </w:rPr>
                <m:t>T1</m:t>
              </m:r>
              <m:r>
                <m:rPr>
                  <m:sty m:val="p"/>
                </m:rPr>
                <w:rPr>
                  <w:rFonts w:ascii="Cambria Math" w:eastAsia="Times New Roman" w:hAnsi="Cambria Math" w:cs="Times New Roman"/>
                  <w:color w:val="1F1F1F"/>
                  <w:kern w:val="0"/>
                  <w:sz w:val="24"/>
                  <w:szCs w:val="24"/>
                  <w:lang w:eastAsia="en-IN" w:bidi="hi-IN"/>
                  <w14:ligatures w14:val="none"/>
                </w:rPr>
                <m:t>​​</m:t>
              </m:r>
            </m:den>
          </m:f>
        </m:oMath>
      </m:oMathPara>
    </w:p>
    <w:p w14:paraId="6A27F402" w14:textId="77777777" w:rsidR="002D29FF" w:rsidRDefault="002D29FF"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5D90F6BE" w14:textId="10A6CD8A"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3. Results and Discussion</w:t>
      </w:r>
    </w:p>
    <w:p w14:paraId="1D56C3D2"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findings of the three-year study are categorized into three distinct analytical approaches to fully comprehend the impact of the FLDs.</w:t>
      </w:r>
    </w:p>
    <w:p w14:paraId="24A31F3D"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3.1 Approach 1: Agronomic and Quality Enhancements</w:t>
      </w:r>
    </w:p>
    <w:p w14:paraId="20F239BC"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primary biological objective of bunch skirting is to optimize the physiological development of the fruit. The data collected over the three years demonstrates a decisive and consistent agronomic advantage in the plots utilizing skirting bags (T2) compared to the traditional farmer practices (T1).</w:t>
      </w:r>
    </w:p>
    <w:p w14:paraId="079D9B38" w14:textId="1C5B7401"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lastRenderedPageBreak/>
        <w:t>Table 1 summarizes the core agronomic outputs. The most immediate indicator of fruit quality for market grading is fruit girth. In the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season, the average fruit girth in the control plots was 9.50 cm. In the demonstration plots, the micro-climate modification provided by the bags increased the average girth to 12.50 cm</w:t>
      </w:r>
      <w:r w:rsidR="00D07CD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a substantial improvement that pushes the produce into a premium pricing tier. This trend was sustained in subsequent years, with the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data showing an increase from 11.03 cm to 12.69 cm, and the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data showing an increase from 10.76 cm to 12.92 cm.</w:t>
      </w:r>
    </w:p>
    <w:p w14:paraId="4458767B"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1: Agronomic Performance and Yield Metrics (Three-Year Average)</w:t>
      </w:r>
    </w:p>
    <w:p w14:paraId="13BBAE32" w14:textId="77777777" w:rsidR="007F099A" w:rsidRPr="007F099A" w:rsidRDefault="007F099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5"/>
        <w:tblW w:w="0" w:type="auto"/>
        <w:tblLook w:val="04A0" w:firstRow="1" w:lastRow="0" w:firstColumn="1" w:lastColumn="0" w:noHBand="0" w:noVBand="1"/>
      </w:tblPr>
      <w:tblGrid>
        <w:gridCol w:w="2822"/>
        <w:gridCol w:w="2376"/>
        <w:gridCol w:w="1016"/>
        <w:gridCol w:w="1016"/>
        <w:gridCol w:w="1016"/>
      </w:tblGrid>
      <w:tr w:rsidR="00ED30DA" w:rsidRPr="007F099A" w14:paraId="6B0A9308"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C61CEF"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Parameter</w:t>
            </w:r>
          </w:p>
        </w:tc>
        <w:tc>
          <w:tcPr>
            <w:tcW w:w="0" w:type="auto"/>
            <w:hideMark/>
          </w:tcPr>
          <w:p w14:paraId="1B50C4E8"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Treatment</w:t>
            </w:r>
          </w:p>
        </w:tc>
        <w:tc>
          <w:tcPr>
            <w:tcW w:w="0" w:type="auto"/>
            <w:hideMark/>
          </w:tcPr>
          <w:p w14:paraId="049EC815"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2015-16</w:t>
            </w:r>
          </w:p>
        </w:tc>
        <w:tc>
          <w:tcPr>
            <w:tcW w:w="0" w:type="auto"/>
            <w:hideMark/>
          </w:tcPr>
          <w:p w14:paraId="5A6E9243"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2016-17</w:t>
            </w:r>
          </w:p>
        </w:tc>
        <w:tc>
          <w:tcPr>
            <w:tcW w:w="0" w:type="auto"/>
            <w:hideMark/>
          </w:tcPr>
          <w:p w14:paraId="5EEDFCDD"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2017-18</w:t>
            </w:r>
          </w:p>
        </w:tc>
      </w:tr>
      <w:tr w:rsidR="00ED30DA" w:rsidRPr="007F099A" w14:paraId="0396257B"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B79790"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Average Fruit Girth (cm)</w:t>
            </w:r>
          </w:p>
        </w:tc>
        <w:tc>
          <w:tcPr>
            <w:tcW w:w="0" w:type="auto"/>
            <w:hideMark/>
          </w:tcPr>
          <w:p w14:paraId="113E3A5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B500873"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9.50</w:t>
            </w:r>
          </w:p>
        </w:tc>
        <w:tc>
          <w:tcPr>
            <w:tcW w:w="0" w:type="auto"/>
            <w:hideMark/>
          </w:tcPr>
          <w:p w14:paraId="6860E124"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11.03</w:t>
            </w:r>
          </w:p>
        </w:tc>
        <w:tc>
          <w:tcPr>
            <w:tcW w:w="0" w:type="auto"/>
            <w:hideMark/>
          </w:tcPr>
          <w:p w14:paraId="67AA193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10.76</w:t>
            </w:r>
          </w:p>
        </w:tc>
      </w:tr>
      <w:tr w:rsidR="00ED30DA" w:rsidRPr="007F099A" w14:paraId="0D10799F"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22892A3"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598E3E78"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40FF77D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12.50</w:t>
            </w:r>
          </w:p>
        </w:tc>
        <w:tc>
          <w:tcPr>
            <w:tcW w:w="0" w:type="auto"/>
            <w:hideMark/>
          </w:tcPr>
          <w:p w14:paraId="23A4F1F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12.69</w:t>
            </w:r>
          </w:p>
        </w:tc>
        <w:tc>
          <w:tcPr>
            <w:tcW w:w="0" w:type="auto"/>
            <w:hideMark/>
          </w:tcPr>
          <w:p w14:paraId="09E40E9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12.92</w:t>
            </w:r>
          </w:p>
        </w:tc>
      </w:tr>
      <w:tr w:rsidR="00ED30DA" w:rsidRPr="007F099A" w14:paraId="57849A0E"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C16762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14C02C4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Net Improvement (cm)</w:t>
            </w:r>
          </w:p>
        </w:tc>
        <w:tc>
          <w:tcPr>
            <w:tcW w:w="0" w:type="auto"/>
            <w:hideMark/>
          </w:tcPr>
          <w:p w14:paraId="2B70A0A0"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+3.00</w:t>
            </w:r>
          </w:p>
        </w:tc>
        <w:tc>
          <w:tcPr>
            <w:tcW w:w="0" w:type="auto"/>
            <w:hideMark/>
          </w:tcPr>
          <w:p w14:paraId="1ACEF05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+1.66</w:t>
            </w:r>
          </w:p>
        </w:tc>
        <w:tc>
          <w:tcPr>
            <w:tcW w:w="0" w:type="auto"/>
            <w:hideMark/>
          </w:tcPr>
          <w:p w14:paraId="0FE8229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+2.16</w:t>
            </w:r>
          </w:p>
        </w:tc>
      </w:tr>
      <w:tr w:rsidR="00ED30DA" w:rsidRPr="007F099A" w14:paraId="107E8479"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1516EDB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Average Yield per ha (q)</w:t>
            </w:r>
          </w:p>
        </w:tc>
        <w:tc>
          <w:tcPr>
            <w:tcW w:w="0" w:type="auto"/>
            <w:hideMark/>
          </w:tcPr>
          <w:p w14:paraId="2BA97AA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FD2A92A"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731.58</w:t>
            </w:r>
          </w:p>
        </w:tc>
        <w:tc>
          <w:tcPr>
            <w:tcW w:w="0" w:type="auto"/>
            <w:hideMark/>
          </w:tcPr>
          <w:p w14:paraId="6FB083F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745.54</w:t>
            </w:r>
          </w:p>
        </w:tc>
        <w:tc>
          <w:tcPr>
            <w:tcW w:w="0" w:type="auto"/>
            <w:hideMark/>
          </w:tcPr>
          <w:p w14:paraId="61C2FD5B"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737.37</w:t>
            </w:r>
          </w:p>
        </w:tc>
      </w:tr>
      <w:tr w:rsidR="00ED30DA" w:rsidRPr="007F099A" w14:paraId="5C88FA98"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ACC57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5F201FD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6E72BBD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827.91</w:t>
            </w:r>
          </w:p>
        </w:tc>
        <w:tc>
          <w:tcPr>
            <w:tcW w:w="0" w:type="auto"/>
            <w:hideMark/>
          </w:tcPr>
          <w:p w14:paraId="429C480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829.31</w:t>
            </w:r>
          </w:p>
        </w:tc>
        <w:tc>
          <w:tcPr>
            <w:tcW w:w="0" w:type="auto"/>
            <w:hideMark/>
          </w:tcPr>
          <w:p w14:paraId="0083D4D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844.73</w:t>
            </w:r>
          </w:p>
        </w:tc>
      </w:tr>
      <w:tr w:rsidR="00ED30DA" w:rsidRPr="007F099A" w14:paraId="4F526BD4"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0E0285C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11D38342"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Percentage Increase</w:t>
            </w:r>
          </w:p>
        </w:tc>
        <w:tc>
          <w:tcPr>
            <w:tcW w:w="0" w:type="auto"/>
            <w:hideMark/>
          </w:tcPr>
          <w:p w14:paraId="7A5F2B8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13.16%</w:t>
            </w:r>
          </w:p>
        </w:tc>
        <w:tc>
          <w:tcPr>
            <w:tcW w:w="0" w:type="auto"/>
            <w:hideMark/>
          </w:tcPr>
          <w:p w14:paraId="3015CED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11.23%</w:t>
            </w:r>
          </w:p>
        </w:tc>
        <w:tc>
          <w:tcPr>
            <w:tcW w:w="0" w:type="auto"/>
            <w:hideMark/>
          </w:tcPr>
          <w:p w14:paraId="4FAD884A"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14.56%</w:t>
            </w:r>
          </w:p>
        </w:tc>
      </w:tr>
    </w:tbl>
    <w:p w14:paraId="60B9F649"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27FF81E7" w14:textId="3683289E"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increase in physical dimensions directly translated into higher overall yields. The traditional practice yielded an average of 731.58 q/ha in the first year, whereas the skirting technology boosted this to 827.91 q/ha, representing a 13.16% yield increase. The physiological mechanism behind this is well-documented: the bags reduce the transpiration rate from the fruit surface, preventing moisture loss, while concurrently raising the ambient temperature around the bunch during cooler nights, which accelerates cellular expansion and starch accumulation.</w:t>
      </w:r>
    </w:p>
    <w:p w14:paraId="2EB3ACFF" w14:textId="1DA29C3D" w:rsidR="001F6997" w:rsidRPr="007F099A" w:rsidRDefault="001F6997"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1F6997">
        <w:rPr>
          <w:rFonts w:ascii="Times New Roman" w:eastAsia="Times New Roman" w:hAnsi="Times New Roman" w:cs="Times New Roman"/>
          <w:color w:val="1F1F1F"/>
          <w:kern w:val="0"/>
          <w:sz w:val="24"/>
          <w:szCs w:val="24"/>
          <w:lang w:eastAsia="en-IN" w:bidi="hi-IN"/>
          <w14:ligatures w14:val="none"/>
        </w:rPr>
        <w:t xml:space="preserve">Across all three years, the micro-climate modification provided by the bags substantially increased the average fruit girth and overall yield. This aligns with existing research by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Ruwanpathirana</w:t>
      </w:r>
      <w:proofErr w:type="spellEnd"/>
      <w:r w:rsidRPr="001F6997">
        <w:rPr>
          <w:rFonts w:ascii="Times New Roman" w:eastAsia="Times New Roman" w:hAnsi="Times New Roman" w:cs="Times New Roman"/>
          <w:color w:val="1F1F1F"/>
          <w:kern w:val="0"/>
          <w:sz w:val="24"/>
          <w:szCs w:val="24"/>
          <w:lang w:eastAsia="en-IN" w:bidi="hi-IN"/>
          <w14:ligatures w14:val="none"/>
        </w:rPr>
        <w:t xml:space="preserve"> (2002), which indicated that bunches developed in bunch covers are bigger, cleaner, more attractive, and maintain a dark green colour. Furthermore, fruits of bagged bunches show neither scratches nor blemishes, whereas those from uncovered bunches frequently suffer from physical injury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Ruwanpathirana</w:t>
      </w:r>
      <w:proofErr w:type="spellEnd"/>
      <w:r w:rsidRPr="001F6997">
        <w:rPr>
          <w:rFonts w:ascii="Times New Roman" w:eastAsia="Times New Roman" w:hAnsi="Times New Roman" w:cs="Times New Roman"/>
          <w:color w:val="1F1F1F"/>
          <w:kern w:val="0"/>
          <w:sz w:val="24"/>
          <w:szCs w:val="24"/>
          <w:lang w:eastAsia="en-IN" w:bidi="hi-IN"/>
          <w14:ligatures w14:val="none"/>
        </w:rPr>
        <w:t xml:space="preserve">, 2002). The physiological mechanism behind this yield enhancement is well-documented: the microclimate enhances physiological and metabolic activities (Johns and Scott, 1989), leading to larger partitioning of nutrients to the developing bunches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Ruwapathirana</w:t>
      </w:r>
      <w:proofErr w:type="spellEnd"/>
      <w:r w:rsidRPr="001F6997">
        <w:rPr>
          <w:rFonts w:ascii="Times New Roman" w:eastAsia="Times New Roman" w:hAnsi="Times New Roman" w:cs="Times New Roman"/>
          <w:color w:val="1F1F1F"/>
          <w:kern w:val="0"/>
          <w:sz w:val="24"/>
          <w:szCs w:val="24"/>
          <w:lang w:eastAsia="en-IN" w:bidi="hi-IN"/>
          <w14:ligatures w14:val="none"/>
        </w:rPr>
        <w:t>, 2002) without adversely affecting the internal quality parameters of the fruit.</w:t>
      </w:r>
    </w:p>
    <w:p w14:paraId="10274540"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3.2 Approach 2: Techno-Economic Feasibility</w:t>
      </w:r>
    </w:p>
    <w:p w14:paraId="4D9862EB"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While agronomic improvements are scientifically significant, farmer adoption is ultimately driven by farm economics. The primary barrier to the adoption of skirting bags is the upfront capital cost. Table 2 details the financial implications of the technology.</w:t>
      </w:r>
    </w:p>
    <w:p w14:paraId="6A17B3D3"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standardized plant population of 3,630 plants/ha dictated a fixed additional expenditure of Rs. 54,450 for the skirting bags (at Rs. 15/bag). The critical analysis lies in determining whether the premium quality and increased yield offset this supplementary cost.</w:t>
      </w:r>
    </w:p>
    <w:p w14:paraId="2A5A996B"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2: Economic Viability and Profitability Indicators (Three-Year Average)</w:t>
      </w:r>
    </w:p>
    <w:p w14:paraId="67ECB0CF" w14:textId="77777777" w:rsidR="007F099A" w:rsidRPr="007F099A" w:rsidRDefault="007F099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5"/>
        <w:tblW w:w="0" w:type="auto"/>
        <w:tblLook w:val="04A0" w:firstRow="1" w:lastRow="0" w:firstColumn="1" w:lastColumn="0" w:noHBand="0" w:noVBand="1"/>
      </w:tblPr>
      <w:tblGrid>
        <w:gridCol w:w="3383"/>
        <w:gridCol w:w="1730"/>
        <w:gridCol w:w="1056"/>
        <w:gridCol w:w="1056"/>
        <w:gridCol w:w="1056"/>
      </w:tblGrid>
      <w:tr w:rsidR="00ED30DA" w:rsidRPr="007F099A" w14:paraId="580DE132"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0BC69B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Financial Metric</w:t>
            </w:r>
          </w:p>
        </w:tc>
        <w:tc>
          <w:tcPr>
            <w:tcW w:w="0" w:type="auto"/>
            <w:hideMark/>
          </w:tcPr>
          <w:p w14:paraId="072FCAFA"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Treatment</w:t>
            </w:r>
          </w:p>
        </w:tc>
        <w:tc>
          <w:tcPr>
            <w:tcW w:w="0" w:type="auto"/>
            <w:hideMark/>
          </w:tcPr>
          <w:p w14:paraId="4F8A8F4B" w14:textId="3B41E7D0"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22</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p>
        </w:tc>
        <w:tc>
          <w:tcPr>
            <w:tcW w:w="0" w:type="auto"/>
            <w:hideMark/>
          </w:tcPr>
          <w:p w14:paraId="11A80C1D" w14:textId="5226381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p>
        </w:tc>
        <w:tc>
          <w:tcPr>
            <w:tcW w:w="0" w:type="auto"/>
            <w:hideMark/>
          </w:tcPr>
          <w:p w14:paraId="76E55C2B" w14:textId="5F74F504"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25</w:t>
            </w:r>
          </w:p>
        </w:tc>
      </w:tr>
      <w:tr w:rsidR="00ED30DA" w:rsidRPr="007F099A" w14:paraId="0EADE8CE"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85138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Expenditure per Ha (Rs)</w:t>
            </w:r>
          </w:p>
        </w:tc>
        <w:tc>
          <w:tcPr>
            <w:tcW w:w="0" w:type="auto"/>
            <w:hideMark/>
          </w:tcPr>
          <w:p w14:paraId="374A1B9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311281D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3,08,550</w:t>
            </w:r>
          </w:p>
        </w:tc>
        <w:tc>
          <w:tcPr>
            <w:tcW w:w="0" w:type="auto"/>
            <w:hideMark/>
          </w:tcPr>
          <w:p w14:paraId="2E0C2891"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3,08,550</w:t>
            </w:r>
          </w:p>
        </w:tc>
        <w:tc>
          <w:tcPr>
            <w:tcW w:w="0" w:type="auto"/>
            <w:hideMark/>
          </w:tcPr>
          <w:p w14:paraId="237D0823"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2,17,923</w:t>
            </w:r>
          </w:p>
        </w:tc>
      </w:tr>
      <w:tr w:rsidR="00ED30DA" w:rsidRPr="007F099A" w14:paraId="729EEF0A"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40C8E241"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759CB306"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178CDE19"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3,63,000</w:t>
            </w:r>
          </w:p>
        </w:tc>
        <w:tc>
          <w:tcPr>
            <w:tcW w:w="0" w:type="auto"/>
            <w:hideMark/>
          </w:tcPr>
          <w:p w14:paraId="123134B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3,63,000</w:t>
            </w:r>
          </w:p>
        </w:tc>
        <w:tc>
          <w:tcPr>
            <w:tcW w:w="0" w:type="auto"/>
            <w:hideMark/>
          </w:tcPr>
          <w:p w14:paraId="04C0C700"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2,34,000</w:t>
            </w:r>
          </w:p>
        </w:tc>
      </w:tr>
      <w:tr w:rsidR="00ED30DA" w:rsidRPr="007F099A" w14:paraId="6ECC6257"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453AA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38E73730"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Additional Cost</w:t>
            </w:r>
          </w:p>
        </w:tc>
        <w:tc>
          <w:tcPr>
            <w:tcW w:w="0" w:type="auto"/>
            <w:hideMark/>
          </w:tcPr>
          <w:p w14:paraId="193CFA3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54,450</w:t>
            </w:r>
          </w:p>
        </w:tc>
        <w:tc>
          <w:tcPr>
            <w:tcW w:w="0" w:type="auto"/>
            <w:hideMark/>
          </w:tcPr>
          <w:p w14:paraId="5357D84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54,450</w:t>
            </w:r>
          </w:p>
        </w:tc>
        <w:tc>
          <w:tcPr>
            <w:tcW w:w="0" w:type="auto"/>
            <w:hideMark/>
          </w:tcPr>
          <w:p w14:paraId="6C114D3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16,077</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p>
        </w:tc>
      </w:tr>
      <w:tr w:rsidR="00ED30DA" w:rsidRPr="007F099A" w14:paraId="47BD0F14"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1E58D55"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Gross Income per Ha (Rs)</w:t>
            </w:r>
          </w:p>
        </w:tc>
        <w:tc>
          <w:tcPr>
            <w:tcW w:w="0" w:type="auto"/>
            <w:hideMark/>
          </w:tcPr>
          <w:p w14:paraId="4E6BB4BE"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501C61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5,48,688</w:t>
            </w:r>
          </w:p>
        </w:tc>
        <w:tc>
          <w:tcPr>
            <w:tcW w:w="0" w:type="auto"/>
            <w:hideMark/>
          </w:tcPr>
          <w:p w14:paraId="001893B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6,84,093</w:t>
            </w:r>
          </w:p>
        </w:tc>
        <w:tc>
          <w:tcPr>
            <w:tcW w:w="0" w:type="auto"/>
            <w:hideMark/>
          </w:tcPr>
          <w:p w14:paraId="49E7413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5,53,032</w:t>
            </w:r>
          </w:p>
        </w:tc>
      </w:tr>
      <w:tr w:rsidR="00ED30DA" w:rsidRPr="007F099A" w14:paraId="12C58C12"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AF859A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6494C21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39E61B4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6,97,797</w:t>
            </w:r>
          </w:p>
        </w:tc>
        <w:tc>
          <w:tcPr>
            <w:tcW w:w="0" w:type="auto"/>
            <w:hideMark/>
          </w:tcPr>
          <w:p w14:paraId="4BB184D4"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8,58,494</w:t>
            </w:r>
          </w:p>
        </w:tc>
        <w:tc>
          <w:tcPr>
            <w:tcW w:w="0" w:type="auto"/>
            <w:hideMark/>
          </w:tcPr>
          <w:p w14:paraId="7441938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9,29,203</w:t>
            </w:r>
          </w:p>
        </w:tc>
      </w:tr>
      <w:tr w:rsidR="00ED30DA" w:rsidRPr="007F099A" w14:paraId="0C162597"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F9B42EA"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Benefit-Cost (B:C) Ratio</w:t>
            </w:r>
          </w:p>
        </w:tc>
        <w:tc>
          <w:tcPr>
            <w:tcW w:w="0" w:type="auto"/>
            <w:hideMark/>
          </w:tcPr>
          <w:p w14:paraId="4262E39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66C14CB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1.77</w:t>
            </w:r>
          </w:p>
        </w:tc>
        <w:tc>
          <w:tcPr>
            <w:tcW w:w="0" w:type="auto"/>
            <w:hideMark/>
          </w:tcPr>
          <w:p w14:paraId="20A8681D"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2.20</w:t>
            </w:r>
          </w:p>
        </w:tc>
        <w:tc>
          <w:tcPr>
            <w:tcW w:w="0" w:type="auto"/>
            <w:hideMark/>
          </w:tcPr>
          <w:p w14:paraId="77AEE86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2.54</w:t>
            </w:r>
          </w:p>
        </w:tc>
      </w:tr>
      <w:tr w:rsidR="00ED30DA" w:rsidRPr="007F099A" w14:paraId="6CA8BF8C"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ACBCA4"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25CDAE8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5EAE424B"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1.91</w:t>
            </w:r>
          </w:p>
        </w:tc>
        <w:tc>
          <w:tcPr>
            <w:tcW w:w="0" w:type="auto"/>
            <w:hideMark/>
          </w:tcPr>
          <w:p w14:paraId="5E3226B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2.37</w:t>
            </w:r>
          </w:p>
        </w:tc>
        <w:tc>
          <w:tcPr>
            <w:tcW w:w="0" w:type="auto"/>
            <w:hideMark/>
          </w:tcPr>
          <w:p w14:paraId="4505054A"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2.78</w:t>
            </w:r>
          </w:p>
        </w:tc>
      </w:tr>
      <w:tr w:rsidR="00ED30DA" w:rsidRPr="007F099A" w14:paraId="0C185635"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20C94BA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 xml:space="preserve">Incremental </w:t>
            </w:r>
            <w:proofErr w:type="gramStart"/>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C:B</w:t>
            </w:r>
            <w:proofErr w:type="gramEnd"/>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 xml:space="preserve"> Ratio (ICBR)</w:t>
            </w:r>
          </w:p>
        </w:tc>
        <w:tc>
          <w:tcPr>
            <w:tcW w:w="0" w:type="auto"/>
            <w:hideMark/>
          </w:tcPr>
          <w:p w14:paraId="65673D5F"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p>
        </w:tc>
        <w:tc>
          <w:tcPr>
            <w:tcW w:w="0" w:type="auto"/>
            <w:hideMark/>
          </w:tcPr>
          <w:p w14:paraId="44AA563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proofErr w:type="gramStart"/>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 :</w:t>
            </w:r>
            <w:proofErr w:type="gramEnd"/>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 xml:space="preserve"> 2.73</w:t>
            </w:r>
          </w:p>
        </w:tc>
        <w:tc>
          <w:tcPr>
            <w:tcW w:w="0" w:type="auto"/>
            <w:hideMark/>
          </w:tcPr>
          <w:p w14:paraId="55B9E9E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proofErr w:type="gramStart"/>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 :</w:t>
            </w:r>
            <w:proofErr w:type="gramEnd"/>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 xml:space="preserve"> 3.20</w:t>
            </w:r>
          </w:p>
        </w:tc>
        <w:tc>
          <w:tcPr>
            <w:tcW w:w="0" w:type="auto"/>
            <w:hideMark/>
          </w:tcPr>
          <w:p w14:paraId="584FE530"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N/A</w:t>
            </w:r>
          </w:p>
        </w:tc>
      </w:tr>
    </w:tbl>
    <w:p w14:paraId="298D02DE"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367D2984" w14:textId="3A6023D3"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economic data resoundingly validates the intervention. In every single year, the Gross Income generated by the T2 plots vastly exceeded the T1 plots, entirely absorbing the cost of the bags. For example, in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spending an extra Rs. 54,450 resulted in a Gross Income increase from Rs. 6,84,093 to Rs. 8,58,494</w:t>
      </w:r>
      <w:r w:rsidR="00525E46">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a staggering net gain of over Rs. 1.74 lakhs</w:t>
      </w:r>
      <w:r w:rsidR="002D29FF">
        <w:rPr>
          <w:rFonts w:ascii="Times New Roman" w:eastAsia="Times New Roman" w:hAnsi="Times New Roman" w:cs="Times New Roman"/>
          <w:color w:val="1F1F1F"/>
          <w:kern w:val="0"/>
          <w:sz w:val="24"/>
          <w:szCs w:val="24"/>
          <w:lang w:eastAsia="en-IN" w:bidi="hi-IN"/>
          <w14:ligatures w14:val="none"/>
        </w:rPr>
        <w:t xml:space="preserve"> </w:t>
      </w:r>
      <w:r w:rsidR="002D29FF" w:rsidRPr="002D29FF">
        <w:rPr>
          <w:rFonts w:ascii="Times New Roman" w:eastAsia="Times New Roman" w:hAnsi="Times New Roman" w:cs="Times New Roman"/>
          <w:color w:val="1F1F1F"/>
          <w:kern w:val="0"/>
          <w:sz w:val="24"/>
          <w:szCs w:val="24"/>
          <w:lang w:eastAsia="en-IN" w:bidi="hi-IN"/>
          <w14:ligatures w14:val="none"/>
        </w:rPr>
        <w:t>(Santosh et al., 2017)</w:t>
      </w:r>
      <w:r w:rsidR="002D29FF">
        <w:rPr>
          <w:rFonts w:ascii="Times New Roman" w:eastAsia="Times New Roman" w:hAnsi="Times New Roman" w:cs="Times New Roman"/>
          <w:color w:val="1F1F1F"/>
          <w:kern w:val="0"/>
          <w:sz w:val="24"/>
          <w:szCs w:val="24"/>
          <w:lang w:eastAsia="en-IN" w:bidi="hi-IN"/>
          <w14:ligatures w14:val="none"/>
        </w:rPr>
        <w:t>.</w:t>
      </w:r>
    </w:p>
    <w:p w14:paraId="7AAE7B53" w14:textId="26736C7D" w:rsidR="00ED30D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Benefit-Cost (B:C) ratio, a standard metric of agricultural profitability, showed consistent improvement. The most compelling metric, however, is the Incremental Cost-Benefit Ratio (ICBR). In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the ICBR was 1:2.73, meaning for every 1 Rupee invested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specifically in the skirting bags</w:t>
      </w:r>
      <w:r w:rsidRPr="007F099A">
        <w:rPr>
          <w:rFonts w:ascii="Times New Roman" w:eastAsia="Times New Roman" w:hAnsi="Times New Roman" w:cs="Times New Roman"/>
          <w:color w:val="1F1F1F"/>
          <w:kern w:val="0"/>
          <w:sz w:val="24"/>
          <w:szCs w:val="24"/>
          <w:lang w:eastAsia="en-IN" w:bidi="hi-IN"/>
          <w14:ligatures w14:val="none"/>
        </w:rPr>
        <w:t>, the farmer received 2.73 Rupees in return. In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this efficiency improved further to an ICBR of 1:3.20. This clearly demonstrates that bunch skirting is not just an agronomic tool, but a highly leveraged financial investment.</w:t>
      </w:r>
    </w:p>
    <w:p w14:paraId="7F6927CA" w14:textId="77777777" w:rsidR="00E076A3" w:rsidRPr="007F099A" w:rsidRDefault="00E076A3"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p w14:paraId="12BE1F35"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3.3 Approach 3: Extension Impact and Adoption Viability</w:t>
      </w:r>
    </w:p>
    <w:p w14:paraId="22BFF811" w14:textId="77777777"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 xml:space="preserve">The ultimate goal of a Field Level Demonstration is not merely to prove a technology works, but to prove it works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consistently</w:t>
      </w:r>
      <w:r w:rsidRPr="007F099A">
        <w:rPr>
          <w:rFonts w:ascii="Times New Roman" w:eastAsia="Times New Roman" w:hAnsi="Times New Roman" w:cs="Times New Roman"/>
          <w:color w:val="1F1F1F"/>
          <w:kern w:val="0"/>
          <w:sz w:val="24"/>
          <w:szCs w:val="24"/>
          <w:lang w:eastAsia="en-IN" w:bidi="hi-IN"/>
          <w14:ligatures w14:val="none"/>
        </w:rPr>
        <w:t xml:space="preserve"> under the chaotic variables of real-world farming. Farmers are largely deterred by perceived risk; a technology that produces massive yields for one farmer but fails for another will not be adopted. Therefore, </w:t>
      </w:r>
      <w:proofErr w:type="spellStart"/>
      <w:r w:rsidRPr="007F099A">
        <w:rPr>
          <w:rFonts w:ascii="Times New Roman" w:eastAsia="Times New Roman" w:hAnsi="Times New Roman" w:cs="Times New Roman"/>
          <w:color w:val="1F1F1F"/>
          <w:kern w:val="0"/>
          <w:sz w:val="24"/>
          <w:szCs w:val="24"/>
          <w:lang w:eastAsia="en-IN" w:bidi="hi-IN"/>
          <w14:ligatures w14:val="none"/>
        </w:rPr>
        <w:t>analyzing</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the variability and consistency of the results across the cohort is a crucial extension metric.</w:t>
      </w:r>
    </w:p>
    <w:p w14:paraId="399C666A"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Table 3 breaks down the performance variability to assess the reliability of the skirting technology as an extension recommendation.</w:t>
      </w:r>
    </w:p>
    <w:p w14:paraId="4011B9DD"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3: Farmer Variability and Extension Risk Assessment</w:t>
      </w:r>
    </w:p>
    <w:p w14:paraId="4926964B" w14:textId="77777777" w:rsidR="002D29FF" w:rsidRPr="007F099A" w:rsidRDefault="002D29FF"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1"/>
        <w:tblW w:w="0" w:type="auto"/>
        <w:tblLook w:val="04A0" w:firstRow="1" w:lastRow="0" w:firstColumn="1" w:lastColumn="0" w:noHBand="0" w:noVBand="1"/>
      </w:tblPr>
      <w:tblGrid>
        <w:gridCol w:w="3836"/>
        <w:gridCol w:w="776"/>
        <w:gridCol w:w="1016"/>
        <w:gridCol w:w="1016"/>
      </w:tblGrid>
      <w:tr w:rsidR="00ED30DA" w:rsidRPr="007F099A" w14:paraId="2B7C9E48"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14267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Extension Metric</w:t>
            </w:r>
          </w:p>
        </w:tc>
        <w:tc>
          <w:tcPr>
            <w:tcW w:w="0" w:type="auto"/>
            <w:hideMark/>
          </w:tcPr>
          <w:p w14:paraId="371421CF" w14:textId="5CE6C4CB"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p>
        </w:tc>
        <w:tc>
          <w:tcPr>
            <w:tcW w:w="0" w:type="auto"/>
            <w:hideMark/>
          </w:tcPr>
          <w:p w14:paraId="1A61CABC" w14:textId="5B7FB29C"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p>
        </w:tc>
        <w:tc>
          <w:tcPr>
            <w:tcW w:w="0" w:type="auto"/>
            <w:hideMark/>
          </w:tcPr>
          <w:p w14:paraId="34AB522F" w14:textId="489FC66A"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25</w:t>
            </w:r>
          </w:p>
        </w:tc>
      </w:tr>
      <w:tr w:rsidR="00ED30DA" w:rsidRPr="007F099A" w14:paraId="34A17626"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D0F563"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Total Participating Farmers</w:t>
            </w:r>
          </w:p>
        </w:tc>
        <w:tc>
          <w:tcPr>
            <w:tcW w:w="0" w:type="auto"/>
            <w:hideMark/>
          </w:tcPr>
          <w:p w14:paraId="7962D0D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c>
          <w:tcPr>
            <w:tcW w:w="0" w:type="auto"/>
            <w:hideMark/>
          </w:tcPr>
          <w:p w14:paraId="5EF3E928"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c>
          <w:tcPr>
            <w:tcW w:w="0" w:type="auto"/>
            <w:hideMark/>
          </w:tcPr>
          <w:p w14:paraId="4E447DF8"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r>
      <w:tr w:rsidR="00ED30DA" w:rsidRPr="007F099A" w14:paraId="256177C3"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13E6E97"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Number of Villages Covered</w:t>
            </w:r>
          </w:p>
        </w:tc>
        <w:tc>
          <w:tcPr>
            <w:tcW w:w="0" w:type="auto"/>
            <w:hideMark/>
          </w:tcPr>
          <w:p w14:paraId="4325681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w:t>
            </w:r>
          </w:p>
        </w:tc>
        <w:tc>
          <w:tcPr>
            <w:tcW w:w="0" w:type="auto"/>
            <w:hideMark/>
          </w:tcPr>
          <w:p w14:paraId="0D169D36"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w:t>
            </w:r>
          </w:p>
        </w:tc>
        <w:tc>
          <w:tcPr>
            <w:tcW w:w="0" w:type="auto"/>
            <w:hideMark/>
          </w:tcPr>
          <w:p w14:paraId="3799E13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w:t>
            </w:r>
          </w:p>
        </w:tc>
      </w:tr>
      <w:tr w:rsidR="00ED30DA" w:rsidRPr="007F099A" w14:paraId="09D3999F"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3C2E9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Lowest B:C Ratio in T1 (Control)</w:t>
            </w:r>
          </w:p>
        </w:tc>
        <w:tc>
          <w:tcPr>
            <w:tcW w:w="0" w:type="auto"/>
            <w:hideMark/>
          </w:tcPr>
          <w:p w14:paraId="4AD3F38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1.67</w:t>
            </w:r>
          </w:p>
        </w:tc>
        <w:tc>
          <w:tcPr>
            <w:tcW w:w="0" w:type="auto"/>
            <w:hideMark/>
          </w:tcPr>
          <w:p w14:paraId="403357D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1.90</w:t>
            </w:r>
          </w:p>
        </w:tc>
        <w:tc>
          <w:tcPr>
            <w:tcW w:w="0" w:type="auto"/>
            <w:hideMark/>
          </w:tcPr>
          <w:p w14:paraId="0CBEABDB"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2.37</w:t>
            </w:r>
          </w:p>
        </w:tc>
      </w:tr>
      <w:tr w:rsidR="00ED30DA" w:rsidRPr="007F099A" w14:paraId="5A5BF936"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15B930E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Lowest B:C Ratio in T2 (Skirting)</w:t>
            </w:r>
          </w:p>
        </w:tc>
        <w:tc>
          <w:tcPr>
            <w:tcW w:w="0" w:type="auto"/>
            <w:hideMark/>
          </w:tcPr>
          <w:p w14:paraId="7C967E22"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1.65</w:t>
            </w:r>
          </w:p>
        </w:tc>
        <w:tc>
          <w:tcPr>
            <w:tcW w:w="0" w:type="auto"/>
            <w:hideMark/>
          </w:tcPr>
          <w:p w14:paraId="3471EB98"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2.20</w:t>
            </w:r>
          </w:p>
        </w:tc>
        <w:tc>
          <w:tcPr>
            <w:tcW w:w="0" w:type="auto"/>
            <w:hideMark/>
          </w:tcPr>
          <w:p w14:paraId="1167E8D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2.58</w:t>
            </w:r>
          </w:p>
        </w:tc>
      </w:tr>
      <w:tr w:rsidR="00ED30DA" w:rsidRPr="007F099A" w14:paraId="4FB189D4"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74718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Highest B:C Ratio in T1 (Control)</w:t>
            </w:r>
          </w:p>
        </w:tc>
        <w:tc>
          <w:tcPr>
            <w:tcW w:w="0" w:type="auto"/>
            <w:hideMark/>
          </w:tcPr>
          <w:p w14:paraId="2F34D50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1.85</w:t>
            </w:r>
          </w:p>
        </w:tc>
        <w:tc>
          <w:tcPr>
            <w:tcW w:w="0" w:type="auto"/>
            <w:hideMark/>
          </w:tcPr>
          <w:p w14:paraId="18DD978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2.32</w:t>
            </w:r>
          </w:p>
        </w:tc>
        <w:tc>
          <w:tcPr>
            <w:tcW w:w="0" w:type="auto"/>
            <w:hideMark/>
          </w:tcPr>
          <w:p w14:paraId="080C01E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2.65</w:t>
            </w:r>
          </w:p>
        </w:tc>
      </w:tr>
      <w:tr w:rsidR="00ED30DA" w:rsidRPr="007F099A" w14:paraId="4BA30A2A"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69016979"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Highest B:C Ratio in T2 (Skirting)</w:t>
            </w:r>
          </w:p>
        </w:tc>
        <w:tc>
          <w:tcPr>
            <w:tcW w:w="0" w:type="auto"/>
            <w:hideMark/>
          </w:tcPr>
          <w:p w14:paraId="7638308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2.04</w:t>
            </w:r>
          </w:p>
        </w:tc>
        <w:tc>
          <w:tcPr>
            <w:tcW w:w="0" w:type="auto"/>
            <w:hideMark/>
          </w:tcPr>
          <w:p w14:paraId="64AAA89F"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2.53</w:t>
            </w:r>
          </w:p>
        </w:tc>
        <w:tc>
          <w:tcPr>
            <w:tcW w:w="0" w:type="auto"/>
            <w:hideMark/>
          </w:tcPr>
          <w:p w14:paraId="0213C61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2.97</w:t>
            </w:r>
          </w:p>
        </w:tc>
      </w:tr>
      <w:tr w:rsidR="00ED30DA" w:rsidRPr="007F099A" w14:paraId="2EA84B85"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C9D4B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Farmers Achieving Positive Return</w:t>
            </w:r>
          </w:p>
        </w:tc>
        <w:tc>
          <w:tcPr>
            <w:tcW w:w="0" w:type="auto"/>
            <w:hideMark/>
          </w:tcPr>
          <w:p w14:paraId="01F31B3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c>
          <w:tcPr>
            <w:tcW w:w="0" w:type="auto"/>
            <w:hideMark/>
          </w:tcPr>
          <w:p w14:paraId="666814E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c>
          <w:tcPr>
            <w:tcW w:w="0" w:type="auto"/>
            <w:hideMark/>
          </w:tcPr>
          <w:p w14:paraId="41F6A86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r>
    </w:tbl>
    <w:p w14:paraId="417C851E"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0965F2B4" w14:textId="3D08985D" w:rsidR="00ED30DA" w:rsidRPr="007F099A" w:rsidRDefault="002D29FF"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2D29FF">
        <w:rPr>
          <w:rFonts w:ascii="Times New Roman" w:eastAsia="Times New Roman" w:hAnsi="Times New Roman" w:cs="Times New Roman"/>
          <w:color w:val="1F1F1F"/>
          <w:kern w:val="0"/>
          <w:sz w:val="24"/>
          <w:szCs w:val="24"/>
          <w:lang w:eastAsia="en-IN" w:bidi="hi-IN"/>
          <w14:ligatures w14:val="none"/>
        </w:rPr>
        <w:t>The extension data presents a highly compelling narrative for widespread adoption. As noted by Johns (1996), market returns in international markets are generally greatest for large fruit that are blemish-free; therefore, the economic risk to the farmer is heavily mitigated when adopting covers to ensure this level of quality. Across all 39 distinct field trials over three years, 100% of the farmers utilizing the skirting bags achieved a positive return on their investment</w:t>
      </w:r>
      <w:r w:rsidR="00ED30DA" w:rsidRPr="007F099A">
        <w:rPr>
          <w:rFonts w:ascii="Times New Roman" w:eastAsia="Times New Roman" w:hAnsi="Times New Roman" w:cs="Times New Roman"/>
          <w:color w:val="1F1F1F"/>
          <w:kern w:val="0"/>
          <w:sz w:val="24"/>
          <w:szCs w:val="24"/>
          <w:lang w:eastAsia="en-IN" w:bidi="hi-IN"/>
          <w14:ligatures w14:val="none"/>
        </w:rPr>
        <w:t>.</w:t>
      </w:r>
    </w:p>
    <w:p w14:paraId="271C9E83" w14:textId="7314A6C8"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Crucially, the data demonstrates the technology's ability to elevate the "floor" of agricultural profitability. When examining the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xml:space="preserve"> data, the absolute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lowest</w:t>
      </w:r>
      <w:r w:rsidRPr="007F099A">
        <w:rPr>
          <w:rFonts w:ascii="Times New Roman" w:eastAsia="Times New Roman" w:hAnsi="Times New Roman" w:cs="Times New Roman"/>
          <w:color w:val="1F1F1F"/>
          <w:kern w:val="0"/>
          <w:sz w:val="24"/>
          <w:szCs w:val="24"/>
          <w:lang w:eastAsia="en-IN" w:bidi="hi-IN"/>
          <w14:ligatures w14:val="none"/>
        </w:rPr>
        <w:t xml:space="preserve"> performing farmer using the skirting bags (B:C of 2.20) still performed better than the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average</w:t>
      </w:r>
      <w:r w:rsidRPr="007F099A">
        <w:rPr>
          <w:rFonts w:ascii="Times New Roman" w:eastAsia="Times New Roman" w:hAnsi="Times New Roman" w:cs="Times New Roman"/>
          <w:color w:val="1F1F1F"/>
          <w:kern w:val="0"/>
          <w:sz w:val="24"/>
          <w:szCs w:val="24"/>
          <w:lang w:eastAsia="en-IN" w:bidi="hi-IN"/>
          <w14:ligatures w14:val="none"/>
        </w:rPr>
        <w:t xml:space="preserve"> farmer using traditional </w:t>
      </w:r>
      <w:r w:rsidRPr="007F099A">
        <w:rPr>
          <w:rFonts w:ascii="Times New Roman" w:eastAsia="Times New Roman" w:hAnsi="Times New Roman" w:cs="Times New Roman"/>
          <w:color w:val="1F1F1F"/>
          <w:kern w:val="0"/>
          <w:sz w:val="24"/>
          <w:szCs w:val="24"/>
          <w:lang w:eastAsia="en-IN" w:bidi="hi-IN"/>
          <w14:ligatures w14:val="none"/>
        </w:rPr>
        <w:lastRenderedPageBreak/>
        <w:t>practices. By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the lowest B:C ratio in the demonstration group (2.58) was nearly equivalent to the highest-performing farmer in the control group (2.65).</w:t>
      </w:r>
    </w:p>
    <w:p w14:paraId="0FF9C722" w14:textId="1AD7A9AE"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This reduction in negative variability is the cornerstone of successful agricultural extension. It provides extension workers and Subject Matter Specialists with the empirical evidence required to confidently recommend the technology. The presence of "champion farmers"</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such as Shalini Gajanan Deshmukh in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who achieved a B:C ratio of 2.97</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serves as a localized catalyst for peer-to-peer learning, driving organic adoption within the village clusters.</w:t>
      </w:r>
    </w:p>
    <w:p w14:paraId="5360BC82" w14:textId="0E254377" w:rsidR="00B1024D" w:rsidRPr="00B1024D" w:rsidRDefault="00B1024D" w:rsidP="007F099A">
      <w:pPr>
        <w:spacing w:after="150" w:line="240" w:lineRule="auto"/>
        <w:jc w:val="both"/>
        <w:rPr>
          <w:rFonts w:ascii="Times New Roman" w:eastAsia="Times New Roman" w:hAnsi="Times New Roman" w:cs="Times New Roman"/>
          <w:b/>
          <w:bCs/>
          <w:color w:val="1F1F1F"/>
          <w:kern w:val="0"/>
          <w:sz w:val="24"/>
          <w:szCs w:val="24"/>
          <w:lang w:eastAsia="en-IN" w:bidi="hi-IN"/>
          <w14:ligatures w14:val="none"/>
        </w:rPr>
      </w:pPr>
      <w:r w:rsidRPr="00B1024D">
        <w:rPr>
          <w:rFonts w:ascii="Times New Roman" w:eastAsia="Times New Roman" w:hAnsi="Times New Roman" w:cs="Times New Roman"/>
          <w:b/>
          <w:bCs/>
          <w:color w:val="1F1F1F"/>
          <w:kern w:val="0"/>
          <w:sz w:val="24"/>
          <w:szCs w:val="24"/>
          <w:lang w:eastAsia="en-IN" w:bidi="hi-IN"/>
          <w14:ligatures w14:val="none"/>
        </w:rPr>
        <w:t>Fig.1</w:t>
      </w:r>
      <w:r>
        <w:rPr>
          <w:rFonts w:ascii="Times New Roman" w:eastAsia="Times New Roman" w:hAnsi="Times New Roman" w:cs="Times New Roman"/>
          <w:b/>
          <w:bCs/>
          <w:color w:val="1F1F1F"/>
          <w:kern w:val="0"/>
          <w:sz w:val="24"/>
          <w:szCs w:val="24"/>
          <w:lang w:eastAsia="en-IN" w:bidi="hi-IN"/>
          <w14:ligatures w14:val="none"/>
        </w:rPr>
        <w:t xml:space="preserve"> </w:t>
      </w:r>
      <w:r w:rsidRPr="00B1024D">
        <w:rPr>
          <w:rFonts w:ascii="Times New Roman" w:eastAsia="Times New Roman" w:hAnsi="Times New Roman" w:cs="Times New Roman"/>
          <w:b/>
          <w:bCs/>
          <w:color w:val="1F1F1F"/>
          <w:kern w:val="0"/>
          <w:sz w:val="24"/>
          <w:szCs w:val="24"/>
          <w:lang w:eastAsia="en-IN" w:bidi="hi-IN"/>
          <w14:ligatures w14:val="none"/>
        </w:rPr>
        <w:t>Practical application of bunch skirting: On-site interaction and capacity building with participating farmers.</w:t>
      </w:r>
    </w:p>
    <w:p w14:paraId="7C591806" w14:textId="7028310B" w:rsidR="00ED30DA" w:rsidRPr="007F099A" w:rsidRDefault="00B1024D"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Pr>
          <w:noProof/>
        </w:rPr>
        <w:drawing>
          <wp:inline distT="0" distB="0" distL="0" distR="0" wp14:anchorId="306713C6" wp14:editId="6D04209F">
            <wp:extent cx="2661723" cy="1996440"/>
            <wp:effectExtent l="0" t="0" r="5715" b="3810"/>
            <wp:docPr id="1008233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9415" cy="2002210"/>
                    </a:xfrm>
                    <a:prstGeom prst="rect">
                      <a:avLst/>
                    </a:prstGeom>
                    <a:noFill/>
                    <a:ln>
                      <a:noFill/>
                    </a:ln>
                  </pic:spPr>
                </pic:pic>
              </a:graphicData>
            </a:graphic>
          </wp:inline>
        </w:drawing>
      </w:r>
      <w:r>
        <w:rPr>
          <w:noProof/>
        </w:rPr>
        <w:drawing>
          <wp:inline distT="0" distB="0" distL="0" distR="0" wp14:anchorId="7D6E4DE5" wp14:editId="40E65919">
            <wp:extent cx="2666805" cy="1996440"/>
            <wp:effectExtent l="0" t="0" r="635" b="3810"/>
            <wp:docPr id="1321690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4365" cy="2002100"/>
                    </a:xfrm>
                    <a:prstGeom prst="rect">
                      <a:avLst/>
                    </a:prstGeom>
                    <a:noFill/>
                    <a:ln>
                      <a:noFill/>
                    </a:ln>
                  </pic:spPr>
                </pic:pic>
              </a:graphicData>
            </a:graphic>
          </wp:inline>
        </w:drawing>
      </w:r>
    </w:p>
    <w:p w14:paraId="664410F8" w14:textId="77777777" w:rsidR="00F20CFE" w:rsidRDefault="00F20CFE"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00FB929F" w14:textId="0250867D" w:rsidR="00ED30DA" w:rsidRPr="002D29FF"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2D29FF">
        <w:rPr>
          <w:rFonts w:ascii="Times New Roman" w:eastAsia="Times New Roman" w:hAnsi="Times New Roman" w:cs="Times New Roman"/>
          <w:b/>
          <w:bCs/>
          <w:color w:val="1F1F1F"/>
          <w:kern w:val="0"/>
          <w:sz w:val="28"/>
          <w:szCs w:val="28"/>
          <w:lang w:eastAsia="en-IN" w:bidi="hi-IN"/>
          <w14:ligatures w14:val="none"/>
        </w:rPr>
        <w:t>4. Conclusion</w:t>
      </w:r>
    </w:p>
    <w:p w14:paraId="4E349BBA"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comprehensive three-year assessment of banana bunch skirting through Field Level Demonstrations provides unequivocal evidence of the technology's value. From an agronomic standpoint, the physical intervention of the bags successfully manipulates the micro-climate, leading to statistically significant increases in fruit girth and a sustained yield increase ranging from 11% to 14% across varying seasonal conditions.</w:t>
      </w:r>
    </w:p>
    <w:p w14:paraId="534710BA" w14:textId="1C356B0D"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Economically, the data dismantles the primary barrier to adoption</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the initial capital cost. The analysis proves that the supplementary expenditure of Rs. 54,450 per hectare is a highly leveraged investment. The consistently superior B:C ratios and strong Incremental Cost-Benefit Ratios (exceeding 1:3.0) confirm that the premium market price commanded by the superior, blemish-free fruit vastly outweighs the cost of the intervention.</w:t>
      </w:r>
    </w:p>
    <w:p w14:paraId="685992EC" w14:textId="77777777"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Finally, from an extension perspective, the FLDs achieved their primary objective. The results showcased remarkable consistency across multiple villages and individual farmer management styles. The zero-percent failure rate among the 39 participants minimizes the perceived risk of adoption. This study reinforces the conclusion that bunch skirting is not an optional luxury for commercial banana cultivation, but a fundamental, highly profitable standard operating procedure. Furthermore, it highlights the enduring efficacy of the FLD methodology in translating established horticultural science into tangible economic empowerment for the farming community.</w:t>
      </w:r>
    </w:p>
    <w:p w14:paraId="789BB8AE" w14:textId="77777777" w:rsidR="002D29FF" w:rsidRPr="007F099A" w:rsidRDefault="002D29FF"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6944247D" w14:textId="77777777" w:rsidR="00F20CFE" w:rsidRDefault="00F20CFE"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7BFA71C8" w14:textId="77777777" w:rsidR="00F20CFE" w:rsidRDefault="00F20CFE"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21E7EC12" w14:textId="7638CC16" w:rsidR="00CA1630" w:rsidRPr="002D29FF" w:rsidRDefault="002D29FF"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Pr>
          <w:rFonts w:ascii="Times New Roman" w:eastAsia="Times New Roman" w:hAnsi="Times New Roman" w:cs="Times New Roman"/>
          <w:b/>
          <w:bCs/>
          <w:color w:val="1F1F1F"/>
          <w:kern w:val="0"/>
          <w:sz w:val="28"/>
          <w:szCs w:val="28"/>
          <w:lang w:eastAsia="en-IN" w:bidi="hi-IN"/>
          <w14:ligatures w14:val="none"/>
        </w:rPr>
        <w:lastRenderedPageBreak/>
        <w:t>5</w:t>
      </w:r>
      <w:r w:rsidRPr="002D29FF">
        <w:rPr>
          <w:rFonts w:ascii="Times New Roman" w:eastAsia="Times New Roman" w:hAnsi="Times New Roman" w:cs="Times New Roman"/>
          <w:b/>
          <w:bCs/>
          <w:color w:val="1F1F1F"/>
          <w:kern w:val="0"/>
          <w:sz w:val="28"/>
          <w:szCs w:val="28"/>
          <w:lang w:eastAsia="en-IN" w:bidi="hi-IN"/>
          <w14:ligatures w14:val="none"/>
        </w:rPr>
        <w:t xml:space="preserve">. </w:t>
      </w:r>
      <w:r>
        <w:rPr>
          <w:rFonts w:ascii="Times New Roman" w:eastAsia="Times New Roman" w:hAnsi="Times New Roman" w:cs="Times New Roman"/>
          <w:b/>
          <w:bCs/>
          <w:color w:val="1F1F1F"/>
          <w:kern w:val="0"/>
          <w:sz w:val="28"/>
          <w:szCs w:val="28"/>
          <w:lang w:eastAsia="en-IN" w:bidi="hi-IN"/>
          <w14:ligatures w14:val="none"/>
        </w:rPr>
        <w:t>References</w:t>
      </w:r>
    </w:p>
    <w:p w14:paraId="5AE8A20B" w14:textId="77777777" w:rsidR="00D07CD2" w:rsidRDefault="00D07CD2" w:rsidP="002D29FF">
      <w:pPr>
        <w:ind w:left="1134" w:hanging="1134"/>
        <w:jc w:val="both"/>
        <w:rPr>
          <w:rFonts w:ascii="Times New Roman" w:hAnsi="Times New Roman" w:cs="Times New Roman"/>
          <w:sz w:val="24"/>
          <w:szCs w:val="24"/>
        </w:rPr>
      </w:pPr>
      <w:r w:rsidRPr="009063BE">
        <w:rPr>
          <w:rFonts w:ascii="Times New Roman" w:hAnsi="Times New Roman" w:cs="Times New Roman"/>
          <w:sz w:val="24"/>
          <w:szCs w:val="24"/>
        </w:rPr>
        <w:t xml:space="preserve">Anon. 2003. Bunch covers for improving plantain and banana peel quality. National Agriculture Research Institute. Technical Bull., no 4. www.agrinetguyana. </w:t>
      </w:r>
      <w:proofErr w:type="spellStart"/>
      <w:proofErr w:type="gramStart"/>
      <w:r w:rsidRPr="009063BE">
        <w:rPr>
          <w:rFonts w:ascii="Times New Roman" w:hAnsi="Times New Roman" w:cs="Times New Roman"/>
          <w:sz w:val="24"/>
          <w:szCs w:val="24"/>
        </w:rPr>
        <w:t>org.gymoa</w:t>
      </w:r>
      <w:proofErr w:type="spellEnd"/>
      <w:proofErr w:type="gramEnd"/>
      <w:r w:rsidRPr="009063BE">
        <w:rPr>
          <w:rFonts w:ascii="Times New Roman" w:hAnsi="Times New Roman" w:cs="Times New Roman"/>
          <w:sz w:val="24"/>
          <w:szCs w:val="24"/>
        </w:rPr>
        <w:t>.</w:t>
      </w:r>
    </w:p>
    <w:p w14:paraId="299D60F4" w14:textId="77777777" w:rsidR="00D07CD2" w:rsidRDefault="00D07CD2" w:rsidP="002D29FF">
      <w:pPr>
        <w:ind w:left="1134" w:hanging="1134"/>
        <w:jc w:val="both"/>
        <w:rPr>
          <w:rFonts w:ascii="Times New Roman" w:hAnsi="Times New Roman" w:cs="Times New Roman"/>
          <w:sz w:val="24"/>
          <w:szCs w:val="24"/>
        </w:rPr>
      </w:pPr>
      <w:r w:rsidRPr="000551D9">
        <w:rPr>
          <w:rFonts w:ascii="Times New Roman" w:hAnsi="Times New Roman" w:cs="Times New Roman"/>
          <w:sz w:val="24"/>
          <w:szCs w:val="24"/>
        </w:rPr>
        <w:t xml:space="preserve">Fan, X., &amp; </w:t>
      </w:r>
      <w:proofErr w:type="spellStart"/>
      <w:r w:rsidRPr="000551D9">
        <w:rPr>
          <w:rFonts w:ascii="Times New Roman" w:hAnsi="Times New Roman" w:cs="Times New Roman"/>
          <w:sz w:val="24"/>
          <w:szCs w:val="24"/>
        </w:rPr>
        <w:t>Mattheis</w:t>
      </w:r>
      <w:proofErr w:type="spellEnd"/>
      <w:r w:rsidRPr="000551D9">
        <w:rPr>
          <w:rFonts w:ascii="Times New Roman" w:hAnsi="Times New Roman" w:cs="Times New Roman"/>
          <w:sz w:val="24"/>
          <w:szCs w:val="24"/>
        </w:rPr>
        <w:t xml:space="preserve">, J. P. (1998). </w:t>
      </w:r>
      <w:proofErr w:type="spellStart"/>
      <w:r w:rsidRPr="000551D9">
        <w:rPr>
          <w:rFonts w:ascii="Times New Roman" w:hAnsi="Times New Roman" w:cs="Times New Roman"/>
          <w:sz w:val="24"/>
          <w:szCs w:val="24"/>
        </w:rPr>
        <w:t>BaggingFuji'Apples</w:t>
      </w:r>
      <w:proofErr w:type="spellEnd"/>
      <w:r w:rsidRPr="000551D9">
        <w:rPr>
          <w:rFonts w:ascii="Times New Roman" w:hAnsi="Times New Roman" w:cs="Times New Roman"/>
          <w:sz w:val="24"/>
          <w:szCs w:val="24"/>
        </w:rPr>
        <w:t xml:space="preserve"> during fruit development affects </w:t>
      </w:r>
      <w:proofErr w:type="spellStart"/>
      <w:r w:rsidRPr="000551D9">
        <w:rPr>
          <w:rFonts w:ascii="Times New Roman" w:hAnsi="Times New Roman" w:cs="Times New Roman"/>
          <w:sz w:val="24"/>
          <w:szCs w:val="24"/>
        </w:rPr>
        <w:t>color</w:t>
      </w:r>
      <w:proofErr w:type="spellEnd"/>
      <w:r w:rsidRPr="000551D9">
        <w:rPr>
          <w:rFonts w:ascii="Times New Roman" w:hAnsi="Times New Roman" w:cs="Times New Roman"/>
          <w:sz w:val="24"/>
          <w:szCs w:val="24"/>
        </w:rPr>
        <w:t xml:space="preserve"> development and storage quality. </w:t>
      </w:r>
      <w:proofErr w:type="spellStart"/>
      <w:r w:rsidRPr="000551D9">
        <w:rPr>
          <w:rFonts w:ascii="Times New Roman" w:hAnsi="Times New Roman" w:cs="Times New Roman"/>
          <w:i/>
          <w:iCs/>
          <w:sz w:val="24"/>
          <w:szCs w:val="24"/>
        </w:rPr>
        <w:t>HortScience</w:t>
      </w:r>
      <w:proofErr w:type="spellEnd"/>
      <w:r w:rsidRPr="000551D9">
        <w:rPr>
          <w:rFonts w:ascii="Times New Roman" w:hAnsi="Times New Roman" w:cs="Times New Roman"/>
          <w:sz w:val="24"/>
          <w:szCs w:val="24"/>
        </w:rPr>
        <w:t>, </w:t>
      </w:r>
      <w:r w:rsidRPr="000551D9">
        <w:rPr>
          <w:rFonts w:ascii="Times New Roman" w:hAnsi="Times New Roman" w:cs="Times New Roman"/>
          <w:i/>
          <w:iCs/>
          <w:sz w:val="24"/>
          <w:szCs w:val="24"/>
        </w:rPr>
        <w:t>33</w:t>
      </w:r>
      <w:r w:rsidRPr="000551D9">
        <w:rPr>
          <w:rFonts w:ascii="Times New Roman" w:hAnsi="Times New Roman" w:cs="Times New Roman"/>
          <w:sz w:val="24"/>
          <w:szCs w:val="24"/>
        </w:rPr>
        <w:t>(7), 1235-1238.</w:t>
      </w:r>
    </w:p>
    <w:p w14:paraId="159D4C22" w14:textId="77777777" w:rsidR="00D07CD2" w:rsidRDefault="00D07CD2" w:rsidP="002D29FF">
      <w:pPr>
        <w:ind w:left="1134" w:hanging="1134"/>
        <w:jc w:val="both"/>
        <w:rPr>
          <w:rFonts w:ascii="Times New Roman" w:hAnsi="Times New Roman" w:cs="Times New Roman"/>
          <w:sz w:val="24"/>
          <w:szCs w:val="24"/>
        </w:rPr>
      </w:pPr>
      <w:proofErr w:type="spellStart"/>
      <w:r w:rsidRPr="000551D9">
        <w:rPr>
          <w:rFonts w:ascii="Times New Roman" w:hAnsi="Times New Roman" w:cs="Times New Roman"/>
          <w:sz w:val="24"/>
          <w:szCs w:val="24"/>
        </w:rPr>
        <w:t>Ganry</w:t>
      </w:r>
      <w:proofErr w:type="spellEnd"/>
      <w:r w:rsidRPr="000551D9">
        <w:rPr>
          <w:rFonts w:ascii="Times New Roman" w:hAnsi="Times New Roman" w:cs="Times New Roman"/>
          <w:sz w:val="24"/>
          <w:szCs w:val="24"/>
        </w:rPr>
        <w:t xml:space="preserve">, J. (1975). Influence du </w:t>
      </w:r>
      <w:proofErr w:type="spellStart"/>
      <w:r w:rsidRPr="000551D9">
        <w:rPr>
          <w:rFonts w:ascii="Times New Roman" w:hAnsi="Times New Roman" w:cs="Times New Roman"/>
          <w:sz w:val="24"/>
          <w:szCs w:val="24"/>
        </w:rPr>
        <w:t>gainage</w:t>
      </w:r>
      <w:proofErr w:type="spellEnd"/>
      <w:r w:rsidRPr="000551D9">
        <w:rPr>
          <w:rFonts w:ascii="Times New Roman" w:hAnsi="Times New Roman" w:cs="Times New Roman"/>
          <w:sz w:val="24"/>
          <w:szCs w:val="24"/>
        </w:rPr>
        <w:t xml:space="preserve"> des </w:t>
      </w:r>
      <w:proofErr w:type="spellStart"/>
      <w:r w:rsidRPr="000551D9">
        <w:rPr>
          <w:rFonts w:ascii="Times New Roman" w:hAnsi="Times New Roman" w:cs="Times New Roman"/>
          <w:sz w:val="24"/>
          <w:szCs w:val="24"/>
        </w:rPr>
        <w:t>régimes</w:t>
      </w:r>
      <w:proofErr w:type="spellEnd"/>
      <w:r w:rsidRPr="000551D9">
        <w:rPr>
          <w:rFonts w:ascii="Times New Roman" w:hAnsi="Times New Roman" w:cs="Times New Roman"/>
          <w:sz w:val="24"/>
          <w:szCs w:val="24"/>
        </w:rPr>
        <w:t xml:space="preserve"> du </w:t>
      </w:r>
      <w:proofErr w:type="spellStart"/>
      <w:r w:rsidRPr="000551D9">
        <w:rPr>
          <w:rFonts w:ascii="Times New Roman" w:hAnsi="Times New Roman" w:cs="Times New Roman"/>
          <w:sz w:val="24"/>
          <w:szCs w:val="24"/>
        </w:rPr>
        <w:t>bananier</w:t>
      </w:r>
      <w:proofErr w:type="spellEnd"/>
      <w:r w:rsidRPr="000551D9">
        <w:rPr>
          <w:rFonts w:ascii="Times New Roman" w:hAnsi="Times New Roman" w:cs="Times New Roman"/>
          <w:sz w:val="24"/>
          <w:szCs w:val="24"/>
        </w:rPr>
        <w:t xml:space="preserve"> avec </w:t>
      </w:r>
      <w:proofErr w:type="spellStart"/>
      <w:r w:rsidRPr="000551D9">
        <w:rPr>
          <w:rFonts w:ascii="Times New Roman" w:hAnsi="Times New Roman" w:cs="Times New Roman"/>
          <w:sz w:val="24"/>
          <w:szCs w:val="24"/>
        </w:rPr>
        <w:t>une</w:t>
      </w:r>
      <w:proofErr w:type="spellEnd"/>
      <w:r w:rsidRPr="000551D9">
        <w:rPr>
          <w:rFonts w:ascii="Times New Roman" w:hAnsi="Times New Roman" w:cs="Times New Roman"/>
          <w:sz w:val="24"/>
          <w:szCs w:val="24"/>
        </w:rPr>
        <w:t xml:space="preserve"> </w:t>
      </w:r>
      <w:proofErr w:type="spellStart"/>
      <w:r w:rsidRPr="000551D9">
        <w:rPr>
          <w:rFonts w:ascii="Times New Roman" w:hAnsi="Times New Roman" w:cs="Times New Roman"/>
          <w:sz w:val="24"/>
          <w:szCs w:val="24"/>
        </w:rPr>
        <w:t>housse</w:t>
      </w:r>
      <w:proofErr w:type="spellEnd"/>
      <w:r w:rsidRPr="000551D9">
        <w:rPr>
          <w:rFonts w:ascii="Times New Roman" w:hAnsi="Times New Roman" w:cs="Times New Roman"/>
          <w:sz w:val="24"/>
          <w:szCs w:val="24"/>
        </w:rPr>
        <w:t xml:space="preserve"> de </w:t>
      </w:r>
      <w:proofErr w:type="spellStart"/>
      <w:r w:rsidRPr="000551D9">
        <w:rPr>
          <w:rFonts w:ascii="Times New Roman" w:hAnsi="Times New Roman" w:cs="Times New Roman"/>
          <w:sz w:val="24"/>
          <w:szCs w:val="24"/>
        </w:rPr>
        <w:t>polyéthylène</w:t>
      </w:r>
      <w:proofErr w:type="spellEnd"/>
      <w:r w:rsidRPr="000551D9">
        <w:rPr>
          <w:rFonts w:ascii="Times New Roman" w:hAnsi="Times New Roman" w:cs="Times New Roman"/>
          <w:sz w:val="24"/>
          <w:szCs w:val="24"/>
        </w:rPr>
        <w:t xml:space="preserve"> sur la </w:t>
      </w:r>
      <w:proofErr w:type="spellStart"/>
      <w:r w:rsidRPr="000551D9">
        <w:rPr>
          <w:rFonts w:ascii="Times New Roman" w:hAnsi="Times New Roman" w:cs="Times New Roman"/>
          <w:sz w:val="24"/>
          <w:szCs w:val="24"/>
        </w:rPr>
        <w:t>température</w:t>
      </w:r>
      <w:proofErr w:type="spellEnd"/>
      <w:r w:rsidRPr="000551D9">
        <w:rPr>
          <w:rFonts w:ascii="Times New Roman" w:hAnsi="Times New Roman" w:cs="Times New Roman"/>
          <w:sz w:val="24"/>
          <w:szCs w:val="24"/>
        </w:rPr>
        <w:t xml:space="preserve"> des fruits dans les conditions de </w:t>
      </w:r>
      <w:proofErr w:type="spellStart"/>
      <w:r w:rsidRPr="000551D9">
        <w:rPr>
          <w:rFonts w:ascii="Times New Roman" w:hAnsi="Times New Roman" w:cs="Times New Roman"/>
          <w:sz w:val="24"/>
          <w:szCs w:val="24"/>
        </w:rPr>
        <w:t>Neufchateau</w:t>
      </w:r>
      <w:proofErr w:type="spellEnd"/>
      <w:r w:rsidRPr="000551D9">
        <w:rPr>
          <w:rFonts w:ascii="Times New Roman" w:hAnsi="Times New Roman" w:cs="Times New Roman"/>
          <w:sz w:val="24"/>
          <w:szCs w:val="24"/>
        </w:rPr>
        <w:t xml:space="preserve"> (Guadeloupe). </w:t>
      </w:r>
      <w:r w:rsidRPr="000551D9">
        <w:rPr>
          <w:rFonts w:ascii="Times New Roman" w:hAnsi="Times New Roman" w:cs="Times New Roman"/>
          <w:i/>
          <w:iCs/>
          <w:sz w:val="24"/>
          <w:szCs w:val="24"/>
        </w:rPr>
        <w:t>Fruits</w:t>
      </w:r>
      <w:r w:rsidRPr="000551D9">
        <w:rPr>
          <w:rFonts w:ascii="Times New Roman" w:hAnsi="Times New Roman" w:cs="Times New Roman"/>
          <w:sz w:val="24"/>
          <w:szCs w:val="24"/>
        </w:rPr>
        <w:t>, </w:t>
      </w:r>
      <w:r w:rsidRPr="000551D9">
        <w:rPr>
          <w:rFonts w:ascii="Times New Roman" w:hAnsi="Times New Roman" w:cs="Times New Roman"/>
          <w:i/>
          <w:iCs/>
          <w:sz w:val="24"/>
          <w:szCs w:val="24"/>
        </w:rPr>
        <w:t>30</w:t>
      </w:r>
      <w:r w:rsidRPr="000551D9">
        <w:rPr>
          <w:rFonts w:ascii="Times New Roman" w:hAnsi="Times New Roman" w:cs="Times New Roman"/>
          <w:sz w:val="24"/>
          <w:szCs w:val="24"/>
        </w:rPr>
        <w:t>(12), 735-738.</w:t>
      </w:r>
    </w:p>
    <w:p w14:paraId="4E7E5F82" w14:textId="77777777" w:rsidR="00D07CD2" w:rsidRDefault="00D07CD2" w:rsidP="002D29FF">
      <w:pPr>
        <w:ind w:left="1134" w:hanging="1134"/>
        <w:jc w:val="both"/>
        <w:rPr>
          <w:rFonts w:ascii="Times New Roman" w:hAnsi="Times New Roman" w:cs="Times New Roman"/>
          <w:sz w:val="24"/>
          <w:szCs w:val="24"/>
        </w:rPr>
      </w:pPr>
      <w:r w:rsidRPr="000551D9">
        <w:rPr>
          <w:rFonts w:ascii="Times New Roman" w:hAnsi="Times New Roman" w:cs="Times New Roman"/>
          <w:sz w:val="24"/>
          <w:szCs w:val="24"/>
        </w:rPr>
        <w:t xml:space="preserve">Hailu, M., </w:t>
      </w:r>
      <w:proofErr w:type="spellStart"/>
      <w:r w:rsidRPr="000551D9">
        <w:rPr>
          <w:rFonts w:ascii="Times New Roman" w:hAnsi="Times New Roman" w:cs="Times New Roman"/>
          <w:sz w:val="24"/>
          <w:szCs w:val="24"/>
        </w:rPr>
        <w:t>Workneh</w:t>
      </w:r>
      <w:proofErr w:type="spellEnd"/>
      <w:r w:rsidRPr="000551D9">
        <w:rPr>
          <w:rFonts w:ascii="Times New Roman" w:hAnsi="Times New Roman" w:cs="Times New Roman"/>
          <w:sz w:val="24"/>
          <w:szCs w:val="24"/>
        </w:rPr>
        <w:t xml:space="preserve">, T. S., &amp; </w:t>
      </w:r>
      <w:proofErr w:type="spellStart"/>
      <w:r w:rsidRPr="000551D9">
        <w:rPr>
          <w:rFonts w:ascii="Times New Roman" w:hAnsi="Times New Roman" w:cs="Times New Roman"/>
          <w:sz w:val="24"/>
          <w:szCs w:val="24"/>
        </w:rPr>
        <w:t>Belew</w:t>
      </w:r>
      <w:proofErr w:type="spellEnd"/>
      <w:r w:rsidRPr="000551D9">
        <w:rPr>
          <w:rFonts w:ascii="Times New Roman" w:hAnsi="Times New Roman" w:cs="Times New Roman"/>
          <w:sz w:val="24"/>
          <w:szCs w:val="24"/>
        </w:rPr>
        <w:t>, D. (2013). Review on postharvest technology of banana fruit. </w:t>
      </w:r>
      <w:r w:rsidRPr="000551D9">
        <w:rPr>
          <w:rFonts w:ascii="Times New Roman" w:hAnsi="Times New Roman" w:cs="Times New Roman"/>
          <w:i/>
          <w:iCs/>
          <w:sz w:val="24"/>
          <w:szCs w:val="24"/>
        </w:rPr>
        <w:t>African Journal of Biotechnology</w:t>
      </w:r>
      <w:r w:rsidRPr="000551D9">
        <w:rPr>
          <w:rFonts w:ascii="Times New Roman" w:hAnsi="Times New Roman" w:cs="Times New Roman"/>
          <w:sz w:val="24"/>
          <w:szCs w:val="24"/>
        </w:rPr>
        <w:t>, </w:t>
      </w:r>
      <w:r w:rsidRPr="000551D9">
        <w:rPr>
          <w:rFonts w:ascii="Times New Roman" w:hAnsi="Times New Roman" w:cs="Times New Roman"/>
          <w:i/>
          <w:iCs/>
          <w:sz w:val="24"/>
          <w:szCs w:val="24"/>
        </w:rPr>
        <w:t>12</w:t>
      </w:r>
      <w:r w:rsidRPr="000551D9">
        <w:rPr>
          <w:rFonts w:ascii="Times New Roman" w:hAnsi="Times New Roman" w:cs="Times New Roman"/>
          <w:sz w:val="24"/>
          <w:szCs w:val="24"/>
        </w:rPr>
        <w:t>(7), 635-647.</w:t>
      </w:r>
    </w:p>
    <w:p w14:paraId="6122F00A" w14:textId="77777777" w:rsidR="00D07CD2" w:rsidRDefault="00D07CD2" w:rsidP="002D29FF">
      <w:pPr>
        <w:ind w:left="1134" w:hanging="1134"/>
        <w:jc w:val="both"/>
        <w:rPr>
          <w:rFonts w:ascii="Times New Roman" w:hAnsi="Times New Roman" w:cs="Times New Roman"/>
          <w:sz w:val="24"/>
          <w:szCs w:val="24"/>
        </w:rPr>
      </w:pPr>
      <w:r w:rsidRPr="000551D9">
        <w:rPr>
          <w:rFonts w:ascii="Times New Roman" w:hAnsi="Times New Roman" w:cs="Times New Roman"/>
          <w:sz w:val="24"/>
          <w:szCs w:val="24"/>
        </w:rPr>
        <w:t>Hewett, E. W. (2006). An overview of preharvest factors influencing postharvest quality of horticultural products. </w:t>
      </w:r>
      <w:r w:rsidRPr="000551D9">
        <w:rPr>
          <w:rFonts w:ascii="Times New Roman" w:hAnsi="Times New Roman" w:cs="Times New Roman"/>
          <w:i/>
          <w:iCs/>
          <w:sz w:val="24"/>
          <w:szCs w:val="24"/>
        </w:rPr>
        <w:t>International Journal of Postharvest Technology and Innovation</w:t>
      </w:r>
      <w:r w:rsidRPr="000551D9">
        <w:rPr>
          <w:rFonts w:ascii="Times New Roman" w:hAnsi="Times New Roman" w:cs="Times New Roman"/>
          <w:sz w:val="24"/>
          <w:szCs w:val="24"/>
        </w:rPr>
        <w:t>, </w:t>
      </w:r>
      <w:r w:rsidRPr="000551D9">
        <w:rPr>
          <w:rFonts w:ascii="Times New Roman" w:hAnsi="Times New Roman" w:cs="Times New Roman"/>
          <w:i/>
          <w:iCs/>
          <w:sz w:val="24"/>
          <w:szCs w:val="24"/>
        </w:rPr>
        <w:t>1</w:t>
      </w:r>
      <w:r w:rsidRPr="000551D9">
        <w:rPr>
          <w:rFonts w:ascii="Times New Roman" w:hAnsi="Times New Roman" w:cs="Times New Roman"/>
          <w:sz w:val="24"/>
          <w:szCs w:val="24"/>
        </w:rPr>
        <w:t>(1), 4-15.</w:t>
      </w:r>
    </w:p>
    <w:p w14:paraId="145FAC77" w14:textId="77777777" w:rsidR="00D07CD2" w:rsidRDefault="00D07CD2" w:rsidP="002D29FF">
      <w:pPr>
        <w:ind w:left="1134" w:hanging="1134"/>
        <w:jc w:val="both"/>
        <w:rPr>
          <w:rFonts w:ascii="Times New Roman" w:hAnsi="Times New Roman" w:cs="Times New Roman"/>
          <w:sz w:val="24"/>
          <w:szCs w:val="24"/>
        </w:rPr>
      </w:pPr>
      <w:r w:rsidRPr="002D29FF">
        <w:rPr>
          <w:rFonts w:ascii="Times New Roman" w:hAnsi="Times New Roman" w:cs="Times New Roman"/>
          <w:sz w:val="24"/>
          <w:szCs w:val="24"/>
        </w:rPr>
        <w:t>Johns, G. G. (1996). Effects of bunch trimming and double bunch covering on yield of bananas during winter in New South Wales. </w:t>
      </w:r>
      <w:r w:rsidRPr="002D29FF">
        <w:rPr>
          <w:rFonts w:ascii="Times New Roman" w:hAnsi="Times New Roman" w:cs="Times New Roman"/>
          <w:i/>
          <w:iCs/>
          <w:sz w:val="24"/>
          <w:szCs w:val="24"/>
        </w:rPr>
        <w:t>Australian Journal of Experimental Agriculture</w:t>
      </w:r>
      <w:r w:rsidRPr="002D29FF">
        <w:rPr>
          <w:rFonts w:ascii="Times New Roman" w:hAnsi="Times New Roman" w:cs="Times New Roman"/>
          <w:sz w:val="24"/>
          <w:szCs w:val="24"/>
        </w:rPr>
        <w:t>, </w:t>
      </w:r>
      <w:r w:rsidRPr="002D29FF">
        <w:rPr>
          <w:rFonts w:ascii="Times New Roman" w:hAnsi="Times New Roman" w:cs="Times New Roman"/>
          <w:i/>
          <w:iCs/>
          <w:sz w:val="24"/>
          <w:szCs w:val="24"/>
        </w:rPr>
        <w:t>36</w:t>
      </w:r>
      <w:r w:rsidRPr="002D29FF">
        <w:rPr>
          <w:rFonts w:ascii="Times New Roman" w:hAnsi="Times New Roman" w:cs="Times New Roman"/>
          <w:sz w:val="24"/>
          <w:szCs w:val="24"/>
        </w:rPr>
        <w:t>(2), 229-235.</w:t>
      </w:r>
    </w:p>
    <w:p w14:paraId="35681C3C" w14:textId="77777777" w:rsidR="00D07CD2" w:rsidRDefault="00D07CD2" w:rsidP="002D29FF">
      <w:pPr>
        <w:ind w:left="1134" w:hanging="1134"/>
        <w:jc w:val="both"/>
        <w:rPr>
          <w:rFonts w:ascii="Times New Roman" w:hAnsi="Times New Roman" w:cs="Times New Roman"/>
          <w:sz w:val="24"/>
          <w:szCs w:val="24"/>
        </w:rPr>
      </w:pPr>
      <w:r w:rsidRPr="002D29FF">
        <w:rPr>
          <w:rFonts w:ascii="Times New Roman" w:hAnsi="Times New Roman" w:cs="Times New Roman"/>
          <w:sz w:val="24"/>
          <w:szCs w:val="24"/>
        </w:rPr>
        <w:t xml:space="preserve">Johns, G. G., &amp; Scott, K. J. (1989). Delayed harvesting of bananas </w:t>
      </w:r>
      <w:proofErr w:type="spellStart"/>
      <w:r w:rsidRPr="002D29FF">
        <w:rPr>
          <w:rFonts w:ascii="Times New Roman" w:hAnsi="Times New Roman" w:cs="Times New Roman"/>
          <w:sz w:val="24"/>
          <w:szCs w:val="24"/>
        </w:rPr>
        <w:t>with'sealed'covers</w:t>
      </w:r>
      <w:proofErr w:type="spellEnd"/>
      <w:r w:rsidRPr="002D29FF">
        <w:rPr>
          <w:rFonts w:ascii="Times New Roman" w:hAnsi="Times New Roman" w:cs="Times New Roman"/>
          <w:sz w:val="24"/>
          <w:szCs w:val="24"/>
        </w:rPr>
        <w:t xml:space="preserve"> on bunches. 1. Modified atmosphere and microclimate inside sealed covers. </w:t>
      </w:r>
      <w:r w:rsidRPr="002D29FF">
        <w:rPr>
          <w:rFonts w:ascii="Times New Roman" w:hAnsi="Times New Roman" w:cs="Times New Roman"/>
          <w:i/>
          <w:iCs/>
          <w:sz w:val="24"/>
          <w:szCs w:val="24"/>
        </w:rPr>
        <w:t>Australian Journal of Experimental Agriculture</w:t>
      </w:r>
      <w:r w:rsidRPr="002D29FF">
        <w:rPr>
          <w:rFonts w:ascii="Times New Roman" w:hAnsi="Times New Roman" w:cs="Times New Roman"/>
          <w:sz w:val="24"/>
          <w:szCs w:val="24"/>
        </w:rPr>
        <w:t>, </w:t>
      </w:r>
      <w:r w:rsidRPr="002D29FF">
        <w:rPr>
          <w:rFonts w:ascii="Times New Roman" w:hAnsi="Times New Roman" w:cs="Times New Roman"/>
          <w:i/>
          <w:iCs/>
          <w:sz w:val="24"/>
          <w:szCs w:val="24"/>
        </w:rPr>
        <w:t>29</w:t>
      </w:r>
      <w:r w:rsidRPr="002D29FF">
        <w:rPr>
          <w:rFonts w:ascii="Times New Roman" w:hAnsi="Times New Roman" w:cs="Times New Roman"/>
          <w:sz w:val="24"/>
          <w:szCs w:val="24"/>
        </w:rPr>
        <w:t>(5), 719-726.</w:t>
      </w:r>
    </w:p>
    <w:p w14:paraId="760FFCD0" w14:textId="77777777" w:rsidR="00D07CD2" w:rsidRDefault="00D07CD2" w:rsidP="002D29FF">
      <w:pPr>
        <w:ind w:left="1134" w:hanging="1134"/>
        <w:jc w:val="both"/>
        <w:rPr>
          <w:rFonts w:ascii="Times New Roman" w:hAnsi="Times New Roman" w:cs="Times New Roman"/>
          <w:sz w:val="24"/>
          <w:szCs w:val="24"/>
        </w:rPr>
      </w:pPr>
      <w:r w:rsidRPr="002D29FF">
        <w:rPr>
          <w:rFonts w:ascii="Times New Roman" w:hAnsi="Times New Roman" w:cs="Times New Roman"/>
          <w:sz w:val="24"/>
          <w:szCs w:val="24"/>
        </w:rPr>
        <w:t>Santosh, D. T., Tiwari, K. N., &amp; Reddy, R. G. (2017). Banana bunch covers for quality banana production-a review. </w:t>
      </w:r>
      <w:r w:rsidRPr="002D29FF">
        <w:rPr>
          <w:rFonts w:ascii="Times New Roman" w:hAnsi="Times New Roman" w:cs="Times New Roman"/>
          <w:i/>
          <w:iCs/>
          <w:sz w:val="24"/>
          <w:szCs w:val="24"/>
        </w:rPr>
        <w:t xml:space="preserve">Int. J. </w:t>
      </w:r>
      <w:proofErr w:type="spellStart"/>
      <w:r w:rsidRPr="002D29FF">
        <w:rPr>
          <w:rFonts w:ascii="Times New Roman" w:hAnsi="Times New Roman" w:cs="Times New Roman"/>
          <w:i/>
          <w:iCs/>
          <w:sz w:val="24"/>
          <w:szCs w:val="24"/>
        </w:rPr>
        <w:t>Curr</w:t>
      </w:r>
      <w:proofErr w:type="spellEnd"/>
      <w:r w:rsidRPr="002D29FF">
        <w:rPr>
          <w:rFonts w:ascii="Times New Roman" w:hAnsi="Times New Roman" w:cs="Times New Roman"/>
          <w:i/>
          <w:iCs/>
          <w:sz w:val="24"/>
          <w:szCs w:val="24"/>
        </w:rPr>
        <w:t xml:space="preserve">. </w:t>
      </w:r>
      <w:proofErr w:type="spellStart"/>
      <w:r w:rsidRPr="002D29FF">
        <w:rPr>
          <w:rFonts w:ascii="Times New Roman" w:hAnsi="Times New Roman" w:cs="Times New Roman"/>
          <w:i/>
          <w:iCs/>
          <w:sz w:val="24"/>
          <w:szCs w:val="24"/>
        </w:rPr>
        <w:t>Microbiol</w:t>
      </w:r>
      <w:proofErr w:type="spellEnd"/>
      <w:r w:rsidRPr="002D29FF">
        <w:rPr>
          <w:rFonts w:ascii="Times New Roman" w:hAnsi="Times New Roman" w:cs="Times New Roman"/>
          <w:i/>
          <w:iCs/>
          <w:sz w:val="24"/>
          <w:szCs w:val="24"/>
        </w:rPr>
        <w:t>. Appl. Sci</w:t>
      </w:r>
      <w:r w:rsidRPr="002D29FF">
        <w:rPr>
          <w:rFonts w:ascii="Times New Roman" w:hAnsi="Times New Roman" w:cs="Times New Roman"/>
          <w:sz w:val="24"/>
          <w:szCs w:val="24"/>
        </w:rPr>
        <w:t>, </w:t>
      </w:r>
      <w:r w:rsidRPr="002D29FF">
        <w:rPr>
          <w:rFonts w:ascii="Times New Roman" w:hAnsi="Times New Roman" w:cs="Times New Roman"/>
          <w:i/>
          <w:iCs/>
          <w:sz w:val="24"/>
          <w:szCs w:val="24"/>
        </w:rPr>
        <w:t>6</w:t>
      </w:r>
      <w:r w:rsidRPr="002D29FF">
        <w:rPr>
          <w:rFonts w:ascii="Times New Roman" w:hAnsi="Times New Roman" w:cs="Times New Roman"/>
          <w:sz w:val="24"/>
          <w:szCs w:val="24"/>
        </w:rPr>
        <w:t>(7), 1275-1291.</w:t>
      </w:r>
    </w:p>
    <w:p w14:paraId="5E62C1A7" w14:textId="77777777" w:rsidR="00D07CD2" w:rsidRDefault="00D07CD2" w:rsidP="002D29FF">
      <w:pPr>
        <w:ind w:left="1134" w:hanging="1134"/>
        <w:jc w:val="both"/>
        <w:rPr>
          <w:rFonts w:ascii="Times New Roman" w:hAnsi="Times New Roman" w:cs="Times New Roman"/>
          <w:sz w:val="24"/>
          <w:szCs w:val="24"/>
        </w:rPr>
      </w:pPr>
      <w:proofErr w:type="spellStart"/>
      <w:r w:rsidRPr="009063BE">
        <w:rPr>
          <w:rFonts w:ascii="Times New Roman" w:hAnsi="Times New Roman" w:cs="Times New Roman"/>
          <w:sz w:val="24"/>
          <w:szCs w:val="24"/>
        </w:rPr>
        <w:t>Shewfelt</w:t>
      </w:r>
      <w:proofErr w:type="spellEnd"/>
      <w:r w:rsidRPr="009063BE">
        <w:rPr>
          <w:rFonts w:ascii="Times New Roman" w:hAnsi="Times New Roman" w:cs="Times New Roman"/>
          <w:sz w:val="24"/>
          <w:szCs w:val="24"/>
        </w:rPr>
        <w:t>, R. L. (2014). Measuring quality and maturity. In </w:t>
      </w:r>
      <w:r w:rsidRPr="009063BE">
        <w:rPr>
          <w:rFonts w:ascii="Times New Roman" w:hAnsi="Times New Roman" w:cs="Times New Roman"/>
          <w:i/>
          <w:iCs/>
          <w:sz w:val="24"/>
          <w:szCs w:val="24"/>
        </w:rPr>
        <w:t>Postharvest handling</w:t>
      </w:r>
      <w:r w:rsidRPr="009063BE">
        <w:rPr>
          <w:rFonts w:ascii="Times New Roman" w:hAnsi="Times New Roman" w:cs="Times New Roman"/>
          <w:sz w:val="24"/>
          <w:szCs w:val="24"/>
        </w:rPr>
        <w:t> (pp. 387-410). Academic Press.</w:t>
      </w:r>
    </w:p>
    <w:p w14:paraId="0DAC1AE2" w14:textId="77777777" w:rsidR="00D07CD2" w:rsidRDefault="00D07CD2" w:rsidP="002D29FF">
      <w:pPr>
        <w:ind w:left="1134" w:hanging="1134"/>
        <w:jc w:val="both"/>
        <w:rPr>
          <w:rFonts w:ascii="Times New Roman" w:hAnsi="Times New Roman" w:cs="Times New Roman"/>
          <w:sz w:val="24"/>
          <w:szCs w:val="24"/>
        </w:rPr>
      </w:pPr>
      <w:r w:rsidRPr="009063BE">
        <w:rPr>
          <w:rFonts w:ascii="Times New Roman" w:hAnsi="Times New Roman" w:cs="Times New Roman"/>
          <w:sz w:val="24"/>
          <w:szCs w:val="24"/>
        </w:rPr>
        <w:t>Snowden, A.L. 2010. A colour atlas of postharvest disease and disorders of fruits and vegetables. introductions and Vol. 1, fruits. General Manson Publishing Ltd. UK.</w:t>
      </w:r>
    </w:p>
    <w:p w14:paraId="1E900334" w14:textId="77777777" w:rsidR="00D07CD2" w:rsidRDefault="00D07CD2" w:rsidP="002D29FF">
      <w:pPr>
        <w:ind w:left="1134" w:hanging="1134"/>
        <w:jc w:val="both"/>
        <w:rPr>
          <w:rFonts w:ascii="Times New Roman" w:hAnsi="Times New Roman" w:cs="Times New Roman"/>
          <w:sz w:val="24"/>
          <w:szCs w:val="24"/>
        </w:rPr>
      </w:pPr>
      <w:r w:rsidRPr="009063BE">
        <w:rPr>
          <w:rFonts w:ascii="Times New Roman" w:hAnsi="Times New Roman" w:cs="Times New Roman"/>
          <w:sz w:val="24"/>
          <w:szCs w:val="24"/>
        </w:rPr>
        <w:t xml:space="preserve">Soto, M. (2010). </w:t>
      </w:r>
      <w:proofErr w:type="spellStart"/>
      <w:r w:rsidRPr="009063BE">
        <w:rPr>
          <w:rFonts w:ascii="Times New Roman" w:hAnsi="Times New Roman" w:cs="Times New Roman"/>
          <w:sz w:val="24"/>
          <w:szCs w:val="24"/>
        </w:rPr>
        <w:t>Banano</w:t>
      </w:r>
      <w:proofErr w:type="spellEnd"/>
      <w:r w:rsidRPr="009063BE">
        <w:rPr>
          <w:rFonts w:ascii="Times New Roman" w:hAnsi="Times New Roman" w:cs="Times New Roman"/>
          <w:sz w:val="24"/>
          <w:szCs w:val="24"/>
        </w:rPr>
        <w:t xml:space="preserve">: </w:t>
      </w:r>
      <w:proofErr w:type="spellStart"/>
      <w:r w:rsidRPr="009063BE">
        <w:rPr>
          <w:rFonts w:ascii="Times New Roman" w:hAnsi="Times New Roman" w:cs="Times New Roman"/>
          <w:sz w:val="24"/>
          <w:szCs w:val="24"/>
        </w:rPr>
        <w:t>Tecnologias</w:t>
      </w:r>
      <w:proofErr w:type="spellEnd"/>
      <w:r w:rsidRPr="009063BE">
        <w:rPr>
          <w:rFonts w:ascii="Times New Roman" w:hAnsi="Times New Roman" w:cs="Times New Roman"/>
          <w:sz w:val="24"/>
          <w:szCs w:val="24"/>
        </w:rPr>
        <w:t xml:space="preserve"> de </w:t>
      </w:r>
      <w:proofErr w:type="spellStart"/>
      <w:r w:rsidRPr="009063BE">
        <w:rPr>
          <w:rFonts w:ascii="Times New Roman" w:hAnsi="Times New Roman" w:cs="Times New Roman"/>
          <w:sz w:val="24"/>
          <w:szCs w:val="24"/>
        </w:rPr>
        <w:t>producción</w:t>
      </w:r>
      <w:proofErr w:type="spellEnd"/>
      <w:r w:rsidRPr="009063BE">
        <w:rPr>
          <w:rFonts w:ascii="Times New Roman" w:hAnsi="Times New Roman" w:cs="Times New Roman"/>
          <w:sz w:val="24"/>
          <w:szCs w:val="24"/>
        </w:rPr>
        <w:t xml:space="preserve">, </w:t>
      </w:r>
      <w:proofErr w:type="spellStart"/>
      <w:r w:rsidRPr="009063BE">
        <w:rPr>
          <w:rFonts w:ascii="Times New Roman" w:hAnsi="Times New Roman" w:cs="Times New Roman"/>
          <w:sz w:val="24"/>
          <w:szCs w:val="24"/>
        </w:rPr>
        <w:t>Tomo</w:t>
      </w:r>
      <w:proofErr w:type="spellEnd"/>
      <w:r w:rsidRPr="009063BE">
        <w:rPr>
          <w:rFonts w:ascii="Times New Roman" w:hAnsi="Times New Roman" w:cs="Times New Roman"/>
          <w:sz w:val="24"/>
          <w:szCs w:val="24"/>
        </w:rPr>
        <w:t xml:space="preserve"> II. </w:t>
      </w:r>
      <w:r w:rsidRPr="009063BE">
        <w:rPr>
          <w:rFonts w:ascii="Times New Roman" w:hAnsi="Times New Roman" w:cs="Times New Roman"/>
          <w:i/>
          <w:iCs/>
          <w:sz w:val="24"/>
          <w:szCs w:val="24"/>
        </w:rPr>
        <w:t>Costa Rica</w:t>
      </w:r>
      <w:r w:rsidRPr="009063BE">
        <w:rPr>
          <w:rFonts w:ascii="Times New Roman" w:hAnsi="Times New Roman" w:cs="Times New Roman"/>
          <w:sz w:val="24"/>
          <w:szCs w:val="24"/>
        </w:rPr>
        <w:t>.</w:t>
      </w:r>
    </w:p>
    <w:p w14:paraId="15D7B716" w14:textId="77777777" w:rsidR="00D07CD2" w:rsidRDefault="00D07CD2" w:rsidP="00FA064C">
      <w:pPr>
        <w:pStyle w:val="NormalWeb"/>
        <w:spacing w:before="0" w:beforeAutospacing="0" w:after="0" w:afterAutospacing="0"/>
        <w:ind w:left="1134" w:hanging="1134"/>
      </w:pPr>
      <w:proofErr w:type="spellStart"/>
      <w:r w:rsidRPr="008B3BAA">
        <w:t>Thakare</w:t>
      </w:r>
      <w:proofErr w:type="spellEnd"/>
      <w:r w:rsidRPr="008B3BAA">
        <w:t xml:space="preserve">, U. G., &amp; Ingle, P. O. (2007). A scale to measure socio-economic status of farmers in Vidarbha region. </w:t>
      </w:r>
      <w:r w:rsidRPr="008B3BAA">
        <w:rPr>
          <w:rStyle w:val="Emphasis"/>
        </w:rPr>
        <w:t>PKV Research Journal, 31</w:t>
      </w:r>
      <w:r w:rsidRPr="008B3BAA">
        <w:t>(2), 65–70.</w:t>
      </w:r>
    </w:p>
    <w:p w14:paraId="0F978EA0" w14:textId="77777777" w:rsidR="00D07CD2" w:rsidRPr="008B3BAA" w:rsidRDefault="00D07CD2" w:rsidP="00FA064C">
      <w:pPr>
        <w:pStyle w:val="NormalWeb"/>
        <w:spacing w:before="0" w:beforeAutospacing="0" w:after="0" w:afterAutospacing="0"/>
        <w:ind w:left="1134" w:hanging="1134"/>
      </w:pPr>
      <w:r w:rsidRPr="00D07CD2">
        <w:t xml:space="preserve">UG </w:t>
      </w:r>
      <w:proofErr w:type="spellStart"/>
      <w:r w:rsidRPr="00D07CD2">
        <w:t>Thakare</w:t>
      </w:r>
      <w:proofErr w:type="spellEnd"/>
      <w:r w:rsidRPr="00D07CD2">
        <w:t>. Attributers of the technologies intervened through frontline demonstrations. Int J Agric Extension Social Dev 2025;8(9):170-175. DOI: </w:t>
      </w:r>
      <w:hyperlink r:id="rId10" w:tgtFrame="_blank" w:history="1">
        <w:r w:rsidRPr="00D07CD2">
          <w:rPr>
            <w:rStyle w:val="Hyperlink"/>
          </w:rPr>
          <w:t>10.33545/26180723.2025.v8.i9c.2394</w:t>
        </w:r>
      </w:hyperlink>
    </w:p>
    <w:p w14:paraId="44475C7A" w14:textId="77777777" w:rsidR="00D07CD2" w:rsidRDefault="00D07CD2" w:rsidP="002D29FF">
      <w:pPr>
        <w:ind w:left="1134" w:hanging="1134"/>
        <w:jc w:val="both"/>
        <w:rPr>
          <w:rFonts w:ascii="Times New Roman" w:hAnsi="Times New Roman" w:cs="Times New Roman"/>
          <w:sz w:val="24"/>
          <w:szCs w:val="24"/>
        </w:rPr>
      </w:pPr>
      <w:r w:rsidRPr="002D29FF">
        <w:rPr>
          <w:rFonts w:ascii="Times New Roman" w:hAnsi="Times New Roman" w:cs="Times New Roman"/>
          <w:sz w:val="24"/>
          <w:szCs w:val="24"/>
        </w:rPr>
        <w:t xml:space="preserve">Weerasinghe, S. S., &amp; </w:t>
      </w:r>
      <w:proofErr w:type="spellStart"/>
      <w:r w:rsidRPr="002D29FF">
        <w:rPr>
          <w:rFonts w:ascii="Times New Roman" w:hAnsi="Times New Roman" w:cs="Times New Roman"/>
          <w:sz w:val="24"/>
          <w:szCs w:val="24"/>
        </w:rPr>
        <w:t>Ruwanpathirana</w:t>
      </w:r>
      <w:proofErr w:type="spellEnd"/>
      <w:r w:rsidRPr="002D29FF">
        <w:rPr>
          <w:rFonts w:ascii="Times New Roman" w:hAnsi="Times New Roman" w:cs="Times New Roman"/>
          <w:sz w:val="24"/>
          <w:szCs w:val="24"/>
        </w:rPr>
        <w:t>, K. H. (2002). Influence of bagging material on bunch development of banana (Musa spp.) under high density planting system. </w:t>
      </w:r>
      <w:r w:rsidRPr="002D29FF">
        <w:rPr>
          <w:rFonts w:ascii="Times New Roman" w:hAnsi="Times New Roman" w:cs="Times New Roman"/>
          <w:i/>
          <w:iCs/>
          <w:sz w:val="24"/>
          <w:szCs w:val="24"/>
        </w:rPr>
        <w:t>Annals of Sri Lanka Department of Agriculture</w:t>
      </w:r>
      <w:r w:rsidRPr="002D29FF">
        <w:rPr>
          <w:rFonts w:ascii="Times New Roman" w:hAnsi="Times New Roman" w:cs="Times New Roman"/>
          <w:sz w:val="24"/>
          <w:szCs w:val="24"/>
        </w:rPr>
        <w:t>, </w:t>
      </w:r>
      <w:r w:rsidRPr="002D29FF">
        <w:rPr>
          <w:rFonts w:ascii="Times New Roman" w:hAnsi="Times New Roman" w:cs="Times New Roman"/>
          <w:i/>
          <w:iCs/>
          <w:sz w:val="24"/>
          <w:szCs w:val="24"/>
        </w:rPr>
        <w:t>4</w:t>
      </w:r>
      <w:r w:rsidRPr="002D29FF">
        <w:rPr>
          <w:rFonts w:ascii="Times New Roman" w:hAnsi="Times New Roman" w:cs="Times New Roman"/>
          <w:sz w:val="24"/>
          <w:szCs w:val="24"/>
        </w:rPr>
        <w:t>, 47-53.</w:t>
      </w:r>
    </w:p>
    <w:p w14:paraId="611056D7" w14:textId="77777777" w:rsidR="00FA064C" w:rsidRPr="007F099A" w:rsidRDefault="00FA064C" w:rsidP="002D29FF">
      <w:pPr>
        <w:ind w:left="1134" w:hanging="1134"/>
        <w:jc w:val="both"/>
        <w:rPr>
          <w:rFonts w:ascii="Times New Roman" w:hAnsi="Times New Roman" w:cs="Times New Roman"/>
          <w:sz w:val="24"/>
          <w:szCs w:val="24"/>
        </w:rPr>
      </w:pPr>
    </w:p>
    <w:sectPr w:rsidR="00FA064C" w:rsidRPr="007F099A">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B7B1F3" w14:textId="77777777" w:rsidR="008C4E8C" w:rsidRDefault="008C4E8C" w:rsidP="00ED57B6">
      <w:pPr>
        <w:spacing w:after="0" w:line="240" w:lineRule="auto"/>
      </w:pPr>
      <w:r>
        <w:separator/>
      </w:r>
    </w:p>
  </w:endnote>
  <w:endnote w:type="continuationSeparator" w:id="0">
    <w:p w14:paraId="59B89B3A" w14:textId="77777777" w:rsidR="008C4E8C" w:rsidRDefault="008C4E8C" w:rsidP="00ED57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417B5" w14:textId="77777777" w:rsidR="00ED57B6" w:rsidRDefault="00ED5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A1CD6" w14:textId="77777777" w:rsidR="00ED57B6" w:rsidRDefault="00ED57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5767DA" w14:textId="77777777" w:rsidR="00ED57B6" w:rsidRDefault="00ED57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8EC4F0" w14:textId="77777777" w:rsidR="008C4E8C" w:rsidRDefault="008C4E8C" w:rsidP="00ED57B6">
      <w:pPr>
        <w:spacing w:after="0" w:line="240" w:lineRule="auto"/>
      </w:pPr>
      <w:r>
        <w:separator/>
      </w:r>
    </w:p>
  </w:footnote>
  <w:footnote w:type="continuationSeparator" w:id="0">
    <w:p w14:paraId="333D2A81" w14:textId="77777777" w:rsidR="008C4E8C" w:rsidRDefault="008C4E8C" w:rsidP="00ED57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5B48D" w14:textId="04D195F9" w:rsidR="00ED57B6" w:rsidRDefault="00ED57B6">
    <w:pPr>
      <w:pStyle w:val="Header"/>
    </w:pPr>
    <w:r>
      <w:rPr>
        <w:noProof/>
      </w:rPr>
      <w:pict w14:anchorId="104D69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7" o:sp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0242F" w14:textId="3674CFB1" w:rsidR="00ED57B6" w:rsidRDefault="00ED57B6">
    <w:pPr>
      <w:pStyle w:val="Header"/>
    </w:pPr>
    <w:r>
      <w:rPr>
        <w:noProof/>
      </w:rPr>
      <w:pict w14:anchorId="00396F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8" o:sp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5205A" w14:textId="0556486D" w:rsidR="00ED57B6" w:rsidRDefault="00ED57B6">
    <w:pPr>
      <w:pStyle w:val="Header"/>
    </w:pPr>
    <w:r>
      <w:rPr>
        <w:noProof/>
      </w:rPr>
      <w:pict w14:anchorId="262F7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6"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5614AE"/>
    <w:multiLevelType w:val="multilevel"/>
    <w:tmpl w:val="2628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8A2AFA"/>
    <w:multiLevelType w:val="multilevel"/>
    <w:tmpl w:val="047C7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034170"/>
    <w:multiLevelType w:val="multilevel"/>
    <w:tmpl w:val="3F923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E4D51DA"/>
    <w:multiLevelType w:val="multilevel"/>
    <w:tmpl w:val="C8A6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B8D7963"/>
    <w:multiLevelType w:val="multilevel"/>
    <w:tmpl w:val="533A6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0DA"/>
    <w:rsid w:val="00007091"/>
    <w:rsid w:val="000551D9"/>
    <w:rsid w:val="00181FE1"/>
    <w:rsid w:val="001F6997"/>
    <w:rsid w:val="002D29FF"/>
    <w:rsid w:val="00336A68"/>
    <w:rsid w:val="00525E46"/>
    <w:rsid w:val="00597E61"/>
    <w:rsid w:val="006A4608"/>
    <w:rsid w:val="006F25F3"/>
    <w:rsid w:val="007377FF"/>
    <w:rsid w:val="007F099A"/>
    <w:rsid w:val="008C4E8C"/>
    <w:rsid w:val="009063BE"/>
    <w:rsid w:val="009665B2"/>
    <w:rsid w:val="00A3761D"/>
    <w:rsid w:val="00B0545F"/>
    <w:rsid w:val="00B1024D"/>
    <w:rsid w:val="00CA1630"/>
    <w:rsid w:val="00D07CD2"/>
    <w:rsid w:val="00D65FCD"/>
    <w:rsid w:val="00E076A3"/>
    <w:rsid w:val="00ED30DA"/>
    <w:rsid w:val="00ED57B6"/>
    <w:rsid w:val="00F20CFE"/>
    <w:rsid w:val="00FA064C"/>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39C868C"/>
  <w14:defaultImageDpi w14:val="32767"/>
  <w15:chartTrackingRefBased/>
  <w15:docId w15:val="{2C912CEA-4A1A-4A2E-84B1-BD5ED01B8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D29FF"/>
  </w:style>
  <w:style w:type="paragraph" w:styleId="Heading1">
    <w:name w:val="heading 1"/>
    <w:basedOn w:val="Normal"/>
    <w:next w:val="Normal"/>
    <w:link w:val="Heading1Char"/>
    <w:uiPriority w:val="9"/>
    <w:qFormat/>
    <w:rsid w:val="00ED30D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ED30D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ED30D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D30D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D30D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D30D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30D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30D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30D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0D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ED30D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ED30D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D30D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D30D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D30D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30D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30D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30DA"/>
    <w:rPr>
      <w:rFonts w:eastAsiaTheme="majorEastAsia" w:cstheme="majorBidi"/>
      <w:color w:val="272727" w:themeColor="text1" w:themeTint="D8"/>
    </w:rPr>
  </w:style>
  <w:style w:type="paragraph" w:styleId="Title">
    <w:name w:val="Title"/>
    <w:basedOn w:val="Normal"/>
    <w:next w:val="Normal"/>
    <w:link w:val="TitleChar"/>
    <w:uiPriority w:val="10"/>
    <w:qFormat/>
    <w:rsid w:val="00ED30D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30D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30D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30D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30DA"/>
    <w:pPr>
      <w:spacing w:before="160"/>
      <w:jc w:val="center"/>
    </w:pPr>
    <w:rPr>
      <w:i/>
      <w:iCs/>
      <w:color w:val="404040" w:themeColor="text1" w:themeTint="BF"/>
    </w:rPr>
  </w:style>
  <w:style w:type="character" w:customStyle="1" w:styleId="QuoteChar">
    <w:name w:val="Quote Char"/>
    <w:basedOn w:val="DefaultParagraphFont"/>
    <w:link w:val="Quote"/>
    <w:uiPriority w:val="29"/>
    <w:rsid w:val="00ED30DA"/>
    <w:rPr>
      <w:i/>
      <w:iCs/>
      <w:color w:val="404040" w:themeColor="text1" w:themeTint="BF"/>
    </w:rPr>
  </w:style>
  <w:style w:type="paragraph" w:styleId="ListParagraph">
    <w:name w:val="List Paragraph"/>
    <w:basedOn w:val="Normal"/>
    <w:uiPriority w:val="34"/>
    <w:qFormat/>
    <w:rsid w:val="00ED30DA"/>
    <w:pPr>
      <w:ind w:left="720"/>
      <w:contextualSpacing/>
    </w:pPr>
  </w:style>
  <w:style w:type="character" w:styleId="IntenseEmphasis">
    <w:name w:val="Intense Emphasis"/>
    <w:basedOn w:val="DefaultParagraphFont"/>
    <w:uiPriority w:val="21"/>
    <w:qFormat/>
    <w:rsid w:val="00ED30DA"/>
    <w:rPr>
      <w:i/>
      <w:iCs/>
      <w:color w:val="2F5496" w:themeColor="accent1" w:themeShade="BF"/>
    </w:rPr>
  </w:style>
  <w:style w:type="paragraph" w:styleId="IntenseQuote">
    <w:name w:val="Intense Quote"/>
    <w:basedOn w:val="Normal"/>
    <w:next w:val="Normal"/>
    <w:link w:val="IntenseQuoteChar"/>
    <w:uiPriority w:val="30"/>
    <w:qFormat/>
    <w:rsid w:val="00ED30D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D30DA"/>
    <w:rPr>
      <w:i/>
      <w:iCs/>
      <w:color w:val="2F5496" w:themeColor="accent1" w:themeShade="BF"/>
    </w:rPr>
  </w:style>
  <w:style w:type="character" w:styleId="IntenseReference">
    <w:name w:val="Intense Reference"/>
    <w:basedOn w:val="DefaultParagraphFont"/>
    <w:uiPriority w:val="32"/>
    <w:qFormat/>
    <w:rsid w:val="00ED30DA"/>
    <w:rPr>
      <w:b/>
      <w:bCs/>
      <w:smallCaps/>
      <w:color w:val="2F5496" w:themeColor="accent1" w:themeShade="BF"/>
      <w:spacing w:val="5"/>
    </w:rPr>
  </w:style>
  <w:style w:type="paragraph" w:styleId="NormalWeb">
    <w:name w:val="Normal (Web)"/>
    <w:basedOn w:val="Normal"/>
    <w:uiPriority w:val="99"/>
    <w:unhideWhenUsed/>
    <w:rsid w:val="00ED30DA"/>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 w:type="character" w:styleId="Strong">
    <w:name w:val="Strong"/>
    <w:basedOn w:val="DefaultParagraphFont"/>
    <w:uiPriority w:val="22"/>
    <w:qFormat/>
    <w:rsid w:val="00ED30DA"/>
    <w:rPr>
      <w:b/>
      <w:bCs/>
    </w:rPr>
  </w:style>
  <w:style w:type="table" w:styleId="TableGrid">
    <w:name w:val="Table Grid"/>
    <w:basedOn w:val="TableNormal"/>
    <w:uiPriority w:val="39"/>
    <w:rsid w:val="007F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7F099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7F099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7F099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yperlink">
    <w:name w:val="Hyperlink"/>
    <w:basedOn w:val="DefaultParagraphFont"/>
    <w:uiPriority w:val="99"/>
    <w:unhideWhenUsed/>
    <w:rsid w:val="00B0545F"/>
    <w:rPr>
      <w:color w:val="0563C1"/>
      <w:u w:val="single"/>
    </w:rPr>
  </w:style>
  <w:style w:type="character" w:styleId="Emphasis">
    <w:name w:val="Emphasis"/>
    <w:basedOn w:val="DefaultParagraphFont"/>
    <w:uiPriority w:val="20"/>
    <w:qFormat/>
    <w:rsid w:val="00FA064C"/>
    <w:rPr>
      <w:i/>
      <w:iCs/>
    </w:rPr>
  </w:style>
  <w:style w:type="character" w:styleId="UnresolvedMention">
    <w:name w:val="Unresolved Mention"/>
    <w:basedOn w:val="DefaultParagraphFont"/>
    <w:uiPriority w:val="99"/>
    <w:semiHidden/>
    <w:unhideWhenUsed/>
    <w:rsid w:val="00D07CD2"/>
    <w:rPr>
      <w:color w:val="605E5C"/>
      <w:shd w:val="clear" w:color="auto" w:fill="E1DFDD"/>
    </w:rPr>
  </w:style>
  <w:style w:type="paragraph" w:styleId="Header">
    <w:name w:val="header"/>
    <w:basedOn w:val="Normal"/>
    <w:link w:val="HeaderChar"/>
    <w:uiPriority w:val="99"/>
    <w:unhideWhenUsed/>
    <w:rsid w:val="00ED57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57B6"/>
  </w:style>
  <w:style w:type="paragraph" w:styleId="Footer">
    <w:name w:val="footer"/>
    <w:basedOn w:val="Normal"/>
    <w:link w:val="FooterChar"/>
    <w:uiPriority w:val="99"/>
    <w:unhideWhenUsed/>
    <w:rsid w:val="00ED5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57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www.doi.org/10.33545/26180723.2025.v8.i9c.2394"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C63D22-D9FB-4C2C-ABBD-1F78CFCA2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7</Pages>
  <Words>3094</Words>
  <Characters>17642</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rushigmatale@outlook.com</dc:creator>
  <cp:keywords/>
  <dc:description/>
  <cp:lastModifiedBy>SDI 1084</cp:lastModifiedBy>
  <cp:revision>10</cp:revision>
  <dcterms:created xsi:type="dcterms:W3CDTF">2026-04-30T06:45:00Z</dcterms:created>
  <dcterms:modified xsi:type="dcterms:W3CDTF">2026-05-09T09:31:00Z</dcterms:modified>
</cp:coreProperties>
</file>