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101048" w14:textId="77777777" w:rsidR="00471D7F" w:rsidRDefault="00471D7F" w:rsidP="006C36B7">
      <w:pPr>
        <w:spacing w:after="240"/>
        <w:jc w:val="center"/>
        <w:rPr>
          <w:rFonts w:ascii="Times New Roman" w:eastAsia="Times New Roman" w:hAnsi="Times New Roman" w:cs="Times New Roman"/>
          <w:b/>
          <w:bCs/>
          <w:sz w:val="24"/>
          <w:szCs w:val="24"/>
        </w:rPr>
      </w:pPr>
      <w:r w:rsidRPr="00471D7F">
        <w:rPr>
          <w:rFonts w:ascii="Times New Roman" w:eastAsia="Times New Roman" w:hAnsi="Times New Roman" w:cs="Times New Roman"/>
          <w:b/>
          <w:bCs/>
          <w:sz w:val="24"/>
          <w:szCs w:val="24"/>
        </w:rPr>
        <w:t xml:space="preserve">Evaluation of Morpho-Physiological Traits and Biological Yield in </w:t>
      </w:r>
      <w:proofErr w:type="spellStart"/>
      <w:r w:rsidRPr="00471D7F">
        <w:rPr>
          <w:rFonts w:ascii="Times New Roman" w:eastAsia="Times New Roman" w:hAnsi="Times New Roman" w:cs="Times New Roman"/>
          <w:b/>
          <w:bCs/>
          <w:sz w:val="24"/>
          <w:szCs w:val="24"/>
        </w:rPr>
        <w:t>Coloured</w:t>
      </w:r>
      <w:proofErr w:type="spellEnd"/>
      <w:r w:rsidRPr="00471D7F">
        <w:rPr>
          <w:rFonts w:ascii="Times New Roman" w:eastAsia="Times New Roman" w:hAnsi="Times New Roman" w:cs="Times New Roman"/>
          <w:b/>
          <w:bCs/>
          <w:sz w:val="24"/>
          <w:szCs w:val="24"/>
        </w:rPr>
        <w:t xml:space="preserve"> Cauliflower (</w:t>
      </w:r>
      <w:r w:rsidRPr="00471D7F">
        <w:rPr>
          <w:rFonts w:ascii="Times New Roman" w:eastAsia="Times New Roman" w:hAnsi="Times New Roman" w:cs="Times New Roman"/>
          <w:b/>
          <w:bCs/>
          <w:i/>
          <w:sz w:val="24"/>
          <w:szCs w:val="24"/>
        </w:rPr>
        <w:t>Brassica oleracea</w:t>
      </w:r>
      <w:r w:rsidRPr="00471D7F">
        <w:rPr>
          <w:rFonts w:ascii="Times New Roman" w:eastAsia="Times New Roman" w:hAnsi="Times New Roman" w:cs="Times New Roman"/>
          <w:b/>
          <w:bCs/>
          <w:sz w:val="24"/>
          <w:szCs w:val="24"/>
        </w:rPr>
        <w:t xml:space="preserve"> var. </w:t>
      </w:r>
      <w:r w:rsidRPr="00471D7F">
        <w:rPr>
          <w:rFonts w:ascii="Times New Roman" w:eastAsia="Times New Roman" w:hAnsi="Times New Roman" w:cs="Times New Roman"/>
          <w:b/>
          <w:bCs/>
          <w:i/>
          <w:sz w:val="24"/>
          <w:szCs w:val="24"/>
        </w:rPr>
        <w:t>botrytis</w:t>
      </w:r>
      <w:r w:rsidRPr="00471D7F">
        <w:rPr>
          <w:rFonts w:ascii="Times New Roman" w:eastAsia="Times New Roman" w:hAnsi="Times New Roman" w:cs="Times New Roman"/>
          <w:b/>
          <w:bCs/>
          <w:sz w:val="24"/>
          <w:szCs w:val="24"/>
        </w:rPr>
        <w:t>) Cultivars under Subtropical Conditions of Prayagraj</w:t>
      </w:r>
    </w:p>
    <w:p w14:paraId="5793BB0F" w14:textId="39DA80E4" w:rsidR="002E03D1" w:rsidRDefault="002E03D1" w:rsidP="002E03D1">
      <w:pPr>
        <w:jc w:val="center"/>
        <w:rPr>
          <w:rFonts w:ascii="Times New Roman" w:eastAsia="Times New Roman" w:hAnsi="Times New Roman" w:cs="Times New Roman"/>
          <w:b/>
          <w:bCs/>
          <w:sz w:val="24"/>
          <w:szCs w:val="24"/>
        </w:rPr>
      </w:pPr>
    </w:p>
    <w:p w14:paraId="0E8F76E2" w14:textId="30D07D97" w:rsidR="00A4224F" w:rsidRDefault="00A4224F" w:rsidP="002E03D1">
      <w:pPr>
        <w:jc w:val="center"/>
        <w:rPr>
          <w:rFonts w:ascii="Times New Roman" w:eastAsia="Times New Roman" w:hAnsi="Times New Roman" w:cs="Times New Roman"/>
          <w:b/>
          <w:bCs/>
          <w:sz w:val="24"/>
          <w:szCs w:val="24"/>
        </w:rPr>
      </w:pPr>
    </w:p>
    <w:p w14:paraId="496EDA41" w14:textId="77777777" w:rsidR="00A4224F" w:rsidRPr="002E03D1" w:rsidRDefault="00A4224F" w:rsidP="002E03D1">
      <w:pPr>
        <w:jc w:val="center"/>
        <w:rPr>
          <w:rFonts w:ascii="Times New Roman" w:eastAsia="Times New Roman" w:hAnsi="Times New Roman" w:cs="Times New Roman"/>
          <w:b/>
          <w:bCs/>
          <w:sz w:val="24"/>
          <w:szCs w:val="24"/>
        </w:rPr>
      </w:pPr>
    </w:p>
    <w:p w14:paraId="597C0BE2" w14:textId="77777777" w:rsidR="00BF2DB9" w:rsidRDefault="00BF2DB9" w:rsidP="0030549D">
      <w:pPr>
        <w:spacing w:before="240" w:after="240"/>
        <w:jc w:val="both"/>
        <w:rPr>
          <w:rFonts w:ascii="Times New Roman" w:eastAsia="Times New Roman" w:hAnsi="Times New Roman" w:cs="Times New Roman"/>
          <w:b/>
          <w:bCs/>
          <w:sz w:val="24"/>
          <w:szCs w:val="24"/>
        </w:rPr>
      </w:pPr>
    </w:p>
    <w:p w14:paraId="06E0CA5A" w14:textId="77777777" w:rsidR="0030549D" w:rsidRPr="0030549D" w:rsidRDefault="0030549D" w:rsidP="0030549D">
      <w:pPr>
        <w:spacing w:before="240" w:after="240"/>
        <w:jc w:val="both"/>
        <w:rPr>
          <w:rFonts w:ascii="Times New Roman" w:eastAsia="Times New Roman" w:hAnsi="Times New Roman" w:cs="Times New Roman"/>
          <w:sz w:val="24"/>
          <w:szCs w:val="24"/>
          <w:lang w:val="en-US"/>
        </w:rPr>
      </w:pPr>
      <w:r w:rsidRPr="0030549D">
        <w:rPr>
          <w:rFonts w:ascii="Times New Roman" w:eastAsia="Times New Roman" w:hAnsi="Times New Roman" w:cs="Times New Roman"/>
          <w:b/>
          <w:bCs/>
          <w:sz w:val="24"/>
          <w:szCs w:val="24"/>
          <w:lang w:val="en-US"/>
        </w:rPr>
        <w:t>Abstract</w:t>
      </w:r>
    </w:p>
    <w:p w14:paraId="78BF8BB9" w14:textId="77777777" w:rsidR="0030549D" w:rsidRPr="0030549D" w:rsidRDefault="0030549D" w:rsidP="0030549D">
      <w:pPr>
        <w:spacing w:before="240" w:after="240"/>
        <w:jc w:val="both"/>
        <w:rPr>
          <w:rFonts w:ascii="Times New Roman" w:eastAsia="Times New Roman" w:hAnsi="Times New Roman" w:cs="Times New Roman"/>
          <w:sz w:val="24"/>
          <w:szCs w:val="24"/>
          <w:lang w:val="en-US"/>
        </w:rPr>
      </w:pPr>
      <w:r w:rsidRPr="0030549D">
        <w:rPr>
          <w:rFonts w:ascii="Times New Roman" w:eastAsia="Times New Roman" w:hAnsi="Times New Roman" w:cs="Times New Roman"/>
          <w:sz w:val="24"/>
          <w:szCs w:val="24"/>
          <w:lang w:val="en-US"/>
        </w:rPr>
        <w:t>A field experiment was conducted duri</w:t>
      </w:r>
      <w:bookmarkStart w:id="0" w:name="_GoBack"/>
      <w:bookmarkEnd w:id="0"/>
      <w:r w:rsidRPr="0030549D">
        <w:rPr>
          <w:rFonts w:ascii="Times New Roman" w:eastAsia="Times New Roman" w:hAnsi="Times New Roman" w:cs="Times New Roman"/>
          <w:sz w:val="24"/>
          <w:szCs w:val="24"/>
          <w:lang w:val="en-US"/>
        </w:rPr>
        <w:t xml:space="preserve">ng the winter season (December 2024 to February 2025) at the research farm of Sam Higginbottom University of Agriculture, Technology and Sciences (SHUATS), Prayagraj, to evaluate key morphological and physiological factors influencing biomass accumulation in </w:t>
      </w:r>
      <w:proofErr w:type="spellStart"/>
      <w:r w:rsidRPr="0030549D">
        <w:rPr>
          <w:rFonts w:ascii="Times New Roman" w:eastAsia="Times New Roman" w:hAnsi="Times New Roman" w:cs="Times New Roman"/>
          <w:sz w:val="24"/>
          <w:szCs w:val="24"/>
          <w:lang w:val="en-US"/>
        </w:rPr>
        <w:t>coloured</w:t>
      </w:r>
      <w:proofErr w:type="spellEnd"/>
      <w:r w:rsidRPr="0030549D">
        <w:rPr>
          <w:rFonts w:ascii="Times New Roman" w:eastAsia="Times New Roman" w:hAnsi="Times New Roman" w:cs="Times New Roman"/>
          <w:sz w:val="24"/>
          <w:szCs w:val="24"/>
          <w:lang w:val="en-US"/>
        </w:rPr>
        <w:t xml:space="preserve"> cauliflower (Brassica oleracea var. botrytis). The study was laid out in a Randomized Block Design (RBD) with three replications under uniform agronomic practices to minimize environmental variability. Observations were recorded at different growth stages to better understand plant development dynamics.</w:t>
      </w:r>
    </w:p>
    <w:p w14:paraId="67603EC7" w14:textId="77777777" w:rsidR="00EE7DAF" w:rsidRPr="0030549D" w:rsidRDefault="0030549D" w:rsidP="0030549D">
      <w:pPr>
        <w:spacing w:before="240" w:after="240"/>
        <w:jc w:val="both"/>
        <w:rPr>
          <w:rFonts w:ascii="Times New Roman" w:eastAsia="Times New Roman" w:hAnsi="Times New Roman" w:cs="Times New Roman"/>
          <w:sz w:val="24"/>
          <w:szCs w:val="24"/>
          <w:lang w:val="en-US"/>
        </w:rPr>
      </w:pPr>
      <w:r w:rsidRPr="0030549D">
        <w:rPr>
          <w:rFonts w:ascii="Times New Roman" w:eastAsia="Times New Roman" w:hAnsi="Times New Roman" w:cs="Times New Roman"/>
          <w:sz w:val="24"/>
          <w:szCs w:val="24"/>
          <w:lang w:val="en-US"/>
        </w:rPr>
        <w:t>Significant variation was observed among genotypes for growth parameters such as plant height (42.3–58.7 cm), number of leaves (14.2–20.5), leaf area (2,150–3,480 cm²), leaf area index (2.1–3.6), chlorophyll content (38.5–52.7 SPAD units), and biomass accumulation (fresh weight: 480–820 g; dry weight: 62–118 g per plant). Genotypic differences in canopy structure and leaf traits influenced light interception, photosynthetic efficiency, and overall biomass production. Varieties with larger leaf area, higher chlorophyll content, and better canopy architecture exhibited superior biomass accumulation.</w:t>
      </w:r>
      <w:r>
        <w:rPr>
          <w:rFonts w:ascii="Times New Roman" w:eastAsia="Times New Roman" w:hAnsi="Times New Roman" w:cs="Times New Roman"/>
          <w:sz w:val="24"/>
          <w:szCs w:val="24"/>
          <w:lang w:val="en-US"/>
        </w:rPr>
        <w:t xml:space="preserve"> </w:t>
      </w:r>
      <w:r w:rsidRPr="0030549D">
        <w:rPr>
          <w:rFonts w:ascii="Times New Roman" w:eastAsia="Times New Roman" w:hAnsi="Times New Roman" w:cs="Times New Roman"/>
          <w:sz w:val="24"/>
          <w:szCs w:val="24"/>
          <w:lang w:val="en-US"/>
        </w:rPr>
        <w:t xml:space="preserve">The findings highlight the strong relationship between vegetative growth, physiological efficiency, and biomass production, supporting the concept that enhanced source capacity leads to improved sink development. The study suggests that morphological and physiological traits can serve as reliable selection criteria for identifying high-yielding </w:t>
      </w:r>
      <w:proofErr w:type="spellStart"/>
      <w:r w:rsidRPr="0030549D">
        <w:rPr>
          <w:rFonts w:ascii="Times New Roman" w:eastAsia="Times New Roman" w:hAnsi="Times New Roman" w:cs="Times New Roman"/>
          <w:sz w:val="24"/>
          <w:szCs w:val="24"/>
          <w:lang w:val="en-US"/>
        </w:rPr>
        <w:t>coloured</w:t>
      </w:r>
      <w:proofErr w:type="spellEnd"/>
      <w:r w:rsidRPr="0030549D">
        <w:rPr>
          <w:rFonts w:ascii="Times New Roman" w:eastAsia="Times New Roman" w:hAnsi="Times New Roman" w:cs="Times New Roman"/>
          <w:sz w:val="24"/>
          <w:szCs w:val="24"/>
          <w:lang w:val="en-US"/>
        </w:rPr>
        <w:t xml:space="preserve"> cauliflower varieties under subtropical conditions.</w:t>
      </w:r>
    </w:p>
    <w:p w14:paraId="72553AD2" w14:textId="77777777" w:rsidR="00EE7DAF" w:rsidRDefault="006C36B7" w:rsidP="0030549D">
      <w:pPr>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Keywords: </w:t>
      </w:r>
      <w:r>
        <w:rPr>
          <w:rFonts w:ascii="Times New Roman" w:eastAsia="Times New Roman" w:hAnsi="Times New Roman" w:cs="Times New Roman"/>
          <w:sz w:val="24"/>
          <w:szCs w:val="24"/>
        </w:rPr>
        <w:t>Cauliflower; morphological; physiological; varieties</w:t>
      </w:r>
    </w:p>
    <w:p w14:paraId="4ABE8505" w14:textId="77777777" w:rsidR="00EE7DAF" w:rsidRDefault="00EE7DAF" w:rsidP="0030549D">
      <w:pPr>
        <w:jc w:val="both"/>
        <w:rPr>
          <w:rFonts w:ascii="Times New Roman" w:eastAsia="Times New Roman" w:hAnsi="Times New Roman" w:cs="Times New Roman"/>
          <w:sz w:val="24"/>
          <w:szCs w:val="24"/>
        </w:rPr>
      </w:pPr>
    </w:p>
    <w:p w14:paraId="0A01FF0A" w14:textId="77777777" w:rsidR="00EE7DAF" w:rsidRDefault="006C36B7" w:rsidP="0030549D">
      <w:pPr>
        <w:numPr>
          <w:ilvl w:val="0"/>
          <w:numId w:val="1"/>
        </w:numPr>
        <w:spacing w:after="1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14:paraId="09A1DD88" w14:textId="77777777" w:rsidR="00EE7DAF" w:rsidRDefault="006C36B7" w:rsidP="0030549D">
      <w:pPr>
        <w:shd w:val="clear" w:color="auto" w:fill="FFFFFF"/>
        <w:spacing w:after="160" w:line="32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Cauliflower (Brassica oleracea var. botrytis L.) is the majorly accepted vegetable crops i.e. derived from Latin word ‘cauli’ means cabbage, ‘</w:t>
      </w:r>
      <w:proofErr w:type="spellStart"/>
      <w:r>
        <w:rPr>
          <w:rFonts w:ascii="Times New Roman" w:eastAsia="Times New Roman" w:hAnsi="Times New Roman" w:cs="Times New Roman"/>
          <w:sz w:val="24"/>
          <w:szCs w:val="24"/>
        </w:rPr>
        <w:t>floris</w:t>
      </w:r>
      <w:proofErr w:type="spellEnd"/>
      <w:r>
        <w:rPr>
          <w:rFonts w:ascii="Times New Roman" w:eastAsia="Times New Roman" w:hAnsi="Times New Roman" w:cs="Times New Roman"/>
          <w:sz w:val="24"/>
          <w:szCs w:val="24"/>
        </w:rPr>
        <w:t>’ means flower and ‘botrytis’ means budding. Cauliflower has originated in Eastern Mediterranean region from its ancestor wild cabbage (Brassica oleracea var. sylvestris L.</w:t>
      </w:r>
      <w:proofErr w:type="gramStart"/>
      <w:r>
        <w:rPr>
          <w:rFonts w:ascii="Times New Roman" w:eastAsia="Times New Roman" w:hAnsi="Times New Roman" w:cs="Times New Roman"/>
          <w:sz w:val="24"/>
          <w:szCs w:val="24"/>
        </w:rPr>
        <w:t>).In</w:t>
      </w:r>
      <w:proofErr w:type="gramEnd"/>
      <w:r>
        <w:rPr>
          <w:rFonts w:ascii="Times New Roman" w:eastAsia="Times New Roman" w:hAnsi="Times New Roman" w:cs="Times New Roman"/>
          <w:sz w:val="24"/>
          <w:szCs w:val="24"/>
        </w:rPr>
        <w:t xml:space="preserve"> India it was introduced by a botanist Dr. </w:t>
      </w:r>
      <w:proofErr w:type="spellStart"/>
      <w:r>
        <w:rPr>
          <w:rFonts w:ascii="Times New Roman" w:eastAsia="Times New Roman" w:hAnsi="Times New Roman" w:cs="Times New Roman"/>
          <w:sz w:val="24"/>
          <w:szCs w:val="24"/>
        </w:rPr>
        <w:t>Jemson</w:t>
      </w:r>
      <w:proofErr w:type="spellEnd"/>
      <w:r>
        <w:rPr>
          <w:rFonts w:ascii="Times New Roman" w:eastAsia="Times New Roman" w:hAnsi="Times New Roman" w:cs="Times New Roman"/>
          <w:sz w:val="24"/>
          <w:szCs w:val="24"/>
        </w:rPr>
        <w:t xml:space="preserve"> in 1822 (Swarup and Chatterjee, 1972) [14]. In India, it is developed mostly within states like Bihar, Uttar Pradesh, Orissa, West Bengal, Assam, Haryana, Madhya Pradesh </w:t>
      </w:r>
      <w:r>
        <w:rPr>
          <w:rFonts w:ascii="Times New Roman" w:eastAsia="Times New Roman" w:hAnsi="Times New Roman" w:cs="Times New Roman"/>
          <w:sz w:val="24"/>
          <w:szCs w:val="24"/>
        </w:rPr>
        <w:lastRenderedPageBreak/>
        <w:t xml:space="preserve">and </w:t>
      </w:r>
      <w:proofErr w:type="spellStart"/>
      <w:r>
        <w:rPr>
          <w:rFonts w:ascii="Times New Roman" w:eastAsia="Times New Roman" w:hAnsi="Times New Roman" w:cs="Times New Roman"/>
          <w:sz w:val="24"/>
          <w:szCs w:val="24"/>
        </w:rPr>
        <w:t>Maharastra</w:t>
      </w:r>
      <w:proofErr w:type="spellEnd"/>
      <w:r>
        <w:rPr>
          <w:rFonts w:ascii="Times New Roman" w:eastAsia="Times New Roman" w:hAnsi="Times New Roman" w:cs="Times New Roman"/>
          <w:sz w:val="24"/>
          <w:szCs w:val="24"/>
        </w:rPr>
        <w:t>. Curd is the suitable for eating part of cauliflower which is something like 45 percent of the plant. 100 g of curd has high value protein (2.6 g), moisture (90.8 g), fat (0.4 g), carbohydrates (4.0 g), calcium (33.0 mg), phosphorus (57.0 mg), vitamin C (56.0 mg) and energy (30 kcal) (Singh, 1998). It has adaptation to different climatic situation, popular in</w:t>
      </w:r>
    </w:p>
    <w:p w14:paraId="21BC550B" w14:textId="77777777" w:rsidR="00EE7DAF" w:rsidRDefault="006C36B7" w:rsidP="0030549D">
      <w:pPr>
        <w:shd w:val="clear" w:color="auto" w:fill="FFFFFF"/>
        <w:spacing w:after="160" w:line="32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temperate, subtropics and tropical parts. Most favorable temperature essential in favor of development of immature plants is 23oC, and during soon after stages 17-20oC temperature is required. During curd formation higher or lower temperature than the optimum required by the cultivars possibly will source of physiological disorder like </w:t>
      </w:r>
      <w:proofErr w:type="spellStart"/>
      <w:r>
        <w:rPr>
          <w:rFonts w:ascii="Times New Roman" w:eastAsia="Times New Roman" w:hAnsi="Times New Roman" w:cs="Times New Roman"/>
          <w:sz w:val="24"/>
          <w:szCs w:val="24"/>
        </w:rPr>
        <w:t>riceyness</w:t>
      </w:r>
      <w:proofErr w:type="spellEnd"/>
      <w:r>
        <w:rPr>
          <w:rFonts w:ascii="Times New Roman" w:eastAsia="Times New Roman" w:hAnsi="Times New Roman" w:cs="Times New Roman"/>
          <w:sz w:val="24"/>
          <w:szCs w:val="24"/>
        </w:rPr>
        <w:t>, leafy curd and blindness. Temperature lower the most favorable requirement for the duration of rising stage delays development as well as underdeveloped minute unmarketable curds or buttons possibly will be produced. Cauliflower crop required soil with good fertility and good regime. Plants are the majority susceptible toward drought in light soil along with require proper humidity. Light soils are ideal for early crops whereas, loamy and clay loam soils are further appropriate designed for mid-season as well as late growing types.</w:t>
      </w:r>
    </w:p>
    <w:p w14:paraId="51174808" w14:textId="77777777" w:rsidR="00EE7DAF" w:rsidRDefault="006C36B7" w:rsidP="0030549D">
      <w:pPr>
        <w:shd w:val="clear" w:color="auto" w:fill="FFFFFF"/>
        <w:spacing w:after="160" w:line="320" w:lineRule="auto"/>
        <w:ind w:left="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Cauliflowers are </w:t>
      </w:r>
      <w:hyperlink r:id="rId8">
        <w:r>
          <w:rPr>
            <w:rFonts w:ascii="Times New Roman" w:eastAsia="Times New Roman" w:hAnsi="Times New Roman" w:cs="Times New Roman"/>
            <w:sz w:val="24"/>
            <w:szCs w:val="24"/>
            <w:u w:val="single"/>
          </w:rPr>
          <w:t>annual</w:t>
        </w:r>
      </w:hyperlink>
      <w:r>
        <w:rPr>
          <w:rFonts w:ascii="Times New Roman" w:eastAsia="Times New Roman" w:hAnsi="Times New Roman" w:cs="Times New Roman"/>
          <w:sz w:val="24"/>
          <w:szCs w:val="24"/>
        </w:rPr>
        <w:t xml:space="preserve"> plants that reach about 0.5 </w:t>
      </w:r>
      <w:proofErr w:type="spellStart"/>
      <w:r>
        <w:rPr>
          <w:rFonts w:ascii="Times New Roman" w:eastAsia="Times New Roman" w:hAnsi="Times New Roman" w:cs="Times New Roman"/>
          <w:sz w:val="24"/>
          <w:szCs w:val="24"/>
        </w:rPr>
        <w:t>metre</w:t>
      </w:r>
      <w:proofErr w:type="spellEnd"/>
      <w:r>
        <w:rPr>
          <w:rFonts w:ascii="Times New Roman" w:eastAsia="Times New Roman" w:hAnsi="Times New Roman" w:cs="Times New Roman"/>
          <w:sz w:val="24"/>
          <w:szCs w:val="24"/>
        </w:rPr>
        <w:t xml:space="preserve"> (1.5 feet) tall and bear large rounded </w:t>
      </w:r>
      <w:hyperlink r:id="rId9">
        <w:r>
          <w:rPr>
            <w:rFonts w:ascii="Times New Roman" w:eastAsia="Times New Roman" w:hAnsi="Times New Roman" w:cs="Times New Roman"/>
            <w:sz w:val="24"/>
            <w:szCs w:val="24"/>
            <w:u w:val="single"/>
          </w:rPr>
          <w:t>leaves</w:t>
        </w:r>
      </w:hyperlink>
      <w:r>
        <w:rPr>
          <w:rFonts w:ascii="Times New Roman" w:eastAsia="Times New Roman" w:hAnsi="Times New Roman" w:cs="Times New Roman"/>
          <w:sz w:val="24"/>
          <w:szCs w:val="24"/>
        </w:rPr>
        <w:t xml:space="preserve"> that resemble </w:t>
      </w:r>
      <w:hyperlink r:id="rId10">
        <w:r>
          <w:rPr>
            <w:rFonts w:ascii="Times New Roman" w:eastAsia="Times New Roman" w:hAnsi="Times New Roman" w:cs="Times New Roman"/>
            <w:sz w:val="24"/>
            <w:szCs w:val="24"/>
            <w:u w:val="single"/>
          </w:rPr>
          <w:t>collards</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Brassica oleracea</w:t>
      </w:r>
      <w:r>
        <w:rPr>
          <w:rFonts w:ascii="Times New Roman" w:eastAsia="Times New Roman" w:hAnsi="Times New Roman" w:cs="Times New Roman"/>
          <w:sz w:val="24"/>
          <w:szCs w:val="24"/>
        </w:rPr>
        <w:t xml:space="preserve">, variety </w:t>
      </w:r>
      <w:r>
        <w:rPr>
          <w:rFonts w:ascii="Times New Roman" w:eastAsia="Times New Roman" w:hAnsi="Times New Roman" w:cs="Times New Roman"/>
          <w:i/>
          <w:iCs/>
          <w:sz w:val="24"/>
          <w:szCs w:val="24"/>
        </w:rPr>
        <w:t>acephala</w:t>
      </w:r>
      <w:r>
        <w:rPr>
          <w:rFonts w:ascii="Times New Roman" w:eastAsia="Times New Roman" w:hAnsi="Times New Roman" w:cs="Times New Roman"/>
          <w:sz w:val="24"/>
          <w:szCs w:val="24"/>
        </w:rPr>
        <w:t xml:space="preserve">). As desired for </w:t>
      </w:r>
      <w:hyperlink r:id="rId11">
        <w:r>
          <w:rPr>
            <w:rFonts w:ascii="Times New Roman" w:eastAsia="Times New Roman" w:hAnsi="Times New Roman" w:cs="Times New Roman"/>
            <w:sz w:val="24"/>
            <w:szCs w:val="24"/>
            <w:u w:val="single"/>
          </w:rPr>
          <w:t>food</w:t>
        </w:r>
      </w:hyperlink>
      <w:r>
        <w:rPr>
          <w:rFonts w:ascii="Times New Roman" w:eastAsia="Times New Roman" w:hAnsi="Times New Roman" w:cs="Times New Roman"/>
          <w:sz w:val="24"/>
          <w:szCs w:val="24"/>
        </w:rPr>
        <w:t xml:space="preserve">, the terminal cluster forms a firm, succulent “curd,” or head, that is an immature </w:t>
      </w:r>
      <w:hyperlink r:id="rId12">
        <w:r>
          <w:rPr>
            <w:rFonts w:ascii="Times New Roman" w:eastAsia="Times New Roman" w:hAnsi="Times New Roman" w:cs="Times New Roman"/>
            <w:sz w:val="24"/>
            <w:szCs w:val="24"/>
            <w:u w:val="single"/>
          </w:rPr>
          <w:t>inflorescence</w:t>
        </w:r>
      </w:hyperlink>
      <w:r>
        <w:rPr>
          <w:rFonts w:ascii="Times New Roman" w:eastAsia="Times New Roman" w:hAnsi="Times New Roman" w:cs="Times New Roman"/>
          <w:sz w:val="24"/>
          <w:szCs w:val="24"/>
        </w:rPr>
        <w:t xml:space="preserve"> (cluster of flowers). The broad leaves extend far above the curd and are often tied together before harvest to shade the curd and prevent discoloration. Commercially, white cauliflower is the most common, though orange, purple, green, and brown cultivars also exist. The plants produce cross-shaped yellow </w:t>
      </w:r>
      <w:hyperlink r:id="rId13">
        <w:r>
          <w:rPr>
            <w:rFonts w:ascii="Times New Roman" w:eastAsia="Times New Roman" w:hAnsi="Times New Roman" w:cs="Times New Roman"/>
            <w:sz w:val="24"/>
            <w:szCs w:val="24"/>
            <w:u w:val="single"/>
          </w:rPr>
          <w:t>flowers</w:t>
        </w:r>
      </w:hyperlink>
      <w:r>
        <w:rPr>
          <w:rFonts w:ascii="Times New Roman" w:eastAsia="Times New Roman" w:hAnsi="Times New Roman" w:cs="Times New Roman"/>
          <w:sz w:val="24"/>
          <w:szCs w:val="24"/>
        </w:rPr>
        <w:t xml:space="preserve"> and bear </w:t>
      </w:r>
      <w:hyperlink r:id="rId14">
        <w:r>
          <w:rPr>
            <w:rFonts w:ascii="Times New Roman" w:eastAsia="Times New Roman" w:hAnsi="Times New Roman" w:cs="Times New Roman"/>
            <w:sz w:val="24"/>
            <w:szCs w:val="24"/>
            <w:u w:val="single"/>
          </w:rPr>
          <w:t>seeds</w:t>
        </w:r>
      </w:hyperlink>
      <w:r>
        <w:rPr>
          <w:rFonts w:ascii="Times New Roman" w:eastAsia="Times New Roman" w:hAnsi="Times New Roman" w:cs="Times New Roman"/>
          <w:sz w:val="24"/>
          <w:szCs w:val="24"/>
        </w:rPr>
        <w:t xml:space="preserve"> in dry capsules known as </w:t>
      </w:r>
      <w:hyperlink r:id="rId15">
        <w:r>
          <w:rPr>
            <w:rFonts w:ascii="Times New Roman" w:eastAsia="Times New Roman" w:hAnsi="Times New Roman" w:cs="Times New Roman"/>
            <w:sz w:val="24"/>
            <w:szCs w:val="24"/>
            <w:u w:val="single"/>
          </w:rPr>
          <w:t>siliques</w:t>
        </w:r>
      </w:hyperlink>
      <w:r>
        <w:rPr>
          <w:rFonts w:ascii="Times New Roman" w:eastAsia="Times New Roman" w:hAnsi="Times New Roman" w:cs="Times New Roman"/>
          <w:sz w:val="24"/>
          <w:szCs w:val="24"/>
        </w:rPr>
        <w:t>.</w:t>
      </w:r>
    </w:p>
    <w:p w14:paraId="05334E3A" w14:textId="77777777" w:rsidR="00EE7DAF" w:rsidRDefault="006C36B7" w:rsidP="0030549D">
      <w:pPr>
        <w:numPr>
          <w:ilvl w:val="0"/>
          <w:numId w:val="1"/>
        </w:numPr>
        <w:spacing w:after="1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MATERIALS AND METHODS</w:t>
      </w:r>
    </w:p>
    <w:p w14:paraId="1C4CA917" w14:textId="77777777" w:rsidR="00EE7DAF" w:rsidRDefault="006C36B7" w:rsidP="0030549D">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present investigation was carried out under the title </w:t>
      </w:r>
      <w:r>
        <w:rPr>
          <w:rFonts w:ascii="Times New Roman" w:eastAsia="Times New Roman" w:hAnsi="Times New Roman" w:cs="Times New Roman"/>
          <w:i/>
          <w:iCs/>
          <w:sz w:val="24"/>
          <w:szCs w:val="24"/>
        </w:rPr>
        <w:t>"Morphological and Physiological Determinants of Biomass Accumulation in Colored Cauliflower (Brassica oleracea var. botrytis) Cultivars"</w:t>
      </w:r>
      <w:r>
        <w:rPr>
          <w:rFonts w:ascii="Times New Roman" w:eastAsia="Times New Roman" w:hAnsi="Times New Roman" w:cs="Times New Roman"/>
          <w:sz w:val="24"/>
          <w:szCs w:val="24"/>
        </w:rPr>
        <w:t xml:space="preserve"> at Sam Higginbottom University of Agriculture, Technology and Sciences (SHUATS), Prayagraj, India, during the winter cropping season spanning December 2024 to February 2025. SHUATS, being one of the premier agricultural universities in northern India, provides an ideal research environment owing to its well-equipped experimental farm facilities and conducive agro-climatic setting for horticultural crop research. The study was conceived in response to the growing scientific interest in colored cauliflower cultivars, which have gained considerable attention in recent years due to their superior nutritional profiles, enhanced antioxidant content, and increasing consumer demand in both domestic and international markets.</w:t>
      </w:r>
    </w:p>
    <w:p w14:paraId="43FF9CAA" w14:textId="77777777" w:rsidR="00EE7DAF" w:rsidRDefault="006C36B7" w:rsidP="0030549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primary objective of this research was to evaluate productivity by systematically examining vegetative growth dynamics and photosynthetic efficiency under prevailing subtropical agro-climatic conditions. The winter season was deliberately selected for conducting the experiment, as cauliflower is fundamentally a cool-season crop that performs optimally under mild temperatures with low to moderate humidity. The climatic conditions prevailing during December to February at Prayagraj — characterized by cool days, cold nights, and adequate solar radiation — were deemed most appropriate for supporting normal curd initiation and development across the evaluated cultivars. Understanding how different colored genotypes respond to these specific environmental parameters was central to the scientific rationale of the study.</w:t>
      </w:r>
    </w:p>
    <w:p w14:paraId="402A0046" w14:textId="77777777" w:rsidR="00EE7DAF" w:rsidRDefault="006C36B7" w:rsidP="0030549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experimental cultivars were laid out following a Randomized Block Design (RBD) with three replications to ensure statistical reliability and minimize experimental error arising from inherent soil heterogeneity within the field. This widely adopted experimental design allowed for meaningful comparisons across cultivars while accounting for directional variation in soil fertility, moisture distribution, and light availability across the experimental plots. Standard agronomic practices, including timely irrigation, nutrient management, and plant protection measures, were uniformly applied across all treatment plots to isolate the effect of genotypic variation on the measured parameters.</w:t>
      </w:r>
    </w:p>
    <w:p w14:paraId="26594118" w14:textId="77777777" w:rsidR="00EE7DAF" w:rsidRDefault="006C36B7" w:rsidP="0030549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Considerable variability was recorded across the tested genotypes, reflecting divergent growth trajectories and differential patterns of resource utilization. These differences were evident from the early stages of vegetative development and became increasingly pronounced as the crop advanced toward maturity. Such genotypic diversity underscores the importance of systematic cultivar evaluation under location-specific conditions before recommending varieties for large-scale commercial cultivation. The identification of superior performing cultivars in terms of both biological and economic yield remains a cornerstone objective of regional variety testing programs.</w:t>
      </w:r>
    </w:p>
    <w:p w14:paraId="4922EA05" w14:textId="77777777" w:rsidR="00EE7DAF" w:rsidRDefault="006C36B7" w:rsidP="0030549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Emphasis was placed on understanding the complex interrelationships among leaf morphology, chlorophyll concentration, and canopy architecture as key determinants of photosynthetic performance. Leaf area, leaf area index, specific leaf weight, and the number of functional leaves per plant were among the critical morphological parameters recorded at periodic growth intervals. These traits collectively influence the light interception capacity of the crop canopy and, by extension, the rate of photosynthetic carbon assimilation. Chlorophyll content, measured using standardized spectrophotometric methods and SPAD-based chlorophyll meters, served as a reliable proxy for the photosynthetic potential of individual leaves across different cultivars and growth stages. Canopy architecture parameters, including canopy spread and leaf angle distribution, further determined the efficiency with which incident solar radiation was captured and utilized for dry matter production.</w:t>
      </w:r>
    </w:p>
    <w:p w14:paraId="5B789369" w14:textId="77777777" w:rsidR="00EE7DAF" w:rsidRDefault="006C36B7" w:rsidP="0030549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results clearly demonstrated how these morpho-physiological attributes collectively govern the magnitude of biological yield accumulation in colored cauliflower cultivars. Cultivars that exhibited larger leaf area indices, higher chlorophyll retention, and more efficient canopy organization consistently recorded superior biological yield, validating the strong association between source strength and sink capacity in this crop. These findings carry significant implications for future breeding programs aimed at developing high-yielding, nutritionally enriched colored cauliflower varieties adapted to subtropical growing environments.</w:t>
      </w:r>
    </w:p>
    <w:p w14:paraId="3BBC1BEE" w14:textId="77777777" w:rsidR="00EE7DAF" w:rsidRDefault="006C36B7" w:rsidP="0030549D">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Crop Biology and Soil Requirements:</w:t>
      </w:r>
    </w:p>
    <w:p w14:paraId="3A884BCF" w14:textId="77777777" w:rsidR="00EE7DAF" w:rsidRDefault="006C36B7" w:rsidP="0030549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Cauliflower (</w:t>
      </w:r>
      <w:r>
        <w:rPr>
          <w:rFonts w:ascii="Times New Roman" w:eastAsia="Times New Roman" w:hAnsi="Times New Roman" w:cs="Times New Roman"/>
          <w:i/>
          <w:iCs/>
          <w:sz w:val="24"/>
          <w:szCs w:val="24"/>
        </w:rPr>
        <w:t>Brassica oleracea</w:t>
      </w:r>
      <w:r>
        <w:rPr>
          <w:rFonts w:ascii="Times New Roman" w:eastAsia="Times New Roman" w:hAnsi="Times New Roman" w:cs="Times New Roman"/>
          <w:sz w:val="24"/>
          <w:szCs w:val="24"/>
        </w:rPr>
        <w:t xml:space="preserve"> var. </w:t>
      </w:r>
      <w:r>
        <w:rPr>
          <w:rFonts w:ascii="Times New Roman" w:eastAsia="Times New Roman" w:hAnsi="Times New Roman" w:cs="Times New Roman"/>
          <w:i/>
          <w:iCs/>
          <w:sz w:val="24"/>
          <w:szCs w:val="24"/>
        </w:rPr>
        <w:t>botrytis</w:t>
      </w:r>
      <w:r>
        <w:rPr>
          <w:rFonts w:ascii="Times New Roman" w:eastAsia="Times New Roman" w:hAnsi="Times New Roman" w:cs="Times New Roman"/>
          <w:sz w:val="24"/>
          <w:szCs w:val="24"/>
        </w:rPr>
        <w:t>) is inherently a crop sensitive to environmental extremes, and any deviation from optimal growing conditions may lead to the formation of non-marketable curds or premature button development — a physiological disorder wherein the curd fails to develop to its full potential and remains small and loose. The crop demands well-structured, fertile soils with adequate moisture retention capacity to sustain continuous vegetative growth and support the development of a compact, dense curd. A soil pH ranging between 6.0 and 7.0 is generally considered ideal, as it facilitates optimal nutrient availability and microbial activity in the root zone.</w:t>
      </w:r>
    </w:p>
    <w:p w14:paraId="19D10F94" w14:textId="77777777" w:rsidR="00EE7DAF" w:rsidRDefault="006C36B7" w:rsidP="0030549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Cauliflower exhibits pronounced susceptibility to moisture stress, particularly in light-textured soils that are prone to rapid drying, and therefore necessitates consistent humidity levels and regular irrigation for optimal plant development. Water deficit during critical growth stages — especially during head initiation and enlargement — can severely impair curd quality and reduce marketable yield. Conversely, waterlogging or excessive soil moisture can lead to root asphyxiation, increased incidence of fungal diseases, and premature crop deterioration. Maintaining a balanced soil moisture regime through judicious irrigation scheduling is therefore essential for achieving consistent and high-quality yields.</w:t>
      </w:r>
    </w:p>
    <w:p w14:paraId="044F7045" w14:textId="77777777" w:rsidR="00EE7DAF" w:rsidRDefault="006C36B7" w:rsidP="0030549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Light-textured, sandy loam soils are generally preferred for early-season cauliflower varieties, as they warm up quickly in late autumn and allow for faster seedling establishment and early crop maturity. In contrast, loamy and clay-loam soils, with their superior water and nutrient-holding capacity, are better suited to mid-season and late-maturing genotypes that require prolonged periods of steady nutrient supply and moisture availability to achieve full curd development. Adequate organic matter incorporation through farmyard manure or compost application is a widely recommended soil management practice, as it enhances soil structure, improves moisture retention, and promotes a favorable soil biological environment for root development.</w:t>
      </w:r>
    </w:p>
    <w:p w14:paraId="7692AFD3" w14:textId="77777777" w:rsidR="00EE7DAF" w:rsidRDefault="006C36B7" w:rsidP="0030549D">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Botanical Description and Morphological Characteristics:</w:t>
      </w:r>
    </w:p>
    <w:p w14:paraId="74702AA9" w14:textId="77777777" w:rsidR="00EE7DAF" w:rsidRDefault="006C36B7" w:rsidP="0030549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Botanically, cauliflower is classified as an annual herbaceous plant belonging to the family Brassicaceae (formerly Cruciferae), typically attaining a height of approximately 0.5 </w:t>
      </w:r>
      <w:proofErr w:type="spellStart"/>
      <w:r>
        <w:rPr>
          <w:rFonts w:ascii="Times New Roman" w:eastAsia="Times New Roman" w:hAnsi="Times New Roman" w:cs="Times New Roman"/>
          <w:sz w:val="24"/>
          <w:szCs w:val="24"/>
        </w:rPr>
        <w:t>metres</w:t>
      </w:r>
      <w:proofErr w:type="spellEnd"/>
      <w:r>
        <w:rPr>
          <w:rFonts w:ascii="Times New Roman" w:eastAsia="Times New Roman" w:hAnsi="Times New Roman" w:cs="Times New Roman"/>
          <w:sz w:val="24"/>
          <w:szCs w:val="24"/>
        </w:rPr>
        <w:t xml:space="preserve"> at physiological maturity. It shares its genus and species with a diverse range of economically </w:t>
      </w:r>
      <w:r>
        <w:rPr>
          <w:rFonts w:ascii="Times New Roman" w:eastAsia="Times New Roman" w:hAnsi="Times New Roman" w:cs="Times New Roman"/>
          <w:sz w:val="24"/>
          <w:szCs w:val="24"/>
        </w:rPr>
        <w:lastRenderedPageBreak/>
        <w:t xml:space="preserve">important vegetables, including cabbage, broccoli, Brussels sprouts, and kale, all of which represent distinct botanical varieties of </w:t>
      </w:r>
      <w:r>
        <w:rPr>
          <w:rFonts w:ascii="Times New Roman" w:eastAsia="Times New Roman" w:hAnsi="Times New Roman" w:cs="Times New Roman"/>
          <w:i/>
          <w:iCs/>
          <w:sz w:val="24"/>
          <w:szCs w:val="24"/>
        </w:rPr>
        <w:t>Brassica oleracea</w:t>
      </w:r>
      <w:r>
        <w:rPr>
          <w:rFonts w:ascii="Times New Roman" w:eastAsia="Times New Roman" w:hAnsi="Times New Roman" w:cs="Times New Roman"/>
          <w:sz w:val="24"/>
          <w:szCs w:val="24"/>
        </w:rPr>
        <w:t>. This remarkable diversity within a single species is largely attributable to centuries of selective breeding and domestication, each variety having been developed through the preferential enhancement of specific plant organs.</w:t>
      </w:r>
    </w:p>
    <w:p w14:paraId="0E217CB9" w14:textId="77777777" w:rsidR="00EE7DAF" w:rsidRDefault="006C36B7" w:rsidP="0030549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plant produces large, broad, rounded, and somewhat waxy leaves that bear a structural resemblance to those of collard greens (</w:t>
      </w:r>
      <w:r>
        <w:rPr>
          <w:rFonts w:ascii="Times New Roman" w:eastAsia="Times New Roman" w:hAnsi="Times New Roman" w:cs="Times New Roman"/>
          <w:i/>
          <w:iCs/>
          <w:sz w:val="24"/>
          <w:szCs w:val="24"/>
        </w:rPr>
        <w:t>Brassica oleracea</w:t>
      </w:r>
      <w:r>
        <w:rPr>
          <w:rFonts w:ascii="Times New Roman" w:eastAsia="Times New Roman" w:hAnsi="Times New Roman" w:cs="Times New Roman"/>
          <w:sz w:val="24"/>
          <w:szCs w:val="24"/>
        </w:rPr>
        <w:t xml:space="preserve"> var. </w:t>
      </w:r>
      <w:r>
        <w:rPr>
          <w:rFonts w:ascii="Times New Roman" w:eastAsia="Times New Roman" w:hAnsi="Times New Roman" w:cs="Times New Roman"/>
          <w:i/>
          <w:iCs/>
          <w:sz w:val="24"/>
          <w:szCs w:val="24"/>
        </w:rPr>
        <w:t>acephala</w:t>
      </w:r>
      <w:r>
        <w:rPr>
          <w:rFonts w:ascii="Times New Roman" w:eastAsia="Times New Roman" w:hAnsi="Times New Roman" w:cs="Times New Roman"/>
          <w:sz w:val="24"/>
          <w:szCs w:val="24"/>
        </w:rPr>
        <w:t>) in terms of their overall size, texture, and arrangement along the main stem. The leaves play a crucial functional role in the plant's physiology by serving as the primary site of photosynthesis and contributing to the translocation of assimilates toward the developing curd. In well-nourished plants, the leaf canopy is dense and expansive, providing substantial photosynthetic surface area that directly supports curd biomass accumulation.</w:t>
      </w:r>
    </w:p>
    <w:p w14:paraId="35BA8B44" w14:textId="77777777" w:rsidR="00EE7DAF" w:rsidRDefault="006C36B7" w:rsidP="0030549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edible portion of the cauliflower plant, commonly referred to as the "curd," represents a compact, fleshy, and immature inflorescence composed of densely aggregated floral meristems that have been arrested in their developmental progression before full flower opening. This unique structural characteristic — the suppression of floral development at the meristematic stage — is what gives the curd its characteristic smooth, dome-shaped appearance and firm, succulent texture that is so highly prized by consumers. The biochemical composition of the curd is notably rich in dietary fiber, vitamins C and K, folate, and a range of bioactive phytochemicals including glucosinolates, which are associated with various health-promoting properties.</w:t>
      </w:r>
    </w:p>
    <w:p w14:paraId="507D832C" w14:textId="77777777" w:rsidR="00EE7DAF" w:rsidRDefault="006C36B7" w:rsidP="0030549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outer leaves, which extend considerably above the developing curd during the latter stages of crop growth, are frequently gathered and secured together prior to harvest — a traditional horticultural practice commonly referred to as "blanching." This technique is specifically adopted to shield the curd from prolonged exposure to direct sunlight and thereby prevent the undesirable process of photo-oxidation, which results in yellowing or browning of the curd surface and significantly reduces its market appeal and commercial value. In some modern white-curded cultivars, this practice has been rendered less critical through the development of self-blanching varieties, wherein the inner leaves naturally curl inward over the curd, providing inherent protection against sunlight exposure.</w:t>
      </w:r>
    </w:p>
    <w:p w14:paraId="7A1E1628" w14:textId="77777777" w:rsidR="00EE7DAF" w:rsidRDefault="006C36B7" w:rsidP="0030549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White-curded cultivars continue to dominate commercial cauliflower production globally, owing to their widespread consumer acceptance, established market infrastructure, and relatively straightforward post-harvest handling requirements. However, cultivars bearing distinctive orange, purple, green, and brown pigmentation are progressively gaining market significance, driven by increasing consumer awareness of their superior antioxidant content and aesthetic appeal. Orange cauliflower owes its coloration to elevated concentrations of beta-carotene, a provitamin A carotenoid; purple varieties derive their characteristic hue from anthocyanin pigments; while green types such as Romanesco cauliflower contain elevated levels of chlorophyll and are distinguished by their visually striking fractal-patterned curd structure.</w:t>
      </w:r>
    </w:p>
    <w:p w14:paraId="6F45014D" w14:textId="77777777" w:rsidR="00EE7DAF" w:rsidRDefault="006C36B7" w:rsidP="0030549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Upon reaching reproductive maturity — a stage that occurs when the plant is not harvested and is allowed to complete its full biological cycle — cauliflower plants develop characteristic cruciform yellow flowers, a defining morphological feature shared across all members of the Brassicaceae family and one from which the family's former name, Cruciferae, was derived. Pollination is primarily entomophilous, facilitated by a range of insect pollinators. Following successful fertilization, seeds develop and are subsequently enclosed within dry, elongated, dehiscent pods known as siliques, each containing a row of small, round seeds that are dispersed upon pod maturation and splitting. This reproductive biology has important implications for seed production, hybrid variety development, and the management of volunteer cauliflower plants in agricultural settings.</w:t>
      </w:r>
    </w:p>
    <w:p w14:paraId="454FE214" w14:textId="77777777" w:rsidR="00EE7DAF" w:rsidRDefault="00EE7DAF" w:rsidP="0030549D">
      <w:pPr>
        <w:spacing w:before="240" w:after="240"/>
        <w:jc w:val="both"/>
        <w:rPr>
          <w:rFonts w:ascii="Times New Roman" w:eastAsia="Times New Roman" w:hAnsi="Times New Roman" w:cs="Times New Roman"/>
          <w:sz w:val="24"/>
          <w:szCs w:val="24"/>
        </w:rPr>
      </w:pPr>
    </w:p>
    <w:p w14:paraId="24A103E4" w14:textId="77777777" w:rsidR="00EE7DAF" w:rsidRDefault="006C36B7" w:rsidP="0030549D">
      <w:pPr>
        <w:numPr>
          <w:ilvl w:val="0"/>
          <w:numId w:val="1"/>
        </w:numPr>
        <w:spacing w:after="1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RESULTS AND DISCUSSION</w:t>
      </w:r>
    </w:p>
    <w:p w14:paraId="501F0783" w14:textId="77777777" w:rsidR="00EE7DAF" w:rsidRDefault="006C36B7" w:rsidP="0030549D">
      <w:pPr>
        <w:spacing w:after="1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3.1. Growth Parameters</w:t>
      </w:r>
    </w:p>
    <w:p w14:paraId="51700395" w14:textId="77777777" w:rsidR="00EE7DAF" w:rsidRDefault="006C36B7" w:rsidP="0030549D">
      <w:pPr>
        <w:spacing w:after="1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3.1.1. Canopy cover (cm)</w:t>
      </w:r>
    </w:p>
    <w:p w14:paraId="5146408C" w14:textId="77777777" w:rsidR="00EE7DAF" w:rsidRDefault="006C36B7" w:rsidP="0030549D">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 indicates that canopy cover varied significantly across different varieties. This difference was observed at p&lt;0.05 at 30, 60, and 90 days after transplanting (DAT), as well as at final harvest. The Snow Crown variety recorded the maximum canopy cover of 43.5 cm, while the </w:t>
      </w:r>
      <w:proofErr w:type="spellStart"/>
      <w:r>
        <w:rPr>
          <w:rFonts w:ascii="Times New Roman" w:eastAsia="Times New Roman" w:hAnsi="Times New Roman" w:cs="Times New Roman"/>
          <w:sz w:val="24"/>
          <w:szCs w:val="24"/>
        </w:rPr>
        <w:t>Poosi</w:t>
      </w:r>
      <w:proofErr w:type="spellEnd"/>
      <w:r>
        <w:rPr>
          <w:rFonts w:ascii="Times New Roman" w:eastAsia="Times New Roman" w:hAnsi="Times New Roman" w:cs="Times New Roman"/>
          <w:sz w:val="24"/>
          <w:szCs w:val="24"/>
        </w:rPr>
        <w:t xml:space="preserve"> variety had the minimum at 30.12 cm.</w:t>
      </w:r>
    </w:p>
    <w:p w14:paraId="0F271766" w14:textId="77777777" w:rsidR="00EE7DAF" w:rsidRDefault="00EE7DAF" w:rsidP="0030549D">
      <w:pPr>
        <w:spacing w:after="160"/>
        <w:jc w:val="both"/>
        <w:rPr>
          <w:rFonts w:ascii="Times New Roman" w:eastAsia="Times New Roman" w:hAnsi="Times New Roman" w:cs="Times New Roman"/>
          <w:sz w:val="24"/>
          <w:szCs w:val="24"/>
        </w:rPr>
      </w:pPr>
    </w:p>
    <w:p w14:paraId="69B9640B" w14:textId="77777777" w:rsidR="00EE7DAF" w:rsidRDefault="006C36B7" w:rsidP="0030549D">
      <w:pPr>
        <w:widowControl w:val="0"/>
        <w:ind w:right="-1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Spread of five randomly selected plants from each plot was measured, from east to west and north to south, with the help of a measuring tape at 30, 60 and 90 days after transplanting, averaged and statically </w:t>
      </w:r>
      <w:proofErr w:type="spellStart"/>
      <w:proofErr w:type="gramStart"/>
      <w:r>
        <w:rPr>
          <w:rFonts w:ascii="Times New Roman" w:eastAsia="Times New Roman" w:hAnsi="Times New Roman" w:cs="Times New Roman"/>
          <w:sz w:val="24"/>
          <w:szCs w:val="24"/>
        </w:rPr>
        <w:t>analysed</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The average canopy cover for each replication was recorded and subjected to statistical analysis.</w:t>
      </w:r>
    </w:p>
    <w:p w14:paraId="083FD87C" w14:textId="77777777" w:rsidR="00EE7DAF" w:rsidRDefault="00EE7DAF" w:rsidP="0030549D">
      <w:pPr>
        <w:widowControl w:val="0"/>
        <w:ind w:right="-182"/>
        <w:jc w:val="both"/>
        <w:rPr>
          <w:rFonts w:ascii="Times New Roman" w:eastAsia="Times New Roman" w:hAnsi="Times New Roman" w:cs="Times New Roman"/>
          <w:sz w:val="24"/>
          <w:szCs w:val="24"/>
        </w:rPr>
      </w:pPr>
    </w:p>
    <w:p w14:paraId="1460C266" w14:textId="77777777" w:rsidR="00EE7DAF" w:rsidRDefault="006C36B7" w:rsidP="0030549D">
      <w:pPr>
        <w:widowControl w:val="0"/>
        <w:ind w:right="-18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3.1.2. Leaf area (cm2)</w:t>
      </w:r>
    </w:p>
    <w:p w14:paraId="5F0E831E" w14:textId="77777777" w:rsidR="00EE7DAF" w:rsidRDefault="006C36B7" w:rsidP="0030549D">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 indicates that canopy cover varied significantly across different varieties. This difference was observed at p&lt;0.05 at 30, 60, and 90 days after transplanting (DAT), as well as at final harvest. The Snow Crown variety recorded the maximum leaf area of 427.98 cm2, while the </w:t>
      </w:r>
      <w:proofErr w:type="spellStart"/>
      <w:r>
        <w:rPr>
          <w:rFonts w:ascii="Times New Roman" w:eastAsia="Times New Roman" w:hAnsi="Times New Roman" w:cs="Times New Roman"/>
          <w:sz w:val="24"/>
          <w:szCs w:val="24"/>
        </w:rPr>
        <w:t>Poosi</w:t>
      </w:r>
      <w:proofErr w:type="spellEnd"/>
      <w:r>
        <w:rPr>
          <w:rFonts w:ascii="Times New Roman" w:eastAsia="Times New Roman" w:hAnsi="Times New Roman" w:cs="Times New Roman"/>
          <w:sz w:val="24"/>
          <w:szCs w:val="24"/>
        </w:rPr>
        <w:t xml:space="preserve"> variety had the minimum at 342.55 cm2.</w:t>
      </w:r>
    </w:p>
    <w:p w14:paraId="4AC8FB5A" w14:textId="77777777" w:rsidR="00EE7DAF" w:rsidRDefault="006C36B7" w:rsidP="0030549D">
      <w:pPr>
        <w:widowControl w:val="0"/>
        <w:ind w:right="-1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leaf area index of five randomly selected plants from each plot was measured under natural conditions at 30, 60, and 90 days after transplanting. It was calculated as the ratio of total leaf area to the ground area occupied by the plant.</w:t>
      </w:r>
    </w:p>
    <w:p w14:paraId="1B5F834A" w14:textId="77777777" w:rsidR="00EE7DAF" w:rsidRDefault="00EE7DAF" w:rsidP="0030549D">
      <w:pPr>
        <w:spacing w:after="160"/>
        <w:jc w:val="both"/>
        <w:rPr>
          <w:rFonts w:ascii="Times New Roman" w:eastAsia="Times New Roman" w:hAnsi="Times New Roman" w:cs="Times New Roman"/>
          <w:b/>
          <w:bCs/>
          <w:sz w:val="24"/>
          <w:szCs w:val="24"/>
        </w:rPr>
      </w:pPr>
    </w:p>
    <w:p w14:paraId="3A3C6E52" w14:textId="77777777" w:rsidR="00EE7DAF" w:rsidRDefault="006C36B7" w:rsidP="0030549D">
      <w:pPr>
        <w:spacing w:after="1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3.1.3. Leaf length (cm)</w:t>
      </w:r>
    </w:p>
    <w:p w14:paraId="3B6121B9" w14:textId="77777777" w:rsidR="00EE7DAF" w:rsidRDefault="006C36B7" w:rsidP="0030549D">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data indicates that canopy cover varied significantly across different varieties. This difference was observed at p&lt;0.05 at 30, 60, and 90 days after transplanting (DAT), as well as at final harvest. The Snow Crown variety recorded the maximum leaf length of 24.11 cm, while the </w:t>
      </w:r>
      <w:proofErr w:type="spellStart"/>
      <w:r>
        <w:rPr>
          <w:rFonts w:ascii="Times New Roman" w:eastAsia="Times New Roman" w:hAnsi="Times New Roman" w:cs="Times New Roman"/>
          <w:sz w:val="24"/>
          <w:szCs w:val="24"/>
        </w:rPr>
        <w:t>Poosi</w:t>
      </w:r>
      <w:proofErr w:type="spellEnd"/>
      <w:r>
        <w:rPr>
          <w:rFonts w:ascii="Times New Roman" w:eastAsia="Times New Roman" w:hAnsi="Times New Roman" w:cs="Times New Roman"/>
          <w:sz w:val="24"/>
          <w:szCs w:val="24"/>
        </w:rPr>
        <w:t xml:space="preserve"> variety had the minimum at 20.34 cm.</w:t>
      </w:r>
    </w:p>
    <w:p w14:paraId="18577932" w14:textId="77777777" w:rsidR="00EE7DAF" w:rsidRDefault="006C36B7" w:rsidP="0030549D">
      <w:pPr>
        <w:widowControl w:val="0"/>
        <w:ind w:right="-1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leaf length of five randomly selected plants from each plot was measured under natural conditions at 30, 60, and 90 days after transplanting. Measurements were taken from the leaf base to the tip using a measuring scale. </w:t>
      </w:r>
    </w:p>
    <w:p w14:paraId="6ED13579" w14:textId="77777777" w:rsidR="00EE7DAF" w:rsidRDefault="00EE7DAF" w:rsidP="0030549D">
      <w:pPr>
        <w:spacing w:after="160"/>
        <w:jc w:val="both"/>
        <w:rPr>
          <w:rFonts w:ascii="Times New Roman" w:eastAsia="Times New Roman" w:hAnsi="Times New Roman" w:cs="Times New Roman"/>
          <w:b/>
          <w:bCs/>
          <w:sz w:val="24"/>
          <w:szCs w:val="24"/>
        </w:rPr>
      </w:pPr>
    </w:p>
    <w:p w14:paraId="6AFD59A4" w14:textId="77777777" w:rsidR="00EE7DAF" w:rsidRDefault="006C36B7" w:rsidP="0030549D">
      <w:pPr>
        <w:spacing w:after="1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3.1.4. Chlorophyll content (SPAD value)</w:t>
      </w:r>
    </w:p>
    <w:p w14:paraId="1464DDFE" w14:textId="77777777" w:rsidR="00EE7DAF" w:rsidRDefault="006C36B7" w:rsidP="0030549D">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 indicates that canopy cover varied significantly across different varieties. This difference was observed at p&lt;0.05 at 30, 60, and 90 days after transplanting (DAT), as well as at final harvest. The Snow Crown variety recorded the maximum chlorophyll content of 63.76 SPAD value, while the </w:t>
      </w:r>
      <w:proofErr w:type="spellStart"/>
      <w:r>
        <w:rPr>
          <w:rFonts w:ascii="Times New Roman" w:eastAsia="Times New Roman" w:hAnsi="Times New Roman" w:cs="Times New Roman"/>
          <w:sz w:val="24"/>
          <w:szCs w:val="24"/>
        </w:rPr>
        <w:t>Poosi</w:t>
      </w:r>
      <w:proofErr w:type="spellEnd"/>
      <w:r>
        <w:rPr>
          <w:rFonts w:ascii="Times New Roman" w:eastAsia="Times New Roman" w:hAnsi="Times New Roman" w:cs="Times New Roman"/>
          <w:sz w:val="24"/>
          <w:szCs w:val="24"/>
        </w:rPr>
        <w:t xml:space="preserve"> variety had the minimum at 47.28 SPAD value.</w:t>
      </w:r>
    </w:p>
    <w:p w14:paraId="7CA52506" w14:textId="77777777" w:rsidR="00EE7DAF" w:rsidRDefault="006C36B7" w:rsidP="0030549D">
      <w:pPr>
        <w:widowControl w:val="0"/>
        <w:ind w:right="-1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chlorophyll content of five randomly selected plants from each plot was measured under natural conditions at 30, 60, and 90 days after transplanting. Measurements were taken using a SPAD chlorophyll meter to assess the relative greenness of the leaves.</w:t>
      </w:r>
    </w:p>
    <w:p w14:paraId="668A4985" w14:textId="77777777" w:rsidR="00EE7DAF" w:rsidRDefault="00EE7DAF" w:rsidP="0030549D">
      <w:pPr>
        <w:widowControl w:val="0"/>
        <w:ind w:right="-182"/>
        <w:jc w:val="both"/>
        <w:rPr>
          <w:rFonts w:ascii="Times New Roman" w:eastAsia="Times New Roman" w:hAnsi="Times New Roman" w:cs="Times New Roman"/>
          <w:sz w:val="24"/>
          <w:szCs w:val="24"/>
        </w:rPr>
      </w:pPr>
    </w:p>
    <w:p w14:paraId="62335459" w14:textId="77777777" w:rsidR="00EE7DAF" w:rsidRDefault="006C36B7" w:rsidP="0030549D">
      <w:pPr>
        <w:widowControl w:val="0"/>
        <w:ind w:right="-18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3.1.5. Stem girth (cm)</w:t>
      </w:r>
    </w:p>
    <w:p w14:paraId="6637BCC9" w14:textId="77777777" w:rsidR="00EE7DAF" w:rsidRDefault="006C36B7" w:rsidP="0030549D">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 indicates that canopy cover varied significantly across different varieties. This difference was observed at p&lt;0.05 at 30, 60, and 90 days after transplanting (DAT), as well as at final harvest. The Snow Crown variety recorded the maximum stem girth of 5.18 cm, while the </w:t>
      </w:r>
      <w:proofErr w:type="spellStart"/>
      <w:r>
        <w:rPr>
          <w:rFonts w:ascii="Times New Roman" w:eastAsia="Times New Roman" w:hAnsi="Times New Roman" w:cs="Times New Roman"/>
          <w:sz w:val="24"/>
          <w:szCs w:val="24"/>
        </w:rPr>
        <w:t>Poosi</w:t>
      </w:r>
      <w:proofErr w:type="spellEnd"/>
      <w:r>
        <w:rPr>
          <w:rFonts w:ascii="Times New Roman" w:eastAsia="Times New Roman" w:hAnsi="Times New Roman" w:cs="Times New Roman"/>
          <w:sz w:val="24"/>
          <w:szCs w:val="24"/>
        </w:rPr>
        <w:t xml:space="preserve"> variety had the minimum at 3.53 cm.</w:t>
      </w:r>
    </w:p>
    <w:p w14:paraId="03525ECA" w14:textId="77777777" w:rsidR="00EE7DAF" w:rsidRDefault="006C36B7" w:rsidP="0030549D">
      <w:pPr>
        <w:widowControl w:val="0"/>
        <w:ind w:right="-1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stem girth of five randomly selected plants from each plot was measured under natural conditions at 30, 60, and 90 days after transplanting. Measurements were taken at the base of the stem using a vernier caliper or measuring tape.</w:t>
      </w:r>
    </w:p>
    <w:p w14:paraId="0A0B10DA" w14:textId="77777777" w:rsidR="00EE7DAF" w:rsidRDefault="00EE7DAF" w:rsidP="0030549D">
      <w:pPr>
        <w:spacing w:after="160"/>
        <w:jc w:val="both"/>
        <w:rPr>
          <w:rFonts w:ascii="Times New Roman" w:eastAsia="Times New Roman" w:hAnsi="Times New Roman" w:cs="Times New Roman"/>
          <w:b/>
          <w:bCs/>
          <w:sz w:val="24"/>
          <w:szCs w:val="24"/>
        </w:rPr>
      </w:pPr>
    </w:p>
    <w:p w14:paraId="659227C7" w14:textId="77777777" w:rsidR="00EE7DAF" w:rsidRDefault="006C36B7" w:rsidP="0030549D">
      <w:pPr>
        <w:widowControl w:val="0"/>
        <w:ind w:right="-18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 Yield Parameters</w:t>
      </w:r>
    </w:p>
    <w:p w14:paraId="330CF10D" w14:textId="77777777" w:rsidR="00EE7DAF" w:rsidRDefault="006C36B7" w:rsidP="0030549D">
      <w:pPr>
        <w:widowControl w:val="0"/>
        <w:ind w:right="-18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3.2.1. Biological yield(g)</w:t>
      </w:r>
    </w:p>
    <w:p w14:paraId="12883C45" w14:textId="77777777" w:rsidR="00EE7DAF" w:rsidRDefault="006C36B7" w:rsidP="0030549D">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 indicates that canopy cover varied significantly across different varieties. This difference was observed at p&lt;0.05 at 30, 60, and 90 days after transplanting (DAT), as well as at final harvest. The Snow Crown variety recorded the maximum biological yield of 744.93 g, while the </w:t>
      </w:r>
      <w:proofErr w:type="spellStart"/>
      <w:r>
        <w:rPr>
          <w:rFonts w:ascii="Times New Roman" w:eastAsia="Times New Roman" w:hAnsi="Times New Roman" w:cs="Times New Roman"/>
          <w:sz w:val="24"/>
          <w:szCs w:val="24"/>
        </w:rPr>
        <w:t>Poosi</w:t>
      </w:r>
      <w:proofErr w:type="spellEnd"/>
      <w:r>
        <w:rPr>
          <w:rFonts w:ascii="Times New Roman" w:eastAsia="Times New Roman" w:hAnsi="Times New Roman" w:cs="Times New Roman"/>
          <w:sz w:val="24"/>
          <w:szCs w:val="24"/>
        </w:rPr>
        <w:t xml:space="preserve"> variety had the minimum at 510.93 g.</w:t>
      </w:r>
    </w:p>
    <w:p w14:paraId="0F7CCD8E" w14:textId="77777777" w:rsidR="00EE7DAF" w:rsidRDefault="006C36B7" w:rsidP="0030549D">
      <w:pPr>
        <w:widowControl w:val="0"/>
        <w:ind w:right="-1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biological yield of each plot was determined by harvesting all above-ground plant biomass, including leaves, stems, and curds, at maturity. The total fresh weight of five randomly selected plants from each plot was recorded.</w:t>
      </w:r>
    </w:p>
    <w:p w14:paraId="41E673B0" w14:textId="77777777" w:rsidR="00EE7DAF" w:rsidRDefault="00EE7DAF" w:rsidP="0030549D">
      <w:pPr>
        <w:ind w:right="-182"/>
        <w:jc w:val="both"/>
        <w:rPr>
          <w:rFonts w:ascii="Times New Roman" w:eastAsia="Times New Roman" w:hAnsi="Times New Roman" w:cs="Times New Roman"/>
          <w:sz w:val="24"/>
          <w:szCs w:val="24"/>
        </w:rPr>
      </w:pPr>
    </w:p>
    <w:p w14:paraId="40F0FC22" w14:textId="77777777" w:rsidR="00EE7DAF" w:rsidRDefault="006C36B7" w:rsidP="0030549D">
      <w:pPr>
        <w:tabs>
          <w:tab w:val="left" w:pos="7620"/>
        </w:tabs>
        <w:spacing w:after="160"/>
        <w:ind w:left="284"/>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Table 3. Yield parameters </w:t>
      </w:r>
      <w:proofErr w:type="gramStart"/>
      <w:r>
        <w:rPr>
          <w:rFonts w:ascii="Times New Roman" w:eastAsia="Times New Roman" w:hAnsi="Times New Roman" w:cs="Times New Roman"/>
          <w:b/>
          <w:bCs/>
          <w:sz w:val="24"/>
          <w:szCs w:val="24"/>
        </w:rPr>
        <w:t>of  different</w:t>
      </w:r>
      <w:proofErr w:type="gramEnd"/>
      <w:r>
        <w:rPr>
          <w:rFonts w:ascii="Times New Roman" w:eastAsia="Times New Roman" w:hAnsi="Times New Roman" w:cs="Times New Roman"/>
          <w:b/>
          <w:bCs/>
          <w:sz w:val="24"/>
          <w:szCs w:val="24"/>
        </w:rPr>
        <w:t xml:space="preserve"> varieties of cauliflower grown under </w:t>
      </w:r>
      <w:proofErr w:type="spellStart"/>
      <w:r>
        <w:rPr>
          <w:rFonts w:ascii="Times New Roman" w:eastAsia="Times New Roman" w:hAnsi="Times New Roman" w:cs="Times New Roman"/>
          <w:b/>
          <w:bCs/>
          <w:sz w:val="24"/>
          <w:szCs w:val="24"/>
        </w:rPr>
        <w:t>Prayagraj</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Agro</w:t>
      </w:r>
      <w:proofErr w:type="spellEnd"/>
      <w:r>
        <w:rPr>
          <w:rFonts w:ascii="Times New Roman" w:eastAsia="Times New Roman" w:hAnsi="Times New Roman" w:cs="Times New Roman"/>
          <w:b/>
          <w:bCs/>
          <w:sz w:val="24"/>
          <w:szCs w:val="24"/>
        </w:rPr>
        <w:t xml:space="preserve"> climate conditions</w:t>
      </w:r>
    </w:p>
    <w:tbl>
      <w:tblPr>
        <w:tblStyle w:val="a0"/>
        <w:tblW w:w="94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5"/>
        <w:gridCol w:w="1170"/>
        <w:gridCol w:w="1125"/>
        <w:gridCol w:w="1080"/>
        <w:gridCol w:w="1500"/>
        <w:gridCol w:w="930"/>
        <w:gridCol w:w="1260"/>
      </w:tblGrid>
      <w:tr w:rsidR="00EE7DAF" w14:paraId="1CF02C7C" w14:textId="77777777">
        <w:trPr>
          <w:trHeight w:val="1164"/>
        </w:trPr>
        <w:tc>
          <w:tcPr>
            <w:tcW w:w="2385" w:type="dxa"/>
          </w:tcPr>
          <w:p w14:paraId="78056BFB" w14:textId="77777777" w:rsidR="00EE7DAF" w:rsidRDefault="006C36B7" w:rsidP="0030549D">
            <w:pPr>
              <w:tabs>
                <w:tab w:val="left" w:pos="7620"/>
              </w:tabs>
              <w:spacing w:line="276" w:lineRule="auto"/>
              <w:jc w:val="both"/>
              <w:rPr>
                <w:rFonts w:ascii="Times New Roman" w:eastAsia="Times New Roman" w:hAnsi="Times New Roman" w:cs="Times New Roman"/>
                <w:b/>
                <w:bCs/>
                <w:sz w:val="24"/>
                <w:szCs w:val="24"/>
              </w:rPr>
            </w:pPr>
            <w:bookmarkStart w:id="1" w:name="_heading=h.iowc86ro2nj6" w:colFirst="0" w:colLast="0"/>
            <w:bookmarkEnd w:id="1"/>
            <w:r>
              <w:rPr>
                <w:rFonts w:ascii="Times New Roman" w:eastAsia="Times New Roman" w:hAnsi="Times New Roman" w:cs="Times New Roman"/>
                <w:b/>
                <w:bCs/>
                <w:sz w:val="24"/>
                <w:szCs w:val="24"/>
              </w:rPr>
              <w:t>Variety</w:t>
            </w:r>
          </w:p>
        </w:tc>
        <w:tc>
          <w:tcPr>
            <w:tcW w:w="1170" w:type="dxa"/>
            <w:tcBorders>
              <w:bottom w:val="single" w:sz="6" w:space="0" w:color="000000"/>
            </w:tcBorders>
          </w:tcPr>
          <w:p w14:paraId="030C6EE7" w14:textId="77777777" w:rsidR="00EE7DAF" w:rsidRDefault="006C36B7" w:rsidP="0030549D">
            <w:pPr>
              <w:spacing w:after="16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Canopy cover</w:t>
            </w:r>
          </w:p>
          <w:p w14:paraId="0F074AFE" w14:textId="77777777" w:rsidR="00EE7DAF" w:rsidRDefault="00EE7DAF" w:rsidP="0030549D">
            <w:pPr>
              <w:tabs>
                <w:tab w:val="left" w:pos="7620"/>
              </w:tabs>
              <w:spacing w:line="276" w:lineRule="auto"/>
              <w:jc w:val="both"/>
              <w:rPr>
                <w:rFonts w:ascii="Times New Roman" w:eastAsia="Times New Roman" w:hAnsi="Times New Roman" w:cs="Times New Roman"/>
                <w:b/>
                <w:bCs/>
                <w:sz w:val="24"/>
                <w:szCs w:val="24"/>
              </w:rPr>
            </w:pPr>
          </w:p>
        </w:tc>
        <w:tc>
          <w:tcPr>
            <w:tcW w:w="1125" w:type="dxa"/>
            <w:tcBorders>
              <w:bottom w:val="single" w:sz="6" w:space="0" w:color="000000"/>
            </w:tcBorders>
          </w:tcPr>
          <w:p w14:paraId="25D4B929" w14:textId="77777777" w:rsidR="00EE7DAF" w:rsidRDefault="006C36B7" w:rsidP="0030549D">
            <w:pPr>
              <w:widowControl w:val="0"/>
              <w:spacing w:line="276" w:lineRule="auto"/>
              <w:ind w:right="-18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Leaf area</w:t>
            </w:r>
          </w:p>
          <w:p w14:paraId="6CD01DED" w14:textId="77777777" w:rsidR="00EE7DAF" w:rsidRDefault="00EE7DAF" w:rsidP="0030549D">
            <w:pPr>
              <w:tabs>
                <w:tab w:val="left" w:pos="7620"/>
              </w:tabs>
              <w:spacing w:line="276" w:lineRule="auto"/>
              <w:jc w:val="both"/>
              <w:rPr>
                <w:rFonts w:ascii="Times New Roman" w:eastAsia="Times New Roman" w:hAnsi="Times New Roman" w:cs="Times New Roman"/>
                <w:b/>
                <w:bCs/>
                <w:sz w:val="24"/>
                <w:szCs w:val="24"/>
              </w:rPr>
            </w:pPr>
          </w:p>
        </w:tc>
        <w:tc>
          <w:tcPr>
            <w:tcW w:w="1080" w:type="dxa"/>
          </w:tcPr>
          <w:p w14:paraId="07190A9B" w14:textId="77777777" w:rsidR="00EE7DAF" w:rsidRDefault="006C36B7" w:rsidP="0030549D">
            <w:pPr>
              <w:spacing w:after="16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Leaf length</w:t>
            </w:r>
          </w:p>
        </w:tc>
        <w:tc>
          <w:tcPr>
            <w:tcW w:w="1500" w:type="dxa"/>
            <w:tcBorders>
              <w:bottom w:val="single" w:sz="6" w:space="0" w:color="000000"/>
            </w:tcBorders>
          </w:tcPr>
          <w:p w14:paraId="66B89960" w14:textId="77777777" w:rsidR="00EE7DAF" w:rsidRDefault="006C36B7" w:rsidP="0030549D">
            <w:pPr>
              <w:spacing w:after="16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Chlorophyll content</w:t>
            </w:r>
          </w:p>
        </w:tc>
        <w:tc>
          <w:tcPr>
            <w:tcW w:w="930" w:type="dxa"/>
            <w:tcBorders>
              <w:bottom w:val="single" w:sz="6" w:space="0" w:color="000000"/>
            </w:tcBorders>
          </w:tcPr>
          <w:p w14:paraId="52E0D323" w14:textId="77777777" w:rsidR="00EE7DAF" w:rsidRDefault="006C36B7" w:rsidP="0030549D">
            <w:pPr>
              <w:widowControl w:val="0"/>
              <w:spacing w:line="276" w:lineRule="auto"/>
              <w:ind w:right="-18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Stem girth</w:t>
            </w:r>
          </w:p>
        </w:tc>
        <w:tc>
          <w:tcPr>
            <w:tcW w:w="1260" w:type="dxa"/>
            <w:tcBorders>
              <w:bottom w:val="single" w:sz="6" w:space="0" w:color="000000"/>
            </w:tcBorders>
          </w:tcPr>
          <w:p w14:paraId="1610C8B3" w14:textId="77777777" w:rsidR="00EE7DAF" w:rsidRDefault="006C36B7" w:rsidP="0030549D">
            <w:pPr>
              <w:widowControl w:val="0"/>
              <w:spacing w:line="276" w:lineRule="auto"/>
              <w:ind w:right="-18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Biological yield</w:t>
            </w:r>
          </w:p>
        </w:tc>
      </w:tr>
      <w:tr w:rsidR="00EE7DAF" w14:paraId="07027662" w14:textId="77777777">
        <w:trPr>
          <w:trHeight w:val="450"/>
        </w:trPr>
        <w:tc>
          <w:tcPr>
            <w:tcW w:w="23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E74007" w14:textId="77777777" w:rsidR="00EE7DAF" w:rsidRDefault="006C36B7" w:rsidP="0030549D">
            <w:pPr>
              <w:widowControl w:val="0"/>
              <w:spacing w:line="276" w:lineRule="auto"/>
              <w:jc w:val="both"/>
              <w:rPr>
                <w:sz w:val="20"/>
                <w:szCs w:val="20"/>
              </w:rPr>
            </w:pPr>
            <w:r>
              <w:rPr>
                <w:rFonts w:ascii="Times New Roman" w:eastAsia="Times New Roman" w:hAnsi="Times New Roman" w:cs="Times New Roman"/>
                <w:sz w:val="24"/>
                <w:szCs w:val="24"/>
              </w:rPr>
              <w:t>Cauliflower F1 hybrid</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690221C" w14:textId="77777777" w:rsidR="00EE7DAF" w:rsidRDefault="006C36B7" w:rsidP="0030549D">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38.57</w:t>
            </w:r>
          </w:p>
        </w:tc>
        <w:tc>
          <w:tcPr>
            <w:tcW w:w="11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27976A6" w14:textId="77777777" w:rsidR="00EE7DAF" w:rsidRDefault="006C36B7" w:rsidP="0030549D">
            <w:pPr>
              <w:widowControl w:val="0"/>
              <w:spacing w:line="216" w:lineRule="auto"/>
              <w:ind w:right="-1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342.73</w:t>
            </w:r>
          </w:p>
        </w:tc>
        <w:tc>
          <w:tcPr>
            <w:tcW w:w="10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8C97620" w14:textId="77777777" w:rsidR="00EE7DAF" w:rsidRDefault="006C36B7" w:rsidP="0030549D">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21.46</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3C58FD4" w14:textId="77777777" w:rsidR="00EE7DAF" w:rsidRDefault="006C36B7" w:rsidP="0030549D">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51.32</w:t>
            </w:r>
          </w:p>
        </w:tc>
        <w:tc>
          <w:tcPr>
            <w:tcW w:w="9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D2B8891" w14:textId="77777777" w:rsidR="00EE7DAF" w:rsidRDefault="006C36B7" w:rsidP="0030549D">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4.15</w:t>
            </w:r>
          </w:p>
        </w:tc>
        <w:tc>
          <w:tcPr>
            <w:tcW w:w="12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A22E044" w14:textId="77777777" w:rsidR="00EE7DAF" w:rsidRDefault="006C36B7" w:rsidP="0030549D">
            <w:pPr>
              <w:widowControl w:val="0"/>
              <w:spacing w:line="216" w:lineRule="auto"/>
              <w:ind w:right="-1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585.67</w:t>
            </w:r>
          </w:p>
        </w:tc>
      </w:tr>
      <w:tr w:rsidR="00EE7DAF" w14:paraId="491DE1E6" w14:textId="77777777">
        <w:trPr>
          <w:trHeight w:val="480"/>
        </w:trPr>
        <w:tc>
          <w:tcPr>
            <w:tcW w:w="23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8453BD" w14:textId="77777777" w:rsidR="00EE7DAF" w:rsidRDefault="006C36B7" w:rsidP="0030549D">
            <w:pPr>
              <w:widowControl w:val="0"/>
              <w:spacing w:line="276" w:lineRule="auto"/>
              <w:jc w:val="both"/>
              <w:rPr>
                <w:sz w:val="20"/>
                <w:szCs w:val="20"/>
              </w:rPr>
            </w:pPr>
            <w:r>
              <w:rPr>
                <w:rFonts w:ascii="Times New Roman" w:eastAsia="Times New Roman" w:hAnsi="Times New Roman" w:cs="Times New Roman"/>
                <w:sz w:val="24"/>
                <w:szCs w:val="24"/>
              </w:rPr>
              <w:t>Snow Crown</w:t>
            </w:r>
          </w:p>
        </w:tc>
        <w:tc>
          <w:tcPr>
            <w:tcW w:w="117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38D2DBC" w14:textId="77777777" w:rsidR="00EE7DAF" w:rsidRDefault="006C36B7" w:rsidP="0030549D">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43.57</w:t>
            </w:r>
          </w:p>
        </w:tc>
        <w:tc>
          <w:tcPr>
            <w:tcW w:w="11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A20685A" w14:textId="77777777" w:rsidR="00EE7DAF" w:rsidRDefault="006C36B7" w:rsidP="0030549D">
            <w:pPr>
              <w:widowControl w:val="0"/>
              <w:spacing w:line="216" w:lineRule="auto"/>
              <w:ind w:right="-1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427.98</w:t>
            </w:r>
          </w:p>
        </w:tc>
        <w:tc>
          <w:tcPr>
            <w:tcW w:w="108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850237C" w14:textId="77777777" w:rsidR="00EE7DAF" w:rsidRDefault="006C36B7" w:rsidP="0030549D">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24.11</w:t>
            </w:r>
          </w:p>
        </w:tc>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56DF6E9" w14:textId="77777777" w:rsidR="00EE7DAF" w:rsidRDefault="006C36B7" w:rsidP="0030549D">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63.77</w:t>
            </w:r>
          </w:p>
        </w:tc>
        <w:tc>
          <w:tcPr>
            <w:tcW w:w="93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6A5F839" w14:textId="77777777" w:rsidR="00EE7DAF" w:rsidRDefault="006C36B7" w:rsidP="0030549D">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5.19</w:t>
            </w:r>
          </w:p>
        </w:tc>
        <w:tc>
          <w:tcPr>
            <w:tcW w:w="12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83089AA" w14:textId="77777777" w:rsidR="00EE7DAF" w:rsidRDefault="006C36B7" w:rsidP="0030549D">
            <w:pPr>
              <w:widowControl w:val="0"/>
              <w:spacing w:line="216" w:lineRule="auto"/>
              <w:ind w:right="-1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744.93</w:t>
            </w:r>
          </w:p>
        </w:tc>
      </w:tr>
      <w:tr w:rsidR="00EE7DAF" w14:paraId="6A030C61" w14:textId="77777777">
        <w:trPr>
          <w:trHeight w:val="450"/>
        </w:trPr>
        <w:tc>
          <w:tcPr>
            <w:tcW w:w="23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A7015AA" w14:textId="77777777" w:rsidR="00EE7DAF" w:rsidRDefault="006C36B7" w:rsidP="0030549D">
            <w:pPr>
              <w:widowControl w:val="0"/>
              <w:spacing w:line="276" w:lineRule="auto"/>
              <w:jc w:val="both"/>
              <w:rPr>
                <w:sz w:val="20"/>
                <w:szCs w:val="20"/>
              </w:rPr>
            </w:pPr>
            <w:r>
              <w:rPr>
                <w:rFonts w:ascii="Times New Roman" w:eastAsia="Times New Roman" w:hAnsi="Times New Roman" w:cs="Times New Roman"/>
                <w:sz w:val="24"/>
                <w:szCs w:val="24"/>
              </w:rPr>
              <w:t>White Dex</w:t>
            </w:r>
          </w:p>
        </w:tc>
        <w:tc>
          <w:tcPr>
            <w:tcW w:w="117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8FBDDD1" w14:textId="77777777" w:rsidR="00EE7DAF" w:rsidRDefault="006C36B7" w:rsidP="0030549D">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38.09</w:t>
            </w:r>
          </w:p>
        </w:tc>
        <w:tc>
          <w:tcPr>
            <w:tcW w:w="11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1798A91" w14:textId="77777777" w:rsidR="00EE7DAF" w:rsidRDefault="006C36B7" w:rsidP="0030549D">
            <w:pPr>
              <w:widowControl w:val="0"/>
              <w:spacing w:line="216" w:lineRule="auto"/>
              <w:ind w:right="-1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372.70</w:t>
            </w:r>
          </w:p>
        </w:tc>
        <w:tc>
          <w:tcPr>
            <w:tcW w:w="108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EC5CF3E" w14:textId="77777777" w:rsidR="00EE7DAF" w:rsidRDefault="006C36B7" w:rsidP="0030549D">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21.63</w:t>
            </w:r>
          </w:p>
        </w:tc>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5AC4CF3" w14:textId="77777777" w:rsidR="00EE7DAF" w:rsidRDefault="006C36B7" w:rsidP="0030549D">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50.82</w:t>
            </w:r>
          </w:p>
        </w:tc>
        <w:tc>
          <w:tcPr>
            <w:tcW w:w="93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E10CE6E" w14:textId="77777777" w:rsidR="00EE7DAF" w:rsidRDefault="006C36B7" w:rsidP="0030549D">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3.87</w:t>
            </w:r>
          </w:p>
        </w:tc>
        <w:tc>
          <w:tcPr>
            <w:tcW w:w="12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CC4F17" w14:textId="77777777" w:rsidR="00EE7DAF" w:rsidRDefault="006C36B7" w:rsidP="0030549D">
            <w:pPr>
              <w:widowControl w:val="0"/>
              <w:spacing w:line="216" w:lineRule="auto"/>
              <w:ind w:right="-1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654.40</w:t>
            </w:r>
          </w:p>
        </w:tc>
      </w:tr>
      <w:tr w:rsidR="00EE7DAF" w14:paraId="277F6F4A" w14:textId="77777777">
        <w:trPr>
          <w:trHeight w:val="495"/>
        </w:trPr>
        <w:tc>
          <w:tcPr>
            <w:tcW w:w="23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1FEDC14" w14:textId="77777777" w:rsidR="00EE7DAF" w:rsidRDefault="006C36B7" w:rsidP="0030549D">
            <w:pPr>
              <w:widowControl w:val="0"/>
              <w:spacing w:line="276" w:lineRule="auto"/>
              <w:jc w:val="both"/>
              <w:rPr>
                <w:sz w:val="20"/>
                <w:szCs w:val="20"/>
              </w:rPr>
            </w:pPr>
            <w:proofErr w:type="spellStart"/>
            <w:r>
              <w:rPr>
                <w:rFonts w:ascii="Times New Roman" w:eastAsia="Times New Roman" w:hAnsi="Times New Roman" w:cs="Times New Roman"/>
                <w:sz w:val="24"/>
                <w:szCs w:val="24"/>
              </w:rPr>
              <w:t>Carotena</w:t>
            </w:r>
            <w:proofErr w:type="spellEnd"/>
          </w:p>
        </w:tc>
        <w:tc>
          <w:tcPr>
            <w:tcW w:w="117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94DA1E3" w14:textId="77777777" w:rsidR="00EE7DAF" w:rsidRDefault="006C36B7" w:rsidP="0030549D">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36.84</w:t>
            </w:r>
          </w:p>
        </w:tc>
        <w:tc>
          <w:tcPr>
            <w:tcW w:w="11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2486B44" w14:textId="77777777" w:rsidR="00EE7DAF" w:rsidRDefault="006C36B7" w:rsidP="0030549D">
            <w:pPr>
              <w:widowControl w:val="0"/>
              <w:spacing w:line="216" w:lineRule="auto"/>
              <w:ind w:right="-1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373.70</w:t>
            </w:r>
          </w:p>
        </w:tc>
        <w:tc>
          <w:tcPr>
            <w:tcW w:w="108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F47D577" w14:textId="77777777" w:rsidR="00EE7DAF" w:rsidRDefault="006C36B7" w:rsidP="0030549D">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21.17</w:t>
            </w:r>
          </w:p>
        </w:tc>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1D4EDD4" w14:textId="77777777" w:rsidR="00EE7DAF" w:rsidRDefault="006C36B7" w:rsidP="0030549D">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52.90</w:t>
            </w:r>
          </w:p>
        </w:tc>
        <w:tc>
          <w:tcPr>
            <w:tcW w:w="93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0B4AF51" w14:textId="77777777" w:rsidR="00EE7DAF" w:rsidRDefault="006C36B7" w:rsidP="0030549D">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4.19</w:t>
            </w:r>
          </w:p>
        </w:tc>
        <w:tc>
          <w:tcPr>
            <w:tcW w:w="12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B66CFA" w14:textId="77777777" w:rsidR="00EE7DAF" w:rsidRDefault="006C36B7" w:rsidP="0030549D">
            <w:pPr>
              <w:widowControl w:val="0"/>
              <w:spacing w:line="216" w:lineRule="auto"/>
              <w:ind w:right="-1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620.13</w:t>
            </w:r>
          </w:p>
        </w:tc>
      </w:tr>
      <w:tr w:rsidR="00EE7DAF" w14:paraId="598E22FB" w14:textId="77777777">
        <w:trPr>
          <w:trHeight w:val="420"/>
        </w:trPr>
        <w:tc>
          <w:tcPr>
            <w:tcW w:w="23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EDD3F43" w14:textId="77777777" w:rsidR="00EE7DAF" w:rsidRDefault="006C36B7" w:rsidP="0030549D">
            <w:pPr>
              <w:widowControl w:val="0"/>
              <w:spacing w:line="276" w:lineRule="auto"/>
              <w:jc w:val="both"/>
              <w:rPr>
                <w:sz w:val="20"/>
                <w:szCs w:val="20"/>
              </w:rPr>
            </w:pPr>
            <w:r>
              <w:rPr>
                <w:rFonts w:ascii="Times New Roman" w:eastAsia="Times New Roman" w:hAnsi="Times New Roman" w:cs="Times New Roman"/>
                <w:sz w:val="24"/>
                <w:szCs w:val="24"/>
              </w:rPr>
              <w:t>F1 Hybrid Yellow</w:t>
            </w:r>
          </w:p>
        </w:tc>
        <w:tc>
          <w:tcPr>
            <w:tcW w:w="117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8D0D992" w14:textId="77777777" w:rsidR="00EE7DAF" w:rsidRDefault="006C36B7" w:rsidP="0030549D">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38.80</w:t>
            </w:r>
          </w:p>
        </w:tc>
        <w:tc>
          <w:tcPr>
            <w:tcW w:w="11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37B1AC" w14:textId="77777777" w:rsidR="00EE7DAF" w:rsidRDefault="006C36B7" w:rsidP="0030549D">
            <w:pPr>
              <w:widowControl w:val="0"/>
              <w:spacing w:line="216" w:lineRule="auto"/>
              <w:ind w:right="-1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377.36</w:t>
            </w:r>
          </w:p>
        </w:tc>
        <w:tc>
          <w:tcPr>
            <w:tcW w:w="108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6A7E217" w14:textId="77777777" w:rsidR="00EE7DAF" w:rsidRDefault="006C36B7" w:rsidP="0030549D">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21.88</w:t>
            </w:r>
          </w:p>
        </w:tc>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1992E38" w14:textId="77777777" w:rsidR="00EE7DAF" w:rsidRDefault="006C36B7" w:rsidP="0030549D">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48.59</w:t>
            </w:r>
          </w:p>
        </w:tc>
        <w:tc>
          <w:tcPr>
            <w:tcW w:w="93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C8F1E72" w14:textId="77777777" w:rsidR="00EE7DAF" w:rsidRDefault="006C36B7" w:rsidP="0030549D">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3.98</w:t>
            </w:r>
          </w:p>
        </w:tc>
        <w:tc>
          <w:tcPr>
            <w:tcW w:w="12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98FB7E2" w14:textId="77777777" w:rsidR="00EE7DAF" w:rsidRDefault="006C36B7" w:rsidP="0030549D">
            <w:pPr>
              <w:widowControl w:val="0"/>
              <w:spacing w:line="216" w:lineRule="auto"/>
              <w:ind w:right="-1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444.67</w:t>
            </w:r>
          </w:p>
        </w:tc>
      </w:tr>
      <w:tr w:rsidR="00EE7DAF" w14:paraId="5AF1F30D" w14:textId="77777777">
        <w:trPr>
          <w:trHeight w:val="480"/>
        </w:trPr>
        <w:tc>
          <w:tcPr>
            <w:tcW w:w="23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CE0D4C5" w14:textId="77777777" w:rsidR="00EE7DAF" w:rsidRDefault="006C36B7" w:rsidP="0030549D">
            <w:pPr>
              <w:widowControl w:val="0"/>
              <w:spacing w:line="276" w:lineRule="auto"/>
              <w:jc w:val="both"/>
              <w:rPr>
                <w:sz w:val="20"/>
                <w:szCs w:val="20"/>
              </w:rPr>
            </w:pPr>
            <w:r>
              <w:rPr>
                <w:rFonts w:ascii="Times New Roman" w:eastAsia="Times New Roman" w:hAnsi="Times New Roman" w:cs="Times New Roman"/>
                <w:sz w:val="24"/>
                <w:szCs w:val="24"/>
              </w:rPr>
              <w:t>Pili Phool Gobhi</w:t>
            </w:r>
          </w:p>
        </w:tc>
        <w:tc>
          <w:tcPr>
            <w:tcW w:w="117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84F5E63" w14:textId="77777777" w:rsidR="00EE7DAF" w:rsidRDefault="006C36B7" w:rsidP="0030549D">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35.79</w:t>
            </w:r>
          </w:p>
        </w:tc>
        <w:tc>
          <w:tcPr>
            <w:tcW w:w="11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7E4C71E" w14:textId="77777777" w:rsidR="00EE7DAF" w:rsidRDefault="006C36B7" w:rsidP="0030549D">
            <w:pPr>
              <w:widowControl w:val="0"/>
              <w:spacing w:line="216" w:lineRule="auto"/>
              <w:ind w:right="-1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356.82</w:t>
            </w:r>
          </w:p>
        </w:tc>
        <w:tc>
          <w:tcPr>
            <w:tcW w:w="108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EB7AADB" w14:textId="77777777" w:rsidR="00EE7DAF" w:rsidRDefault="006C36B7" w:rsidP="0030549D">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23.14</w:t>
            </w:r>
          </w:p>
        </w:tc>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7226F0C" w14:textId="77777777" w:rsidR="00EE7DAF" w:rsidRDefault="006C36B7" w:rsidP="0030549D">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57.06</w:t>
            </w:r>
          </w:p>
        </w:tc>
        <w:tc>
          <w:tcPr>
            <w:tcW w:w="93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F0AF0E2" w14:textId="77777777" w:rsidR="00EE7DAF" w:rsidRDefault="006C36B7" w:rsidP="0030549D">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4.03</w:t>
            </w:r>
          </w:p>
        </w:tc>
        <w:tc>
          <w:tcPr>
            <w:tcW w:w="12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C7D98E" w14:textId="77777777" w:rsidR="00EE7DAF" w:rsidRDefault="006C36B7" w:rsidP="0030549D">
            <w:pPr>
              <w:widowControl w:val="0"/>
              <w:spacing w:line="216" w:lineRule="auto"/>
              <w:ind w:right="-1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589.53</w:t>
            </w:r>
          </w:p>
        </w:tc>
      </w:tr>
      <w:tr w:rsidR="00EE7DAF" w14:paraId="65542971" w14:textId="77777777">
        <w:trPr>
          <w:trHeight w:val="420"/>
        </w:trPr>
        <w:tc>
          <w:tcPr>
            <w:tcW w:w="23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F062B18" w14:textId="77777777" w:rsidR="00EE7DAF" w:rsidRDefault="006C36B7" w:rsidP="0030549D">
            <w:pPr>
              <w:widowControl w:val="0"/>
              <w:spacing w:line="276" w:lineRule="auto"/>
              <w:jc w:val="both"/>
              <w:rPr>
                <w:sz w:val="20"/>
                <w:szCs w:val="20"/>
              </w:rPr>
            </w:pPr>
            <w:proofErr w:type="spellStart"/>
            <w:r>
              <w:rPr>
                <w:rFonts w:ascii="Times New Roman" w:eastAsia="Times New Roman" w:hAnsi="Times New Roman" w:cs="Times New Roman"/>
                <w:sz w:val="24"/>
                <w:szCs w:val="24"/>
              </w:rPr>
              <w:t>Valentena</w:t>
            </w:r>
            <w:proofErr w:type="spellEnd"/>
          </w:p>
        </w:tc>
        <w:tc>
          <w:tcPr>
            <w:tcW w:w="117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AAFE45F" w14:textId="77777777" w:rsidR="00EE7DAF" w:rsidRDefault="006C36B7" w:rsidP="0030549D">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37.41</w:t>
            </w:r>
          </w:p>
        </w:tc>
        <w:tc>
          <w:tcPr>
            <w:tcW w:w="11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8D91A9B" w14:textId="77777777" w:rsidR="00EE7DAF" w:rsidRDefault="006C36B7" w:rsidP="0030549D">
            <w:pPr>
              <w:widowControl w:val="0"/>
              <w:spacing w:line="216" w:lineRule="auto"/>
              <w:ind w:right="-1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364.99</w:t>
            </w:r>
          </w:p>
        </w:tc>
        <w:tc>
          <w:tcPr>
            <w:tcW w:w="108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BDE7D28" w14:textId="77777777" w:rsidR="00EE7DAF" w:rsidRDefault="006C36B7" w:rsidP="0030549D">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22.23</w:t>
            </w:r>
          </w:p>
        </w:tc>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17440FF" w14:textId="77777777" w:rsidR="00EE7DAF" w:rsidRDefault="006C36B7" w:rsidP="0030549D">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53.31</w:t>
            </w:r>
          </w:p>
        </w:tc>
        <w:tc>
          <w:tcPr>
            <w:tcW w:w="93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3EE4BD4" w14:textId="77777777" w:rsidR="00EE7DAF" w:rsidRDefault="006C36B7" w:rsidP="0030549D">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4.87</w:t>
            </w:r>
          </w:p>
        </w:tc>
        <w:tc>
          <w:tcPr>
            <w:tcW w:w="12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7DFF202" w14:textId="77777777" w:rsidR="00EE7DAF" w:rsidRDefault="006C36B7" w:rsidP="0030549D">
            <w:pPr>
              <w:widowControl w:val="0"/>
              <w:spacing w:line="216" w:lineRule="auto"/>
              <w:ind w:right="-1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693.73</w:t>
            </w:r>
          </w:p>
        </w:tc>
      </w:tr>
      <w:tr w:rsidR="00EE7DAF" w14:paraId="4AD6397E" w14:textId="77777777">
        <w:trPr>
          <w:trHeight w:val="377"/>
        </w:trPr>
        <w:tc>
          <w:tcPr>
            <w:tcW w:w="23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8C6B17C" w14:textId="77777777" w:rsidR="00EE7DAF" w:rsidRDefault="006C36B7" w:rsidP="0030549D">
            <w:pPr>
              <w:widowControl w:val="0"/>
              <w:spacing w:line="276" w:lineRule="auto"/>
              <w:jc w:val="both"/>
              <w:rPr>
                <w:sz w:val="20"/>
                <w:szCs w:val="20"/>
              </w:rPr>
            </w:pPr>
            <w:r>
              <w:rPr>
                <w:rFonts w:ascii="Times New Roman" w:eastAsia="Times New Roman" w:hAnsi="Times New Roman" w:cs="Times New Roman"/>
                <w:sz w:val="24"/>
                <w:szCs w:val="24"/>
              </w:rPr>
              <w:t>F1 Hybrid Purple</w:t>
            </w:r>
          </w:p>
        </w:tc>
        <w:tc>
          <w:tcPr>
            <w:tcW w:w="117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993CF4B" w14:textId="77777777" w:rsidR="00EE7DAF" w:rsidRDefault="006C36B7" w:rsidP="0030549D">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39.76</w:t>
            </w:r>
          </w:p>
        </w:tc>
        <w:tc>
          <w:tcPr>
            <w:tcW w:w="11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68443A5" w14:textId="77777777" w:rsidR="00EE7DAF" w:rsidRDefault="006C36B7" w:rsidP="0030549D">
            <w:pPr>
              <w:widowControl w:val="0"/>
              <w:spacing w:line="216" w:lineRule="auto"/>
              <w:ind w:right="-1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369.23</w:t>
            </w:r>
          </w:p>
        </w:tc>
        <w:tc>
          <w:tcPr>
            <w:tcW w:w="108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B23CAC9" w14:textId="77777777" w:rsidR="00EE7DAF" w:rsidRDefault="006C36B7" w:rsidP="0030549D">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21.62</w:t>
            </w:r>
          </w:p>
        </w:tc>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727638C" w14:textId="77777777" w:rsidR="00EE7DAF" w:rsidRDefault="006C36B7" w:rsidP="0030549D">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55.95</w:t>
            </w:r>
          </w:p>
        </w:tc>
        <w:tc>
          <w:tcPr>
            <w:tcW w:w="93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D22EC97" w14:textId="77777777" w:rsidR="00EE7DAF" w:rsidRDefault="006C36B7" w:rsidP="0030549D">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4.69</w:t>
            </w:r>
          </w:p>
        </w:tc>
        <w:tc>
          <w:tcPr>
            <w:tcW w:w="12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FDB4AEC" w14:textId="77777777" w:rsidR="00EE7DAF" w:rsidRDefault="006C36B7" w:rsidP="0030549D">
            <w:pPr>
              <w:widowControl w:val="0"/>
              <w:spacing w:line="216" w:lineRule="auto"/>
              <w:ind w:right="-1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575.00</w:t>
            </w:r>
          </w:p>
        </w:tc>
      </w:tr>
      <w:tr w:rsidR="00EE7DAF" w14:paraId="319E9527" w14:textId="77777777">
        <w:trPr>
          <w:trHeight w:val="226"/>
        </w:trPr>
        <w:tc>
          <w:tcPr>
            <w:tcW w:w="23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768770F" w14:textId="77777777" w:rsidR="00EE7DAF" w:rsidRDefault="006C36B7" w:rsidP="0030549D">
            <w:pPr>
              <w:widowControl w:val="0"/>
              <w:spacing w:line="276" w:lineRule="auto"/>
              <w:jc w:val="both"/>
              <w:rPr>
                <w:sz w:val="20"/>
                <w:szCs w:val="20"/>
              </w:rPr>
            </w:pPr>
            <w:proofErr w:type="spellStart"/>
            <w:r>
              <w:rPr>
                <w:rFonts w:ascii="Times New Roman" w:eastAsia="Times New Roman" w:hAnsi="Times New Roman" w:cs="Times New Roman"/>
                <w:sz w:val="24"/>
                <w:szCs w:val="24"/>
              </w:rPr>
              <w:t>Bainganee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Phool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Gobhi</w:t>
            </w:r>
            <w:proofErr w:type="spellEnd"/>
          </w:p>
        </w:tc>
        <w:tc>
          <w:tcPr>
            <w:tcW w:w="117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DAC3D96" w14:textId="77777777" w:rsidR="00EE7DAF" w:rsidRDefault="006C36B7" w:rsidP="0030549D">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41.72</w:t>
            </w:r>
          </w:p>
        </w:tc>
        <w:tc>
          <w:tcPr>
            <w:tcW w:w="11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3C373BD" w14:textId="77777777" w:rsidR="00EE7DAF" w:rsidRDefault="006C36B7" w:rsidP="0030549D">
            <w:pPr>
              <w:widowControl w:val="0"/>
              <w:spacing w:line="216" w:lineRule="auto"/>
              <w:ind w:right="-1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358.60</w:t>
            </w:r>
          </w:p>
        </w:tc>
        <w:tc>
          <w:tcPr>
            <w:tcW w:w="108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C3C081B" w14:textId="77777777" w:rsidR="00EE7DAF" w:rsidRDefault="006C36B7" w:rsidP="0030549D">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21.73</w:t>
            </w:r>
          </w:p>
        </w:tc>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60FC3C3" w14:textId="77777777" w:rsidR="00EE7DAF" w:rsidRDefault="006C36B7" w:rsidP="0030549D">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52.44</w:t>
            </w:r>
          </w:p>
        </w:tc>
        <w:tc>
          <w:tcPr>
            <w:tcW w:w="93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5D5BC0B" w14:textId="77777777" w:rsidR="00EE7DAF" w:rsidRDefault="006C36B7" w:rsidP="0030549D">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4.45</w:t>
            </w:r>
          </w:p>
        </w:tc>
        <w:tc>
          <w:tcPr>
            <w:tcW w:w="12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39BF8A5" w14:textId="77777777" w:rsidR="00EE7DAF" w:rsidRDefault="006C36B7" w:rsidP="0030549D">
            <w:pPr>
              <w:widowControl w:val="0"/>
              <w:spacing w:line="216" w:lineRule="auto"/>
              <w:ind w:right="-1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566.33</w:t>
            </w:r>
          </w:p>
        </w:tc>
      </w:tr>
      <w:tr w:rsidR="00EE7DAF" w14:paraId="43FB04DF" w14:textId="77777777">
        <w:trPr>
          <w:trHeight w:val="226"/>
        </w:trPr>
        <w:tc>
          <w:tcPr>
            <w:tcW w:w="23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BCCD063" w14:textId="77777777" w:rsidR="00EE7DAF" w:rsidRDefault="006C36B7" w:rsidP="0030549D">
            <w:pPr>
              <w:widowControl w:val="0"/>
              <w:spacing w:line="276" w:lineRule="auto"/>
              <w:jc w:val="both"/>
              <w:rPr>
                <w:sz w:val="20"/>
                <w:szCs w:val="20"/>
              </w:rPr>
            </w:pPr>
            <w:proofErr w:type="spellStart"/>
            <w:r>
              <w:rPr>
                <w:rFonts w:ascii="Times New Roman" w:eastAsia="Times New Roman" w:hAnsi="Times New Roman" w:cs="Times New Roman"/>
                <w:sz w:val="24"/>
                <w:szCs w:val="24"/>
              </w:rPr>
              <w:t>Poosi</w:t>
            </w:r>
            <w:proofErr w:type="spellEnd"/>
          </w:p>
        </w:tc>
        <w:tc>
          <w:tcPr>
            <w:tcW w:w="117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B6329EC" w14:textId="77777777" w:rsidR="00EE7DAF" w:rsidRDefault="006C36B7" w:rsidP="0030549D">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30.12</w:t>
            </w:r>
          </w:p>
        </w:tc>
        <w:tc>
          <w:tcPr>
            <w:tcW w:w="11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64C3945" w14:textId="77777777" w:rsidR="00EE7DAF" w:rsidRDefault="006C36B7" w:rsidP="0030549D">
            <w:pPr>
              <w:widowControl w:val="0"/>
              <w:spacing w:line="216" w:lineRule="auto"/>
              <w:ind w:right="-1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342.55</w:t>
            </w:r>
          </w:p>
        </w:tc>
        <w:tc>
          <w:tcPr>
            <w:tcW w:w="108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53DF3B1" w14:textId="77777777" w:rsidR="00EE7DAF" w:rsidRDefault="006C36B7" w:rsidP="0030549D">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20.35</w:t>
            </w:r>
          </w:p>
        </w:tc>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4BAAF27" w14:textId="77777777" w:rsidR="00EE7DAF" w:rsidRDefault="006C36B7" w:rsidP="0030549D">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47.28</w:t>
            </w:r>
          </w:p>
        </w:tc>
        <w:tc>
          <w:tcPr>
            <w:tcW w:w="93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8DE73EA" w14:textId="77777777" w:rsidR="00EE7DAF" w:rsidRDefault="006C36B7" w:rsidP="0030549D">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3.53</w:t>
            </w:r>
          </w:p>
        </w:tc>
        <w:tc>
          <w:tcPr>
            <w:tcW w:w="12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9119E84" w14:textId="77777777" w:rsidR="00EE7DAF" w:rsidRDefault="006C36B7" w:rsidP="0030549D">
            <w:pPr>
              <w:widowControl w:val="0"/>
              <w:spacing w:line="216" w:lineRule="auto"/>
              <w:ind w:right="-1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510.93</w:t>
            </w:r>
          </w:p>
        </w:tc>
      </w:tr>
      <w:tr w:rsidR="00EE7DAF" w14:paraId="11EFB0B9" w14:textId="77777777">
        <w:trPr>
          <w:trHeight w:val="226"/>
        </w:trPr>
        <w:tc>
          <w:tcPr>
            <w:tcW w:w="2385" w:type="dxa"/>
          </w:tcPr>
          <w:p w14:paraId="0FF6AD77" w14:textId="77777777" w:rsidR="00EE7DAF" w:rsidRDefault="006C36B7" w:rsidP="0030549D">
            <w:pPr>
              <w:tabs>
                <w:tab w:val="left" w:pos="7620"/>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F-test</w:t>
            </w:r>
          </w:p>
        </w:tc>
        <w:tc>
          <w:tcPr>
            <w:tcW w:w="1170" w:type="dxa"/>
            <w:tcBorders>
              <w:top w:val="single" w:sz="6" w:space="0" w:color="000000"/>
            </w:tcBorders>
          </w:tcPr>
          <w:p w14:paraId="05696887" w14:textId="77777777" w:rsidR="00EE7DAF" w:rsidRDefault="006C36B7" w:rsidP="0030549D">
            <w:pPr>
              <w:tabs>
                <w:tab w:val="left" w:pos="7620"/>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tc>
        <w:tc>
          <w:tcPr>
            <w:tcW w:w="1125" w:type="dxa"/>
            <w:tcBorders>
              <w:top w:val="single" w:sz="6" w:space="0" w:color="000000"/>
            </w:tcBorders>
          </w:tcPr>
          <w:p w14:paraId="37DBC2A8" w14:textId="77777777" w:rsidR="00EE7DAF" w:rsidRDefault="006C36B7" w:rsidP="0030549D">
            <w:pPr>
              <w:tabs>
                <w:tab w:val="left" w:pos="7620"/>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080" w:type="dxa"/>
          </w:tcPr>
          <w:p w14:paraId="04C7890B" w14:textId="77777777" w:rsidR="00EE7DAF" w:rsidRDefault="006C36B7" w:rsidP="0030549D">
            <w:pPr>
              <w:tabs>
                <w:tab w:val="left" w:pos="7620"/>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tc>
        <w:tc>
          <w:tcPr>
            <w:tcW w:w="1500" w:type="dxa"/>
            <w:tcBorders>
              <w:top w:val="single" w:sz="6" w:space="0" w:color="000000"/>
            </w:tcBorders>
          </w:tcPr>
          <w:p w14:paraId="75E10E96" w14:textId="77777777" w:rsidR="00EE7DAF" w:rsidRDefault="006C36B7" w:rsidP="0030549D">
            <w:pPr>
              <w:tabs>
                <w:tab w:val="left" w:pos="7620"/>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tc>
        <w:tc>
          <w:tcPr>
            <w:tcW w:w="930" w:type="dxa"/>
            <w:tcBorders>
              <w:top w:val="single" w:sz="6" w:space="0" w:color="000000"/>
            </w:tcBorders>
          </w:tcPr>
          <w:p w14:paraId="55F9750C" w14:textId="77777777" w:rsidR="00EE7DAF" w:rsidRDefault="006C36B7" w:rsidP="0030549D">
            <w:pPr>
              <w:tabs>
                <w:tab w:val="left" w:pos="7620"/>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tc>
        <w:tc>
          <w:tcPr>
            <w:tcW w:w="1260" w:type="dxa"/>
            <w:tcBorders>
              <w:top w:val="single" w:sz="6" w:space="0" w:color="000000"/>
            </w:tcBorders>
          </w:tcPr>
          <w:p w14:paraId="5E0C1E35" w14:textId="77777777" w:rsidR="00EE7DAF" w:rsidRDefault="006C36B7" w:rsidP="0030549D">
            <w:pPr>
              <w:tabs>
                <w:tab w:val="left" w:pos="7620"/>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tc>
      </w:tr>
      <w:tr w:rsidR="00EE7DAF" w14:paraId="7CC7A437" w14:textId="77777777">
        <w:trPr>
          <w:trHeight w:val="226"/>
        </w:trPr>
        <w:tc>
          <w:tcPr>
            <w:tcW w:w="2385" w:type="dxa"/>
          </w:tcPr>
          <w:p w14:paraId="335B580A" w14:textId="77777777" w:rsidR="00EE7DAF" w:rsidRDefault="006C36B7" w:rsidP="0030549D">
            <w:pPr>
              <w:tabs>
                <w:tab w:val="left" w:pos="7620"/>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C.D. (5%)</w:t>
            </w:r>
          </w:p>
        </w:tc>
        <w:tc>
          <w:tcPr>
            <w:tcW w:w="1170" w:type="dxa"/>
          </w:tcPr>
          <w:p w14:paraId="524D3F43" w14:textId="77777777" w:rsidR="00EE7DAF" w:rsidRDefault="006C36B7" w:rsidP="0030549D">
            <w:pPr>
              <w:tabs>
                <w:tab w:val="left" w:pos="7620"/>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3.75</w:t>
            </w:r>
          </w:p>
        </w:tc>
        <w:tc>
          <w:tcPr>
            <w:tcW w:w="1125" w:type="dxa"/>
          </w:tcPr>
          <w:p w14:paraId="7880E00D" w14:textId="77777777" w:rsidR="00EE7DAF" w:rsidRDefault="006C36B7" w:rsidP="0030549D">
            <w:pPr>
              <w:tabs>
                <w:tab w:val="left" w:pos="7620"/>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46.22</w:t>
            </w:r>
          </w:p>
        </w:tc>
        <w:tc>
          <w:tcPr>
            <w:tcW w:w="1080" w:type="dxa"/>
          </w:tcPr>
          <w:p w14:paraId="03205673" w14:textId="77777777" w:rsidR="00EE7DAF" w:rsidRDefault="006C36B7" w:rsidP="0030549D">
            <w:pPr>
              <w:tabs>
                <w:tab w:val="left" w:pos="7620"/>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1.69</w:t>
            </w:r>
          </w:p>
        </w:tc>
        <w:tc>
          <w:tcPr>
            <w:tcW w:w="1500" w:type="dxa"/>
          </w:tcPr>
          <w:p w14:paraId="0AA139D8" w14:textId="77777777" w:rsidR="00EE7DAF" w:rsidRDefault="006C36B7" w:rsidP="0030549D">
            <w:pPr>
              <w:tabs>
                <w:tab w:val="left" w:pos="7620"/>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5.70</w:t>
            </w:r>
          </w:p>
        </w:tc>
        <w:tc>
          <w:tcPr>
            <w:tcW w:w="930" w:type="dxa"/>
          </w:tcPr>
          <w:p w14:paraId="6634D28F" w14:textId="77777777" w:rsidR="00EE7DAF" w:rsidRDefault="006C36B7" w:rsidP="0030549D">
            <w:pPr>
              <w:tabs>
                <w:tab w:val="left" w:pos="7620"/>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0.53</w:t>
            </w:r>
          </w:p>
        </w:tc>
        <w:tc>
          <w:tcPr>
            <w:tcW w:w="1260" w:type="dxa"/>
          </w:tcPr>
          <w:p w14:paraId="137EA689" w14:textId="77777777" w:rsidR="00EE7DAF" w:rsidRDefault="006C36B7" w:rsidP="0030549D">
            <w:pPr>
              <w:tabs>
                <w:tab w:val="left" w:pos="7620"/>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25.24</w:t>
            </w:r>
          </w:p>
        </w:tc>
      </w:tr>
      <w:tr w:rsidR="00EE7DAF" w14:paraId="5408E492" w14:textId="77777777">
        <w:trPr>
          <w:trHeight w:val="226"/>
        </w:trPr>
        <w:tc>
          <w:tcPr>
            <w:tcW w:w="2385" w:type="dxa"/>
          </w:tcPr>
          <w:p w14:paraId="11F3D901" w14:textId="77777777" w:rsidR="00EE7DAF" w:rsidRDefault="006C36B7" w:rsidP="0030549D">
            <w:pPr>
              <w:tabs>
                <w:tab w:val="left" w:pos="7620"/>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S.E.(d)</w:t>
            </w:r>
          </w:p>
        </w:tc>
        <w:tc>
          <w:tcPr>
            <w:tcW w:w="1170" w:type="dxa"/>
          </w:tcPr>
          <w:p w14:paraId="52D8BB20" w14:textId="77777777" w:rsidR="00EE7DAF" w:rsidRDefault="006C36B7" w:rsidP="0030549D">
            <w:pPr>
              <w:tabs>
                <w:tab w:val="left" w:pos="7620"/>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1.79</w:t>
            </w:r>
          </w:p>
        </w:tc>
        <w:tc>
          <w:tcPr>
            <w:tcW w:w="1125" w:type="dxa"/>
          </w:tcPr>
          <w:p w14:paraId="5F8FAA91" w14:textId="77777777" w:rsidR="00EE7DAF" w:rsidRDefault="006C36B7" w:rsidP="0030549D">
            <w:pPr>
              <w:tabs>
                <w:tab w:val="left" w:pos="7620"/>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0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58F64C1" w14:textId="77777777" w:rsidR="00EE7DAF" w:rsidRDefault="006C36B7" w:rsidP="0030549D">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0.81</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918FF0F" w14:textId="77777777" w:rsidR="00EE7DAF" w:rsidRDefault="006C36B7" w:rsidP="0030549D">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2.71</w:t>
            </w:r>
          </w:p>
        </w:tc>
        <w:tc>
          <w:tcPr>
            <w:tcW w:w="9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EFD85BE" w14:textId="77777777" w:rsidR="00EE7DAF" w:rsidRDefault="006C36B7" w:rsidP="0030549D">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0.25</w:t>
            </w:r>
          </w:p>
        </w:tc>
        <w:tc>
          <w:tcPr>
            <w:tcW w:w="12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F0092B3" w14:textId="77777777" w:rsidR="00EE7DAF" w:rsidRDefault="006C36B7" w:rsidP="0030549D">
            <w:pPr>
              <w:widowControl w:val="0"/>
              <w:spacing w:line="216" w:lineRule="auto"/>
              <w:ind w:right="-1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12.01</w:t>
            </w:r>
          </w:p>
        </w:tc>
      </w:tr>
      <w:tr w:rsidR="00EE7DAF" w14:paraId="6F6A53B6" w14:textId="77777777">
        <w:trPr>
          <w:trHeight w:val="226"/>
        </w:trPr>
        <w:tc>
          <w:tcPr>
            <w:tcW w:w="2385" w:type="dxa"/>
          </w:tcPr>
          <w:p w14:paraId="7435A581" w14:textId="77777777" w:rsidR="00EE7DAF" w:rsidRDefault="006C36B7" w:rsidP="0030549D">
            <w:pPr>
              <w:tabs>
                <w:tab w:val="left" w:pos="7620"/>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C.V.</w:t>
            </w:r>
          </w:p>
        </w:tc>
        <w:tc>
          <w:tcPr>
            <w:tcW w:w="1170" w:type="dxa"/>
          </w:tcPr>
          <w:p w14:paraId="491B385A" w14:textId="77777777" w:rsidR="00EE7DAF" w:rsidRDefault="006C36B7" w:rsidP="0030549D">
            <w:pPr>
              <w:tabs>
                <w:tab w:val="left" w:pos="7620"/>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5.74</w:t>
            </w:r>
          </w:p>
        </w:tc>
        <w:tc>
          <w:tcPr>
            <w:tcW w:w="1125" w:type="dxa"/>
          </w:tcPr>
          <w:p w14:paraId="344DC384" w14:textId="77777777" w:rsidR="00EE7DAF" w:rsidRDefault="006C36B7" w:rsidP="0030549D">
            <w:pPr>
              <w:tabs>
                <w:tab w:val="left" w:pos="7620"/>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7.31</w:t>
            </w:r>
          </w:p>
        </w:tc>
        <w:tc>
          <w:tcPr>
            <w:tcW w:w="108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6526B3B" w14:textId="77777777" w:rsidR="00EE7DAF" w:rsidRDefault="006C36B7" w:rsidP="0030549D">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4.50</w:t>
            </w:r>
          </w:p>
        </w:tc>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2E88CD3" w14:textId="77777777" w:rsidR="00EE7DAF" w:rsidRDefault="006C36B7" w:rsidP="0030549D">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6.23</w:t>
            </w:r>
          </w:p>
        </w:tc>
        <w:tc>
          <w:tcPr>
            <w:tcW w:w="93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E6F650C" w14:textId="77777777" w:rsidR="00EE7DAF" w:rsidRDefault="006C36B7" w:rsidP="0030549D">
            <w:pPr>
              <w:widowControl w:val="0"/>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7.22</w:t>
            </w:r>
          </w:p>
        </w:tc>
        <w:tc>
          <w:tcPr>
            <w:tcW w:w="1260" w:type="dxa"/>
          </w:tcPr>
          <w:p w14:paraId="42847ADD" w14:textId="77777777" w:rsidR="00EE7DAF" w:rsidRDefault="006C36B7" w:rsidP="0030549D">
            <w:pPr>
              <w:tabs>
                <w:tab w:val="left" w:pos="7620"/>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2.46</w:t>
            </w:r>
          </w:p>
        </w:tc>
      </w:tr>
    </w:tbl>
    <w:p w14:paraId="5D1A6EBE" w14:textId="77777777" w:rsidR="00EE7DAF" w:rsidRDefault="00EE7DAF" w:rsidP="0030549D">
      <w:pPr>
        <w:widowControl w:val="0"/>
        <w:ind w:right="-182"/>
        <w:jc w:val="both"/>
        <w:rPr>
          <w:rFonts w:ascii="Times New Roman" w:eastAsia="Times New Roman" w:hAnsi="Times New Roman" w:cs="Times New Roman"/>
          <w:sz w:val="24"/>
          <w:szCs w:val="24"/>
        </w:rPr>
      </w:pPr>
    </w:p>
    <w:p w14:paraId="5A175227" w14:textId="77777777" w:rsidR="00EE7DAF" w:rsidRDefault="00EE7DAF" w:rsidP="0030549D">
      <w:pPr>
        <w:widowControl w:val="0"/>
        <w:ind w:right="-182"/>
        <w:jc w:val="both"/>
        <w:rPr>
          <w:rFonts w:ascii="Times New Roman" w:eastAsia="Times New Roman" w:hAnsi="Times New Roman" w:cs="Times New Roman"/>
          <w:sz w:val="24"/>
          <w:szCs w:val="24"/>
        </w:rPr>
      </w:pPr>
    </w:p>
    <w:p w14:paraId="4BB787EC" w14:textId="77777777" w:rsidR="00EE7DAF" w:rsidRDefault="00EE7DAF" w:rsidP="0030549D">
      <w:pPr>
        <w:widowControl w:val="0"/>
        <w:ind w:right="-182"/>
        <w:jc w:val="both"/>
        <w:rPr>
          <w:rFonts w:ascii="Times New Roman" w:eastAsia="Times New Roman" w:hAnsi="Times New Roman" w:cs="Times New Roman"/>
          <w:sz w:val="24"/>
          <w:szCs w:val="24"/>
        </w:rPr>
      </w:pPr>
    </w:p>
    <w:p w14:paraId="5AE635D6" w14:textId="5F342F87" w:rsidR="00EE7DAF" w:rsidRDefault="00C474DB" w:rsidP="0030549D">
      <w:pPr>
        <w:widowControl w:val="0"/>
        <w:ind w:right="-182"/>
        <w:jc w:val="both"/>
        <w:rPr>
          <w:rFonts w:ascii="Times New Roman" w:eastAsia="Times New Roman" w:hAnsi="Times New Roman" w:cs="Times New Roman"/>
          <w:sz w:val="24"/>
          <w:szCs w:val="24"/>
        </w:rPr>
        <w:sectPr w:rsidR="00EE7DAF">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start="1"/>
          <w:cols w:space="720"/>
        </w:sectPr>
      </w:pPr>
      <w:r>
        <w:rPr>
          <w:rFonts w:ascii="Times New Roman" w:eastAsia="Times New Roman" w:hAnsi="Times New Roman" w:cs="Times New Roman"/>
          <w:sz w:val="24"/>
          <w:szCs w:val="24"/>
        </w:rPr>
        <w:t xml:space="preserve">Fig </w:t>
      </w:r>
      <w:proofErr w:type="gramStart"/>
      <w:r>
        <w:rPr>
          <w:rFonts w:ascii="Times New Roman" w:eastAsia="Times New Roman" w:hAnsi="Times New Roman" w:cs="Times New Roman"/>
          <w:sz w:val="24"/>
          <w:szCs w:val="24"/>
        </w:rPr>
        <w:t>1 :</w:t>
      </w:r>
      <w:proofErr w:type="gramEnd"/>
      <w:r>
        <w:rPr>
          <w:rFonts w:ascii="Times New Roman" w:eastAsia="Times New Roman" w:hAnsi="Times New Roman" w:cs="Times New Roman"/>
          <w:sz w:val="24"/>
          <w:szCs w:val="24"/>
        </w:rPr>
        <w:t xml:space="preserve"> </w:t>
      </w:r>
      <w:r w:rsidR="003D17BA">
        <w:rPr>
          <w:rFonts w:ascii="Times New Roman" w:eastAsia="Times New Roman" w:hAnsi="Times New Roman" w:cs="Times New Roman"/>
          <w:sz w:val="24"/>
          <w:szCs w:val="24"/>
        </w:rPr>
        <w:t xml:space="preserve">  </w:t>
      </w:r>
      <w:r w:rsidR="00586090">
        <w:rPr>
          <w:rFonts w:ascii="Times New Roman" w:eastAsia="Times New Roman" w:hAnsi="Times New Roman" w:cs="Times New Roman"/>
          <w:sz w:val="24"/>
          <w:szCs w:val="24"/>
        </w:rPr>
        <w:t>T</w:t>
      </w:r>
      <w:r w:rsidR="003D17BA" w:rsidRPr="003D17BA">
        <w:rPr>
          <w:rFonts w:ascii="Times New Roman" w:eastAsia="Times New Roman" w:hAnsi="Times New Roman" w:cs="Times New Roman"/>
          <w:sz w:val="24"/>
          <w:szCs w:val="24"/>
        </w:rPr>
        <w:t>he Yield parameters of different</w:t>
      </w:r>
      <w:r w:rsidR="00C95E3B">
        <w:rPr>
          <w:rFonts w:ascii="Times New Roman" w:eastAsia="Times New Roman" w:hAnsi="Times New Roman" w:cs="Times New Roman"/>
          <w:sz w:val="24"/>
          <w:szCs w:val="24"/>
        </w:rPr>
        <w:t xml:space="preserve"> </w:t>
      </w:r>
      <w:r w:rsidR="003D17BA" w:rsidRPr="003D17BA">
        <w:rPr>
          <w:rFonts w:ascii="Times New Roman" w:eastAsia="Times New Roman" w:hAnsi="Times New Roman" w:cs="Times New Roman"/>
          <w:sz w:val="24"/>
          <w:szCs w:val="24"/>
        </w:rPr>
        <w:t xml:space="preserve"> cauliflower</w:t>
      </w:r>
      <w:r w:rsidR="003D17BA">
        <w:rPr>
          <w:rFonts w:ascii="Times New Roman" w:eastAsia="Times New Roman" w:hAnsi="Times New Roman" w:cs="Times New Roman"/>
          <w:b/>
          <w:bCs/>
          <w:sz w:val="24"/>
          <w:szCs w:val="24"/>
        </w:rPr>
        <w:t xml:space="preserve"> </w:t>
      </w:r>
      <w:r w:rsidR="00C95E3B" w:rsidRPr="003D17BA">
        <w:rPr>
          <w:rFonts w:ascii="Times New Roman" w:eastAsia="Times New Roman" w:hAnsi="Times New Roman" w:cs="Times New Roman"/>
          <w:sz w:val="24"/>
          <w:szCs w:val="24"/>
        </w:rPr>
        <w:t xml:space="preserve"> varieties </w:t>
      </w:r>
    </w:p>
    <w:p w14:paraId="4CAC290F" w14:textId="77777777" w:rsidR="00EE7DAF" w:rsidRDefault="006C36B7" w:rsidP="0030549D">
      <w:pPr>
        <w:widowControl w:val="0"/>
        <w:ind w:right="-182"/>
        <w:jc w:val="both"/>
        <w:rPr>
          <w:rFonts w:ascii="Times New Roman" w:eastAsia="Times New Roman" w:hAnsi="Times New Roman" w:cs="Times New Roman"/>
          <w:sz w:val="24"/>
          <w:szCs w:val="24"/>
        </w:rPr>
      </w:pPr>
      <w:r>
        <w:rPr>
          <w:noProof/>
          <w:lang w:val="en-US"/>
        </w:rPr>
        <w:lastRenderedPageBreak/>
        <w:drawing>
          <wp:anchor distT="114300" distB="114300" distL="114300" distR="114300" simplePos="0" relativeHeight="251658240" behindDoc="0" locked="0" layoutInCell="1" hidden="0" allowOverlap="1" wp14:anchorId="1FC6FB45" wp14:editId="2FA245C2">
            <wp:simplePos x="0" y="0"/>
            <wp:positionH relativeFrom="column">
              <wp:posOffset>114300</wp:posOffset>
            </wp:positionH>
            <wp:positionV relativeFrom="paragraph">
              <wp:posOffset>314325</wp:posOffset>
            </wp:positionV>
            <wp:extent cx="8267700" cy="4575256"/>
            <wp:effectExtent l="0" t="0" r="0" b="0"/>
            <wp:wrapNone/>
            <wp:docPr id="1" name="image1.png" descr="Chart"/>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22"/>
                    <a:srcRect r="15865" b="3788"/>
                    <a:stretch>
                      <a:fillRect/>
                    </a:stretch>
                  </pic:blipFill>
                  <pic:spPr>
                    <a:xfrm>
                      <a:off x="0" y="0"/>
                      <a:ext cx="8267700" cy="4575256"/>
                    </a:xfrm>
                    <a:prstGeom prst="rect">
                      <a:avLst/>
                    </a:prstGeom>
                    <a:ln/>
                  </pic:spPr>
                </pic:pic>
              </a:graphicData>
            </a:graphic>
          </wp:anchor>
        </w:drawing>
      </w:r>
    </w:p>
    <w:p w14:paraId="03B007E2" w14:textId="77777777" w:rsidR="00EE7DAF" w:rsidRDefault="00EE7DAF" w:rsidP="0030549D">
      <w:pPr>
        <w:widowControl w:val="0"/>
        <w:ind w:right="-182"/>
        <w:jc w:val="both"/>
        <w:rPr>
          <w:rFonts w:ascii="Times New Roman" w:eastAsia="Times New Roman" w:hAnsi="Times New Roman" w:cs="Times New Roman"/>
          <w:sz w:val="24"/>
          <w:szCs w:val="24"/>
        </w:rPr>
        <w:sectPr w:rsidR="00EE7DAF">
          <w:pgSz w:w="15840" w:h="12240" w:orient="landscape"/>
          <w:pgMar w:top="1440" w:right="1440" w:bottom="1440" w:left="1440" w:header="720" w:footer="720" w:gutter="0"/>
          <w:cols w:space="720"/>
        </w:sectPr>
      </w:pPr>
    </w:p>
    <w:p w14:paraId="132B1E01" w14:textId="77777777" w:rsidR="00EE7DAF" w:rsidRDefault="00EE7DAF" w:rsidP="0030549D">
      <w:pPr>
        <w:widowControl w:val="0"/>
        <w:ind w:right="-182"/>
        <w:jc w:val="both"/>
        <w:rPr>
          <w:rFonts w:ascii="Times New Roman" w:eastAsia="Times New Roman" w:hAnsi="Times New Roman" w:cs="Times New Roman"/>
          <w:sz w:val="24"/>
          <w:szCs w:val="24"/>
        </w:rPr>
      </w:pPr>
    </w:p>
    <w:p w14:paraId="782AC8FA" w14:textId="77777777" w:rsidR="00EE7DAF" w:rsidRDefault="00EE7DAF" w:rsidP="0030549D">
      <w:pPr>
        <w:widowControl w:val="0"/>
        <w:ind w:right="-182"/>
        <w:jc w:val="both"/>
        <w:rPr>
          <w:rFonts w:ascii="Times New Roman" w:eastAsia="Times New Roman" w:hAnsi="Times New Roman" w:cs="Times New Roman"/>
          <w:sz w:val="24"/>
          <w:szCs w:val="24"/>
        </w:rPr>
      </w:pPr>
    </w:p>
    <w:p w14:paraId="1C6D1D01" w14:textId="77777777" w:rsidR="00EE7DAF" w:rsidRDefault="00EE7DAF" w:rsidP="0030549D">
      <w:pPr>
        <w:widowControl w:val="0"/>
        <w:ind w:right="-182"/>
        <w:jc w:val="both"/>
        <w:rPr>
          <w:rFonts w:ascii="Times New Roman" w:eastAsia="Times New Roman" w:hAnsi="Times New Roman" w:cs="Times New Roman"/>
          <w:sz w:val="24"/>
          <w:szCs w:val="24"/>
        </w:rPr>
      </w:pPr>
    </w:p>
    <w:p w14:paraId="20FE5E58" w14:textId="77777777" w:rsidR="00EE7DAF" w:rsidRDefault="006C36B7" w:rsidP="0030549D">
      <w:pPr>
        <w:numPr>
          <w:ilvl w:val="0"/>
          <w:numId w:val="1"/>
        </w:numPr>
        <w:spacing w:after="1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59762B89" w14:textId="77777777" w:rsidR="00EE7DAF" w:rsidRDefault="006C36B7" w:rsidP="0030549D">
      <w:pPr>
        <w:spacing w:after="16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This study, titled “Morpho-Physiological Characterization and Biomass Accumulation of </w:t>
      </w:r>
      <w:proofErr w:type="spellStart"/>
      <w:r>
        <w:rPr>
          <w:rFonts w:ascii="Times New Roman" w:eastAsia="Times New Roman" w:hAnsi="Times New Roman" w:cs="Times New Roman"/>
          <w:sz w:val="24"/>
          <w:szCs w:val="24"/>
          <w:highlight w:val="white"/>
        </w:rPr>
        <w:t>Coloured</w:t>
      </w:r>
      <w:proofErr w:type="spellEnd"/>
      <w:r>
        <w:rPr>
          <w:rFonts w:ascii="Times New Roman" w:eastAsia="Times New Roman" w:hAnsi="Times New Roman" w:cs="Times New Roman"/>
          <w:sz w:val="24"/>
          <w:szCs w:val="24"/>
          <w:highlight w:val="white"/>
        </w:rPr>
        <w:t xml:space="preserve"> Cauliflower (Brassica oleracea var. botrytis) under </w:t>
      </w:r>
      <w:proofErr w:type="spellStart"/>
      <w:r>
        <w:rPr>
          <w:rFonts w:ascii="Times New Roman" w:eastAsia="Times New Roman" w:hAnsi="Times New Roman" w:cs="Times New Roman"/>
          <w:sz w:val="24"/>
          <w:szCs w:val="24"/>
          <w:highlight w:val="white"/>
        </w:rPr>
        <w:t>Prayagraj</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Agro</w:t>
      </w:r>
      <w:proofErr w:type="spellEnd"/>
      <w:r>
        <w:rPr>
          <w:rFonts w:ascii="Times New Roman" w:eastAsia="Times New Roman" w:hAnsi="Times New Roman" w:cs="Times New Roman"/>
          <w:sz w:val="24"/>
          <w:szCs w:val="24"/>
          <w:highlight w:val="white"/>
        </w:rPr>
        <w:t xml:space="preserve">-climate Conditions,” focused on examining detailed leaf characteristics—such as leaf length, individual leaf area, chlorophyll content, and canopy cover—and their relationship to biomass production. Results showed that varieties like Snow Crown exhibited larger leaf areas, higher chlorophyll content, and greater canopy cover, which collectively enhance photosynthetic capacity. These physiological traits contribute significantly to overall biomass accumulation, as larger, greener leaves with increased chlorophyll facilitate higher photosynthesis, leading to greater dry matter. Growth patterns indicated that some varieties, notably Snow Crown, accumulated biomass more rapidly and reached higher biological yields, reflecting better resource utilization and vigor. </w:t>
      </w:r>
    </w:p>
    <w:p w14:paraId="4A750716" w14:textId="77777777" w:rsidR="00EE7DAF" w:rsidRPr="003D17BA" w:rsidRDefault="006C36B7" w:rsidP="0030549D">
      <w:pPr>
        <w:spacing w:after="160"/>
        <w:ind w:left="720"/>
        <w:jc w:val="both"/>
        <w:rPr>
          <w:rFonts w:ascii="Times New Roman" w:eastAsia="Times New Roman" w:hAnsi="Times New Roman" w:cs="Times New Roman"/>
          <w:b/>
          <w:bCs/>
          <w:sz w:val="24"/>
          <w:szCs w:val="24"/>
          <w:lang w:val="es-US"/>
        </w:rPr>
      </w:pPr>
      <w:r w:rsidRPr="003D17BA">
        <w:rPr>
          <w:rFonts w:ascii="Times New Roman" w:eastAsia="Times New Roman" w:hAnsi="Times New Roman" w:cs="Times New Roman"/>
          <w:b/>
          <w:bCs/>
          <w:sz w:val="24"/>
          <w:szCs w:val="24"/>
          <w:lang w:val="es-US"/>
        </w:rPr>
        <w:t>REFERENCES</w:t>
      </w:r>
    </w:p>
    <w:p w14:paraId="069DABBD" w14:textId="77777777" w:rsidR="00EE7DAF" w:rsidRDefault="006C36B7" w:rsidP="0030549D">
      <w:pPr>
        <w:spacing w:line="240" w:lineRule="auto"/>
        <w:ind w:left="540"/>
        <w:jc w:val="both"/>
        <w:rPr>
          <w:rFonts w:ascii="Times New Roman" w:eastAsia="Times New Roman" w:hAnsi="Times New Roman" w:cs="Times New Roman"/>
          <w:sz w:val="24"/>
          <w:szCs w:val="24"/>
        </w:rPr>
      </w:pPr>
      <w:r w:rsidRPr="003D17BA">
        <w:rPr>
          <w:rFonts w:ascii="Times New Roman" w:eastAsia="Times New Roman" w:hAnsi="Times New Roman" w:cs="Times New Roman"/>
          <w:sz w:val="24"/>
          <w:szCs w:val="24"/>
          <w:lang w:val="es-US"/>
        </w:rPr>
        <w:t xml:space="preserve">Abou El-Magd, M. M., Zaki, M. F., &amp; Abou Sedera, S. A. (2015). </w:t>
      </w:r>
      <w:r>
        <w:rPr>
          <w:rFonts w:ascii="Times New Roman" w:eastAsia="Times New Roman" w:hAnsi="Times New Roman" w:cs="Times New Roman"/>
          <w:sz w:val="24"/>
          <w:szCs w:val="24"/>
        </w:rPr>
        <w:t>Growing two broccoli cultivars under different mineral and foliar fertilization treatments. Journal of Interdisciplinary Plant Biology and Soil Science, 2(4), 620–631. https://jipbs.com/index.php/journal/article/view/102</w:t>
      </w:r>
    </w:p>
    <w:p w14:paraId="69D235D8" w14:textId="77777777" w:rsidR="00EE7DAF" w:rsidRDefault="006C36B7" w:rsidP="0030549D">
      <w:pPr>
        <w:spacing w:line="240" w:lineRule="auto"/>
        <w:ind w:left="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Al-Bakri, O. M., &amp; Ibraheem, F. F. R. (2022). Role of organic nutrient (</w:t>
      </w:r>
      <w:proofErr w:type="spellStart"/>
      <w:r>
        <w:rPr>
          <w:rFonts w:ascii="Times New Roman" w:eastAsia="Times New Roman" w:hAnsi="Times New Roman" w:cs="Times New Roman"/>
          <w:sz w:val="24"/>
          <w:szCs w:val="24"/>
        </w:rPr>
        <w:t>Tecnokel</w:t>
      </w:r>
      <w:proofErr w:type="spellEnd"/>
      <w:r>
        <w:rPr>
          <w:rFonts w:ascii="Times New Roman" w:eastAsia="Times New Roman" w:hAnsi="Times New Roman" w:cs="Times New Roman"/>
          <w:sz w:val="24"/>
          <w:szCs w:val="24"/>
        </w:rPr>
        <w:t>) and application methods on some qualitative characteristics of two cauliflower hybrids (Brassica oleracea var. botrytis). International Journal of Health Sciences, 6(S9), 1046–1057. https://sciencescholar.us/journal/index.php/ijhs/article/view/12402</w:t>
      </w:r>
    </w:p>
    <w:p w14:paraId="4068848C" w14:textId="77777777" w:rsidR="00EE7DAF" w:rsidRDefault="006C36B7" w:rsidP="0030549D">
      <w:pPr>
        <w:spacing w:line="240" w:lineRule="auto"/>
        <w:ind w:left="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Arab Organization for Agricultural Development. (2019). Agricultural statistics yearbook (Vol. 40</w:t>
      </w:r>
      <w:proofErr w:type="gramStart"/>
      <w:r>
        <w:rPr>
          <w:rFonts w:ascii="Times New Roman" w:eastAsia="Times New Roman" w:hAnsi="Times New Roman" w:cs="Times New Roman"/>
          <w:sz w:val="24"/>
          <w:szCs w:val="24"/>
        </w:rPr>
        <w:t>).Khartoum</w:t>
      </w:r>
      <w:proofErr w:type="gramEnd"/>
      <w:r>
        <w:rPr>
          <w:rFonts w:ascii="Times New Roman" w:eastAsia="Times New Roman" w:hAnsi="Times New Roman" w:cs="Times New Roman"/>
          <w:sz w:val="24"/>
          <w:szCs w:val="24"/>
        </w:rPr>
        <w:t>,Sudan.https://ageconsearch.umn.edu/record/319582/files/Statistical%20Brief%20on%20the%20National%20Agricultural%20Research%20System%20of%20Sudan.pdf</w:t>
      </w:r>
    </w:p>
    <w:p w14:paraId="04B1C9FA" w14:textId="77777777" w:rsidR="00EE7DAF" w:rsidRDefault="006C36B7" w:rsidP="0030549D">
      <w:pPr>
        <w:spacing w:line="240" w:lineRule="auto"/>
        <w:ind w:left="540"/>
        <w:jc w:val="both"/>
        <w:rPr>
          <w:rFonts w:ascii="Times New Roman" w:eastAsia="Times New Roman" w:hAnsi="Times New Roman" w:cs="Times New Roman"/>
          <w:sz w:val="24"/>
          <w:szCs w:val="24"/>
        </w:rPr>
      </w:pPr>
      <w:r w:rsidRPr="003D17BA">
        <w:rPr>
          <w:rFonts w:ascii="Times New Roman" w:eastAsia="Times New Roman" w:hAnsi="Times New Roman" w:cs="Times New Roman"/>
          <w:sz w:val="24"/>
          <w:szCs w:val="24"/>
          <w:lang w:val="es-US"/>
        </w:rPr>
        <w:t xml:space="preserve">Basnet, M., Srivastava, A., Mishra, A., &amp; Dahal, K. (2024). </w:t>
      </w:r>
      <w:r>
        <w:rPr>
          <w:rFonts w:ascii="Times New Roman" w:eastAsia="Times New Roman" w:hAnsi="Times New Roman" w:cs="Times New Roman"/>
          <w:sz w:val="24"/>
          <w:szCs w:val="24"/>
        </w:rPr>
        <w:t>[Article title unavailable]. Archives of Agriculture and Environmental Science, 9(3), 475–480. (Note: Title and full details missing.)</w:t>
      </w:r>
    </w:p>
    <w:p w14:paraId="339E2A80" w14:textId="77777777" w:rsidR="00EE7DAF" w:rsidRDefault="006C36B7" w:rsidP="0030549D">
      <w:pPr>
        <w:spacing w:line="240" w:lineRule="auto"/>
        <w:ind w:left="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Bhowal, S. K., Hossain, M. H., &amp; Bashir, M. M. (2020). Integrated nutrient management on the yield and profitability of cauliflower. Bangladesh Agronomy Journal, 23(2), 45–49. https://www.researchgate.net/publication/350285282_Integrated_Nutrient_Management_on_the_Yield_and_Profitability_of_Cauliflower</w:t>
      </w:r>
    </w:p>
    <w:p w14:paraId="55D1508F" w14:textId="77777777" w:rsidR="00EE7DAF" w:rsidRDefault="006C36B7" w:rsidP="0030549D">
      <w:pPr>
        <w:spacing w:line="240" w:lineRule="auto"/>
        <w:ind w:left="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Borovsky, Y., Tadmor, Y., &amp; Bar, E. (2013). Induced mutation in β-carotene hydroxylase results in accumulation of β-carotene and conversion of red to orange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in pepper fruit. Theoretical and Applied Genetics, 126, 557–565. https://www.researchgate.net/publication/232812988_Induced_mutation_in_b-CAROTENE_HYDROXYLASE_results_in_accumulation_of_b-carotene_and_conversion_of_red_to_orange_color_in_pepper_fruit</w:t>
      </w:r>
    </w:p>
    <w:p w14:paraId="5A0C528B" w14:textId="77777777" w:rsidR="00EE7DAF" w:rsidRDefault="006C36B7" w:rsidP="0030549D">
      <w:pPr>
        <w:spacing w:line="240" w:lineRule="auto"/>
        <w:ind w:left="540"/>
        <w:jc w:val="both"/>
        <w:rPr>
          <w:rFonts w:ascii="Times New Roman" w:eastAsia="Times New Roman" w:hAnsi="Times New Roman" w:cs="Times New Roman"/>
          <w:sz w:val="24"/>
          <w:szCs w:val="24"/>
          <w:highlight w:val="white"/>
        </w:rPr>
      </w:pPr>
      <w:proofErr w:type="spellStart"/>
      <w:proofErr w:type="gramStart"/>
      <w:r>
        <w:rPr>
          <w:rFonts w:ascii="Times New Roman" w:eastAsia="Times New Roman" w:hAnsi="Times New Roman" w:cs="Times New Roman"/>
          <w:sz w:val="24"/>
          <w:szCs w:val="24"/>
          <w:highlight w:val="white"/>
        </w:rPr>
        <w:lastRenderedPageBreak/>
        <w:t>B.Singh</w:t>
      </w:r>
      <w:proofErr w:type="spellEnd"/>
      <w:proofErr w:type="gramEnd"/>
      <w:r>
        <w:rPr>
          <w:rFonts w:ascii="Times New Roman" w:eastAsia="Times New Roman" w:hAnsi="Times New Roman" w:cs="Times New Roman"/>
          <w:sz w:val="24"/>
          <w:szCs w:val="24"/>
          <w:highlight w:val="white"/>
        </w:rPr>
        <w:t xml:space="preserve">*1, T. Chaubey, Aastik Jha,  D.K. Upadhyay and S.D. Pandey(2013)MORPHOLOGICAL CHARACTERIZATION OF CAULIFLOWER VARIETIES/CULTIVARS USING DUS CHARACTERS. SAARC J. Agri., 11(2): 183-191. </w:t>
      </w:r>
      <w:hyperlink r:id="rId23">
        <w:r>
          <w:rPr>
            <w:rFonts w:ascii="Roboto" w:eastAsia="Roboto" w:hAnsi="Roboto" w:cs="Roboto"/>
            <w:color w:val="008ACB"/>
            <w:sz w:val="21"/>
            <w:szCs w:val="21"/>
            <w:highlight w:val="white"/>
            <w:u w:val="single"/>
          </w:rPr>
          <w:t>http://dx.doi.org/10.3329/sja.v11i2.18413</w:t>
        </w:r>
      </w:hyperlink>
    </w:p>
    <w:p w14:paraId="25C77B1C" w14:textId="77777777" w:rsidR="00EE7DAF" w:rsidRDefault="006C36B7" w:rsidP="0030549D">
      <w:pPr>
        <w:spacing w:line="240" w:lineRule="auto"/>
        <w:ind w:left="5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Budathoki</w:t>
      </w:r>
      <w:proofErr w:type="spellEnd"/>
      <w:r>
        <w:rPr>
          <w:rFonts w:ascii="Times New Roman" w:eastAsia="Times New Roman" w:hAnsi="Times New Roman" w:cs="Times New Roman"/>
          <w:sz w:val="24"/>
          <w:szCs w:val="24"/>
        </w:rPr>
        <w:t xml:space="preserve">, K., Pradhan, N. G., &amp; Bhattarai, D. R. (2004). Evaluation of cauliflower varieties for off-season production in the mid hills of Nepal. In Fourth National Workshop on Horticulture (pp. 407–417). </w:t>
      </w:r>
      <w:hyperlink r:id="rId24">
        <w:r>
          <w:rPr>
            <w:color w:val="3598C1"/>
            <w:sz w:val="25"/>
            <w:szCs w:val="25"/>
            <w:highlight w:val="white"/>
            <w:u w:val="single"/>
          </w:rPr>
          <w:t>http://elibrary.narc.gov.np/?r=679</w:t>
        </w:r>
      </w:hyperlink>
    </w:p>
    <w:p w14:paraId="70CAA820" w14:textId="77777777" w:rsidR="00EE7DAF" w:rsidRDefault="006C36B7" w:rsidP="0030549D">
      <w:pPr>
        <w:spacing w:line="240" w:lineRule="auto"/>
        <w:ind w:left="5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Chayut</w:t>
      </w:r>
      <w:proofErr w:type="spellEnd"/>
      <w:r>
        <w:rPr>
          <w:rFonts w:ascii="Times New Roman" w:eastAsia="Times New Roman" w:hAnsi="Times New Roman" w:cs="Times New Roman"/>
          <w:sz w:val="24"/>
          <w:szCs w:val="24"/>
        </w:rPr>
        <w:t xml:space="preserve">, N., Yuan, H., Ohali, S., Meir, A., Sa’ar, U., Tzuri, G., Zheng, Y., </w:t>
      </w:r>
      <w:proofErr w:type="spellStart"/>
      <w:r>
        <w:rPr>
          <w:rFonts w:ascii="Times New Roman" w:eastAsia="Times New Roman" w:hAnsi="Times New Roman" w:cs="Times New Roman"/>
          <w:sz w:val="24"/>
          <w:szCs w:val="24"/>
        </w:rPr>
        <w:t>Mazourek</w:t>
      </w:r>
      <w:proofErr w:type="spellEnd"/>
      <w:r>
        <w:rPr>
          <w:rFonts w:ascii="Times New Roman" w:eastAsia="Times New Roman" w:hAnsi="Times New Roman" w:cs="Times New Roman"/>
          <w:sz w:val="24"/>
          <w:szCs w:val="24"/>
        </w:rPr>
        <w:t xml:space="preserve">, M., Gepstein, S., Zhou, X., Portnoy, V., Lewinsohn, E., Schaffer, A. A., Katzir, N., Fei, Z., Welsch, R., Li, L., Burger, J., &amp; Tadmor, Y. (2017). Distinct mechanisms of the ORANGE protein in controlling carotenoid flux. Plant Physiology, 173(1), 376–389. </w:t>
      </w:r>
      <w:hyperlink r:id="rId25">
        <w:r>
          <w:rPr>
            <w:rFonts w:ascii="Times New Roman" w:eastAsia="Times New Roman" w:hAnsi="Times New Roman" w:cs="Times New Roman"/>
            <w:color w:val="006FB7"/>
            <w:sz w:val="24"/>
            <w:szCs w:val="24"/>
            <w:highlight w:val="white"/>
          </w:rPr>
          <w:t>https://doi.org/10.1104/pp.16.01256</w:t>
        </w:r>
      </w:hyperlink>
    </w:p>
    <w:p w14:paraId="29A0D45A" w14:textId="77777777" w:rsidR="00EE7DAF" w:rsidRDefault="006C36B7" w:rsidP="0030549D">
      <w:pPr>
        <w:spacing w:line="240" w:lineRule="auto"/>
        <w:ind w:left="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Alt</w:t>
      </w:r>
      <w:r>
        <w:rPr>
          <w:rFonts w:ascii="Times New Roman" w:eastAsia="Times New Roman" w:hAnsi="Times New Roman" w:cs="Times New Roman"/>
          <w:i/>
          <w:iCs/>
          <w:sz w:val="24"/>
          <w:szCs w:val="24"/>
        </w:rPr>
        <w:t xml:space="preserve"> et al. </w:t>
      </w:r>
      <w:r>
        <w:rPr>
          <w:rFonts w:ascii="Times New Roman" w:eastAsia="Times New Roman" w:hAnsi="Times New Roman" w:cs="Times New Roman"/>
          <w:sz w:val="24"/>
          <w:szCs w:val="24"/>
        </w:rPr>
        <w:t>Annal. Bot. (2000)</w:t>
      </w:r>
      <w:hyperlink r:id="rId26">
        <w:r>
          <w:rPr>
            <w:rFonts w:ascii="Times New Roman" w:eastAsia="Times New Roman" w:hAnsi="Times New Roman" w:cs="Times New Roman"/>
            <w:sz w:val="24"/>
            <w:szCs w:val="24"/>
          </w:rPr>
          <w:t>Optimum nitrogen content and photosysnthesis in cauliflower (</w:t>
        </w:r>
      </w:hyperlink>
      <w:hyperlink r:id="rId27">
        <w:r>
          <w:rPr>
            <w:rFonts w:ascii="Times New Roman" w:eastAsia="Times New Roman" w:hAnsi="Times New Roman" w:cs="Times New Roman"/>
            <w:i/>
            <w:iCs/>
            <w:sz w:val="24"/>
            <w:szCs w:val="24"/>
          </w:rPr>
          <w:t>Barssica oleracea</w:t>
        </w:r>
      </w:hyperlink>
      <w:hyperlink r:id="rId28">
        <w:r>
          <w:rPr>
            <w:rFonts w:ascii="Times New Roman" w:eastAsia="Times New Roman" w:hAnsi="Times New Roman" w:cs="Times New Roman"/>
            <w:sz w:val="24"/>
            <w:szCs w:val="24"/>
          </w:rPr>
          <w:t xml:space="preserve"> L: botrytis) scaling up from a leaf to the whole plant</w:t>
        </w:r>
      </w:hyperlink>
      <w:r>
        <w:rPr>
          <w:rFonts w:ascii="Times New Roman" w:eastAsia="Times New Roman" w:hAnsi="Times New Roman" w:cs="Times New Roman"/>
          <w:sz w:val="24"/>
          <w:szCs w:val="24"/>
        </w:rPr>
        <w:t xml:space="preserve">. </w:t>
      </w:r>
      <w:hyperlink r:id="rId29">
        <w:r>
          <w:rPr>
            <w:color w:val="0272B1"/>
            <w:sz w:val="21"/>
            <w:szCs w:val="21"/>
          </w:rPr>
          <w:t>https://doi.org/10.1006/anbo.2000.1139</w:t>
        </w:r>
      </w:hyperlink>
    </w:p>
    <w:p w14:paraId="19FF5CEF" w14:textId="77777777" w:rsidR="00EE7DAF" w:rsidRDefault="006C36B7" w:rsidP="0030549D">
      <w:pPr>
        <w:spacing w:line="240" w:lineRule="auto"/>
        <w:ind w:left="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Cho, J., Kang, J., Long, P., Jing, J., Back, Y., &amp; Chung, K. S. (2003). Antioxidant and memory enhancing effects of purple sweet potato anthocyanin and cordyceps mushroom extract. Archives of Pharmacal Research, 26, 821–825. </w:t>
      </w:r>
      <w:r>
        <w:rPr>
          <w:rFonts w:ascii="Roboto" w:eastAsia="Roboto" w:hAnsi="Roboto" w:cs="Roboto"/>
          <w:color w:val="212121"/>
          <w:sz w:val="24"/>
          <w:szCs w:val="24"/>
        </w:rPr>
        <w:t xml:space="preserve">DOI: </w:t>
      </w:r>
      <w:hyperlink r:id="rId30">
        <w:r>
          <w:rPr>
            <w:rFonts w:ascii="Roboto" w:eastAsia="Roboto" w:hAnsi="Roboto" w:cs="Roboto"/>
            <w:color w:val="205493"/>
            <w:sz w:val="24"/>
            <w:szCs w:val="24"/>
            <w:u w:val="single"/>
          </w:rPr>
          <w:t>10.1007/BF02980027</w:t>
        </w:r>
      </w:hyperlink>
    </w:p>
    <w:p w14:paraId="749D074D" w14:textId="77777777" w:rsidR="00EE7DAF" w:rsidRDefault="006C36B7" w:rsidP="0030549D">
      <w:pPr>
        <w:spacing w:line="240" w:lineRule="auto"/>
        <w:ind w:left="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Croft, H., &amp; Chen, J. M. (2018). Leaf pigment content. In J. M. Chen (Ed.), Comprehensive remote sensing (pp. 117–142). Elsevier. </w:t>
      </w:r>
      <w:r>
        <w:rPr>
          <w:rFonts w:ascii="Roboto" w:eastAsia="Roboto" w:hAnsi="Roboto" w:cs="Roboto"/>
          <w:color w:val="555555"/>
          <w:sz w:val="21"/>
          <w:szCs w:val="21"/>
          <w:highlight w:val="white"/>
        </w:rPr>
        <w:t>DOI:</w:t>
      </w:r>
      <w:hyperlink r:id="rId31">
        <w:r>
          <w:rPr>
            <w:rFonts w:ascii="Roboto" w:eastAsia="Roboto" w:hAnsi="Roboto" w:cs="Roboto"/>
            <w:color w:val="1155CC"/>
            <w:sz w:val="21"/>
            <w:szCs w:val="21"/>
            <w:highlight w:val="white"/>
            <w:u w:val="single"/>
          </w:rPr>
          <w:t>10.1016/B978-0-12-409548-9.10547-0</w:t>
        </w:r>
      </w:hyperlink>
    </w:p>
    <w:p w14:paraId="472E03F1" w14:textId="77777777" w:rsidR="00EE7DAF" w:rsidRDefault="006C36B7" w:rsidP="0030549D">
      <w:pPr>
        <w:spacing w:line="240" w:lineRule="auto"/>
        <w:ind w:left="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David, J. P. (2007). Handbook of plant nutrition. Philips, Morley Wight Salads Ltd., </w:t>
      </w:r>
      <w:proofErr w:type="spellStart"/>
      <w:r>
        <w:rPr>
          <w:rFonts w:ascii="Times New Roman" w:eastAsia="Times New Roman" w:hAnsi="Times New Roman" w:cs="Times New Roman"/>
          <w:sz w:val="24"/>
          <w:szCs w:val="24"/>
        </w:rPr>
        <w:t>Arreton</w:t>
      </w:r>
      <w:proofErr w:type="spellEnd"/>
      <w:r>
        <w:rPr>
          <w:rFonts w:ascii="Times New Roman" w:eastAsia="Times New Roman" w:hAnsi="Times New Roman" w:cs="Times New Roman"/>
          <w:sz w:val="24"/>
          <w:szCs w:val="24"/>
        </w:rPr>
        <w:t>, United Kingdom (pp. 121–144). https://www.kufunda.net/publicdocs/Barker-2007-Handbook_of_Plant_Nutrition.pdf</w:t>
      </w:r>
    </w:p>
    <w:p w14:paraId="4B5A0ED7" w14:textId="77777777" w:rsidR="00EE7DAF" w:rsidRDefault="006C36B7" w:rsidP="0030549D">
      <w:pPr>
        <w:spacing w:line="240" w:lineRule="auto"/>
        <w:ind w:left="540"/>
        <w:jc w:val="both"/>
        <w:rPr>
          <w:rFonts w:ascii="Times New Roman" w:eastAsia="Times New Roman" w:hAnsi="Times New Roman" w:cs="Times New Roman"/>
          <w:sz w:val="24"/>
          <w:szCs w:val="24"/>
        </w:rPr>
      </w:pPr>
      <w:r>
        <w:rPr>
          <w:rFonts w:ascii="Times New Roman" w:eastAsia="Times New Roman" w:hAnsi="Times New Roman" w:cs="Times New Roman"/>
          <w:color w:val="1B1B1B"/>
          <w:sz w:val="24"/>
          <w:szCs w:val="24"/>
          <w:highlight w:val="white"/>
        </w:rPr>
        <w:t xml:space="preserve">Dey SS, Bhatia R, Sharma K, Bhardwaj I, Pandey CD, Parkash C, et al. Frequent introgression of European cauliflowers in the present day cultivated Indian cauliflowers and role of Indian genotypes in the evolution of tropical cauliflower. </w:t>
      </w:r>
      <w:proofErr w:type="spellStart"/>
      <w:r>
        <w:rPr>
          <w:rFonts w:ascii="Times New Roman" w:eastAsia="Times New Roman" w:hAnsi="Times New Roman" w:cs="Times New Roman"/>
          <w:color w:val="1B1B1B"/>
          <w:sz w:val="24"/>
          <w:szCs w:val="24"/>
          <w:highlight w:val="white"/>
        </w:rPr>
        <w:t>Euphytica</w:t>
      </w:r>
      <w:proofErr w:type="spellEnd"/>
      <w:r>
        <w:rPr>
          <w:rFonts w:ascii="Times New Roman" w:eastAsia="Times New Roman" w:hAnsi="Times New Roman" w:cs="Times New Roman"/>
          <w:color w:val="1B1B1B"/>
          <w:sz w:val="24"/>
          <w:szCs w:val="24"/>
          <w:highlight w:val="white"/>
        </w:rPr>
        <w:t xml:space="preserve">. 2019; 215: 23 </w:t>
      </w:r>
      <w:proofErr w:type="spellStart"/>
      <w:r>
        <w:rPr>
          <w:rFonts w:ascii="Times New Roman" w:eastAsia="Times New Roman" w:hAnsi="Times New Roman" w:cs="Times New Roman"/>
          <w:color w:val="1B1B1B"/>
          <w:sz w:val="24"/>
          <w:szCs w:val="24"/>
          <w:highlight w:val="white"/>
        </w:rPr>
        <w:t>doi</w:t>
      </w:r>
      <w:proofErr w:type="spellEnd"/>
      <w:r>
        <w:rPr>
          <w:rFonts w:ascii="Times New Roman" w:eastAsia="Times New Roman" w:hAnsi="Times New Roman" w:cs="Times New Roman"/>
          <w:color w:val="1B1B1B"/>
          <w:sz w:val="24"/>
          <w:szCs w:val="24"/>
          <w:highlight w:val="white"/>
        </w:rPr>
        <w:t xml:space="preserve">: 10.1007/s10681-019-2346-0. </w:t>
      </w:r>
    </w:p>
    <w:p w14:paraId="58F82339" w14:textId="77777777" w:rsidR="00EE7DAF" w:rsidRDefault="006C36B7" w:rsidP="0030549D">
      <w:pPr>
        <w:spacing w:line="240" w:lineRule="auto"/>
        <w:ind w:left="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Dubos, C., Le </w:t>
      </w:r>
      <w:proofErr w:type="spellStart"/>
      <w:r>
        <w:rPr>
          <w:rFonts w:ascii="Times New Roman" w:eastAsia="Times New Roman" w:hAnsi="Times New Roman" w:cs="Times New Roman"/>
          <w:sz w:val="24"/>
          <w:szCs w:val="24"/>
        </w:rPr>
        <w:t>Gourrierec</w:t>
      </w:r>
      <w:proofErr w:type="spellEnd"/>
      <w:r>
        <w:rPr>
          <w:rFonts w:ascii="Times New Roman" w:eastAsia="Times New Roman" w:hAnsi="Times New Roman" w:cs="Times New Roman"/>
          <w:sz w:val="24"/>
          <w:szCs w:val="24"/>
        </w:rPr>
        <w:t xml:space="preserve">, J., Baudry, A., </w:t>
      </w:r>
      <w:proofErr w:type="spellStart"/>
      <w:r>
        <w:rPr>
          <w:rFonts w:ascii="Times New Roman" w:eastAsia="Times New Roman" w:hAnsi="Times New Roman" w:cs="Times New Roman"/>
          <w:sz w:val="24"/>
          <w:szCs w:val="24"/>
        </w:rPr>
        <w:t>Huep</w:t>
      </w:r>
      <w:proofErr w:type="spellEnd"/>
      <w:r>
        <w:rPr>
          <w:rFonts w:ascii="Times New Roman" w:eastAsia="Times New Roman" w:hAnsi="Times New Roman" w:cs="Times New Roman"/>
          <w:sz w:val="24"/>
          <w:szCs w:val="24"/>
        </w:rPr>
        <w:t xml:space="preserve">, G., Lanet, E., </w:t>
      </w:r>
      <w:proofErr w:type="spellStart"/>
      <w:r>
        <w:rPr>
          <w:rFonts w:ascii="Times New Roman" w:eastAsia="Times New Roman" w:hAnsi="Times New Roman" w:cs="Times New Roman"/>
          <w:sz w:val="24"/>
          <w:szCs w:val="24"/>
        </w:rPr>
        <w:t>Debeaujon</w:t>
      </w:r>
      <w:proofErr w:type="spellEnd"/>
      <w:r>
        <w:rPr>
          <w:rFonts w:ascii="Times New Roman" w:eastAsia="Times New Roman" w:hAnsi="Times New Roman" w:cs="Times New Roman"/>
          <w:sz w:val="24"/>
          <w:szCs w:val="24"/>
        </w:rPr>
        <w:t xml:space="preserve">, I., </w:t>
      </w:r>
      <w:proofErr w:type="spellStart"/>
      <w:r>
        <w:rPr>
          <w:rFonts w:ascii="Times New Roman" w:eastAsia="Times New Roman" w:hAnsi="Times New Roman" w:cs="Times New Roman"/>
          <w:sz w:val="24"/>
          <w:szCs w:val="24"/>
        </w:rPr>
        <w:t>Routaboul</w:t>
      </w:r>
      <w:proofErr w:type="spellEnd"/>
      <w:r>
        <w:rPr>
          <w:rFonts w:ascii="Times New Roman" w:eastAsia="Times New Roman" w:hAnsi="Times New Roman" w:cs="Times New Roman"/>
          <w:sz w:val="24"/>
          <w:szCs w:val="24"/>
        </w:rPr>
        <w:t xml:space="preserve">, J. M., Alboresi, A., Weisshaar, B., &amp; </w:t>
      </w:r>
      <w:proofErr w:type="spellStart"/>
      <w:r>
        <w:rPr>
          <w:rFonts w:ascii="Times New Roman" w:eastAsia="Times New Roman" w:hAnsi="Times New Roman" w:cs="Times New Roman"/>
          <w:sz w:val="24"/>
          <w:szCs w:val="24"/>
        </w:rPr>
        <w:t>Lepiniec</w:t>
      </w:r>
      <w:proofErr w:type="spellEnd"/>
      <w:r>
        <w:rPr>
          <w:rFonts w:ascii="Times New Roman" w:eastAsia="Times New Roman" w:hAnsi="Times New Roman" w:cs="Times New Roman"/>
          <w:sz w:val="24"/>
          <w:szCs w:val="24"/>
        </w:rPr>
        <w:t>, L. (2008). MYBL2 is a new regulator of flavonoid biosynthesis in Arabidopsis thaliana. The Plant Journal, 55(5), 940–953. https://pubmed.ncbi.nlm.nih.gov/18532978/</w:t>
      </w:r>
    </w:p>
    <w:p w14:paraId="426C28BC" w14:textId="77777777" w:rsidR="00EE7DAF" w:rsidRDefault="006C36B7" w:rsidP="0030549D">
      <w:pPr>
        <w:spacing w:line="240" w:lineRule="auto"/>
        <w:ind w:left="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Eggersdorfer, M., &amp; Wyss, A. (2018). Carotenoids in human nutrition and health. Archives of Biochemistry and Biophysics, 652, 18–26. </w:t>
      </w:r>
      <w:r>
        <w:rPr>
          <w:rFonts w:ascii="Times New Roman" w:eastAsia="Times New Roman" w:hAnsi="Times New Roman" w:cs="Times New Roman"/>
          <w:color w:val="212121"/>
          <w:sz w:val="24"/>
          <w:szCs w:val="24"/>
        </w:rPr>
        <w:t xml:space="preserve">DOI: </w:t>
      </w:r>
      <w:hyperlink r:id="rId32">
        <w:r>
          <w:rPr>
            <w:rFonts w:ascii="Times New Roman" w:eastAsia="Times New Roman" w:hAnsi="Times New Roman" w:cs="Times New Roman"/>
            <w:color w:val="205493"/>
            <w:sz w:val="24"/>
            <w:szCs w:val="24"/>
            <w:u w:val="single"/>
          </w:rPr>
          <w:t>10.1016/j.abb.2018.06.001</w:t>
        </w:r>
      </w:hyperlink>
    </w:p>
    <w:p w14:paraId="4A6384C5" w14:textId="77777777" w:rsidR="00EE7DAF" w:rsidRDefault="006C36B7" w:rsidP="0030549D">
      <w:pPr>
        <w:spacing w:line="240" w:lineRule="auto"/>
        <w:ind w:left="5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Eimon</w:t>
      </w:r>
      <w:proofErr w:type="spellEnd"/>
      <w:r>
        <w:rPr>
          <w:rFonts w:ascii="Times New Roman" w:eastAsia="Times New Roman" w:hAnsi="Times New Roman" w:cs="Times New Roman"/>
          <w:sz w:val="24"/>
          <w:szCs w:val="24"/>
        </w:rPr>
        <w:t xml:space="preserve">, M. M. I., Rasal-Monir, M., Modak, S., Fatima, S., Ali, M., &amp; Malek, M. A. (2019). Growth and yield of cauliflower as influenced by NPK, Zn, B fertilizers. International Journal of Natural and Social Sciences, 6(3), 17–31. </w:t>
      </w:r>
      <w:hyperlink r:id="rId33">
        <w:r>
          <w:rPr>
            <w:rFonts w:ascii="Times New Roman" w:eastAsia="Times New Roman" w:hAnsi="Times New Roman" w:cs="Times New Roman"/>
            <w:color w:val="1155CC"/>
            <w:sz w:val="24"/>
            <w:szCs w:val="24"/>
            <w:u w:val="single"/>
          </w:rPr>
          <w:t>https://www.researchgate.net/publication/337756985</w:t>
        </w:r>
      </w:hyperlink>
    </w:p>
    <w:p w14:paraId="66E9568D" w14:textId="77777777" w:rsidR="00EE7DAF" w:rsidRDefault="006C36B7" w:rsidP="0030549D">
      <w:pPr>
        <w:spacing w:line="240" w:lineRule="auto"/>
        <w:ind w:left="540"/>
        <w:jc w:val="both"/>
        <w:rPr>
          <w:rFonts w:ascii="Times New Roman" w:eastAsia="Times New Roman" w:hAnsi="Times New Roman" w:cs="Times New Roman"/>
          <w:sz w:val="24"/>
          <w:szCs w:val="24"/>
        </w:rPr>
      </w:pPr>
      <w:proofErr w:type="spellStart"/>
      <w:r w:rsidRPr="003D17BA">
        <w:rPr>
          <w:rFonts w:ascii="Times New Roman" w:eastAsia="Times New Roman" w:hAnsi="Times New Roman" w:cs="Times New Roman"/>
          <w:sz w:val="24"/>
          <w:szCs w:val="24"/>
          <w:lang w:val="es-US"/>
        </w:rPr>
        <w:t>Gomez</w:t>
      </w:r>
      <w:proofErr w:type="spellEnd"/>
      <w:r w:rsidRPr="003D17BA">
        <w:rPr>
          <w:rFonts w:ascii="Times New Roman" w:eastAsia="Times New Roman" w:hAnsi="Times New Roman" w:cs="Times New Roman"/>
          <w:sz w:val="24"/>
          <w:szCs w:val="24"/>
          <w:lang w:val="es-US"/>
        </w:rPr>
        <w:t xml:space="preserve">, K. A., &amp; </w:t>
      </w:r>
      <w:proofErr w:type="spellStart"/>
      <w:r w:rsidRPr="003D17BA">
        <w:rPr>
          <w:rFonts w:ascii="Times New Roman" w:eastAsia="Times New Roman" w:hAnsi="Times New Roman" w:cs="Times New Roman"/>
          <w:sz w:val="24"/>
          <w:szCs w:val="24"/>
          <w:lang w:val="es-US"/>
        </w:rPr>
        <w:t>Gomez</w:t>
      </w:r>
      <w:proofErr w:type="spellEnd"/>
      <w:r w:rsidRPr="003D17BA">
        <w:rPr>
          <w:rFonts w:ascii="Times New Roman" w:eastAsia="Times New Roman" w:hAnsi="Times New Roman" w:cs="Times New Roman"/>
          <w:sz w:val="24"/>
          <w:szCs w:val="24"/>
          <w:lang w:val="es-US"/>
        </w:rPr>
        <w:t xml:space="preserve">, A. A. (1984). </w:t>
      </w:r>
      <w:r>
        <w:rPr>
          <w:rFonts w:ascii="Times New Roman" w:eastAsia="Times New Roman" w:hAnsi="Times New Roman" w:cs="Times New Roman"/>
          <w:sz w:val="24"/>
          <w:szCs w:val="24"/>
        </w:rPr>
        <w:t>Statistical procedures for agricultural research (2nd ed.). International Rice Research Institute.</w:t>
      </w:r>
    </w:p>
    <w:p w14:paraId="20AA4906" w14:textId="77777777" w:rsidR="00EE7DAF" w:rsidRDefault="006C36B7" w:rsidP="0030549D">
      <w:pPr>
        <w:spacing w:line="240" w:lineRule="auto"/>
        <w:ind w:left="54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Kaushal, M. &amp; Kaushal, R. Plant growth promoting rhizobacteria-impacts on cauliflower yield and soil health. </w:t>
      </w:r>
      <w:r>
        <w:rPr>
          <w:rFonts w:ascii="Times New Roman" w:eastAsia="Times New Roman" w:hAnsi="Times New Roman" w:cs="Times New Roman"/>
          <w:i/>
          <w:iCs/>
          <w:color w:val="222222"/>
          <w:sz w:val="24"/>
          <w:szCs w:val="24"/>
          <w:highlight w:val="white"/>
        </w:rPr>
        <w:t>Bioscan</w:t>
      </w:r>
      <w:r>
        <w:rPr>
          <w:rFonts w:ascii="Times New Roman" w:eastAsia="Times New Roman" w:hAnsi="Times New Roman" w:cs="Times New Roman"/>
          <w:color w:val="222222"/>
          <w:sz w:val="24"/>
          <w:szCs w:val="24"/>
          <w:highlight w:val="white"/>
        </w:rPr>
        <w:t xml:space="preserve"> 8, 549–552 (2013). https://archive.org/details/statisticalproce00gome/page/n5/mode/2up</w:t>
      </w:r>
    </w:p>
    <w:p w14:paraId="3FC030F0" w14:textId="77777777" w:rsidR="00EE7DAF" w:rsidRDefault="006C36B7" w:rsidP="0030549D">
      <w:pPr>
        <w:spacing w:line="240" w:lineRule="auto"/>
        <w:ind w:left="540"/>
        <w:jc w:val="both"/>
        <w:rPr>
          <w:rFonts w:ascii="Times New Roman" w:eastAsia="Times New Roman" w:hAnsi="Times New Roman" w:cs="Times New Roman"/>
          <w:color w:val="1F1F1F"/>
          <w:sz w:val="24"/>
          <w:szCs w:val="24"/>
        </w:rPr>
      </w:pPr>
      <w:proofErr w:type="spellStart"/>
      <w:proofErr w:type="gramStart"/>
      <w:r>
        <w:rPr>
          <w:rFonts w:ascii="Times New Roman" w:eastAsia="Times New Roman" w:hAnsi="Times New Roman" w:cs="Times New Roman"/>
          <w:color w:val="1F1F1F"/>
          <w:sz w:val="24"/>
          <w:szCs w:val="24"/>
        </w:rPr>
        <w:t>K.Batabyal</w:t>
      </w:r>
      <w:proofErr w:type="spellEnd"/>
      <w:proofErr w:type="gramEnd"/>
      <w:r>
        <w:rPr>
          <w:rFonts w:ascii="Times New Roman" w:eastAsia="Times New Roman" w:hAnsi="Times New Roman" w:cs="Times New Roman"/>
          <w:color w:val="1F1F1F"/>
          <w:sz w:val="24"/>
          <w:szCs w:val="24"/>
        </w:rPr>
        <w:t xml:space="preserve">. PhD Thesis </w:t>
      </w:r>
      <w:r>
        <w:rPr>
          <w:rFonts w:ascii="Times New Roman" w:eastAsia="Times New Roman" w:hAnsi="Times New Roman" w:cs="Times New Roman"/>
          <w:sz w:val="24"/>
          <w:szCs w:val="24"/>
        </w:rPr>
        <w:t>(2011)</w:t>
      </w:r>
      <w:r>
        <w:rPr>
          <w:rFonts w:ascii="Times New Roman" w:eastAsia="Times New Roman" w:hAnsi="Times New Roman" w:cs="Times New Roman"/>
          <w:color w:val="1F1F1F"/>
          <w:sz w:val="24"/>
          <w:szCs w:val="24"/>
        </w:rPr>
        <w:t xml:space="preserve"> Optimizing yield and quality of cauliflower (</w:t>
      </w:r>
      <w:r>
        <w:rPr>
          <w:rFonts w:ascii="Times New Roman" w:eastAsia="Times New Roman" w:hAnsi="Times New Roman" w:cs="Times New Roman"/>
          <w:i/>
          <w:iCs/>
          <w:color w:val="1F1F1F"/>
          <w:sz w:val="24"/>
          <w:szCs w:val="24"/>
        </w:rPr>
        <w:t>Brassica oleracea</w:t>
      </w:r>
      <w:r>
        <w:rPr>
          <w:rFonts w:ascii="Times New Roman" w:eastAsia="Times New Roman" w:hAnsi="Times New Roman" w:cs="Times New Roman"/>
          <w:color w:val="1F1F1F"/>
          <w:sz w:val="24"/>
          <w:szCs w:val="24"/>
        </w:rPr>
        <w:t xml:space="preserve"> L. var. botrytis), brinjal (</w:t>
      </w:r>
      <w:r>
        <w:rPr>
          <w:rFonts w:ascii="Times New Roman" w:eastAsia="Times New Roman" w:hAnsi="Times New Roman" w:cs="Times New Roman"/>
          <w:i/>
          <w:iCs/>
          <w:color w:val="1F1F1F"/>
          <w:sz w:val="24"/>
          <w:szCs w:val="24"/>
        </w:rPr>
        <w:t>Solanum melongena</w:t>
      </w:r>
      <w:r>
        <w:rPr>
          <w:rFonts w:ascii="Times New Roman" w:eastAsia="Times New Roman" w:hAnsi="Times New Roman" w:cs="Times New Roman"/>
          <w:color w:val="1F1F1F"/>
          <w:sz w:val="24"/>
          <w:szCs w:val="24"/>
        </w:rPr>
        <w:t xml:space="preserve"> L.) and radish (</w:t>
      </w:r>
      <w:r>
        <w:rPr>
          <w:rFonts w:ascii="Times New Roman" w:eastAsia="Times New Roman" w:hAnsi="Times New Roman" w:cs="Times New Roman"/>
          <w:i/>
          <w:iCs/>
          <w:color w:val="1F1F1F"/>
          <w:sz w:val="24"/>
          <w:szCs w:val="24"/>
        </w:rPr>
        <w:t>Raphanus sativus</w:t>
      </w:r>
      <w:r>
        <w:rPr>
          <w:rFonts w:ascii="Times New Roman" w:eastAsia="Times New Roman" w:hAnsi="Times New Roman" w:cs="Times New Roman"/>
          <w:color w:val="1F1F1F"/>
          <w:sz w:val="24"/>
          <w:szCs w:val="24"/>
        </w:rPr>
        <w:t xml:space="preserve"> L.) through nutrient management practices </w:t>
      </w:r>
    </w:p>
    <w:p w14:paraId="4B224526" w14:textId="77777777" w:rsidR="00EE7DAF" w:rsidRDefault="006C36B7" w:rsidP="0030549D">
      <w:pPr>
        <w:spacing w:line="240" w:lineRule="auto"/>
        <w:ind w:left="5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B1B1B"/>
          <w:sz w:val="24"/>
          <w:szCs w:val="24"/>
          <w:highlight w:val="white"/>
        </w:rPr>
        <w:lastRenderedPageBreak/>
        <w:t xml:space="preserve">Ram H, </w:t>
      </w:r>
      <w:proofErr w:type="spellStart"/>
      <w:r>
        <w:rPr>
          <w:rFonts w:ascii="Times New Roman" w:eastAsia="Times New Roman" w:hAnsi="Times New Roman" w:cs="Times New Roman"/>
          <w:color w:val="1B1B1B"/>
          <w:sz w:val="24"/>
          <w:szCs w:val="24"/>
          <w:highlight w:val="white"/>
        </w:rPr>
        <w:t>Sureja</w:t>
      </w:r>
      <w:proofErr w:type="spellEnd"/>
      <w:r>
        <w:rPr>
          <w:rFonts w:ascii="Times New Roman" w:eastAsia="Times New Roman" w:hAnsi="Times New Roman" w:cs="Times New Roman"/>
          <w:color w:val="1B1B1B"/>
          <w:sz w:val="24"/>
          <w:szCs w:val="24"/>
          <w:highlight w:val="white"/>
        </w:rPr>
        <w:t xml:space="preserve"> AK, Krishnan SG, Dey SS, Tomar BS, et al. Diversity analysis in snowball cauliflower (</w:t>
      </w:r>
      <w:r>
        <w:rPr>
          <w:rFonts w:ascii="Times New Roman" w:eastAsia="Times New Roman" w:hAnsi="Times New Roman" w:cs="Times New Roman"/>
          <w:i/>
          <w:iCs/>
          <w:color w:val="1B1B1B"/>
          <w:sz w:val="24"/>
          <w:szCs w:val="24"/>
          <w:highlight w:val="white"/>
        </w:rPr>
        <w:t>Brassica oleracea</w:t>
      </w:r>
      <w:r>
        <w:rPr>
          <w:rFonts w:ascii="Times New Roman" w:eastAsia="Times New Roman" w:hAnsi="Times New Roman" w:cs="Times New Roman"/>
          <w:color w:val="1B1B1B"/>
          <w:sz w:val="24"/>
          <w:szCs w:val="24"/>
          <w:highlight w:val="white"/>
        </w:rPr>
        <w:t xml:space="preserve"> var. </w:t>
      </w:r>
      <w:r>
        <w:rPr>
          <w:rFonts w:ascii="Times New Roman" w:eastAsia="Times New Roman" w:hAnsi="Times New Roman" w:cs="Times New Roman"/>
          <w:i/>
          <w:iCs/>
          <w:color w:val="1B1B1B"/>
          <w:sz w:val="24"/>
          <w:szCs w:val="24"/>
          <w:highlight w:val="white"/>
        </w:rPr>
        <w:t>botrytis</w:t>
      </w:r>
      <w:r>
        <w:rPr>
          <w:rFonts w:ascii="Times New Roman" w:eastAsia="Times New Roman" w:hAnsi="Times New Roman" w:cs="Times New Roman"/>
          <w:color w:val="1B1B1B"/>
          <w:sz w:val="24"/>
          <w:szCs w:val="24"/>
          <w:highlight w:val="white"/>
        </w:rPr>
        <w:t xml:space="preserve">) using microsatellite markers. </w:t>
      </w:r>
      <w:r>
        <w:rPr>
          <w:rFonts w:ascii="Times New Roman" w:eastAsia="Times New Roman" w:hAnsi="Times New Roman" w:cs="Times New Roman"/>
          <w:i/>
          <w:iCs/>
          <w:color w:val="1B1B1B"/>
          <w:sz w:val="24"/>
          <w:szCs w:val="24"/>
          <w:highlight w:val="white"/>
        </w:rPr>
        <w:t>Indian Journal of Agricultural Sciences</w:t>
      </w:r>
      <w:r>
        <w:rPr>
          <w:rFonts w:ascii="Times New Roman" w:eastAsia="Times New Roman" w:hAnsi="Times New Roman" w:cs="Times New Roman"/>
          <w:color w:val="1B1B1B"/>
          <w:sz w:val="24"/>
          <w:szCs w:val="24"/>
          <w:highlight w:val="white"/>
        </w:rPr>
        <w:t>, 2016; 86: 1299–1304. https://epubs.icar.org.in/index.php/IJAgS/article/view/62110</w:t>
      </w:r>
    </w:p>
    <w:p w14:paraId="7CC39419" w14:textId="77777777" w:rsidR="00EE7DAF" w:rsidRDefault="006C36B7" w:rsidP="0030549D">
      <w:pPr>
        <w:spacing w:line="240" w:lineRule="auto"/>
        <w:ind w:left="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 Z., et al. (2018). Profiling of phenolic compounds and antioxidant activity of 12 cruciferous vegetables. Molecules. (Note: Full details unavailable.)</w:t>
      </w:r>
    </w:p>
    <w:p w14:paraId="7615865A" w14:textId="77777777" w:rsidR="00EE7DAF" w:rsidRDefault="006C36B7" w:rsidP="0030549D">
      <w:pPr>
        <w:spacing w:line="240" w:lineRule="auto"/>
        <w:ind w:left="54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Sharma, S, R., Singh, P. K., Chable, V. &amp; Tripathi, (2005). A review of hybrid cauliflower development. S. K.</w:t>
      </w:r>
      <w:r>
        <w:rPr>
          <w:rFonts w:ascii="Times New Roman" w:eastAsia="Times New Roman" w:hAnsi="Times New Roman" w:cs="Times New Roman"/>
          <w:i/>
          <w:iCs/>
          <w:color w:val="222222"/>
          <w:sz w:val="24"/>
          <w:szCs w:val="24"/>
          <w:highlight w:val="white"/>
        </w:rPr>
        <w:t>J. New Seeds</w:t>
      </w:r>
      <w:r>
        <w:rPr>
          <w:rFonts w:ascii="Times New Roman" w:eastAsia="Times New Roman" w:hAnsi="Times New Roman" w:cs="Times New Roman"/>
          <w:color w:val="222222"/>
          <w:sz w:val="24"/>
          <w:szCs w:val="24"/>
          <w:highlight w:val="white"/>
        </w:rPr>
        <w:t xml:space="preserve">. 6, 151–93. </w:t>
      </w:r>
      <w:hyperlink r:id="rId34">
        <w:r>
          <w:rPr>
            <w:rFonts w:ascii="Times New Roman" w:eastAsia="Times New Roman" w:hAnsi="Times New Roman" w:cs="Times New Roman"/>
            <w:color w:val="1155CC"/>
            <w:sz w:val="24"/>
            <w:szCs w:val="24"/>
            <w:highlight w:val="white"/>
            <w:u w:val="single"/>
          </w:rPr>
          <w:t>https://www.researchgate.net/publication/254370110</w:t>
        </w:r>
      </w:hyperlink>
    </w:p>
    <w:p w14:paraId="32D033E4" w14:textId="77777777" w:rsidR="00EE7DAF" w:rsidRDefault="006C36B7" w:rsidP="0030549D">
      <w:pPr>
        <w:spacing w:line="240" w:lineRule="auto"/>
        <w:ind w:left="54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Sharma, S., Singh, Y. &amp; Sharma, S. Studies on mean performance for yield and its contributing traits in cauliflower (</w:t>
      </w:r>
      <w:r>
        <w:rPr>
          <w:rFonts w:ascii="Times New Roman" w:eastAsia="Times New Roman" w:hAnsi="Times New Roman" w:cs="Times New Roman"/>
          <w:i/>
          <w:iCs/>
          <w:color w:val="222222"/>
          <w:sz w:val="24"/>
          <w:szCs w:val="24"/>
          <w:highlight w:val="white"/>
        </w:rPr>
        <w:t>Brassica oleracea</w:t>
      </w:r>
      <w:r>
        <w:rPr>
          <w:rFonts w:ascii="Times New Roman" w:eastAsia="Times New Roman" w:hAnsi="Times New Roman" w:cs="Times New Roman"/>
          <w:color w:val="222222"/>
          <w:sz w:val="24"/>
          <w:szCs w:val="24"/>
          <w:highlight w:val="white"/>
        </w:rPr>
        <w:t xml:space="preserve"> var. </w:t>
      </w:r>
      <w:r>
        <w:rPr>
          <w:rFonts w:ascii="Times New Roman" w:eastAsia="Times New Roman" w:hAnsi="Times New Roman" w:cs="Times New Roman"/>
          <w:i/>
          <w:iCs/>
          <w:color w:val="222222"/>
          <w:sz w:val="24"/>
          <w:szCs w:val="24"/>
          <w:highlight w:val="white"/>
        </w:rPr>
        <w:t>botrytis</w:t>
      </w:r>
      <w:r>
        <w:rPr>
          <w:rFonts w:ascii="Times New Roman" w:eastAsia="Times New Roman" w:hAnsi="Times New Roman" w:cs="Times New Roman"/>
          <w:color w:val="222222"/>
          <w:sz w:val="24"/>
          <w:szCs w:val="24"/>
          <w:highlight w:val="white"/>
        </w:rPr>
        <w:t xml:space="preserve"> L.) under mid hill conditions of North-Western Himalayas. </w:t>
      </w:r>
      <w:r>
        <w:rPr>
          <w:rFonts w:ascii="Times New Roman" w:eastAsia="Times New Roman" w:hAnsi="Times New Roman" w:cs="Times New Roman"/>
          <w:i/>
          <w:iCs/>
          <w:color w:val="222222"/>
          <w:sz w:val="24"/>
          <w:szCs w:val="24"/>
          <w:highlight w:val="white"/>
        </w:rPr>
        <w:t>Int. J. Curr. Microbiol. Appl. Sci.</w:t>
      </w:r>
      <w:r>
        <w:rPr>
          <w:rFonts w:ascii="Times New Roman" w:eastAsia="Times New Roman" w:hAnsi="Times New Roman" w:cs="Times New Roman"/>
          <w:color w:val="222222"/>
          <w:sz w:val="24"/>
          <w:szCs w:val="24"/>
          <w:highlight w:val="white"/>
        </w:rPr>
        <w:t xml:space="preserve"> 7, 3288–3296 (2018). https://www.researchgate.net/publication/323554787</w:t>
      </w:r>
    </w:p>
    <w:p w14:paraId="78637BC7" w14:textId="77777777" w:rsidR="00EE7DAF" w:rsidRDefault="006C36B7" w:rsidP="0030549D">
      <w:pPr>
        <w:spacing w:line="240" w:lineRule="auto"/>
        <w:ind w:left="54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Singh, R. &amp; Sharma, S. R. Cole crops. In </w:t>
      </w:r>
      <w:r>
        <w:rPr>
          <w:rFonts w:ascii="Times New Roman" w:eastAsia="Times New Roman" w:hAnsi="Times New Roman" w:cs="Times New Roman"/>
          <w:i/>
          <w:iCs/>
          <w:color w:val="222222"/>
          <w:sz w:val="24"/>
          <w:szCs w:val="24"/>
          <w:highlight w:val="white"/>
        </w:rPr>
        <w:t>Textbook of Vegetables, Tuber crops and Spices</w:t>
      </w:r>
      <w:r>
        <w:rPr>
          <w:rFonts w:ascii="Times New Roman" w:eastAsia="Times New Roman" w:hAnsi="Times New Roman" w:cs="Times New Roman"/>
          <w:color w:val="222222"/>
          <w:sz w:val="24"/>
          <w:szCs w:val="24"/>
          <w:highlight w:val="white"/>
        </w:rPr>
        <w:t xml:space="preserve"> (eds Thamburaj, S. &amp; Singh, N.) 76–146 (Directorate of Information and Publications of Agriculture, Indian Council of Agricultural Research, 2001). https://archive.org/details/textbookofvegeta00unse_0</w:t>
      </w:r>
    </w:p>
    <w:p w14:paraId="1B908C36" w14:textId="77777777" w:rsidR="00EE7DAF" w:rsidRDefault="006C36B7" w:rsidP="0030549D">
      <w:pPr>
        <w:spacing w:line="240" w:lineRule="auto"/>
        <w:ind w:left="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Giri, H. N., Sharma, M. D., Thapa, R. B., Pande, K. R., &amp; Khatri, B. B. (2020). Performance on postharvest quality of late season cauliflower (Brassica oleracea var. botrytis) varieties in Terai region of Nepal. Archives of Agriculture and Environmental Science, 5(4), 543–547. </w:t>
      </w:r>
      <w:r>
        <w:rPr>
          <w:rFonts w:ascii="Times New Roman" w:eastAsia="Times New Roman" w:hAnsi="Times New Roman" w:cs="Times New Roman"/>
          <w:b/>
          <w:bCs/>
          <w:sz w:val="24"/>
          <w:szCs w:val="24"/>
        </w:rPr>
        <w:t xml:space="preserve"> </w:t>
      </w:r>
      <w:hyperlink r:id="rId35">
        <w:r>
          <w:rPr>
            <w:rFonts w:ascii="Times New Roman" w:eastAsia="Times New Roman" w:hAnsi="Times New Roman" w:cs="Times New Roman"/>
            <w:color w:val="4B7D92"/>
            <w:sz w:val="24"/>
            <w:szCs w:val="24"/>
            <w:highlight w:val="white"/>
          </w:rPr>
          <w:t>https://doi.org/10.26832/24566632.2020.0504017</w:t>
        </w:r>
      </w:hyperlink>
    </w:p>
    <w:p w14:paraId="135FC478" w14:textId="77777777" w:rsidR="00EE7DAF" w:rsidRDefault="006C36B7" w:rsidP="0030549D">
      <w:pPr>
        <w:spacing w:line="240" w:lineRule="auto"/>
        <w:ind w:left="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Picchi</w:t>
      </w:r>
      <w:r>
        <w:rPr>
          <w:rFonts w:ascii="Times New Roman" w:eastAsia="Times New Roman" w:hAnsi="Times New Roman" w:cs="Times New Roman"/>
          <w:i/>
          <w:iCs/>
          <w:sz w:val="24"/>
          <w:szCs w:val="24"/>
        </w:rPr>
        <w:t xml:space="preserve"> et al. </w:t>
      </w:r>
      <w:r>
        <w:rPr>
          <w:rFonts w:ascii="Times New Roman" w:eastAsia="Times New Roman" w:hAnsi="Times New Roman" w:cs="Times New Roman"/>
          <w:sz w:val="24"/>
          <w:szCs w:val="24"/>
        </w:rPr>
        <w:t>Food Chem. (2012)</w:t>
      </w:r>
      <w:r>
        <w:rPr>
          <w:rFonts w:ascii="Times New Roman" w:eastAsia="Times New Roman" w:hAnsi="Times New Roman" w:cs="Times New Roman"/>
          <w:i/>
          <w:iCs/>
          <w:sz w:val="24"/>
          <w:szCs w:val="24"/>
        </w:rPr>
        <w:t xml:space="preserve"> </w:t>
      </w:r>
      <w:hyperlink r:id="rId36">
        <w:r>
          <w:rPr>
            <w:rFonts w:ascii="Times New Roman" w:eastAsia="Times New Roman" w:hAnsi="Times New Roman" w:cs="Times New Roman"/>
            <w:sz w:val="24"/>
            <w:szCs w:val="24"/>
          </w:rPr>
          <w:t>Phytochemical content in organic and conventionally grown Italian cauliflower</w:t>
        </w:r>
      </w:hyperlink>
      <w:r>
        <w:rPr>
          <w:rFonts w:ascii="Times New Roman" w:eastAsia="Times New Roman" w:hAnsi="Times New Roman" w:cs="Times New Roman"/>
          <w:sz w:val="24"/>
          <w:szCs w:val="24"/>
        </w:rPr>
        <w:t xml:space="preserve">. </w:t>
      </w:r>
      <w:hyperlink r:id="rId37">
        <w:r>
          <w:rPr>
            <w:color w:val="0272B1"/>
            <w:sz w:val="21"/>
            <w:szCs w:val="21"/>
          </w:rPr>
          <w:t>https://doi.org/10.1016/j.foodchem.2011.07.036</w:t>
        </w:r>
      </w:hyperlink>
    </w:p>
    <w:p w14:paraId="5C00E2B2" w14:textId="77777777" w:rsidR="00EE7DAF" w:rsidRDefault="006C36B7" w:rsidP="0030549D">
      <w:pPr>
        <w:spacing w:line="240" w:lineRule="auto"/>
        <w:ind w:left="540"/>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Zhu S, Zhang X, Liu Q, Luo T, Tang Z, Zhou Y. The genetic diversity and relationships of cauliflower (</w:t>
      </w:r>
      <w:r>
        <w:rPr>
          <w:rFonts w:ascii="Times New Roman" w:eastAsia="Times New Roman" w:hAnsi="Times New Roman" w:cs="Times New Roman"/>
          <w:i/>
          <w:iCs/>
          <w:color w:val="1B1B1B"/>
          <w:sz w:val="24"/>
          <w:szCs w:val="24"/>
          <w:highlight w:val="white"/>
        </w:rPr>
        <w:t>Brassica oleracea</w:t>
      </w:r>
      <w:r>
        <w:rPr>
          <w:rFonts w:ascii="Times New Roman" w:eastAsia="Times New Roman" w:hAnsi="Times New Roman" w:cs="Times New Roman"/>
          <w:color w:val="1B1B1B"/>
          <w:sz w:val="24"/>
          <w:szCs w:val="24"/>
          <w:highlight w:val="white"/>
        </w:rPr>
        <w:t xml:space="preserve"> var. </w:t>
      </w:r>
      <w:r>
        <w:rPr>
          <w:rFonts w:ascii="Times New Roman" w:eastAsia="Times New Roman" w:hAnsi="Times New Roman" w:cs="Times New Roman"/>
          <w:i/>
          <w:iCs/>
          <w:color w:val="1B1B1B"/>
          <w:sz w:val="24"/>
          <w:szCs w:val="24"/>
          <w:highlight w:val="white"/>
        </w:rPr>
        <w:t>botrytis</w:t>
      </w:r>
      <w:r>
        <w:rPr>
          <w:rFonts w:ascii="Times New Roman" w:eastAsia="Times New Roman" w:hAnsi="Times New Roman" w:cs="Times New Roman"/>
          <w:color w:val="1B1B1B"/>
          <w:sz w:val="24"/>
          <w:szCs w:val="24"/>
          <w:highlight w:val="white"/>
        </w:rPr>
        <w:t xml:space="preserve">) inbred lines assessed by using SSR markers. </w:t>
      </w:r>
      <w:proofErr w:type="spellStart"/>
      <w:r>
        <w:rPr>
          <w:rFonts w:ascii="Times New Roman" w:eastAsia="Times New Roman" w:hAnsi="Times New Roman" w:cs="Times New Roman"/>
          <w:color w:val="1B1B1B"/>
          <w:sz w:val="24"/>
          <w:szCs w:val="24"/>
          <w:highlight w:val="white"/>
        </w:rPr>
        <w:t>PloS</w:t>
      </w:r>
      <w:proofErr w:type="spellEnd"/>
      <w:r>
        <w:rPr>
          <w:rFonts w:ascii="Times New Roman" w:eastAsia="Times New Roman" w:hAnsi="Times New Roman" w:cs="Times New Roman"/>
          <w:color w:val="1B1B1B"/>
          <w:sz w:val="24"/>
          <w:szCs w:val="24"/>
          <w:highlight w:val="white"/>
        </w:rPr>
        <w:t xml:space="preserve"> One. 2018; 13: e0208551. </w:t>
      </w:r>
      <w:proofErr w:type="spellStart"/>
      <w:r>
        <w:rPr>
          <w:rFonts w:ascii="Times New Roman" w:eastAsia="Times New Roman" w:hAnsi="Times New Roman" w:cs="Times New Roman"/>
          <w:color w:val="1B1B1B"/>
          <w:sz w:val="24"/>
          <w:szCs w:val="24"/>
          <w:highlight w:val="white"/>
        </w:rPr>
        <w:t>doi</w:t>
      </w:r>
      <w:proofErr w:type="spellEnd"/>
      <w:r>
        <w:rPr>
          <w:rFonts w:ascii="Times New Roman" w:eastAsia="Times New Roman" w:hAnsi="Times New Roman" w:cs="Times New Roman"/>
          <w:color w:val="1B1B1B"/>
          <w:sz w:val="24"/>
          <w:szCs w:val="24"/>
          <w:highlight w:val="white"/>
        </w:rPr>
        <w:t>: 10.1371/journal.pone.0208551</w:t>
      </w:r>
    </w:p>
    <w:p w14:paraId="29059BDC" w14:textId="77777777" w:rsidR="00EE7DAF" w:rsidRDefault="00EE7DAF" w:rsidP="0030549D">
      <w:pPr>
        <w:spacing w:line="240" w:lineRule="auto"/>
        <w:ind w:left="540"/>
        <w:jc w:val="both"/>
        <w:rPr>
          <w:rFonts w:ascii="Cambria" w:eastAsia="Cambria" w:hAnsi="Cambria" w:cs="Cambria"/>
          <w:color w:val="1B1B1B"/>
          <w:sz w:val="26"/>
          <w:szCs w:val="26"/>
          <w:highlight w:val="white"/>
        </w:rPr>
      </w:pPr>
    </w:p>
    <w:p w14:paraId="57390E8D" w14:textId="77777777" w:rsidR="00EE7DAF" w:rsidRDefault="00EE7DAF" w:rsidP="0030549D">
      <w:pPr>
        <w:spacing w:after="240"/>
        <w:jc w:val="both"/>
        <w:rPr>
          <w:b/>
          <w:bCs/>
          <w:color w:val="1F1F1F"/>
          <w:sz w:val="24"/>
          <w:szCs w:val="24"/>
        </w:rPr>
      </w:pPr>
    </w:p>
    <w:p w14:paraId="42F029F0" w14:textId="77777777" w:rsidR="00EE7DAF" w:rsidRDefault="00EE7DAF" w:rsidP="0030549D">
      <w:pPr>
        <w:jc w:val="both"/>
        <w:rPr>
          <w:rFonts w:ascii="Times New Roman" w:eastAsia="Times New Roman" w:hAnsi="Times New Roman" w:cs="Times New Roman"/>
          <w:sz w:val="24"/>
          <w:szCs w:val="24"/>
        </w:rPr>
      </w:pPr>
    </w:p>
    <w:p w14:paraId="1285B98D" w14:textId="77777777" w:rsidR="00EE7DAF" w:rsidRDefault="00EE7DAF" w:rsidP="0030549D">
      <w:pPr>
        <w:spacing w:after="160"/>
        <w:jc w:val="both"/>
        <w:rPr>
          <w:rFonts w:ascii="Times New Roman" w:eastAsia="Times New Roman" w:hAnsi="Times New Roman" w:cs="Times New Roman"/>
          <w:sz w:val="24"/>
          <w:szCs w:val="24"/>
        </w:rPr>
      </w:pPr>
    </w:p>
    <w:p w14:paraId="2F2C1623" w14:textId="77777777" w:rsidR="00EE7DAF" w:rsidRDefault="00EE7DAF" w:rsidP="0030549D">
      <w:pPr>
        <w:widowControl w:val="0"/>
        <w:ind w:right="-182"/>
        <w:jc w:val="both"/>
        <w:rPr>
          <w:rFonts w:ascii="Times New Roman" w:eastAsia="Times New Roman" w:hAnsi="Times New Roman" w:cs="Times New Roman"/>
          <w:b/>
          <w:bCs/>
          <w:sz w:val="24"/>
          <w:szCs w:val="24"/>
        </w:rPr>
      </w:pPr>
    </w:p>
    <w:p w14:paraId="495A143B" w14:textId="77777777" w:rsidR="00EE7DAF" w:rsidRDefault="00EE7DAF" w:rsidP="0030549D">
      <w:pPr>
        <w:widowControl w:val="0"/>
        <w:ind w:right="-182"/>
        <w:jc w:val="both"/>
        <w:rPr>
          <w:rFonts w:ascii="Times New Roman" w:eastAsia="Times New Roman" w:hAnsi="Times New Roman" w:cs="Times New Roman"/>
          <w:sz w:val="24"/>
          <w:szCs w:val="24"/>
        </w:rPr>
      </w:pPr>
    </w:p>
    <w:sectPr w:rsidR="00EE7DAF">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064457" w14:textId="77777777" w:rsidR="009A2EDD" w:rsidRDefault="009A2EDD" w:rsidP="00770833">
      <w:pPr>
        <w:spacing w:line="240" w:lineRule="auto"/>
      </w:pPr>
      <w:r>
        <w:separator/>
      </w:r>
    </w:p>
  </w:endnote>
  <w:endnote w:type="continuationSeparator" w:id="0">
    <w:p w14:paraId="35680150" w14:textId="77777777" w:rsidR="009A2EDD" w:rsidRDefault="009A2EDD" w:rsidP="007708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2165C65D-2C2C-4BD6-A268-29BBD45D1629}"/>
  </w:font>
  <w:font w:name="Cambria">
    <w:panose1 w:val="02040503050406030204"/>
    <w:charset w:val="00"/>
    <w:family w:val="roman"/>
    <w:pitch w:val="variable"/>
    <w:sig w:usb0="E00006FF" w:usb1="420024FF" w:usb2="02000000" w:usb3="00000000" w:csb0="0000019F" w:csb1="00000000"/>
    <w:embedRegular r:id="rId2" w:fontKey="{B3F50BBF-92E0-4D2C-AFF5-D4ABC84E7723}"/>
  </w:font>
  <w:font w:name="Calibri">
    <w:panose1 w:val="020F0502020204030204"/>
    <w:charset w:val="00"/>
    <w:family w:val="swiss"/>
    <w:pitch w:val="variable"/>
    <w:sig w:usb0="E4002EFF" w:usb1="C200247B" w:usb2="00000009" w:usb3="00000000" w:csb0="000001FF" w:csb1="00000000"/>
    <w:embedRegular r:id="rId3" w:fontKey="{0F728EDE-987F-4CE0-BF68-9E749D9439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C0F4C" w14:textId="77777777" w:rsidR="00770833" w:rsidRDefault="007708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0FB37" w14:textId="77777777" w:rsidR="00770833" w:rsidRDefault="007708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D769F" w14:textId="77777777" w:rsidR="00770833" w:rsidRDefault="007708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152386" w14:textId="77777777" w:rsidR="009A2EDD" w:rsidRDefault="009A2EDD" w:rsidP="00770833">
      <w:pPr>
        <w:spacing w:line="240" w:lineRule="auto"/>
      </w:pPr>
      <w:r>
        <w:separator/>
      </w:r>
    </w:p>
  </w:footnote>
  <w:footnote w:type="continuationSeparator" w:id="0">
    <w:p w14:paraId="60EFD524" w14:textId="77777777" w:rsidR="009A2EDD" w:rsidRDefault="009A2EDD" w:rsidP="0077083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BD5B7" w14:textId="63BA4E9E" w:rsidR="00770833" w:rsidRDefault="00770833">
    <w:pPr>
      <w:pStyle w:val="Header"/>
    </w:pPr>
    <w:r>
      <w:rPr>
        <w:noProof/>
      </w:rPr>
      <w:pict w14:anchorId="042A3E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866766"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73BCA" w14:textId="0F61E8C9" w:rsidR="00770833" w:rsidRDefault="00770833">
    <w:pPr>
      <w:pStyle w:val="Header"/>
    </w:pPr>
    <w:r>
      <w:rPr>
        <w:noProof/>
      </w:rPr>
      <w:pict w14:anchorId="6A490C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866767"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5DB23" w14:textId="12FE93D1" w:rsidR="00770833" w:rsidRDefault="00770833">
    <w:pPr>
      <w:pStyle w:val="Header"/>
    </w:pPr>
    <w:r>
      <w:rPr>
        <w:noProof/>
      </w:rPr>
      <w:pict w14:anchorId="633568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866765"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983F33"/>
    <w:multiLevelType w:val="multilevel"/>
    <w:tmpl w:val="912E372A"/>
    <w:lvl w:ilvl="0">
      <w:start w:val="1"/>
      <w:numFmt w:val="decimal"/>
      <w:lvlText w:val="%1."/>
      <w:lvlJc w:val="right"/>
      <w:pPr>
        <w:ind w:left="720" w:hanging="360"/>
      </w:pPr>
      <w:rPr>
        <w:u w:val="none"/>
      </w:rPr>
    </w:lvl>
    <w:lvl w:ilvl="1">
      <w:start w:val="1"/>
      <w:numFmt w:val="decimal"/>
      <w:lvlText w:val="%1.%2."/>
      <w:lvlJc w:val="right"/>
      <w:pPr>
        <w:ind w:left="1080" w:hanging="720"/>
      </w:pPr>
      <w:rPr>
        <w:u w:val="none"/>
      </w:rPr>
    </w:lvl>
    <w:lvl w:ilvl="2">
      <w:start w:val="1"/>
      <w:numFmt w:val="decimal"/>
      <w:lvlText w:val="%1.%2.%3."/>
      <w:lvlJc w:val="right"/>
      <w:pPr>
        <w:ind w:left="1080" w:hanging="720"/>
      </w:pPr>
      <w:rPr>
        <w:u w:val="none"/>
      </w:rPr>
    </w:lvl>
    <w:lvl w:ilvl="3">
      <w:start w:val="1"/>
      <w:numFmt w:val="decimal"/>
      <w:lvlText w:val="%1.%2.%3.%4."/>
      <w:lvlJc w:val="right"/>
      <w:pPr>
        <w:ind w:left="1440" w:hanging="1080"/>
      </w:pPr>
      <w:rPr>
        <w:u w:val="none"/>
      </w:rPr>
    </w:lvl>
    <w:lvl w:ilvl="4">
      <w:start w:val="1"/>
      <w:numFmt w:val="decimal"/>
      <w:lvlText w:val="%1.%2.%3.%4.%5."/>
      <w:lvlJc w:val="right"/>
      <w:pPr>
        <w:ind w:left="1440" w:hanging="1080"/>
      </w:pPr>
      <w:rPr>
        <w:u w:val="none"/>
      </w:rPr>
    </w:lvl>
    <w:lvl w:ilvl="5">
      <w:start w:val="1"/>
      <w:numFmt w:val="decimal"/>
      <w:lvlText w:val="%1.%2.%3.%4.%5.%6."/>
      <w:lvlJc w:val="right"/>
      <w:pPr>
        <w:ind w:left="1800" w:hanging="1440"/>
      </w:pPr>
      <w:rPr>
        <w:u w:val="none"/>
      </w:rPr>
    </w:lvl>
    <w:lvl w:ilvl="6">
      <w:start w:val="1"/>
      <w:numFmt w:val="decimal"/>
      <w:lvlText w:val="%1.%2.%3.%4.%5.%6.%7."/>
      <w:lvlJc w:val="right"/>
      <w:pPr>
        <w:ind w:left="2160" w:hanging="1800"/>
      </w:pPr>
      <w:rPr>
        <w:u w:val="none"/>
      </w:rPr>
    </w:lvl>
    <w:lvl w:ilvl="7">
      <w:start w:val="1"/>
      <w:numFmt w:val="decimal"/>
      <w:lvlText w:val="%1.%2.%3.%4.%5.%6.%7.%8."/>
      <w:lvlJc w:val="right"/>
      <w:pPr>
        <w:ind w:left="2160" w:hanging="1800"/>
      </w:pPr>
      <w:rPr>
        <w:u w:val="none"/>
      </w:rPr>
    </w:lvl>
    <w:lvl w:ilvl="8">
      <w:start w:val="1"/>
      <w:numFmt w:val="decimal"/>
      <w:lvlText w:val="%1.%2.%3.%4.%5.%6.%7.%8.%9."/>
      <w:lvlJc w:val="right"/>
      <w:pPr>
        <w:ind w:left="2520" w:hanging="21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QyMjY3MjEzMDAytTBT0lEKTi0uzszPAykwrAUANiobXSwAAAA="/>
  </w:docVars>
  <w:rsids>
    <w:rsidRoot w:val="00EE7DAF"/>
    <w:rsid w:val="00144EDF"/>
    <w:rsid w:val="001C063C"/>
    <w:rsid w:val="002E03D1"/>
    <w:rsid w:val="0030549D"/>
    <w:rsid w:val="003D17BA"/>
    <w:rsid w:val="00471D7F"/>
    <w:rsid w:val="00586090"/>
    <w:rsid w:val="005B04AF"/>
    <w:rsid w:val="006C36B7"/>
    <w:rsid w:val="006C4CA4"/>
    <w:rsid w:val="00770833"/>
    <w:rsid w:val="00795A40"/>
    <w:rsid w:val="0080153E"/>
    <w:rsid w:val="00845BD2"/>
    <w:rsid w:val="00885D83"/>
    <w:rsid w:val="009A2EDD"/>
    <w:rsid w:val="009D6AE2"/>
    <w:rsid w:val="00A043AE"/>
    <w:rsid w:val="00A4224F"/>
    <w:rsid w:val="00BF2DB9"/>
    <w:rsid w:val="00C21521"/>
    <w:rsid w:val="00C474DB"/>
    <w:rsid w:val="00C70280"/>
    <w:rsid w:val="00C95E3B"/>
    <w:rsid w:val="00D40A1F"/>
    <w:rsid w:val="00EE7D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0355754"/>
  <w15:docId w15:val="{7C78FBF1-10E8-4D37-875D-96EDAB625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table" w:customStyle="1" w:styleId="a">
    <w:basedOn w:val="TableNormal1"/>
    <w:pPr>
      <w:spacing w:line="240" w:lineRule="auto"/>
    </w:pPr>
    <w:tblPr>
      <w:tblStyleRowBandSize w:val="1"/>
      <w:tblStyleColBandSize w:val="1"/>
      <w:tblCellMar>
        <w:left w:w="108" w:type="dxa"/>
        <w:right w:w="108" w:type="dxa"/>
      </w:tblCellMar>
    </w:tblPr>
  </w:style>
  <w:style w:type="paragraph" w:styleId="Subtitle">
    <w:name w:val="Subtitle"/>
    <w:basedOn w:val="Normal"/>
    <w:next w:val="Normal"/>
    <w:pPr>
      <w:keepNext/>
      <w:keepLines/>
      <w:spacing w:after="320"/>
    </w:pPr>
    <w:rPr>
      <w:color w:val="666666"/>
      <w:sz w:val="30"/>
      <w:szCs w:val="30"/>
    </w:rPr>
  </w:style>
  <w:style w:type="table" w:customStyle="1" w:styleId="a0">
    <w:basedOn w:val="TableNormal1"/>
    <w:pPr>
      <w:spacing w:line="240" w:lineRule="auto"/>
    </w:pPr>
    <w:tblPr>
      <w:tblStyleRowBandSize w:val="1"/>
      <w:tblStyleColBandSize w:val="1"/>
      <w:tblCellMar>
        <w:left w:w="108" w:type="dxa"/>
        <w:right w:w="108" w:type="dxa"/>
      </w:tblCellMar>
    </w:tblPr>
  </w:style>
  <w:style w:type="character" w:styleId="Hyperlink">
    <w:name w:val="Hyperlink"/>
    <w:basedOn w:val="DefaultParagraphFont"/>
    <w:uiPriority w:val="99"/>
    <w:unhideWhenUsed/>
    <w:rsid w:val="009D6AE2"/>
    <w:rPr>
      <w:color w:val="0000FF" w:themeColor="hyperlink"/>
      <w:u w:val="single"/>
    </w:rPr>
  </w:style>
  <w:style w:type="character" w:styleId="UnresolvedMention">
    <w:name w:val="Unresolved Mention"/>
    <w:basedOn w:val="DefaultParagraphFont"/>
    <w:uiPriority w:val="99"/>
    <w:semiHidden/>
    <w:unhideWhenUsed/>
    <w:rsid w:val="00D40A1F"/>
    <w:rPr>
      <w:color w:val="605E5C"/>
      <w:shd w:val="clear" w:color="auto" w:fill="E1DFDD"/>
    </w:rPr>
  </w:style>
  <w:style w:type="paragraph" w:styleId="Header">
    <w:name w:val="header"/>
    <w:basedOn w:val="Normal"/>
    <w:link w:val="HeaderChar"/>
    <w:uiPriority w:val="99"/>
    <w:unhideWhenUsed/>
    <w:rsid w:val="00770833"/>
    <w:pPr>
      <w:tabs>
        <w:tab w:val="center" w:pos="4680"/>
        <w:tab w:val="right" w:pos="9360"/>
      </w:tabs>
      <w:spacing w:line="240" w:lineRule="auto"/>
    </w:pPr>
  </w:style>
  <w:style w:type="character" w:customStyle="1" w:styleId="HeaderChar">
    <w:name w:val="Header Char"/>
    <w:basedOn w:val="DefaultParagraphFont"/>
    <w:link w:val="Header"/>
    <w:uiPriority w:val="99"/>
    <w:rsid w:val="00770833"/>
  </w:style>
  <w:style w:type="paragraph" w:styleId="Footer">
    <w:name w:val="footer"/>
    <w:basedOn w:val="Normal"/>
    <w:link w:val="FooterChar"/>
    <w:uiPriority w:val="99"/>
    <w:unhideWhenUsed/>
    <w:rsid w:val="00770833"/>
    <w:pPr>
      <w:tabs>
        <w:tab w:val="center" w:pos="4680"/>
        <w:tab w:val="right" w:pos="9360"/>
      </w:tabs>
      <w:spacing w:line="240" w:lineRule="auto"/>
    </w:pPr>
  </w:style>
  <w:style w:type="character" w:customStyle="1" w:styleId="FooterChar">
    <w:name w:val="Footer Char"/>
    <w:basedOn w:val="DefaultParagraphFont"/>
    <w:link w:val="Footer"/>
    <w:uiPriority w:val="99"/>
    <w:rsid w:val="007708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6743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britannica.com/science/flower" TargetMode="External"/><Relationship Id="rId18" Type="http://schemas.openxmlformats.org/officeDocument/2006/relationships/footer" Target="footer1.xml"/><Relationship Id="rId26" Type="http://schemas.openxmlformats.org/officeDocument/2006/relationships/hyperlink" Target="https://www.sciencedirect.com/science/article/pii/S0305736400911399" TargetMode="External"/><Relationship Id="rId39" Type="http://schemas.openxmlformats.org/officeDocument/2006/relationships/theme" Target="theme/theme1.xml"/><Relationship Id="rId21" Type="http://schemas.openxmlformats.org/officeDocument/2006/relationships/footer" Target="footer3.xml"/><Relationship Id="rId34" Type="http://schemas.openxmlformats.org/officeDocument/2006/relationships/hyperlink" Target="https://www.researchgate.net/publication/254370110" TargetMode="External"/><Relationship Id="rId7" Type="http://schemas.openxmlformats.org/officeDocument/2006/relationships/endnotes" Target="endnotes.xml"/><Relationship Id="rId12" Type="http://schemas.openxmlformats.org/officeDocument/2006/relationships/hyperlink" Target="https://www.britannica.com/science/inflorescence" TargetMode="External"/><Relationship Id="rId17" Type="http://schemas.openxmlformats.org/officeDocument/2006/relationships/header" Target="header2.xml"/><Relationship Id="rId25" Type="http://schemas.openxmlformats.org/officeDocument/2006/relationships/hyperlink" Target="https://doi.org/10.1104/pp.16.01256" TargetMode="External"/><Relationship Id="rId33" Type="http://schemas.openxmlformats.org/officeDocument/2006/relationships/hyperlink" Target="https://www.researchgate.net/publication/337756985"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s://doi.org/10.1006/anbo.2000.11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ritannica.com/topic/food" TargetMode="External"/><Relationship Id="rId24" Type="http://schemas.openxmlformats.org/officeDocument/2006/relationships/hyperlink" Target="http://elibrary.narc.gov.np/?r=679" TargetMode="External"/><Relationship Id="rId32" Type="http://schemas.openxmlformats.org/officeDocument/2006/relationships/hyperlink" Target="https://doi.org/10.1016/j.abb.2018.06.001" TargetMode="External"/><Relationship Id="rId37" Type="http://schemas.openxmlformats.org/officeDocument/2006/relationships/hyperlink" Target="https://doi.org/10.1016/j.foodchem.2011.07.036" TargetMode="External"/><Relationship Id="rId5" Type="http://schemas.openxmlformats.org/officeDocument/2006/relationships/webSettings" Target="webSettings.xml"/><Relationship Id="rId15" Type="http://schemas.openxmlformats.org/officeDocument/2006/relationships/hyperlink" Target="https://www.britannica.com/science/silique" TargetMode="External"/><Relationship Id="rId23" Type="http://schemas.openxmlformats.org/officeDocument/2006/relationships/hyperlink" Target="http://dx.doi.org/10.3329/sja.v11i2.18413" TargetMode="External"/><Relationship Id="rId28" Type="http://schemas.openxmlformats.org/officeDocument/2006/relationships/hyperlink" Target="https://www.sciencedirect.com/science/article/pii/S0305736400911399" TargetMode="External"/><Relationship Id="rId36" Type="http://schemas.openxmlformats.org/officeDocument/2006/relationships/hyperlink" Target="https://www.sciencedirect.com/science/article/pii/S0308814611009836" TargetMode="External"/><Relationship Id="rId10" Type="http://schemas.openxmlformats.org/officeDocument/2006/relationships/hyperlink" Target="https://www.britannica.com/plant/collard" TargetMode="External"/><Relationship Id="rId19" Type="http://schemas.openxmlformats.org/officeDocument/2006/relationships/footer" Target="footer2.xml"/><Relationship Id="rId31" Type="http://schemas.openxmlformats.org/officeDocument/2006/relationships/hyperlink" Target="https://doi.org/10.1016/B978-0-12-409548-9.10547-0" TargetMode="External"/><Relationship Id="rId4" Type="http://schemas.openxmlformats.org/officeDocument/2006/relationships/settings" Target="settings.xml"/><Relationship Id="rId9" Type="http://schemas.openxmlformats.org/officeDocument/2006/relationships/hyperlink" Target="https://www.britannica.com/science/leaf-plant-anatomy" TargetMode="External"/><Relationship Id="rId14" Type="http://schemas.openxmlformats.org/officeDocument/2006/relationships/hyperlink" Target="https://www.britannica.com/science/seed-plant-reproductive-part" TargetMode="External"/><Relationship Id="rId22" Type="http://schemas.openxmlformats.org/officeDocument/2006/relationships/image" Target="media/image1.png"/><Relationship Id="rId27" Type="http://schemas.openxmlformats.org/officeDocument/2006/relationships/hyperlink" Target="https://www.sciencedirect.com/science/article/pii/S0305736400911399" TargetMode="External"/><Relationship Id="rId30" Type="http://schemas.openxmlformats.org/officeDocument/2006/relationships/hyperlink" Target="https://doi.org/10.1007/bf02980027" TargetMode="External"/><Relationship Id="rId35" Type="http://schemas.openxmlformats.org/officeDocument/2006/relationships/hyperlink" Target="https://doi.org/10.26832/24566632.2020.0504017" TargetMode="External"/><Relationship Id="rId8" Type="http://schemas.openxmlformats.org/officeDocument/2006/relationships/hyperlink" Target="https://www.britannica.com/science/annual"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Io9dY95uiy9+aJwV0BfQamjrpQ==">CgMxLjAyDmguaW93Yzg2cm8ybmo2OAByITFza2hRQlZqQ2VYT2dqUGhidm1RUVd1b0ZoLXNKZ29qSA==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12</Pages>
  <Words>4489</Words>
  <Characters>25588</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PC 1170</cp:lastModifiedBy>
  <cp:revision>22</cp:revision>
  <dcterms:created xsi:type="dcterms:W3CDTF">2026-04-20T12:29:00Z</dcterms:created>
  <dcterms:modified xsi:type="dcterms:W3CDTF">2026-04-21T12:19:00Z</dcterms:modified>
</cp:coreProperties>
</file>