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4F2CF" w14:textId="1C045DE2" w:rsidR="000755AD" w:rsidRPr="00FC72D1" w:rsidRDefault="0056187F" w:rsidP="00EC6FCF">
      <w:pPr>
        <w:spacing w:after="0" w:line="360" w:lineRule="auto"/>
        <w:jc w:val="both"/>
        <w:rPr>
          <w:rFonts w:ascii="Arial" w:hAnsi="Arial" w:cs="Arial"/>
          <w:b/>
          <w:bCs/>
          <w:sz w:val="22"/>
          <w:szCs w:val="22"/>
        </w:rPr>
      </w:pPr>
      <w:bookmarkStart w:id="0" w:name="_Hlk223704238"/>
      <w:r w:rsidRPr="00FC72D1">
        <w:rPr>
          <w:rFonts w:ascii="Arial" w:hAnsi="Arial" w:cs="Arial"/>
          <w:b/>
          <w:bCs/>
          <w:sz w:val="22"/>
          <w:szCs w:val="22"/>
        </w:rPr>
        <w:t>ORIGINAL RESEARCH ARTICLE</w:t>
      </w:r>
    </w:p>
    <w:p w14:paraId="03DFA0F2" w14:textId="77777777" w:rsidR="00FC72D1" w:rsidRPr="00FC72D1" w:rsidRDefault="00FC72D1" w:rsidP="00EC6FCF">
      <w:pPr>
        <w:spacing w:after="0" w:line="360" w:lineRule="auto"/>
        <w:jc w:val="both"/>
        <w:rPr>
          <w:rFonts w:ascii="Arial" w:hAnsi="Arial" w:cs="Arial"/>
          <w:b/>
          <w:bCs/>
          <w:sz w:val="22"/>
          <w:szCs w:val="22"/>
        </w:rPr>
      </w:pPr>
    </w:p>
    <w:p w14:paraId="57C65FEF" w14:textId="25D04933" w:rsidR="00EC6FCF" w:rsidRDefault="00EC6FCF" w:rsidP="00EC6FCF">
      <w:pPr>
        <w:spacing w:after="0" w:line="360" w:lineRule="auto"/>
        <w:jc w:val="both"/>
        <w:rPr>
          <w:rFonts w:ascii="Arial" w:hAnsi="Arial" w:cs="Arial"/>
          <w:b/>
          <w:bCs/>
          <w:sz w:val="22"/>
          <w:szCs w:val="22"/>
        </w:rPr>
      </w:pPr>
      <w:r w:rsidRPr="00FC72D1">
        <w:rPr>
          <w:rFonts w:ascii="Arial" w:hAnsi="Arial" w:cs="Arial"/>
          <w:b/>
          <w:bCs/>
          <w:sz w:val="22"/>
          <w:szCs w:val="22"/>
        </w:rPr>
        <w:t>CLIMATE VARIABILITY AND WATER STRESS IN VEGETABLE CROPS IN LOUMBILA (BURKINA FASO), 1992–2022</w:t>
      </w:r>
    </w:p>
    <w:p w14:paraId="6715B5D4" w14:textId="77777777" w:rsidR="00FC72D1" w:rsidRDefault="00FC72D1" w:rsidP="00EC6FCF">
      <w:pPr>
        <w:spacing w:after="0" w:line="360" w:lineRule="auto"/>
        <w:jc w:val="both"/>
        <w:rPr>
          <w:rFonts w:ascii="Arial" w:hAnsi="Arial" w:cs="Arial"/>
          <w:b/>
          <w:bCs/>
          <w:sz w:val="22"/>
          <w:szCs w:val="22"/>
        </w:rPr>
      </w:pPr>
    </w:p>
    <w:p w14:paraId="248E7C09" w14:textId="77777777" w:rsidR="00EC6FCF" w:rsidRPr="00FC72D1" w:rsidRDefault="00EC6FCF" w:rsidP="00EC6FCF">
      <w:pPr>
        <w:spacing w:after="0" w:line="360" w:lineRule="auto"/>
        <w:jc w:val="both"/>
        <w:rPr>
          <w:rFonts w:ascii="Arial" w:hAnsi="Arial" w:cs="Arial"/>
        </w:rPr>
      </w:pPr>
      <w:bookmarkStart w:id="1" w:name="_GoBack"/>
      <w:bookmarkEnd w:id="1"/>
    </w:p>
    <w:p w14:paraId="09393479" w14:textId="6093B014" w:rsidR="00EC6FCF" w:rsidRPr="00FC72D1" w:rsidRDefault="00EC6FCF" w:rsidP="00E210C0">
      <w:pPr>
        <w:spacing w:after="0" w:line="360" w:lineRule="auto"/>
        <w:jc w:val="both"/>
        <w:rPr>
          <w:rFonts w:ascii="Arial" w:hAnsi="Arial" w:cs="Arial"/>
          <w:b/>
          <w:bCs/>
          <w:sz w:val="22"/>
          <w:szCs w:val="22"/>
        </w:rPr>
      </w:pPr>
      <w:r w:rsidRPr="00FC72D1">
        <w:rPr>
          <w:rFonts w:ascii="Arial" w:hAnsi="Arial" w:cs="Arial"/>
          <w:b/>
          <w:bCs/>
          <w:sz w:val="22"/>
          <w:szCs w:val="22"/>
        </w:rPr>
        <w:t>ABSTRA</w:t>
      </w:r>
      <w:r w:rsidR="00531821" w:rsidRPr="00FC72D1">
        <w:rPr>
          <w:rFonts w:ascii="Arial" w:hAnsi="Arial" w:cs="Arial"/>
          <w:b/>
          <w:bCs/>
          <w:sz w:val="22"/>
          <w:szCs w:val="22"/>
        </w:rPr>
        <w:t>C</w:t>
      </w:r>
      <w:r w:rsidRPr="00FC72D1">
        <w:rPr>
          <w:rFonts w:ascii="Arial" w:hAnsi="Arial" w:cs="Arial"/>
          <w:b/>
          <w:bCs/>
          <w:sz w:val="22"/>
          <w:szCs w:val="22"/>
        </w:rPr>
        <w:t>T</w:t>
      </w:r>
    </w:p>
    <w:p w14:paraId="729EB935" w14:textId="77777777" w:rsidR="00EC6FCF" w:rsidRPr="00FC72D1" w:rsidRDefault="00EC6FCF" w:rsidP="00F747E7">
      <w:pPr>
        <w:spacing w:after="0" w:line="360" w:lineRule="auto"/>
        <w:jc w:val="both"/>
        <w:rPr>
          <w:rFonts w:ascii="Arial" w:hAnsi="Arial" w:cs="Arial"/>
          <w:sz w:val="20"/>
          <w:szCs w:val="20"/>
        </w:rPr>
      </w:pPr>
      <w:r w:rsidRPr="00FC72D1">
        <w:rPr>
          <w:rFonts w:ascii="Arial" w:hAnsi="Arial" w:cs="Arial"/>
          <w:sz w:val="20"/>
          <w:szCs w:val="20"/>
        </w:rPr>
        <w:t>This study is based on meteorological data from the National Meteorological Agency of Burkina Faso (ANAM) for the period 1992–2022 in Loumbila. It examines four climate parameters: air temperature, potential evapotranspiration (PET), relative humidity, and wind speed. The annual average temperature is approximately 29 °C, rising from 28.04 °C in 1992 to 29.78 °C in 2021. ETP has an annual average of 2,121.9 mm, with a minimum of 1,878.4 mm in 2005 and a maximum of 2,388.7 mm in 2020. The average annual wind speed rose from 1.94 m/s in 1992 to 3.16 m/s in 2020, reflecting a gradual intensification of winds. Relative humidity remains low for much of the year, especially from November to May under the influence of the harmattan, and reaches its highest levels only in August, at the height of the rainy season.</w:t>
      </w:r>
    </w:p>
    <w:p w14:paraId="4E340962" w14:textId="77777777" w:rsidR="00EC6FCF" w:rsidRPr="00FC72D1" w:rsidRDefault="00EC6FCF" w:rsidP="00F747E7">
      <w:pPr>
        <w:spacing w:after="0" w:line="360" w:lineRule="auto"/>
        <w:jc w:val="both"/>
        <w:rPr>
          <w:rFonts w:ascii="Arial" w:hAnsi="Arial" w:cs="Arial"/>
          <w:sz w:val="20"/>
          <w:szCs w:val="20"/>
        </w:rPr>
      </w:pPr>
      <w:r w:rsidRPr="00FC72D1">
        <w:rPr>
          <w:rFonts w:ascii="Arial" w:hAnsi="Arial" w:cs="Arial"/>
          <w:sz w:val="20"/>
          <w:szCs w:val="20"/>
        </w:rPr>
        <w:t>Monthly and annual climate data series are analyzed using linear regression and statistical tests to identify trends and extreme events. The results confirm rising temperatures, consistently high ETP, prolonged dry conditions, and stronger winds. These conditions increase crop water requirements and prolong water stress. They have a direct impact on vegetable production and food security for households in Loumbila.</w:t>
      </w:r>
    </w:p>
    <w:p w14:paraId="3D58DA6E" w14:textId="77777777" w:rsidR="00EC6FCF" w:rsidRPr="00FC72D1" w:rsidRDefault="00EC6FCF" w:rsidP="00F747E7">
      <w:pPr>
        <w:spacing w:after="0" w:line="360" w:lineRule="auto"/>
        <w:jc w:val="both"/>
        <w:rPr>
          <w:rFonts w:ascii="Arial" w:hAnsi="Arial" w:cs="Arial"/>
          <w:sz w:val="20"/>
          <w:szCs w:val="20"/>
        </w:rPr>
      </w:pPr>
      <w:r w:rsidRPr="00FC72D1">
        <w:rPr>
          <w:rFonts w:ascii="Arial" w:hAnsi="Arial" w:cs="Arial"/>
          <w:sz w:val="20"/>
          <w:szCs w:val="20"/>
        </w:rPr>
        <w:t>The sustainability of production systems therefore depends on adaptation strategies and agroecological innovations. These include improved irrigation, soil protection against wind and evaporation, and the diversification of crops and activities. The use of methods that are more resilient to climate change is also necessary.</w:t>
      </w:r>
    </w:p>
    <w:bookmarkEnd w:id="0"/>
    <w:p w14:paraId="14C08209" w14:textId="77777777" w:rsidR="00EC6FCF" w:rsidRPr="00FC72D1" w:rsidRDefault="00EC6FCF" w:rsidP="003064B0">
      <w:pPr>
        <w:jc w:val="both"/>
        <w:rPr>
          <w:rFonts w:ascii="Arial" w:hAnsi="Arial" w:cs="Arial"/>
          <w:i/>
          <w:iCs/>
          <w:sz w:val="20"/>
          <w:szCs w:val="20"/>
        </w:rPr>
      </w:pPr>
      <w:r w:rsidRPr="00FC72D1">
        <w:rPr>
          <w:rFonts w:ascii="Arial" w:hAnsi="Arial" w:cs="Arial"/>
          <w:i/>
          <w:iCs/>
          <w:sz w:val="20"/>
          <w:szCs w:val="20"/>
        </w:rPr>
        <w:t>Keywords : Burkina Faso, Loumbila municipality, climate parameters, climate change</w:t>
      </w:r>
    </w:p>
    <w:p w14:paraId="38493F1A" w14:textId="77777777" w:rsidR="00EC6FCF" w:rsidRPr="00FC72D1" w:rsidRDefault="00EC6FCF" w:rsidP="00EC6FCF">
      <w:pPr>
        <w:ind w:left="2160" w:firstLine="720"/>
        <w:rPr>
          <w:rFonts w:ascii="Arial" w:hAnsi="Arial" w:cs="Arial"/>
          <w:b/>
          <w:bCs/>
        </w:rPr>
      </w:pPr>
    </w:p>
    <w:p w14:paraId="6D06AC3F" w14:textId="77777777" w:rsidR="00EC6FCF" w:rsidRPr="00FC72D1" w:rsidRDefault="00EC6FCF" w:rsidP="00E210C0">
      <w:pPr>
        <w:jc w:val="both"/>
        <w:rPr>
          <w:rFonts w:ascii="Arial" w:hAnsi="Arial" w:cs="Arial"/>
          <w:b/>
          <w:bCs/>
          <w:sz w:val="22"/>
          <w:szCs w:val="22"/>
        </w:rPr>
      </w:pPr>
      <w:r w:rsidRPr="00FC72D1">
        <w:rPr>
          <w:rFonts w:ascii="Arial" w:hAnsi="Arial" w:cs="Arial"/>
          <w:b/>
          <w:bCs/>
          <w:sz w:val="22"/>
          <w:szCs w:val="22"/>
        </w:rPr>
        <w:t>INTRODUCTION</w:t>
      </w:r>
    </w:p>
    <w:p w14:paraId="340AEAFE"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In Burkina Faso, particularly in the Central Plateau and Loumbila, climate trends are increasingly threatening the sustainability of vegetable crops. These crops play a vital role in food security for households living in rural and peri-urban areas, while also serving as a significant source of income. However, they are highly dependent on local hydro-climatic conditions. Siégnounou, B., (2011) emphasizes that vegetable crops in this region are particularly vulnerable to climate variations. These crops are especially affected by changes in water resources and by extreme weather events. In this context, the recent rise in temperatures, the decrease in relative humidity during the dry season, the increased frequency of drying winds, and the rise in potential evapotranspiration (PET) exacerbate the water stress on soils and crops. This hinders agricultural productivity in a Sahelian environment already characterized by high ecological vulnerability.</w:t>
      </w:r>
    </w:p>
    <w:p w14:paraId="21E5E0BA"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lastRenderedPageBreak/>
        <w:t>Thus, in Loumbila, changes in temperature, potential evapotranspiration (PET), atmospheric humidity, and wind directly influence the water requirements of vegetable crops. These factors determine water losses through evaporation and transpiration.</w:t>
      </w:r>
    </w:p>
    <w:p w14:paraId="0AEAF9DE"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According to climate data, temperatures in Burkina Faso have been rising since the 1950s. According to Ouedraogo, M. (2012), in Ouagadougou, near Loumbila, there has been a marked increase in annual average temperatures. An analysis of temperature extremes for the period from 1960 to 2019 reveals an intensification of heatwave episodes in the central part of the country. Farmers are already observing adverse effects on food crops, particularly on millet in the Sahelian and Sudano-Sahelian regions. This situation highlights the vulnerability of production systems to temperature extremes and water shortages (Bougma, L. A. et al., 2018). Rising temperatures exacerbate ETP, reduce agricultural profits, promote desertification, and disrupt crop cycles. According to the Ricardian approach, a 1% increase in temperature could cause a 3.6% decrease in income, highlighting the high sensitivity of farms to temperature fluctuations (Sodjinou, E. &amp; Hounkponou, S. K., 2019).</w:t>
      </w:r>
    </w:p>
    <w:p w14:paraId="73807942"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In the Nakambé Basin, the relationships between temperature variability, evapotranspiration, relative humidity, and water resources have been clearly established. Seasonal analysis reveals direct hydrological effects, including prolonged periods of water scarcity and increasingly limited water resources for agricultural activities (Ibrahim, B., 2012). Local observations in the northern part of the country, particularly in Oula, indicate a gradual deterioration of the environment, characterized by rising temperatures, drier air, stronger winds, and a reduction in the soil’s ability to retain water (Ouedraogo, A., et al., 2017). These observations are consistent with findings from other Sudano-Sahelian environments, where the combination of intense heat, low relative humidity, and dry winds has been identified as a key factor in water shortages and the drying up of vegetable garden water sources.</w:t>
      </w:r>
    </w:p>
    <w:p w14:paraId="22B8E159"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Projections of the effects of climate change predict a 30–50% increase in ETP by 2050 in various Sahelian basins, thereby exacerbating water shortages and increasing the risks of desertification and the degradation of arable land (Ardoin Bardin, S. et al., 2005). Similarly, the ambiguities associated with modeling ETP and related parameters—particularly relative humidity and wind—highlight their critical importance in water research and in measuring crop water requirements (Dallaire, G., 2019). Here, the integration of these parameters is not limited to a strictly biophysical aspect: it also determines the economic viability of vegetable farms, which face a constant rise in irrigation costs.</w:t>
      </w:r>
    </w:p>
    <w:p w14:paraId="29A9DD4A"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Faced with these constraints, vegetable crops—which require large amounts of water and are highly sensitive to extreme fluctuations in humidity—play a central role in adaptation challenges in the peri-urban regions of Burkina Faso. According to research on climate-smart agriculture in West Africa, several methods help strengthen agricultural resilience. Localized irrigation, mulching, rational groundwater management, and organic fertilization help increase productivity. Selecting varieties that are more resistant to heat and water stress also improves adaptation to climatic constraints (Kpadonou, G. E. et al., 2019).</w:t>
      </w:r>
    </w:p>
    <w:p w14:paraId="749B1E12"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 xml:space="preserve"> For Burkina Faso, the study of the sustainability of vegetable farms also highlights the critical importance of water management and the organization of labor. The socioeconomic status of farmers also appears to be a key factor in coping with worsening climatic constraints (Ouedraogo, F., 2019).</w:t>
      </w:r>
    </w:p>
    <w:p w14:paraId="7DDD8F99"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lastRenderedPageBreak/>
        <w:t>In this context, the analysis of climatic conditions in Loumbila provides an appropriate framework for studying the links between local climate dynamics and the sustainability of vegetable crops. This article aims to examine the simultaneous changes in temperature and ETP in Loumbila over a thirty-year period, incorporating relative humidity and wind influence into the interpretation of water balances. It also seeks to characterize their spatiotemporal dynamics and assess their consequences on water requirements and the sustainability of vegetable farming systems.</w:t>
      </w:r>
    </w:p>
    <w:p w14:paraId="37DAD28C" w14:textId="77777777" w:rsidR="00EC6FCF" w:rsidRPr="00FC72D1" w:rsidRDefault="00EC6FCF" w:rsidP="007D3008">
      <w:pPr>
        <w:pStyle w:val="ListParagraph"/>
        <w:numPr>
          <w:ilvl w:val="0"/>
          <w:numId w:val="1"/>
        </w:numPr>
        <w:spacing w:after="0" w:line="360" w:lineRule="auto"/>
        <w:rPr>
          <w:rFonts w:ascii="Arial" w:hAnsi="Arial" w:cs="Arial"/>
          <w:b/>
          <w:bCs/>
          <w:sz w:val="22"/>
          <w:szCs w:val="22"/>
        </w:rPr>
      </w:pPr>
      <w:r w:rsidRPr="00FC72D1">
        <w:rPr>
          <w:rFonts w:ascii="Arial" w:hAnsi="Arial" w:cs="Arial"/>
          <w:b/>
          <w:bCs/>
          <w:sz w:val="22"/>
          <w:szCs w:val="22"/>
        </w:rPr>
        <w:t xml:space="preserve"> MATERIALS AND METHODS</w:t>
      </w:r>
    </w:p>
    <w:p w14:paraId="60CC2956" w14:textId="77777777" w:rsidR="00EC6FCF" w:rsidRPr="00FC72D1" w:rsidRDefault="00EC6FCF" w:rsidP="007D3008">
      <w:pPr>
        <w:pStyle w:val="ListParagraph"/>
        <w:spacing w:after="0" w:line="360" w:lineRule="auto"/>
        <w:rPr>
          <w:rFonts w:ascii="Arial" w:hAnsi="Arial" w:cs="Arial"/>
          <w:b/>
          <w:bCs/>
          <w:sz w:val="22"/>
          <w:szCs w:val="22"/>
        </w:rPr>
      </w:pPr>
      <w:r w:rsidRPr="00FC72D1">
        <w:rPr>
          <w:rFonts w:ascii="Arial" w:hAnsi="Arial" w:cs="Arial"/>
          <w:b/>
          <w:bCs/>
          <w:sz w:val="22"/>
          <w:szCs w:val="22"/>
        </w:rPr>
        <w:t>1.1. PRESENTATION OF THE STUDY AREA</w:t>
      </w:r>
    </w:p>
    <w:p w14:paraId="135AB857"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commune of Loumbila (see Map 1) is located in Oubritenga Province, within the Central Plateau Region. It is one of the province’s seven communes and lies approximately 25 km from Ouagadougou, along National Highway No. 3 toward Dori, and about 13 km from Ziniaré, the provincial capital. Its territory covers 177 km², or 6.16% of Oubritenga’s total area, and comprises 31 villages.</w:t>
      </w:r>
    </w:p>
    <w:p w14:paraId="1A5E8AE5"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In accordance with Law No. 030-99/AN establishing the administrative boundaries of municipalities in Burkina Faso, Loumbila borders the following areas: to the west, it is bordered by the municipality of Pabré and the district of Nongr-Massom (Ouagadougou, Kadiogo Province); to the north, by the commune of Dapelgo (Oubritenga Province); and to the south, by the commune of Saaba (Kadiogo Province).</w:t>
      </w:r>
    </w:p>
    <w:p w14:paraId="380329E4" w14:textId="77777777" w:rsidR="00EC6FCF" w:rsidRPr="00FC72D1" w:rsidRDefault="00EC6FCF" w:rsidP="00EC6FCF">
      <w:pPr>
        <w:spacing w:after="0" w:line="360" w:lineRule="auto"/>
        <w:jc w:val="both"/>
        <w:rPr>
          <w:rFonts w:ascii="Arial" w:hAnsi="Arial" w:cs="Arial"/>
          <w:sz w:val="22"/>
          <w:szCs w:val="22"/>
        </w:rPr>
      </w:pPr>
    </w:p>
    <w:p w14:paraId="6C6ADA3B" w14:textId="77777777" w:rsidR="00EC6FCF" w:rsidRPr="00FC72D1" w:rsidRDefault="00EC6FCF" w:rsidP="00EC6FCF">
      <w:pPr>
        <w:spacing w:after="0" w:line="360" w:lineRule="auto"/>
        <w:jc w:val="both"/>
        <w:rPr>
          <w:rFonts w:ascii="Arial" w:hAnsi="Arial" w:cs="Arial"/>
        </w:rPr>
      </w:pPr>
    </w:p>
    <w:p w14:paraId="5A42F16F" w14:textId="77777777" w:rsidR="00EC6FCF" w:rsidRPr="00FC72D1" w:rsidRDefault="00EC6FCF" w:rsidP="00EC6FCF">
      <w:pPr>
        <w:spacing w:after="0"/>
        <w:jc w:val="center"/>
        <w:rPr>
          <w:rFonts w:ascii="Arial" w:hAnsi="Arial" w:cs="Arial"/>
          <w:i/>
          <w:iCs/>
          <w:noProof/>
          <w:sz w:val="22"/>
          <w:szCs w:val="22"/>
          <w:lang w:eastAsia="fr-FR"/>
        </w:rPr>
      </w:pPr>
      <w:bookmarkStart w:id="2" w:name="_Toc210156908"/>
      <w:bookmarkStart w:id="3" w:name="_Toc210159545"/>
      <w:r w:rsidRPr="00FC72D1">
        <w:rPr>
          <w:rFonts w:ascii="Arial" w:eastAsia="Calibri" w:hAnsi="Arial" w:cs="Arial"/>
          <w:noProof/>
          <w:kern w:val="0"/>
          <w:sz w:val="20"/>
          <w:szCs w:val="20"/>
          <w:lang w:eastAsia="fr-FR"/>
          <w14:ligatures w14:val="none"/>
        </w:rPr>
        <w:drawing>
          <wp:anchor distT="0" distB="0" distL="114300" distR="114300" simplePos="0" relativeHeight="251659264" behindDoc="1" locked="0" layoutInCell="1" allowOverlap="1" wp14:anchorId="740147FD" wp14:editId="7033BC3A">
            <wp:simplePos x="0" y="0"/>
            <wp:positionH relativeFrom="margin">
              <wp:align>left</wp:align>
            </wp:positionH>
            <wp:positionV relativeFrom="paragraph">
              <wp:posOffset>8890</wp:posOffset>
            </wp:positionV>
            <wp:extent cx="5841365" cy="4302760"/>
            <wp:effectExtent l="0" t="0" r="0" b="0"/>
            <wp:wrapTight wrapText="bothSides">
              <wp:wrapPolygon edited="0">
                <wp:start x="0" y="0"/>
                <wp:lineTo x="0" y="21480"/>
                <wp:lineTo x="21524" y="21480"/>
                <wp:lineTo x="21524" y="0"/>
                <wp:lineTo x="0" y="0"/>
              </wp:wrapPolygon>
            </wp:wrapTight>
            <wp:docPr id="223375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1365" cy="4302760"/>
                    </a:xfrm>
                    <a:prstGeom prst="rect">
                      <a:avLst/>
                    </a:prstGeom>
                    <a:noFill/>
                  </pic:spPr>
                </pic:pic>
              </a:graphicData>
            </a:graphic>
            <wp14:sizeRelH relativeFrom="margin">
              <wp14:pctWidth>0</wp14:pctWidth>
            </wp14:sizeRelH>
            <wp14:sizeRelV relativeFrom="margin">
              <wp14:pctHeight>0</wp14:pctHeight>
            </wp14:sizeRelV>
          </wp:anchor>
        </w:drawing>
      </w:r>
      <w:bookmarkEnd w:id="2"/>
      <w:bookmarkEnd w:id="3"/>
      <w:r w:rsidRPr="00FC72D1">
        <w:rPr>
          <w:rFonts w:ascii="Arial" w:hAnsi="Arial" w:cs="Arial"/>
          <w:sz w:val="20"/>
          <w:szCs w:val="20"/>
        </w:rPr>
        <w:t>Map 1</w:t>
      </w:r>
      <w:r w:rsidRPr="00FC72D1">
        <w:rPr>
          <w:rFonts w:ascii="Arial" w:hAnsi="Arial" w:cs="Arial"/>
          <w:sz w:val="22"/>
          <w:szCs w:val="22"/>
        </w:rPr>
        <w:t xml:space="preserve">: </w:t>
      </w:r>
      <w:r w:rsidRPr="00FC72D1">
        <w:rPr>
          <w:rFonts w:ascii="Arial" w:hAnsi="Arial" w:cs="Arial"/>
          <w:sz w:val="20"/>
          <w:szCs w:val="20"/>
        </w:rPr>
        <w:t>Location of the municipality of Loumbila</w:t>
      </w:r>
    </w:p>
    <w:p w14:paraId="55350DA8" w14:textId="20FB0D4D" w:rsidR="00EC6FCF" w:rsidRPr="00FC72D1" w:rsidRDefault="007D3008" w:rsidP="00EC6FCF">
      <w:pPr>
        <w:pStyle w:val="ListParagraph"/>
        <w:spacing w:after="0" w:line="360" w:lineRule="auto"/>
        <w:ind w:left="2880"/>
        <w:jc w:val="both"/>
        <w:rPr>
          <w:rFonts w:ascii="Arial" w:hAnsi="Arial" w:cs="Arial"/>
          <w:b/>
          <w:bCs/>
          <w:sz w:val="22"/>
          <w:szCs w:val="22"/>
        </w:rPr>
      </w:pPr>
      <w:r w:rsidRPr="00FC72D1">
        <w:rPr>
          <w:rFonts w:ascii="Arial" w:hAnsi="Arial" w:cs="Arial"/>
          <w:b/>
          <w:bCs/>
          <w:sz w:val="22"/>
          <w:szCs w:val="22"/>
        </w:rPr>
        <w:lastRenderedPageBreak/>
        <w:t>1.2. METHODOLOGY</w:t>
      </w:r>
    </w:p>
    <w:p w14:paraId="6F59DA2B"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research is based on a structured methodology that adheres to the standards of applied climatology. To identify the conditions affecting the sustainability of vegetable crops in Loumbila, four factors were selected: temperature, potential evapotranspiration (PET), humidity, and wind speed. These variables were selected for their importance in climate-related water demand, evapotranspiration fluxes, and water stress in vegetable crops within a Sudano-Sahelian environment (Ben Mansour, S. &amp; Korichi, R., 2013).</w:t>
      </w:r>
    </w:p>
    <w:p w14:paraId="6513924A"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meteorological data were obtained from the National Meteorological Agency (ANAM) of Burkina Faso and cover a thirty-year period, from 1992 to 2022. This period complies with current guidelines for studying climate trends, providing sufficiently long time series to understand multi-year variability and long-term changes. This time frame allows for the identification of robust climate patterns regarding temperature, ETP, relative humidity, and wind at the local level. Prior to analysis, the climate data series underwent quality and homogeneity checks.</w:t>
      </w:r>
    </w:p>
    <w:p w14:paraId="3AE005A9"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objective of this phase is to identify and, if necessary, correct artificial discontinuities associated with changes in collection sites, equipment modifications, or protocol variations. It aligns with previous research emphasizing the importance of having homogeneous data series for the accurate detection of climate signals (Beaulieu, C., Ouarda, TBMJ &amp; Seidou, O., 2007). To ensure the success of this step, homogeneity and normality tests derived from frequentist and Bayesian methodologies were implemented, including for wind and relative humidity series, whose homogenization generally presents particular challenges (Beaulieu, C., 2009).</w:t>
      </w:r>
    </w:p>
    <w:p w14:paraId="3F4609FF"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temporal analysis is based on the development of annual and monthly time series for each of the four parameters. The series are analyzed using graphical visualizations and simple linear regression fits to determine the direction and magnitude of trends. This method helps identify times of the year when weather conditions become particularly challenging for vegetable farming systems. It is consistent with approaches used in other studies on climate and water resources in West Africa, where seasonal cycles are critical for understanding the impacts on agriculture (Mahé, G., et al., 2011).</w:t>
      </w:r>
    </w:p>
    <w:p w14:paraId="7CFA6129"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To measure monotonic trends, nonparametric statistical tests were used, notably the Mann-Kendall test in conjunction with Sen’s slope estimate. These methods are designed for climate time series, which do not always meet the assumptions of normality and may include outliers. They are often recommended for analyzing trends in variables such as temperature, ETP, relative humidity, and wind speed (Kendall, M.G., 1975, cited by Beaulieu, C., 2009). Their use ensures a robust assessment of the direction and magnitude of changes in the examined series.</w:t>
      </w:r>
    </w:p>
    <w:p w14:paraId="2C6E66D2"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For Loumbila, this methodological approach facilitates the detection of potential increases in temperature and ETP, as well as changes in relative humidity and wind patterns. The combination of these four factors highlights precisely the water-related challenges facing vegetable crops, especially when the increase in water demand due to climate change is not offset by adjustments to irrigation inputs (Ben Mansour, S., &amp; Korichi, R., 2013). This study is part of the broader approach to climate-smart agriculture, where incorporating climate factors into agronomic decision-making is essential for improving the resilience of production systems in sub-Saharan Africa (Ouédraogo, I., Bonkoungou, J., &amp; Yanogo, IP., 2022).</w:t>
      </w:r>
    </w:p>
    <w:p w14:paraId="226B42C2" w14:textId="10ECE3DC" w:rsidR="00EC6FCF" w:rsidRPr="00FC72D1" w:rsidRDefault="007D3008" w:rsidP="007D3008">
      <w:pPr>
        <w:spacing w:after="0" w:line="360" w:lineRule="auto"/>
        <w:rPr>
          <w:rFonts w:ascii="Arial" w:hAnsi="Arial" w:cs="Arial"/>
          <w:b/>
          <w:bCs/>
          <w:sz w:val="20"/>
          <w:szCs w:val="20"/>
        </w:rPr>
      </w:pPr>
      <w:r w:rsidRPr="00FC72D1">
        <w:rPr>
          <w:rFonts w:ascii="Arial" w:hAnsi="Arial" w:cs="Arial"/>
          <w:b/>
          <w:bCs/>
          <w:sz w:val="20"/>
          <w:szCs w:val="20"/>
        </w:rPr>
        <w:t>1.2.1. STATISTICAL ANALYSES OF CLIMATE TIME SERIES</w:t>
      </w:r>
    </w:p>
    <w:p w14:paraId="07ECD65C"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lastRenderedPageBreak/>
        <w:t>This section details the main statistical analyses performed on the temperature, ETP, relative humidity, and wind data series, with the aim of illustrating their variation over time and their trends. It thus provides the necessary numerical basis for examining the impact of these factors on water constraints and the sustainability of vegetable crops.</w:t>
      </w:r>
    </w:p>
    <w:p w14:paraId="23E83EA5" w14:textId="1A55E111" w:rsidR="00EC6FCF" w:rsidRPr="00FC72D1" w:rsidRDefault="00EC6FCF" w:rsidP="00EC6FCF">
      <w:pPr>
        <w:spacing w:after="0" w:line="360" w:lineRule="auto"/>
        <w:rPr>
          <w:rFonts w:ascii="Arial" w:hAnsi="Arial" w:cs="Arial"/>
          <w:b/>
          <w:bCs/>
          <w:sz w:val="20"/>
          <w:szCs w:val="20"/>
        </w:rPr>
      </w:pPr>
      <w:r w:rsidRPr="00FC72D1">
        <w:rPr>
          <w:rFonts w:ascii="Arial" w:hAnsi="Arial" w:cs="Arial"/>
          <w:b/>
          <w:bCs/>
          <w:sz w:val="22"/>
          <w:szCs w:val="22"/>
        </w:rPr>
        <w:t xml:space="preserve"> </w:t>
      </w:r>
      <w:r w:rsidRPr="00FC72D1">
        <w:rPr>
          <w:rFonts w:ascii="Arial" w:hAnsi="Arial" w:cs="Arial"/>
          <w:b/>
          <w:bCs/>
          <w:sz w:val="22"/>
          <w:szCs w:val="22"/>
        </w:rPr>
        <w:tab/>
      </w:r>
      <w:r w:rsidRPr="00FC72D1">
        <w:rPr>
          <w:rFonts w:ascii="Arial" w:hAnsi="Arial" w:cs="Arial"/>
          <w:b/>
          <w:bCs/>
          <w:sz w:val="22"/>
          <w:szCs w:val="22"/>
        </w:rPr>
        <w:tab/>
      </w:r>
      <w:r w:rsidRPr="00FC72D1">
        <w:rPr>
          <w:rFonts w:ascii="Arial" w:hAnsi="Arial" w:cs="Arial"/>
          <w:b/>
          <w:bCs/>
          <w:sz w:val="22"/>
          <w:szCs w:val="22"/>
        </w:rPr>
        <w:tab/>
      </w:r>
      <w:r w:rsidR="006937F9" w:rsidRPr="00FC72D1">
        <w:rPr>
          <w:rFonts w:ascii="Arial" w:hAnsi="Arial" w:cs="Arial"/>
          <w:b/>
          <w:bCs/>
          <w:sz w:val="20"/>
          <w:szCs w:val="20"/>
        </w:rPr>
        <w:t>1.2.2. NORMALITY TESTS (Q-Q PLOT AND P-P PLOT)</w:t>
      </w:r>
    </w:p>
    <w:p w14:paraId="1FB814C3" w14:textId="77777777" w:rsidR="00EC6FCF" w:rsidRPr="00FC72D1" w:rsidRDefault="00EC6FCF" w:rsidP="00EC6FCF">
      <w:pPr>
        <w:spacing w:after="0" w:line="360" w:lineRule="auto"/>
        <w:jc w:val="both"/>
        <w:rPr>
          <w:rFonts w:ascii="Arial" w:hAnsi="Arial" w:cs="Arial"/>
          <w:sz w:val="20"/>
          <w:szCs w:val="20"/>
        </w:rPr>
      </w:pPr>
      <w:r w:rsidRPr="00FC72D1">
        <w:rPr>
          <w:rFonts w:ascii="Arial" w:hAnsi="Arial" w:cs="Arial"/>
          <w:sz w:val="20"/>
          <w:szCs w:val="20"/>
        </w:rPr>
        <w:t>The Q-Q plots generated for the temperature, ETP, and relative humidity time series confirm conformity with the normal distribution. However, deviations at the extremes highlight the presence of outliers and significant interannual variability. The P-P plots compare observed probabilities with theoretical normal probabilities. If the curve deviates from the diagonal, this indicates a distribution that is not strictly normal. This reinforces the idea of frequent occurrences of extreme events in these local climate series, particularly for ETP and relative humidity.</w:t>
      </w:r>
    </w:p>
    <w:tbl>
      <w:tblPr>
        <w:tblStyle w:val="Grilledutableau1"/>
        <w:tblpPr w:leftFromText="180" w:rightFromText="180" w:vertAnchor="text" w:horzAnchor="margin" w:tblpY="151"/>
        <w:tblW w:w="8413" w:type="dxa"/>
        <w:tblLayout w:type="fixed"/>
        <w:tblLook w:val="04A0" w:firstRow="1" w:lastRow="0" w:firstColumn="1" w:lastColumn="0" w:noHBand="0" w:noVBand="1"/>
      </w:tblPr>
      <w:tblGrid>
        <w:gridCol w:w="3936"/>
        <w:gridCol w:w="4477"/>
      </w:tblGrid>
      <w:tr w:rsidR="00EC6FCF" w:rsidRPr="00FC72D1" w14:paraId="4D9970BF" w14:textId="77777777" w:rsidTr="002B4AF8">
        <w:trPr>
          <w:trHeight w:val="3208"/>
        </w:trPr>
        <w:tc>
          <w:tcPr>
            <w:tcW w:w="3936" w:type="dxa"/>
          </w:tcPr>
          <w:p w14:paraId="357FAB75"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anchor distT="0" distB="0" distL="114300" distR="114300" simplePos="0" relativeHeight="251663360" behindDoc="0" locked="0" layoutInCell="1" allowOverlap="1" wp14:anchorId="32995CFA" wp14:editId="4090C2F4">
                  <wp:simplePos x="0" y="0"/>
                  <wp:positionH relativeFrom="column">
                    <wp:posOffset>286385</wp:posOffset>
                  </wp:positionH>
                  <wp:positionV relativeFrom="paragraph">
                    <wp:posOffset>80645</wp:posOffset>
                  </wp:positionV>
                  <wp:extent cx="2445385" cy="1882775"/>
                  <wp:effectExtent l="0" t="0" r="12065" b="3175"/>
                  <wp:wrapTopAndBottom/>
                  <wp:docPr id="1977532419" name="Graphique 1">
                    <a:extLst xmlns:a="http://schemas.openxmlformats.org/drawingml/2006/main">
                      <a:ext uri="{FF2B5EF4-FFF2-40B4-BE49-F238E27FC236}">
                        <a16:creationId xmlns:a16="http://schemas.microsoft.com/office/drawing/2014/main" id="{7D36C174-7DAC-AB61-362C-7D89298EDA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4477" w:type="dxa"/>
          </w:tcPr>
          <w:p w14:paraId="7DE176D9"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anchor distT="0" distB="0" distL="114300" distR="114300" simplePos="0" relativeHeight="251664384" behindDoc="0" locked="0" layoutInCell="1" allowOverlap="1" wp14:anchorId="0C93E635" wp14:editId="20F33162">
                  <wp:simplePos x="0" y="0"/>
                  <wp:positionH relativeFrom="column">
                    <wp:posOffset>44450</wp:posOffset>
                  </wp:positionH>
                  <wp:positionV relativeFrom="paragraph">
                    <wp:posOffset>75470</wp:posOffset>
                  </wp:positionV>
                  <wp:extent cx="2338705" cy="1913255"/>
                  <wp:effectExtent l="0" t="0" r="4445" b="10795"/>
                  <wp:wrapSquare wrapText="bothSides"/>
                  <wp:docPr id="1965328020" name="Graphique 1">
                    <a:extLst xmlns:a="http://schemas.openxmlformats.org/drawingml/2006/main">
                      <a:ext uri="{FF2B5EF4-FFF2-40B4-BE49-F238E27FC236}">
                        <a16:creationId xmlns:a16="http://schemas.microsoft.com/office/drawing/2014/main" id="{E6F1E904-5423-8277-3D32-0E9BC7E53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r w:rsidR="00EC6FCF" w:rsidRPr="00FC72D1" w14:paraId="74105BA9" w14:textId="77777777" w:rsidTr="002B4AF8">
        <w:trPr>
          <w:trHeight w:val="3519"/>
        </w:trPr>
        <w:tc>
          <w:tcPr>
            <w:tcW w:w="3936" w:type="dxa"/>
          </w:tcPr>
          <w:p w14:paraId="12872A6D"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anchor distT="0" distB="0" distL="114300" distR="114300" simplePos="0" relativeHeight="251661312" behindDoc="0" locked="0" layoutInCell="1" allowOverlap="1" wp14:anchorId="2CBA43EF" wp14:editId="00CCFEAC">
                  <wp:simplePos x="0" y="0"/>
                  <wp:positionH relativeFrom="column">
                    <wp:posOffset>286385</wp:posOffset>
                  </wp:positionH>
                  <wp:positionV relativeFrom="paragraph">
                    <wp:posOffset>127635</wp:posOffset>
                  </wp:positionV>
                  <wp:extent cx="2445385" cy="2168525"/>
                  <wp:effectExtent l="0" t="0" r="12065" b="3175"/>
                  <wp:wrapSquare wrapText="bothSides"/>
                  <wp:docPr id="29257422" name="Graphique 1">
                    <a:extLst xmlns:a="http://schemas.openxmlformats.org/drawingml/2006/main">
                      <a:ext uri="{FF2B5EF4-FFF2-40B4-BE49-F238E27FC236}">
                        <a16:creationId xmlns:a16="http://schemas.microsoft.com/office/drawing/2014/main" id="{478B366C-DFFB-F0B9-DDA4-BEF30EFE6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c>
        <w:tc>
          <w:tcPr>
            <w:tcW w:w="4477" w:type="dxa"/>
          </w:tcPr>
          <w:p w14:paraId="667365AC" w14:textId="77777777" w:rsidR="00EC6FCF" w:rsidRPr="00FC72D1" w:rsidRDefault="00EC6FCF" w:rsidP="002B4AF8">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anchor distT="0" distB="0" distL="114300" distR="114300" simplePos="0" relativeHeight="251662336" behindDoc="0" locked="0" layoutInCell="1" allowOverlap="1" wp14:anchorId="5352AD9A" wp14:editId="25DAD1BA">
                  <wp:simplePos x="0" y="0"/>
                  <wp:positionH relativeFrom="column">
                    <wp:posOffset>13422</wp:posOffset>
                  </wp:positionH>
                  <wp:positionV relativeFrom="paragraph">
                    <wp:posOffset>127635</wp:posOffset>
                  </wp:positionV>
                  <wp:extent cx="2338705" cy="2168525"/>
                  <wp:effectExtent l="0" t="0" r="4445" b="3175"/>
                  <wp:wrapSquare wrapText="bothSides"/>
                  <wp:docPr id="1453547868" name="Graphique 1">
                    <a:extLst xmlns:a="http://schemas.openxmlformats.org/drawingml/2006/main">
                      <a:ext uri="{FF2B5EF4-FFF2-40B4-BE49-F238E27FC236}">
                        <a16:creationId xmlns:a16="http://schemas.microsoft.com/office/drawing/2014/main" id="{478B366C-DFFB-F0B9-DDA4-BEF30EFE6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bl>
    <w:p w14:paraId="384B4D56" w14:textId="77777777" w:rsidR="00EC6FCF" w:rsidRPr="00FC72D1" w:rsidRDefault="00EC6FCF">
      <w:pPr>
        <w:rPr>
          <w:rFonts w:ascii="Arial" w:hAnsi="Arial" w:cs="Arial"/>
        </w:rPr>
      </w:pPr>
    </w:p>
    <w:p w14:paraId="1A64712B" w14:textId="77777777" w:rsidR="00EC6FCF" w:rsidRPr="00FC72D1" w:rsidRDefault="00EC6FCF">
      <w:pPr>
        <w:rPr>
          <w:rFonts w:ascii="Arial" w:hAnsi="Arial" w:cs="Arial"/>
        </w:rPr>
      </w:pPr>
    </w:p>
    <w:p w14:paraId="792B6AF9" w14:textId="77777777" w:rsidR="00EC6FCF" w:rsidRPr="00FC72D1" w:rsidRDefault="00EC6FCF">
      <w:pPr>
        <w:rPr>
          <w:rFonts w:ascii="Arial" w:hAnsi="Arial" w:cs="Arial"/>
        </w:rPr>
      </w:pPr>
    </w:p>
    <w:p w14:paraId="39F8F6E7" w14:textId="77777777" w:rsidR="00EC6FCF" w:rsidRPr="00FC72D1" w:rsidRDefault="00EC6FCF">
      <w:pPr>
        <w:rPr>
          <w:rFonts w:ascii="Arial" w:hAnsi="Arial" w:cs="Arial"/>
        </w:rPr>
      </w:pPr>
    </w:p>
    <w:p w14:paraId="60F2FEA0" w14:textId="77777777" w:rsidR="00EC6FCF" w:rsidRPr="00FC72D1" w:rsidRDefault="00EC6FCF">
      <w:pPr>
        <w:rPr>
          <w:rFonts w:ascii="Arial" w:hAnsi="Arial" w:cs="Arial"/>
        </w:rPr>
      </w:pPr>
    </w:p>
    <w:p w14:paraId="76114071" w14:textId="77777777" w:rsidR="00EC6FCF" w:rsidRPr="00FC72D1" w:rsidRDefault="00EC6FCF">
      <w:pPr>
        <w:rPr>
          <w:rFonts w:ascii="Arial" w:hAnsi="Arial" w:cs="Arial"/>
        </w:rPr>
      </w:pPr>
    </w:p>
    <w:p w14:paraId="149AD531" w14:textId="77777777" w:rsidR="00EC6FCF" w:rsidRPr="00FC72D1" w:rsidRDefault="00EC6FCF">
      <w:pPr>
        <w:rPr>
          <w:rFonts w:ascii="Arial" w:hAnsi="Arial" w:cs="Arial"/>
        </w:rPr>
      </w:pPr>
    </w:p>
    <w:p w14:paraId="2E1EADAB" w14:textId="77777777" w:rsidR="00EC6FCF" w:rsidRPr="00FC72D1" w:rsidRDefault="00EC6FCF" w:rsidP="00EC6FCF">
      <w:pPr>
        <w:rPr>
          <w:rFonts w:ascii="Arial" w:eastAsia="Calibri" w:hAnsi="Arial" w:cs="Arial"/>
          <w:sz w:val="20"/>
          <w:szCs w:val="20"/>
        </w:rPr>
      </w:pPr>
    </w:p>
    <w:p w14:paraId="69F9397B" w14:textId="77777777" w:rsidR="00EC6FCF" w:rsidRPr="00FC72D1" w:rsidRDefault="00EC6FCF" w:rsidP="00EC6FCF">
      <w:pPr>
        <w:tabs>
          <w:tab w:val="left" w:pos="6375"/>
        </w:tabs>
        <w:rPr>
          <w:rFonts w:ascii="Arial" w:eastAsia="Calibri" w:hAnsi="Arial" w:cs="Arial"/>
          <w:sz w:val="18"/>
          <w:szCs w:val="18"/>
        </w:rPr>
      </w:pPr>
      <w:r w:rsidRPr="00FC72D1">
        <w:rPr>
          <w:rFonts w:ascii="Arial" w:eastAsia="Calibri" w:hAnsi="Arial" w:cs="Arial"/>
          <w:b/>
          <w:bCs/>
          <w:sz w:val="18"/>
          <w:szCs w:val="18"/>
        </w:rPr>
        <w:t>Figure 1</w:t>
      </w:r>
      <w:r w:rsidRPr="00FC72D1">
        <w:rPr>
          <w:rFonts w:ascii="Arial" w:eastAsia="Calibri" w:hAnsi="Arial" w:cs="Arial"/>
          <w:sz w:val="18"/>
          <w:szCs w:val="18"/>
        </w:rPr>
        <w:t xml:space="preserve"> : </w:t>
      </w:r>
      <w:r w:rsidRPr="00FC72D1">
        <w:rPr>
          <w:rFonts w:ascii="Arial" w:hAnsi="Arial" w:cs="Arial"/>
          <w:sz w:val="18"/>
          <w:szCs w:val="18"/>
        </w:rPr>
        <w:t>Normality tests for climate parameters using Q-Q plots</w:t>
      </w:r>
    </w:p>
    <w:p w14:paraId="191F2503" w14:textId="1113390F" w:rsidR="00EC6FCF" w:rsidRPr="00FC72D1" w:rsidRDefault="005C3FAC" w:rsidP="00EC6FCF">
      <w:pPr>
        <w:tabs>
          <w:tab w:val="left" w:pos="6375"/>
        </w:tabs>
        <w:rPr>
          <w:rFonts w:ascii="Arial" w:eastAsia="Calibri" w:hAnsi="Arial" w:cs="Arial"/>
          <w:sz w:val="18"/>
          <w:szCs w:val="18"/>
        </w:rPr>
      </w:pPr>
      <w:r w:rsidRPr="00FC72D1">
        <w:rPr>
          <w:rFonts w:ascii="Arial" w:hAnsi="Arial" w:cs="Arial"/>
          <w:sz w:val="18"/>
          <w:szCs w:val="18"/>
        </w:rPr>
        <w:t>Source: ANAM data (1992–2022</w:t>
      </w:r>
    </w:p>
    <w:tbl>
      <w:tblPr>
        <w:tblStyle w:val="TableGrid"/>
        <w:tblpPr w:leftFromText="180" w:rightFromText="180" w:vertAnchor="text" w:horzAnchor="page" w:tblpX="1846" w:tblpY="-21"/>
        <w:tblW w:w="0" w:type="auto"/>
        <w:tblLook w:val="04A0" w:firstRow="1" w:lastRow="0" w:firstColumn="1" w:lastColumn="0" w:noHBand="0" w:noVBand="1"/>
      </w:tblPr>
      <w:tblGrid>
        <w:gridCol w:w="4739"/>
        <w:gridCol w:w="4323"/>
      </w:tblGrid>
      <w:tr w:rsidR="00EC6FCF" w:rsidRPr="00FC72D1" w14:paraId="792A2BF4" w14:textId="77777777" w:rsidTr="00EC6FCF">
        <w:trPr>
          <w:trHeight w:val="3838"/>
        </w:trPr>
        <w:tc>
          <w:tcPr>
            <w:tcW w:w="4739" w:type="dxa"/>
          </w:tcPr>
          <w:p w14:paraId="10A54373"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lastRenderedPageBreak/>
              <w:drawing>
                <wp:anchor distT="0" distB="0" distL="114300" distR="114300" simplePos="0" relativeHeight="251666432" behindDoc="0" locked="0" layoutInCell="1" allowOverlap="1" wp14:anchorId="1C552A89" wp14:editId="0A4D997F">
                  <wp:simplePos x="0" y="0"/>
                  <wp:positionH relativeFrom="column">
                    <wp:posOffset>390525</wp:posOffset>
                  </wp:positionH>
                  <wp:positionV relativeFrom="paragraph">
                    <wp:posOffset>165735</wp:posOffset>
                  </wp:positionV>
                  <wp:extent cx="2470150" cy="2127250"/>
                  <wp:effectExtent l="0" t="0" r="6350" b="6350"/>
                  <wp:wrapTopAndBottom/>
                  <wp:docPr id="358725698" name="Graphique 1">
                    <a:extLst xmlns:a="http://schemas.openxmlformats.org/drawingml/2006/main">
                      <a:ext uri="{FF2B5EF4-FFF2-40B4-BE49-F238E27FC236}">
                        <a16:creationId xmlns:a16="http://schemas.microsoft.com/office/drawing/2014/main" id="{73510064-3426-E517-A49D-23656B8459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c>
          <w:tcPr>
            <w:tcW w:w="4323" w:type="dxa"/>
          </w:tcPr>
          <w:p w14:paraId="2F19504B"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inline distT="0" distB="0" distL="0" distR="0" wp14:anchorId="5E065ACD" wp14:editId="34D6571F">
                  <wp:extent cx="2788920" cy="2171700"/>
                  <wp:effectExtent l="0" t="0" r="11430" b="0"/>
                  <wp:docPr id="1967060718" name="Graphique 1">
                    <a:extLst xmlns:a="http://schemas.openxmlformats.org/drawingml/2006/main">
                      <a:ext uri="{FF2B5EF4-FFF2-40B4-BE49-F238E27FC236}">
                        <a16:creationId xmlns:a16="http://schemas.microsoft.com/office/drawing/2014/main" id="{452E3C8A-D8D6-8D32-D083-3407CC8F7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C6FCF" w:rsidRPr="00FC72D1" w14:paraId="380E6C15" w14:textId="77777777" w:rsidTr="00EC6FCF">
        <w:tc>
          <w:tcPr>
            <w:tcW w:w="4739" w:type="dxa"/>
          </w:tcPr>
          <w:p w14:paraId="61E52042"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anchor distT="0" distB="0" distL="114300" distR="114300" simplePos="0" relativeHeight="251667456" behindDoc="0" locked="0" layoutInCell="1" allowOverlap="1" wp14:anchorId="1DD90247" wp14:editId="2939123F">
                  <wp:simplePos x="0" y="0"/>
                  <wp:positionH relativeFrom="column">
                    <wp:posOffset>-49530</wp:posOffset>
                  </wp:positionH>
                  <wp:positionV relativeFrom="paragraph">
                    <wp:posOffset>98425</wp:posOffset>
                  </wp:positionV>
                  <wp:extent cx="3093720" cy="1996440"/>
                  <wp:effectExtent l="0" t="0" r="11430" b="3810"/>
                  <wp:wrapSquare wrapText="bothSides"/>
                  <wp:docPr id="1672451473" name="Graphique 1">
                    <a:extLst xmlns:a="http://schemas.openxmlformats.org/drawingml/2006/main">
                      <a:ext uri="{FF2B5EF4-FFF2-40B4-BE49-F238E27FC236}">
                        <a16:creationId xmlns:a16="http://schemas.microsoft.com/office/drawing/2014/main" id="{AACC179A-B3D6-8ABA-AD7C-4ABD274C8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c>
          <w:tcPr>
            <w:tcW w:w="4323" w:type="dxa"/>
          </w:tcPr>
          <w:p w14:paraId="2E135E1E" w14:textId="77777777" w:rsidR="00EC6FCF" w:rsidRPr="00FC72D1" w:rsidRDefault="00EC6FCF" w:rsidP="00EC6FCF">
            <w:pPr>
              <w:spacing w:line="259" w:lineRule="auto"/>
              <w:jc w:val="center"/>
              <w:rPr>
                <w:rFonts w:ascii="Arial" w:eastAsia="Calibri" w:hAnsi="Arial" w:cs="Arial"/>
                <w:sz w:val="20"/>
                <w:szCs w:val="20"/>
              </w:rPr>
            </w:pPr>
            <w:r w:rsidRPr="00FC72D1">
              <w:rPr>
                <w:rFonts w:ascii="Arial" w:eastAsia="Calibri" w:hAnsi="Arial" w:cs="Arial"/>
                <w:noProof/>
                <w:sz w:val="20"/>
                <w:szCs w:val="20"/>
                <w:lang w:eastAsia="fr-FR"/>
              </w:rPr>
              <w:drawing>
                <wp:anchor distT="0" distB="0" distL="114300" distR="114300" simplePos="0" relativeHeight="251668480" behindDoc="0" locked="0" layoutInCell="1" allowOverlap="1" wp14:anchorId="0D7DB40F" wp14:editId="2A716DA1">
                  <wp:simplePos x="0" y="0"/>
                  <wp:positionH relativeFrom="column">
                    <wp:posOffset>-62865</wp:posOffset>
                  </wp:positionH>
                  <wp:positionV relativeFrom="paragraph">
                    <wp:posOffset>130810</wp:posOffset>
                  </wp:positionV>
                  <wp:extent cx="2811780" cy="2004060"/>
                  <wp:effectExtent l="0" t="0" r="7620" b="15240"/>
                  <wp:wrapSquare wrapText="bothSides"/>
                  <wp:docPr id="72697697" name="Graphique 1">
                    <a:extLst xmlns:a="http://schemas.openxmlformats.org/drawingml/2006/main">
                      <a:ext uri="{FF2B5EF4-FFF2-40B4-BE49-F238E27FC236}">
                        <a16:creationId xmlns:a16="http://schemas.microsoft.com/office/drawing/2014/main" id="{AD272198-8ACF-FEB4-53F2-B5200CD4C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bl>
    <w:p w14:paraId="4F1B4F49" w14:textId="7986644C" w:rsidR="00DF7C54" w:rsidRPr="00FC72D1" w:rsidRDefault="00DF7C54" w:rsidP="00DF7C54">
      <w:pPr>
        <w:spacing w:after="0" w:line="360" w:lineRule="auto"/>
        <w:rPr>
          <w:rFonts w:ascii="Arial" w:hAnsi="Arial" w:cs="Arial"/>
          <w:sz w:val="20"/>
          <w:szCs w:val="20"/>
        </w:rPr>
      </w:pPr>
      <w:r w:rsidRPr="00FC72D1">
        <w:rPr>
          <w:rFonts w:ascii="Arial" w:hAnsi="Arial" w:cs="Arial"/>
          <w:sz w:val="20"/>
          <w:szCs w:val="20"/>
        </w:rPr>
        <w:t xml:space="preserve">      Figure 2: Normality tests for climate parameters using P-P plots</w:t>
      </w:r>
    </w:p>
    <w:p w14:paraId="25639A0F" w14:textId="65BD79C3" w:rsidR="00DF7C54" w:rsidRPr="00FC72D1" w:rsidRDefault="00DF7C54" w:rsidP="00DF7C54">
      <w:pPr>
        <w:spacing w:after="0" w:line="360" w:lineRule="auto"/>
        <w:rPr>
          <w:rFonts w:ascii="Arial" w:hAnsi="Arial" w:cs="Arial"/>
          <w:sz w:val="22"/>
          <w:szCs w:val="22"/>
        </w:rPr>
      </w:pPr>
      <w:r w:rsidRPr="00FC72D1">
        <w:rPr>
          <w:rFonts w:ascii="Arial" w:hAnsi="Arial" w:cs="Arial"/>
          <w:sz w:val="20"/>
          <w:szCs w:val="20"/>
        </w:rPr>
        <w:t xml:space="preserve">       Source: ANAM data (1992–2022</w:t>
      </w:r>
      <w:r w:rsidRPr="00FC72D1">
        <w:rPr>
          <w:rFonts w:ascii="Arial" w:hAnsi="Arial" w:cs="Arial"/>
          <w:sz w:val="22"/>
          <w:szCs w:val="22"/>
        </w:rPr>
        <w:t>)</w:t>
      </w:r>
    </w:p>
    <w:p w14:paraId="1F503049"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Q–Q plots and P–P plots for temperature, PET, mean wind speed, and relative humidity were analyzed for the period 1992–2022 using data from ANAM. The results indicate distributions close to normal (Bouteldjaoui, F., Bessenasse, M., and Guendouz, A., 2012). This near-normality allows the use of parametric tests, given that the observed quantiles remain close to the theoretical quantiles (L’Hote, Y., 2000).</w:t>
      </w:r>
    </w:p>
    <w:p w14:paraId="625918DD"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According to Bambara, D., Sawadogo, J., Kaboré, O., and Bilgo, A. (2019, p. 7), the average temperature is around 29 °C, which is generally beneficial for vegetable crops in the Sudano-Sahelian region. Mean wind speed and humidity levels also remain consistent with plant physiology (Ben Mansour, S., and Korichi, R., 2013). However, the increase in heat and wind, coupled with a decrease in relative humidity, intensifies the lack of water in the air (Karambiri, B. L. C. N., Dipama, J. M., and Sanou, K., 2019). This trend reduces the period of moisture required for rain-fed crops (Bambara et al., 2019, p. 7).</w:t>
      </w:r>
    </w:p>
    <w:p w14:paraId="0F1BC6E8"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 xml:space="preserve">According to Bambara et al. (2019, p. 8), in Ouagadougou there is already a 25% reduction in the humid phase and a 59% reduction in the plant growing period, which could have a similar impact on vegetable crops in Loumbila. Research conducted in Benin also indicates that climate variability has a direct impact on vegetable production (Atidegla, S. C., Koumassi, H. D., and Houssou, E. S., 2017). Thus, the duration </w:t>
      </w:r>
      <w:r w:rsidRPr="00FC72D1">
        <w:rPr>
          <w:rFonts w:ascii="Arial" w:hAnsi="Arial" w:cs="Arial"/>
          <w:sz w:val="20"/>
          <w:szCs w:val="20"/>
        </w:rPr>
        <w:lastRenderedPageBreak/>
        <w:t>of humid phases proves to be an essential criterion for ensuring the growing season (Ouedraogo, I., Sampebgo, A. A., and Bonkoungou, J., 2023).</w:t>
      </w:r>
    </w:p>
    <w:p w14:paraId="37AA65FC"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In Loumbila, an upward trend in PET is observed. The increase in water loss from the plant cover is due to higher temperatures, stronger winds, and decreasing relative humidity (Ben Mansour and Korichi, 2013; Bouteldjaoui et al., 2012). Thus, crops require more water, particularly during the dry season or when rainfall is interrupted (Karambiri, B. L. C. N., et al., 2019). In this context, it is important to adopt water-saving irrigation systems and methods to preserve soil moisture in order to secure vegetable production (Adoko, K. F., 2020, p. 15; Goubi, M., and Louazene, N., 2013). Poor water management could lead to a persistent decline in productivity (Atidegla et al., 2017).</w:t>
      </w:r>
    </w:p>
    <w:p w14:paraId="1F1734C3"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In the context of Burkina Faso, the effects of climate change are manifested through rising temperatures, significant variability in rainfall, and alterations in wind and relative humidity regimes (Karambiri et al., 2019). These changes affect hydrological balances and evapotranspiration, sometimes reducing water resources available for agriculture (Nnomo, B. N., 2016, p. 132). They also promote prolonged drought periods, which undermine poorly irrigated vegetable systems (Ben Mansour and Korichi, 2013). It therefore becomes essential to ensure coordinated management of water and climatic factors (Ndao, T., 2008).</w:t>
      </w:r>
    </w:p>
    <w:p w14:paraId="584FE9DD" w14:textId="77777777" w:rsidR="005C3FAC" w:rsidRPr="00FC72D1" w:rsidRDefault="005C3FAC" w:rsidP="006937F9">
      <w:pPr>
        <w:spacing w:after="0" w:line="360" w:lineRule="auto"/>
        <w:jc w:val="both"/>
        <w:rPr>
          <w:rFonts w:ascii="Arial" w:hAnsi="Arial" w:cs="Arial"/>
          <w:sz w:val="20"/>
          <w:szCs w:val="20"/>
        </w:rPr>
      </w:pPr>
      <w:r w:rsidRPr="00FC72D1">
        <w:rPr>
          <w:rFonts w:ascii="Arial" w:hAnsi="Arial" w:cs="Arial"/>
          <w:sz w:val="20"/>
          <w:szCs w:val="20"/>
        </w:rPr>
        <w:t>In conclusion, the differences noted in the Q–Q and P–P plots remain minimal and are consistent with Sahelian climate variability (L’Hote, Y., 2000; Karambiri et al., 2019). The use of linear regressions and trend tests, such as the Mann–Kendall test and Sen’s slope, to study the evolution of climatic parameters and their impact on vegetable crops in Loumbila is justified by this near-normality.</w:t>
      </w:r>
    </w:p>
    <w:p w14:paraId="51CA10BE" w14:textId="77777777" w:rsidR="009369B8" w:rsidRPr="00FC72D1" w:rsidRDefault="009369B8" w:rsidP="006937F9">
      <w:pPr>
        <w:spacing w:after="0" w:line="360" w:lineRule="auto"/>
        <w:jc w:val="both"/>
        <w:rPr>
          <w:rFonts w:ascii="Arial" w:hAnsi="Arial" w:cs="Arial"/>
          <w:sz w:val="20"/>
          <w:szCs w:val="20"/>
        </w:rPr>
      </w:pPr>
      <w:r w:rsidRPr="00FC72D1">
        <w:rPr>
          <w:rFonts w:ascii="Arial" w:hAnsi="Arial" w:cs="Arial"/>
          <w:sz w:val="20"/>
          <w:szCs w:val="20"/>
        </w:rPr>
        <w:t>1.2.3. Mann-Kendall test for identifying trends</w:t>
      </w:r>
    </w:p>
    <w:tbl>
      <w:tblPr>
        <w:tblStyle w:val="TableGrid"/>
        <w:tblpPr w:leftFromText="180" w:rightFromText="180" w:vertAnchor="text" w:horzAnchor="margin" w:tblpY="-531"/>
        <w:tblW w:w="0" w:type="auto"/>
        <w:tblLook w:val="04A0" w:firstRow="1" w:lastRow="0" w:firstColumn="1" w:lastColumn="0" w:noHBand="0" w:noVBand="1"/>
      </w:tblPr>
      <w:tblGrid>
        <w:gridCol w:w="3966"/>
        <w:gridCol w:w="3996"/>
      </w:tblGrid>
      <w:tr w:rsidR="006937F9" w:rsidRPr="00FC72D1" w14:paraId="733A00B8" w14:textId="77777777" w:rsidTr="006937F9">
        <w:trPr>
          <w:trHeight w:val="2978"/>
        </w:trPr>
        <w:tc>
          <w:tcPr>
            <w:tcW w:w="3966" w:type="dxa"/>
          </w:tcPr>
          <w:p w14:paraId="233B0EDB" w14:textId="77777777" w:rsidR="006937F9" w:rsidRPr="00FC72D1" w:rsidRDefault="006937F9" w:rsidP="006937F9">
            <w:pPr>
              <w:rPr>
                <w:rFonts w:ascii="Arial" w:eastAsia="Calibri" w:hAnsi="Arial" w:cs="Arial"/>
              </w:rPr>
            </w:pPr>
            <w:bookmarkStart w:id="4" w:name="_Hlk203921625"/>
            <w:r w:rsidRPr="00FC72D1">
              <w:rPr>
                <w:rFonts w:ascii="Arial" w:hAnsi="Arial" w:cs="Arial"/>
                <w:noProof/>
                <w:lang w:eastAsia="fr-FR"/>
              </w:rPr>
              <w:lastRenderedPageBreak/>
              <mc:AlternateContent>
                <mc:Choice Requires="wps">
                  <w:drawing>
                    <wp:anchor distT="0" distB="0" distL="114300" distR="114300" simplePos="0" relativeHeight="251703296" behindDoc="0" locked="0" layoutInCell="1" allowOverlap="1" wp14:anchorId="015A0F19" wp14:editId="7701DA3E">
                      <wp:simplePos x="0" y="0"/>
                      <wp:positionH relativeFrom="column">
                        <wp:posOffset>-6350</wp:posOffset>
                      </wp:positionH>
                      <wp:positionV relativeFrom="paragraph">
                        <wp:posOffset>7620</wp:posOffset>
                      </wp:positionV>
                      <wp:extent cx="218440" cy="196494"/>
                      <wp:effectExtent l="0" t="0" r="10160" b="13335"/>
                      <wp:wrapNone/>
                      <wp:docPr id="1568848353"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072C94BA" w14:textId="77777777" w:rsidR="006937F9" w:rsidRDefault="006937F9" w:rsidP="006937F9">
                                  <w:pPr>
                                    <w:rPr>
                                      <w:rFonts w:eastAsia="Calibri"/>
                                      <w:color w:val="000000" w:themeColor="dark1"/>
                                      <w:sz w:val="14"/>
                                      <w:szCs w:val="14"/>
                                    </w:rPr>
                                  </w:pPr>
                                  <w:r>
                                    <w:rPr>
                                      <w:rFonts w:eastAsia="Calibri"/>
                                      <w:color w:val="000000" w:themeColor="dark1"/>
                                      <w:sz w:val="14"/>
                                      <w:szCs w:val="14"/>
                                    </w:rPr>
                                    <w: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A0F19" id="Rectangle 1" o:spid="_x0000_s1026" style="position:absolute;margin-left:-.5pt;margin-top:.6pt;width:17.2pt;height:15.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" fillcolor="window" strokecolor="#70ad47" strokeweight="1pt">
                      <v:textbox>
                        <w:txbxContent>
                          <w:p w14:paraId="072C94BA" w14:textId="77777777" w:rsidR="006937F9" w:rsidRDefault="006937F9" w:rsidP="006937F9">
                            <w:pPr>
                              <w:rPr>
                                <w:rFonts w:eastAsia="Calibri"/>
                                <w:color w:val="000000" w:themeColor="dark1"/>
                                <w:sz w:val="14"/>
                                <w:szCs w:val="14"/>
                              </w:rPr>
                            </w:pPr>
                            <w:r>
                              <w:rPr>
                                <w:rFonts w:eastAsia="Calibri"/>
                                <w:color w:val="000000" w:themeColor="dark1"/>
                                <w:sz w:val="14"/>
                                <w:szCs w:val="14"/>
                              </w:rPr>
                              <w:t>E</w:t>
                            </w:r>
                          </w:p>
                        </w:txbxContent>
                      </v:textbox>
                    </v:rect>
                  </w:pict>
                </mc:Fallback>
              </mc:AlternateContent>
            </w:r>
            <w:r w:rsidRPr="00FC72D1">
              <w:rPr>
                <w:rFonts w:ascii="Arial" w:eastAsia="Calibri" w:hAnsi="Arial" w:cs="Arial"/>
                <w:noProof/>
                <w:lang w:eastAsia="fr-FR"/>
              </w:rPr>
              <w:drawing>
                <wp:anchor distT="0" distB="0" distL="114300" distR="114300" simplePos="0" relativeHeight="251702272" behindDoc="0" locked="0" layoutInCell="1" allowOverlap="1" wp14:anchorId="1D1E6427" wp14:editId="31F4F347">
                  <wp:simplePos x="0" y="0"/>
                  <wp:positionH relativeFrom="column">
                    <wp:posOffset>-6350</wp:posOffset>
                  </wp:positionH>
                  <wp:positionV relativeFrom="paragraph">
                    <wp:posOffset>179070</wp:posOffset>
                  </wp:positionV>
                  <wp:extent cx="2187244" cy="1755648"/>
                  <wp:effectExtent l="0" t="0" r="3810" b="16510"/>
                  <wp:wrapSquare wrapText="bothSides"/>
                  <wp:docPr id="1124229406" name="Graphique 1">
                    <a:extLst xmlns:a="http://schemas.openxmlformats.org/drawingml/2006/main">
                      <a:ext uri="{FF2B5EF4-FFF2-40B4-BE49-F238E27FC236}">
                        <a16:creationId xmlns:a16="http://schemas.microsoft.com/office/drawing/2014/main" id="{FEFDCA61-FFF9-B2B4-4167-20EF06B49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c>
        <w:tc>
          <w:tcPr>
            <w:tcW w:w="3996" w:type="dxa"/>
          </w:tcPr>
          <w:p w14:paraId="2BB5A9A6" w14:textId="77777777" w:rsidR="006937F9" w:rsidRPr="00FC72D1" w:rsidRDefault="006937F9" w:rsidP="006937F9">
            <w:pPr>
              <w:rPr>
                <w:rFonts w:ascii="Arial" w:eastAsia="Calibri" w:hAnsi="Arial" w:cs="Arial"/>
              </w:rPr>
            </w:pPr>
            <w:r w:rsidRPr="00FC72D1">
              <w:rPr>
                <w:rFonts w:ascii="Arial" w:eastAsia="Calibri" w:hAnsi="Arial" w:cs="Arial"/>
                <w:noProof/>
                <w:lang w:eastAsia="fr-FR"/>
              </w:rPr>
              <w:drawing>
                <wp:anchor distT="0" distB="0" distL="114300" distR="114300" simplePos="0" relativeHeight="251699200" behindDoc="0" locked="0" layoutInCell="1" allowOverlap="1" wp14:anchorId="1D25ACBB" wp14:editId="496055C7">
                  <wp:simplePos x="0" y="0"/>
                  <wp:positionH relativeFrom="column">
                    <wp:posOffset>1905</wp:posOffset>
                  </wp:positionH>
                  <wp:positionV relativeFrom="paragraph">
                    <wp:posOffset>179070</wp:posOffset>
                  </wp:positionV>
                  <wp:extent cx="2391410" cy="2011680"/>
                  <wp:effectExtent l="0" t="0" r="8890" b="7620"/>
                  <wp:wrapSquare wrapText="bothSides"/>
                  <wp:docPr id="1296117924" name="Graphique 1">
                    <a:extLst xmlns:a="http://schemas.openxmlformats.org/drawingml/2006/main">
                      <a:ext uri="{FF2B5EF4-FFF2-40B4-BE49-F238E27FC236}">
                        <a16:creationId xmlns:a16="http://schemas.microsoft.com/office/drawing/2014/main" id="{A5AB0FF1-A9F4-2CD4-6A9D-7F2DE1A94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FC72D1">
              <w:rPr>
                <w:rFonts w:ascii="Arial" w:hAnsi="Arial" w:cs="Arial"/>
                <w:noProof/>
                <w:lang w:eastAsia="fr-FR"/>
              </w:rPr>
              <mc:AlternateContent>
                <mc:Choice Requires="wps">
                  <w:drawing>
                    <wp:anchor distT="0" distB="0" distL="114300" distR="114300" simplePos="0" relativeHeight="251696128" behindDoc="0" locked="0" layoutInCell="1" allowOverlap="1" wp14:anchorId="0FC796F3" wp14:editId="76F6B214">
                      <wp:simplePos x="0" y="0"/>
                      <wp:positionH relativeFrom="column">
                        <wp:posOffset>0</wp:posOffset>
                      </wp:positionH>
                      <wp:positionV relativeFrom="paragraph">
                        <wp:posOffset>0</wp:posOffset>
                      </wp:positionV>
                      <wp:extent cx="218440" cy="196494"/>
                      <wp:effectExtent l="0" t="0" r="10160" b="13335"/>
                      <wp:wrapNone/>
                      <wp:docPr id="1733676378"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54525CF7" w14:textId="77777777" w:rsidR="006937F9" w:rsidRDefault="006937F9" w:rsidP="006937F9">
                                  <w:pPr>
                                    <w:rPr>
                                      <w:rFonts w:eastAsia="Calibri"/>
                                      <w:color w:val="000000" w:themeColor="dark1"/>
                                      <w:sz w:val="14"/>
                                      <w:szCs w:val="14"/>
                                    </w:rPr>
                                  </w:pPr>
                                  <w:r>
                                    <w:rPr>
                                      <w:rFonts w:eastAsia="Calibri"/>
                                      <w:color w:val="000000" w:themeColor="dark1"/>
                                      <w:sz w:val="14"/>
                                      <w:szCs w:val="14"/>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796F3" id="_x0000_s1027" style="position:absolute;margin-left:0;margin-top:0;width:17.2pt;height:15.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" fillcolor="window" strokecolor="#70ad47" strokeweight="1pt">
                      <v:textbox>
                        <w:txbxContent>
                          <w:p w14:paraId="54525CF7" w14:textId="77777777" w:rsidR="006937F9" w:rsidRDefault="006937F9" w:rsidP="006937F9">
                            <w:pPr>
                              <w:rPr>
                                <w:rFonts w:eastAsia="Calibri"/>
                                <w:color w:val="000000" w:themeColor="dark1"/>
                                <w:sz w:val="14"/>
                                <w:szCs w:val="14"/>
                              </w:rPr>
                            </w:pPr>
                            <w:r>
                              <w:rPr>
                                <w:rFonts w:eastAsia="Calibri"/>
                                <w:color w:val="000000" w:themeColor="dark1"/>
                                <w:sz w:val="14"/>
                                <w:szCs w:val="14"/>
                              </w:rPr>
                              <w:t>B</w:t>
                            </w:r>
                          </w:p>
                        </w:txbxContent>
                      </v:textbox>
                    </v:rect>
                  </w:pict>
                </mc:Fallback>
              </mc:AlternateContent>
            </w:r>
          </w:p>
        </w:tc>
      </w:tr>
      <w:tr w:rsidR="006937F9" w:rsidRPr="00FC72D1" w14:paraId="2B1C8D00" w14:textId="77777777" w:rsidTr="006937F9">
        <w:trPr>
          <w:trHeight w:val="3590"/>
        </w:trPr>
        <w:tc>
          <w:tcPr>
            <w:tcW w:w="3966" w:type="dxa"/>
          </w:tcPr>
          <w:p w14:paraId="133A949F" w14:textId="77777777" w:rsidR="006937F9" w:rsidRPr="00FC72D1" w:rsidRDefault="006937F9" w:rsidP="006937F9">
            <w:pPr>
              <w:rPr>
                <w:rFonts w:ascii="Arial" w:eastAsia="Calibri" w:hAnsi="Arial" w:cs="Arial"/>
              </w:rPr>
            </w:pPr>
            <w:r w:rsidRPr="00FC72D1">
              <w:rPr>
                <w:rFonts w:ascii="Arial" w:hAnsi="Arial" w:cs="Arial"/>
                <w:noProof/>
                <w:lang w:eastAsia="fr-FR"/>
              </w:rPr>
              <mc:AlternateContent>
                <mc:Choice Requires="wps">
                  <w:drawing>
                    <wp:anchor distT="0" distB="0" distL="114300" distR="114300" simplePos="0" relativeHeight="251697152" behindDoc="0" locked="0" layoutInCell="1" allowOverlap="1" wp14:anchorId="711AA63E" wp14:editId="266897D4">
                      <wp:simplePos x="0" y="0"/>
                      <wp:positionH relativeFrom="column">
                        <wp:posOffset>0</wp:posOffset>
                      </wp:positionH>
                      <wp:positionV relativeFrom="paragraph">
                        <wp:posOffset>0</wp:posOffset>
                      </wp:positionV>
                      <wp:extent cx="218440" cy="196494"/>
                      <wp:effectExtent l="0" t="0" r="10160" b="13335"/>
                      <wp:wrapNone/>
                      <wp:docPr id="1738458339"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76C54ED0" w14:textId="77777777" w:rsidR="006937F9" w:rsidRDefault="006937F9" w:rsidP="006937F9">
                                  <w:pPr>
                                    <w:rPr>
                                      <w:rFonts w:eastAsia="Calibri"/>
                                      <w:color w:val="000000" w:themeColor="dark1"/>
                                      <w:sz w:val="14"/>
                                      <w:szCs w:val="14"/>
                                    </w:rPr>
                                  </w:pPr>
                                  <w:r>
                                    <w:rPr>
                                      <w:rFonts w:eastAsia="Calibri"/>
                                      <w:color w:val="000000" w:themeColor="dark1"/>
                                      <w:sz w:val="14"/>
                                      <w:szCs w:val="14"/>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AA63E" id="_x0000_s1028" style="position:absolute;margin-left:0;margin-top:0;width:17.2pt;height:15.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" fillcolor="window" strokecolor="#70ad47" strokeweight="1pt">
                      <v:textbox>
                        <w:txbxContent>
                          <w:p w14:paraId="76C54ED0" w14:textId="77777777" w:rsidR="006937F9" w:rsidRDefault="006937F9" w:rsidP="006937F9">
                            <w:pPr>
                              <w:rPr>
                                <w:rFonts w:eastAsia="Calibri"/>
                                <w:color w:val="000000" w:themeColor="dark1"/>
                                <w:sz w:val="14"/>
                                <w:szCs w:val="14"/>
                              </w:rPr>
                            </w:pPr>
                            <w:r>
                              <w:rPr>
                                <w:rFonts w:eastAsia="Calibri"/>
                                <w:color w:val="000000" w:themeColor="dark1"/>
                                <w:sz w:val="14"/>
                                <w:szCs w:val="14"/>
                              </w:rPr>
                              <w:t>C</w:t>
                            </w:r>
                          </w:p>
                        </w:txbxContent>
                      </v:textbox>
                    </v:rect>
                  </w:pict>
                </mc:Fallback>
              </mc:AlternateContent>
            </w:r>
            <w:r w:rsidRPr="00FC72D1">
              <w:rPr>
                <w:rFonts w:ascii="Arial" w:eastAsia="Calibri" w:hAnsi="Arial" w:cs="Arial"/>
              </w:rPr>
              <w:t xml:space="preserve"> </w:t>
            </w:r>
            <w:r w:rsidRPr="00FC72D1">
              <w:rPr>
                <w:rFonts w:ascii="Arial" w:eastAsia="Calibri" w:hAnsi="Arial" w:cs="Arial"/>
                <w:noProof/>
                <w:lang w:eastAsia="fr-FR"/>
              </w:rPr>
              <w:drawing>
                <wp:anchor distT="0" distB="0" distL="114300" distR="114300" simplePos="0" relativeHeight="251700224" behindDoc="0" locked="0" layoutInCell="1" allowOverlap="1" wp14:anchorId="15956ADF" wp14:editId="1443BA24">
                  <wp:simplePos x="0" y="0"/>
                  <wp:positionH relativeFrom="column">
                    <wp:posOffset>-6350</wp:posOffset>
                  </wp:positionH>
                  <wp:positionV relativeFrom="paragraph">
                    <wp:posOffset>174625</wp:posOffset>
                  </wp:positionV>
                  <wp:extent cx="2377440" cy="2062480"/>
                  <wp:effectExtent l="0" t="0" r="3810" b="13970"/>
                  <wp:wrapSquare wrapText="bothSides"/>
                  <wp:docPr id="1912645270" name="Graphique 1">
                    <a:extLst xmlns:a="http://schemas.openxmlformats.org/drawingml/2006/main">
                      <a:ext uri="{FF2B5EF4-FFF2-40B4-BE49-F238E27FC236}">
                        <a16:creationId xmlns:a16="http://schemas.microsoft.com/office/drawing/2014/main" id="{2B93855B-1944-9EE9-D2D6-878BC81E9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tc>
        <w:tc>
          <w:tcPr>
            <w:tcW w:w="3996" w:type="dxa"/>
          </w:tcPr>
          <w:p w14:paraId="49646251" w14:textId="77777777" w:rsidR="006937F9" w:rsidRPr="00FC72D1" w:rsidRDefault="006937F9" w:rsidP="006937F9">
            <w:pPr>
              <w:rPr>
                <w:rFonts w:ascii="Arial" w:eastAsia="Calibri" w:hAnsi="Arial" w:cs="Arial"/>
              </w:rPr>
            </w:pPr>
            <w:r w:rsidRPr="00FC72D1">
              <w:rPr>
                <w:rFonts w:ascii="Arial" w:hAnsi="Arial" w:cs="Arial"/>
                <w:noProof/>
                <w:lang w:eastAsia="fr-FR"/>
              </w:rPr>
              <mc:AlternateContent>
                <mc:Choice Requires="wps">
                  <w:drawing>
                    <wp:anchor distT="0" distB="0" distL="114300" distR="114300" simplePos="0" relativeHeight="251698176" behindDoc="0" locked="0" layoutInCell="1" allowOverlap="1" wp14:anchorId="2D8A2EB1" wp14:editId="292E0C53">
                      <wp:simplePos x="0" y="0"/>
                      <wp:positionH relativeFrom="column">
                        <wp:posOffset>0</wp:posOffset>
                      </wp:positionH>
                      <wp:positionV relativeFrom="paragraph">
                        <wp:posOffset>0</wp:posOffset>
                      </wp:positionV>
                      <wp:extent cx="218440" cy="196494"/>
                      <wp:effectExtent l="0" t="0" r="10160" b="13335"/>
                      <wp:wrapNone/>
                      <wp:docPr id="1982203622" name="Rectangle 1"/>
                      <wp:cNvGraphicFramePr/>
                      <a:graphic xmlns:a="http://schemas.openxmlformats.org/drawingml/2006/main">
                        <a:graphicData uri="http://schemas.microsoft.com/office/word/2010/wordprocessingShape">
                          <wps:wsp>
                            <wps:cNvSpPr/>
                            <wps:spPr>
                              <a:xfrm>
                                <a:off x="0" y="0"/>
                                <a:ext cx="218440" cy="196494"/>
                              </a:xfrm>
                              <a:prstGeom prst="rect">
                                <a:avLst/>
                              </a:prstGeom>
                              <a:solidFill>
                                <a:sysClr val="window" lastClr="FFFFFF"/>
                              </a:solidFill>
                              <a:ln w="12700" cap="flat" cmpd="sng" algn="ctr">
                                <a:solidFill>
                                  <a:srgbClr val="70AD47"/>
                                </a:solidFill>
                                <a:prstDash val="solid"/>
                                <a:miter lim="800000"/>
                              </a:ln>
                              <a:effectLst/>
                            </wps:spPr>
                            <wps:txbx>
                              <w:txbxContent>
                                <w:p w14:paraId="0A6D6EA9" w14:textId="77777777" w:rsidR="006937F9" w:rsidRDefault="006937F9" w:rsidP="006937F9">
                                  <w:pPr>
                                    <w:rPr>
                                      <w:rFonts w:eastAsia="Calibri"/>
                                      <w:color w:val="000000" w:themeColor="dark1"/>
                                      <w:sz w:val="14"/>
                                      <w:szCs w:val="14"/>
                                    </w:rPr>
                                  </w:pPr>
                                  <w:r>
                                    <w:rPr>
                                      <w:rFonts w:eastAsia="Calibri"/>
                                      <w:color w:val="000000" w:themeColor="dark1"/>
                                      <w:sz w:val="14"/>
                                      <w:szCs w:val="14"/>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A2EB1" id="_x0000_s1029" style="position:absolute;margin-left:0;margin-top:0;width:17.2pt;height:15.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" fillcolor="window" strokecolor="#70ad47" strokeweight="1pt">
                      <v:textbox>
                        <w:txbxContent>
                          <w:p w14:paraId="0A6D6EA9" w14:textId="77777777" w:rsidR="006937F9" w:rsidRDefault="006937F9" w:rsidP="006937F9">
                            <w:pPr>
                              <w:rPr>
                                <w:rFonts w:eastAsia="Calibri"/>
                                <w:color w:val="000000" w:themeColor="dark1"/>
                                <w:sz w:val="14"/>
                                <w:szCs w:val="14"/>
                              </w:rPr>
                            </w:pPr>
                            <w:r>
                              <w:rPr>
                                <w:rFonts w:eastAsia="Calibri"/>
                                <w:color w:val="000000" w:themeColor="dark1"/>
                                <w:sz w:val="14"/>
                                <w:szCs w:val="14"/>
                              </w:rPr>
                              <w:t>D</w:t>
                            </w:r>
                          </w:p>
                        </w:txbxContent>
                      </v:textbox>
                    </v:rect>
                  </w:pict>
                </mc:Fallback>
              </mc:AlternateContent>
            </w:r>
            <w:r w:rsidRPr="00FC72D1">
              <w:rPr>
                <w:rFonts w:ascii="Arial" w:eastAsia="Calibri" w:hAnsi="Arial" w:cs="Arial"/>
              </w:rPr>
              <w:t xml:space="preserve"> </w:t>
            </w:r>
            <w:r w:rsidRPr="00FC72D1">
              <w:rPr>
                <w:rFonts w:ascii="Arial" w:eastAsia="Calibri" w:hAnsi="Arial" w:cs="Arial"/>
                <w:noProof/>
                <w:lang w:eastAsia="fr-FR"/>
              </w:rPr>
              <w:drawing>
                <wp:anchor distT="0" distB="0" distL="114300" distR="114300" simplePos="0" relativeHeight="251701248" behindDoc="0" locked="0" layoutInCell="1" allowOverlap="1" wp14:anchorId="669BA5B1" wp14:editId="7C305376">
                  <wp:simplePos x="0" y="0"/>
                  <wp:positionH relativeFrom="column">
                    <wp:posOffset>1905</wp:posOffset>
                  </wp:positionH>
                  <wp:positionV relativeFrom="paragraph">
                    <wp:posOffset>174625</wp:posOffset>
                  </wp:positionV>
                  <wp:extent cx="2187244" cy="1755648"/>
                  <wp:effectExtent l="0" t="0" r="3810" b="16510"/>
                  <wp:wrapSquare wrapText="bothSides"/>
                  <wp:docPr id="936242599" name="Graphique 1">
                    <a:extLst xmlns:a="http://schemas.openxmlformats.org/drawingml/2006/main">
                      <a:ext uri="{FF2B5EF4-FFF2-40B4-BE49-F238E27FC236}">
                        <a16:creationId xmlns:a16="http://schemas.microsoft.com/office/drawing/2014/main" id="{FEFDCA61-FFF9-B2B4-4167-20EF06B49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r>
      <w:bookmarkEnd w:id="4"/>
    </w:tbl>
    <w:p w14:paraId="3F3226CB" w14:textId="77777777" w:rsidR="009369B8" w:rsidRPr="00FC72D1" w:rsidRDefault="009369B8" w:rsidP="002369F2">
      <w:pPr>
        <w:spacing w:after="0" w:line="360" w:lineRule="auto"/>
        <w:rPr>
          <w:rFonts w:ascii="Arial" w:hAnsi="Arial" w:cs="Arial"/>
          <w:sz w:val="20"/>
          <w:szCs w:val="20"/>
        </w:rPr>
      </w:pPr>
    </w:p>
    <w:p w14:paraId="223F2DF6" w14:textId="77777777" w:rsidR="00E37259" w:rsidRPr="00FC72D1" w:rsidRDefault="00E37259" w:rsidP="00E37259">
      <w:pPr>
        <w:spacing w:after="0" w:line="360" w:lineRule="auto"/>
        <w:rPr>
          <w:rFonts w:ascii="Arial" w:hAnsi="Arial" w:cs="Arial"/>
          <w:sz w:val="20"/>
          <w:szCs w:val="20"/>
        </w:rPr>
      </w:pPr>
    </w:p>
    <w:p w14:paraId="63531B94" w14:textId="1DA40E86" w:rsidR="00DF7C54" w:rsidRPr="00FC72D1" w:rsidRDefault="00DF7C54" w:rsidP="00DF7C54">
      <w:pPr>
        <w:spacing w:after="0" w:line="360" w:lineRule="auto"/>
        <w:rPr>
          <w:rFonts w:ascii="Arial" w:hAnsi="Arial" w:cs="Arial"/>
          <w:sz w:val="20"/>
          <w:szCs w:val="20"/>
        </w:rPr>
      </w:pPr>
    </w:p>
    <w:p w14:paraId="455A3BFE" w14:textId="77777777" w:rsidR="00DF7C54" w:rsidRPr="00FC72D1" w:rsidRDefault="00DF7C54" w:rsidP="00DF7C54">
      <w:pPr>
        <w:spacing w:after="0" w:line="360" w:lineRule="auto"/>
        <w:rPr>
          <w:rFonts w:ascii="Arial" w:hAnsi="Arial" w:cs="Arial"/>
          <w:sz w:val="22"/>
          <w:szCs w:val="22"/>
        </w:rPr>
      </w:pPr>
    </w:p>
    <w:p w14:paraId="5AFC4207" w14:textId="77777777" w:rsidR="003C1DE6" w:rsidRPr="00FC72D1" w:rsidRDefault="003C1DE6" w:rsidP="003C1DE6">
      <w:pPr>
        <w:rPr>
          <w:rFonts w:ascii="Arial" w:hAnsi="Arial" w:cs="Arial"/>
          <w:sz w:val="22"/>
          <w:szCs w:val="22"/>
        </w:rPr>
      </w:pPr>
    </w:p>
    <w:p w14:paraId="6DFCC45E" w14:textId="77777777" w:rsidR="003C1DE6" w:rsidRPr="00FC72D1" w:rsidRDefault="003C1DE6" w:rsidP="003C1DE6">
      <w:pPr>
        <w:rPr>
          <w:rFonts w:ascii="Arial" w:hAnsi="Arial" w:cs="Arial"/>
          <w:sz w:val="22"/>
          <w:szCs w:val="22"/>
        </w:rPr>
      </w:pPr>
    </w:p>
    <w:p w14:paraId="2EAA6D27" w14:textId="77777777" w:rsidR="003C1DE6" w:rsidRPr="00FC72D1" w:rsidRDefault="003C1DE6" w:rsidP="003C1DE6">
      <w:pPr>
        <w:rPr>
          <w:rFonts w:ascii="Arial" w:hAnsi="Arial" w:cs="Arial"/>
          <w:sz w:val="22"/>
          <w:szCs w:val="22"/>
        </w:rPr>
      </w:pPr>
    </w:p>
    <w:p w14:paraId="7EFFAF3E" w14:textId="77777777" w:rsidR="003C1DE6" w:rsidRPr="00FC72D1" w:rsidRDefault="003C1DE6" w:rsidP="003C1DE6">
      <w:pPr>
        <w:rPr>
          <w:rFonts w:ascii="Arial" w:hAnsi="Arial" w:cs="Arial"/>
          <w:sz w:val="22"/>
          <w:szCs w:val="22"/>
        </w:rPr>
      </w:pPr>
    </w:p>
    <w:p w14:paraId="4C1D06BB" w14:textId="77777777" w:rsidR="003C1DE6" w:rsidRPr="00FC72D1" w:rsidRDefault="003C1DE6" w:rsidP="003C1DE6">
      <w:pPr>
        <w:rPr>
          <w:rFonts w:ascii="Arial" w:hAnsi="Arial" w:cs="Arial"/>
          <w:sz w:val="22"/>
          <w:szCs w:val="22"/>
        </w:rPr>
      </w:pPr>
    </w:p>
    <w:p w14:paraId="6EA3999D" w14:textId="77777777" w:rsidR="006937F9" w:rsidRPr="00FC72D1" w:rsidRDefault="006937F9" w:rsidP="003C1DE6">
      <w:pPr>
        <w:spacing w:after="0" w:line="360" w:lineRule="auto"/>
        <w:rPr>
          <w:rFonts w:ascii="Arial" w:hAnsi="Arial" w:cs="Arial"/>
          <w:sz w:val="22"/>
          <w:szCs w:val="22"/>
        </w:rPr>
      </w:pPr>
    </w:p>
    <w:p w14:paraId="2FC78D9A" w14:textId="77777777" w:rsidR="006937F9" w:rsidRPr="00FC72D1" w:rsidRDefault="006937F9" w:rsidP="003C1DE6">
      <w:pPr>
        <w:spacing w:after="0" w:line="360" w:lineRule="auto"/>
        <w:rPr>
          <w:rFonts w:ascii="Arial" w:hAnsi="Arial" w:cs="Arial"/>
          <w:sz w:val="22"/>
          <w:szCs w:val="22"/>
        </w:rPr>
      </w:pPr>
    </w:p>
    <w:p w14:paraId="54D0EE57" w14:textId="77777777" w:rsidR="006937F9" w:rsidRPr="00FC72D1" w:rsidRDefault="006937F9" w:rsidP="003C1DE6">
      <w:pPr>
        <w:spacing w:after="0" w:line="360" w:lineRule="auto"/>
        <w:rPr>
          <w:rFonts w:ascii="Arial" w:hAnsi="Arial" w:cs="Arial"/>
          <w:sz w:val="22"/>
          <w:szCs w:val="22"/>
        </w:rPr>
      </w:pPr>
    </w:p>
    <w:p w14:paraId="34E41CFE" w14:textId="77777777" w:rsidR="006937F9" w:rsidRPr="00FC72D1" w:rsidRDefault="006937F9" w:rsidP="003C1DE6">
      <w:pPr>
        <w:spacing w:after="0" w:line="360" w:lineRule="auto"/>
        <w:rPr>
          <w:rFonts w:ascii="Arial" w:hAnsi="Arial" w:cs="Arial"/>
          <w:sz w:val="22"/>
          <w:szCs w:val="22"/>
        </w:rPr>
      </w:pPr>
    </w:p>
    <w:p w14:paraId="5D96B947" w14:textId="77777777" w:rsidR="006937F9" w:rsidRPr="00FC72D1" w:rsidRDefault="006937F9" w:rsidP="003C1DE6">
      <w:pPr>
        <w:spacing w:after="0" w:line="360" w:lineRule="auto"/>
        <w:rPr>
          <w:rFonts w:ascii="Arial" w:hAnsi="Arial" w:cs="Arial"/>
          <w:sz w:val="22"/>
          <w:szCs w:val="22"/>
        </w:rPr>
      </w:pPr>
    </w:p>
    <w:p w14:paraId="391EF767" w14:textId="77777777" w:rsidR="006937F9" w:rsidRPr="00FC72D1" w:rsidRDefault="006937F9" w:rsidP="003C1DE6">
      <w:pPr>
        <w:spacing w:after="0" w:line="360" w:lineRule="auto"/>
        <w:rPr>
          <w:rFonts w:ascii="Arial" w:hAnsi="Arial" w:cs="Arial"/>
          <w:sz w:val="22"/>
          <w:szCs w:val="22"/>
        </w:rPr>
      </w:pPr>
    </w:p>
    <w:p w14:paraId="52CF427A" w14:textId="77777777" w:rsidR="00364B30" w:rsidRDefault="00364B30" w:rsidP="003C1DE6">
      <w:pPr>
        <w:spacing w:after="0" w:line="360" w:lineRule="auto"/>
        <w:rPr>
          <w:rFonts w:ascii="Arial" w:hAnsi="Arial" w:cs="Arial"/>
          <w:sz w:val="22"/>
          <w:szCs w:val="22"/>
          <w:lang w:val="en-IN"/>
        </w:rPr>
      </w:pPr>
    </w:p>
    <w:p w14:paraId="5A36AA53" w14:textId="77777777" w:rsidR="00364B30" w:rsidRDefault="00364B30" w:rsidP="003C1DE6">
      <w:pPr>
        <w:spacing w:after="0" w:line="360" w:lineRule="auto"/>
        <w:rPr>
          <w:rFonts w:ascii="Arial" w:hAnsi="Arial" w:cs="Arial"/>
          <w:sz w:val="22"/>
          <w:szCs w:val="22"/>
          <w:lang w:val="en-IN"/>
        </w:rPr>
      </w:pPr>
    </w:p>
    <w:p w14:paraId="3D29C3FA" w14:textId="77777777" w:rsidR="00364B30" w:rsidRDefault="00364B30" w:rsidP="003C1DE6">
      <w:pPr>
        <w:spacing w:after="0" w:line="360" w:lineRule="auto"/>
        <w:rPr>
          <w:rFonts w:ascii="Arial" w:hAnsi="Arial" w:cs="Arial"/>
          <w:sz w:val="22"/>
          <w:szCs w:val="22"/>
          <w:lang w:val="en-IN"/>
        </w:rPr>
      </w:pPr>
    </w:p>
    <w:p w14:paraId="4BA6D4B9" w14:textId="77777777" w:rsidR="00364B30" w:rsidRDefault="00364B30" w:rsidP="003C1DE6">
      <w:pPr>
        <w:spacing w:after="0" w:line="360" w:lineRule="auto"/>
        <w:rPr>
          <w:rFonts w:ascii="Arial" w:hAnsi="Arial" w:cs="Arial"/>
          <w:sz w:val="22"/>
          <w:szCs w:val="22"/>
          <w:lang w:val="en-IN"/>
        </w:rPr>
      </w:pPr>
    </w:p>
    <w:p w14:paraId="559B7318" w14:textId="065024F7" w:rsidR="003C1DE6" w:rsidRPr="00FC72D1" w:rsidRDefault="003C1DE6" w:rsidP="003C1DE6">
      <w:pPr>
        <w:spacing w:after="0" w:line="360" w:lineRule="auto"/>
        <w:rPr>
          <w:rFonts w:ascii="Arial" w:hAnsi="Arial" w:cs="Arial"/>
          <w:sz w:val="20"/>
          <w:szCs w:val="20"/>
        </w:rPr>
      </w:pPr>
      <w:r w:rsidRPr="00FC72D1">
        <w:rPr>
          <w:rFonts w:ascii="Arial" w:hAnsi="Arial" w:cs="Arial"/>
          <w:sz w:val="22"/>
          <w:szCs w:val="22"/>
        </w:rPr>
        <w:t xml:space="preserve">Figure 3: </w:t>
      </w:r>
      <w:r w:rsidRPr="00FC72D1">
        <w:rPr>
          <w:rFonts w:ascii="Arial" w:hAnsi="Arial" w:cs="Arial"/>
          <w:sz w:val="20"/>
          <w:szCs w:val="20"/>
        </w:rPr>
        <w:t>Identification of Significant Trends</w:t>
      </w:r>
    </w:p>
    <w:p w14:paraId="479B4D6A" w14:textId="77777777" w:rsidR="003C1DE6" w:rsidRPr="00FC72D1" w:rsidRDefault="003C1DE6" w:rsidP="003C1DE6">
      <w:pPr>
        <w:spacing w:after="0" w:line="360" w:lineRule="auto"/>
        <w:rPr>
          <w:rFonts w:ascii="Arial" w:hAnsi="Arial" w:cs="Arial"/>
          <w:sz w:val="22"/>
          <w:szCs w:val="22"/>
        </w:rPr>
      </w:pPr>
      <w:r w:rsidRPr="00FC72D1">
        <w:rPr>
          <w:rFonts w:ascii="Arial" w:hAnsi="Arial" w:cs="Arial"/>
          <w:sz w:val="20"/>
          <w:szCs w:val="20"/>
        </w:rPr>
        <w:t>Source: ANAM data (1992–2022</w:t>
      </w:r>
      <w:r w:rsidRPr="00FC72D1">
        <w:rPr>
          <w:rFonts w:ascii="Arial" w:hAnsi="Arial" w:cs="Arial"/>
          <w:sz w:val="22"/>
          <w:szCs w:val="22"/>
        </w:rPr>
        <w:t>)</w:t>
      </w:r>
    </w:p>
    <w:p w14:paraId="61AF9AF4" w14:textId="77777777" w:rsidR="0068438F" w:rsidRPr="00FC72D1" w:rsidRDefault="0068438F" w:rsidP="006937F9">
      <w:pPr>
        <w:spacing w:after="0" w:line="360" w:lineRule="auto"/>
        <w:jc w:val="both"/>
        <w:rPr>
          <w:rFonts w:ascii="Arial" w:hAnsi="Arial" w:cs="Arial"/>
          <w:sz w:val="20"/>
          <w:szCs w:val="20"/>
        </w:rPr>
      </w:pPr>
      <w:r w:rsidRPr="00FC72D1">
        <w:rPr>
          <w:rFonts w:ascii="Arial" w:hAnsi="Arial" w:cs="Arial"/>
          <w:sz w:val="20"/>
          <w:szCs w:val="20"/>
        </w:rPr>
        <w:t>An analysis of meteorological data from the municipality of Loumbila over a 30-year period was conducted using the Mann-Kendall test and Sen’s slope method. It examines four key climatic factors: temperature, potential evapotranspiration (PET), relative humidity, and wind speed. These factors have a significant impact on water availability and the productivity of vegetable farming systems in Sahelian regions.</w:t>
      </w:r>
    </w:p>
    <w:p w14:paraId="28D86313" w14:textId="77777777" w:rsidR="0068438F" w:rsidRPr="00FC72D1" w:rsidRDefault="0068438F" w:rsidP="006937F9">
      <w:pPr>
        <w:spacing w:after="0" w:line="360" w:lineRule="auto"/>
        <w:jc w:val="both"/>
        <w:rPr>
          <w:rFonts w:ascii="Arial" w:hAnsi="Arial" w:cs="Arial"/>
          <w:sz w:val="20"/>
          <w:szCs w:val="20"/>
        </w:rPr>
      </w:pPr>
      <w:r w:rsidRPr="00FC72D1">
        <w:rPr>
          <w:rFonts w:ascii="Arial" w:hAnsi="Arial" w:cs="Arial"/>
          <w:sz w:val="20"/>
          <w:szCs w:val="20"/>
        </w:rPr>
        <w:t>The data first indicate a gradual rise in average temperature, corroborated by a positive Sen slope. This trend is consistent with findings of regional warming in Burkina Faso (Bambara, D., Sawadogo, J., Kaboré, O., &amp; Bilgo, A., 2019). Rising temperatures affect various physiological processes in plants, including photosynthesis and transpiration. They can also shorten crop cycles and increase water requirements (Adra, F., 2017). In this context, it is essential to manage water resources to maintain the productivity of vegetable farms (Yameogo, J., 2025).</w:t>
      </w:r>
    </w:p>
    <w:p w14:paraId="4C39370F"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Potential evapotranspiration shows a slight increase, although fluctuations remain modest. This increase reflects a growing demand for water due to climate change. Indeed, PEV represents the degree of atmospheric exposure to which crops are subjected (Dancette, C., 1983). This increase, although moderate, coupled with rising temperatures, is likely to increase the water needs of plantations. PEW therefore proves to be an essential indicator for assessing irrigation needs and guiding water use in vegetable farming systems in Loumbila (Kodja, D. J., 2018).</w:t>
      </w:r>
    </w:p>
    <w:p w14:paraId="4A022885"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lastRenderedPageBreak/>
        <w:t>Furthermore, there is significant interannual variability in relative humidity, accompanied by a general downward trend. This decrease increases atmospheric evaporation demand and stimulates the evaporation of water from the soil and vegetation. It can therefore amplify water stress on crops, particularly during periods of intense heat (Meridja, S., 2011).</w:t>
      </w:r>
    </w:p>
    <w:p w14:paraId="4FD9551A"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There is also a moderate trend toward an increase in average wind speed. Stronger airflow promotes cooling of the air above crops and amplifies water losses through evaporation and transpiration. This process facilitates soil drying and increases plant water demand (Ta, A.-N., 2009).</w:t>
      </w:r>
    </w:p>
    <w:p w14:paraId="71B473A9"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Overall, these climate changes are contributing to a worsening water deficit in the study region. Increased heat and wind, coupled with a decrease in relative humidity and an increase in ETP, exacerbate water losses in agricultural systems. In the Sahelian context, where water remains a scarce resource, this situation poses a major challenge for vegetable production (Bognini, S., 2011).</w:t>
      </w:r>
    </w:p>
    <w:p w14:paraId="32C61C2C"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In this context, water management tools are essential. Reference evapotranspiration (ET</w:t>
      </w:r>
      <w:r w:rsidRPr="00FC72D1">
        <w:rPr>
          <w:rFonts w:ascii="Cambria Math" w:hAnsi="Cambria Math" w:cs="Cambria Math"/>
          <w:sz w:val="20"/>
          <w:szCs w:val="20"/>
        </w:rPr>
        <w:t>₀</w:t>
      </w:r>
      <w:r w:rsidRPr="00FC72D1">
        <w:rPr>
          <w:rFonts w:ascii="Arial" w:hAnsi="Arial" w:cs="Arial"/>
          <w:sz w:val="20"/>
          <w:szCs w:val="20"/>
        </w:rPr>
        <w:t>) can be estimated using the Penman-Monteith model. In a hot and windy climate, this results in more significant water losses. Consequently, crops require a greater water supply to sustain their growth. Inappropriate irrigation can increase water stress and reduce agricultural productivity (Debba A., et al., 2012).</w:t>
      </w:r>
    </w:p>
    <w:p w14:paraId="75338E89" w14:textId="77777777" w:rsidR="0068438F" w:rsidRPr="00FC72D1" w:rsidRDefault="0068438F" w:rsidP="006937F9">
      <w:pPr>
        <w:spacing w:after="0"/>
        <w:jc w:val="both"/>
        <w:rPr>
          <w:rFonts w:ascii="Arial" w:hAnsi="Arial" w:cs="Arial"/>
          <w:sz w:val="20"/>
          <w:szCs w:val="20"/>
        </w:rPr>
      </w:pPr>
      <w:r w:rsidRPr="00FC72D1">
        <w:rPr>
          <w:rFonts w:ascii="Arial" w:hAnsi="Arial" w:cs="Arial"/>
          <w:sz w:val="20"/>
          <w:szCs w:val="20"/>
        </w:rPr>
        <w:t>Furthermore, numerous studies indicate that rising temperatures and evapotranspiration, combined with rainfall variability, can increase the frequency of droughts. These conditions prolong drought periods and weaken crop systems, particularly water-dependent vegetables (Ndaw, N., et al., 2025).</w:t>
      </w:r>
    </w:p>
    <w:p w14:paraId="7323BDBE" w14:textId="77777777" w:rsidR="0068438F" w:rsidRPr="00FC72D1" w:rsidRDefault="0068438F" w:rsidP="006937F9">
      <w:pPr>
        <w:spacing w:after="0"/>
        <w:jc w:val="both"/>
        <w:rPr>
          <w:rFonts w:ascii="Arial" w:hAnsi="Arial" w:cs="Arial"/>
          <w:sz w:val="22"/>
          <w:szCs w:val="22"/>
        </w:rPr>
      </w:pPr>
      <w:r w:rsidRPr="00FC72D1">
        <w:rPr>
          <w:rFonts w:ascii="Arial" w:hAnsi="Arial" w:cs="Arial"/>
          <w:sz w:val="20"/>
          <w:szCs w:val="20"/>
        </w:rPr>
        <w:t>In summary, the study reveals a gradual rise in temperatures, a modest increase in evapotranspiration and wind speed, and a decrease in relative humidity in Loumbila. These changes may exacerbate water shortages for agriculture. In light of these changes, it is essential to modify agricultural practices, particularly through improved irrigation, the use of water-stress-tolerant varieties, and better water resource management (Ibrahim, B., 2012).</w:t>
      </w:r>
    </w:p>
    <w:p w14:paraId="2B6AB54B" w14:textId="77777777" w:rsidR="00224A89" w:rsidRPr="00FC72D1" w:rsidRDefault="00224A89" w:rsidP="00224A89">
      <w:pPr>
        <w:rPr>
          <w:rFonts w:ascii="Arial" w:hAnsi="Arial" w:cs="Arial"/>
          <w:sz w:val="22"/>
          <w:szCs w:val="22"/>
        </w:rPr>
      </w:pPr>
      <w:r w:rsidRPr="00FC72D1">
        <w:rPr>
          <w:rFonts w:ascii="Arial" w:hAnsi="Arial" w:cs="Arial"/>
          <w:sz w:val="22"/>
          <w:szCs w:val="22"/>
        </w:rPr>
        <w:t>2. Results and Discussion</w:t>
      </w:r>
    </w:p>
    <w:p w14:paraId="37B9B731" w14:textId="6F821D05" w:rsidR="00224A89" w:rsidRPr="00FC72D1" w:rsidRDefault="006937F9" w:rsidP="00224A89">
      <w:pPr>
        <w:rPr>
          <w:rFonts w:ascii="Arial" w:hAnsi="Arial" w:cs="Arial"/>
          <w:sz w:val="20"/>
          <w:szCs w:val="20"/>
        </w:rPr>
      </w:pPr>
      <w:r w:rsidRPr="00FC72D1">
        <w:rPr>
          <w:rFonts w:ascii="Arial" w:hAnsi="Arial" w:cs="Arial"/>
          <w:sz w:val="20"/>
          <w:szCs w:val="20"/>
        </w:rPr>
        <w:t xml:space="preserve">2.1. RESULTS </w:t>
      </w:r>
    </w:p>
    <w:p w14:paraId="6AB5AE70" w14:textId="36A892D0" w:rsidR="00224A89" w:rsidRPr="00FC72D1" w:rsidRDefault="006937F9" w:rsidP="00224A89">
      <w:pPr>
        <w:rPr>
          <w:rFonts w:ascii="Arial" w:hAnsi="Arial" w:cs="Arial"/>
          <w:sz w:val="20"/>
          <w:szCs w:val="20"/>
        </w:rPr>
      </w:pPr>
      <w:r w:rsidRPr="00FC72D1">
        <w:rPr>
          <w:rFonts w:ascii="Arial" w:hAnsi="Arial" w:cs="Arial"/>
          <w:sz w:val="20"/>
          <w:szCs w:val="20"/>
        </w:rPr>
        <w:t>2.1.1. TEMPERATURE TRENDS</w:t>
      </w:r>
    </w:p>
    <w:p w14:paraId="4FD3942D" w14:textId="2FA58EB5" w:rsidR="00224A89" w:rsidRPr="00FC72D1" w:rsidRDefault="00224A89" w:rsidP="006937F9">
      <w:pPr>
        <w:spacing w:after="0" w:line="360" w:lineRule="auto"/>
        <w:jc w:val="both"/>
        <w:rPr>
          <w:rFonts w:ascii="Arial" w:hAnsi="Arial" w:cs="Arial"/>
          <w:sz w:val="20"/>
          <w:szCs w:val="20"/>
        </w:rPr>
      </w:pPr>
      <w:r w:rsidRPr="00FC72D1">
        <w:rPr>
          <w:rFonts w:ascii="Arial" w:hAnsi="Arial" w:cs="Arial"/>
          <w:noProof/>
          <w:lang w:eastAsia="fr-FR"/>
        </w:rPr>
        <mc:AlternateContent>
          <mc:Choice Requires="wps">
            <w:drawing>
              <wp:anchor distT="0" distB="0" distL="114300" distR="114300" simplePos="0" relativeHeight="251681792" behindDoc="1" locked="0" layoutInCell="1" allowOverlap="1" wp14:anchorId="65028589" wp14:editId="1FF3D871">
                <wp:simplePos x="0" y="0"/>
                <wp:positionH relativeFrom="margin">
                  <wp:align>left</wp:align>
                </wp:positionH>
                <wp:positionV relativeFrom="paragraph">
                  <wp:posOffset>7404735</wp:posOffset>
                </wp:positionV>
                <wp:extent cx="5695950" cy="171450"/>
                <wp:effectExtent l="0" t="0" r="0" b="0"/>
                <wp:wrapTight wrapText="bothSides">
                  <wp:wrapPolygon edited="0">
                    <wp:start x="0" y="0"/>
                    <wp:lineTo x="0" y="19200"/>
                    <wp:lineTo x="21528" y="19200"/>
                    <wp:lineTo x="21528" y="0"/>
                    <wp:lineTo x="0" y="0"/>
                  </wp:wrapPolygon>
                </wp:wrapTight>
                <wp:docPr id="360330055" name="Zone de texte 1"/>
                <wp:cNvGraphicFramePr/>
                <a:graphic xmlns:a="http://schemas.openxmlformats.org/drawingml/2006/main">
                  <a:graphicData uri="http://schemas.microsoft.com/office/word/2010/wordprocessingShape">
                    <wps:wsp>
                      <wps:cNvSpPr txBox="1"/>
                      <wps:spPr>
                        <a:xfrm>
                          <a:off x="0" y="0"/>
                          <a:ext cx="5695950" cy="171450"/>
                        </a:xfrm>
                        <a:prstGeom prst="rect">
                          <a:avLst/>
                        </a:prstGeom>
                        <a:solidFill>
                          <a:prstClr val="white"/>
                        </a:solidFill>
                        <a:ln>
                          <a:noFill/>
                        </a:ln>
                      </wps:spPr>
                      <wps:txbx>
                        <w:txbxContent>
                          <w:p w14:paraId="69D0B087" w14:textId="74F73AA4" w:rsidR="00224A89" w:rsidRPr="006937F9" w:rsidRDefault="00224A89" w:rsidP="00224A89">
                            <w:pPr>
                              <w:pStyle w:val="Caption"/>
                              <w:outlineLvl w:val="5"/>
                              <w:rPr>
                                <w:rFonts w:ascii="Arial Black" w:eastAsia="Calibri" w:hAnsi="Arial Black" w:cs="Times New Roman"/>
                                <w:i w:val="0"/>
                                <w:iCs w:val="0"/>
                                <w:noProof/>
                                <w:color w:val="auto"/>
                                <w:sz w:val="20"/>
                                <w:szCs w:val="20"/>
                                <w:lang w:eastAsia="fr-FR"/>
                              </w:rPr>
                            </w:pPr>
                            <w:bookmarkStart w:id="5" w:name="_Toc210155312"/>
                            <w:r w:rsidRPr="006937F9">
                              <w:rPr>
                                <w:rFonts w:ascii="Arial Black" w:hAnsi="Arial Black"/>
                                <w:b/>
                                <w:bCs/>
                                <w:i w:val="0"/>
                                <w:iCs w:val="0"/>
                                <w:color w:val="auto"/>
                                <w:sz w:val="22"/>
                                <w:szCs w:val="22"/>
                              </w:rPr>
                              <w:t xml:space="preserve">        </w:t>
                            </w:r>
                            <w:bookmarkEnd w:id="5"/>
                            <w:r w:rsidRPr="006937F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4</w:t>
                            </w:r>
                            <w:r w:rsidRPr="006937F9">
                              <w:rPr>
                                <w:rFonts w:ascii="Arial Black" w:hAnsi="Arial Black"/>
                                <w:b/>
                                <w:bCs/>
                                <w:i w:val="0"/>
                                <w:iCs w:val="0"/>
                                <w:color w:val="auto"/>
                                <w:sz w:val="20"/>
                                <w:szCs w:val="20"/>
                              </w:rPr>
                              <w:t>: Temperature Trends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28589" id="_x0000_t202" coordsize="21600,21600" o:spt="202" path="m,l,21600r21600,l21600,xe">
                <v:stroke joinstyle="miter"/>
                <v:path gradientshapeok="t" o:connecttype="rect"/>
              </v:shapetype>
              <v:shape id="Zone de texte 1" o:spid="_x0000_s1030" type="#_x0000_t202" style="position:absolute;left:0;text-align:left;margin-left:0;margin-top:583.05pt;width:448.5pt;height:13.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" stroked="f">
                <v:textbox inset="0,0,0,0">
                  <w:txbxContent>
                    <w:p w14:paraId="69D0B087" w14:textId="74F73AA4" w:rsidR="00224A89" w:rsidRPr="006937F9" w:rsidRDefault="00224A89" w:rsidP="00224A89">
                      <w:pPr>
                        <w:pStyle w:val="Caption"/>
                        <w:outlineLvl w:val="5"/>
                        <w:rPr>
                          <w:rFonts w:ascii="Arial Black" w:eastAsia="Calibri" w:hAnsi="Arial Black" w:cs="Times New Roman"/>
                          <w:i w:val="0"/>
                          <w:iCs w:val="0"/>
                          <w:noProof/>
                          <w:color w:val="auto"/>
                          <w:sz w:val="20"/>
                          <w:szCs w:val="20"/>
                          <w:lang w:eastAsia="fr-FR"/>
                        </w:rPr>
                      </w:pPr>
                      <w:bookmarkStart w:id="6" w:name="_Toc210155312"/>
                      <w:r w:rsidRPr="006937F9">
                        <w:rPr>
                          <w:rFonts w:ascii="Arial Black" w:hAnsi="Arial Black"/>
                          <w:b/>
                          <w:bCs/>
                          <w:i w:val="0"/>
                          <w:iCs w:val="0"/>
                          <w:color w:val="auto"/>
                          <w:sz w:val="22"/>
                          <w:szCs w:val="22"/>
                        </w:rPr>
                        <w:t xml:space="preserve">        </w:t>
                      </w:r>
                      <w:bookmarkEnd w:id="6"/>
                      <w:r w:rsidRPr="006937F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4</w:t>
                      </w:r>
                      <w:r w:rsidRPr="006937F9">
                        <w:rPr>
                          <w:rFonts w:ascii="Arial Black" w:hAnsi="Arial Black"/>
                          <w:b/>
                          <w:bCs/>
                          <w:i w:val="0"/>
                          <w:iCs w:val="0"/>
                          <w:color w:val="auto"/>
                          <w:sz w:val="20"/>
                          <w:szCs w:val="20"/>
                        </w:rPr>
                        <w:t>: Temperature Trends</w:t>
                      </w:r>
                    </w:p>
                  </w:txbxContent>
                </v:textbox>
                <w10:wrap type="tight" anchorx="margin"/>
              </v:shape>
            </w:pict>
          </mc:Fallback>
        </mc:AlternateContent>
      </w:r>
      <w:r w:rsidRPr="00FC72D1">
        <w:rPr>
          <w:rFonts w:ascii="Arial" w:eastAsia="Calibri" w:hAnsi="Arial" w:cs="Arial"/>
          <w:noProof/>
          <w:sz w:val="22"/>
          <w:lang w:eastAsia="fr-FR"/>
        </w:rPr>
        <w:drawing>
          <wp:anchor distT="0" distB="0" distL="114300" distR="114300" simplePos="0" relativeHeight="251679744" behindDoc="1" locked="0" layoutInCell="1" allowOverlap="1" wp14:anchorId="59580639" wp14:editId="7FF64360">
            <wp:simplePos x="0" y="0"/>
            <wp:positionH relativeFrom="margin">
              <wp:align>left</wp:align>
            </wp:positionH>
            <wp:positionV relativeFrom="paragraph">
              <wp:posOffset>4860290</wp:posOffset>
            </wp:positionV>
            <wp:extent cx="5762625" cy="2362200"/>
            <wp:effectExtent l="0" t="0" r="9525" b="0"/>
            <wp:wrapTight wrapText="bothSides">
              <wp:wrapPolygon edited="0">
                <wp:start x="0" y="0"/>
                <wp:lineTo x="0" y="21426"/>
                <wp:lineTo x="21564" y="21426"/>
                <wp:lineTo x="21564" y="0"/>
                <wp:lineTo x="0" y="0"/>
              </wp:wrapPolygon>
            </wp:wrapTight>
            <wp:docPr id="1207570890" name="Graphique 1">
              <a:extLst xmlns:a="http://schemas.openxmlformats.org/drawingml/2006/main">
                <a:ext uri="{FF2B5EF4-FFF2-40B4-BE49-F238E27FC236}">
                  <a16:creationId xmlns:a16="http://schemas.microsoft.com/office/drawing/2014/main" id="{18E711ED-3FD1-AB4E-808C-8497EA035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FC72D1">
        <w:rPr>
          <w:rFonts w:ascii="Arial" w:hAnsi="Arial" w:cs="Arial"/>
          <w:sz w:val="20"/>
          <w:szCs w:val="20"/>
        </w:rPr>
        <w:t xml:space="preserve">In the Sahelian context, temperatures play a crucial role in agroecological balance and farming practices, particularly for vegetable crops, which are sensitive to heat and water stress (Bognini, S., 2011; Kpadonou, GE et al., 2019). In Loumbila, an analysis of the past three decades reveals a clear and continuous increase in annual temperatures. The trend in the annual average temperature, which rose from 28.04°C in 1992 to 29.78°C in 2021, shows an increase of 1.74°C over this period. This reinforces the hypothesis of gradual warming that is detrimental to vegetable farming systems (Blein, R. et al., 2008). This gradual rise in temperature is not without impact on vegetation cycles, water regulation, and crop yields. Temperatures generally peak between March and May, while the coolest </w:t>
      </w:r>
      <w:r w:rsidRPr="00FC72D1">
        <w:rPr>
          <w:rFonts w:ascii="Arial" w:hAnsi="Arial" w:cs="Arial"/>
          <w:sz w:val="20"/>
          <w:szCs w:val="20"/>
        </w:rPr>
        <w:lastRenderedPageBreak/>
        <w:t xml:space="preserve">months, which fall in the middle of the dry season, occur from December to January (Bognini, S., 2011). The year-to-year variations, which are now being recorded, also highlight significant heat waves that could intensify water stress or accelerate the ripening stages of crops, directly affecting agricultural yields (Kpadonou, G.E. et al., 2019). Figure </w:t>
      </w:r>
      <w:r w:rsidR="00ED6641">
        <w:rPr>
          <w:rFonts w:ascii="Arial" w:hAnsi="Arial" w:cs="Arial"/>
          <w:sz w:val="20"/>
          <w:szCs w:val="20"/>
          <w:lang w:val="en-IN"/>
        </w:rPr>
        <w:t>4</w:t>
      </w:r>
      <w:r w:rsidRPr="00FC72D1">
        <w:rPr>
          <w:rFonts w:ascii="Arial" w:hAnsi="Arial" w:cs="Arial"/>
          <w:sz w:val="20"/>
          <w:szCs w:val="20"/>
        </w:rPr>
        <w:t xml:space="preserve"> concisely presents this variation in temperatures in Loumbila, highlights the upward trend, and underscores the importance of monitoring this index to understand local climate dynamics and their impacts on vegetable production.</w:t>
      </w:r>
    </w:p>
    <w:p w14:paraId="617F4369" w14:textId="120F2B80" w:rsidR="00224A89" w:rsidRPr="00FC72D1" w:rsidRDefault="00224A89" w:rsidP="00224A89">
      <w:pPr>
        <w:rPr>
          <w:rFonts w:ascii="Arial" w:hAnsi="Arial" w:cs="Arial"/>
          <w:sz w:val="20"/>
          <w:szCs w:val="20"/>
        </w:rPr>
      </w:pPr>
      <w:r w:rsidRPr="00FC72D1">
        <w:rPr>
          <w:rFonts w:ascii="Arial" w:hAnsi="Arial" w:cs="Arial"/>
          <w:sz w:val="20"/>
          <w:szCs w:val="20"/>
        </w:rPr>
        <w:t xml:space="preserve">     Source: Analysis of ANAM data (2022)</w:t>
      </w:r>
    </w:p>
    <w:p w14:paraId="5678B56D" w14:textId="77BC8953" w:rsidR="004524CD" w:rsidRPr="00FC72D1" w:rsidRDefault="006937F9" w:rsidP="004524CD">
      <w:pPr>
        <w:rPr>
          <w:rFonts w:ascii="Arial" w:hAnsi="Arial" w:cs="Arial"/>
          <w:sz w:val="20"/>
          <w:szCs w:val="20"/>
        </w:rPr>
      </w:pPr>
      <w:r w:rsidRPr="00FC72D1">
        <w:rPr>
          <w:rFonts w:ascii="Arial" w:hAnsi="Arial" w:cs="Arial"/>
          <w:sz w:val="20"/>
          <w:szCs w:val="20"/>
        </w:rPr>
        <w:t>2.1.2. TRENDS IN POTENTIAL EVAPOTRANSPIRATION (PET)</w:t>
      </w:r>
    </w:p>
    <w:p w14:paraId="220246EC" w14:textId="782D3D08" w:rsidR="004524CD" w:rsidRPr="00FC72D1" w:rsidRDefault="004524CD" w:rsidP="00941061">
      <w:pPr>
        <w:spacing w:after="0"/>
        <w:jc w:val="both"/>
        <w:rPr>
          <w:rFonts w:ascii="Arial" w:hAnsi="Arial" w:cs="Arial"/>
          <w:sz w:val="20"/>
          <w:szCs w:val="20"/>
        </w:rPr>
      </w:pPr>
      <w:r w:rsidRPr="00FC72D1">
        <w:rPr>
          <w:rFonts w:ascii="Arial" w:hAnsi="Arial" w:cs="Arial"/>
          <w:sz w:val="20"/>
          <w:szCs w:val="20"/>
        </w:rPr>
        <w:t xml:space="preserve">Potential evapotranspiration (PET) is a key indicator for assessing the water status of crops in a Sahelian region such as Loumbila. It measures the amount of water that is lost from the soil and plants under ideal humidity conditions, thereby providing a key benchmark for evaluating the irrigation needs of agricultural systems. Over the 1992–2022 period, the data show a marked increase in PEW, with an annual average of 2,121.9 mm. The annual minimum was observed in 2005 at 1,878.4 mm, while 2020 recorded a peak of 2,388.7 mm, reflecting increasingly arid conditions and growing pressure on regional water resources. This upward trend in evapotranspiration is summarized in Figure </w:t>
      </w:r>
      <w:r w:rsidR="00ED6641">
        <w:rPr>
          <w:rFonts w:ascii="Arial" w:hAnsi="Arial" w:cs="Arial"/>
          <w:sz w:val="20"/>
          <w:szCs w:val="20"/>
          <w:lang w:val="en-IN"/>
        </w:rPr>
        <w:t>5</w:t>
      </w:r>
      <w:r w:rsidRPr="00FC72D1">
        <w:rPr>
          <w:rFonts w:ascii="Arial" w:hAnsi="Arial" w:cs="Arial"/>
          <w:sz w:val="20"/>
          <w:szCs w:val="20"/>
        </w:rPr>
        <w:t>, which highlights the annual evolution of ETP in Loumbila.</w:t>
      </w:r>
    </w:p>
    <w:p w14:paraId="56F1DE25" w14:textId="4B896632" w:rsidR="00224A89" w:rsidRPr="00FC72D1" w:rsidRDefault="00224A89" w:rsidP="00224A89">
      <w:pPr>
        <w:rPr>
          <w:rFonts w:ascii="Arial" w:hAnsi="Arial" w:cs="Arial"/>
          <w:sz w:val="22"/>
          <w:szCs w:val="22"/>
        </w:rPr>
      </w:pPr>
    </w:p>
    <w:p w14:paraId="1794472B" w14:textId="257A531A" w:rsidR="0068438F" w:rsidRPr="00FC72D1" w:rsidRDefault="004524CD" w:rsidP="0068438F">
      <w:pPr>
        <w:rPr>
          <w:rFonts w:ascii="Arial" w:hAnsi="Arial" w:cs="Arial"/>
          <w:sz w:val="22"/>
          <w:szCs w:val="22"/>
        </w:rPr>
      </w:pPr>
      <w:r w:rsidRPr="00FC72D1">
        <w:rPr>
          <w:rFonts w:ascii="Arial" w:eastAsia="Calibri" w:hAnsi="Arial" w:cs="Arial"/>
          <w:noProof/>
          <w:sz w:val="22"/>
          <w:szCs w:val="22"/>
          <w:lang w:eastAsia="fr-FR"/>
        </w:rPr>
        <w:drawing>
          <wp:anchor distT="0" distB="0" distL="114300" distR="114300" simplePos="0" relativeHeight="251683840" behindDoc="1" locked="0" layoutInCell="1" allowOverlap="1" wp14:anchorId="60D2E04A" wp14:editId="78FBA19E">
            <wp:simplePos x="0" y="0"/>
            <wp:positionH relativeFrom="margin">
              <wp:align>left</wp:align>
            </wp:positionH>
            <wp:positionV relativeFrom="paragraph">
              <wp:posOffset>247015</wp:posOffset>
            </wp:positionV>
            <wp:extent cx="5283200" cy="2714625"/>
            <wp:effectExtent l="0" t="0" r="12700" b="9525"/>
            <wp:wrapTight wrapText="bothSides">
              <wp:wrapPolygon edited="0">
                <wp:start x="0" y="0"/>
                <wp:lineTo x="0" y="21524"/>
                <wp:lineTo x="21574" y="21524"/>
                <wp:lineTo x="21574" y="0"/>
                <wp:lineTo x="0" y="0"/>
              </wp:wrapPolygon>
            </wp:wrapTight>
            <wp:docPr id="1452781937" name="Graphique 1">
              <a:extLst xmlns:a="http://schemas.openxmlformats.org/drawingml/2006/main">
                <a:ext uri="{FF2B5EF4-FFF2-40B4-BE49-F238E27FC236}">
                  <a16:creationId xmlns:a16="http://schemas.microsoft.com/office/drawing/2014/main" id="{A257AA51-EE6F-A52B-B84A-B8898A8991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55F013B5" w14:textId="77777777" w:rsidR="0068438F" w:rsidRPr="00FC72D1" w:rsidRDefault="0068438F" w:rsidP="0068438F">
      <w:pPr>
        <w:rPr>
          <w:rFonts w:ascii="Arial" w:hAnsi="Arial" w:cs="Arial"/>
          <w:sz w:val="22"/>
          <w:szCs w:val="22"/>
        </w:rPr>
      </w:pPr>
    </w:p>
    <w:p w14:paraId="5FA297AA" w14:textId="77777777" w:rsidR="0068438F" w:rsidRPr="00FC72D1" w:rsidRDefault="0068438F" w:rsidP="0068438F">
      <w:pPr>
        <w:rPr>
          <w:rFonts w:ascii="Arial" w:hAnsi="Arial" w:cs="Arial"/>
          <w:sz w:val="22"/>
          <w:szCs w:val="22"/>
        </w:rPr>
      </w:pPr>
    </w:p>
    <w:p w14:paraId="105DA0FA" w14:textId="77777777" w:rsidR="0068438F" w:rsidRPr="00FC72D1" w:rsidRDefault="0068438F" w:rsidP="0068438F">
      <w:pPr>
        <w:rPr>
          <w:rFonts w:ascii="Arial" w:hAnsi="Arial" w:cs="Arial"/>
          <w:sz w:val="22"/>
          <w:szCs w:val="22"/>
        </w:rPr>
      </w:pPr>
    </w:p>
    <w:p w14:paraId="0EA736A9" w14:textId="2679DD98" w:rsidR="003C1DE6" w:rsidRPr="00FC72D1" w:rsidRDefault="004524CD" w:rsidP="0068438F">
      <w:pPr>
        <w:rPr>
          <w:rFonts w:ascii="Arial" w:hAnsi="Arial" w:cs="Arial"/>
          <w:sz w:val="22"/>
          <w:szCs w:val="22"/>
        </w:rPr>
      </w:pPr>
      <w:r w:rsidRPr="00FC72D1">
        <w:rPr>
          <w:rFonts w:ascii="Arial" w:hAnsi="Arial" w:cs="Arial"/>
          <w:b/>
          <w:bCs/>
          <w:noProof/>
          <w:sz w:val="22"/>
          <w:szCs w:val="22"/>
          <w:lang w:eastAsia="fr-FR"/>
        </w:rPr>
        <mc:AlternateContent>
          <mc:Choice Requires="wps">
            <w:drawing>
              <wp:anchor distT="0" distB="0" distL="114300" distR="114300" simplePos="0" relativeHeight="251685888" behindDoc="1" locked="0" layoutInCell="1" allowOverlap="1" wp14:anchorId="2C36DED2" wp14:editId="60279EF2">
                <wp:simplePos x="0" y="0"/>
                <wp:positionH relativeFrom="margin">
                  <wp:align>right</wp:align>
                </wp:positionH>
                <wp:positionV relativeFrom="paragraph">
                  <wp:posOffset>1818640</wp:posOffset>
                </wp:positionV>
                <wp:extent cx="5340350" cy="269875"/>
                <wp:effectExtent l="0" t="0" r="0" b="0"/>
                <wp:wrapTight wrapText="bothSides">
                  <wp:wrapPolygon edited="0">
                    <wp:start x="0" y="0"/>
                    <wp:lineTo x="0" y="19821"/>
                    <wp:lineTo x="21497" y="19821"/>
                    <wp:lineTo x="21497" y="0"/>
                    <wp:lineTo x="0" y="0"/>
                  </wp:wrapPolygon>
                </wp:wrapTight>
                <wp:docPr id="891456100" name="Zone de texte 1"/>
                <wp:cNvGraphicFramePr/>
                <a:graphic xmlns:a="http://schemas.openxmlformats.org/drawingml/2006/main">
                  <a:graphicData uri="http://schemas.microsoft.com/office/word/2010/wordprocessingShape">
                    <wps:wsp>
                      <wps:cNvSpPr txBox="1"/>
                      <wps:spPr>
                        <a:xfrm>
                          <a:off x="0" y="0"/>
                          <a:ext cx="5340350" cy="269875"/>
                        </a:xfrm>
                        <a:prstGeom prst="rect">
                          <a:avLst/>
                        </a:prstGeom>
                        <a:solidFill>
                          <a:prstClr val="white"/>
                        </a:solidFill>
                        <a:ln>
                          <a:noFill/>
                        </a:ln>
                      </wps:spPr>
                      <wps:txbx>
                        <w:txbxContent>
                          <w:p w14:paraId="43F27432" w14:textId="2BC2F04D" w:rsidR="00CA0BCB" w:rsidRPr="00650210" w:rsidRDefault="00CA0BCB" w:rsidP="00CA0BCB">
                            <w:pPr>
                              <w:pStyle w:val="Caption"/>
                              <w:outlineLvl w:val="5"/>
                              <w:rPr>
                                <w:rFonts w:ascii="Arial Black" w:hAnsi="Arial Black"/>
                                <w:b/>
                                <w:bCs/>
                                <w:sz w:val="20"/>
                                <w:szCs w:val="20"/>
                              </w:rPr>
                            </w:pPr>
                            <w:bookmarkStart w:id="7" w:name="_Toc210155313"/>
                            <w:r w:rsidRPr="00650210">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5</w:t>
                            </w:r>
                            <w:r w:rsidR="004524CD" w:rsidRPr="00650210">
                              <w:rPr>
                                <w:rFonts w:ascii="Arial Black" w:hAnsi="Arial Black"/>
                                <w:b/>
                                <w:bCs/>
                                <w:i w:val="0"/>
                                <w:iCs w:val="0"/>
                                <w:color w:val="auto"/>
                                <w:sz w:val="20"/>
                                <w:szCs w:val="20"/>
                              </w:rPr>
                              <w:t xml:space="preserve">: </w:t>
                            </w:r>
                            <w:bookmarkEnd w:id="7"/>
                            <w:r w:rsidRPr="00650210">
                              <w:rPr>
                                <w:rFonts w:ascii="Arial Black" w:hAnsi="Arial Black"/>
                                <w:b/>
                                <w:bCs/>
                                <w:i w:val="0"/>
                                <w:iCs w:val="0"/>
                                <w:color w:val="auto"/>
                                <w:sz w:val="20"/>
                                <w:szCs w:val="20"/>
                              </w:rPr>
                              <w:t>Trends in Potential Evapotranspiration (PET)</w:t>
                            </w:r>
                          </w:p>
                          <w:p w14:paraId="71112111" w14:textId="476085F8" w:rsidR="004524CD" w:rsidRDefault="004524CD" w:rsidP="004524CD">
                            <w:pPr>
                              <w:pStyle w:val="Caption"/>
                              <w:outlineLvl w:val="5"/>
                              <w:rPr>
                                <w:i w:val="0"/>
                                <w:iCs w:val="0"/>
                                <w:color w:val="auto"/>
                                <w:sz w:val="22"/>
                                <w:szCs w:val="22"/>
                              </w:rPr>
                            </w:pPr>
                          </w:p>
                          <w:p w14:paraId="392E8A47" w14:textId="77777777" w:rsidR="004524CD" w:rsidRPr="00A174FE" w:rsidRDefault="004524CD" w:rsidP="004524C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DED2" id="_x0000_s1031" type="#_x0000_t202" style="position:absolute;margin-left:369.3pt;margin-top:143.2pt;width:420.5pt;height:21.25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" stroked="f">
                <v:textbox inset="0,0,0,0">
                  <w:txbxContent>
                    <w:p w14:paraId="43F27432" w14:textId="2BC2F04D" w:rsidR="00CA0BCB" w:rsidRPr="00650210" w:rsidRDefault="00CA0BCB" w:rsidP="00CA0BCB">
                      <w:pPr>
                        <w:pStyle w:val="Caption"/>
                        <w:outlineLvl w:val="5"/>
                        <w:rPr>
                          <w:rFonts w:ascii="Arial Black" w:hAnsi="Arial Black"/>
                          <w:b/>
                          <w:bCs/>
                          <w:sz w:val="20"/>
                          <w:szCs w:val="20"/>
                        </w:rPr>
                      </w:pPr>
                      <w:bookmarkStart w:id="8" w:name="_Toc210155313"/>
                      <w:r w:rsidRPr="00650210">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rPr>
                        <w:t>5</w:t>
                      </w:r>
                      <w:r w:rsidR="004524CD" w:rsidRPr="00650210">
                        <w:rPr>
                          <w:rFonts w:ascii="Arial Black" w:hAnsi="Arial Black"/>
                          <w:b/>
                          <w:bCs/>
                          <w:i w:val="0"/>
                          <w:iCs w:val="0"/>
                          <w:color w:val="auto"/>
                          <w:sz w:val="20"/>
                          <w:szCs w:val="20"/>
                        </w:rPr>
                        <w:t xml:space="preserve">: </w:t>
                      </w:r>
                      <w:bookmarkEnd w:id="8"/>
                      <w:r w:rsidRPr="00650210">
                        <w:rPr>
                          <w:rFonts w:ascii="Arial Black" w:hAnsi="Arial Black"/>
                          <w:b/>
                          <w:bCs/>
                          <w:i w:val="0"/>
                          <w:iCs w:val="0"/>
                          <w:color w:val="auto"/>
                          <w:sz w:val="20"/>
                          <w:szCs w:val="20"/>
                        </w:rPr>
                        <w:t>Trends in Potential Evapotranspiration (PET)</w:t>
                      </w:r>
                    </w:p>
                    <w:p w14:paraId="71112111" w14:textId="476085F8" w:rsidR="004524CD" w:rsidRDefault="004524CD" w:rsidP="004524CD">
                      <w:pPr>
                        <w:pStyle w:val="Caption"/>
                        <w:outlineLvl w:val="5"/>
                        <w:rPr>
                          <w:i w:val="0"/>
                          <w:iCs w:val="0"/>
                          <w:color w:val="auto"/>
                          <w:sz w:val="22"/>
                          <w:szCs w:val="22"/>
                        </w:rPr>
                      </w:pPr>
                    </w:p>
                    <w:p w14:paraId="392E8A47" w14:textId="77777777" w:rsidR="004524CD" w:rsidRPr="00A174FE" w:rsidRDefault="004524CD" w:rsidP="004524CD"/>
                  </w:txbxContent>
                </v:textbox>
                <w10:wrap type="tight" anchorx="margin"/>
              </v:shape>
            </w:pict>
          </mc:Fallback>
        </mc:AlternateContent>
      </w:r>
    </w:p>
    <w:p w14:paraId="543887F7" w14:textId="77777777" w:rsidR="00CA0BCB" w:rsidRPr="00FC72D1" w:rsidRDefault="00CA0BCB" w:rsidP="00CA0BCB">
      <w:pPr>
        <w:rPr>
          <w:rFonts w:ascii="Arial" w:hAnsi="Arial" w:cs="Arial"/>
          <w:sz w:val="22"/>
          <w:szCs w:val="22"/>
        </w:rPr>
      </w:pPr>
    </w:p>
    <w:p w14:paraId="76FB87A4" w14:textId="77777777" w:rsidR="00CA0BCB" w:rsidRPr="00FC72D1" w:rsidRDefault="00CA0BCB" w:rsidP="00CA0BCB">
      <w:pPr>
        <w:rPr>
          <w:rFonts w:ascii="Arial" w:hAnsi="Arial" w:cs="Arial"/>
          <w:sz w:val="22"/>
          <w:szCs w:val="22"/>
        </w:rPr>
      </w:pPr>
    </w:p>
    <w:p w14:paraId="613E8240" w14:textId="77777777" w:rsidR="00CA0BCB" w:rsidRPr="00FC72D1" w:rsidRDefault="00CA0BCB" w:rsidP="00CA0BCB">
      <w:pPr>
        <w:rPr>
          <w:rFonts w:ascii="Arial" w:hAnsi="Arial" w:cs="Arial"/>
          <w:sz w:val="22"/>
          <w:szCs w:val="22"/>
        </w:rPr>
      </w:pPr>
    </w:p>
    <w:p w14:paraId="7304082C" w14:textId="781A8A73" w:rsidR="00CA0BCB" w:rsidRPr="00FC72D1" w:rsidRDefault="00CA0BCB" w:rsidP="00CA0BCB">
      <w:pPr>
        <w:tabs>
          <w:tab w:val="left" w:pos="7215"/>
        </w:tabs>
        <w:ind w:left="720"/>
        <w:rPr>
          <w:rFonts w:ascii="Arial" w:hAnsi="Arial" w:cs="Arial"/>
          <w:sz w:val="20"/>
          <w:szCs w:val="20"/>
        </w:rPr>
      </w:pPr>
      <w:r w:rsidRPr="00FC72D1">
        <w:rPr>
          <w:rFonts w:ascii="Arial" w:hAnsi="Arial" w:cs="Arial"/>
          <w:sz w:val="22"/>
          <w:szCs w:val="22"/>
        </w:rPr>
        <w:t xml:space="preserve">      </w:t>
      </w:r>
      <w:r w:rsidRPr="00FC72D1">
        <w:rPr>
          <w:rFonts w:ascii="Arial" w:hAnsi="Arial" w:cs="Arial"/>
          <w:sz w:val="20"/>
          <w:szCs w:val="20"/>
        </w:rPr>
        <w:t>Source: Analysis of ANAM data (2022)</w:t>
      </w:r>
    </w:p>
    <w:p w14:paraId="477EE694" w14:textId="6657A4A4" w:rsidR="007532A0" w:rsidRPr="00FC72D1" w:rsidRDefault="00941061" w:rsidP="007532A0">
      <w:pPr>
        <w:tabs>
          <w:tab w:val="left" w:pos="7215"/>
        </w:tabs>
        <w:rPr>
          <w:rFonts w:ascii="Arial" w:hAnsi="Arial" w:cs="Arial"/>
          <w:sz w:val="20"/>
          <w:szCs w:val="20"/>
        </w:rPr>
      </w:pPr>
      <w:r w:rsidRPr="00FC72D1">
        <w:rPr>
          <w:rFonts w:ascii="Arial" w:hAnsi="Arial" w:cs="Arial"/>
          <w:sz w:val="20"/>
          <w:szCs w:val="20"/>
        </w:rPr>
        <w:t>2.1.3. CHANGES IN WIND SPEED</w:t>
      </w:r>
    </w:p>
    <w:p w14:paraId="25557D78" w14:textId="77777777" w:rsidR="007532A0" w:rsidRPr="00FC72D1" w:rsidRDefault="007532A0" w:rsidP="00941061">
      <w:pPr>
        <w:tabs>
          <w:tab w:val="left" w:pos="7215"/>
        </w:tabs>
        <w:spacing w:after="0" w:line="360" w:lineRule="auto"/>
        <w:jc w:val="both"/>
        <w:rPr>
          <w:rFonts w:ascii="Arial" w:hAnsi="Arial" w:cs="Arial"/>
          <w:sz w:val="20"/>
          <w:szCs w:val="20"/>
        </w:rPr>
      </w:pPr>
      <w:r w:rsidRPr="00FC72D1">
        <w:rPr>
          <w:rFonts w:ascii="Arial" w:hAnsi="Arial" w:cs="Arial"/>
          <w:sz w:val="20"/>
          <w:szCs w:val="20"/>
        </w:rPr>
        <w:t xml:space="preserve">In the Sahelian regions, wind speed plays a significant role in evaporation, wind erosion, and soil degradation (Bambara, D., Thiombiano, A., &amp; Hien, V., 2016). In Loumbila, the increase in the average annual wind speed, from 1.94 m/s in 1992 to 3.16 m/s in 2020, reflects a regional intensification of winds linked to climate change. This intensification increases soil erosion, reduces soil fertility, and disrupts the water balance, posing a direct threat to vegetable crops (Atidegla, S. C., Koumassi, H. D., &amp; Houssou, E. S., 2017). To address this, it is recommended to plant windbreaks, improve soil management and conservation, and use mulching and intercropping to limit erosion and maintain soil </w:t>
      </w:r>
      <w:r w:rsidRPr="00FC72D1">
        <w:rPr>
          <w:rFonts w:ascii="Arial" w:hAnsi="Arial" w:cs="Arial"/>
          <w:sz w:val="20"/>
          <w:szCs w:val="20"/>
        </w:rPr>
        <w:lastRenderedPageBreak/>
        <w:t>moisture, as shown by recent studies on the resilience of vegetable farming systems in Burkina Faso (Dao, A. Z., Songanaba, R., Sodore, A. A., &amp; Mathieu, N., 2024).</w:t>
      </w:r>
    </w:p>
    <w:p w14:paraId="5BBB1958" w14:textId="4E457C55" w:rsidR="007532A0" w:rsidRPr="00FC72D1" w:rsidRDefault="007532A0" w:rsidP="00941061">
      <w:pPr>
        <w:tabs>
          <w:tab w:val="left" w:pos="7215"/>
        </w:tabs>
        <w:spacing w:after="0" w:line="360" w:lineRule="auto"/>
        <w:jc w:val="both"/>
        <w:rPr>
          <w:rFonts w:ascii="Arial" w:hAnsi="Arial" w:cs="Arial"/>
          <w:sz w:val="20"/>
          <w:szCs w:val="20"/>
        </w:rPr>
      </w:pPr>
      <w:r w:rsidRPr="00FC72D1">
        <w:rPr>
          <w:rFonts w:ascii="Arial" w:hAnsi="Arial" w:cs="Arial"/>
          <w:sz w:val="20"/>
          <w:szCs w:val="20"/>
        </w:rPr>
        <w:t xml:space="preserve">Figure </w:t>
      </w:r>
      <w:r w:rsidR="00ED6641">
        <w:rPr>
          <w:rFonts w:ascii="Arial" w:hAnsi="Arial" w:cs="Arial"/>
          <w:sz w:val="20"/>
          <w:szCs w:val="20"/>
          <w:lang w:val="en-IN"/>
        </w:rPr>
        <w:t>6</w:t>
      </w:r>
      <w:r w:rsidRPr="00FC72D1">
        <w:rPr>
          <w:rFonts w:ascii="Arial" w:hAnsi="Arial" w:cs="Arial"/>
          <w:sz w:val="20"/>
          <w:szCs w:val="20"/>
        </w:rPr>
        <w:t>, which shows the trend in wind speed in Loumbila, confirms this upward trend and highlights its implications for local vegetable farming.</w:t>
      </w:r>
    </w:p>
    <w:p w14:paraId="33C81A03" w14:textId="3EAC5948" w:rsidR="007532A0" w:rsidRPr="00FC72D1" w:rsidRDefault="00F719FC" w:rsidP="007532A0">
      <w:pPr>
        <w:tabs>
          <w:tab w:val="left" w:pos="7215"/>
        </w:tabs>
        <w:rPr>
          <w:rFonts w:ascii="Arial" w:hAnsi="Arial" w:cs="Arial"/>
          <w:sz w:val="22"/>
          <w:szCs w:val="22"/>
        </w:rPr>
      </w:pPr>
      <w:r w:rsidRPr="00FC72D1">
        <w:rPr>
          <w:rFonts w:ascii="Arial" w:eastAsia="Calibri" w:hAnsi="Arial" w:cs="Arial"/>
          <w:noProof/>
          <w:sz w:val="22"/>
          <w:szCs w:val="22"/>
          <w:lang w:eastAsia="fr-FR"/>
        </w:rPr>
        <w:drawing>
          <wp:anchor distT="0" distB="0" distL="114300" distR="114300" simplePos="0" relativeHeight="251687936" behindDoc="1" locked="0" layoutInCell="1" allowOverlap="1" wp14:anchorId="74E9F8EB" wp14:editId="4EFF4070">
            <wp:simplePos x="0" y="0"/>
            <wp:positionH relativeFrom="margin">
              <wp:posOffset>0</wp:posOffset>
            </wp:positionH>
            <wp:positionV relativeFrom="paragraph">
              <wp:posOffset>323215</wp:posOffset>
            </wp:positionV>
            <wp:extent cx="6086475" cy="3876675"/>
            <wp:effectExtent l="0" t="0" r="9525" b="9525"/>
            <wp:wrapTight wrapText="bothSides">
              <wp:wrapPolygon edited="0">
                <wp:start x="0" y="0"/>
                <wp:lineTo x="0" y="21547"/>
                <wp:lineTo x="21566" y="21547"/>
                <wp:lineTo x="21566" y="0"/>
                <wp:lineTo x="0" y="0"/>
              </wp:wrapPolygon>
            </wp:wrapTight>
            <wp:docPr id="677253357" name="Graphique 1">
              <a:extLst xmlns:a="http://schemas.openxmlformats.org/drawingml/2006/main">
                <a:ext uri="{FF2B5EF4-FFF2-40B4-BE49-F238E27FC236}">
                  <a16:creationId xmlns:a16="http://schemas.microsoft.com/office/drawing/2014/main" id="{74ED27FE-6699-CA01-0CD0-3FC286EC60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12DFD8D2" w14:textId="76EA001D" w:rsidR="00CA0BCB" w:rsidRPr="00FC72D1" w:rsidRDefault="00B22779" w:rsidP="00CA0BCB">
      <w:pPr>
        <w:tabs>
          <w:tab w:val="left" w:pos="7215"/>
        </w:tabs>
        <w:rPr>
          <w:rFonts w:ascii="Arial" w:hAnsi="Arial" w:cs="Arial"/>
          <w:sz w:val="22"/>
          <w:szCs w:val="22"/>
        </w:rPr>
      </w:pPr>
      <w:r w:rsidRPr="00FC72D1">
        <w:rPr>
          <w:rFonts w:ascii="Arial" w:hAnsi="Arial" w:cs="Arial"/>
          <w:noProof/>
          <w:sz w:val="22"/>
          <w:szCs w:val="22"/>
          <w:lang w:eastAsia="fr-FR"/>
        </w:rPr>
        <mc:AlternateContent>
          <mc:Choice Requires="wps">
            <w:drawing>
              <wp:anchor distT="0" distB="0" distL="114300" distR="114300" simplePos="0" relativeHeight="251689984" behindDoc="1" locked="0" layoutInCell="1" allowOverlap="1" wp14:anchorId="0A135B5D" wp14:editId="18E8E55B">
                <wp:simplePos x="0" y="0"/>
                <wp:positionH relativeFrom="margin">
                  <wp:align>left</wp:align>
                </wp:positionH>
                <wp:positionV relativeFrom="paragraph">
                  <wp:posOffset>4265930</wp:posOffset>
                </wp:positionV>
                <wp:extent cx="5600700" cy="247650"/>
                <wp:effectExtent l="0" t="0" r="0" b="0"/>
                <wp:wrapTight wrapText="bothSides">
                  <wp:wrapPolygon edited="0">
                    <wp:start x="0" y="0"/>
                    <wp:lineTo x="0" y="19938"/>
                    <wp:lineTo x="21527" y="19938"/>
                    <wp:lineTo x="21527" y="0"/>
                    <wp:lineTo x="0" y="0"/>
                  </wp:wrapPolygon>
                </wp:wrapTight>
                <wp:docPr id="1424068909" name="Zone de texte 1"/>
                <wp:cNvGraphicFramePr/>
                <a:graphic xmlns:a="http://schemas.openxmlformats.org/drawingml/2006/main">
                  <a:graphicData uri="http://schemas.microsoft.com/office/word/2010/wordprocessingShape">
                    <wps:wsp>
                      <wps:cNvSpPr txBox="1"/>
                      <wps:spPr>
                        <a:xfrm>
                          <a:off x="0" y="0"/>
                          <a:ext cx="5600700" cy="247650"/>
                        </a:xfrm>
                        <a:prstGeom prst="rect">
                          <a:avLst/>
                        </a:prstGeom>
                        <a:solidFill>
                          <a:prstClr val="white"/>
                        </a:solidFill>
                        <a:ln>
                          <a:noFill/>
                        </a:ln>
                      </wps:spPr>
                      <wps:txbx>
                        <w:txbxContent>
                          <w:p w14:paraId="13E9B388" w14:textId="66F01BA4" w:rsidR="00B22779" w:rsidRPr="00B22779" w:rsidRDefault="00B22779" w:rsidP="00941061">
                            <w:pPr>
                              <w:pStyle w:val="Caption"/>
                              <w:jc w:val="left"/>
                              <w:outlineLvl w:val="5"/>
                              <w:rPr>
                                <w:rFonts w:ascii="Arial Black" w:hAnsi="Arial Black"/>
                                <w:b/>
                                <w:bCs/>
                                <w:i w:val="0"/>
                                <w:iCs w:val="0"/>
                                <w:color w:val="auto"/>
                                <w:sz w:val="20"/>
                                <w:szCs w:val="20"/>
                              </w:rPr>
                            </w:pPr>
                            <w:r w:rsidRPr="00B2277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6</w:t>
                            </w:r>
                            <w:r w:rsidRPr="00B22779">
                              <w:rPr>
                                <w:rFonts w:ascii="Arial Black" w:hAnsi="Arial Black"/>
                                <w:b/>
                                <w:bCs/>
                                <w:i w:val="0"/>
                                <w:iCs w:val="0"/>
                                <w:color w:val="auto"/>
                                <w:sz w:val="20"/>
                                <w:szCs w:val="20"/>
                              </w:rPr>
                              <w:t>: Wind Speed Trends</w:t>
                            </w:r>
                          </w:p>
                          <w:p w14:paraId="698F9E0E" w14:textId="22FE615B" w:rsidR="00B22779" w:rsidRPr="00650210" w:rsidRDefault="00B22779" w:rsidP="00B22779">
                            <w:pPr>
                              <w:pStyle w:val="Caption"/>
                              <w:jc w:val="center"/>
                              <w:outlineLvl w:val="5"/>
                              <w:rPr>
                                <w:rFonts w:eastAsia="Calibri" w:cs="Times New Roman"/>
                                <w:i w:val="0"/>
                                <w:iCs w:val="0"/>
                                <w:noProof/>
                                <w:color w:val="auto"/>
                                <w:sz w:val="20"/>
                                <w:szCs w:val="20"/>
                                <w:lang w:eastAsia="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135B5D" id="_x0000_s1032" type="#_x0000_t202" style="position:absolute;margin-left:0;margin-top:335.9pt;width:441pt;height:19.5pt;z-index:-2516264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" stroked="f">
                <v:textbox inset="0,0,0,0">
                  <w:txbxContent>
                    <w:p w14:paraId="13E9B388" w14:textId="66F01BA4" w:rsidR="00B22779" w:rsidRPr="00B22779" w:rsidRDefault="00B22779" w:rsidP="00941061">
                      <w:pPr>
                        <w:pStyle w:val="Caption"/>
                        <w:jc w:val="left"/>
                        <w:outlineLvl w:val="5"/>
                        <w:rPr>
                          <w:rFonts w:ascii="Arial Black" w:hAnsi="Arial Black"/>
                          <w:b/>
                          <w:bCs/>
                          <w:i w:val="0"/>
                          <w:iCs w:val="0"/>
                          <w:color w:val="auto"/>
                          <w:sz w:val="20"/>
                          <w:szCs w:val="20"/>
                        </w:rPr>
                      </w:pPr>
                      <w:r w:rsidRPr="00B22779">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6</w:t>
                      </w:r>
                      <w:r w:rsidRPr="00B22779">
                        <w:rPr>
                          <w:rFonts w:ascii="Arial Black" w:hAnsi="Arial Black"/>
                          <w:b/>
                          <w:bCs/>
                          <w:i w:val="0"/>
                          <w:iCs w:val="0"/>
                          <w:color w:val="auto"/>
                          <w:sz w:val="20"/>
                          <w:szCs w:val="20"/>
                        </w:rPr>
                        <w:t>: Wind Speed Trends</w:t>
                      </w:r>
                    </w:p>
                    <w:p w14:paraId="698F9E0E" w14:textId="22FE615B" w:rsidR="00B22779" w:rsidRPr="00650210" w:rsidRDefault="00B22779" w:rsidP="00B22779">
                      <w:pPr>
                        <w:pStyle w:val="Caption"/>
                        <w:jc w:val="center"/>
                        <w:outlineLvl w:val="5"/>
                        <w:rPr>
                          <w:rFonts w:eastAsia="Calibri" w:cs="Times New Roman"/>
                          <w:i w:val="0"/>
                          <w:iCs w:val="0"/>
                          <w:noProof/>
                          <w:color w:val="auto"/>
                          <w:sz w:val="20"/>
                          <w:szCs w:val="20"/>
                          <w:lang w:eastAsia="fr-FR"/>
                        </w:rPr>
                      </w:pPr>
                    </w:p>
                  </w:txbxContent>
                </v:textbox>
                <w10:wrap type="tight" anchorx="margin"/>
              </v:shape>
            </w:pict>
          </mc:Fallback>
        </mc:AlternateContent>
      </w:r>
    </w:p>
    <w:p w14:paraId="382849AB" w14:textId="77777777" w:rsidR="00B22779" w:rsidRPr="00FC72D1" w:rsidRDefault="00B22779" w:rsidP="00941061">
      <w:pPr>
        <w:rPr>
          <w:rFonts w:ascii="Arial" w:hAnsi="Arial" w:cs="Arial"/>
          <w:sz w:val="20"/>
          <w:szCs w:val="20"/>
        </w:rPr>
      </w:pPr>
      <w:r w:rsidRPr="00FC72D1">
        <w:rPr>
          <w:rFonts w:ascii="Arial" w:hAnsi="Arial" w:cs="Arial"/>
          <w:sz w:val="20"/>
          <w:szCs w:val="20"/>
        </w:rPr>
        <w:t>Source: Analysis of ANAM data (2022)</w:t>
      </w:r>
    </w:p>
    <w:p w14:paraId="77FBD3D1" w14:textId="58E9E338" w:rsidR="00B22779" w:rsidRPr="00FC72D1" w:rsidRDefault="00941061" w:rsidP="00941061">
      <w:pPr>
        <w:rPr>
          <w:rFonts w:ascii="Arial" w:hAnsi="Arial" w:cs="Arial"/>
          <w:sz w:val="20"/>
          <w:szCs w:val="20"/>
        </w:rPr>
      </w:pPr>
      <w:r w:rsidRPr="00FC72D1">
        <w:rPr>
          <w:rFonts w:ascii="Arial" w:hAnsi="Arial" w:cs="Arial"/>
          <w:sz w:val="20"/>
          <w:szCs w:val="20"/>
        </w:rPr>
        <w:t>2.14. CHANGES IN RELATIVE HUMIDITY</w:t>
      </w:r>
    </w:p>
    <w:p w14:paraId="3677719A" w14:textId="079B1E72" w:rsidR="002A4317" w:rsidRPr="00FC72D1" w:rsidRDefault="002A4317" w:rsidP="00DC6E94">
      <w:pPr>
        <w:spacing w:line="360" w:lineRule="auto"/>
        <w:jc w:val="both"/>
        <w:rPr>
          <w:rFonts w:ascii="Arial" w:hAnsi="Arial" w:cs="Arial"/>
          <w:sz w:val="20"/>
          <w:szCs w:val="20"/>
        </w:rPr>
      </w:pPr>
      <w:r w:rsidRPr="00FC72D1">
        <w:rPr>
          <w:rFonts w:ascii="Arial" w:hAnsi="Arial" w:cs="Arial"/>
          <w:sz w:val="20"/>
          <w:szCs w:val="20"/>
        </w:rPr>
        <w:t xml:space="preserve">Figure </w:t>
      </w:r>
      <w:r w:rsidR="00ED6641">
        <w:rPr>
          <w:rFonts w:ascii="Arial" w:hAnsi="Arial" w:cs="Arial"/>
          <w:sz w:val="20"/>
          <w:szCs w:val="20"/>
          <w:lang w:val="en-IN"/>
        </w:rPr>
        <w:t>7</w:t>
      </w:r>
      <w:r w:rsidRPr="00FC72D1">
        <w:rPr>
          <w:rFonts w:ascii="Arial" w:hAnsi="Arial" w:cs="Arial"/>
          <w:sz w:val="20"/>
          <w:szCs w:val="20"/>
        </w:rPr>
        <w:t xml:space="preserve"> shows that from November to May, Loumbila experiences a dry season dominated by the harmattan, which keeps humidity levels low. During May and June, the northward movement of the intertropical convergence zone brings in masses of moist air from the Gulf of Guinea, causing a gradual increase in atmospheric humidity that peaks in August. In the middle of the rainy season, dew tends to form regularly during the early hours of the day.</w:t>
      </w:r>
    </w:p>
    <w:p w14:paraId="129DCA50" w14:textId="47F80FD5" w:rsidR="00B22779" w:rsidRPr="00FC72D1" w:rsidRDefault="003A42CD" w:rsidP="00B22779">
      <w:pPr>
        <w:rPr>
          <w:rFonts w:ascii="Arial" w:hAnsi="Arial" w:cs="Arial"/>
          <w:sz w:val="22"/>
          <w:szCs w:val="22"/>
        </w:rPr>
      </w:pPr>
      <w:r w:rsidRPr="00FC72D1">
        <w:rPr>
          <w:rFonts w:ascii="Arial" w:hAnsi="Arial" w:cs="Arial"/>
          <w:b/>
          <w:bCs/>
          <w:noProof/>
          <w:sz w:val="22"/>
          <w:szCs w:val="22"/>
          <w:lang w:eastAsia="fr-FR"/>
        </w:rPr>
        <w:lastRenderedPageBreak/>
        <mc:AlternateContent>
          <mc:Choice Requires="wps">
            <w:drawing>
              <wp:anchor distT="0" distB="0" distL="114300" distR="114300" simplePos="0" relativeHeight="251694080" behindDoc="1" locked="0" layoutInCell="1" allowOverlap="1" wp14:anchorId="1284426A" wp14:editId="7803EEC0">
                <wp:simplePos x="0" y="0"/>
                <wp:positionH relativeFrom="margin">
                  <wp:align>left</wp:align>
                </wp:positionH>
                <wp:positionV relativeFrom="paragraph">
                  <wp:posOffset>2603500</wp:posOffset>
                </wp:positionV>
                <wp:extent cx="5410200" cy="247650"/>
                <wp:effectExtent l="0" t="0" r="0" b="0"/>
                <wp:wrapTight wrapText="bothSides">
                  <wp:wrapPolygon edited="0">
                    <wp:start x="0" y="0"/>
                    <wp:lineTo x="0" y="19938"/>
                    <wp:lineTo x="21524" y="19938"/>
                    <wp:lineTo x="21524" y="0"/>
                    <wp:lineTo x="0" y="0"/>
                  </wp:wrapPolygon>
                </wp:wrapTight>
                <wp:docPr id="1828789034" name="Zone de texte 1"/>
                <wp:cNvGraphicFramePr/>
                <a:graphic xmlns:a="http://schemas.openxmlformats.org/drawingml/2006/main">
                  <a:graphicData uri="http://schemas.microsoft.com/office/word/2010/wordprocessingShape">
                    <wps:wsp>
                      <wps:cNvSpPr txBox="1"/>
                      <wps:spPr>
                        <a:xfrm>
                          <a:off x="0" y="0"/>
                          <a:ext cx="5410200" cy="247650"/>
                        </a:xfrm>
                        <a:prstGeom prst="rect">
                          <a:avLst/>
                        </a:prstGeom>
                        <a:solidFill>
                          <a:prstClr val="white"/>
                        </a:solidFill>
                        <a:ln>
                          <a:noFill/>
                        </a:ln>
                      </wps:spPr>
                      <wps:txbx>
                        <w:txbxContent>
                          <w:p w14:paraId="42B533AD" w14:textId="43D5C9D5" w:rsidR="003A42CD" w:rsidRPr="003A42CD" w:rsidRDefault="003A42CD" w:rsidP="00F216EF">
                            <w:pPr>
                              <w:pStyle w:val="Caption"/>
                              <w:jc w:val="left"/>
                              <w:outlineLvl w:val="5"/>
                              <w:rPr>
                                <w:rFonts w:ascii="Arial Black" w:hAnsi="Arial Black"/>
                                <w:b/>
                                <w:bCs/>
                                <w:i w:val="0"/>
                                <w:iCs w:val="0"/>
                                <w:color w:val="auto"/>
                                <w:sz w:val="20"/>
                                <w:szCs w:val="20"/>
                              </w:rPr>
                            </w:pPr>
                            <w:r w:rsidRPr="003A42CD">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7</w:t>
                            </w:r>
                            <w:r w:rsidRPr="003A42CD">
                              <w:rPr>
                                <w:rFonts w:ascii="Arial Black" w:hAnsi="Arial Black"/>
                                <w:b/>
                                <w:bCs/>
                                <w:i w:val="0"/>
                                <w:iCs w:val="0"/>
                                <w:color w:val="auto"/>
                                <w:sz w:val="20"/>
                                <w:szCs w:val="20"/>
                              </w:rPr>
                              <w:t>: Changes in Relative Humidity</w:t>
                            </w:r>
                          </w:p>
                          <w:p w14:paraId="288E8F34" w14:textId="1F7E1340" w:rsidR="003A42CD" w:rsidRPr="00FE1AAA" w:rsidRDefault="003A42CD" w:rsidP="003A42CD">
                            <w:pPr>
                              <w:pStyle w:val="Caption"/>
                              <w:jc w:val="center"/>
                              <w:outlineLvl w:val="5"/>
                              <w:rPr>
                                <w:rFonts w:eastAsia="Calibri" w:cs="Times New Roman"/>
                                <w:i w:val="0"/>
                                <w:iCs w:val="0"/>
                                <w:noProof/>
                                <w:color w:val="auto"/>
                                <w:sz w:val="28"/>
                                <w:szCs w:val="28"/>
                                <w:lang w:eastAsia="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84426A" id="_x0000_s1033" type="#_x0000_t202" style="position:absolute;margin-left:0;margin-top:205pt;width:426pt;height:19.5pt;z-index:-2516224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" stroked="f">
                <v:textbox inset="0,0,0,0">
                  <w:txbxContent>
                    <w:p w14:paraId="42B533AD" w14:textId="43D5C9D5" w:rsidR="003A42CD" w:rsidRPr="003A42CD" w:rsidRDefault="003A42CD" w:rsidP="00F216EF">
                      <w:pPr>
                        <w:pStyle w:val="Caption"/>
                        <w:jc w:val="left"/>
                        <w:outlineLvl w:val="5"/>
                        <w:rPr>
                          <w:rFonts w:ascii="Arial Black" w:hAnsi="Arial Black"/>
                          <w:b/>
                          <w:bCs/>
                          <w:i w:val="0"/>
                          <w:iCs w:val="0"/>
                          <w:color w:val="auto"/>
                          <w:sz w:val="20"/>
                          <w:szCs w:val="20"/>
                        </w:rPr>
                      </w:pPr>
                      <w:r w:rsidRPr="003A42CD">
                        <w:rPr>
                          <w:rFonts w:ascii="Arial Black" w:hAnsi="Arial Black"/>
                          <w:b/>
                          <w:bCs/>
                          <w:i w:val="0"/>
                          <w:iCs w:val="0"/>
                          <w:color w:val="auto"/>
                          <w:sz w:val="20"/>
                          <w:szCs w:val="20"/>
                        </w:rPr>
                        <w:t xml:space="preserve">Figure </w:t>
                      </w:r>
                      <w:r w:rsidR="00ED6641">
                        <w:rPr>
                          <w:rFonts w:ascii="Arial Black" w:hAnsi="Arial Black"/>
                          <w:b/>
                          <w:bCs/>
                          <w:i w:val="0"/>
                          <w:iCs w:val="0"/>
                          <w:color w:val="auto"/>
                          <w:sz w:val="20"/>
                          <w:szCs w:val="20"/>
                          <w:lang w:val="en-IN"/>
                        </w:rPr>
                        <w:t>7</w:t>
                      </w:r>
                      <w:r w:rsidRPr="003A42CD">
                        <w:rPr>
                          <w:rFonts w:ascii="Arial Black" w:hAnsi="Arial Black"/>
                          <w:b/>
                          <w:bCs/>
                          <w:i w:val="0"/>
                          <w:iCs w:val="0"/>
                          <w:color w:val="auto"/>
                          <w:sz w:val="20"/>
                          <w:szCs w:val="20"/>
                        </w:rPr>
                        <w:t>: Changes in Relative Humidity</w:t>
                      </w:r>
                    </w:p>
                    <w:p w14:paraId="288E8F34" w14:textId="1F7E1340" w:rsidR="003A42CD" w:rsidRPr="00FE1AAA" w:rsidRDefault="003A42CD" w:rsidP="003A42CD">
                      <w:pPr>
                        <w:pStyle w:val="Caption"/>
                        <w:jc w:val="center"/>
                        <w:outlineLvl w:val="5"/>
                        <w:rPr>
                          <w:rFonts w:eastAsia="Calibri" w:cs="Times New Roman"/>
                          <w:i w:val="0"/>
                          <w:iCs w:val="0"/>
                          <w:noProof/>
                          <w:color w:val="auto"/>
                          <w:sz w:val="28"/>
                          <w:szCs w:val="28"/>
                          <w:lang w:eastAsia="fr-FR"/>
                        </w:rPr>
                      </w:pPr>
                    </w:p>
                  </w:txbxContent>
                </v:textbox>
                <w10:wrap type="tight" anchorx="margin"/>
              </v:shape>
            </w:pict>
          </mc:Fallback>
        </mc:AlternateContent>
      </w:r>
      <w:r w:rsidR="00B43374" w:rsidRPr="00FC72D1">
        <w:rPr>
          <w:rFonts w:ascii="Arial" w:eastAsia="Calibri" w:hAnsi="Arial" w:cs="Arial"/>
          <w:noProof/>
          <w:sz w:val="22"/>
          <w:lang w:eastAsia="fr-FR"/>
        </w:rPr>
        <w:drawing>
          <wp:anchor distT="0" distB="0" distL="114300" distR="114300" simplePos="0" relativeHeight="251692032" behindDoc="1" locked="0" layoutInCell="1" allowOverlap="1" wp14:anchorId="38687B17" wp14:editId="6245BDC8">
            <wp:simplePos x="0" y="0"/>
            <wp:positionH relativeFrom="margin">
              <wp:align>left</wp:align>
            </wp:positionH>
            <wp:positionV relativeFrom="paragraph">
              <wp:posOffset>0</wp:posOffset>
            </wp:positionV>
            <wp:extent cx="5000625" cy="2390775"/>
            <wp:effectExtent l="0" t="0" r="9525" b="9525"/>
            <wp:wrapTight wrapText="bothSides">
              <wp:wrapPolygon edited="0">
                <wp:start x="0" y="0"/>
                <wp:lineTo x="0" y="21514"/>
                <wp:lineTo x="21559" y="21514"/>
                <wp:lineTo x="21559" y="0"/>
                <wp:lineTo x="0" y="0"/>
              </wp:wrapPolygon>
            </wp:wrapTight>
            <wp:docPr id="588806273" name="Graphique 1">
              <a:extLst xmlns:a="http://schemas.openxmlformats.org/drawingml/2006/main">
                <a:ext uri="{FF2B5EF4-FFF2-40B4-BE49-F238E27FC236}">
                  <a16:creationId xmlns:a16="http://schemas.microsoft.com/office/drawing/2014/main" id="{401F663E-13D5-4807-A0BE-C988CEF36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420FF4D" w14:textId="77777777" w:rsidR="0028167F" w:rsidRPr="00FC72D1" w:rsidRDefault="0028167F" w:rsidP="0028167F">
      <w:pPr>
        <w:rPr>
          <w:rFonts w:ascii="Arial" w:hAnsi="Arial" w:cs="Arial"/>
          <w:sz w:val="22"/>
          <w:szCs w:val="22"/>
        </w:rPr>
      </w:pPr>
    </w:p>
    <w:p w14:paraId="2A13ABB2" w14:textId="77777777" w:rsidR="0028167F" w:rsidRPr="00FC72D1" w:rsidRDefault="0028167F" w:rsidP="0028167F">
      <w:pPr>
        <w:rPr>
          <w:rFonts w:ascii="Arial" w:hAnsi="Arial" w:cs="Arial"/>
          <w:sz w:val="22"/>
          <w:szCs w:val="22"/>
        </w:rPr>
      </w:pPr>
    </w:p>
    <w:p w14:paraId="79C83AC4" w14:textId="77777777" w:rsidR="0028167F" w:rsidRPr="00FC72D1" w:rsidRDefault="0028167F" w:rsidP="0028167F">
      <w:pPr>
        <w:rPr>
          <w:rFonts w:ascii="Arial" w:hAnsi="Arial" w:cs="Arial"/>
          <w:sz w:val="22"/>
          <w:szCs w:val="22"/>
        </w:rPr>
      </w:pPr>
    </w:p>
    <w:p w14:paraId="78C26A0C" w14:textId="77777777" w:rsidR="0028167F" w:rsidRPr="00FC72D1" w:rsidRDefault="0028167F" w:rsidP="0028167F">
      <w:pPr>
        <w:rPr>
          <w:rFonts w:ascii="Arial" w:hAnsi="Arial" w:cs="Arial"/>
          <w:sz w:val="22"/>
          <w:szCs w:val="22"/>
        </w:rPr>
      </w:pPr>
    </w:p>
    <w:p w14:paraId="104760EC" w14:textId="77777777" w:rsidR="0028167F" w:rsidRPr="00FC72D1" w:rsidRDefault="0028167F" w:rsidP="0028167F">
      <w:pPr>
        <w:rPr>
          <w:rFonts w:ascii="Arial" w:hAnsi="Arial" w:cs="Arial"/>
          <w:sz w:val="22"/>
          <w:szCs w:val="22"/>
        </w:rPr>
      </w:pPr>
    </w:p>
    <w:p w14:paraId="39DB80B1" w14:textId="77777777" w:rsidR="0028167F" w:rsidRPr="00FC72D1" w:rsidRDefault="0028167F" w:rsidP="0028167F">
      <w:pPr>
        <w:rPr>
          <w:rFonts w:ascii="Arial" w:hAnsi="Arial" w:cs="Arial"/>
          <w:sz w:val="22"/>
          <w:szCs w:val="22"/>
        </w:rPr>
      </w:pPr>
    </w:p>
    <w:p w14:paraId="4BBF7384" w14:textId="77777777" w:rsidR="0028167F" w:rsidRPr="00FC72D1" w:rsidRDefault="0028167F" w:rsidP="0028167F">
      <w:pPr>
        <w:rPr>
          <w:rFonts w:ascii="Arial" w:hAnsi="Arial" w:cs="Arial"/>
          <w:sz w:val="22"/>
          <w:szCs w:val="22"/>
        </w:rPr>
      </w:pPr>
    </w:p>
    <w:p w14:paraId="6DE1915F" w14:textId="77777777" w:rsidR="0028167F" w:rsidRPr="00FC72D1" w:rsidRDefault="0028167F" w:rsidP="0028167F">
      <w:pPr>
        <w:rPr>
          <w:rFonts w:ascii="Arial" w:hAnsi="Arial" w:cs="Arial"/>
          <w:sz w:val="22"/>
          <w:szCs w:val="22"/>
        </w:rPr>
      </w:pPr>
    </w:p>
    <w:p w14:paraId="319AAFC4" w14:textId="7FF515FF" w:rsidR="0028167F" w:rsidRPr="00FC72D1" w:rsidRDefault="0028167F" w:rsidP="00F216EF">
      <w:pPr>
        <w:tabs>
          <w:tab w:val="left" w:pos="6135"/>
        </w:tabs>
        <w:rPr>
          <w:rFonts w:ascii="Arial" w:hAnsi="Arial" w:cs="Arial"/>
          <w:sz w:val="20"/>
          <w:szCs w:val="20"/>
        </w:rPr>
      </w:pPr>
      <w:r w:rsidRPr="00FC72D1">
        <w:rPr>
          <w:rFonts w:ascii="Arial" w:hAnsi="Arial" w:cs="Arial"/>
          <w:sz w:val="22"/>
          <w:szCs w:val="22"/>
        </w:rPr>
        <w:t xml:space="preserve"> </w:t>
      </w:r>
      <w:r w:rsidRPr="00FC72D1">
        <w:rPr>
          <w:rFonts w:ascii="Arial" w:hAnsi="Arial" w:cs="Arial"/>
          <w:sz w:val="20"/>
          <w:szCs w:val="20"/>
        </w:rPr>
        <w:t>Source: Analysis of ANAM data (2022)</w:t>
      </w:r>
    </w:p>
    <w:p w14:paraId="773C50DF" w14:textId="2A2A3FE3" w:rsidR="009D566F" w:rsidRPr="00FC72D1" w:rsidRDefault="00F216EF" w:rsidP="00F216EF">
      <w:pPr>
        <w:pStyle w:val="ListParagraph"/>
        <w:numPr>
          <w:ilvl w:val="1"/>
          <w:numId w:val="3"/>
        </w:numPr>
        <w:spacing w:line="360" w:lineRule="auto"/>
        <w:rPr>
          <w:rFonts w:ascii="Arial" w:hAnsi="Arial" w:cs="Arial"/>
          <w:b/>
          <w:bCs/>
          <w:sz w:val="22"/>
          <w:szCs w:val="22"/>
        </w:rPr>
      </w:pPr>
      <w:r w:rsidRPr="00FC72D1">
        <w:rPr>
          <w:rFonts w:ascii="Arial" w:hAnsi="Arial" w:cs="Arial"/>
          <w:b/>
          <w:bCs/>
          <w:sz w:val="22"/>
          <w:szCs w:val="22"/>
        </w:rPr>
        <w:t>DISCUSSION</w:t>
      </w:r>
    </w:p>
    <w:p w14:paraId="4233C65E" w14:textId="77777777" w:rsidR="009D566F" w:rsidRPr="00FC72D1" w:rsidRDefault="009D566F" w:rsidP="00F216EF">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In Loumbila, where the climate is semi-arid, vegetable farming is greatly influenced by factors such as temperature, relative humidity, wind speed, and evapotranspiration. These factors determine both irrigation water requirements and crop yields. During the dry season, temperatures frequently exceed 30°C while humidity remains low, exacerbating atmospheric evaporation and making vegetable cultivation an activity heavily dependent on irrigation (Niang, AKM., 2014; Vodoounon, HST et al., 2016). The Harmattan season, characterized by dry, strong winds, amplifies these water losses through evapotranspiration (Diarra, A., 2017). These conditions lead to regular water stress in the field, reduced plant growth, and, ultimately, lower yields for essential vegetable crops such as tomatoes, cabbage, lettuce, and chili peppers.</w:t>
      </w:r>
    </w:p>
    <w:p w14:paraId="13665B2C" w14:textId="77777777" w:rsidR="009D566F" w:rsidRPr="00FC72D1" w:rsidRDefault="009D566F" w:rsidP="00F216EF">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In this situation, water emerges as a key limiting factor. Climate fluctuations (such as droughts, irregular rainfall, and heat waves) have a direct impact on productivity in irrigation systems in semi-arid regions (Benhadj, I., 2008). It is therefore crucial in Loumbila to manage irrigation precisely—in terms of frequency, quantity, and technical method—to mitigate rapid losses due to evapotranspiration and reduce water stress in vegetable crops.</w:t>
      </w:r>
    </w:p>
    <w:p w14:paraId="58C461BA" w14:textId="77777777" w:rsidR="009D566F" w:rsidRPr="00FC72D1" w:rsidRDefault="009D566F" w:rsidP="00F216EF">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To cope with these constraints, farmers employ various techniques: regular irrigation, the use of short-cycle seeds, off-season cropping, and crop diversification. These methods have proven effective in mitigating the impact of climate fluctuations on yields in the Ahomey Gblon plain in Benin as well as in other vegetable-growing environments in West Africa (Atidegla, SC et al., 2017; Bougma, LA et al., 2018). They promote better utilization of favorable weather periods, more judicious use of limited water resources, and the maintenance of satisfactory vegetable production despite hot, dry, and windy conditions.</w:t>
      </w:r>
    </w:p>
    <w:p w14:paraId="259A38D9" w14:textId="77777777" w:rsidR="00B31F25" w:rsidRPr="00FC72D1" w:rsidRDefault="00B31F25" w:rsidP="00835806">
      <w:pPr>
        <w:spacing w:after="0" w:line="360" w:lineRule="auto"/>
        <w:rPr>
          <w:rFonts w:ascii="Arial" w:hAnsi="Arial" w:cs="Arial"/>
          <w:b/>
          <w:bCs/>
          <w:sz w:val="22"/>
          <w:szCs w:val="22"/>
        </w:rPr>
      </w:pPr>
      <w:r w:rsidRPr="00FC72D1">
        <w:rPr>
          <w:rFonts w:ascii="Arial" w:hAnsi="Arial" w:cs="Arial"/>
          <w:b/>
          <w:bCs/>
          <w:sz w:val="22"/>
          <w:szCs w:val="22"/>
        </w:rPr>
        <w:t>CONCLUSION</w:t>
      </w:r>
    </w:p>
    <w:p w14:paraId="0AECDA5A" w14:textId="77777777" w:rsidR="00B31F25" w:rsidRPr="00FC72D1" w:rsidRDefault="00B31F25"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Like many regions in the Sahel, the municipality of Loumbila faces significant climate variability. This is reflected in rising temperatures, potentially high evapotranspiration, generally low humidity, and a slight </w:t>
      </w:r>
      <w:r w:rsidRPr="00FC72D1">
        <w:rPr>
          <w:rFonts w:ascii="Arial" w:eastAsia="Times New Roman" w:hAnsi="Arial" w:cs="Arial"/>
          <w:kern w:val="0"/>
          <w:sz w:val="20"/>
          <w:szCs w:val="20"/>
          <w14:ligatures w14:val="none"/>
        </w:rPr>
        <w:lastRenderedPageBreak/>
        <w:t>increase in wind speed. These conditions promote evaporation and transpiration, contributing to rapid soil dehydration. Consequently, water requirements for vegetable crops are increasing.</w:t>
      </w:r>
    </w:p>
    <w:p w14:paraId="3B815416" w14:textId="77777777" w:rsidR="00B31F25" w:rsidRPr="00FC72D1" w:rsidRDefault="00B31F25"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 xml:space="preserve">This trend intensifies water stress and jeopardizes production. Crops’ dependence on irrigation is growing, even though water resources remain limited. Inappropriate irrigation management can therefore disrupt crop cycles and reduce yields. </w:t>
      </w:r>
    </w:p>
    <w:p w14:paraId="6B839BF8" w14:textId="77777777" w:rsidR="00B31F25" w:rsidRPr="00FC72D1" w:rsidRDefault="00B31F25"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In this context, the sustainability of vegetable farming in Loumbila depends on optimized water management and the adaptation of agricultural methods. It is necessary to optimize irrigation efficiency and protect the soil from evaporation and wind. It also seems essential to adopt agroecological methods such as mulching, the use of organic fertilizers, and the selection of varieties more resistant to water stress. These initiatives are essential for supporting vegetable farming and strengthening food security at the local level.</w:t>
      </w:r>
    </w:p>
    <w:p w14:paraId="376C878F" w14:textId="77777777" w:rsidR="00480BFF" w:rsidRPr="00FC72D1" w:rsidRDefault="00480BFF" w:rsidP="00480BFF">
      <w:pPr>
        <w:spacing w:after="0" w:line="360" w:lineRule="auto"/>
        <w:rPr>
          <w:rFonts w:ascii="Arial" w:hAnsi="Arial" w:cs="Arial"/>
          <w:b/>
          <w:bCs/>
          <w:sz w:val="22"/>
          <w:szCs w:val="22"/>
        </w:rPr>
      </w:pPr>
    </w:p>
    <w:p w14:paraId="4DE475F8" w14:textId="772899F2" w:rsidR="00480BFF" w:rsidRPr="00FC72D1" w:rsidRDefault="00480BFF" w:rsidP="00480BFF">
      <w:pPr>
        <w:spacing w:after="0" w:line="360" w:lineRule="auto"/>
        <w:rPr>
          <w:rFonts w:ascii="Arial" w:hAnsi="Arial" w:cs="Arial"/>
          <w:b/>
          <w:bCs/>
          <w:sz w:val="22"/>
          <w:szCs w:val="22"/>
        </w:rPr>
      </w:pPr>
      <w:r w:rsidRPr="00FC72D1">
        <w:rPr>
          <w:rFonts w:ascii="Arial" w:hAnsi="Arial" w:cs="Arial"/>
          <w:b/>
          <w:bCs/>
          <w:sz w:val="22"/>
          <w:szCs w:val="22"/>
        </w:rPr>
        <w:t>REFERENCES</w:t>
      </w:r>
    </w:p>
    <w:p w14:paraId="1CAEC8F9"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Adoko, Kocou, Fortuné. (2020). Remote Sensing Estimation of Spatio-Temporal Variability in Evapotranspiration in the Middle Ouémé River Basin in Benin. 108 pp.</w:t>
      </w:r>
    </w:p>
    <w:p w14:paraId="7860AFD3"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Anguessin, Benjamine &amp; Wadou, Bouikoum. (2023). Diversity of Cultivated Species and Strategies for Adapting to Climate Change: The Case of Vegetable Farming in the Maroua 1st District, Cameroon. 21 p.</w:t>
      </w:r>
    </w:p>
    <w:p w14:paraId="30463AC6"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An-Ninh TA (2009). Study of soil-atmosphere interaction in a climate chamber (Doctoral dissertation, Ecole des Ponts ParisTech). 204 pp.</w:t>
      </w:r>
    </w:p>
    <w:p w14:paraId="114980FE"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Arnaud Ouedraogo, Evariste, Constant, Dapola, Da, and Awa, Pounyala, Ouoba (2017). Local Perception of Environmental Change in Oula, Northern Burkina Faso. International Journal of Biological and Chemical Sciences, 11(1), 144–156. 13 pp.</w:t>
      </w:r>
    </w:p>
    <w:p w14:paraId="4BE6598E"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Assicanedirou, Zefté, Dao., Rouamba, Songanaba., Abdoul, Azise, Sodore., Nama, Mathieu., (2024): Characterization of vegetable farming in the rural commune of Didyr, Burkina Faso. Journal of Geography of the University of Ouagadougou, 1(13), 63-80. 24 p.</w:t>
      </w:r>
    </w:p>
    <w:p w14:paraId="5F0668C9"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Beaulieu, Claudie., (2009). Homogenization of precipitation series: identification of the most promising techniques and new developments. National Institute for Scientific Research (Canada). 337 p.</w:t>
      </w:r>
    </w:p>
    <w:p w14:paraId="5B6D9A98"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Ben, Mansour, Siham., Korichi, Rahila., (2013). Study of actual evapotranspiration in relation to potential evapotranspiration and agricultural production of pomegranates at the ITAS ecosystem scale. Development of a model based on water consumption and agricultural production (Doctoral dissertation, Kasdi Merbah University, Ouargla). 97 p.</w:t>
      </w:r>
    </w:p>
    <w:p w14:paraId="16D0A9FD"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Bernadette Nka Nnomo., (2016). Contribution to the Update of Hydrological Standards in Relation to Climate and Environmental Changes in West Africa (Doctoral dissertation, Pierre and Marie Curie University-Paris VI; International Institute of Water and Environmental Engineering). 254 p.</w:t>
      </w:r>
    </w:p>
    <w:p w14:paraId="58EB4785"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Welcome, Lawankiléa, Chantal, Noumpoa, KARAMBIRI., Abdoul, Karim, SIENOU., and Sayouba, ILBOUDO., (2024). Resilience of vegetable farmers in the face of water scarcity in the context of climate change in Ouahigouya (Burkina Faso). Letters, Social and Human Sciences, 40(1), 33–47. 15 pp.</w:t>
      </w:r>
    </w:p>
    <w:p w14:paraId="5523A8BC" w14:textId="77777777" w:rsidR="00046F61"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lastRenderedPageBreak/>
        <w:t>Claudie, Beaulieu., Taha, B. M. J. Ouarda., &amp; Ousmane, Seidou., (2007). Summary of techniques for homogenizing climate series and analysis of their applicability to precipitation series. Hydrological Sciences Journal, 52(1), 18–37. 21 pp.</w:t>
      </w:r>
    </w:p>
    <w:p w14:paraId="04E29976" w14:textId="77777777" w:rsidR="00941A59"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Dallaire, Gabrielle., (2019). Study of uncertainty associated with modeling potential evapotranspiration in studies of the impact of climate change on water resources in Canada, the United States, and Mexico (Doctoral dissertation, École de technologie supérieure). 144 pp.</w:t>
      </w:r>
    </w:p>
    <w:p w14:paraId="02991BD8" w14:textId="77777777" w:rsidR="00AE2784" w:rsidRPr="00FC72D1" w:rsidRDefault="00046F61"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Dasmané, Bambara., Adjima, Thiombiano., Victor, Hien., (2016). Climate change in the North-Sudanian and Sub-Sahelian zones of Burkina Faso: a comparison between farmers’ knowledge and scientific knowledge. Revue d’écologie, 71(1), 35–58. 25p.</w:t>
      </w:r>
    </w:p>
    <w:p w14:paraId="2F037570" w14:textId="452DA17D" w:rsidR="00AE2784" w:rsidRPr="00FC72D1" w:rsidRDefault="00AE2784" w:rsidP="00835806">
      <w:pPr>
        <w:shd w:val="clear" w:color="auto" w:fill="FFFFFF" w:themeFill="background1"/>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Dasmané, Bambara., Jacques, Sawadogo., Oumar, Kaboré., and Ablassé, Bilgo., (2019). Variability of certain climatic parameters and impacts on the duration of humid periods for plant development in a station in central and another in northern Burkina Faso. VertigO – The electronic journal in environmental sciences, 19(1). 24p.</w:t>
      </w:r>
    </w:p>
    <w:p w14:paraId="32BD14B1"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Debba, Abdelmounaim., Ghoula, Mohammed, Tahar., (2021). Evaluation of reference evapotranspiration by the Penman–Monteith formula and evaporation pans (Doctoral dissertation). 46p.</w:t>
      </w:r>
    </w:p>
    <w:p w14:paraId="1ACF9D53"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Diarra, Alhousseine., (2017). Monitoring of evapotranspiration of irrigated crops in the southern Mediterranean by multi-sensor remote sensing and global modelling (Doctoral dissertation, Université Pierre et Marie Curie-Paris VI; Université Cadi Ayyad (Marrakech, Morocco)). 212p.</w:t>
      </w:r>
    </w:p>
    <w:p w14:paraId="29D33685"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Epiphane, Sodjinou., Saïd, K. Hounkponou., (2019). Impact of climate change on agricultural household incomes in Benin: Evidence based on the application of the Ricardian model. Annales de l’Université de Parakou – Série Sciences Naturelles et Agronomie, 9(1), 43–54. 12p.</w:t>
      </w:r>
    </w:p>
    <w:p w14:paraId="26DF5D17"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Éric, Malézieux., Damien, Beillouin., Raphaël, Belmin., Isabelle, Grechi., Rémi, Kahane., Thibaud, Martin., Fabrice, Le Bellec., (2025). World agriculture and food systems facing climate change. L’agriculture et les systèmes alimentaires du monde face au changement climatique, 251. 420p.</w:t>
      </w:r>
    </w:p>
    <w:p w14:paraId="07958737"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Kpadonou, G. Esaïe., Akponikpè, P. B. Irénikatche., Adanguidi, Jean., Zougmore, Robert B., Adjogboto, André., Likpete, D. Didier., Sossavihotogbe, Carole N. A., Djenontin, André Jonas., Baco, Mohamed Nasser., (2019). What good practices for Climate-Smart Agriculture (CSA) in vegetable production in West Africa. Ann. UP, Série Sci. Nat. Agron, 3, 31–48. 18p.</w:t>
      </w:r>
    </w:p>
    <w:p w14:paraId="0E70F843"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Mahe, G., Lienou, G., Bamba, F., Paturel, J. E., Adeaga, O., Descroix, L., Mariko, A., Olivry, J. C., Sangare, S., Ogilvie, A., and Clanet, J. C., (2011). The Niger River and climate change over the last 100 years. In Hydro-climatology variability and change (Proceedings of symposium held during IUGG 2011, Melbourne, Australia) (pp. 131–137). 7p.</w:t>
      </w:r>
    </w:p>
    <w:p w14:paraId="1EF0ED6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Henri, Sourou, Totin, Vodounon., M’po, Abel, Sinwongou., and Constant, Houndenou., (2016). Climatic variation, water availability and vegetable production in the urban commune of Parakou in Benin (West Africa). Afrique SCIENCE, 12(4), 11–23. 13p.</w:t>
      </w:r>
    </w:p>
    <w:p w14:paraId="1BD0FBDD"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Ibrahim, Boubacar., (2012). Characterization of rainy seasons in Burkina Faso in a climate change context and assessment of hydrological impacts on the Nakanbé basin (Doctoral dissertation, Université Pierre et Marie Curie-Paris VI). 246p.</w:t>
      </w:r>
    </w:p>
    <w:p w14:paraId="3B5B0688"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lastRenderedPageBreak/>
        <w:t>Iskander, Benhadj., (2008). Spatial observation of irrigation in semi-arid agrosystems and sustainable management of water resources in the Marrakech plain (Doctoral dissertation, Université Paul Sabatier-Toulouse III). 299p.</w:t>
      </w:r>
    </w:p>
    <w:p w14:paraId="2E16608E"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Jihène, Abid, Karray., (2006). Water balance of an intercropping system (olive–vegetable crop) in central Tunisia: experimental approach and modeling attempt. Diss. Université de Montpellier. 200p.</w:t>
      </w:r>
    </w:p>
    <w:p w14:paraId="2B82F690"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Kodja, Domiho, Japhet., (2018). Indicators of extreme hydroclimatic events in the Ouémé watershed at the Bonou outlet in West Africa. Geography, Université Montpellier; Université d’Abomey-Calavi (UAC), Benin. 288p. NNT: 2018MONTG014.</w:t>
      </w:r>
    </w:p>
    <w:p w14:paraId="5A39B705"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Lardia, Ali, Bougma., Mahamadi Hamed, Ouedraogo., Nerbéwendé, Sawadogo., Mahamadou, Sawadogo., Didier, Balma., and Ronnie, Vernooy., (2018). Farmers’ perceptions of the impact of climate change on millet in the Sahelian and Sudanian–Sahelian zones of Burkina Faso. Afrique Sciences, 14(4), 264–275. 12p.</w:t>
      </w:r>
    </w:p>
    <w:p w14:paraId="732F2A4F"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Meridja, Samir., (2011). Biophysical approach to the processes of development and growth of plant covers: interaction with water stress and optimization of cropping practices in a Mediterranean climate (Doctoral dissertation, AgroParisTech). 180p.</w:t>
      </w:r>
    </w:p>
    <w:p w14:paraId="7376FD53"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Mohammed, Ruqayah., Scholz, Miklas., (2023). Quality Control and Homogeneity Analysis of Precipitation Time Series in the Climatic Region of Iraq. Atmosphere, 14, 197. https://doi.org/10.3390/atmos14020197. 24p.</w:t>
      </w:r>
    </w:p>
    <w:p w14:paraId="36E15742"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Mzoughi, Mohamed., (2023). Olive growing in semi-arid regions: variability of production and climate, physical environment and agricultural practices. The case of the Menzel Chaker delegation (central Tunisia) (Doctoral dissertation, Université Paris Cité). 262p.</w:t>
      </w:r>
    </w:p>
    <w:p w14:paraId="7DDD4D6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Ndaw, Ndioufa., Sow, Moussa., and Sy, Boubou, Aldiouma., (2025). Incidences of climate variability on horticultural production in the Central Niayes (North-West Senegal). Université Gaston Berger, Senegal; Université du Sine Saloum Elhadj Ibrahima Niass, Kaolack, Senegal. 16p.</w:t>
      </w:r>
    </w:p>
    <w:p w14:paraId="2DF02F42"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NIANG, Aminata Khoury Moundaye., (2014). Peri-urban market gardening in Dakar: spatio-temporal dynamics, constraints and adaptation strategies in the Grande Niaye de Pikine (Senegal). Final study dissertation for the Master’s degree in Sustainable Land Management, Training and Research Department. 90p.</w:t>
      </w:r>
    </w:p>
    <w:p w14:paraId="7251B6BD"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Ouédraogo, Ibrahim., Bonkoungou, Joachim., and Yanogo Pengdwendé, Isidore., (2022). Climate-smart agriculture in a context of climate change and climatic variability in sub-Saharan Africa. Djiboul, 4(3), 546–561. 16p.</w:t>
      </w:r>
    </w:p>
    <w:p w14:paraId="43DC609A"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Ouedraogo, Mathieu., (2012). Impact of climate change on agricultural incomes in Burkina Faso. Journal of Agriculture and Environment for International Development (JAEID), 106(1), 3–21. 19p.</w:t>
      </w:r>
    </w:p>
    <w:p w14:paraId="7872DC2B"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Roger, Blein., Bio, Goura, Soulé., Benoît, Faivre, Dupaigre., Borgui, Yérima., (2008). Agricultural potentialities of West Africa. CEDEAO, Farm. 119p.</w:t>
      </w:r>
    </w:p>
    <w:p w14:paraId="697550D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S., Ardoin-Bardin., A., Dezetter., E., Servat., G., Mahé., J. E., Paturel., C., Dieulin., and L., Casenave., (2005). Evaluation of climate change impacts. Regional Hydrological Impacts of Climatic Change: Hydroclimatic variability, 194. 9p.</w:t>
      </w:r>
    </w:p>
    <w:p w14:paraId="54ABEFD9"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lastRenderedPageBreak/>
        <w:t>Séraphin, Capo, Atidegla., Hervé, Dègla, Koumassi., and Elvire, Sènan, Houssou., (2017). Climatic variability and vegetable production in the Ahomey-Gblon floodplain in Benin. Int. J. Biol. Chem. Sci, 11(5), 2254–2269. 16p.</w:t>
      </w:r>
    </w:p>
    <w:p w14:paraId="631D2F32"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Siégnounou, Bognini., (2011). Impacts of climate change on vegetable crops in northern Burkina Faso: case of Ouahigouya. Ouagadougou, Burkina Faso. 38p.</w:t>
      </w:r>
    </w:p>
    <w:p w14:paraId="71A8896C" w14:textId="77777777" w:rsidR="00AE2784" w:rsidRPr="00FC72D1" w:rsidRDefault="00AE2784" w:rsidP="00835806">
      <w:pPr>
        <w:spacing w:after="0" w:line="360" w:lineRule="auto"/>
        <w:jc w:val="both"/>
        <w:rPr>
          <w:rFonts w:ascii="Arial" w:eastAsia="Times New Roman" w:hAnsi="Arial" w:cs="Arial"/>
          <w:kern w:val="0"/>
          <w:sz w:val="20"/>
          <w:szCs w:val="20"/>
          <w14:ligatures w14:val="none"/>
        </w:rPr>
      </w:pPr>
      <w:r w:rsidRPr="00FC72D1">
        <w:rPr>
          <w:rFonts w:ascii="Arial" w:eastAsia="Times New Roman" w:hAnsi="Arial" w:cs="Arial"/>
          <w:kern w:val="0"/>
          <w:sz w:val="20"/>
          <w:szCs w:val="20"/>
          <w14:ligatures w14:val="none"/>
        </w:rPr>
        <w:t>Yameogo, Joseph., (2025). Analysis of soil moisture trends in Burkina Faso between 1981 and 2020 using the innovative Şen trend method. 38p.</w:t>
      </w:r>
    </w:p>
    <w:p w14:paraId="7A5FB263" w14:textId="77777777" w:rsidR="00AE2784" w:rsidRPr="00FC72D1" w:rsidRDefault="00AE2784" w:rsidP="00AE2784">
      <w:pPr>
        <w:spacing w:before="100" w:beforeAutospacing="1" w:after="100" w:afterAutospacing="1" w:line="360" w:lineRule="auto"/>
        <w:rPr>
          <w:rFonts w:ascii="Arial" w:eastAsia="Times New Roman" w:hAnsi="Arial" w:cs="Arial"/>
          <w:kern w:val="0"/>
          <w:sz w:val="20"/>
          <w:szCs w:val="20"/>
          <w14:ligatures w14:val="none"/>
        </w:rPr>
      </w:pPr>
    </w:p>
    <w:p w14:paraId="2AA895C8"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1C41D89E"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5E16108C"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173B41DB"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13EEDCCF" w14:textId="77777777" w:rsidR="00046F61" w:rsidRPr="00FC72D1" w:rsidRDefault="00046F61" w:rsidP="00046F61">
      <w:pPr>
        <w:spacing w:before="100" w:beforeAutospacing="1" w:after="100" w:afterAutospacing="1" w:line="360" w:lineRule="auto"/>
        <w:rPr>
          <w:rFonts w:ascii="Arial" w:eastAsia="Times New Roman" w:hAnsi="Arial" w:cs="Arial"/>
          <w:kern w:val="0"/>
          <w:sz w:val="20"/>
          <w:szCs w:val="20"/>
          <w14:ligatures w14:val="none"/>
        </w:rPr>
      </w:pPr>
    </w:p>
    <w:p w14:paraId="330359FA" w14:textId="77777777" w:rsidR="00B31F25" w:rsidRPr="00FC72D1" w:rsidRDefault="00B31F25" w:rsidP="00B31F25">
      <w:pPr>
        <w:spacing w:before="100" w:beforeAutospacing="1" w:after="100" w:afterAutospacing="1" w:line="360" w:lineRule="auto"/>
        <w:rPr>
          <w:rFonts w:ascii="Arial" w:eastAsia="Times New Roman" w:hAnsi="Arial" w:cs="Arial"/>
          <w:kern w:val="0"/>
          <w:sz w:val="20"/>
          <w:szCs w:val="20"/>
          <w14:ligatures w14:val="none"/>
        </w:rPr>
      </w:pPr>
    </w:p>
    <w:p w14:paraId="00E60600" w14:textId="77777777" w:rsidR="009D566F" w:rsidRPr="00FC72D1" w:rsidRDefault="009D566F" w:rsidP="009D566F">
      <w:pPr>
        <w:spacing w:before="100" w:beforeAutospacing="1" w:after="100" w:afterAutospacing="1" w:line="360" w:lineRule="auto"/>
        <w:rPr>
          <w:rFonts w:ascii="Arial" w:eastAsia="Times New Roman" w:hAnsi="Arial" w:cs="Arial"/>
          <w:kern w:val="0"/>
          <w:sz w:val="20"/>
          <w:szCs w:val="20"/>
          <w14:ligatures w14:val="none"/>
        </w:rPr>
      </w:pPr>
    </w:p>
    <w:p w14:paraId="7A286510" w14:textId="77777777" w:rsidR="009D566F" w:rsidRPr="00FC72D1" w:rsidRDefault="009D566F" w:rsidP="009D566F">
      <w:pPr>
        <w:spacing w:before="100" w:beforeAutospacing="1" w:after="100" w:afterAutospacing="1" w:line="360" w:lineRule="auto"/>
        <w:rPr>
          <w:rFonts w:ascii="Arial" w:eastAsia="Times New Roman" w:hAnsi="Arial" w:cs="Arial"/>
          <w:kern w:val="0"/>
          <w:sz w:val="20"/>
          <w:szCs w:val="20"/>
          <w14:ligatures w14:val="none"/>
        </w:rPr>
      </w:pPr>
    </w:p>
    <w:p w14:paraId="7C699AF9" w14:textId="1655C766" w:rsidR="0028167F" w:rsidRPr="00FC72D1" w:rsidRDefault="0028167F" w:rsidP="0028167F">
      <w:pPr>
        <w:tabs>
          <w:tab w:val="left" w:pos="6135"/>
        </w:tabs>
        <w:rPr>
          <w:rFonts w:ascii="Arial" w:hAnsi="Arial" w:cs="Arial"/>
          <w:sz w:val="22"/>
          <w:szCs w:val="22"/>
        </w:rPr>
      </w:pPr>
    </w:p>
    <w:sectPr w:rsidR="0028167F" w:rsidRPr="00FC72D1">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E0332" w14:textId="77777777" w:rsidR="00D40E9D" w:rsidRDefault="00D40E9D" w:rsidP="00E32398">
      <w:pPr>
        <w:spacing w:after="0" w:line="240" w:lineRule="auto"/>
      </w:pPr>
      <w:r>
        <w:separator/>
      </w:r>
    </w:p>
  </w:endnote>
  <w:endnote w:type="continuationSeparator" w:id="0">
    <w:p w14:paraId="4BF95A7F" w14:textId="77777777" w:rsidR="00D40E9D" w:rsidRDefault="00D40E9D" w:rsidP="00E3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6832" w14:textId="77777777" w:rsidR="00E32398" w:rsidRDefault="00E3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0303" w14:textId="77777777" w:rsidR="00E32398" w:rsidRDefault="00E32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21BD" w14:textId="77777777" w:rsidR="00E32398" w:rsidRDefault="00E3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8D72" w14:textId="77777777" w:rsidR="00D40E9D" w:rsidRDefault="00D40E9D" w:rsidP="00E32398">
      <w:pPr>
        <w:spacing w:after="0" w:line="240" w:lineRule="auto"/>
      </w:pPr>
      <w:r>
        <w:separator/>
      </w:r>
    </w:p>
  </w:footnote>
  <w:footnote w:type="continuationSeparator" w:id="0">
    <w:p w14:paraId="597F5ED7" w14:textId="77777777" w:rsidR="00D40E9D" w:rsidRDefault="00D40E9D" w:rsidP="00E3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EB90" w14:textId="02E96EB9" w:rsidR="00E32398" w:rsidRDefault="00E32398">
    <w:pPr>
      <w:pStyle w:val="Header"/>
    </w:pPr>
    <w:r>
      <w:rPr>
        <w:noProof/>
      </w:rPr>
      <w:pict w14:anchorId="590DD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6145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8241" w14:textId="3ABF8893" w:rsidR="00E32398" w:rsidRDefault="00E32398">
    <w:pPr>
      <w:pStyle w:val="Header"/>
    </w:pPr>
    <w:r>
      <w:rPr>
        <w:noProof/>
      </w:rPr>
      <w:pict w14:anchorId="70F9D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6145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32EE" w14:textId="13B9A9A9" w:rsidR="00E32398" w:rsidRDefault="00E32398">
    <w:pPr>
      <w:pStyle w:val="Header"/>
    </w:pPr>
    <w:r>
      <w:rPr>
        <w:noProof/>
      </w:rPr>
      <w:pict w14:anchorId="66A99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6145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6844"/>
    <w:multiLevelType w:val="multilevel"/>
    <w:tmpl w:val="741497BC"/>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 w15:restartNumberingAfterBreak="0">
    <w:nsid w:val="49CC6E91"/>
    <w:multiLevelType w:val="multilevel"/>
    <w:tmpl w:val="D3B67088"/>
    <w:lvl w:ilvl="0">
      <w:start w:val="1"/>
      <w:numFmt w:val="decimal"/>
      <w:lvlText w:val="%1."/>
      <w:lvlJc w:val="left"/>
      <w:pPr>
        <w:ind w:left="2880" w:hanging="360"/>
      </w:pPr>
      <w:rPr>
        <w:rFonts w:hint="default"/>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5B7276D8"/>
    <w:multiLevelType w:val="multilevel"/>
    <w:tmpl w:val="6412A03C"/>
    <w:lvl w:ilvl="0">
      <w:start w:val="1"/>
      <w:numFmt w:val="decimal"/>
      <w:lvlText w:val="%1."/>
      <w:lvlJc w:val="left"/>
      <w:pPr>
        <w:ind w:left="2520" w:hanging="360"/>
      </w:pPr>
      <w:rPr>
        <w:rFonts w:hint="default"/>
      </w:rPr>
    </w:lvl>
    <w:lvl w:ilvl="1">
      <w:start w:val="1"/>
      <w:numFmt w:val="decimal"/>
      <w:isLgl/>
      <w:lvlText w:val="%1.%2."/>
      <w:lvlJc w:val="left"/>
      <w:pPr>
        <w:ind w:left="2880" w:hanging="360"/>
      </w:pPr>
      <w:rPr>
        <w:rFonts w:asciiTheme="minorHAnsi" w:hAnsiTheme="minorHAnsi" w:cstheme="minorBidi" w:hint="default"/>
      </w:rPr>
    </w:lvl>
    <w:lvl w:ilvl="2">
      <w:start w:val="1"/>
      <w:numFmt w:val="decimal"/>
      <w:isLgl/>
      <w:lvlText w:val="%1.%2.%3."/>
      <w:lvlJc w:val="left"/>
      <w:pPr>
        <w:ind w:left="3600" w:hanging="720"/>
      </w:pPr>
      <w:rPr>
        <w:rFonts w:asciiTheme="minorHAnsi" w:hAnsiTheme="minorHAnsi" w:cstheme="minorBidi" w:hint="default"/>
      </w:rPr>
    </w:lvl>
    <w:lvl w:ilvl="3">
      <w:start w:val="1"/>
      <w:numFmt w:val="decimal"/>
      <w:isLgl/>
      <w:lvlText w:val="%1.%2.%3.%4."/>
      <w:lvlJc w:val="left"/>
      <w:pPr>
        <w:ind w:left="3960" w:hanging="720"/>
      </w:pPr>
      <w:rPr>
        <w:rFonts w:asciiTheme="minorHAnsi" w:hAnsiTheme="minorHAnsi" w:cstheme="minorBidi" w:hint="default"/>
      </w:rPr>
    </w:lvl>
    <w:lvl w:ilvl="4">
      <w:start w:val="1"/>
      <w:numFmt w:val="decimal"/>
      <w:isLgl/>
      <w:lvlText w:val="%1.%2.%3.%4.%5."/>
      <w:lvlJc w:val="left"/>
      <w:pPr>
        <w:ind w:left="4680" w:hanging="1080"/>
      </w:pPr>
      <w:rPr>
        <w:rFonts w:asciiTheme="minorHAnsi" w:hAnsiTheme="minorHAnsi" w:cstheme="minorBidi" w:hint="default"/>
      </w:rPr>
    </w:lvl>
    <w:lvl w:ilvl="5">
      <w:start w:val="1"/>
      <w:numFmt w:val="decimal"/>
      <w:isLgl/>
      <w:lvlText w:val="%1.%2.%3.%4.%5.%6."/>
      <w:lvlJc w:val="left"/>
      <w:pPr>
        <w:ind w:left="5040" w:hanging="1080"/>
      </w:pPr>
      <w:rPr>
        <w:rFonts w:asciiTheme="minorHAnsi" w:hAnsiTheme="minorHAnsi" w:cstheme="minorBidi" w:hint="default"/>
      </w:rPr>
    </w:lvl>
    <w:lvl w:ilvl="6">
      <w:start w:val="1"/>
      <w:numFmt w:val="decimal"/>
      <w:isLgl/>
      <w:lvlText w:val="%1.%2.%3.%4.%5.%6.%7."/>
      <w:lvlJc w:val="left"/>
      <w:pPr>
        <w:ind w:left="5760" w:hanging="1440"/>
      </w:pPr>
      <w:rPr>
        <w:rFonts w:asciiTheme="minorHAnsi" w:hAnsiTheme="minorHAnsi" w:cstheme="minorBidi" w:hint="default"/>
      </w:rPr>
    </w:lvl>
    <w:lvl w:ilvl="7">
      <w:start w:val="1"/>
      <w:numFmt w:val="decimal"/>
      <w:isLgl/>
      <w:lvlText w:val="%1.%2.%3.%4.%5.%6.%7.%8."/>
      <w:lvlJc w:val="left"/>
      <w:pPr>
        <w:ind w:left="6120" w:hanging="1440"/>
      </w:pPr>
      <w:rPr>
        <w:rFonts w:asciiTheme="minorHAnsi" w:hAnsiTheme="minorHAnsi" w:cstheme="minorBidi" w:hint="default"/>
      </w:rPr>
    </w:lvl>
    <w:lvl w:ilvl="8">
      <w:start w:val="1"/>
      <w:numFmt w:val="decimal"/>
      <w:isLgl/>
      <w:lvlText w:val="%1.%2.%3.%4.%5.%6.%7.%8.%9."/>
      <w:lvlJc w:val="left"/>
      <w:pPr>
        <w:ind w:left="6840" w:hanging="1800"/>
      </w:pPr>
      <w:rPr>
        <w:rFonts w:asciiTheme="minorHAnsi" w:hAnsiTheme="minorHAnsi" w:cstheme="minorBidi"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CF"/>
    <w:rsid w:val="00046F61"/>
    <w:rsid w:val="000755AD"/>
    <w:rsid w:val="00224A89"/>
    <w:rsid w:val="002369F2"/>
    <w:rsid w:val="0028167F"/>
    <w:rsid w:val="002A4317"/>
    <w:rsid w:val="003064B0"/>
    <w:rsid w:val="00364B30"/>
    <w:rsid w:val="003A42CD"/>
    <w:rsid w:val="003C1DE6"/>
    <w:rsid w:val="003F561E"/>
    <w:rsid w:val="004524CD"/>
    <w:rsid w:val="00480BFF"/>
    <w:rsid w:val="00531821"/>
    <w:rsid w:val="0056187F"/>
    <w:rsid w:val="005C3FAC"/>
    <w:rsid w:val="005D0951"/>
    <w:rsid w:val="005D095D"/>
    <w:rsid w:val="00650210"/>
    <w:rsid w:val="0068438F"/>
    <w:rsid w:val="006937F9"/>
    <w:rsid w:val="007532A0"/>
    <w:rsid w:val="007D3008"/>
    <w:rsid w:val="00835806"/>
    <w:rsid w:val="009001E9"/>
    <w:rsid w:val="009369B8"/>
    <w:rsid w:val="00941061"/>
    <w:rsid w:val="00941A59"/>
    <w:rsid w:val="009D566F"/>
    <w:rsid w:val="00A85D57"/>
    <w:rsid w:val="00AE2784"/>
    <w:rsid w:val="00B22779"/>
    <w:rsid w:val="00B31F25"/>
    <w:rsid w:val="00B43374"/>
    <w:rsid w:val="00C35755"/>
    <w:rsid w:val="00CA0BCB"/>
    <w:rsid w:val="00D40E9D"/>
    <w:rsid w:val="00DC6E94"/>
    <w:rsid w:val="00DF7C54"/>
    <w:rsid w:val="00E210C0"/>
    <w:rsid w:val="00E32398"/>
    <w:rsid w:val="00E37259"/>
    <w:rsid w:val="00EA0A85"/>
    <w:rsid w:val="00EC6FCF"/>
    <w:rsid w:val="00ED6641"/>
    <w:rsid w:val="00F216EF"/>
    <w:rsid w:val="00F719FC"/>
    <w:rsid w:val="00F747E7"/>
    <w:rsid w:val="00F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B6F208"/>
  <w15:chartTrackingRefBased/>
  <w15:docId w15:val="{B0181557-7F20-4527-8797-6E5E0512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FCF"/>
    <w:rPr>
      <w:lang w:val="fr-FR"/>
    </w:rPr>
  </w:style>
  <w:style w:type="paragraph" w:styleId="Heading1">
    <w:name w:val="heading 1"/>
    <w:basedOn w:val="Normal"/>
    <w:next w:val="Normal"/>
    <w:link w:val="Heading1Char"/>
    <w:uiPriority w:val="9"/>
    <w:qFormat/>
    <w:rsid w:val="00EC6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CF"/>
    <w:rPr>
      <w:rFonts w:eastAsiaTheme="majorEastAsia" w:cstheme="majorBidi"/>
      <w:color w:val="272727" w:themeColor="text1" w:themeTint="D8"/>
    </w:rPr>
  </w:style>
  <w:style w:type="paragraph" w:styleId="Title">
    <w:name w:val="Title"/>
    <w:basedOn w:val="Normal"/>
    <w:next w:val="Normal"/>
    <w:link w:val="TitleChar"/>
    <w:uiPriority w:val="10"/>
    <w:qFormat/>
    <w:rsid w:val="00EC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CF"/>
    <w:pPr>
      <w:spacing w:before="160"/>
      <w:jc w:val="center"/>
    </w:pPr>
    <w:rPr>
      <w:i/>
      <w:iCs/>
      <w:color w:val="404040" w:themeColor="text1" w:themeTint="BF"/>
    </w:rPr>
  </w:style>
  <w:style w:type="character" w:customStyle="1" w:styleId="QuoteChar">
    <w:name w:val="Quote Char"/>
    <w:basedOn w:val="DefaultParagraphFont"/>
    <w:link w:val="Quote"/>
    <w:uiPriority w:val="29"/>
    <w:rsid w:val="00EC6FCF"/>
    <w:rPr>
      <w:i/>
      <w:iCs/>
      <w:color w:val="404040" w:themeColor="text1" w:themeTint="BF"/>
    </w:rPr>
  </w:style>
  <w:style w:type="paragraph" w:styleId="ListParagraph">
    <w:name w:val="List Paragraph"/>
    <w:basedOn w:val="Normal"/>
    <w:uiPriority w:val="34"/>
    <w:qFormat/>
    <w:rsid w:val="00EC6FCF"/>
    <w:pPr>
      <w:ind w:left="720"/>
      <w:contextualSpacing/>
    </w:pPr>
  </w:style>
  <w:style w:type="character" w:styleId="IntenseEmphasis">
    <w:name w:val="Intense Emphasis"/>
    <w:basedOn w:val="DefaultParagraphFont"/>
    <w:uiPriority w:val="21"/>
    <w:qFormat/>
    <w:rsid w:val="00EC6FCF"/>
    <w:rPr>
      <w:i/>
      <w:iCs/>
      <w:color w:val="2F5496" w:themeColor="accent1" w:themeShade="BF"/>
    </w:rPr>
  </w:style>
  <w:style w:type="paragraph" w:styleId="IntenseQuote">
    <w:name w:val="Intense Quote"/>
    <w:basedOn w:val="Normal"/>
    <w:next w:val="Normal"/>
    <w:link w:val="IntenseQuoteChar"/>
    <w:uiPriority w:val="30"/>
    <w:qFormat/>
    <w:rsid w:val="00EC6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FCF"/>
    <w:rPr>
      <w:i/>
      <w:iCs/>
      <w:color w:val="2F5496" w:themeColor="accent1" w:themeShade="BF"/>
    </w:rPr>
  </w:style>
  <w:style w:type="character" w:styleId="IntenseReference">
    <w:name w:val="Intense Reference"/>
    <w:basedOn w:val="DefaultParagraphFont"/>
    <w:uiPriority w:val="32"/>
    <w:qFormat/>
    <w:rsid w:val="00EC6FCF"/>
    <w:rPr>
      <w:b/>
      <w:bCs/>
      <w:smallCaps/>
      <w:color w:val="2F5496" w:themeColor="accent1" w:themeShade="BF"/>
      <w:spacing w:val="5"/>
    </w:rPr>
  </w:style>
  <w:style w:type="table" w:customStyle="1" w:styleId="Grilledutableau1">
    <w:name w:val="Grille du tableau1"/>
    <w:basedOn w:val="TableNormal"/>
    <w:next w:val="TableGrid"/>
    <w:uiPriority w:val="39"/>
    <w:rsid w:val="00EC6FCF"/>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259"/>
    <w:rPr>
      <w:rFonts w:ascii="Times New Roman" w:hAnsi="Times New Roman" w:cs="Times New Roman"/>
    </w:rPr>
  </w:style>
  <w:style w:type="paragraph" w:styleId="Caption">
    <w:name w:val="caption"/>
    <w:basedOn w:val="Normal"/>
    <w:next w:val="Normal"/>
    <w:uiPriority w:val="35"/>
    <w:unhideWhenUsed/>
    <w:qFormat/>
    <w:rsid w:val="00224A89"/>
    <w:pPr>
      <w:spacing w:after="200" w:line="240" w:lineRule="auto"/>
      <w:jc w:val="both"/>
    </w:pPr>
    <w:rPr>
      <w:rFonts w:ascii="Times New Roman" w:hAnsi="Times New Roman"/>
      <w:i/>
      <w:iCs/>
      <w:color w:val="44546A" w:themeColor="text2"/>
      <w:kern w:val="0"/>
      <w:sz w:val="18"/>
      <w:szCs w:val="18"/>
      <w14:ligatures w14:val="none"/>
    </w:rPr>
  </w:style>
  <w:style w:type="character" w:styleId="Hyperlink">
    <w:name w:val="Hyperlink"/>
    <w:basedOn w:val="DefaultParagraphFont"/>
    <w:uiPriority w:val="99"/>
    <w:unhideWhenUsed/>
    <w:rsid w:val="00FC72D1"/>
    <w:rPr>
      <w:color w:val="0563C1" w:themeColor="hyperlink"/>
      <w:u w:val="single"/>
    </w:rPr>
  </w:style>
  <w:style w:type="character" w:styleId="UnresolvedMention">
    <w:name w:val="Unresolved Mention"/>
    <w:basedOn w:val="DefaultParagraphFont"/>
    <w:uiPriority w:val="99"/>
    <w:semiHidden/>
    <w:unhideWhenUsed/>
    <w:rsid w:val="00FC72D1"/>
    <w:rPr>
      <w:color w:val="605E5C"/>
      <w:shd w:val="clear" w:color="auto" w:fill="E1DFDD"/>
    </w:rPr>
  </w:style>
  <w:style w:type="paragraph" w:styleId="Header">
    <w:name w:val="header"/>
    <w:basedOn w:val="Normal"/>
    <w:link w:val="HeaderChar"/>
    <w:uiPriority w:val="99"/>
    <w:unhideWhenUsed/>
    <w:rsid w:val="00E3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98"/>
    <w:rPr>
      <w:lang w:val="fr-FR"/>
    </w:rPr>
  </w:style>
  <w:style w:type="paragraph" w:styleId="Footer">
    <w:name w:val="footer"/>
    <w:basedOn w:val="Normal"/>
    <w:link w:val="FooterChar"/>
    <w:uiPriority w:val="99"/>
    <w:unhideWhenUsed/>
    <w:rsid w:val="00E3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98"/>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20ProBook\Downloads\jb_clim\ETP.xls"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HP%20ProBook\Downloads\jb_clim\Humidite_moyenne.xls"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HP%20ProBook\Downloads\jb_clim\Vitesse_vent.xls"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P%20ProBook\Desktop\Donn&#233;es%20J.B\Copie%20de%20TEMPERATUE(2014).xls"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20ProBook\Desktop\Donn&#233;es%20J.B\Copie%20de%20ETP(2011).xls" TargetMode="External"/></Relationships>
</file>

<file path=word/charts/_rels/chart15.xml.rels><?xml version="1.0" encoding="UTF-8" standalone="yes"?>
<Relationships xmlns="http://schemas.openxmlformats.org/package/2006/relationships"><Relationship Id="rId2" Type="http://schemas.openxmlformats.org/officeDocument/2006/relationships/oleObject" Target="file:///C:\Users\HP%20ProBook\Desktop\Donn&#233;es%20J.B\Copie%20de%20VENT(2015).xls"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HP%20ProBook\Desktop\Donn&#233;es%20J.B\Copie%20de%20HUMIDITE(2012).xls"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Classeur4"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Classeur6"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Classeur6"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Classeur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Classeur4"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Classeur6"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Classeur5"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20ProBook\Downloads\jb_clim\Vitesse_ven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(Temp_Moy)</a:t>
            </a:r>
          </a:p>
        </c:rich>
      </c:tx>
      <c:overlay val="0"/>
    </c:title>
    <c:autoTitleDeleted val="0"/>
    <c:plotArea>
      <c:layout>
        <c:manualLayout>
          <c:layoutTarget val="inner"/>
          <c:xMode val="edge"/>
          <c:yMode val="edge"/>
          <c:x val="0.21152088525937635"/>
          <c:y val="0.1556155865132243"/>
          <c:w val="0.73888160759962129"/>
          <c:h val="0.5742132041187159"/>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28.358333333333334</c:v>
                </c:pt>
                <c:pt idx="1">
                  <c:v>28.516666666666669</c:v>
                </c:pt>
                <c:pt idx="2">
                  <c:v>28.708333333333336</c:v>
                </c:pt>
                <c:pt idx="3">
                  <c:v>28.725000000000001</c:v>
                </c:pt>
                <c:pt idx="4">
                  <c:v>28.862499999999997</c:v>
                </c:pt>
                <c:pt idx="5">
                  <c:v>28.862499999999997</c:v>
                </c:pt>
                <c:pt idx="6">
                  <c:v>28.9</c:v>
                </c:pt>
                <c:pt idx="7">
                  <c:v>28.975000000000001</c:v>
                </c:pt>
                <c:pt idx="8">
                  <c:v>28.987500000000001</c:v>
                </c:pt>
                <c:pt idx="9">
                  <c:v>29.06666666666667</c:v>
                </c:pt>
                <c:pt idx="10">
                  <c:v>29.070833333333333</c:v>
                </c:pt>
                <c:pt idx="11">
                  <c:v>29.1</c:v>
                </c:pt>
                <c:pt idx="12">
                  <c:v>29.158333333333331</c:v>
                </c:pt>
                <c:pt idx="13">
                  <c:v>29.162500000000001</c:v>
                </c:pt>
                <c:pt idx="14">
                  <c:v>29.19166666666667</c:v>
                </c:pt>
                <c:pt idx="15">
                  <c:v>29.224999999999998</c:v>
                </c:pt>
                <c:pt idx="16">
                  <c:v>29.245833333333334</c:v>
                </c:pt>
                <c:pt idx="17">
                  <c:v>29.258333333333333</c:v>
                </c:pt>
                <c:pt idx="18">
                  <c:v>29.274999999999999</c:v>
                </c:pt>
                <c:pt idx="19">
                  <c:v>29.287499999999998</c:v>
                </c:pt>
                <c:pt idx="20">
                  <c:v>29.391666666666666</c:v>
                </c:pt>
                <c:pt idx="21">
                  <c:v>29.412500000000001</c:v>
                </c:pt>
                <c:pt idx="22">
                  <c:v>29.433333333333337</c:v>
                </c:pt>
                <c:pt idx="23">
                  <c:v>29.45</c:v>
                </c:pt>
                <c:pt idx="24">
                  <c:v>29.450000000000003</c:v>
                </c:pt>
                <c:pt idx="25">
                  <c:v>29.458333333333332</c:v>
                </c:pt>
                <c:pt idx="26">
                  <c:v>29.458333333333336</c:v>
                </c:pt>
                <c:pt idx="27">
                  <c:v>29.500000000000004</c:v>
                </c:pt>
                <c:pt idx="28">
                  <c:v>29.570833333333333</c:v>
                </c:pt>
                <c:pt idx="29">
                  <c:v>29.758333333333333</c:v>
                </c:pt>
              </c:numCache>
            </c:numRef>
          </c:xVal>
          <c:yVal>
            <c:numRef>
              <c:f>'Tests de normalité_HID'!$D$1:$D$30</c:f>
              <c:numCache>
                <c:formatCode>General</c:formatCode>
                <c:ptCount val="30"/>
                <c:pt idx="0">
                  <c:v>28.52759658134876</c:v>
                </c:pt>
                <c:pt idx="1">
                  <c:v>28.655529217102895</c:v>
                </c:pt>
                <c:pt idx="2">
                  <c:v>28.73266946826821</c:v>
                </c:pt>
                <c:pt idx="3">
                  <c:v>28.790455194485602</c:v>
                </c:pt>
                <c:pt idx="4">
                  <c:v>28.858607534781626</c:v>
                </c:pt>
                <c:pt idx="5">
                  <c:v>28.858607534781626</c:v>
                </c:pt>
                <c:pt idx="6">
                  <c:v>28.916131686467519</c:v>
                </c:pt>
                <c:pt idx="7">
                  <c:v>28.949994341933738</c:v>
                </c:pt>
                <c:pt idx="8">
                  <c:v>28.98160317302845</c:v>
                </c:pt>
                <c:pt idx="9">
                  <c:v>29.011520273769609</c:v>
                </c:pt>
                <c:pt idx="10">
                  <c:v>29.04016096891084</c:v>
                </c:pt>
                <c:pt idx="11">
                  <c:v>29.067847431261356</c:v>
                </c:pt>
                <c:pt idx="12">
                  <c:v>29.094841222207585</c:v>
                </c:pt>
                <c:pt idx="13">
                  <c:v>29.121364416650533</c:v>
                </c:pt>
                <c:pt idx="14">
                  <c:v>29.147614316508225</c:v>
                </c:pt>
                <c:pt idx="15">
                  <c:v>29.173774572380673</c:v>
                </c:pt>
                <c:pt idx="16">
                  <c:v>29.200024472238365</c:v>
                </c:pt>
                <c:pt idx="17">
                  <c:v>29.226547666681313</c:v>
                </c:pt>
                <c:pt idx="18">
                  <c:v>29.253541457627541</c:v>
                </c:pt>
                <c:pt idx="19">
                  <c:v>29.281227919978058</c:v>
                </c:pt>
                <c:pt idx="20">
                  <c:v>29.309868615119289</c:v>
                </c:pt>
                <c:pt idx="21">
                  <c:v>29.339785715860447</c:v>
                </c:pt>
                <c:pt idx="22">
                  <c:v>29.371394546955159</c:v>
                </c:pt>
                <c:pt idx="23">
                  <c:v>29.405257202421378</c:v>
                </c:pt>
                <c:pt idx="24">
                  <c:v>29.442177569511607</c:v>
                </c:pt>
                <c:pt idx="25">
                  <c:v>29.483385138702939</c:v>
                </c:pt>
                <c:pt idx="26">
                  <c:v>29.530933694403295</c:v>
                </c:pt>
                <c:pt idx="27">
                  <c:v>29.588719420620688</c:v>
                </c:pt>
                <c:pt idx="28">
                  <c:v>29.665859671786002</c:v>
                </c:pt>
                <c:pt idx="29">
                  <c:v>29.793792307540137</c:v>
                </c:pt>
              </c:numCache>
            </c:numRef>
          </c:yVal>
          <c:smooth val="0"/>
          <c:extLst>
            <c:ext xmlns:c16="http://schemas.microsoft.com/office/drawing/2014/chart" uri="{C3380CC4-5D6E-409C-BE32-E72D297353CC}">
              <c16:uniqueId val="{00000000-DCFF-4ECB-8AF1-9428C02521A8}"/>
            </c:ext>
          </c:extLst>
        </c:ser>
        <c:ser>
          <c:idx val="1"/>
          <c:order val="1"/>
          <c:spPr>
            <a:ln w="6350">
              <a:solidFill>
                <a:srgbClr val="000000"/>
              </a:solidFill>
              <a:prstDash val="lgDash"/>
            </a:ln>
          </c:spPr>
          <c:marker>
            <c:symbol val="none"/>
          </c:marker>
          <c:xVal>
            <c:numLit>
              <c:formatCode>General</c:formatCode>
              <c:ptCount val="2"/>
              <c:pt idx="0">
                <c:v>28</c:v>
              </c:pt>
              <c:pt idx="1">
                <c:v>30</c:v>
              </c:pt>
            </c:numLit>
          </c:xVal>
          <c:yVal>
            <c:numLit>
              <c:formatCode>General</c:formatCode>
              <c:ptCount val="2"/>
              <c:pt idx="0">
                <c:v>28</c:v>
              </c:pt>
              <c:pt idx="1">
                <c:v>30</c:v>
              </c:pt>
            </c:numLit>
          </c:yVal>
          <c:smooth val="0"/>
          <c:extLst>
            <c:ext xmlns:c16="http://schemas.microsoft.com/office/drawing/2014/chart" uri="{C3380CC4-5D6E-409C-BE32-E72D297353CC}">
              <c16:uniqueId val="{00000001-DCFF-4ECB-8AF1-9428C02521A8}"/>
            </c:ext>
          </c:extLst>
        </c:ser>
        <c:dLbls>
          <c:showLegendKey val="0"/>
          <c:showVal val="0"/>
          <c:showCatName val="0"/>
          <c:showSerName val="0"/>
          <c:showPercent val="0"/>
          <c:showBubbleSize val="0"/>
        </c:dLbls>
        <c:axId val="1458078303"/>
        <c:axId val="1458088863"/>
      </c:scatterChart>
      <c:valAx>
        <c:axId val="1458078303"/>
        <c:scaling>
          <c:orientation val="minMax"/>
          <c:max val="30"/>
          <c:min val="28"/>
        </c:scaling>
        <c:delete val="0"/>
        <c:axPos val="b"/>
        <c:title>
          <c:tx>
            <c:rich>
              <a:bodyPr/>
              <a:lstStyle/>
              <a:p>
                <a:pPr>
                  <a:defRPr sz="800" b="0">
                    <a:latin typeface="Arial"/>
                    <a:ea typeface="Arial"/>
                    <a:cs typeface="Arial"/>
                  </a:defRPr>
                </a:pPr>
                <a:r>
                  <a:rPr lang="en-US"/>
                  <a:t>Temp_Moy</a:t>
                </a:r>
              </a:p>
            </c:rich>
          </c:tx>
          <c:overlay val="0"/>
        </c:title>
        <c:numFmt formatCode="General" sourceLinked="0"/>
        <c:majorTickMark val="cross"/>
        <c:minorTickMark val="none"/>
        <c:tickLblPos val="nextTo"/>
        <c:txPr>
          <a:bodyPr rot="0" vert="horz"/>
          <a:lstStyle/>
          <a:p>
            <a:pPr>
              <a:defRPr sz="700"/>
            </a:pPr>
            <a:endParaRPr lang="en-US"/>
          </a:p>
        </c:txPr>
        <c:crossAx val="1458088863"/>
        <c:crosses val="autoZero"/>
        <c:crossBetween val="midCat"/>
      </c:valAx>
      <c:valAx>
        <c:axId val="1458088863"/>
        <c:scaling>
          <c:orientation val="minMax"/>
          <c:max val="30"/>
          <c:min val="28"/>
        </c:scaling>
        <c:delete val="0"/>
        <c:axPos val="l"/>
        <c:title>
          <c:tx>
            <c:rich>
              <a:bodyPr/>
              <a:lstStyle/>
              <a:p>
                <a:pPr>
                  <a:defRPr sz="800" b="0">
                    <a:latin typeface="Arial"/>
                    <a:ea typeface="Arial"/>
                    <a:cs typeface="Arial"/>
                  </a:defRPr>
                </a:pPr>
                <a:r>
                  <a:rPr lang="en-US"/>
                  <a:t>Quantile - Normale (29,16; 0,32)</a:t>
                </a:r>
              </a:p>
            </c:rich>
          </c:tx>
          <c:overlay val="0"/>
        </c:title>
        <c:numFmt formatCode="General" sourceLinked="0"/>
        <c:majorTickMark val="cross"/>
        <c:minorTickMark val="none"/>
        <c:tickLblPos val="nextTo"/>
        <c:txPr>
          <a:bodyPr/>
          <a:lstStyle/>
          <a:p>
            <a:pPr>
              <a:defRPr sz="700"/>
            </a:pPr>
            <a:endParaRPr lang="en-US"/>
          </a:p>
        </c:txPr>
        <c:crossAx val="1458078303"/>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ETP</a:t>
            </a:r>
          </a:p>
        </c:rich>
      </c:tx>
      <c:layout>
        <c:manualLayout>
          <c:xMode val="edge"/>
          <c:yMode val="edge"/>
          <c:x val="0.24920888926569243"/>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648957295784099"/>
          <c:y val="9.8965362123256864E-2"/>
          <c:w val="0.65222810530840769"/>
          <c:h val="0.66560965269540939"/>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Mann-Kend1'!$A$1:$A$29</c:f>
              <c:numCache>
                <c:formatCode>0</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'Tests de tendance de Mann-Kend1'!$B$1:$B$29</c:f>
              <c:numCache>
                <c:formatCode>0</c:formatCode>
                <c:ptCount val="29"/>
                <c:pt idx="0">
                  <c:v>161.77500000000001</c:v>
                </c:pt>
                <c:pt idx="1">
                  <c:v>164.29166666666669</c:v>
                </c:pt>
                <c:pt idx="2">
                  <c:v>171.1</c:v>
                </c:pt>
                <c:pt idx="3">
                  <c:v>173.41666666666666</c:v>
                </c:pt>
                <c:pt idx="4">
                  <c:v>174.69166666666669</c:v>
                </c:pt>
                <c:pt idx="5">
                  <c:v>172.94166666666669</c:v>
                </c:pt>
                <c:pt idx="6">
                  <c:v>174.15</c:v>
                </c:pt>
                <c:pt idx="7">
                  <c:v>170.7166666666667</c:v>
                </c:pt>
                <c:pt idx="8">
                  <c:v>177.39166666666668</c:v>
                </c:pt>
                <c:pt idx="9">
                  <c:v>177</c:v>
                </c:pt>
                <c:pt idx="10">
                  <c:v>174.60000000000002</c:v>
                </c:pt>
                <c:pt idx="11">
                  <c:v>175.24545454545455</c:v>
                </c:pt>
                <c:pt idx="12">
                  <c:v>170.76363636363635</c:v>
                </c:pt>
                <c:pt idx="13">
                  <c:v>178.74166666666667</c:v>
                </c:pt>
                <c:pt idx="14">
                  <c:v>180.53333333333333</c:v>
                </c:pt>
                <c:pt idx="15">
                  <c:v>180.00833333333335</c:v>
                </c:pt>
                <c:pt idx="16">
                  <c:v>178.57500000000002</c:v>
                </c:pt>
                <c:pt idx="17">
                  <c:v>172.88333333333333</c:v>
                </c:pt>
                <c:pt idx="18">
                  <c:v>177.24166666666667</c:v>
                </c:pt>
                <c:pt idx="19">
                  <c:v>182.23333333333335</c:v>
                </c:pt>
                <c:pt idx="20">
                  <c:v>183.80833333333337</c:v>
                </c:pt>
                <c:pt idx="21">
                  <c:v>181.29999999999998</c:v>
                </c:pt>
                <c:pt idx="22">
                  <c:v>187.55833333333331</c:v>
                </c:pt>
                <c:pt idx="23">
                  <c:v>185.05000000000004</c:v>
                </c:pt>
                <c:pt idx="24">
                  <c:v>182.32500000000002</c:v>
                </c:pt>
                <c:pt idx="25">
                  <c:v>182.28333333333333</c:v>
                </c:pt>
                <c:pt idx="26">
                  <c:v>182.82499999999996</c:v>
                </c:pt>
                <c:pt idx="27">
                  <c:v>199.05833333333337</c:v>
                </c:pt>
                <c:pt idx="28">
                  <c:v>196.00833333333333</c:v>
                </c:pt>
              </c:numCache>
            </c:numRef>
          </c:yVal>
          <c:smooth val="0"/>
          <c:extLst>
            <c:ext xmlns:c16="http://schemas.microsoft.com/office/drawing/2014/chart" uri="{C3380CC4-5D6E-409C-BE32-E72D297353CC}">
              <c16:uniqueId val="{00000000-4D59-4C68-B234-2630CC3076EC}"/>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29</c:v>
              </c:pt>
            </c:numLit>
          </c:xVal>
          <c:yVal>
            <c:numLit>
              <c:formatCode>General</c:formatCode>
              <c:ptCount val="2"/>
              <c:pt idx="0">
                <c:v>169.1273538961039</c:v>
              </c:pt>
              <c:pt idx="1">
                <c:v>188.51144480519486</c:v>
              </c:pt>
            </c:numLit>
          </c:yVal>
          <c:smooth val="0"/>
          <c:extLst>
            <c:ext xmlns:c16="http://schemas.microsoft.com/office/drawing/2014/chart" uri="{C3380CC4-5D6E-409C-BE32-E72D297353CC}">
              <c16:uniqueId val="{00000001-4D59-4C68-B234-2630CC3076EC}"/>
            </c:ext>
          </c:extLst>
        </c:ser>
        <c:dLbls>
          <c:showLegendKey val="0"/>
          <c:showVal val="0"/>
          <c:showCatName val="0"/>
          <c:showSerName val="0"/>
          <c:showPercent val="0"/>
          <c:showBubbleSize val="0"/>
        </c:dLbls>
        <c:axId val="1659275775"/>
        <c:axId val="1659273375"/>
      </c:scatterChart>
      <c:valAx>
        <c:axId val="1659275775"/>
        <c:scaling>
          <c:orientation val="minMax"/>
          <c:max val="29"/>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73375"/>
        <c:crosses val="autoZero"/>
        <c:crossBetween val="midCat"/>
        <c:majorUnit val="5"/>
      </c:valAx>
      <c:valAx>
        <c:axId val="165927337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75775"/>
        <c:crosses val="autoZero"/>
        <c:crossBetween val="midCat"/>
      </c:valAx>
      <c:spPr>
        <a:noFill/>
        <a:ln>
          <a:noFill/>
        </a:ln>
        <a:effectLst/>
      </c:spPr>
    </c:plotArea>
    <c:legend>
      <c:legendPos val="b"/>
      <c:legendEntry>
        <c:idx val="0"/>
        <c:delete val="1"/>
      </c:legendEntry>
      <c:layout>
        <c:manualLayout>
          <c:xMode val="edge"/>
          <c:yMode val="edge"/>
          <c:x val="0.51493303114062416"/>
          <c:y val="2.856617354648849E-2"/>
          <c:w val="0.4587155694757486"/>
          <c:h val="0.1065348365545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b="1" i="0" u="none" strike="noStrike" baseline="0"/>
              <a:t>Humidity</a:t>
            </a:r>
            <a:endParaRPr lang="fr-FR" sz="1200">
              <a:solidFill>
                <a:sysClr val="windowText" lastClr="000000"/>
              </a:solidFill>
            </a:endParaRPr>
          </a:p>
        </c:rich>
      </c:tx>
      <c:layout>
        <c:manualLayout>
          <c:xMode val="edge"/>
          <c:yMode val="edge"/>
          <c:x val="3.2926045016077155E-2"/>
          <c:y val="1.867413632119514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5835481175785502"/>
          <c:y val="0.16806722689075632"/>
          <c:w val="0.66730435222928308"/>
          <c:h val="0.59590639405368451"/>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48.416666666666664</c:v>
                </c:pt>
                <c:pt idx="1">
                  <c:v>49.25</c:v>
                </c:pt>
                <c:pt idx="2">
                  <c:v>48.75</c:v>
                </c:pt>
                <c:pt idx="3">
                  <c:v>47.5</c:v>
                </c:pt>
                <c:pt idx="4">
                  <c:v>48.166666666666664</c:v>
                </c:pt>
                <c:pt idx="5">
                  <c:v>48.666666666666664</c:v>
                </c:pt>
                <c:pt idx="6">
                  <c:v>49.166666666666664</c:v>
                </c:pt>
                <c:pt idx="7">
                  <c:v>50.083333333333336</c:v>
                </c:pt>
                <c:pt idx="8">
                  <c:v>47.833333333333336</c:v>
                </c:pt>
                <c:pt idx="9">
                  <c:v>47.833333333333336</c:v>
                </c:pt>
                <c:pt idx="10">
                  <c:v>52</c:v>
                </c:pt>
                <c:pt idx="11">
                  <c:v>50.166666666666664</c:v>
                </c:pt>
                <c:pt idx="12">
                  <c:v>50.5</c:v>
                </c:pt>
                <c:pt idx="13">
                  <c:v>48.833333333333336</c:v>
                </c:pt>
                <c:pt idx="14">
                  <c:v>49.416666666666664</c:v>
                </c:pt>
                <c:pt idx="15">
                  <c:v>48.75</c:v>
                </c:pt>
                <c:pt idx="16">
                  <c:v>50.333333333333336</c:v>
                </c:pt>
                <c:pt idx="17">
                  <c:v>52.666666666666664</c:v>
                </c:pt>
                <c:pt idx="18">
                  <c:v>48.833333333333336</c:v>
                </c:pt>
                <c:pt idx="19">
                  <c:v>49.083333333333336</c:v>
                </c:pt>
                <c:pt idx="20">
                  <c:v>48.916666666666664</c:v>
                </c:pt>
                <c:pt idx="21">
                  <c:v>50.166666666666664</c:v>
                </c:pt>
                <c:pt idx="22">
                  <c:v>47.583333333333336</c:v>
                </c:pt>
                <c:pt idx="23">
                  <c:v>50.416666666666664</c:v>
                </c:pt>
                <c:pt idx="24">
                  <c:v>49</c:v>
                </c:pt>
                <c:pt idx="25">
                  <c:v>48.416666666666664</c:v>
                </c:pt>
                <c:pt idx="26">
                  <c:v>47.916666666666664</c:v>
                </c:pt>
                <c:pt idx="27">
                  <c:v>47.75</c:v>
                </c:pt>
                <c:pt idx="28">
                  <c:v>47.416666666666664</c:v>
                </c:pt>
                <c:pt idx="29">
                  <c:v>50.166666666666664</c:v>
                </c:pt>
              </c:numCache>
            </c:numRef>
          </c:yVal>
          <c:smooth val="0"/>
          <c:extLst>
            <c:ext xmlns:c16="http://schemas.microsoft.com/office/drawing/2014/chart" uri="{C3380CC4-5D6E-409C-BE32-E72D297353CC}">
              <c16:uniqueId val="{00000000-8D8E-4AB7-93D5-E1C563ADC095}"/>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48.875</c:v>
              </c:pt>
              <c:pt idx="1">
                <c:v>48.875</c:v>
              </c:pt>
            </c:numLit>
          </c:yVal>
          <c:smooth val="0"/>
          <c:extLst>
            <c:ext xmlns:c16="http://schemas.microsoft.com/office/drawing/2014/chart" uri="{C3380CC4-5D6E-409C-BE32-E72D297353CC}">
              <c16:uniqueId val="{00000001-8D8E-4AB7-93D5-E1C563ADC095}"/>
            </c:ext>
          </c:extLst>
        </c:ser>
        <c:dLbls>
          <c:showLegendKey val="0"/>
          <c:showVal val="0"/>
          <c:showCatName val="0"/>
          <c:showSerName val="0"/>
          <c:showPercent val="0"/>
          <c:showBubbleSize val="0"/>
        </c:dLbls>
        <c:axId val="1659214815"/>
        <c:axId val="1659218655"/>
      </c:scatterChart>
      <c:valAx>
        <c:axId val="1659214815"/>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18655"/>
        <c:crosses val="autoZero"/>
        <c:crossBetween val="midCat"/>
        <c:majorUnit val="5"/>
      </c:valAx>
      <c:valAx>
        <c:axId val="165921865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layout>
            <c:manualLayout>
              <c:xMode val="edge"/>
              <c:yMode val="edge"/>
              <c:x val="3.8585209003215437E-2"/>
              <c:y val="0.1914635670541182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14815"/>
        <c:crosses val="autoZero"/>
        <c:crossBetween val="midCat"/>
      </c:valAx>
      <c:spPr>
        <a:noFill/>
        <a:ln>
          <a:noFill/>
        </a:ln>
        <a:effectLst/>
      </c:spPr>
    </c:plotArea>
    <c:legend>
      <c:legendPos val="b"/>
      <c:legendEntry>
        <c:idx val="0"/>
        <c:delete val="1"/>
      </c:legendEntry>
      <c:layout>
        <c:manualLayout>
          <c:xMode val="edge"/>
          <c:yMode val="edge"/>
          <c:x val="0.477627616259506"/>
          <c:y val="4.0177844148791726E-2"/>
          <c:w val="0.46141101352715524"/>
          <c:h val="0.1039108258019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Vent</a:t>
            </a:r>
          </a:p>
        </c:rich>
      </c:tx>
      <c:layout>
        <c:manualLayout>
          <c:xMode val="edge"/>
          <c:yMode val="edge"/>
          <c:x val="0.24228575303221653"/>
          <c:y val="3.028773346794548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4463015858216861"/>
          <c:y val="0.1110550227158001"/>
          <c:w val="0.65095649373214781"/>
          <c:h val="0.68205113936729644"/>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1.4750000000000003</c:v>
                </c:pt>
                <c:pt idx="1">
                  <c:v>1.8583333333333334</c:v>
                </c:pt>
                <c:pt idx="2">
                  <c:v>2.1083333333333334</c:v>
                </c:pt>
                <c:pt idx="3">
                  <c:v>2.2083333333333335</c:v>
                </c:pt>
                <c:pt idx="4">
                  <c:v>2.3583333333333334</c:v>
                </c:pt>
                <c:pt idx="5">
                  <c:v>2.2166666666666668</c:v>
                </c:pt>
                <c:pt idx="6">
                  <c:v>2.416666666666667</c:v>
                </c:pt>
                <c:pt idx="7">
                  <c:v>2.2833333333333337</c:v>
                </c:pt>
                <c:pt idx="8">
                  <c:v>2.2666666666666671</c:v>
                </c:pt>
                <c:pt idx="9">
                  <c:v>2.3249999999999997</c:v>
                </c:pt>
                <c:pt idx="10">
                  <c:v>2.2666666666666671</c:v>
                </c:pt>
                <c:pt idx="11">
                  <c:v>2.3166666666666669</c:v>
                </c:pt>
                <c:pt idx="12">
                  <c:v>2.2999999999999994</c:v>
                </c:pt>
                <c:pt idx="13">
                  <c:v>2.4833333333333334</c:v>
                </c:pt>
                <c:pt idx="14">
                  <c:v>2.7749999999999999</c:v>
                </c:pt>
                <c:pt idx="15">
                  <c:v>2.8166666666666664</c:v>
                </c:pt>
                <c:pt idx="16">
                  <c:v>2.6250000000000004</c:v>
                </c:pt>
                <c:pt idx="17">
                  <c:v>2.4083333333333332</c:v>
                </c:pt>
                <c:pt idx="18">
                  <c:v>2.2250000000000001</c:v>
                </c:pt>
                <c:pt idx="19">
                  <c:v>2.6666666666666665</c:v>
                </c:pt>
                <c:pt idx="20">
                  <c:v>2.65</c:v>
                </c:pt>
                <c:pt idx="21">
                  <c:v>2.5750000000000002</c:v>
                </c:pt>
                <c:pt idx="22">
                  <c:v>2.6083333333333329</c:v>
                </c:pt>
                <c:pt idx="23">
                  <c:v>2.5916666666666668</c:v>
                </c:pt>
                <c:pt idx="24">
                  <c:v>2.5166666666666671</c:v>
                </c:pt>
                <c:pt idx="25">
                  <c:v>2.5166666666666666</c:v>
                </c:pt>
                <c:pt idx="26">
                  <c:v>2.5749999999999997</c:v>
                </c:pt>
                <c:pt idx="27">
                  <c:v>3.1583333333333332</c:v>
                </c:pt>
                <c:pt idx="28">
                  <c:v>2.8833333333333329</c:v>
                </c:pt>
                <c:pt idx="29">
                  <c:v>2.7583333333333333</c:v>
                </c:pt>
              </c:numCache>
            </c:numRef>
          </c:yVal>
          <c:smooth val="0"/>
          <c:extLst>
            <c:ext xmlns:c16="http://schemas.microsoft.com/office/drawing/2014/chart" uri="{C3380CC4-5D6E-409C-BE32-E72D297353CC}">
              <c16:uniqueId val="{00000000-DBC4-4F32-B16D-5EB6711FE02C}"/>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2.0817307692307696</c:v>
              </c:pt>
              <c:pt idx="1">
                <c:v>2.7695512820512822</c:v>
              </c:pt>
            </c:numLit>
          </c:yVal>
          <c:smooth val="0"/>
          <c:extLst>
            <c:ext xmlns:c16="http://schemas.microsoft.com/office/drawing/2014/chart" uri="{C3380CC4-5D6E-409C-BE32-E72D297353CC}">
              <c16:uniqueId val="{00000001-DBC4-4F32-B16D-5EB6711FE02C}"/>
            </c:ext>
          </c:extLst>
        </c:ser>
        <c:dLbls>
          <c:showLegendKey val="0"/>
          <c:showVal val="0"/>
          <c:showCatName val="0"/>
          <c:showSerName val="0"/>
          <c:showPercent val="0"/>
          <c:showBubbleSize val="0"/>
        </c:dLbls>
        <c:axId val="1659261855"/>
        <c:axId val="1659244095"/>
      </c:scatterChart>
      <c:valAx>
        <c:axId val="1659261855"/>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44095"/>
        <c:crosses val="autoZero"/>
        <c:crossBetween val="midCat"/>
        <c:majorUnit val="5"/>
      </c:valAx>
      <c:valAx>
        <c:axId val="165924409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61855"/>
        <c:crosses val="autoZero"/>
        <c:crossBetween val="midCat"/>
      </c:valAx>
      <c:spPr>
        <a:noFill/>
        <a:ln>
          <a:noFill/>
        </a:ln>
        <a:effectLst/>
      </c:spPr>
    </c:plotArea>
    <c:legend>
      <c:legendPos val="b"/>
      <c:legendEntry>
        <c:idx val="0"/>
        <c:delete val="1"/>
      </c:legendEntry>
      <c:layout>
        <c:manualLayout>
          <c:xMode val="edge"/>
          <c:yMode val="edge"/>
          <c:x val="0.47567880234482884"/>
          <c:y val="7.4709709766742224E-2"/>
          <c:w val="0.50160361052429425"/>
          <c:h val="0.12210649862689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90315946642626"/>
          <c:y val="0.12147729353598243"/>
          <c:w val="0.86920448999511957"/>
          <c:h val="0.63459669582118561"/>
        </c:manualLayout>
      </c:layout>
      <c:lineChart>
        <c:grouping val="standard"/>
        <c:varyColors val="0"/>
        <c:ser>
          <c:idx val="0"/>
          <c:order val="0"/>
          <c:tx>
            <c:strRef>
              <c:f>'T moy annuelle'!$B$1</c:f>
              <c:strCache>
                <c:ptCount val="1"/>
                <c:pt idx="0">
                  <c:v>T moy annuelle</c:v>
                </c:pt>
              </c:strCache>
            </c:strRef>
          </c:tx>
          <c:spPr>
            <a:ln>
              <a:solidFill>
                <a:srgbClr val="C00000"/>
              </a:solidFill>
            </a:ln>
          </c:spPr>
          <c:marker>
            <c:symbol val="none"/>
          </c:marker>
          <c:trendline>
            <c:trendlineType val="linear"/>
            <c:dispRSqr val="0"/>
            <c:dispEq val="1"/>
            <c:trendlineLbl>
              <c:layout>
                <c:manualLayout>
                  <c:x val="-2.6643109948006134E-2"/>
                  <c:y val="-0.11492198679246726"/>
                </c:manualLayout>
              </c:layout>
              <c:numFmt formatCode="General" sourceLinked="0"/>
              <c:txPr>
                <a:bodyPr/>
                <a:lstStyle/>
                <a:p>
                  <a:pPr>
                    <a:defRPr sz="800">
                      <a:solidFill>
                        <a:srgbClr val="FF0000"/>
                      </a:solidFill>
                      <a:latin typeface="Times New Roman" panose="02020603050405020304" pitchFamily="18" charset="0"/>
                      <a:cs typeface="Times New Roman" panose="02020603050405020304" pitchFamily="18" charset="0"/>
                    </a:defRPr>
                  </a:pPr>
                  <a:endParaRPr lang="en-US"/>
                </a:p>
              </c:txPr>
            </c:trendlineLbl>
          </c:trendline>
          <c:cat>
            <c:numRef>
              <c:f>'T moy annuelle'!$A$2:$A$31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'T moy annuelle'!$B$2:$B$31</c:f>
              <c:numCache>
                <c:formatCode>General</c:formatCode>
                <c:ptCount val="30"/>
                <c:pt idx="0">
                  <c:v>28.041666666666668</c:v>
                </c:pt>
                <c:pt idx="1">
                  <c:v>28.891666666666669</c:v>
                </c:pt>
                <c:pt idx="2">
                  <c:v>28.408333333333335</c:v>
                </c:pt>
                <c:pt idx="3">
                  <c:v>28.708333333333332</c:v>
                </c:pt>
                <c:pt idx="4">
                  <c:v>29.091666666666669</c:v>
                </c:pt>
                <c:pt idx="5">
                  <c:v>28.933333333333337</c:v>
                </c:pt>
                <c:pt idx="6">
                  <c:v>29.283333333333335</c:v>
                </c:pt>
                <c:pt idx="7">
                  <c:v>28.75</c:v>
                </c:pt>
                <c:pt idx="8">
                  <c:v>28.891666666666662</c:v>
                </c:pt>
                <c:pt idx="9">
                  <c:v>29.008333333333336</c:v>
                </c:pt>
                <c:pt idx="10">
                  <c:v>29.183333333333334</c:v>
                </c:pt>
                <c:pt idx="11">
                  <c:v>29.083333333333332</c:v>
                </c:pt>
                <c:pt idx="12">
                  <c:v>29.224999999999998</c:v>
                </c:pt>
                <c:pt idx="13">
                  <c:v>29.549999999999994</c:v>
                </c:pt>
                <c:pt idx="14">
                  <c:v>29.258333333333329</c:v>
                </c:pt>
                <c:pt idx="15">
                  <c:v>29.183333333333337</c:v>
                </c:pt>
                <c:pt idx="16">
                  <c:v>28.541666666666671</c:v>
                </c:pt>
                <c:pt idx="17">
                  <c:v>29.466666666666669</c:v>
                </c:pt>
                <c:pt idx="18">
                  <c:v>29.291666666666668</c:v>
                </c:pt>
                <c:pt idx="19">
                  <c:v>29.483333333333334</c:v>
                </c:pt>
                <c:pt idx="20">
                  <c:v>29.283333333333331</c:v>
                </c:pt>
                <c:pt idx="21">
                  <c:v>29.466666666666669</c:v>
                </c:pt>
                <c:pt idx="22">
                  <c:v>29.416666666666661</c:v>
                </c:pt>
                <c:pt idx="23">
                  <c:v>29.3</c:v>
                </c:pt>
                <c:pt idx="24">
                  <c:v>29.483333333333334</c:v>
                </c:pt>
                <c:pt idx="25">
                  <c:v>29.108333333333334</c:v>
                </c:pt>
                <c:pt idx="26">
                  <c:v>29.441666666666674</c:v>
                </c:pt>
                <c:pt idx="27">
                  <c:v>29.483333333333331</c:v>
                </c:pt>
                <c:pt idx="28">
                  <c:v>29.600000000000005</c:v>
                </c:pt>
                <c:pt idx="29">
                  <c:v>29.775000000000002</c:v>
                </c:pt>
              </c:numCache>
            </c:numRef>
          </c:val>
          <c:smooth val="1"/>
          <c:extLst>
            <c:ext xmlns:c16="http://schemas.microsoft.com/office/drawing/2014/chart" uri="{C3380CC4-5D6E-409C-BE32-E72D297353CC}">
              <c16:uniqueId val="{00000001-23E1-43B5-91E9-78C6380108A4}"/>
            </c:ext>
          </c:extLst>
        </c:ser>
        <c:dLbls>
          <c:showLegendKey val="0"/>
          <c:showVal val="0"/>
          <c:showCatName val="0"/>
          <c:showSerName val="0"/>
          <c:showPercent val="0"/>
          <c:showBubbleSize val="0"/>
        </c:dLbls>
        <c:smooth val="0"/>
        <c:axId val="-855640880"/>
        <c:axId val="-855640336"/>
      </c:lineChart>
      <c:catAx>
        <c:axId val="-85564088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Années</a:t>
                </a:r>
              </a:p>
            </c:rich>
          </c:tx>
          <c:layout>
            <c:manualLayout>
              <c:xMode val="edge"/>
              <c:yMode val="edge"/>
              <c:x val="0.88898233438243357"/>
              <c:y val="0.90890781509454177"/>
            </c:manualLayout>
          </c:layout>
          <c:overlay val="0"/>
        </c:title>
        <c:numFmt formatCode="General" sourceLinked="1"/>
        <c:majorTickMark val="none"/>
        <c:minorTickMark val="none"/>
        <c:tickLblPos val="nextTo"/>
        <c:spPr>
          <a:ln w="3175">
            <a:solidFill>
              <a:srgbClr val="E3E3E3"/>
            </a:solidFill>
            <a:prstDash val="solid"/>
          </a:ln>
        </c:spPr>
        <c:txPr>
          <a:bodyPr rot="-5400000" vert="horz"/>
          <a:lstStyle/>
          <a:p>
            <a:pPr>
              <a:defRPr sz="900" b="0" i="0" u="none" strike="noStrike" baseline="0">
                <a:solidFill>
                  <a:sysClr val="windowText" lastClr="000000"/>
                </a:solidFill>
                <a:latin typeface="Times New Roman" panose="02020603050405020304" pitchFamily="18" charset="0"/>
                <a:ea typeface="Calibri"/>
                <a:cs typeface="Times New Roman" panose="02020603050405020304" pitchFamily="18" charset="0"/>
              </a:defRPr>
            </a:pPr>
            <a:endParaRPr lang="en-US"/>
          </a:p>
        </c:txPr>
        <c:crossAx val="-855640336"/>
        <c:crosses val="autoZero"/>
        <c:auto val="0"/>
        <c:lblAlgn val="ctr"/>
        <c:lblOffset val="100"/>
        <c:tickLblSkip val="5"/>
        <c:tickMarkSkip val="2"/>
        <c:noMultiLvlLbl val="0"/>
      </c:catAx>
      <c:valAx>
        <c:axId val="-855640336"/>
        <c:scaling>
          <c:orientation val="minMax"/>
          <c:min val="28"/>
        </c:scaling>
        <c:delete val="0"/>
        <c:axPos val="l"/>
        <c:majorGridlines>
          <c:spPr>
            <a:ln w="3175">
              <a:solidFill>
                <a:srgbClr val="E3E3E3"/>
              </a:solidFill>
              <a:prstDash val="solid"/>
            </a:ln>
          </c:spPr>
        </c:majorGridlines>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Températue en °C</a:t>
                </a:r>
              </a:p>
            </c:rich>
          </c:tx>
          <c:layout>
            <c:manualLayout>
              <c:xMode val="edge"/>
              <c:yMode val="edge"/>
              <c:x val="5.4191981492796564E-3"/>
              <c:y val="6.156462585034015E-2"/>
            </c:manualLayout>
          </c:layout>
          <c:overlay val="0"/>
        </c:title>
        <c:numFmt formatCode="General" sourceLinked="1"/>
        <c:majorTickMark val="none"/>
        <c:minorTickMark val="none"/>
        <c:tickLblPos val="nextTo"/>
        <c:spPr>
          <a:ln w="6350">
            <a:noFill/>
          </a:ln>
        </c:spPr>
        <c:txPr>
          <a:bodyPr rot="0" vert="horz"/>
          <a:lstStyle/>
          <a:p>
            <a:pPr>
              <a:defRPr sz="900" b="0" i="0" u="none" strike="noStrike" baseline="0">
                <a:solidFill>
                  <a:sysClr val="windowText" lastClr="000000"/>
                </a:solidFill>
                <a:latin typeface="Times New Roman" panose="02020603050405020304" pitchFamily="18" charset="0"/>
                <a:ea typeface="Calibri"/>
                <a:cs typeface="Times New Roman" panose="02020603050405020304" pitchFamily="18" charset="0"/>
              </a:defRPr>
            </a:pPr>
            <a:endParaRPr lang="en-US"/>
          </a:p>
        </c:txPr>
        <c:crossAx val="-855640880"/>
        <c:crosses val="autoZero"/>
        <c:crossBetween val="between"/>
      </c:valAx>
      <c:spPr>
        <a:noFill/>
        <a:ln w="25400">
          <a:noFill/>
        </a:ln>
      </c:spPr>
    </c:plotArea>
    <c:plotVisOnly val="1"/>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02171100409077"/>
          <c:y val="7.0094462519813397E-2"/>
          <c:w val="0.85891106149760599"/>
          <c:h val="0.67709658361872405"/>
        </c:manualLayout>
      </c:layout>
      <c:barChart>
        <c:barDir val="col"/>
        <c:grouping val="clustered"/>
        <c:varyColors val="0"/>
        <c:ser>
          <c:idx val="0"/>
          <c:order val="0"/>
          <c:tx>
            <c:strRef>
              <c:f>'ETP cumul annuel'!$B$1</c:f>
              <c:strCache>
                <c:ptCount val="1"/>
                <c:pt idx="0">
                  <c:v>ETP cumul annuel</c:v>
                </c:pt>
              </c:strCache>
            </c:strRef>
          </c:tx>
          <c:spPr>
            <a:solidFill>
              <a:srgbClr val="00B0F0"/>
            </a:solidFill>
            <a:ln>
              <a:noFill/>
            </a:ln>
            <a:effectLst/>
          </c:spPr>
          <c:invertIfNegative val="0"/>
          <c:trendline>
            <c:spPr>
              <a:ln w="15875" cap="rnd">
                <a:solidFill>
                  <a:srgbClr val="FF0000"/>
                </a:solidFill>
                <a:prstDash val="sysDash"/>
              </a:ln>
              <a:effectLst/>
            </c:spPr>
            <c:trendlineType val="linear"/>
            <c:dispRSqr val="0"/>
            <c:dispEq val="1"/>
            <c:trendlineLbl>
              <c:layout>
                <c:manualLayout>
                  <c:x val="8.9787735009209911E-3"/>
                  <c:y val="-9.69773195114971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rendlineLbl>
          </c:trendline>
          <c:cat>
            <c:numRef>
              <c:f>'ETP cumul annuel'!$A$2:$A$31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'ETP cumul annuel'!$B$2:$B$31</c:f>
              <c:numCache>
                <c:formatCode>General</c:formatCode>
                <c:ptCount val="30"/>
                <c:pt idx="0">
                  <c:v>1980.7</c:v>
                </c:pt>
                <c:pt idx="1">
                  <c:v>1941.3000000000002</c:v>
                </c:pt>
                <c:pt idx="2">
                  <c:v>1971.5000000000002</c:v>
                </c:pt>
                <c:pt idx="3">
                  <c:v>2053.1999999999998</c:v>
                </c:pt>
                <c:pt idx="4">
                  <c:v>2081</c:v>
                </c:pt>
                <c:pt idx="5">
                  <c:v>2096.3000000000002</c:v>
                </c:pt>
                <c:pt idx="6">
                  <c:v>2075.3000000000002</c:v>
                </c:pt>
                <c:pt idx="7">
                  <c:v>2089.8000000000002</c:v>
                </c:pt>
                <c:pt idx="8">
                  <c:v>2048.6000000000004</c:v>
                </c:pt>
                <c:pt idx="9">
                  <c:v>2128.7000000000003</c:v>
                </c:pt>
                <c:pt idx="10">
                  <c:v>2124</c:v>
                </c:pt>
                <c:pt idx="11">
                  <c:v>2095.2000000000003</c:v>
                </c:pt>
                <c:pt idx="12">
                  <c:v>1927.7</c:v>
                </c:pt>
                <c:pt idx="13">
                  <c:v>1878.3999999999999</c:v>
                </c:pt>
                <c:pt idx="14">
                  <c:v>2144.9</c:v>
                </c:pt>
                <c:pt idx="15">
                  <c:v>2166.4</c:v>
                </c:pt>
                <c:pt idx="16">
                  <c:v>2160.1000000000004</c:v>
                </c:pt>
                <c:pt idx="17">
                  <c:v>2142.9</c:v>
                </c:pt>
                <c:pt idx="18">
                  <c:v>2074.6</c:v>
                </c:pt>
                <c:pt idx="19">
                  <c:v>2126.9</c:v>
                </c:pt>
                <c:pt idx="20">
                  <c:v>2186.8000000000002</c:v>
                </c:pt>
                <c:pt idx="21">
                  <c:v>2205.7000000000003</c:v>
                </c:pt>
                <c:pt idx="22">
                  <c:v>2175.6</c:v>
                </c:pt>
                <c:pt idx="23">
                  <c:v>2250.6999999999998</c:v>
                </c:pt>
                <c:pt idx="24">
                  <c:v>2220.6000000000004</c:v>
                </c:pt>
                <c:pt idx="25">
                  <c:v>2187.9</c:v>
                </c:pt>
                <c:pt idx="26">
                  <c:v>2187.4</c:v>
                </c:pt>
                <c:pt idx="27">
                  <c:v>2193.8999999999996</c:v>
                </c:pt>
                <c:pt idx="28">
                  <c:v>2388.7000000000003</c:v>
                </c:pt>
                <c:pt idx="29">
                  <c:v>2352.1</c:v>
                </c:pt>
              </c:numCache>
            </c:numRef>
          </c:val>
          <c:extLst>
            <c:ext xmlns:c16="http://schemas.microsoft.com/office/drawing/2014/chart" uri="{C3380CC4-5D6E-409C-BE32-E72D297353CC}">
              <c16:uniqueId val="{00000001-9980-4C6B-BD88-701A7C5FDB4A}"/>
            </c:ext>
          </c:extLst>
        </c:ser>
        <c:dLbls>
          <c:showLegendKey val="0"/>
          <c:showVal val="0"/>
          <c:showCatName val="0"/>
          <c:showSerName val="0"/>
          <c:showPercent val="0"/>
          <c:showBubbleSize val="0"/>
        </c:dLbls>
        <c:gapWidth val="100"/>
        <c:overlap val="-24"/>
        <c:axId val="-855639792"/>
        <c:axId val="-855639248"/>
      </c:barChart>
      <c:catAx>
        <c:axId val="-8556397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Années</a:t>
                </a:r>
              </a:p>
            </c:rich>
          </c:tx>
          <c:layout>
            <c:manualLayout>
              <c:xMode val="edge"/>
              <c:yMode val="edge"/>
              <c:x val="0.87837953036465211"/>
              <c:y val="0.8869718732403466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5639248"/>
        <c:crosses val="autoZero"/>
        <c:auto val="0"/>
        <c:lblAlgn val="ctr"/>
        <c:lblOffset val="100"/>
        <c:tickLblSkip val="5"/>
        <c:tickMarkSkip val="1"/>
        <c:noMultiLvlLbl val="0"/>
      </c:catAx>
      <c:valAx>
        <c:axId val="-855639248"/>
        <c:scaling>
          <c:orientation val="minMax"/>
          <c:max val="25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ETP (mm)</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563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92308893399655"/>
          <c:y val="7.8991022983113654E-2"/>
          <c:w val="0.56975240347081257"/>
          <c:h val="0.85894767638350134"/>
        </c:manualLayout>
      </c:layout>
      <c:radarChart>
        <c:radarStyle val="marker"/>
        <c:varyColors val="0"/>
        <c:ser>
          <c:idx val="0"/>
          <c:order val="0"/>
          <c:tx>
            <c:strRef>
              <c:f>Feuil1!$B$1</c:f>
              <c:strCache>
                <c:ptCount val="1"/>
                <c:pt idx="0">
                  <c:v>vitesse Moy annuelle</c:v>
                </c:pt>
              </c:strCache>
            </c:strRef>
          </c:tx>
          <c:spPr>
            <a:ln w="25400">
              <a:solidFill>
                <a:srgbClr val="666699"/>
              </a:solidFill>
              <a:prstDash val="solid"/>
            </a:ln>
          </c:spPr>
          <c:marker>
            <c:symbol val="none"/>
          </c:marker>
          <c:cat>
            <c:numRef>
              <c:f>Feuil1!$A$2:$A$31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Feuil1!$B$2:$B$31</c:f>
              <c:numCache>
                <c:formatCode>General</c:formatCode>
                <c:ptCount val="30"/>
                <c:pt idx="0">
                  <c:v>1.9416666666666667</c:v>
                </c:pt>
                <c:pt idx="1">
                  <c:v>1.4750000000000003</c:v>
                </c:pt>
                <c:pt idx="2">
                  <c:v>1.8583333333333334</c:v>
                </c:pt>
                <c:pt idx="3">
                  <c:v>2.1083333333333334</c:v>
                </c:pt>
                <c:pt idx="4">
                  <c:v>2.2083333333333335</c:v>
                </c:pt>
                <c:pt idx="5">
                  <c:v>2.3583333333333334</c:v>
                </c:pt>
                <c:pt idx="6">
                  <c:v>2.2166666666666668</c:v>
                </c:pt>
                <c:pt idx="7">
                  <c:v>2.416666666666667</c:v>
                </c:pt>
                <c:pt idx="8">
                  <c:v>2.2833333333333337</c:v>
                </c:pt>
                <c:pt idx="9">
                  <c:v>2.2666666666666671</c:v>
                </c:pt>
                <c:pt idx="10">
                  <c:v>2.3249999999999997</c:v>
                </c:pt>
                <c:pt idx="11">
                  <c:v>2.2666666666666671</c:v>
                </c:pt>
                <c:pt idx="12">
                  <c:v>2.3166666666666669</c:v>
                </c:pt>
                <c:pt idx="13">
                  <c:v>2.2999999999999994</c:v>
                </c:pt>
                <c:pt idx="14">
                  <c:v>2.4833333333333334</c:v>
                </c:pt>
                <c:pt idx="15">
                  <c:v>2.7749999999999999</c:v>
                </c:pt>
                <c:pt idx="16">
                  <c:v>2.8166666666666664</c:v>
                </c:pt>
                <c:pt idx="17">
                  <c:v>2.6250000000000004</c:v>
                </c:pt>
                <c:pt idx="18">
                  <c:v>2.4083333333333332</c:v>
                </c:pt>
                <c:pt idx="19">
                  <c:v>2.2250000000000001</c:v>
                </c:pt>
                <c:pt idx="20">
                  <c:v>2.6666666666666665</c:v>
                </c:pt>
                <c:pt idx="21">
                  <c:v>2.65</c:v>
                </c:pt>
                <c:pt idx="22">
                  <c:v>2.5750000000000002</c:v>
                </c:pt>
                <c:pt idx="23">
                  <c:v>2.6083333333333329</c:v>
                </c:pt>
                <c:pt idx="24">
                  <c:v>2.5916666666666668</c:v>
                </c:pt>
                <c:pt idx="25">
                  <c:v>2.5166666666666671</c:v>
                </c:pt>
                <c:pt idx="26">
                  <c:v>2.5166666666666666</c:v>
                </c:pt>
                <c:pt idx="27">
                  <c:v>2.5749999999999997</c:v>
                </c:pt>
                <c:pt idx="28">
                  <c:v>3.1583333333333332</c:v>
                </c:pt>
                <c:pt idx="29">
                  <c:v>2.8833333333333329</c:v>
                </c:pt>
              </c:numCache>
            </c:numRef>
          </c:val>
          <c:extLst>
            <c:ext xmlns:c16="http://schemas.microsoft.com/office/drawing/2014/chart" uri="{C3380CC4-5D6E-409C-BE32-E72D297353CC}">
              <c16:uniqueId val="{00000000-CF8B-4646-99FB-3A8D9A606726}"/>
            </c:ext>
          </c:extLst>
        </c:ser>
        <c:dLbls>
          <c:showLegendKey val="0"/>
          <c:showVal val="0"/>
          <c:showCatName val="0"/>
          <c:showSerName val="0"/>
          <c:showPercent val="0"/>
          <c:showBubbleSize val="0"/>
        </c:dLbls>
        <c:axId val="1653131968"/>
        <c:axId val="1"/>
      </c:radarChart>
      <c:catAx>
        <c:axId val="1653131968"/>
        <c:scaling>
          <c:orientation val="minMax"/>
        </c:scaling>
        <c:delete val="0"/>
        <c:axPos val="b"/>
        <c:majorGridlines/>
        <c:numFmt formatCode="General" sourceLinked="1"/>
        <c:majorTickMark val="none"/>
        <c:minorTickMark val="none"/>
        <c:tickLblPos val="nextTo"/>
        <c:spPr>
          <a:ln w="3175">
            <a:solidFill>
              <a:srgbClr val="E3E3E3"/>
            </a:solidFill>
            <a:prstDash val="solid"/>
          </a:ln>
        </c:spPr>
        <c:txPr>
          <a:bodyPr rot="-5400000" vert="horz"/>
          <a:lstStyle/>
          <a:p>
            <a:pPr>
              <a:defRPr/>
            </a:pPr>
            <a:endParaRPr lang="en-US"/>
          </a:p>
        </c:txPr>
        <c:crossAx val="1"/>
        <c:crosses val="autoZero"/>
        <c:auto val="0"/>
        <c:lblAlgn val="ctr"/>
        <c:lblOffset val="100"/>
        <c:noMultiLvlLbl val="0"/>
      </c:catAx>
      <c:valAx>
        <c:axId val="1"/>
        <c:scaling>
          <c:orientation val="minMax"/>
        </c:scaling>
        <c:delete val="0"/>
        <c:axPos val="l"/>
        <c:majorGridlines>
          <c:spPr>
            <a:ln w="3175">
              <a:solidFill>
                <a:srgbClr val="E3E3E3"/>
              </a:solidFill>
              <a:prstDash val="solid"/>
            </a:ln>
          </c:spPr>
        </c:majorGridlines>
        <c:numFmt formatCode="General" sourceLinked="1"/>
        <c:majorTickMark val="none"/>
        <c:minorTickMark val="none"/>
        <c:tickLblPos val="nextTo"/>
        <c:spPr>
          <a:ln w="6350">
            <a:noFill/>
          </a:ln>
        </c:spPr>
        <c:txPr>
          <a:bodyPr rot="0" vert="horz"/>
          <a:lstStyle/>
          <a:p>
            <a:pPr>
              <a:defRPr sz="800" b="1">
                <a:solidFill>
                  <a:srgbClr val="FF0000"/>
                </a:solidFill>
              </a:defRPr>
            </a:pPr>
            <a:endParaRPr lang="en-US"/>
          </a:p>
        </c:txPr>
        <c:crossAx val="1653131968"/>
        <c:crosses val="autoZero"/>
        <c:crossBetween val="between"/>
      </c:valAx>
      <c:spPr>
        <a:noFill/>
        <a:ln w="25400">
          <a:noFill/>
        </a:ln>
      </c:spPr>
    </c:plotArea>
    <c:legend>
      <c:legendPos val="r"/>
      <c:layout>
        <c:manualLayout>
          <c:xMode val="edge"/>
          <c:yMode val="edge"/>
          <c:x val="0.76670607392206291"/>
          <c:y val="4.2423508720602743E-2"/>
          <c:w val="0.2060826270761956"/>
          <c:h val="7.9782004633283915E-2"/>
        </c:manualLayout>
      </c:layout>
      <c:overlay val="0"/>
    </c:legend>
    <c:plotVisOnly val="1"/>
    <c:dispBlanksAs val="gap"/>
    <c:showDLblsOverMax val="0"/>
  </c:chart>
  <c:spPr>
    <a:solidFill>
      <a:srgbClr val="FFFFFF"/>
    </a:solidFill>
    <a:ln w="12700">
      <a:solidFill>
        <a:srgbClr val="000000"/>
      </a:solidFill>
      <a:prstDash val="solid"/>
    </a:ln>
  </c:spPr>
  <c:txPr>
    <a:bodyPr/>
    <a:lstStyle/>
    <a:p>
      <a:pPr>
        <a:defRPr sz="6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24759405074368"/>
          <c:y val="4.9937578027465665E-2"/>
          <c:w val="0.85206714785651805"/>
          <c:h val="0.71089081606734639"/>
        </c:manualLayout>
      </c:layout>
      <c:barChart>
        <c:barDir val="col"/>
        <c:grouping val="clustered"/>
        <c:varyColors val="0"/>
        <c:ser>
          <c:idx val="0"/>
          <c:order val="0"/>
          <c:tx>
            <c:strRef>
              <c:f>Feuil1!$B$1</c:f>
              <c:strCache>
                <c:ptCount val="1"/>
                <c:pt idx="0">
                  <c:v>Humidité moy/annuelle en %</c:v>
                </c:pt>
              </c:strCache>
            </c:strRef>
          </c:tx>
          <c:spPr>
            <a:solidFill>
              <a:schemeClr val="accent1"/>
            </a:solidFill>
            <a:ln>
              <a:noFill/>
            </a:ln>
            <a:effectLst/>
          </c:spPr>
          <c:invertIfNegative val="0"/>
          <c:trendline>
            <c:spPr>
              <a:ln w="19050" cap="rnd">
                <a:solidFill>
                  <a:srgbClr val="FF0000"/>
                </a:solidFill>
                <a:prstDash val="sysDot"/>
              </a:ln>
              <a:effectLst/>
            </c:spPr>
            <c:trendlineType val="linear"/>
            <c:dispRSqr val="0"/>
            <c:dispEq val="1"/>
            <c:trendlineLbl>
              <c:layout>
                <c:manualLayout>
                  <c:x val="1.9567147856517936E-2"/>
                  <c:y val="-0.2720408336054767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rendlineLbl>
          </c:trendline>
          <c:cat>
            <c:numRef>
              <c:f>Feuil1!$A$2:$A$31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Feuil1!$B$2:$B$31</c:f>
              <c:numCache>
                <c:formatCode>General</c:formatCode>
                <c:ptCount val="30"/>
                <c:pt idx="0">
                  <c:v>48.416666666666664</c:v>
                </c:pt>
                <c:pt idx="1">
                  <c:v>48.416666666666664</c:v>
                </c:pt>
                <c:pt idx="2">
                  <c:v>49.25</c:v>
                </c:pt>
                <c:pt idx="3">
                  <c:v>48.75</c:v>
                </c:pt>
                <c:pt idx="4">
                  <c:v>47.5</c:v>
                </c:pt>
                <c:pt idx="5">
                  <c:v>48.166666666666664</c:v>
                </c:pt>
                <c:pt idx="6">
                  <c:v>48.666666666666664</c:v>
                </c:pt>
                <c:pt idx="7">
                  <c:v>49.166666666666664</c:v>
                </c:pt>
                <c:pt idx="8">
                  <c:v>50.083333333333336</c:v>
                </c:pt>
                <c:pt idx="9">
                  <c:v>47.833333333333336</c:v>
                </c:pt>
                <c:pt idx="10">
                  <c:v>47.833333333333336</c:v>
                </c:pt>
                <c:pt idx="11">
                  <c:v>52</c:v>
                </c:pt>
                <c:pt idx="12">
                  <c:v>50.166666666666664</c:v>
                </c:pt>
                <c:pt idx="13">
                  <c:v>50.5</c:v>
                </c:pt>
                <c:pt idx="14">
                  <c:v>48.833333333333336</c:v>
                </c:pt>
                <c:pt idx="15">
                  <c:v>49.416666666666664</c:v>
                </c:pt>
                <c:pt idx="16">
                  <c:v>48.75</c:v>
                </c:pt>
                <c:pt idx="17">
                  <c:v>50.333333333333336</c:v>
                </c:pt>
                <c:pt idx="18">
                  <c:v>52.666666666666664</c:v>
                </c:pt>
                <c:pt idx="19">
                  <c:v>48.833333333333336</c:v>
                </c:pt>
                <c:pt idx="20">
                  <c:v>49.083333333333336</c:v>
                </c:pt>
                <c:pt idx="21">
                  <c:v>48.916666666666664</c:v>
                </c:pt>
                <c:pt idx="22">
                  <c:v>50.166666666666664</c:v>
                </c:pt>
                <c:pt idx="23">
                  <c:v>47.583333333333336</c:v>
                </c:pt>
                <c:pt idx="24">
                  <c:v>50.416666666666664</c:v>
                </c:pt>
                <c:pt idx="25">
                  <c:v>49</c:v>
                </c:pt>
                <c:pt idx="26">
                  <c:v>48.416666666666664</c:v>
                </c:pt>
                <c:pt idx="27">
                  <c:v>47.916666666666664</c:v>
                </c:pt>
                <c:pt idx="28">
                  <c:v>47.75</c:v>
                </c:pt>
                <c:pt idx="29">
                  <c:v>47.416666666666664</c:v>
                </c:pt>
              </c:numCache>
            </c:numRef>
          </c:val>
          <c:extLst>
            <c:ext xmlns:c16="http://schemas.microsoft.com/office/drawing/2014/chart" uri="{C3380CC4-5D6E-409C-BE32-E72D297353CC}">
              <c16:uniqueId val="{00000001-7ED3-49E8-8248-D9165F16149E}"/>
            </c:ext>
          </c:extLst>
        </c:ser>
        <c:dLbls>
          <c:showLegendKey val="0"/>
          <c:showVal val="0"/>
          <c:showCatName val="0"/>
          <c:showSerName val="0"/>
          <c:showPercent val="0"/>
          <c:showBubbleSize val="0"/>
        </c:dLbls>
        <c:gapWidth val="219"/>
        <c:overlap val="-27"/>
        <c:axId val="1653115600"/>
        <c:axId val="1653116592"/>
      </c:barChart>
      <c:catAx>
        <c:axId val="16531156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Années</a:t>
                </a:r>
              </a:p>
            </c:rich>
          </c:tx>
          <c:layout>
            <c:manualLayout>
              <c:xMode val="edge"/>
              <c:yMode val="edge"/>
              <c:x val="0.8979547244094489"/>
              <c:y val="0.8665012034785973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3116592"/>
        <c:crosses val="autoZero"/>
        <c:auto val="1"/>
        <c:lblAlgn val="ctr"/>
        <c:lblOffset val="100"/>
        <c:tickLblSkip val="5"/>
        <c:noMultiLvlLbl val="0"/>
      </c:catAx>
      <c:valAx>
        <c:axId val="1653116592"/>
        <c:scaling>
          <c:orientation val="minMax"/>
          <c:max val="5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Humidité en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311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(ETP_Moyenne)</a:t>
            </a:r>
          </a:p>
        </c:rich>
      </c:tx>
      <c:overlay val="0"/>
    </c:title>
    <c:autoTitleDeleted val="0"/>
    <c:plotArea>
      <c:layout>
        <c:manualLayout>
          <c:layoutTarget val="inner"/>
          <c:xMode val="edge"/>
          <c:yMode val="edge"/>
          <c:x val="0.19316349306752167"/>
          <c:y val="0.16106708795158567"/>
          <c:w val="0.75455137013690465"/>
          <c:h val="0.59114423993179199"/>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normalité_HID'!$C$1:$C$29</c:f>
              <c:numCache>
                <c:formatCode>General</c:formatCode>
                <c:ptCount val="29"/>
                <c:pt idx="0">
                  <c:v>161.77500000000001</c:v>
                </c:pt>
                <c:pt idx="1">
                  <c:v>164.29166666666669</c:v>
                </c:pt>
                <c:pt idx="2">
                  <c:v>170.7166666666667</c:v>
                </c:pt>
                <c:pt idx="3">
                  <c:v>170.76363636363635</c:v>
                </c:pt>
                <c:pt idx="4">
                  <c:v>171.1</c:v>
                </c:pt>
                <c:pt idx="5">
                  <c:v>172.88333333333333</c:v>
                </c:pt>
                <c:pt idx="6">
                  <c:v>172.94166666666669</c:v>
                </c:pt>
                <c:pt idx="7">
                  <c:v>173.41666666666666</c:v>
                </c:pt>
                <c:pt idx="8">
                  <c:v>174.15</c:v>
                </c:pt>
                <c:pt idx="9">
                  <c:v>174.60000000000002</c:v>
                </c:pt>
                <c:pt idx="10">
                  <c:v>174.69166666666669</c:v>
                </c:pt>
                <c:pt idx="11">
                  <c:v>175.24545454545455</c:v>
                </c:pt>
                <c:pt idx="12">
                  <c:v>177</c:v>
                </c:pt>
                <c:pt idx="13">
                  <c:v>177.24166666666667</c:v>
                </c:pt>
                <c:pt idx="14">
                  <c:v>177.39166666666668</c:v>
                </c:pt>
                <c:pt idx="15">
                  <c:v>178.57500000000002</c:v>
                </c:pt>
                <c:pt idx="16">
                  <c:v>178.74166666666667</c:v>
                </c:pt>
                <c:pt idx="17">
                  <c:v>180.00833333333335</c:v>
                </c:pt>
                <c:pt idx="18">
                  <c:v>180.53333333333333</c:v>
                </c:pt>
                <c:pt idx="19">
                  <c:v>181.29999999999998</c:v>
                </c:pt>
                <c:pt idx="20">
                  <c:v>182.23333333333335</c:v>
                </c:pt>
                <c:pt idx="21">
                  <c:v>182.28333333333333</c:v>
                </c:pt>
                <c:pt idx="22">
                  <c:v>182.32500000000002</c:v>
                </c:pt>
                <c:pt idx="23">
                  <c:v>182.82499999999996</c:v>
                </c:pt>
                <c:pt idx="24">
                  <c:v>183.80833333333337</c:v>
                </c:pt>
                <c:pt idx="25">
                  <c:v>185.05000000000004</c:v>
                </c:pt>
                <c:pt idx="26">
                  <c:v>187.55833333333331</c:v>
                </c:pt>
                <c:pt idx="27">
                  <c:v>196.00833333333333</c:v>
                </c:pt>
                <c:pt idx="28">
                  <c:v>199.05833333333337</c:v>
                </c:pt>
              </c:numCache>
            </c:numRef>
          </c:xVal>
          <c:yVal>
            <c:numRef>
              <c:f>'Tests de normalité_HID'!$D$1:$D$29</c:f>
              <c:numCache>
                <c:formatCode>General</c:formatCode>
                <c:ptCount val="29"/>
                <c:pt idx="0">
                  <c:v>162.74366339395272</c:v>
                </c:pt>
                <c:pt idx="1">
                  <c:v>165.9136460445857</c:v>
                </c:pt>
                <c:pt idx="2">
                  <c:v>167.82831058632237</c:v>
                </c:pt>
                <c:pt idx="3">
                  <c:v>169.26470237803244</c:v>
                </c:pt>
                <c:pt idx="4">
                  <c:v>170.44831894160507</c:v>
                </c:pt>
                <c:pt idx="5">
                  <c:v>171.47557695947535</c:v>
                </c:pt>
                <c:pt idx="6">
                  <c:v>172.39734266189257</c:v>
                </c:pt>
                <c:pt idx="7">
                  <c:v>173.2441072214296</c:v>
                </c:pt>
                <c:pt idx="8">
                  <c:v>174.0358484532743</c:v>
                </c:pt>
                <c:pt idx="9">
                  <c:v>174.78657996688568</c:v>
                </c:pt>
                <c:pt idx="10">
                  <c:v>175.50670571709173</c:v>
                </c:pt>
                <c:pt idx="11">
                  <c:v>176.20435189264856</c:v>
                </c:pt>
                <c:pt idx="12">
                  <c:v>176.88617943122483</c:v>
                </c:pt>
                <c:pt idx="13">
                  <c:v>177.55791690407131</c:v>
                </c:pt>
                <c:pt idx="14">
                  <c:v>178.2247387669801</c:v>
                </c:pt>
                <c:pt idx="15">
                  <c:v>178.89156062988889</c:v>
                </c:pt>
                <c:pt idx="16">
                  <c:v>179.56329810273536</c:v>
                </c:pt>
                <c:pt idx="17">
                  <c:v>180.24512564131163</c:v>
                </c:pt>
                <c:pt idx="18">
                  <c:v>180.94277181686846</c:v>
                </c:pt>
                <c:pt idx="19">
                  <c:v>181.66289756707451</c:v>
                </c:pt>
                <c:pt idx="20">
                  <c:v>182.41362908068589</c:v>
                </c:pt>
                <c:pt idx="21">
                  <c:v>183.20537031253059</c:v>
                </c:pt>
                <c:pt idx="22">
                  <c:v>184.05213487206763</c:v>
                </c:pt>
                <c:pt idx="23">
                  <c:v>184.97390057448484</c:v>
                </c:pt>
                <c:pt idx="24">
                  <c:v>186.00115859235513</c:v>
                </c:pt>
                <c:pt idx="25">
                  <c:v>187.18477515592778</c:v>
                </c:pt>
                <c:pt idx="26">
                  <c:v>188.62116694763782</c:v>
                </c:pt>
                <c:pt idx="27">
                  <c:v>190.53583148937452</c:v>
                </c:pt>
                <c:pt idx="28">
                  <c:v>193.70581414000748</c:v>
                </c:pt>
              </c:numCache>
            </c:numRef>
          </c:yVal>
          <c:smooth val="0"/>
          <c:extLst>
            <c:ext xmlns:c16="http://schemas.microsoft.com/office/drawing/2014/chart" uri="{C3380CC4-5D6E-409C-BE32-E72D297353CC}">
              <c16:uniqueId val="{00000000-A1C3-4D7F-84CF-14E8332CBB88}"/>
            </c:ext>
          </c:extLst>
        </c:ser>
        <c:ser>
          <c:idx val="1"/>
          <c:order val="1"/>
          <c:spPr>
            <a:ln w="6350">
              <a:solidFill>
                <a:srgbClr val="000000"/>
              </a:solidFill>
              <a:prstDash val="lgDash"/>
            </a:ln>
          </c:spPr>
          <c:marker>
            <c:symbol val="none"/>
          </c:marker>
          <c:xVal>
            <c:numLit>
              <c:formatCode>General</c:formatCode>
              <c:ptCount val="2"/>
              <c:pt idx="0">
                <c:v>160</c:v>
              </c:pt>
              <c:pt idx="1">
                <c:v>200</c:v>
              </c:pt>
            </c:numLit>
          </c:xVal>
          <c:yVal>
            <c:numLit>
              <c:formatCode>General</c:formatCode>
              <c:ptCount val="2"/>
              <c:pt idx="0">
                <c:v>160</c:v>
              </c:pt>
              <c:pt idx="1">
                <c:v>200</c:v>
              </c:pt>
            </c:numLit>
          </c:yVal>
          <c:smooth val="0"/>
          <c:extLst>
            <c:ext xmlns:c16="http://schemas.microsoft.com/office/drawing/2014/chart" uri="{C3380CC4-5D6E-409C-BE32-E72D297353CC}">
              <c16:uniqueId val="{00000001-A1C3-4D7F-84CF-14E8332CBB88}"/>
            </c:ext>
          </c:extLst>
        </c:ser>
        <c:dLbls>
          <c:showLegendKey val="0"/>
          <c:showVal val="0"/>
          <c:showCatName val="0"/>
          <c:showSerName val="0"/>
          <c:showPercent val="0"/>
          <c:showBubbleSize val="0"/>
        </c:dLbls>
        <c:axId val="955229231"/>
        <c:axId val="955243631"/>
      </c:scatterChart>
      <c:valAx>
        <c:axId val="955229231"/>
        <c:scaling>
          <c:orientation val="minMax"/>
          <c:max val="200"/>
          <c:min val="160"/>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955243631"/>
        <c:crosses val="autoZero"/>
        <c:crossBetween val="midCat"/>
      </c:valAx>
      <c:valAx>
        <c:axId val="955243631"/>
        <c:scaling>
          <c:orientation val="minMax"/>
          <c:max val="200"/>
          <c:min val="160"/>
        </c:scaling>
        <c:delete val="0"/>
        <c:axPos val="l"/>
        <c:title>
          <c:tx>
            <c:rich>
              <a:bodyPr/>
              <a:lstStyle/>
              <a:p>
                <a:pPr>
                  <a:defRPr sz="800" b="0">
                    <a:latin typeface="Arial"/>
                    <a:ea typeface="Arial"/>
                    <a:cs typeface="Arial"/>
                  </a:defRPr>
                </a:pPr>
                <a:r>
                  <a:rPr lang="en-US"/>
                  <a:t>Quantile - Normale (178,22; 7,80)</a:t>
                </a:r>
              </a:p>
            </c:rich>
          </c:tx>
          <c:overlay val="0"/>
        </c:title>
        <c:numFmt formatCode="General" sourceLinked="0"/>
        <c:majorTickMark val="cross"/>
        <c:minorTickMark val="none"/>
        <c:tickLblPos val="nextTo"/>
        <c:txPr>
          <a:bodyPr/>
          <a:lstStyle/>
          <a:p>
            <a:pPr>
              <a:defRPr sz="700"/>
            </a:pPr>
            <a:endParaRPr lang="en-US"/>
          </a:p>
        </c:txPr>
        <c:crossAx val="95522923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(Vent_Moyenne)</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1.4750000000000003</c:v>
                </c:pt>
                <c:pt idx="1">
                  <c:v>1.8583333333333334</c:v>
                </c:pt>
                <c:pt idx="2">
                  <c:v>2.1083333333333334</c:v>
                </c:pt>
                <c:pt idx="3">
                  <c:v>2.2083333333333335</c:v>
                </c:pt>
                <c:pt idx="4">
                  <c:v>2.2166666666666668</c:v>
                </c:pt>
                <c:pt idx="5">
                  <c:v>2.2250000000000001</c:v>
                </c:pt>
                <c:pt idx="6">
                  <c:v>2.2666666666666671</c:v>
                </c:pt>
                <c:pt idx="7">
                  <c:v>2.2666666666666671</c:v>
                </c:pt>
                <c:pt idx="8">
                  <c:v>2.2833333333333337</c:v>
                </c:pt>
                <c:pt idx="9">
                  <c:v>2.2999999999999994</c:v>
                </c:pt>
                <c:pt idx="10">
                  <c:v>2.3166666666666669</c:v>
                </c:pt>
                <c:pt idx="11">
                  <c:v>2.3249999999999997</c:v>
                </c:pt>
                <c:pt idx="12">
                  <c:v>2.3583333333333334</c:v>
                </c:pt>
                <c:pt idx="13">
                  <c:v>2.4083333333333332</c:v>
                </c:pt>
                <c:pt idx="14">
                  <c:v>2.416666666666667</c:v>
                </c:pt>
                <c:pt idx="15">
                  <c:v>2.4833333333333334</c:v>
                </c:pt>
                <c:pt idx="16">
                  <c:v>2.5166666666666666</c:v>
                </c:pt>
                <c:pt idx="17">
                  <c:v>2.5166666666666671</c:v>
                </c:pt>
                <c:pt idx="18">
                  <c:v>2.5749999999999997</c:v>
                </c:pt>
                <c:pt idx="19">
                  <c:v>2.5750000000000002</c:v>
                </c:pt>
                <c:pt idx="20">
                  <c:v>2.5916666666666668</c:v>
                </c:pt>
                <c:pt idx="21">
                  <c:v>2.6083333333333329</c:v>
                </c:pt>
                <c:pt idx="22">
                  <c:v>2.6250000000000004</c:v>
                </c:pt>
                <c:pt idx="23">
                  <c:v>2.65</c:v>
                </c:pt>
                <c:pt idx="24">
                  <c:v>2.6666666666666665</c:v>
                </c:pt>
                <c:pt idx="25">
                  <c:v>2.7583333333333333</c:v>
                </c:pt>
                <c:pt idx="26">
                  <c:v>2.7749999999999999</c:v>
                </c:pt>
                <c:pt idx="27">
                  <c:v>2.8166666666666664</c:v>
                </c:pt>
                <c:pt idx="28">
                  <c:v>2.8833333333333329</c:v>
                </c:pt>
                <c:pt idx="29">
                  <c:v>3.1583333333333332</c:v>
                </c:pt>
              </c:numCache>
            </c:numRef>
          </c:xVal>
          <c:yVal>
            <c:numRef>
              <c:f>'Tests de normalité_HID'!$D$1:$D$30</c:f>
              <c:numCache>
                <c:formatCode>General</c:formatCode>
                <c:ptCount val="30"/>
                <c:pt idx="0">
                  <c:v>1.8124233322200825</c:v>
                </c:pt>
                <c:pt idx="1">
                  <c:v>1.9394648044920948</c:v>
                </c:pt>
                <c:pt idx="2">
                  <c:v>2.0160677058683203</c:v>
                </c:pt>
                <c:pt idx="3">
                  <c:v>2.073450903608995</c:v>
                </c:pt>
                <c:pt idx="4">
                  <c:v>2.1206682417414626</c:v>
                </c:pt>
                <c:pt idx="5">
                  <c:v>2.1615887639206397</c:v>
                </c:pt>
                <c:pt idx="6">
                  <c:v>2.2150653342607387</c:v>
                </c:pt>
                <c:pt idx="7">
                  <c:v>2.2150653342607387</c:v>
                </c:pt>
                <c:pt idx="8">
                  <c:v>2.2632673681315563</c:v>
                </c:pt>
                <c:pt idx="9">
                  <c:v>2.2929760699171693</c:v>
                </c:pt>
                <c:pt idx="10">
                  <c:v>2.3214172573920271</c:v>
                </c:pt>
                <c:pt idx="11">
                  <c:v>2.3489108591479777</c:v>
                </c:pt>
                <c:pt idx="12">
                  <c:v>2.3757166145660271</c:v>
                </c:pt>
                <c:pt idx="13">
                  <c:v>2.40205505159991</c:v>
                </c:pt>
                <c:pt idx="14">
                  <c:v>2.4281220977860225</c:v>
                </c:pt>
                <c:pt idx="15">
                  <c:v>2.4541001244362</c:v>
                </c:pt>
                <c:pt idx="16">
                  <c:v>2.4801671706223125</c:v>
                </c:pt>
                <c:pt idx="17">
                  <c:v>2.5065056076561953</c:v>
                </c:pt>
                <c:pt idx="18">
                  <c:v>2.5333113630742448</c:v>
                </c:pt>
                <c:pt idx="19">
                  <c:v>2.5608049648301954</c:v>
                </c:pt>
                <c:pt idx="20">
                  <c:v>2.5892461523050532</c:v>
                </c:pt>
                <c:pt idx="21">
                  <c:v>2.6189548540906666</c:v>
                </c:pt>
                <c:pt idx="22">
                  <c:v>2.6503435018379604</c:v>
                </c:pt>
                <c:pt idx="23">
                  <c:v>2.6839702740850071</c:v>
                </c:pt>
                <c:pt idx="24">
                  <c:v>2.7206334583015828</c:v>
                </c:pt>
                <c:pt idx="25">
                  <c:v>2.7615539804807598</c:v>
                </c:pt>
                <c:pt idx="26">
                  <c:v>2.8087713186132275</c:v>
                </c:pt>
                <c:pt idx="27">
                  <c:v>2.8661545163539022</c:v>
                </c:pt>
                <c:pt idx="28">
                  <c:v>2.9427574177301277</c:v>
                </c:pt>
                <c:pt idx="29">
                  <c:v>3.06979889000214</c:v>
                </c:pt>
              </c:numCache>
            </c:numRef>
          </c:yVal>
          <c:smooth val="0"/>
          <c:extLst>
            <c:ext xmlns:c16="http://schemas.microsoft.com/office/drawing/2014/chart" uri="{C3380CC4-5D6E-409C-BE32-E72D297353CC}">
              <c16:uniqueId val="{00000000-9896-4FD0-9D06-57D577F5329D}"/>
            </c:ext>
          </c:extLst>
        </c:ser>
        <c:ser>
          <c:idx val="1"/>
          <c:order val="1"/>
          <c:spPr>
            <a:ln w="6350">
              <a:solidFill>
                <a:srgbClr val="000000"/>
              </a:solidFill>
              <a:prstDash val="lgDash"/>
            </a:ln>
          </c:spPr>
          <c:marker>
            <c:symbol val="none"/>
          </c:marker>
          <c:xVal>
            <c:numLit>
              <c:formatCode>General</c:formatCode>
              <c:ptCount val="2"/>
              <c:pt idx="0">
                <c:v>1</c:v>
              </c:pt>
              <c:pt idx="1">
                <c:v>3.5</c:v>
              </c:pt>
            </c:numLit>
          </c:xVal>
          <c:yVal>
            <c:numLit>
              <c:formatCode>General</c:formatCode>
              <c:ptCount val="2"/>
              <c:pt idx="0">
                <c:v>1</c:v>
              </c:pt>
              <c:pt idx="1">
                <c:v>3.5</c:v>
              </c:pt>
            </c:numLit>
          </c:yVal>
          <c:smooth val="0"/>
          <c:extLst>
            <c:ext xmlns:c16="http://schemas.microsoft.com/office/drawing/2014/chart" uri="{C3380CC4-5D6E-409C-BE32-E72D297353CC}">
              <c16:uniqueId val="{00000001-9896-4FD0-9D06-57D577F5329D}"/>
            </c:ext>
          </c:extLst>
        </c:ser>
        <c:dLbls>
          <c:showLegendKey val="0"/>
          <c:showVal val="0"/>
          <c:showCatName val="0"/>
          <c:showSerName val="0"/>
          <c:showPercent val="0"/>
          <c:showBubbleSize val="0"/>
        </c:dLbls>
        <c:axId val="955247951"/>
        <c:axId val="955230671"/>
      </c:scatterChart>
      <c:valAx>
        <c:axId val="955247951"/>
        <c:scaling>
          <c:orientation val="minMax"/>
          <c:max val="3.5"/>
          <c:min val="1"/>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955230671"/>
        <c:crosses val="autoZero"/>
        <c:crossBetween val="midCat"/>
      </c:valAx>
      <c:valAx>
        <c:axId val="955230671"/>
        <c:scaling>
          <c:orientation val="minMax"/>
          <c:max val="3.5"/>
          <c:min val="1"/>
        </c:scaling>
        <c:delete val="0"/>
        <c:axPos val="l"/>
        <c:title>
          <c:tx>
            <c:rich>
              <a:bodyPr/>
              <a:lstStyle/>
              <a:p>
                <a:pPr>
                  <a:defRPr sz="800" b="0">
                    <a:latin typeface="Arial"/>
                    <a:ea typeface="Arial"/>
                    <a:cs typeface="Arial"/>
                  </a:defRPr>
                </a:pPr>
                <a:r>
                  <a:rPr lang="en-US"/>
                  <a:t>Quantile - Normale (2,44; 0,31)</a:t>
                </a:r>
              </a:p>
            </c:rich>
          </c:tx>
          <c:overlay val="0"/>
        </c:title>
        <c:numFmt formatCode="General" sourceLinked="0"/>
        <c:majorTickMark val="cross"/>
        <c:minorTickMark val="none"/>
        <c:tickLblPos val="nextTo"/>
        <c:txPr>
          <a:bodyPr/>
          <a:lstStyle/>
          <a:p>
            <a:pPr>
              <a:defRPr sz="700"/>
            </a:pPr>
            <a:endParaRPr lang="en-US"/>
          </a:p>
        </c:txPr>
        <c:crossAx val="95524795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(Humidité_Moyenne)</a:t>
            </a:r>
          </a:p>
        </c:rich>
      </c:tx>
      <c:overlay val="0"/>
    </c:title>
    <c:autoTitleDeleted val="0"/>
    <c:plotArea>
      <c:layout>
        <c:manualLayout>
          <c:layoutTarget val="inner"/>
          <c:xMode val="edge"/>
          <c:yMode val="edge"/>
          <c:x val="0.17241279917529689"/>
          <c:y val="0.16420475849609709"/>
          <c:w val="0.78270124180213907"/>
          <c:h val="0.63188081603435931"/>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1.4750000000000003</c:v>
                </c:pt>
                <c:pt idx="1">
                  <c:v>1.8583333333333334</c:v>
                </c:pt>
                <c:pt idx="2">
                  <c:v>2.1083333333333334</c:v>
                </c:pt>
                <c:pt idx="3">
                  <c:v>2.2083333333333335</c:v>
                </c:pt>
                <c:pt idx="4">
                  <c:v>2.2166666666666668</c:v>
                </c:pt>
                <c:pt idx="5">
                  <c:v>2.2250000000000001</c:v>
                </c:pt>
                <c:pt idx="6">
                  <c:v>2.2666666666666671</c:v>
                </c:pt>
                <c:pt idx="7">
                  <c:v>2.2666666666666671</c:v>
                </c:pt>
                <c:pt idx="8">
                  <c:v>2.2833333333333337</c:v>
                </c:pt>
                <c:pt idx="9">
                  <c:v>2.2999999999999994</c:v>
                </c:pt>
                <c:pt idx="10">
                  <c:v>2.3166666666666669</c:v>
                </c:pt>
                <c:pt idx="11">
                  <c:v>2.3249999999999997</c:v>
                </c:pt>
                <c:pt idx="12">
                  <c:v>2.3583333333333334</c:v>
                </c:pt>
                <c:pt idx="13">
                  <c:v>2.4083333333333332</c:v>
                </c:pt>
                <c:pt idx="14">
                  <c:v>2.416666666666667</c:v>
                </c:pt>
                <c:pt idx="15">
                  <c:v>2.4833333333333334</c:v>
                </c:pt>
                <c:pt idx="16">
                  <c:v>2.5166666666666666</c:v>
                </c:pt>
                <c:pt idx="17">
                  <c:v>2.5166666666666671</c:v>
                </c:pt>
                <c:pt idx="18">
                  <c:v>2.5749999999999997</c:v>
                </c:pt>
                <c:pt idx="19">
                  <c:v>2.5750000000000002</c:v>
                </c:pt>
                <c:pt idx="20">
                  <c:v>2.5916666666666668</c:v>
                </c:pt>
                <c:pt idx="21">
                  <c:v>2.6083333333333329</c:v>
                </c:pt>
                <c:pt idx="22">
                  <c:v>2.6250000000000004</c:v>
                </c:pt>
                <c:pt idx="23">
                  <c:v>2.65</c:v>
                </c:pt>
                <c:pt idx="24">
                  <c:v>2.6666666666666665</c:v>
                </c:pt>
                <c:pt idx="25">
                  <c:v>2.7583333333333333</c:v>
                </c:pt>
                <c:pt idx="26">
                  <c:v>2.7749999999999999</c:v>
                </c:pt>
                <c:pt idx="27">
                  <c:v>2.8166666666666664</c:v>
                </c:pt>
                <c:pt idx="28">
                  <c:v>2.8833333333333329</c:v>
                </c:pt>
                <c:pt idx="29">
                  <c:v>3.1583333333333332</c:v>
                </c:pt>
              </c:numCache>
            </c:numRef>
          </c:xVal>
          <c:yVal>
            <c:numRef>
              <c:f>'Tests de normalité_HID'!$D$1:$D$30</c:f>
              <c:numCache>
                <c:formatCode>General</c:formatCode>
                <c:ptCount val="30"/>
                <c:pt idx="0">
                  <c:v>1.8124233322200825</c:v>
                </c:pt>
                <c:pt idx="1">
                  <c:v>1.9394648044920948</c:v>
                </c:pt>
                <c:pt idx="2">
                  <c:v>2.0160677058683203</c:v>
                </c:pt>
                <c:pt idx="3">
                  <c:v>2.073450903608995</c:v>
                </c:pt>
                <c:pt idx="4">
                  <c:v>2.1206682417414626</c:v>
                </c:pt>
                <c:pt idx="5">
                  <c:v>2.1615887639206397</c:v>
                </c:pt>
                <c:pt idx="6">
                  <c:v>2.2150653342607387</c:v>
                </c:pt>
                <c:pt idx="7">
                  <c:v>2.2150653342607387</c:v>
                </c:pt>
                <c:pt idx="8">
                  <c:v>2.2632673681315563</c:v>
                </c:pt>
                <c:pt idx="9">
                  <c:v>2.2929760699171693</c:v>
                </c:pt>
                <c:pt idx="10">
                  <c:v>2.3214172573920271</c:v>
                </c:pt>
                <c:pt idx="11">
                  <c:v>2.3489108591479777</c:v>
                </c:pt>
                <c:pt idx="12">
                  <c:v>2.3757166145660271</c:v>
                </c:pt>
                <c:pt idx="13">
                  <c:v>2.40205505159991</c:v>
                </c:pt>
                <c:pt idx="14">
                  <c:v>2.4281220977860225</c:v>
                </c:pt>
                <c:pt idx="15">
                  <c:v>2.4541001244362</c:v>
                </c:pt>
                <c:pt idx="16">
                  <c:v>2.4801671706223125</c:v>
                </c:pt>
                <c:pt idx="17">
                  <c:v>2.5065056076561953</c:v>
                </c:pt>
                <c:pt idx="18">
                  <c:v>2.5333113630742448</c:v>
                </c:pt>
                <c:pt idx="19">
                  <c:v>2.5608049648301954</c:v>
                </c:pt>
                <c:pt idx="20">
                  <c:v>2.5892461523050532</c:v>
                </c:pt>
                <c:pt idx="21">
                  <c:v>2.6189548540906666</c:v>
                </c:pt>
                <c:pt idx="22">
                  <c:v>2.6503435018379604</c:v>
                </c:pt>
                <c:pt idx="23">
                  <c:v>2.6839702740850071</c:v>
                </c:pt>
                <c:pt idx="24">
                  <c:v>2.7206334583015828</c:v>
                </c:pt>
                <c:pt idx="25">
                  <c:v>2.7615539804807598</c:v>
                </c:pt>
                <c:pt idx="26">
                  <c:v>2.8087713186132275</c:v>
                </c:pt>
                <c:pt idx="27">
                  <c:v>2.8661545163539022</c:v>
                </c:pt>
                <c:pt idx="28">
                  <c:v>2.9427574177301277</c:v>
                </c:pt>
                <c:pt idx="29">
                  <c:v>3.06979889000214</c:v>
                </c:pt>
              </c:numCache>
            </c:numRef>
          </c:yVal>
          <c:smooth val="0"/>
          <c:extLst>
            <c:ext xmlns:c16="http://schemas.microsoft.com/office/drawing/2014/chart" uri="{C3380CC4-5D6E-409C-BE32-E72D297353CC}">
              <c16:uniqueId val="{00000000-F7AC-4B5D-B87B-15C1BD4DDBDF}"/>
            </c:ext>
          </c:extLst>
        </c:ser>
        <c:ser>
          <c:idx val="1"/>
          <c:order val="1"/>
          <c:spPr>
            <a:ln w="6350">
              <a:solidFill>
                <a:srgbClr val="000000"/>
              </a:solidFill>
              <a:prstDash val="lgDash"/>
            </a:ln>
          </c:spPr>
          <c:marker>
            <c:symbol val="none"/>
          </c:marker>
          <c:xVal>
            <c:numLit>
              <c:formatCode>General</c:formatCode>
              <c:ptCount val="2"/>
              <c:pt idx="0">
                <c:v>1</c:v>
              </c:pt>
              <c:pt idx="1">
                <c:v>3.5</c:v>
              </c:pt>
            </c:numLit>
          </c:xVal>
          <c:yVal>
            <c:numLit>
              <c:formatCode>General</c:formatCode>
              <c:ptCount val="2"/>
              <c:pt idx="0">
                <c:v>1</c:v>
              </c:pt>
              <c:pt idx="1">
                <c:v>3.5</c:v>
              </c:pt>
            </c:numLit>
          </c:yVal>
          <c:smooth val="0"/>
          <c:extLst>
            <c:ext xmlns:c16="http://schemas.microsoft.com/office/drawing/2014/chart" uri="{C3380CC4-5D6E-409C-BE32-E72D297353CC}">
              <c16:uniqueId val="{00000001-F7AC-4B5D-B87B-15C1BD4DDBDF}"/>
            </c:ext>
          </c:extLst>
        </c:ser>
        <c:dLbls>
          <c:showLegendKey val="0"/>
          <c:showVal val="0"/>
          <c:showCatName val="0"/>
          <c:showSerName val="0"/>
          <c:showPercent val="0"/>
          <c:showBubbleSize val="0"/>
        </c:dLbls>
        <c:axId val="955247951"/>
        <c:axId val="955230671"/>
      </c:scatterChart>
      <c:valAx>
        <c:axId val="955247951"/>
        <c:scaling>
          <c:orientation val="minMax"/>
          <c:max val="3.5"/>
          <c:min val="1"/>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955230671"/>
        <c:crosses val="autoZero"/>
        <c:crossBetween val="midCat"/>
      </c:valAx>
      <c:valAx>
        <c:axId val="955230671"/>
        <c:scaling>
          <c:orientation val="minMax"/>
          <c:max val="3.5"/>
          <c:min val="1"/>
        </c:scaling>
        <c:delete val="0"/>
        <c:axPos val="l"/>
        <c:title>
          <c:tx>
            <c:rich>
              <a:bodyPr/>
              <a:lstStyle/>
              <a:p>
                <a:pPr>
                  <a:defRPr sz="800" b="0">
                    <a:latin typeface="Arial"/>
                    <a:ea typeface="Arial"/>
                    <a:cs typeface="Arial"/>
                  </a:defRPr>
                </a:pPr>
                <a:r>
                  <a:rPr lang="en-US"/>
                  <a:t>Quantile - Normale (2,44; 0,31)</a:t>
                </a:r>
              </a:p>
            </c:rich>
          </c:tx>
          <c:overlay val="0"/>
        </c:title>
        <c:numFmt formatCode="General" sourceLinked="0"/>
        <c:majorTickMark val="cross"/>
        <c:minorTickMark val="none"/>
        <c:tickLblPos val="nextTo"/>
        <c:txPr>
          <a:bodyPr/>
          <a:lstStyle/>
          <a:p>
            <a:pPr>
              <a:defRPr sz="700"/>
            </a:pPr>
            <a:endParaRPr lang="en-US"/>
          </a:p>
        </c:txPr>
        <c:crossAx val="95524795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(Temp_Moy)</a:t>
            </a:r>
          </a:p>
        </c:rich>
      </c:tx>
      <c:overlay val="0"/>
    </c:title>
    <c:autoTitleDeleted val="0"/>
    <c:plotArea>
      <c:layout>
        <c:manualLayout>
          <c:layoutTarget val="inner"/>
          <c:xMode val="edge"/>
          <c:yMode val="edge"/>
          <c:x val="0.13656607909806731"/>
          <c:y val="0.14765863634291371"/>
          <c:w val="0.82203941481746601"/>
          <c:h val="0.64745055131135898"/>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normalité_HID'!$A$1:$A$28</c:f>
              <c:numCache>
                <c:formatCode>General</c:formatCode>
                <c:ptCount val="28"/>
                <c:pt idx="0">
                  <c:v>3.3333333333333333E-2</c:v>
                </c:pt>
                <c:pt idx="1">
                  <c:v>6.6666666666666666E-2</c:v>
                </c:pt>
                <c:pt idx="2">
                  <c:v>0.1</c:v>
                </c:pt>
                <c:pt idx="3">
                  <c:v>0.13333333333333333</c:v>
                </c:pt>
                <c:pt idx="4">
                  <c:v>0.19999999999999998</c:v>
                </c:pt>
                <c:pt idx="5">
                  <c:v>0.23333333333333331</c:v>
                </c:pt>
                <c:pt idx="6">
                  <c:v>0.26666666666666666</c:v>
                </c:pt>
                <c:pt idx="7">
                  <c:v>0.3</c:v>
                </c:pt>
                <c:pt idx="8">
                  <c:v>0.33333333333333331</c:v>
                </c:pt>
                <c:pt idx="9">
                  <c:v>0.36666666666666664</c:v>
                </c:pt>
                <c:pt idx="10">
                  <c:v>0.39999999999999997</c:v>
                </c:pt>
                <c:pt idx="11">
                  <c:v>0.43333333333333329</c:v>
                </c:pt>
                <c:pt idx="12">
                  <c:v>0.46666666666666662</c:v>
                </c:pt>
                <c:pt idx="13">
                  <c:v>0.49999999999999994</c:v>
                </c:pt>
                <c:pt idx="14">
                  <c:v>0.53333333333333333</c:v>
                </c:pt>
                <c:pt idx="15">
                  <c:v>0.56666666666666665</c:v>
                </c:pt>
                <c:pt idx="16">
                  <c:v>0.6</c:v>
                </c:pt>
                <c:pt idx="17">
                  <c:v>0.6333333333333333</c:v>
                </c:pt>
                <c:pt idx="18">
                  <c:v>0.66666666666666663</c:v>
                </c:pt>
                <c:pt idx="19">
                  <c:v>0.7</c:v>
                </c:pt>
                <c:pt idx="20">
                  <c:v>0.73333333333333328</c:v>
                </c:pt>
                <c:pt idx="21">
                  <c:v>0.76666666666666661</c:v>
                </c:pt>
                <c:pt idx="22">
                  <c:v>0.79999999999999993</c:v>
                </c:pt>
                <c:pt idx="23">
                  <c:v>0.83333333333333326</c:v>
                </c:pt>
                <c:pt idx="24">
                  <c:v>0.86666666666666659</c:v>
                </c:pt>
                <c:pt idx="25">
                  <c:v>0.89999999999999991</c:v>
                </c:pt>
                <c:pt idx="26">
                  <c:v>0.93333333333333324</c:v>
                </c:pt>
                <c:pt idx="27">
                  <c:v>0.96666666666666656</c:v>
                </c:pt>
              </c:numCache>
            </c:numRef>
          </c:xVal>
          <c:yVal>
            <c:numRef>
              <c:f>'Tests de normalité_HID'!$B$1:$B$28</c:f>
              <c:numCache>
                <c:formatCode>General</c:formatCode>
                <c:ptCount val="28"/>
                <c:pt idx="0">
                  <c:v>5.6608812618954025E-3</c:v>
                </c:pt>
                <c:pt idx="1">
                  <c:v>2.1034479734015926E-2</c:v>
                </c:pt>
                <c:pt idx="2">
                  <c:v>7.6667184821161527E-2</c:v>
                </c:pt>
                <c:pt idx="3">
                  <c:v>8.4527761934990953E-2</c:v>
                </c:pt>
                <c:pt idx="4">
                  <c:v>0.17329249450060003</c:v>
                </c:pt>
                <c:pt idx="5">
                  <c:v>0.20529172914872854</c:v>
                </c:pt>
                <c:pt idx="6">
                  <c:v>0.27889272301985479</c:v>
                </c:pt>
                <c:pt idx="7">
                  <c:v>0.29229981703461227</c:v>
                </c:pt>
                <c:pt idx="8">
                  <c:v>0.38331213200070918</c:v>
                </c:pt>
                <c:pt idx="9">
                  <c:v>0.38834255501792619</c:v>
                </c:pt>
                <c:pt idx="10">
                  <c:v>0.42403615770246184</c:v>
                </c:pt>
                <c:pt idx="11">
                  <c:v>0.49702682481065885</c:v>
                </c:pt>
                <c:pt idx="12">
                  <c:v>0.50227361329579789</c:v>
                </c:pt>
                <c:pt idx="13">
                  <c:v>0.53893938726447288</c:v>
                </c:pt>
                <c:pt idx="14">
                  <c:v>0.58042343958410125</c:v>
                </c:pt>
                <c:pt idx="15">
                  <c:v>0.60593361461591733</c:v>
                </c:pt>
                <c:pt idx="16">
                  <c:v>0.62103174446012344</c:v>
                </c:pt>
                <c:pt idx="17">
                  <c:v>0.64087515820949525</c:v>
                </c:pt>
                <c:pt idx="18">
                  <c:v>0.65551549123575736</c:v>
                </c:pt>
                <c:pt idx="19">
                  <c:v>0.76701470131475746</c:v>
                </c:pt>
                <c:pt idx="20">
                  <c:v>0.78663799123431632</c:v>
                </c:pt>
                <c:pt idx="21">
                  <c:v>0.80526234094385551</c:v>
                </c:pt>
                <c:pt idx="22">
                  <c:v>0.81942518158408784</c:v>
                </c:pt>
                <c:pt idx="23">
                  <c:v>0.81942518158409083</c:v>
                </c:pt>
                <c:pt idx="24">
                  <c:v>0.82625791362498713</c:v>
                </c:pt>
                <c:pt idx="25">
                  <c:v>0.82625791362499001</c:v>
                </c:pt>
                <c:pt idx="26">
                  <c:v>0.85791502420622712</c:v>
                </c:pt>
                <c:pt idx="27">
                  <c:v>0.90226746694871052</c:v>
                </c:pt>
              </c:numCache>
            </c:numRef>
          </c:yVal>
          <c:smooth val="0"/>
          <c:extLst>
            <c:ext xmlns:c16="http://schemas.microsoft.com/office/drawing/2014/chart" uri="{C3380CC4-5D6E-409C-BE32-E72D297353CC}">
              <c16:uniqueId val="{00000000-12F4-4E54-9F31-7B4982626A0D}"/>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12F4-4E54-9F31-7B4982626A0D}"/>
            </c:ext>
          </c:extLst>
        </c:ser>
        <c:dLbls>
          <c:showLegendKey val="0"/>
          <c:showVal val="0"/>
          <c:showCatName val="0"/>
          <c:showSerName val="0"/>
          <c:showPercent val="0"/>
          <c:showBubbleSize val="0"/>
        </c:dLbls>
        <c:axId val="1458104223"/>
        <c:axId val="1458077343"/>
      </c:scatterChart>
      <c:valAx>
        <c:axId val="1458104223"/>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1458077343"/>
        <c:crosses val="autoZero"/>
        <c:crossBetween val="midCat"/>
      </c:valAx>
      <c:valAx>
        <c:axId val="1458077343"/>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1458104223"/>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(ETP_Moyenne)</a:t>
            </a:r>
          </a:p>
        </c:rich>
      </c:tx>
      <c:overlay val="0"/>
    </c:title>
    <c:autoTitleDeleted val="0"/>
    <c:plotArea>
      <c:layout>
        <c:manualLayout>
          <c:layoutTarget val="inner"/>
          <c:xMode val="edge"/>
          <c:yMode val="edge"/>
          <c:x val="0.18230533683289588"/>
          <c:y val="0.13525021872265966"/>
          <c:w val="0.75952088980680699"/>
          <c:h val="0.6553976377952756"/>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normalité_HID'!$A$1:$A$28</c:f>
              <c:numCache>
                <c:formatCode>General</c:formatCode>
                <c:ptCount val="28"/>
                <c:pt idx="0">
                  <c:v>3.4482758620689655E-2</c:v>
                </c:pt>
                <c:pt idx="1">
                  <c:v>6.8965517241379309E-2</c:v>
                </c:pt>
                <c:pt idx="2">
                  <c:v>0.10344827586206896</c:v>
                </c:pt>
                <c:pt idx="3">
                  <c:v>0.13793103448275862</c:v>
                </c:pt>
                <c:pt idx="4">
                  <c:v>0.17241379310344829</c:v>
                </c:pt>
                <c:pt idx="5">
                  <c:v>0.20689655172413796</c:v>
                </c:pt>
                <c:pt idx="6">
                  <c:v>0.24137931034482762</c:v>
                </c:pt>
                <c:pt idx="7">
                  <c:v>0.27586206896551729</c:v>
                </c:pt>
                <c:pt idx="8">
                  <c:v>0.31034482758620696</c:v>
                </c:pt>
                <c:pt idx="9">
                  <c:v>0.34482758620689663</c:v>
                </c:pt>
                <c:pt idx="10">
                  <c:v>0.3793103448275863</c:v>
                </c:pt>
                <c:pt idx="11">
                  <c:v>0.41379310344827597</c:v>
                </c:pt>
                <c:pt idx="12">
                  <c:v>0.44827586206896564</c:v>
                </c:pt>
                <c:pt idx="13">
                  <c:v>0.4827586206896553</c:v>
                </c:pt>
                <c:pt idx="14">
                  <c:v>0.51724137931034497</c:v>
                </c:pt>
                <c:pt idx="15">
                  <c:v>0.55172413793103459</c:v>
                </c:pt>
                <c:pt idx="16">
                  <c:v>0.5862068965517242</c:v>
                </c:pt>
                <c:pt idx="17">
                  <c:v>0.62068965517241381</c:v>
                </c:pt>
                <c:pt idx="18">
                  <c:v>0.65517241379310343</c:v>
                </c:pt>
                <c:pt idx="19">
                  <c:v>0.68965517241379304</c:v>
                </c:pt>
                <c:pt idx="20">
                  <c:v>0.72413793103448265</c:v>
                </c:pt>
                <c:pt idx="21">
                  <c:v>0.75862068965517226</c:v>
                </c:pt>
                <c:pt idx="22">
                  <c:v>0.79310344827586188</c:v>
                </c:pt>
                <c:pt idx="23">
                  <c:v>0.82758620689655149</c:v>
                </c:pt>
                <c:pt idx="24">
                  <c:v>0.8620689655172411</c:v>
                </c:pt>
                <c:pt idx="25">
                  <c:v>0.89655172413793072</c:v>
                </c:pt>
                <c:pt idx="26">
                  <c:v>0.93103448275862033</c:v>
                </c:pt>
                <c:pt idx="27">
                  <c:v>0.96551724137930994</c:v>
                </c:pt>
              </c:numCache>
            </c:numRef>
          </c:xVal>
          <c:yVal>
            <c:numRef>
              <c:f>'Tests de normalité_HID'!$B$1:$B$28</c:f>
              <c:numCache>
                <c:formatCode>General</c:formatCode>
                <c:ptCount val="28"/>
                <c:pt idx="0">
                  <c:v>1.7501445841643908E-2</c:v>
                </c:pt>
                <c:pt idx="1">
                  <c:v>3.7068285170145286E-2</c:v>
                </c:pt>
                <c:pt idx="2">
                  <c:v>0.16795141705921554</c:v>
                </c:pt>
                <c:pt idx="3">
                  <c:v>0.16946735897404677</c:v>
                </c:pt>
                <c:pt idx="4">
                  <c:v>0.18057886306594245</c:v>
                </c:pt>
                <c:pt idx="5">
                  <c:v>0.24679958109180525</c:v>
                </c:pt>
                <c:pt idx="6">
                  <c:v>0.24916518823538122</c:v>
                </c:pt>
                <c:pt idx="7">
                  <c:v>0.26886824001099435</c:v>
                </c:pt>
                <c:pt idx="8">
                  <c:v>0.30074819539653791</c:v>
                </c:pt>
                <c:pt idx="9">
                  <c:v>0.32111814204192024</c:v>
                </c:pt>
                <c:pt idx="10">
                  <c:v>0.32533713746438375</c:v>
                </c:pt>
                <c:pt idx="11">
                  <c:v>0.35128707005283444</c:v>
                </c:pt>
                <c:pt idx="12">
                  <c:v>0.43763348399582602</c:v>
                </c:pt>
                <c:pt idx="13">
                  <c:v>0.44986672387336851</c:v>
                </c:pt>
                <c:pt idx="14">
                  <c:v>0.45748456450311398</c:v>
                </c:pt>
                <c:pt idx="15">
                  <c:v>0.51790337162545286</c:v>
                </c:pt>
                <c:pt idx="16">
                  <c:v>0.52641197934979356</c:v>
                </c:pt>
                <c:pt idx="17">
                  <c:v>0.59040977191042421</c:v>
                </c:pt>
                <c:pt idx="18">
                  <c:v>0.61634189524969196</c:v>
                </c:pt>
                <c:pt idx="19">
                  <c:v>0.65326452415840564</c:v>
                </c:pt>
                <c:pt idx="20">
                  <c:v>0.69629439742064092</c:v>
                </c:pt>
                <c:pt idx="21">
                  <c:v>0.69853117231392048</c:v>
                </c:pt>
                <c:pt idx="22">
                  <c:v>0.70038946791890466</c:v>
                </c:pt>
                <c:pt idx="23">
                  <c:v>0.72227219525575415</c:v>
                </c:pt>
                <c:pt idx="24">
                  <c:v>0.76289205190462406</c:v>
                </c:pt>
                <c:pt idx="25">
                  <c:v>0.80915262742588934</c:v>
                </c:pt>
                <c:pt idx="26">
                  <c:v>0.88420346029570651</c:v>
                </c:pt>
                <c:pt idx="27">
                  <c:v>0.98867485094953278</c:v>
                </c:pt>
              </c:numCache>
            </c:numRef>
          </c:yVal>
          <c:smooth val="0"/>
          <c:extLst>
            <c:ext xmlns:c16="http://schemas.microsoft.com/office/drawing/2014/chart" uri="{C3380CC4-5D6E-409C-BE32-E72D297353CC}">
              <c16:uniqueId val="{00000000-96E9-48F2-82AD-550DE4B8606E}"/>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96E9-48F2-82AD-550DE4B8606E}"/>
            </c:ext>
          </c:extLst>
        </c:ser>
        <c:dLbls>
          <c:showLegendKey val="0"/>
          <c:showVal val="0"/>
          <c:showCatName val="0"/>
          <c:showSerName val="0"/>
          <c:showPercent val="0"/>
          <c:showBubbleSize val="0"/>
        </c:dLbls>
        <c:axId val="955243631"/>
        <c:axId val="955243151"/>
      </c:scatterChart>
      <c:valAx>
        <c:axId val="955243631"/>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955243151"/>
        <c:crosses val="autoZero"/>
        <c:crossBetween val="midCat"/>
      </c:valAx>
      <c:valAx>
        <c:axId val="955243151"/>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95524363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(Vent_ Moyenne)</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normalité_HID'!$A$1:$A$28</c:f>
              <c:numCache>
                <c:formatCode>General</c:formatCode>
                <c:ptCount val="28"/>
                <c:pt idx="0">
                  <c:v>3.3333333333333333E-2</c:v>
                </c:pt>
                <c:pt idx="1">
                  <c:v>6.6666666666666666E-2</c:v>
                </c:pt>
                <c:pt idx="2">
                  <c:v>0.1</c:v>
                </c:pt>
                <c:pt idx="3">
                  <c:v>0.13333333333333333</c:v>
                </c:pt>
                <c:pt idx="4">
                  <c:v>0.16666666666666666</c:v>
                </c:pt>
                <c:pt idx="5">
                  <c:v>0.19999999999999998</c:v>
                </c:pt>
                <c:pt idx="6">
                  <c:v>0.26666666666666666</c:v>
                </c:pt>
                <c:pt idx="7">
                  <c:v>0.3</c:v>
                </c:pt>
                <c:pt idx="8">
                  <c:v>0.33333333333333331</c:v>
                </c:pt>
                <c:pt idx="9">
                  <c:v>0.36666666666666664</c:v>
                </c:pt>
                <c:pt idx="10">
                  <c:v>0.39999999999999997</c:v>
                </c:pt>
                <c:pt idx="11">
                  <c:v>0.43333333333333329</c:v>
                </c:pt>
                <c:pt idx="12">
                  <c:v>0.46666666666666662</c:v>
                </c:pt>
                <c:pt idx="13">
                  <c:v>0.49999999999999994</c:v>
                </c:pt>
                <c:pt idx="14">
                  <c:v>0.53333333333333333</c:v>
                </c:pt>
                <c:pt idx="15">
                  <c:v>0.56666666666666665</c:v>
                </c:pt>
                <c:pt idx="16">
                  <c:v>0.6</c:v>
                </c:pt>
                <c:pt idx="17">
                  <c:v>0.6333333333333333</c:v>
                </c:pt>
                <c:pt idx="18">
                  <c:v>0.66666666666666663</c:v>
                </c:pt>
                <c:pt idx="19">
                  <c:v>0.7</c:v>
                </c:pt>
                <c:pt idx="20">
                  <c:v>0.73333333333333328</c:v>
                </c:pt>
                <c:pt idx="21">
                  <c:v>0.76666666666666661</c:v>
                </c:pt>
                <c:pt idx="22">
                  <c:v>0.79999999999999993</c:v>
                </c:pt>
                <c:pt idx="23">
                  <c:v>0.83333333333333326</c:v>
                </c:pt>
                <c:pt idx="24">
                  <c:v>0.86666666666666659</c:v>
                </c:pt>
                <c:pt idx="25">
                  <c:v>0.89999999999999991</c:v>
                </c:pt>
                <c:pt idx="26">
                  <c:v>0.93333333333333324</c:v>
                </c:pt>
                <c:pt idx="27">
                  <c:v>0.96666666666666656</c:v>
                </c:pt>
              </c:numCache>
            </c:numRef>
          </c:xVal>
          <c:yVal>
            <c:numRef>
              <c:f>'Tests de normalité_HID'!$B$1:$B$28</c:f>
              <c:numCache>
                <c:formatCode>General</c:formatCode>
                <c:ptCount val="28"/>
                <c:pt idx="0">
                  <c:v>1.0671928150322329E-3</c:v>
                </c:pt>
                <c:pt idx="1">
                  <c:v>3.1983569255224914E-2</c:v>
                </c:pt>
                <c:pt idx="2">
                  <c:v>0.14508186097953696</c:v>
                </c:pt>
                <c:pt idx="3">
                  <c:v>0.22967912265798168</c:v>
                </c:pt>
                <c:pt idx="4">
                  <c:v>0.23779425166967563</c:v>
                </c:pt>
                <c:pt idx="5">
                  <c:v>0.24606418213835687</c:v>
                </c:pt>
                <c:pt idx="6">
                  <c:v>0.28962296012490263</c:v>
                </c:pt>
                <c:pt idx="7">
                  <c:v>0.30800608158049247</c:v>
                </c:pt>
                <c:pt idx="8">
                  <c:v>0.32688403827421525</c:v>
                </c:pt>
                <c:pt idx="9">
                  <c:v>0.34621583195563532</c:v>
                </c:pt>
                <c:pt idx="10">
                  <c:v>0.35603812458474665</c:v>
                </c:pt>
                <c:pt idx="11">
                  <c:v>0.39623050102500645</c:v>
                </c:pt>
                <c:pt idx="12">
                  <c:v>0.45851049109147302</c:v>
                </c:pt>
                <c:pt idx="13">
                  <c:v>0.46903384434032769</c:v>
                </c:pt>
                <c:pt idx="14">
                  <c:v>0.55338052745590238</c:v>
                </c:pt>
                <c:pt idx="15">
                  <c:v>0.59489680073747442</c:v>
                </c:pt>
                <c:pt idx="16">
                  <c:v>0.59489680073747497</c:v>
                </c:pt>
                <c:pt idx="17">
                  <c:v>0.66479203711186097</c:v>
                </c:pt>
                <c:pt idx="18">
                  <c:v>0.66479203711186152</c:v>
                </c:pt>
                <c:pt idx="19">
                  <c:v>0.68387190529006303</c:v>
                </c:pt>
                <c:pt idx="20">
                  <c:v>0.70247424987487728</c:v>
                </c:pt>
                <c:pt idx="21">
                  <c:v>0.7205602045009768</c:v>
                </c:pt>
                <c:pt idx="22">
                  <c:v>0.74664560679582004</c:v>
                </c:pt>
                <c:pt idx="23">
                  <c:v>0.76329677102959603</c:v>
                </c:pt>
                <c:pt idx="24">
                  <c:v>0.84334905554760875</c:v>
                </c:pt>
                <c:pt idx="25">
                  <c:v>0.85572190913529866</c:v>
                </c:pt>
                <c:pt idx="26">
                  <c:v>0.88370924341161172</c:v>
                </c:pt>
                <c:pt idx="27">
                  <c:v>0.9200846252087681</c:v>
                </c:pt>
              </c:numCache>
            </c:numRef>
          </c:yVal>
          <c:smooth val="0"/>
          <c:extLst>
            <c:ext xmlns:c16="http://schemas.microsoft.com/office/drawing/2014/chart" uri="{C3380CC4-5D6E-409C-BE32-E72D297353CC}">
              <c16:uniqueId val="{00000000-DEB6-44CC-8E0A-5BE0612A2163}"/>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DEB6-44CC-8E0A-5BE0612A2163}"/>
            </c:ext>
          </c:extLst>
        </c:ser>
        <c:dLbls>
          <c:showLegendKey val="0"/>
          <c:showVal val="0"/>
          <c:showCatName val="0"/>
          <c:showSerName val="0"/>
          <c:showPercent val="0"/>
          <c:showBubbleSize val="0"/>
        </c:dLbls>
        <c:axId val="955241711"/>
        <c:axId val="955242671"/>
      </c:scatterChart>
      <c:valAx>
        <c:axId val="955241711"/>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955242671"/>
        <c:crosses val="autoZero"/>
        <c:crossBetween val="midCat"/>
      </c:valAx>
      <c:valAx>
        <c:axId val="955242671"/>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95524171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(humidité_Moyenne)</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normalité_HID'!$A$1:$A$23</c:f>
              <c:numCache>
                <c:formatCode>General</c:formatCode>
                <c:ptCount val="23"/>
                <c:pt idx="0">
                  <c:v>3.3333333333333333E-2</c:v>
                </c:pt>
                <c:pt idx="1">
                  <c:v>6.6666666666666666E-2</c:v>
                </c:pt>
                <c:pt idx="2">
                  <c:v>0.1</c:v>
                </c:pt>
                <c:pt idx="3">
                  <c:v>0.13333333333333333</c:v>
                </c:pt>
                <c:pt idx="4">
                  <c:v>0.19999999999999998</c:v>
                </c:pt>
                <c:pt idx="5">
                  <c:v>0.23333333333333331</c:v>
                </c:pt>
                <c:pt idx="6">
                  <c:v>0.26666666666666666</c:v>
                </c:pt>
                <c:pt idx="7">
                  <c:v>0.33333333333333331</c:v>
                </c:pt>
                <c:pt idx="8">
                  <c:v>0.36666666666666664</c:v>
                </c:pt>
                <c:pt idx="9">
                  <c:v>0.43333333333333329</c:v>
                </c:pt>
                <c:pt idx="10">
                  <c:v>0.49999999999999994</c:v>
                </c:pt>
                <c:pt idx="11">
                  <c:v>0.53333333333333333</c:v>
                </c:pt>
                <c:pt idx="12">
                  <c:v>0.56666666666666665</c:v>
                </c:pt>
                <c:pt idx="13">
                  <c:v>0.6</c:v>
                </c:pt>
                <c:pt idx="14">
                  <c:v>0.6333333333333333</c:v>
                </c:pt>
                <c:pt idx="15">
                  <c:v>0.66666666666666663</c:v>
                </c:pt>
                <c:pt idx="16">
                  <c:v>0.7</c:v>
                </c:pt>
                <c:pt idx="17">
                  <c:v>0.73333333333333328</c:v>
                </c:pt>
                <c:pt idx="18">
                  <c:v>0.83333333333333326</c:v>
                </c:pt>
                <c:pt idx="19">
                  <c:v>0.86666666666666659</c:v>
                </c:pt>
                <c:pt idx="20">
                  <c:v>0.89999999999999991</c:v>
                </c:pt>
                <c:pt idx="21">
                  <c:v>0.93333333333333324</c:v>
                </c:pt>
                <c:pt idx="22">
                  <c:v>0.96666666666666656</c:v>
                </c:pt>
              </c:numCache>
            </c:numRef>
          </c:xVal>
          <c:yVal>
            <c:numRef>
              <c:f>'Tests de normalité_HID'!$B$1:$B$23</c:f>
              <c:numCache>
                <c:formatCode>General</c:formatCode>
                <c:ptCount val="23"/>
                <c:pt idx="0">
                  <c:v>8.5946402918947729E-2</c:v>
                </c:pt>
                <c:pt idx="1">
                  <c:v>9.6829748316116321E-2</c:v>
                </c:pt>
                <c:pt idx="2">
                  <c:v>0.10869250654292453</c:v>
                </c:pt>
                <c:pt idx="3">
                  <c:v>0.13547535859475274</c:v>
                </c:pt>
                <c:pt idx="4">
                  <c:v>0.15043769368986215</c:v>
                </c:pt>
                <c:pt idx="5">
                  <c:v>0.16646222152877818</c:v>
                </c:pt>
                <c:pt idx="6">
                  <c:v>0.22086156505421634</c:v>
                </c:pt>
                <c:pt idx="7">
                  <c:v>0.28422584858747291</c:v>
                </c:pt>
                <c:pt idx="8">
                  <c:v>0.35517733926733253</c:v>
                </c:pt>
                <c:pt idx="9">
                  <c:v>0.38015947833761404</c:v>
                </c:pt>
                <c:pt idx="10">
                  <c:v>0.4056519903663332</c:v>
                </c:pt>
                <c:pt idx="11">
                  <c:v>0.43155118705611129</c:v>
                </c:pt>
                <c:pt idx="12">
                  <c:v>0.45774812941738169</c:v>
                </c:pt>
                <c:pt idx="13">
                  <c:v>0.48412999875024659</c:v>
                </c:pt>
                <c:pt idx="14">
                  <c:v>0.51058155175722353</c:v>
                </c:pt>
                <c:pt idx="15">
                  <c:v>0.53698662856044388</c:v>
                </c:pt>
                <c:pt idx="16">
                  <c:v>0.58919728624108403</c:v>
                </c:pt>
                <c:pt idx="17">
                  <c:v>0.77518233827393035</c:v>
                </c:pt>
                <c:pt idx="18">
                  <c:v>0.79455856355417975</c:v>
                </c:pt>
                <c:pt idx="19">
                  <c:v>0.8302052334165132</c:v>
                </c:pt>
                <c:pt idx="20">
                  <c:v>0.84644251390441727</c:v>
                </c:pt>
                <c:pt idx="21">
                  <c:v>0.86161683598795502</c:v>
                </c:pt>
                <c:pt idx="22">
                  <c:v>0.98873562461043929</c:v>
                </c:pt>
              </c:numCache>
            </c:numRef>
          </c:yVal>
          <c:smooth val="0"/>
          <c:extLst>
            <c:ext xmlns:c16="http://schemas.microsoft.com/office/drawing/2014/chart" uri="{C3380CC4-5D6E-409C-BE32-E72D297353CC}">
              <c16:uniqueId val="{00000000-E74C-4087-9C2F-04126163C30E}"/>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E74C-4087-9C2F-04126163C30E}"/>
            </c:ext>
          </c:extLst>
        </c:ser>
        <c:dLbls>
          <c:showLegendKey val="0"/>
          <c:showVal val="0"/>
          <c:showCatName val="0"/>
          <c:showSerName val="0"/>
          <c:showPercent val="0"/>
          <c:showBubbleSize val="0"/>
        </c:dLbls>
        <c:axId val="955222031"/>
        <c:axId val="955224911"/>
      </c:scatterChart>
      <c:valAx>
        <c:axId val="955222031"/>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955224911"/>
        <c:crosses val="autoZero"/>
        <c:crossBetween val="midCat"/>
      </c:valAx>
      <c:valAx>
        <c:axId val="955224911"/>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955222031"/>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Vent</a:t>
            </a:r>
          </a:p>
        </c:rich>
      </c:tx>
      <c:layout>
        <c:manualLayout>
          <c:xMode val="edge"/>
          <c:yMode val="edge"/>
          <c:x val="0.24228575303221653"/>
          <c:y val="3.028773346794548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4463015858216861"/>
          <c:y val="0.1110550227158001"/>
          <c:w val="0.65095649373214781"/>
          <c:h val="0.68205113936729644"/>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1.4750000000000003</c:v>
                </c:pt>
                <c:pt idx="1">
                  <c:v>1.8583333333333334</c:v>
                </c:pt>
                <c:pt idx="2">
                  <c:v>2.1083333333333334</c:v>
                </c:pt>
                <c:pt idx="3">
                  <c:v>2.2083333333333335</c:v>
                </c:pt>
                <c:pt idx="4">
                  <c:v>2.3583333333333334</c:v>
                </c:pt>
                <c:pt idx="5">
                  <c:v>2.2166666666666668</c:v>
                </c:pt>
                <c:pt idx="6">
                  <c:v>2.416666666666667</c:v>
                </c:pt>
                <c:pt idx="7">
                  <c:v>2.2833333333333337</c:v>
                </c:pt>
                <c:pt idx="8">
                  <c:v>2.2666666666666671</c:v>
                </c:pt>
                <c:pt idx="9">
                  <c:v>2.3249999999999997</c:v>
                </c:pt>
                <c:pt idx="10">
                  <c:v>2.2666666666666671</c:v>
                </c:pt>
                <c:pt idx="11">
                  <c:v>2.3166666666666669</c:v>
                </c:pt>
                <c:pt idx="12">
                  <c:v>2.2999999999999994</c:v>
                </c:pt>
                <c:pt idx="13">
                  <c:v>2.4833333333333334</c:v>
                </c:pt>
                <c:pt idx="14">
                  <c:v>2.7749999999999999</c:v>
                </c:pt>
                <c:pt idx="15">
                  <c:v>2.8166666666666664</c:v>
                </c:pt>
                <c:pt idx="16">
                  <c:v>2.6250000000000004</c:v>
                </c:pt>
                <c:pt idx="17">
                  <c:v>2.4083333333333332</c:v>
                </c:pt>
                <c:pt idx="18">
                  <c:v>2.2250000000000001</c:v>
                </c:pt>
                <c:pt idx="19">
                  <c:v>2.6666666666666665</c:v>
                </c:pt>
                <c:pt idx="20">
                  <c:v>2.65</c:v>
                </c:pt>
                <c:pt idx="21">
                  <c:v>2.5750000000000002</c:v>
                </c:pt>
                <c:pt idx="22">
                  <c:v>2.6083333333333329</c:v>
                </c:pt>
                <c:pt idx="23">
                  <c:v>2.5916666666666668</c:v>
                </c:pt>
                <c:pt idx="24">
                  <c:v>2.5166666666666671</c:v>
                </c:pt>
                <c:pt idx="25">
                  <c:v>2.5166666666666666</c:v>
                </c:pt>
                <c:pt idx="26">
                  <c:v>2.5749999999999997</c:v>
                </c:pt>
                <c:pt idx="27">
                  <c:v>3.1583333333333332</c:v>
                </c:pt>
                <c:pt idx="28">
                  <c:v>2.8833333333333329</c:v>
                </c:pt>
                <c:pt idx="29">
                  <c:v>2.7583333333333333</c:v>
                </c:pt>
              </c:numCache>
            </c:numRef>
          </c:yVal>
          <c:smooth val="0"/>
          <c:extLst>
            <c:ext xmlns:c16="http://schemas.microsoft.com/office/drawing/2014/chart" uri="{C3380CC4-5D6E-409C-BE32-E72D297353CC}">
              <c16:uniqueId val="{00000000-9572-4CDA-AA8B-08A1FFD000DF}"/>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2.0817307692307696</c:v>
              </c:pt>
              <c:pt idx="1">
                <c:v>2.7695512820512822</c:v>
              </c:pt>
            </c:numLit>
          </c:yVal>
          <c:smooth val="0"/>
          <c:extLst>
            <c:ext xmlns:c16="http://schemas.microsoft.com/office/drawing/2014/chart" uri="{C3380CC4-5D6E-409C-BE32-E72D297353CC}">
              <c16:uniqueId val="{00000001-9572-4CDA-AA8B-08A1FFD000DF}"/>
            </c:ext>
          </c:extLst>
        </c:ser>
        <c:dLbls>
          <c:showLegendKey val="0"/>
          <c:showVal val="0"/>
          <c:showCatName val="0"/>
          <c:showSerName val="0"/>
          <c:showPercent val="0"/>
          <c:showBubbleSize val="0"/>
        </c:dLbls>
        <c:axId val="1659261855"/>
        <c:axId val="1659244095"/>
      </c:scatterChart>
      <c:valAx>
        <c:axId val="1659261855"/>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659244095"/>
        <c:crosses val="autoZero"/>
        <c:crossBetween val="midCat"/>
        <c:majorUnit val="5"/>
      </c:valAx>
      <c:valAx>
        <c:axId val="165924409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59261855"/>
        <c:crosses val="autoZero"/>
        <c:crossBetween val="midCat"/>
      </c:valAx>
      <c:spPr>
        <a:noFill/>
        <a:ln>
          <a:noFill/>
        </a:ln>
        <a:effectLst/>
      </c:spPr>
    </c:plotArea>
    <c:legend>
      <c:legendPos val="b"/>
      <c:legendEntry>
        <c:idx val="0"/>
        <c:delete val="1"/>
      </c:legendEntry>
      <c:layout>
        <c:manualLayout>
          <c:xMode val="edge"/>
          <c:yMode val="edge"/>
          <c:x val="0.47567880234482884"/>
          <c:y val="7.4709709766742224E-2"/>
          <c:w val="0.50160361052429425"/>
          <c:h val="0.12210649862689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0.02901</cdr:x>
      <cdr:y>0.03862</cdr:y>
    </cdr:from>
    <cdr:to>
      <cdr:x>0.09225</cdr:x>
      <cdr:y>0.12751</cdr:y>
    </cdr:to>
    <cdr:sp macro="" textlink="">
      <cdr:nvSpPr>
        <cdr:cNvPr id="2" name="Rectangle 1"/>
        <cdr:cNvSpPr/>
      </cdr:nvSpPr>
      <cdr:spPr>
        <a:xfrm xmlns:a="http://schemas.openxmlformats.org/drawingml/2006/main">
          <a:off x="87097" y="79451"/>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A</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0.029</cdr:x>
      <cdr:y>0.01774</cdr:y>
    </cdr:from>
    <cdr:to>
      <cdr:x>0.09802</cdr:x>
      <cdr:y>0.109</cdr:y>
    </cdr:to>
    <cdr:sp macro="" textlink="">
      <cdr:nvSpPr>
        <cdr:cNvPr id="2" name="Rectangle 1"/>
        <cdr:cNvSpPr/>
      </cdr:nvSpPr>
      <cdr:spPr>
        <a:xfrm xmlns:a="http://schemas.openxmlformats.org/drawingml/2006/main">
          <a:off x="79782" y="35560"/>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B</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0.01473</cdr:x>
      <cdr:y>0.03034</cdr:y>
    </cdr:from>
    <cdr:to>
      <cdr:x>0.07846</cdr:x>
      <cdr:y>0.10726</cdr:y>
    </cdr:to>
    <cdr:sp macro="" textlink="">
      <cdr:nvSpPr>
        <cdr:cNvPr id="2" name="Rectangle 1"/>
        <cdr:cNvSpPr/>
      </cdr:nvSpPr>
      <cdr:spPr>
        <a:xfrm xmlns:a="http://schemas.openxmlformats.org/drawingml/2006/main">
          <a:off x="43891"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C</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0.05186</cdr:x>
      <cdr:y>0.03074</cdr:y>
    </cdr:from>
    <cdr:to>
      <cdr:x>0.11624</cdr:x>
      <cdr:y>0.10866</cdr:y>
    </cdr:to>
    <cdr:sp macro="" textlink="">
      <cdr:nvSpPr>
        <cdr:cNvPr id="2" name="Rectangle 1"/>
        <cdr:cNvSpPr/>
      </cdr:nvSpPr>
      <cdr:spPr>
        <a:xfrm xmlns:a="http://schemas.openxmlformats.org/drawingml/2006/main">
          <a:off x="152933"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D</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0.0352</cdr:x>
      <cdr:y>0.03287</cdr:y>
    </cdr:from>
    <cdr:to>
      <cdr:x>0.10598</cdr:x>
      <cdr:y>0.1162</cdr:y>
    </cdr:to>
    <cdr:sp macro="" textlink="">
      <cdr:nvSpPr>
        <cdr:cNvPr id="2" name="Rectangle 1"/>
        <cdr:cNvSpPr/>
      </cdr:nvSpPr>
      <cdr:spPr>
        <a:xfrm xmlns:a="http://schemas.openxmlformats.org/drawingml/2006/main">
          <a:off x="94412"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A</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0.02074</cdr:x>
      <cdr:y>0.03658</cdr:y>
    </cdr:from>
    <cdr:to>
      <cdr:x>0.08882</cdr:x>
      <cdr:y>0.1208</cdr:y>
    </cdr:to>
    <cdr:sp macro="" textlink="">
      <cdr:nvSpPr>
        <cdr:cNvPr id="2" name="Rectangle 1"/>
        <cdr:cNvSpPr/>
      </cdr:nvSpPr>
      <cdr:spPr>
        <a:xfrm xmlns:a="http://schemas.openxmlformats.org/drawingml/2006/main">
          <a:off x="57836" y="79451"/>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B</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0.08963</cdr:x>
      <cdr:y>0.03613</cdr:y>
    </cdr:from>
    <cdr:to>
      <cdr:x>0.151</cdr:x>
      <cdr:y>0.12774</cdr:y>
    </cdr:to>
    <cdr:sp macro="" textlink="">
      <cdr:nvSpPr>
        <cdr:cNvPr id="2" name="Rectangle 1"/>
        <cdr:cNvSpPr/>
      </cdr:nvSpPr>
      <cdr:spPr>
        <a:xfrm xmlns:a="http://schemas.openxmlformats.org/drawingml/2006/main">
          <a:off x="277292" y="72136"/>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C</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0.05959</cdr:x>
      <cdr:y>0.0433</cdr:y>
    </cdr:from>
    <cdr:to>
      <cdr:x>0.12712</cdr:x>
      <cdr:y>0.13455</cdr:y>
    </cdr:to>
    <cdr:sp macro="" textlink="">
      <cdr:nvSpPr>
        <cdr:cNvPr id="2" name="Rectangle 1"/>
        <cdr:cNvSpPr/>
      </cdr:nvSpPr>
      <cdr:spPr>
        <a:xfrm xmlns:a="http://schemas.openxmlformats.org/drawingml/2006/main">
          <a:off x="167564" y="86767"/>
          <a:ext cx="189865" cy="1828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lnSpc>
              <a:spcPct val="150000"/>
            </a:lnSpc>
            <a:spcAft>
              <a:spcPts val="800"/>
            </a:spcAft>
            <a:buNone/>
          </a:pPr>
          <a:r>
            <a:rPr lang="fr-FR" sz="700">
              <a:effectLst/>
              <a:latin typeface="Times New Roman" panose="02020603050405020304" pitchFamily="18" charset="0"/>
              <a:ea typeface="Calibri" panose="020F0502020204030204" pitchFamily="34" charset="0"/>
              <a:cs typeface="Times New Roman" panose="02020603050405020304" pitchFamily="18" charset="0"/>
            </a:rPr>
            <a:t>D</a:t>
          </a:r>
          <a:endParaRPr lang="fr-BF"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140</TotalTime>
  <Pages>16</Pages>
  <Words>5391</Words>
  <Characters>30735</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42</cp:revision>
  <dcterms:created xsi:type="dcterms:W3CDTF">2026-04-01T14:55:00Z</dcterms:created>
  <dcterms:modified xsi:type="dcterms:W3CDTF">2026-04-04T11:18:00Z</dcterms:modified>
</cp:coreProperties>
</file>