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804A7" w14:textId="77777777" w:rsidR="002E0A7C" w:rsidRPr="009A55CB" w:rsidRDefault="002E0A7C" w:rsidP="002E0A7C">
      <w:pPr>
        <w:spacing w:after="160" w:line="480" w:lineRule="auto"/>
        <w:jc w:val="center"/>
        <w:rPr>
          <w:lang w:val="en-GB"/>
        </w:rPr>
      </w:pPr>
      <w:r w:rsidRPr="009A55CB">
        <w:rPr>
          <w:b/>
          <w:bCs/>
          <w:sz w:val="28"/>
          <w:szCs w:val="28"/>
          <w:lang w:val="en-GB"/>
        </w:rPr>
        <w:t xml:space="preserve">Sociodemographic Factors Associated with Co-infection in Children Hospitalised with </w:t>
      </w:r>
      <w:r w:rsidRPr="009A55CB">
        <w:rPr>
          <w:b/>
          <w:bCs/>
          <w:i/>
          <w:iCs/>
          <w:sz w:val="28"/>
          <w:szCs w:val="28"/>
          <w:lang w:val="en-GB"/>
        </w:rPr>
        <w:t>Plasmodium falciparum</w:t>
      </w:r>
      <w:r w:rsidRPr="009A55CB">
        <w:rPr>
          <w:b/>
          <w:bCs/>
          <w:sz w:val="28"/>
          <w:szCs w:val="28"/>
          <w:lang w:val="en-GB"/>
        </w:rPr>
        <w:t xml:space="preserve"> Malaria in Brazzaville, Republic of Congo: </w:t>
      </w:r>
      <w:proofErr w:type="gramStart"/>
      <w:r w:rsidRPr="009A55CB">
        <w:rPr>
          <w:b/>
          <w:bCs/>
          <w:sz w:val="28"/>
          <w:szCs w:val="28"/>
          <w:lang w:val="en-GB"/>
        </w:rPr>
        <w:t>a</w:t>
      </w:r>
      <w:proofErr w:type="gramEnd"/>
      <w:r w:rsidRPr="009A55CB">
        <w:rPr>
          <w:b/>
          <w:bCs/>
          <w:sz w:val="28"/>
          <w:szCs w:val="28"/>
          <w:lang w:val="en-GB"/>
        </w:rPr>
        <w:t xml:space="preserve"> Hospital-Based Cohort Study</w:t>
      </w:r>
    </w:p>
    <w:p w14:paraId="0CC932C1" w14:textId="4E37C076" w:rsidR="00B13216" w:rsidRPr="00B13216" w:rsidRDefault="00B13216" w:rsidP="002E0A7C">
      <w:pPr>
        <w:spacing w:before="60" w:after="60"/>
        <w:rPr>
          <w:b/>
          <w:bCs/>
          <w:lang w:val="en-GB"/>
        </w:rPr>
      </w:pPr>
      <w:r w:rsidRPr="00B13216">
        <w:rPr>
          <w:b/>
          <w:bCs/>
          <w:lang w:val="en-GB"/>
        </w:rPr>
        <w:t>Abstract</w:t>
      </w:r>
    </w:p>
    <w:p w14:paraId="648EB891" w14:textId="77777777" w:rsidR="00B13216" w:rsidRPr="00DF0E3A" w:rsidRDefault="00B13216" w:rsidP="00486F87">
      <w:pPr>
        <w:spacing w:line="259" w:lineRule="auto"/>
        <w:jc w:val="both"/>
        <w:rPr>
          <w:lang w:val="en-GB"/>
        </w:rPr>
      </w:pPr>
      <w:r>
        <w:rPr>
          <w:b/>
          <w:bCs/>
          <w:lang w:val="en-GB"/>
        </w:rPr>
        <w:t>Background</w:t>
      </w:r>
      <w:r w:rsidRPr="00DF0E3A">
        <w:rPr>
          <w:b/>
          <w:bCs/>
          <w:lang w:val="en-GB"/>
        </w:rPr>
        <w:t>:</w:t>
      </w:r>
      <w:r w:rsidRPr="00DF0E3A">
        <w:rPr>
          <w:lang w:val="en-GB"/>
        </w:rPr>
        <w:t xml:space="preserve"> </w:t>
      </w:r>
      <w:r w:rsidRPr="00DF0E3A">
        <w:rPr>
          <w:i/>
          <w:iCs/>
          <w:lang w:val="en-GB"/>
        </w:rPr>
        <w:t>Plasmodium falciparum</w:t>
      </w:r>
      <w:r w:rsidRPr="00DF0E3A">
        <w:rPr>
          <w:lang w:val="en-GB"/>
        </w:rPr>
        <w:t xml:space="preserve"> malaria remains a major cause of </w:t>
      </w:r>
      <w:proofErr w:type="spellStart"/>
      <w:r w:rsidRPr="00DF0E3A">
        <w:rPr>
          <w:lang w:val="en-GB"/>
        </w:rPr>
        <w:t>pediatric</w:t>
      </w:r>
      <w:proofErr w:type="spellEnd"/>
      <w:r w:rsidRPr="00DF0E3A">
        <w:rPr>
          <w:lang w:val="en-GB"/>
        </w:rPr>
        <w:t xml:space="preserve"> mortality in sub-Saharan Africa. The presence of co-infections may complicate the WHO clinical classification and significantly influence patient prognosis.</w:t>
      </w:r>
    </w:p>
    <w:p w14:paraId="524B7B6D" w14:textId="77777777" w:rsidR="00B13216" w:rsidRPr="00DF0E3A" w:rsidRDefault="00B13216" w:rsidP="00486F87">
      <w:pPr>
        <w:spacing w:line="259" w:lineRule="auto"/>
        <w:jc w:val="both"/>
        <w:rPr>
          <w:lang w:val="en-GB"/>
        </w:rPr>
      </w:pPr>
      <w:r w:rsidRPr="00DF0E3A">
        <w:rPr>
          <w:b/>
          <w:bCs/>
          <w:lang w:val="en-GB"/>
        </w:rPr>
        <w:t>Objective:</w:t>
      </w:r>
      <w:r w:rsidRPr="00DF0E3A">
        <w:rPr>
          <w:lang w:val="en-GB"/>
        </w:rPr>
        <w:t xml:space="preserve"> To investigate the prevalence and associated factors of co-infection among children hospitalized for </w:t>
      </w:r>
      <w:r w:rsidRPr="00DF0E3A">
        <w:rPr>
          <w:i/>
          <w:iCs/>
          <w:lang w:val="en-GB"/>
        </w:rPr>
        <w:t>P. falciparum</w:t>
      </w:r>
      <w:r w:rsidRPr="00DF0E3A">
        <w:rPr>
          <w:lang w:val="en-GB"/>
        </w:rPr>
        <w:t xml:space="preserve"> malaria in Brazzaville.</w:t>
      </w:r>
    </w:p>
    <w:p w14:paraId="34CADBE4" w14:textId="77777777" w:rsidR="00B13216" w:rsidRPr="00DF0E3A" w:rsidRDefault="00B13216" w:rsidP="00486F87">
      <w:pPr>
        <w:spacing w:line="259" w:lineRule="auto"/>
        <w:jc w:val="both"/>
        <w:rPr>
          <w:lang w:val="en-GB"/>
        </w:rPr>
      </w:pPr>
      <w:r w:rsidRPr="00DF0E3A">
        <w:rPr>
          <w:b/>
          <w:bCs/>
          <w:lang w:val="en-GB"/>
        </w:rPr>
        <w:t>Methodology:</w:t>
      </w:r>
      <w:r w:rsidRPr="00DF0E3A">
        <w:rPr>
          <w:lang w:val="en-GB"/>
        </w:rPr>
        <w:t xml:space="preserve"> A retrospective analytical cohort study was conducted in 2023 at the Brazzaville University Hospital (CHU). The study included children under 15 years of age with microscopically confirmed malaria and documented co-infection or comorbidity. The significance threshold was set at </w:t>
      </w:r>
      <w:r w:rsidRPr="007C3212">
        <w:rPr>
          <w:i/>
          <w:iCs/>
          <w:lang w:val="en-GB"/>
        </w:rPr>
        <w:t>p</w:t>
      </w:r>
      <w:r w:rsidRPr="00DF0E3A">
        <w:rPr>
          <w:lang w:val="en-GB"/>
        </w:rPr>
        <w:t xml:space="preserve"> &lt; 0.05.</w:t>
      </w:r>
    </w:p>
    <w:p w14:paraId="656284C1" w14:textId="6BA88F0C" w:rsidR="00B13216" w:rsidRPr="00DF0E3A" w:rsidRDefault="00B13216" w:rsidP="00486F87">
      <w:pPr>
        <w:spacing w:line="259" w:lineRule="auto"/>
        <w:jc w:val="both"/>
        <w:rPr>
          <w:lang w:val="en-GB"/>
        </w:rPr>
      </w:pPr>
      <w:r w:rsidRPr="00DF0E3A">
        <w:rPr>
          <w:b/>
          <w:bCs/>
          <w:lang w:val="en-GB"/>
        </w:rPr>
        <w:t>Results:</w:t>
      </w:r>
      <w:r w:rsidRPr="00DF0E3A">
        <w:rPr>
          <w:lang w:val="en-GB"/>
        </w:rPr>
        <w:t xml:space="preserve"> Among the 441 children enrolled (median age: 48 [IQR 15-96] months), 55.8% were male. Only 37.2% used insecticide-treated nets, and 27.4% had practiced self-medication. Delayed healthcare-seeking (median: 3 [IQR 2-5] days) was observed in 71.9% of cases. Primary symptoms included fever (56.0%), seizures (22.0%), and headaches (13.4%). Severe malaria accounted for 36.5% of cases. The prevalence of co-infection was 16.8% (n=74). It was significantly associated with age &lt; 5 years (64.9%; </w:t>
      </w:r>
      <w:r w:rsidRPr="007C3212">
        <w:rPr>
          <w:i/>
          <w:iCs/>
          <w:lang w:val="en-GB"/>
        </w:rPr>
        <w:t>p</w:t>
      </w:r>
      <w:r w:rsidR="007C3212">
        <w:rPr>
          <w:i/>
          <w:iCs/>
          <w:lang w:val="en-GB"/>
        </w:rPr>
        <w:t xml:space="preserve"> </w:t>
      </w:r>
      <w:r w:rsidRPr="00DF0E3A">
        <w:rPr>
          <w:lang w:val="en-GB"/>
        </w:rPr>
        <w:t>=</w:t>
      </w:r>
      <w:r w:rsidR="007C3212">
        <w:rPr>
          <w:lang w:val="en-GB"/>
        </w:rPr>
        <w:t xml:space="preserve"> </w:t>
      </w:r>
      <w:r w:rsidRPr="00DF0E3A">
        <w:rPr>
          <w:lang w:val="en-GB"/>
        </w:rPr>
        <w:t xml:space="preserve">0.048) and delayed consultation (4 [IQR 2-7] days; </w:t>
      </w:r>
      <w:r w:rsidRPr="007C3212">
        <w:rPr>
          <w:i/>
          <w:iCs/>
          <w:lang w:val="en-GB"/>
        </w:rPr>
        <w:t>p</w:t>
      </w:r>
      <w:r w:rsidR="007C3212">
        <w:rPr>
          <w:lang w:val="en-GB"/>
        </w:rPr>
        <w:t xml:space="preserve"> </w:t>
      </w:r>
      <w:r w:rsidRPr="00DF0E3A">
        <w:rPr>
          <w:lang w:val="en-GB"/>
        </w:rPr>
        <w:t>=</w:t>
      </w:r>
      <w:r w:rsidR="007C3212">
        <w:rPr>
          <w:lang w:val="en-GB"/>
        </w:rPr>
        <w:t xml:space="preserve"> </w:t>
      </w:r>
      <w:r w:rsidRPr="00DF0E3A">
        <w:rPr>
          <w:lang w:val="en-GB"/>
        </w:rPr>
        <w:t xml:space="preserve">0.016). </w:t>
      </w:r>
      <w:proofErr w:type="spellStart"/>
      <w:r w:rsidRPr="00DF0E3A">
        <w:rPr>
          <w:lang w:val="en-GB"/>
        </w:rPr>
        <w:t>Parasitemia</w:t>
      </w:r>
      <w:proofErr w:type="spellEnd"/>
      <w:r w:rsidRPr="00DF0E3A">
        <w:rPr>
          <w:lang w:val="en-GB"/>
        </w:rPr>
        <w:t xml:space="preserve"> was significantly higher in co-infected patients compared to those with </w:t>
      </w:r>
      <w:proofErr w:type="spellStart"/>
      <w:r w:rsidRPr="00DF0E3A">
        <w:rPr>
          <w:lang w:val="en-GB"/>
        </w:rPr>
        <w:t>monoinfection</w:t>
      </w:r>
      <w:proofErr w:type="spellEnd"/>
      <w:r w:rsidRPr="00DF0E3A">
        <w:rPr>
          <w:lang w:val="en-GB"/>
        </w:rPr>
        <w:t xml:space="preserve"> (12,600 p/µl vs. 6,300 p/µl; </w:t>
      </w:r>
      <w:r w:rsidRPr="007C3212">
        <w:rPr>
          <w:i/>
          <w:iCs/>
          <w:lang w:val="en-GB"/>
        </w:rPr>
        <w:t>p</w:t>
      </w:r>
      <w:r w:rsidRPr="00DF0E3A">
        <w:rPr>
          <w:lang w:val="en-GB"/>
        </w:rPr>
        <w:t xml:space="preserve"> &lt; 0.001). Although the case fatality rate was higher in the co-infection group (9.5% vs. 6.5%; </w:t>
      </w:r>
      <w:r w:rsidRPr="007C3212">
        <w:rPr>
          <w:i/>
          <w:iCs/>
          <w:lang w:val="en-GB"/>
        </w:rPr>
        <w:t>p</w:t>
      </w:r>
      <w:r w:rsidR="007C3212">
        <w:rPr>
          <w:lang w:val="en-GB"/>
        </w:rPr>
        <w:t xml:space="preserve"> </w:t>
      </w:r>
      <w:r w:rsidRPr="00DF0E3A">
        <w:rPr>
          <w:lang w:val="en-GB"/>
        </w:rPr>
        <w:t>=</w:t>
      </w:r>
      <w:r w:rsidR="007C3212">
        <w:rPr>
          <w:lang w:val="en-GB"/>
        </w:rPr>
        <w:t xml:space="preserve"> </w:t>
      </w:r>
      <w:r w:rsidRPr="00DF0E3A">
        <w:rPr>
          <w:lang w:val="en-GB"/>
        </w:rPr>
        <w:t xml:space="preserve">0.370), the difference was not statistically significant. However, the duration of hospitalization was significantly longer for co-infected children (5 [IQR 3-8] days vs. 5 [IQR 3-6] days; </w:t>
      </w:r>
      <w:r w:rsidRPr="007C3212">
        <w:rPr>
          <w:i/>
          <w:iCs/>
          <w:lang w:val="en-GB"/>
        </w:rPr>
        <w:t>p</w:t>
      </w:r>
      <w:r w:rsidR="007C3212">
        <w:rPr>
          <w:lang w:val="en-GB"/>
        </w:rPr>
        <w:t xml:space="preserve"> </w:t>
      </w:r>
      <w:r w:rsidRPr="00DF0E3A">
        <w:rPr>
          <w:lang w:val="en-GB"/>
        </w:rPr>
        <w:t>=</w:t>
      </w:r>
      <w:r w:rsidR="007C3212">
        <w:rPr>
          <w:lang w:val="en-GB"/>
        </w:rPr>
        <w:t xml:space="preserve"> </w:t>
      </w:r>
      <w:r w:rsidRPr="00DF0E3A">
        <w:rPr>
          <w:lang w:val="en-GB"/>
        </w:rPr>
        <w:t>0.017).</w:t>
      </w:r>
    </w:p>
    <w:p w14:paraId="0F8BD288" w14:textId="77777777" w:rsidR="00B13216" w:rsidRPr="00DF0E3A" w:rsidRDefault="00B13216" w:rsidP="00486F87">
      <w:pPr>
        <w:spacing w:line="259" w:lineRule="auto"/>
        <w:jc w:val="both"/>
        <w:rPr>
          <w:lang w:val="en-GB"/>
        </w:rPr>
      </w:pPr>
      <w:r w:rsidRPr="00DF0E3A">
        <w:rPr>
          <w:b/>
          <w:bCs/>
          <w:lang w:val="en-GB"/>
        </w:rPr>
        <w:t>Conclusion:</w:t>
      </w:r>
      <w:r w:rsidRPr="00DF0E3A">
        <w:rPr>
          <w:lang w:val="en-GB"/>
        </w:rPr>
        <w:t xml:space="preserve"> Co-infection is prevalent among children under five years of age at the Brazzaville University Hospital. These findings warrant further prospective studies to optimize clinical management.</w:t>
      </w:r>
    </w:p>
    <w:p w14:paraId="02186CE6" w14:textId="77777777" w:rsidR="00B13216" w:rsidRPr="00DF0E3A" w:rsidRDefault="00B13216" w:rsidP="00486F87">
      <w:pPr>
        <w:jc w:val="both"/>
        <w:rPr>
          <w:lang w:val="en-GB"/>
        </w:rPr>
      </w:pPr>
      <w:r w:rsidRPr="00DF0E3A">
        <w:rPr>
          <w:b/>
          <w:bCs/>
          <w:lang w:val="en-GB"/>
        </w:rPr>
        <w:t>Keywords:</w:t>
      </w:r>
      <w:r w:rsidRPr="00DF0E3A">
        <w:rPr>
          <w:lang w:val="en-GB"/>
        </w:rPr>
        <w:t xml:space="preserve"> Malaria, </w:t>
      </w:r>
      <w:r w:rsidRPr="00DF0E3A">
        <w:rPr>
          <w:i/>
          <w:iCs/>
          <w:lang w:val="en-GB"/>
        </w:rPr>
        <w:t>Plasmodium falciparum</w:t>
      </w:r>
      <w:r w:rsidRPr="00DF0E3A">
        <w:rPr>
          <w:lang w:val="en-GB"/>
        </w:rPr>
        <w:t>, Co-infection, Associated factors, Brazzaville</w:t>
      </w:r>
    </w:p>
    <w:p w14:paraId="639823B9" w14:textId="7B3EBA26" w:rsidR="002E0A7C" w:rsidRPr="00B547E9" w:rsidRDefault="002E0A7C" w:rsidP="00B547E9">
      <w:pPr>
        <w:pStyle w:val="ListParagraph"/>
        <w:numPr>
          <w:ilvl w:val="0"/>
          <w:numId w:val="4"/>
        </w:numPr>
        <w:spacing w:before="200" w:after="120" w:line="480" w:lineRule="auto"/>
        <w:rPr>
          <w:lang w:val="en-GB"/>
        </w:rPr>
      </w:pPr>
      <w:r w:rsidRPr="00B547E9">
        <w:rPr>
          <w:b/>
          <w:bCs/>
          <w:caps/>
          <w:lang w:val="en-GB"/>
        </w:rPr>
        <w:t>Introduction</w:t>
      </w:r>
    </w:p>
    <w:p w14:paraId="21165274" w14:textId="793874A3" w:rsidR="002E0A7C" w:rsidRPr="00564354" w:rsidRDefault="002E0A7C" w:rsidP="00486F87">
      <w:pPr>
        <w:spacing w:line="480" w:lineRule="auto"/>
        <w:jc w:val="both"/>
        <w:rPr>
          <w:lang w:val="en-GB"/>
        </w:rPr>
      </w:pPr>
      <w:r w:rsidRPr="00564354">
        <w:rPr>
          <w:i/>
          <w:iCs/>
          <w:color w:val="000000"/>
          <w:lang w:val="en-GB"/>
        </w:rPr>
        <w:t>Plasmodium falciparum</w:t>
      </w:r>
      <w:r w:rsidRPr="00564354">
        <w:rPr>
          <w:color w:val="000000"/>
          <w:lang w:val="en-GB"/>
        </w:rPr>
        <w:t xml:space="preserve"> malaria remains one of the leading causes of paediatric morbidity and mortality in sub-Saharan Africa. In 2024, an estimated 282 million malaria cases were reported globally, of which over 90% occurred in the African Region, accounting for the vast majority of malaria-related deaths</w:t>
      </w:r>
      <w:r w:rsidR="00730F89">
        <w:rPr>
          <w:color w:val="000000"/>
          <w:lang w:val="en-GB"/>
        </w:rPr>
        <w:t xml:space="preserve"> </w:t>
      </w:r>
      <w:r w:rsidR="007365E5">
        <w:rPr>
          <w:color w:val="000000"/>
          <w:lang w:val="en-GB"/>
        </w:rPr>
        <w:t>(WHO, 2025)</w:t>
      </w:r>
      <w:r w:rsidRPr="00564354">
        <w:rPr>
          <w:color w:val="000000"/>
          <w:lang w:val="en-GB"/>
        </w:rPr>
        <w:t>.</w:t>
      </w:r>
      <w:r w:rsidR="00730F89">
        <w:rPr>
          <w:color w:val="000000"/>
          <w:lang w:val="en-GB"/>
        </w:rPr>
        <w:t xml:space="preserve"> </w:t>
      </w:r>
      <w:r w:rsidRPr="00564354">
        <w:rPr>
          <w:color w:val="000000"/>
          <w:lang w:val="en-GB"/>
        </w:rPr>
        <w:t xml:space="preserve">Despite substantial reductions in transmission achieved over the past two decades through the widespread deployment of insecticide-treated nets and artemisinin-based combination therapies, the disease continues to exert a </w:t>
      </w:r>
      <w:r w:rsidRPr="00564354">
        <w:rPr>
          <w:color w:val="000000"/>
          <w:lang w:val="en-GB"/>
        </w:rPr>
        <w:lastRenderedPageBreak/>
        <w:t>disproportionate burden on health systems, particularly among young children</w:t>
      </w:r>
      <w:r w:rsidR="00730F89">
        <w:rPr>
          <w:color w:val="000000"/>
          <w:lang w:val="en-GB"/>
        </w:rPr>
        <w:t xml:space="preserve"> </w:t>
      </w:r>
      <w:r w:rsidR="007365E5">
        <w:rPr>
          <w:color w:val="000000"/>
          <w:lang w:val="en-GB"/>
        </w:rPr>
        <w:t>(WHO, 2025</w:t>
      </w:r>
      <w:r w:rsidR="00730F89">
        <w:rPr>
          <w:color w:val="000000"/>
          <w:lang w:val="en-GB"/>
        </w:rPr>
        <w:t xml:space="preserve">; </w:t>
      </w:r>
      <w:proofErr w:type="spellStart"/>
      <w:r w:rsidR="007365E5">
        <w:rPr>
          <w:color w:val="000000"/>
          <w:lang w:val="en-GB"/>
        </w:rPr>
        <w:t>Koukouikila-Koussounda</w:t>
      </w:r>
      <w:proofErr w:type="spellEnd"/>
      <w:r w:rsidR="007365E5">
        <w:rPr>
          <w:color w:val="000000"/>
          <w:lang w:val="en-GB"/>
        </w:rPr>
        <w:t xml:space="preserve"> and </w:t>
      </w:r>
      <w:proofErr w:type="spellStart"/>
      <w:r w:rsidR="002F7E6A" w:rsidRPr="002F7E6A">
        <w:rPr>
          <w:color w:val="000000"/>
          <w:lang w:val="en-GB"/>
        </w:rPr>
        <w:t>Ntoumi</w:t>
      </w:r>
      <w:proofErr w:type="spellEnd"/>
      <w:r w:rsidR="007365E5" w:rsidRPr="002F7E6A">
        <w:rPr>
          <w:color w:val="000000"/>
          <w:lang w:val="en-GB"/>
        </w:rPr>
        <w:t>,</w:t>
      </w:r>
      <w:r w:rsidR="007365E5">
        <w:rPr>
          <w:color w:val="000000"/>
          <w:lang w:val="en-GB"/>
        </w:rPr>
        <w:t xml:space="preserve"> 2016)</w:t>
      </w:r>
      <w:r w:rsidRPr="00564354">
        <w:rPr>
          <w:color w:val="000000"/>
          <w:lang w:val="en-GB"/>
        </w:rPr>
        <w:t>.</w:t>
      </w:r>
      <w:r w:rsidR="00730F89">
        <w:rPr>
          <w:color w:val="000000"/>
          <w:lang w:val="en-GB"/>
        </w:rPr>
        <w:t xml:space="preserve"> </w:t>
      </w:r>
      <w:r w:rsidRPr="00564354">
        <w:rPr>
          <w:color w:val="000000"/>
          <w:lang w:val="en-GB"/>
        </w:rPr>
        <w:t>In the Republic of Congo, malaria remains the primary cause of paediatric hospitalisation, accounting for 44</w:t>
      </w:r>
      <w:r w:rsidR="00610904">
        <w:rPr>
          <w:color w:val="000000"/>
          <w:lang w:val="en-GB"/>
        </w:rPr>
        <w:t>-</w:t>
      </w:r>
      <w:r w:rsidRPr="00564354">
        <w:rPr>
          <w:color w:val="000000"/>
          <w:lang w:val="en-GB"/>
        </w:rPr>
        <w:t>52% of admissions and approximately 35% of in-hospital deaths at health facilities in Brazzaville</w:t>
      </w:r>
      <w:r w:rsidR="007365E5">
        <w:rPr>
          <w:color w:val="000000"/>
          <w:lang w:val="en-GB"/>
        </w:rPr>
        <w:t xml:space="preserve"> (</w:t>
      </w:r>
      <w:proofErr w:type="spellStart"/>
      <w:r w:rsidR="007365E5">
        <w:rPr>
          <w:color w:val="000000"/>
          <w:lang w:val="en-GB"/>
        </w:rPr>
        <w:t>Koukouikila-Koussounda</w:t>
      </w:r>
      <w:proofErr w:type="spellEnd"/>
      <w:r w:rsidR="007365E5">
        <w:rPr>
          <w:color w:val="000000"/>
          <w:lang w:val="en-GB"/>
        </w:rPr>
        <w:t xml:space="preserve"> and </w:t>
      </w:r>
      <w:proofErr w:type="spellStart"/>
      <w:r w:rsidR="002F7E6A">
        <w:rPr>
          <w:color w:val="000000"/>
          <w:lang w:val="en-GB"/>
        </w:rPr>
        <w:t>Ntoumi</w:t>
      </w:r>
      <w:proofErr w:type="spellEnd"/>
      <w:r w:rsidR="007365E5">
        <w:rPr>
          <w:color w:val="000000"/>
          <w:lang w:val="en-GB"/>
        </w:rPr>
        <w:t>, 2016)</w:t>
      </w:r>
      <w:r w:rsidRPr="00564354">
        <w:rPr>
          <w:color w:val="000000"/>
          <w:lang w:val="en-GB"/>
        </w:rPr>
        <w:t>.</w:t>
      </w:r>
      <w:r w:rsidR="007365E5">
        <w:rPr>
          <w:color w:val="000000"/>
          <w:lang w:val="en-GB"/>
        </w:rPr>
        <w:t xml:space="preserve"> </w:t>
      </w:r>
      <w:r w:rsidRPr="00564354">
        <w:rPr>
          <w:color w:val="000000"/>
          <w:lang w:val="en-GB"/>
        </w:rPr>
        <w:t xml:space="preserve">Transmission in the capital is meso- to hyperendemic with seasonal fluctuations, and </w:t>
      </w:r>
      <w:r w:rsidRPr="00564354">
        <w:rPr>
          <w:i/>
          <w:iCs/>
          <w:color w:val="000000"/>
          <w:lang w:val="en-GB"/>
        </w:rPr>
        <w:t>P. falciparum</w:t>
      </w:r>
      <w:r w:rsidRPr="00564354">
        <w:rPr>
          <w:color w:val="000000"/>
          <w:lang w:val="en-GB"/>
        </w:rPr>
        <w:t xml:space="preserve"> accounts for virtually all confirmed infections</w:t>
      </w:r>
      <w:r w:rsidR="00730F89">
        <w:rPr>
          <w:color w:val="000000"/>
          <w:lang w:val="en-GB"/>
        </w:rPr>
        <w:t xml:space="preserve"> </w:t>
      </w:r>
      <w:r w:rsidR="007365E5">
        <w:rPr>
          <w:color w:val="000000"/>
          <w:lang w:val="en-GB"/>
        </w:rPr>
        <w:t>(</w:t>
      </w:r>
      <w:proofErr w:type="spellStart"/>
      <w:r w:rsidR="007365E5">
        <w:rPr>
          <w:color w:val="000000"/>
          <w:lang w:val="en-GB"/>
        </w:rPr>
        <w:t>Mayengue</w:t>
      </w:r>
      <w:proofErr w:type="spellEnd"/>
      <w:r w:rsidR="007365E5">
        <w:rPr>
          <w:color w:val="000000"/>
          <w:lang w:val="en-GB"/>
        </w:rPr>
        <w:t xml:space="preserve"> and </w:t>
      </w:r>
      <w:r w:rsidR="007365E5" w:rsidRPr="007365E5">
        <w:rPr>
          <w:i/>
          <w:iCs/>
          <w:color w:val="000000"/>
          <w:lang w:val="en-GB"/>
        </w:rPr>
        <w:t>al</w:t>
      </w:r>
      <w:r w:rsidR="007365E5">
        <w:rPr>
          <w:color w:val="000000"/>
          <w:lang w:val="en-GB"/>
        </w:rPr>
        <w:t>, 2020)</w:t>
      </w:r>
      <w:r w:rsidRPr="00564354">
        <w:rPr>
          <w:color w:val="000000"/>
          <w:lang w:val="en-GB"/>
        </w:rPr>
        <w:t>.</w:t>
      </w:r>
    </w:p>
    <w:p w14:paraId="1353F321" w14:textId="533D1F4F" w:rsidR="002E0A7C" w:rsidRPr="00564354" w:rsidRDefault="002E0A7C" w:rsidP="00486F87">
      <w:pPr>
        <w:spacing w:line="480" w:lineRule="auto"/>
        <w:jc w:val="both"/>
        <w:rPr>
          <w:lang w:val="en-GB"/>
        </w:rPr>
      </w:pPr>
      <w:r w:rsidRPr="00564354">
        <w:rPr>
          <w:color w:val="000000"/>
          <w:lang w:val="en-GB"/>
        </w:rPr>
        <w:t>The World Health Organisation (WHO) currently classifies clinical malaria into two operational categories: uncomplicated malaria, characterised by symptomatic infection without signs of organ dysfunction, and severe malaria, defined by the presence of one or more specific clinical or biological criteria</w:t>
      </w:r>
      <w:r w:rsidR="00730F89">
        <w:rPr>
          <w:color w:val="000000"/>
          <w:lang w:val="en-GB"/>
        </w:rPr>
        <w:t xml:space="preserve"> </w:t>
      </w:r>
      <w:r w:rsidR="000471A6">
        <w:rPr>
          <w:color w:val="000000"/>
          <w:lang w:val="en-GB"/>
        </w:rPr>
        <w:t>(WHO, 2014)</w:t>
      </w:r>
      <w:r w:rsidRPr="00564354">
        <w:rPr>
          <w:color w:val="000000"/>
          <w:lang w:val="en-GB"/>
        </w:rPr>
        <w:t>.</w:t>
      </w:r>
      <w:r w:rsidR="00730F89">
        <w:rPr>
          <w:color w:val="000000"/>
          <w:lang w:val="en-GB"/>
        </w:rPr>
        <w:t xml:space="preserve"> </w:t>
      </w:r>
      <w:r w:rsidRPr="00564354">
        <w:rPr>
          <w:color w:val="000000"/>
          <w:lang w:val="en-GB"/>
        </w:rPr>
        <w:t xml:space="preserve">In practice, however, this binary framework inadequately captures the full complexity of malaria presentations encountered in hospital settings, where a substantial proportion of children </w:t>
      </w:r>
      <w:r w:rsidR="00564354" w:rsidRPr="00564354">
        <w:rPr>
          <w:color w:val="000000"/>
          <w:lang w:val="en-GB"/>
        </w:rPr>
        <w:t>-</w:t>
      </w:r>
      <w:r w:rsidRPr="00564354">
        <w:rPr>
          <w:color w:val="000000"/>
          <w:lang w:val="en-GB"/>
        </w:rPr>
        <w:t xml:space="preserve"> hospitalised because their condition warrants inpatient care </w:t>
      </w:r>
      <w:r w:rsidR="00564354" w:rsidRPr="00564354">
        <w:rPr>
          <w:color w:val="000000"/>
          <w:lang w:val="en-GB"/>
        </w:rPr>
        <w:t>-</w:t>
      </w:r>
      <w:r w:rsidRPr="00564354">
        <w:rPr>
          <w:color w:val="000000"/>
          <w:lang w:val="en-GB"/>
        </w:rPr>
        <w:t xml:space="preserve"> present with concurrent infections or pre-existing conditions that modify the clinical course and prognosis. This subset, referred to herein as malaria with co-infection or comorbidity, represents an important but poorly characterised epidemiological entity in Central Africa.</w:t>
      </w:r>
    </w:p>
    <w:p w14:paraId="16A2EC51" w14:textId="77777777" w:rsidR="002E0A7C" w:rsidRPr="00564354" w:rsidRDefault="002E0A7C" w:rsidP="002E0A7C">
      <w:pPr>
        <w:spacing w:before="60" w:after="60"/>
        <w:rPr>
          <w:lang w:val="en-GB"/>
        </w:rPr>
      </w:pPr>
    </w:p>
    <w:p w14:paraId="0350A32A" w14:textId="2F398826" w:rsidR="002E0A7C" w:rsidRPr="00564354" w:rsidRDefault="002E0A7C" w:rsidP="00486F87">
      <w:pPr>
        <w:spacing w:line="480" w:lineRule="auto"/>
        <w:jc w:val="both"/>
        <w:rPr>
          <w:lang w:val="en-GB"/>
        </w:rPr>
      </w:pPr>
      <w:r w:rsidRPr="00564354">
        <w:rPr>
          <w:color w:val="000000"/>
          <w:lang w:val="en-GB"/>
        </w:rPr>
        <w:t xml:space="preserve">The co-occurrence of </w:t>
      </w:r>
      <w:r w:rsidRPr="00564354">
        <w:rPr>
          <w:i/>
          <w:iCs/>
          <w:color w:val="000000"/>
          <w:lang w:val="en-GB"/>
        </w:rPr>
        <w:t>P. falciparum</w:t>
      </w:r>
      <w:r w:rsidRPr="00564354">
        <w:rPr>
          <w:color w:val="000000"/>
          <w:lang w:val="en-GB"/>
        </w:rPr>
        <w:t xml:space="preserve"> malaria with other infectious pathogens has been documented across clinical settings in sub-Saharan Africa. A systematic review and meta-analysis by Church and Maitland found that invasive bacterial infection occurred in a mean of 6.4% of children with severe malaria and 5.58% of all hospitalised malaria cases, and was associated with substantially increased mortality</w:t>
      </w:r>
      <w:r w:rsidR="00730F89">
        <w:rPr>
          <w:color w:val="000000"/>
          <w:lang w:val="en-GB"/>
        </w:rPr>
        <w:t xml:space="preserve"> </w:t>
      </w:r>
      <w:r w:rsidR="000471A6">
        <w:rPr>
          <w:color w:val="000000"/>
          <w:lang w:val="en-GB"/>
        </w:rPr>
        <w:t>(</w:t>
      </w:r>
      <w:r w:rsidR="00E065B5">
        <w:rPr>
          <w:color w:val="000000"/>
          <w:lang w:val="en-US"/>
        </w:rPr>
        <w:t>Church and Maitland, 2014</w:t>
      </w:r>
      <w:r w:rsidR="000471A6">
        <w:rPr>
          <w:color w:val="000000"/>
          <w:lang w:val="en-GB"/>
        </w:rPr>
        <w:t>)</w:t>
      </w:r>
      <w:r w:rsidRPr="00564354">
        <w:rPr>
          <w:color w:val="000000"/>
          <w:lang w:val="en-GB"/>
        </w:rPr>
        <w:t>.</w:t>
      </w:r>
      <w:r w:rsidR="00730F89">
        <w:rPr>
          <w:color w:val="000000"/>
          <w:lang w:val="en-GB"/>
        </w:rPr>
        <w:t xml:space="preserve"> </w:t>
      </w:r>
      <w:r w:rsidRPr="00564354">
        <w:rPr>
          <w:color w:val="000000"/>
          <w:lang w:val="en-GB"/>
        </w:rPr>
        <w:t>Seminal work by English and colleagues identified that up to 45% of children admitted with respiratory signs at a Kenyan referral hospital had concurrent malaria, underscoring the diagnostic and clinical challenges posed by co-presenting illnesses</w:t>
      </w:r>
      <w:r w:rsidR="00730F89">
        <w:rPr>
          <w:color w:val="000000"/>
          <w:lang w:val="en-GB"/>
        </w:rPr>
        <w:t xml:space="preserve"> </w:t>
      </w:r>
      <w:r w:rsidR="000471A6">
        <w:rPr>
          <w:color w:val="000000"/>
          <w:lang w:val="en-GB"/>
        </w:rPr>
        <w:t xml:space="preserve">(English and </w:t>
      </w:r>
      <w:r w:rsidR="000471A6" w:rsidRPr="000471A6">
        <w:rPr>
          <w:i/>
          <w:iCs/>
          <w:color w:val="000000"/>
          <w:lang w:val="en-GB"/>
        </w:rPr>
        <w:t>al</w:t>
      </w:r>
      <w:r w:rsidR="000471A6">
        <w:rPr>
          <w:color w:val="000000"/>
          <w:lang w:val="en-GB"/>
        </w:rPr>
        <w:t>, 1996)</w:t>
      </w:r>
      <w:r w:rsidRPr="00564354">
        <w:rPr>
          <w:color w:val="000000"/>
          <w:lang w:val="en-GB"/>
        </w:rPr>
        <w:t>.</w:t>
      </w:r>
      <w:r w:rsidR="00730F89">
        <w:rPr>
          <w:color w:val="000000"/>
          <w:lang w:val="en-GB"/>
        </w:rPr>
        <w:t xml:space="preserve"> </w:t>
      </w:r>
      <w:r w:rsidRPr="00564354">
        <w:rPr>
          <w:color w:val="000000"/>
          <w:lang w:val="en-GB"/>
        </w:rPr>
        <w:t xml:space="preserve">These findings collectively </w:t>
      </w:r>
      <w:r w:rsidRPr="00564354">
        <w:rPr>
          <w:color w:val="000000"/>
          <w:lang w:val="en-GB"/>
        </w:rPr>
        <w:lastRenderedPageBreak/>
        <w:t>support the concept of severe malaria as a syndromic condition frequently occurring in the context of concomitant infections, with important implications for triage, antimicrobial stewardship, and outcome prediction.</w:t>
      </w:r>
    </w:p>
    <w:p w14:paraId="03953186" w14:textId="6599C8C1" w:rsidR="002E0A7C" w:rsidRPr="00564354" w:rsidRDefault="002E0A7C" w:rsidP="00486F87">
      <w:pPr>
        <w:spacing w:line="480" w:lineRule="auto"/>
        <w:jc w:val="both"/>
        <w:rPr>
          <w:lang w:val="en-GB"/>
        </w:rPr>
      </w:pPr>
      <w:r w:rsidRPr="00564354">
        <w:rPr>
          <w:color w:val="000000"/>
          <w:lang w:val="en-GB"/>
        </w:rPr>
        <w:t>Sociodemographic factors are established determinants of malaria acquisition, severity, and outcome across sub-Saharan Africa. A pooled analysis of Demographic and Health Survey data from eleven countries identified child age, maternal education, household wealth, and place of residence as the principal predictors of malaria infection among under-five children</w:t>
      </w:r>
      <w:r w:rsidR="00730F89">
        <w:rPr>
          <w:color w:val="000000"/>
          <w:lang w:val="en-GB"/>
        </w:rPr>
        <w:t xml:space="preserve"> </w:t>
      </w:r>
      <w:r w:rsidR="000471A6">
        <w:rPr>
          <w:color w:val="000000"/>
          <w:lang w:val="en-GB"/>
        </w:rPr>
        <w:t>(Anjorin</w:t>
      </w:r>
      <w:r w:rsidR="00E065B5">
        <w:rPr>
          <w:color w:val="000000"/>
          <w:lang w:val="en-GB"/>
        </w:rPr>
        <w:t xml:space="preserve"> </w:t>
      </w:r>
      <w:r w:rsidR="000471A6">
        <w:rPr>
          <w:color w:val="000000"/>
          <w:lang w:val="en-GB"/>
        </w:rPr>
        <w:t xml:space="preserve">and </w:t>
      </w:r>
      <w:r w:rsidR="000471A6" w:rsidRPr="000471A6">
        <w:rPr>
          <w:i/>
          <w:iCs/>
          <w:color w:val="000000"/>
          <w:lang w:val="en-GB"/>
        </w:rPr>
        <w:t>al</w:t>
      </w:r>
      <w:r w:rsidR="000471A6">
        <w:rPr>
          <w:color w:val="000000"/>
          <w:lang w:val="en-GB"/>
        </w:rPr>
        <w:t>, 2023)</w:t>
      </w:r>
      <w:r w:rsidRPr="00564354">
        <w:rPr>
          <w:color w:val="000000"/>
          <w:lang w:val="en-GB"/>
        </w:rPr>
        <w:t>.</w:t>
      </w:r>
      <w:r w:rsidR="00730F89">
        <w:rPr>
          <w:color w:val="000000"/>
          <w:lang w:val="en-GB"/>
        </w:rPr>
        <w:t xml:space="preserve"> </w:t>
      </w:r>
      <w:r w:rsidRPr="00564354">
        <w:rPr>
          <w:color w:val="000000"/>
          <w:lang w:val="en-GB"/>
        </w:rPr>
        <w:t>However, comparatively little is known about the sociodemographic factors that specifically predispose hospitalised children to present with malaria co-infection rather than malaria alone. Young age, delayed health-seeking behaviour, and environmental factors linked to residential density or urban heterogeneity have been proposed as potential determinants, but systematic hospital-based evidence from Central Africa remains scarce.</w:t>
      </w:r>
    </w:p>
    <w:p w14:paraId="5A6035A8" w14:textId="2608F29A" w:rsidR="002E0A7C" w:rsidRPr="00564354" w:rsidRDefault="002E0A7C" w:rsidP="00486F87">
      <w:pPr>
        <w:spacing w:line="480" w:lineRule="auto"/>
        <w:jc w:val="both"/>
        <w:rPr>
          <w:lang w:val="en-GB"/>
        </w:rPr>
      </w:pPr>
      <w:r w:rsidRPr="00564354">
        <w:rPr>
          <w:color w:val="000000"/>
          <w:lang w:val="en-GB"/>
        </w:rPr>
        <w:t>In Gabon, the closest epidemiological comparator to the Republic of Congo, hospital-based studies have consistently shown that the majority of children admitted with confirmed malaria do not fulfil WHO severity criteria, and available published data have largely focused on the severe end of the spectrum</w:t>
      </w:r>
      <w:r w:rsidR="00730F89">
        <w:rPr>
          <w:color w:val="000000"/>
          <w:lang w:val="en-GB"/>
        </w:rPr>
        <w:t xml:space="preserve"> </w:t>
      </w:r>
      <w:r w:rsidR="000471A6">
        <w:rPr>
          <w:color w:val="000000"/>
          <w:lang w:val="en-GB"/>
        </w:rPr>
        <w:t>(</w:t>
      </w:r>
      <w:proofErr w:type="spellStart"/>
      <w:r w:rsidR="000471A6">
        <w:rPr>
          <w:color w:val="000000"/>
          <w:lang w:val="en-GB"/>
        </w:rPr>
        <w:t>Bouyou-Akotet</w:t>
      </w:r>
      <w:proofErr w:type="spellEnd"/>
      <w:r w:rsidR="000471A6">
        <w:rPr>
          <w:color w:val="000000"/>
          <w:lang w:val="en-GB"/>
        </w:rPr>
        <w:t xml:space="preserve"> and </w:t>
      </w:r>
      <w:r w:rsidR="000471A6" w:rsidRPr="000471A6">
        <w:rPr>
          <w:i/>
          <w:iCs/>
          <w:color w:val="000000"/>
          <w:lang w:val="en-GB"/>
        </w:rPr>
        <w:t>al</w:t>
      </w:r>
      <w:r w:rsidR="000471A6">
        <w:rPr>
          <w:color w:val="000000"/>
          <w:lang w:val="en-GB"/>
        </w:rPr>
        <w:t>, 2012)</w:t>
      </w:r>
      <w:r w:rsidRPr="00564354">
        <w:rPr>
          <w:color w:val="000000"/>
          <w:lang w:val="en-GB"/>
        </w:rPr>
        <w:t>.</w:t>
      </w:r>
      <w:r w:rsidR="00730F89">
        <w:rPr>
          <w:color w:val="000000"/>
          <w:lang w:val="en-GB"/>
        </w:rPr>
        <w:t xml:space="preserve"> </w:t>
      </w:r>
      <w:r w:rsidRPr="00564354">
        <w:rPr>
          <w:color w:val="000000"/>
          <w:lang w:val="en-GB"/>
        </w:rPr>
        <w:t>Most recently, a retrospective study conducted at the tertiary referral hospital in Libreville found that 21.0% of children hospitalised with confirmed severe malaria (101/480) had at least one documented co-infection; age under five years was independently associated with co-infection (OR 1.76, 95% CI 1.12</w:t>
      </w:r>
      <w:r w:rsidR="00610904">
        <w:rPr>
          <w:color w:val="000000"/>
          <w:lang w:val="en-GB"/>
        </w:rPr>
        <w:t>-</w:t>
      </w:r>
      <w:r w:rsidRPr="00564354">
        <w:rPr>
          <w:color w:val="000000"/>
          <w:lang w:val="en-GB"/>
        </w:rPr>
        <w:t>2.76), respiratory infections were the most frequent co-infection type (43.6%), and a trend towards delayed health-seeking was observed among co-infected children</w:t>
      </w:r>
      <w:r w:rsidR="00730F89">
        <w:rPr>
          <w:color w:val="000000"/>
          <w:lang w:val="en-GB"/>
        </w:rPr>
        <w:t xml:space="preserve"> </w:t>
      </w:r>
      <w:r w:rsidR="000471A6">
        <w:rPr>
          <w:color w:val="000000"/>
          <w:lang w:val="en-GB"/>
        </w:rPr>
        <w:t>(</w:t>
      </w:r>
      <w:proofErr w:type="spellStart"/>
      <w:r w:rsidR="000471A6">
        <w:rPr>
          <w:color w:val="000000"/>
          <w:lang w:val="en-GB"/>
        </w:rPr>
        <w:t>Essom</w:t>
      </w:r>
      <w:r w:rsidR="00A25958">
        <w:rPr>
          <w:color w:val="000000"/>
          <w:lang w:val="en-GB"/>
        </w:rPr>
        <w:t>e</w:t>
      </w:r>
      <w:r w:rsidR="000471A6">
        <w:rPr>
          <w:color w:val="000000"/>
          <w:lang w:val="en-GB"/>
        </w:rPr>
        <w:t>yo</w:t>
      </w:r>
      <w:proofErr w:type="spellEnd"/>
      <w:r w:rsidR="000471A6">
        <w:rPr>
          <w:color w:val="000000"/>
          <w:lang w:val="en-GB"/>
        </w:rPr>
        <w:t xml:space="preserve"> </w:t>
      </w:r>
      <w:proofErr w:type="spellStart"/>
      <w:r w:rsidR="000471A6">
        <w:rPr>
          <w:color w:val="000000"/>
          <w:lang w:val="en-GB"/>
        </w:rPr>
        <w:t>Ngue</w:t>
      </w:r>
      <w:proofErr w:type="spellEnd"/>
      <w:r w:rsidR="000471A6">
        <w:rPr>
          <w:color w:val="000000"/>
          <w:lang w:val="en-GB"/>
        </w:rPr>
        <w:t xml:space="preserve"> </w:t>
      </w:r>
      <w:proofErr w:type="spellStart"/>
      <w:r w:rsidR="000471A6">
        <w:rPr>
          <w:color w:val="000000"/>
          <w:lang w:val="en-GB"/>
        </w:rPr>
        <w:t>Mebale</w:t>
      </w:r>
      <w:proofErr w:type="spellEnd"/>
      <w:r w:rsidR="000471A6">
        <w:rPr>
          <w:color w:val="000000"/>
          <w:lang w:val="en-GB"/>
        </w:rPr>
        <w:t xml:space="preserve"> and </w:t>
      </w:r>
      <w:r w:rsidR="000471A6" w:rsidRPr="000471A6">
        <w:rPr>
          <w:i/>
          <w:iCs/>
          <w:color w:val="000000"/>
          <w:lang w:val="en-GB"/>
        </w:rPr>
        <w:t>al</w:t>
      </w:r>
      <w:r w:rsidR="000471A6">
        <w:rPr>
          <w:color w:val="000000"/>
          <w:lang w:val="en-GB"/>
        </w:rPr>
        <w:t>, 2026)</w:t>
      </w:r>
      <w:r w:rsidRPr="00564354">
        <w:rPr>
          <w:color w:val="000000"/>
          <w:lang w:val="en-GB"/>
        </w:rPr>
        <w:t>.</w:t>
      </w:r>
      <w:r w:rsidR="00730F89">
        <w:rPr>
          <w:color w:val="000000"/>
          <w:lang w:val="en-GB"/>
        </w:rPr>
        <w:t xml:space="preserve"> </w:t>
      </w:r>
      <w:r w:rsidRPr="00564354">
        <w:rPr>
          <w:color w:val="000000"/>
          <w:lang w:val="en-GB"/>
        </w:rPr>
        <w:t>These findings provide a direct regional benchmark for the present study, while underscoring the absence of comparable data from the Republic of Congo and across the full malaria severity spectrum.</w:t>
      </w:r>
    </w:p>
    <w:p w14:paraId="252B2093" w14:textId="77777777" w:rsidR="002E0A7C" w:rsidRPr="009A55CB" w:rsidRDefault="002E0A7C" w:rsidP="00486F87">
      <w:pPr>
        <w:spacing w:line="480" w:lineRule="auto"/>
        <w:jc w:val="both"/>
        <w:rPr>
          <w:lang w:val="en-GB"/>
        </w:rPr>
      </w:pPr>
      <w:r w:rsidRPr="009A55CB">
        <w:rPr>
          <w:color w:val="000000"/>
          <w:lang w:val="en-GB"/>
        </w:rPr>
        <w:lastRenderedPageBreak/>
        <w:t xml:space="preserve">To date, no published study from the Republic of Congo has systematically characterised the proportion of hospitalised children with </w:t>
      </w:r>
      <w:r w:rsidRPr="009A55CB">
        <w:rPr>
          <w:i/>
          <w:iCs/>
          <w:color w:val="000000"/>
          <w:lang w:val="en-GB"/>
        </w:rPr>
        <w:t>P. falciparum</w:t>
      </w:r>
      <w:r w:rsidRPr="009A55CB">
        <w:rPr>
          <w:color w:val="000000"/>
          <w:lang w:val="en-GB"/>
        </w:rPr>
        <w:t xml:space="preserve"> malaria presenting with co-infection or comorbidity, nor identified the sociodemographic factors associated with this clinical presentation. This gap carries practical consequences: without a clear epidemiological profile of co-infected malaria in this setting, clinicians lack an evidence base for syndromic triage, targeted antimicrobial prescribing, and resource allocation in a context where the majority of malaria admissions occur outside specialised referral facilities.</w:t>
      </w:r>
    </w:p>
    <w:p w14:paraId="045A161D" w14:textId="77777777" w:rsidR="002E0A7C" w:rsidRPr="00564354" w:rsidRDefault="002E0A7C" w:rsidP="00486F87">
      <w:pPr>
        <w:spacing w:line="480" w:lineRule="auto"/>
        <w:jc w:val="both"/>
        <w:rPr>
          <w:lang w:val="en-GB"/>
        </w:rPr>
      </w:pPr>
      <w:r w:rsidRPr="00564354">
        <w:rPr>
          <w:color w:val="000000"/>
          <w:lang w:val="en-GB"/>
        </w:rPr>
        <w:t>The present study therefore aimed: (</w:t>
      </w:r>
      <w:proofErr w:type="spellStart"/>
      <w:r w:rsidRPr="00564354">
        <w:rPr>
          <w:color w:val="000000"/>
          <w:lang w:val="en-GB"/>
        </w:rPr>
        <w:t>i</w:t>
      </w:r>
      <w:proofErr w:type="spellEnd"/>
      <w:r w:rsidRPr="00564354">
        <w:rPr>
          <w:color w:val="000000"/>
          <w:lang w:val="en-GB"/>
        </w:rPr>
        <w:t xml:space="preserve">) to determine the prevalence of co-infection or comorbidity among children hospitalised with confirmed </w:t>
      </w:r>
      <w:r w:rsidRPr="00564354">
        <w:rPr>
          <w:i/>
          <w:iCs/>
          <w:color w:val="000000"/>
          <w:lang w:val="en-GB"/>
        </w:rPr>
        <w:t>P. falciparum</w:t>
      </w:r>
      <w:r w:rsidRPr="00564354">
        <w:rPr>
          <w:color w:val="000000"/>
          <w:lang w:val="en-GB"/>
        </w:rPr>
        <w:t xml:space="preserve"> malaria at the Centre Hospitalier Universitaire de Brazzaville; (ii) to describe and compare the sociodemographic, clinical, and biological profiles of children with malaria </w:t>
      </w:r>
      <w:proofErr w:type="spellStart"/>
      <w:r w:rsidRPr="00564354">
        <w:rPr>
          <w:color w:val="000000"/>
          <w:lang w:val="en-GB"/>
        </w:rPr>
        <w:t>monoinfection</w:t>
      </w:r>
      <w:proofErr w:type="spellEnd"/>
      <w:r w:rsidRPr="00564354">
        <w:rPr>
          <w:color w:val="000000"/>
          <w:lang w:val="en-GB"/>
        </w:rPr>
        <w:t xml:space="preserve"> and those with co-infection or comorbidity; and (iii) to identify sociodemographic factors independently associated with co-infection using multivariable logistic regression. These findings are intended to contribute to a broader evidence base for integrated paediatric malaria management in Central Africa.</w:t>
      </w:r>
    </w:p>
    <w:p w14:paraId="0F0EFA0F" w14:textId="77777777" w:rsidR="002E0A7C" w:rsidRDefault="002E0A7C" w:rsidP="002E0A7C">
      <w:pPr>
        <w:spacing w:before="60" w:after="60"/>
        <w:rPr>
          <w:lang w:val="en-GB"/>
        </w:rPr>
      </w:pPr>
    </w:p>
    <w:p w14:paraId="76B71748" w14:textId="77777777" w:rsidR="00486F87" w:rsidRDefault="00486F87" w:rsidP="002E0A7C">
      <w:pPr>
        <w:spacing w:before="60" w:after="60"/>
        <w:rPr>
          <w:lang w:val="en-GB"/>
        </w:rPr>
      </w:pPr>
    </w:p>
    <w:p w14:paraId="040CDC78" w14:textId="77777777" w:rsidR="00486F87" w:rsidRDefault="00486F87" w:rsidP="002E0A7C">
      <w:pPr>
        <w:spacing w:before="60" w:after="60"/>
        <w:rPr>
          <w:lang w:val="en-GB"/>
        </w:rPr>
      </w:pPr>
    </w:p>
    <w:p w14:paraId="5201C6BD" w14:textId="77777777" w:rsidR="00486F87" w:rsidRDefault="00486F87" w:rsidP="002E0A7C">
      <w:pPr>
        <w:spacing w:before="60" w:after="60"/>
        <w:rPr>
          <w:lang w:val="en-GB"/>
        </w:rPr>
      </w:pPr>
    </w:p>
    <w:p w14:paraId="0365E435" w14:textId="77777777" w:rsidR="00486F87" w:rsidRPr="00564354" w:rsidRDefault="00486F87" w:rsidP="002E0A7C">
      <w:pPr>
        <w:spacing w:before="60" w:after="60"/>
        <w:rPr>
          <w:lang w:val="en-GB"/>
        </w:rPr>
      </w:pPr>
    </w:p>
    <w:p w14:paraId="6BD1A15E" w14:textId="64F00D33" w:rsidR="002E0A7C" w:rsidRPr="00B547E9" w:rsidRDefault="002E0A7C" w:rsidP="00B547E9">
      <w:pPr>
        <w:pStyle w:val="ListParagraph"/>
        <w:numPr>
          <w:ilvl w:val="0"/>
          <w:numId w:val="4"/>
        </w:numPr>
        <w:spacing w:after="240" w:line="480" w:lineRule="auto"/>
        <w:rPr>
          <w:lang w:val="en-GB"/>
        </w:rPr>
      </w:pPr>
      <w:r w:rsidRPr="00B547E9">
        <w:rPr>
          <w:b/>
          <w:bCs/>
          <w:sz w:val="28"/>
          <w:szCs w:val="28"/>
          <w:lang w:val="en-GB"/>
        </w:rPr>
        <w:t>Methods</w:t>
      </w:r>
    </w:p>
    <w:p w14:paraId="64288394" w14:textId="77777777" w:rsidR="002E0A7C" w:rsidRPr="0056696B" w:rsidRDefault="002E0A7C" w:rsidP="002E0A7C">
      <w:pPr>
        <w:spacing w:before="160" w:after="60" w:line="480" w:lineRule="auto"/>
        <w:rPr>
          <w:lang w:val="en-GB"/>
        </w:rPr>
      </w:pPr>
      <w:r w:rsidRPr="0056696B">
        <w:rPr>
          <w:b/>
          <w:bCs/>
          <w:i/>
          <w:iCs/>
          <w:lang w:val="en-GB"/>
        </w:rPr>
        <w:t>Study design and setting</w:t>
      </w:r>
    </w:p>
    <w:p w14:paraId="014CA0B5" w14:textId="5E8FC613" w:rsidR="002E0A7C" w:rsidRPr="00564354" w:rsidRDefault="002E0A7C" w:rsidP="002F7E6A">
      <w:pPr>
        <w:spacing w:line="480" w:lineRule="auto"/>
        <w:jc w:val="both"/>
        <w:rPr>
          <w:lang w:val="en-GB"/>
        </w:rPr>
      </w:pPr>
      <w:r w:rsidRPr="009A55CB">
        <w:rPr>
          <w:color w:val="000000"/>
          <w:lang w:val="en-GB"/>
        </w:rPr>
        <w:t xml:space="preserve">We conducted a retrospective, analytical, hospital-based cohort study of children hospitalised with confirmed </w:t>
      </w:r>
      <w:r w:rsidRPr="009A55CB">
        <w:rPr>
          <w:i/>
          <w:iCs/>
          <w:color w:val="000000"/>
          <w:lang w:val="en-GB"/>
        </w:rPr>
        <w:t>Plasmodium falciparum</w:t>
      </w:r>
      <w:r w:rsidRPr="009A55CB">
        <w:rPr>
          <w:color w:val="000000"/>
          <w:lang w:val="en-GB"/>
        </w:rPr>
        <w:t xml:space="preserve"> malaria at the Centre Hospitalier Universitaire de Brazzaville (CHU-Brazzaville), Republic of Congo. CHU-Brazzaville is the country's principal tertiary referral hospital and serves as the primary paediatric referral centre for the city of </w:t>
      </w:r>
      <w:r w:rsidRPr="009A55CB">
        <w:rPr>
          <w:color w:val="000000"/>
          <w:lang w:val="en-GB"/>
        </w:rPr>
        <w:lastRenderedPageBreak/>
        <w:t>Brazzaville (estimated population &gt; 2 million)</w:t>
      </w:r>
      <w:r w:rsidR="00D23013">
        <w:rPr>
          <w:color w:val="000000"/>
          <w:lang w:val="en-GB"/>
        </w:rPr>
        <w:t>. It receives</w:t>
      </w:r>
      <w:r w:rsidRPr="009A55CB">
        <w:rPr>
          <w:color w:val="000000"/>
          <w:lang w:val="en-GB"/>
        </w:rPr>
        <w:t xml:space="preserve"> patients from all nine arrondissements of the city as well as from surrounding districts and from other regions of the country via inter-facility transfer. </w:t>
      </w:r>
      <w:r w:rsidRPr="00564354">
        <w:rPr>
          <w:color w:val="000000"/>
          <w:lang w:val="en-GB"/>
        </w:rPr>
        <w:t>The paediatric department encompasses general paediatrics, paediatric emergency care, and an intensive care unit, with an average of approximately 1,200 paediatric admissions annually. The study was conducted over the period January to December 2023.</w:t>
      </w:r>
    </w:p>
    <w:p w14:paraId="586E1883" w14:textId="77777777" w:rsidR="002E0A7C" w:rsidRPr="0056696B" w:rsidRDefault="002E0A7C" w:rsidP="002E0A7C">
      <w:pPr>
        <w:spacing w:before="160" w:after="60" w:line="480" w:lineRule="auto"/>
        <w:rPr>
          <w:lang w:val="en-GB"/>
        </w:rPr>
      </w:pPr>
      <w:r w:rsidRPr="0056696B">
        <w:rPr>
          <w:b/>
          <w:bCs/>
          <w:i/>
          <w:iCs/>
          <w:lang w:val="en-GB"/>
        </w:rPr>
        <w:t>Study participants</w:t>
      </w:r>
    </w:p>
    <w:p w14:paraId="12AF3DEC" w14:textId="77777777" w:rsidR="002E0A7C" w:rsidRPr="00564354" w:rsidRDefault="002E0A7C" w:rsidP="002F7E6A">
      <w:pPr>
        <w:spacing w:line="480" w:lineRule="auto"/>
        <w:jc w:val="both"/>
        <w:rPr>
          <w:lang w:val="en-GB"/>
        </w:rPr>
      </w:pPr>
      <w:r w:rsidRPr="009A55CB">
        <w:rPr>
          <w:color w:val="000000"/>
          <w:lang w:val="en-GB"/>
        </w:rPr>
        <w:t>All children aged 0 to 15 years admitted to the paediatric department with a primary diagnosis of malaria were screened for inclusion. Eligibility required: (</w:t>
      </w:r>
      <w:proofErr w:type="spellStart"/>
      <w:r w:rsidRPr="009A55CB">
        <w:rPr>
          <w:color w:val="000000"/>
          <w:lang w:val="en-GB"/>
        </w:rPr>
        <w:t>i</w:t>
      </w:r>
      <w:proofErr w:type="spellEnd"/>
      <w:r w:rsidRPr="009A55CB">
        <w:rPr>
          <w:color w:val="000000"/>
          <w:lang w:val="en-GB"/>
        </w:rPr>
        <w:t xml:space="preserve">) age ≤15 years at the time of hospitalisation; (ii) microscopically confirmed </w:t>
      </w:r>
      <w:r w:rsidRPr="009A55CB">
        <w:rPr>
          <w:i/>
          <w:iCs/>
          <w:color w:val="000000"/>
          <w:lang w:val="en-GB"/>
        </w:rPr>
        <w:t>P. falciparum</w:t>
      </w:r>
      <w:r w:rsidRPr="009A55CB">
        <w:rPr>
          <w:color w:val="000000"/>
          <w:lang w:val="en-GB"/>
        </w:rPr>
        <w:t xml:space="preserve"> </w:t>
      </w:r>
      <w:proofErr w:type="spellStart"/>
      <w:r w:rsidRPr="009A55CB">
        <w:rPr>
          <w:color w:val="000000"/>
          <w:lang w:val="en-GB"/>
        </w:rPr>
        <w:t>monoinfection</w:t>
      </w:r>
      <w:proofErr w:type="spellEnd"/>
      <w:r w:rsidRPr="009A55CB">
        <w:rPr>
          <w:color w:val="000000"/>
          <w:lang w:val="en-GB"/>
        </w:rPr>
        <w:t xml:space="preserve"> on a thick blood film, prepared and read at the CHU-Brazzaville laboratory by trained technicians following standard WHO procedures; and (iii) availability of a minimum dataset including age, sex, clinical examination findings, and at least one documented co-infection or comorbidity status variable. </w:t>
      </w:r>
      <w:r w:rsidRPr="00564354">
        <w:rPr>
          <w:color w:val="000000"/>
          <w:lang w:val="en-GB"/>
        </w:rPr>
        <w:t>Children with incomplete records precluding malaria classification or outcome ascertainment were excluded, as were neonates and children admitted primarily for non-malarial conditions in whom malaria was an incidental finding.</w:t>
      </w:r>
    </w:p>
    <w:p w14:paraId="442340B7" w14:textId="77777777" w:rsidR="002F7E6A" w:rsidRDefault="002F7E6A" w:rsidP="002E0A7C">
      <w:pPr>
        <w:spacing w:before="160" w:after="60" w:line="480" w:lineRule="auto"/>
        <w:rPr>
          <w:b/>
          <w:bCs/>
          <w:i/>
          <w:iCs/>
          <w:lang w:val="en-GB"/>
        </w:rPr>
      </w:pPr>
    </w:p>
    <w:p w14:paraId="3A8178A6" w14:textId="77777777" w:rsidR="002F7E6A" w:rsidRDefault="002F7E6A" w:rsidP="002E0A7C">
      <w:pPr>
        <w:spacing w:before="160" w:after="60" w:line="480" w:lineRule="auto"/>
        <w:rPr>
          <w:b/>
          <w:bCs/>
          <w:i/>
          <w:iCs/>
          <w:lang w:val="en-GB"/>
        </w:rPr>
      </w:pPr>
    </w:p>
    <w:p w14:paraId="2DF00CEF" w14:textId="17769010" w:rsidR="002E0A7C" w:rsidRPr="0056696B" w:rsidRDefault="002E0A7C" w:rsidP="002E0A7C">
      <w:pPr>
        <w:spacing w:before="160" w:after="60" w:line="480" w:lineRule="auto"/>
        <w:rPr>
          <w:lang w:val="en-GB"/>
        </w:rPr>
      </w:pPr>
      <w:r w:rsidRPr="0056696B">
        <w:rPr>
          <w:b/>
          <w:bCs/>
          <w:i/>
          <w:iCs/>
          <w:lang w:val="en-GB"/>
        </w:rPr>
        <w:t>Ethical considerations</w:t>
      </w:r>
    </w:p>
    <w:p w14:paraId="6D2D0922" w14:textId="09AE47A1" w:rsidR="002E0A7C" w:rsidRPr="00564354" w:rsidRDefault="002E0A7C" w:rsidP="002F7E6A">
      <w:pPr>
        <w:spacing w:line="480" w:lineRule="auto"/>
        <w:jc w:val="both"/>
        <w:rPr>
          <w:lang w:val="en-GB"/>
        </w:rPr>
      </w:pPr>
      <w:r w:rsidRPr="009A55CB">
        <w:rPr>
          <w:color w:val="000000"/>
          <w:lang w:val="en-GB"/>
        </w:rPr>
        <w:t xml:space="preserve">The study was </w:t>
      </w:r>
      <w:r w:rsidR="00D23013">
        <w:rPr>
          <w:color w:val="000000"/>
          <w:lang w:val="en-GB"/>
        </w:rPr>
        <w:t>authorized by the head of the health centres and conducted according to the Helsinki declaration</w:t>
      </w:r>
      <w:r w:rsidRPr="009A55CB">
        <w:rPr>
          <w:color w:val="000000"/>
          <w:lang w:val="en-GB"/>
        </w:rPr>
        <w:t xml:space="preserve">. </w:t>
      </w:r>
      <w:r w:rsidRPr="00564354">
        <w:rPr>
          <w:color w:val="000000"/>
          <w:lang w:val="en-GB"/>
        </w:rPr>
        <w:t>As this was a retrospective study based on anonymised medical record review, individual informed consent was waived in accordance with national regulations governing retrospective observational research. All data were anonymised prior to analysis, and no patient identifiers were retained in the analytic dataset.</w:t>
      </w:r>
    </w:p>
    <w:p w14:paraId="4E03F0D1" w14:textId="77777777" w:rsidR="002E0A7C" w:rsidRPr="0056696B" w:rsidRDefault="002E0A7C" w:rsidP="002E0A7C">
      <w:pPr>
        <w:spacing w:before="160" w:after="60" w:line="480" w:lineRule="auto"/>
        <w:rPr>
          <w:lang w:val="en-GB"/>
        </w:rPr>
      </w:pPr>
      <w:r w:rsidRPr="0056696B">
        <w:rPr>
          <w:b/>
          <w:bCs/>
          <w:i/>
          <w:iCs/>
          <w:lang w:val="en-GB"/>
        </w:rPr>
        <w:lastRenderedPageBreak/>
        <w:t>Data collection</w:t>
      </w:r>
    </w:p>
    <w:p w14:paraId="083A6390" w14:textId="77777777" w:rsidR="002E0A7C" w:rsidRPr="009A55CB" w:rsidRDefault="002E0A7C" w:rsidP="002F7E6A">
      <w:pPr>
        <w:spacing w:line="480" w:lineRule="auto"/>
        <w:jc w:val="both"/>
        <w:rPr>
          <w:lang w:val="en-GB"/>
        </w:rPr>
      </w:pPr>
      <w:r w:rsidRPr="009A55CB">
        <w:rPr>
          <w:color w:val="000000"/>
          <w:lang w:val="en-GB"/>
        </w:rPr>
        <w:t>Data were extracted retrospectively from standardised paper-based admission records and medical files using a pre-designed electronic data collection form. Each patient was assigned a unique anonymised study code. Variables collected included:</w:t>
      </w:r>
    </w:p>
    <w:p w14:paraId="430A326D" w14:textId="77777777" w:rsidR="002E0A7C" w:rsidRPr="009A55CB" w:rsidRDefault="002E0A7C" w:rsidP="002E0A7C">
      <w:pPr>
        <w:spacing w:before="60" w:after="60"/>
        <w:rPr>
          <w:lang w:val="en-GB"/>
        </w:rPr>
      </w:pPr>
    </w:p>
    <w:p w14:paraId="793D5264" w14:textId="77777777" w:rsidR="002E0A7C" w:rsidRPr="009A55CB" w:rsidRDefault="002E0A7C" w:rsidP="002E0A7C">
      <w:pPr>
        <w:pStyle w:val="ListParagraph"/>
        <w:numPr>
          <w:ilvl w:val="0"/>
          <w:numId w:val="2"/>
        </w:numPr>
        <w:spacing w:line="480" w:lineRule="auto"/>
        <w:jc w:val="both"/>
        <w:rPr>
          <w:lang w:val="en-GB"/>
        </w:rPr>
      </w:pPr>
      <w:r w:rsidRPr="009A55CB">
        <w:rPr>
          <w:b/>
          <w:bCs/>
          <w:color w:val="000000"/>
          <w:lang w:val="en-GB"/>
        </w:rPr>
        <w:t xml:space="preserve">Sociodemographic: </w:t>
      </w:r>
      <w:r w:rsidRPr="009A55CB">
        <w:rPr>
          <w:color w:val="000000"/>
          <w:lang w:val="en-GB"/>
        </w:rPr>
        <w:t>age at admission (months and years), sex, schooling status, place of residence (arrondissement of Brazzaville), and mode of referral (self-referral from home versus inter-facility transfer).</w:t>
      </w:r>
    </w:p>
    <w:p w14:paraId="408EBB84" w14:textId="2B4AF660" w:rsidR="002E0A7C" w:rsidRPr="009A55CB" w:rsidRDefault="002E0A7C" w:rsidP="002E0A7C">
      <w:pPr>
        <w:pStyle w:val="ListParagraph"/>
        <w:numPr>
          <w:ilvl w:val="0"/>
          <w:numId w:val="2"/>
        </w:numPr>
        <w:spacing w:line="480" w:lineRule="auto"/>
        <w:jc w:val="both"/>
        <w:rPr>
          <w:lang w:val="en-GB"/>
        </w:rPr>
      </w:pPr>
      <w:r w:rsidRPr="009A55CB">
        <w:rPr>
          <w:b/>
          <w:bCs/>
          <w:color w:val="000000"/>
          <w:lang w:val="en-GB"/>
        </w:rPr>
        <w:t xml:space="preserve">Prevention and healthcare-seeking: </w:t>
      </w:r>
      <w:r w:rsidRPr="009A55CB">
        <w:rPr>
          <w:color w:val="000000"/>
          <w:lang w:val="en-GB"/>
        </w:rPr>
        <w:t xml:space="preserve">use of insecticide-treated nets (ITN) in the previous month, pre-hospital self-medication with an antimalarial </w:t>
      </w:r>
      <w:r w:rsidR="00445AC6">
        <w:rPr>
          <w:color w:val="000000"/>
          <w:lang w:val="en-GB"/>
        </w:rPr>
        <w:t>drug</w:t>
      </w:r>
      <w:r w:rsidRPr="009A55CB">
        <w:rPr>
          <w:color w:val="000000"/>
          <w:lang w:val="en-GB"/>
        </w:rPr>
        <w:t>, and consultation delay (defined as the number of days elapsed between symptom onset and hospital admission).</w:t>
      </w:r>
    </w:p>
    <w:p w14:paraId="3EBC9417" w14:textId="5A1B81F1" w:rsidR="002E0A7C" w:rsidRPr="009A55CB" w:rsidRDefault="002E0A7C" w:rsidP="002E0A7C">
      <w:pPr>
        <w:pStyle w:val="ListParagraph"/>
        <w:numPr>
          <w:ilvl w:val="0"/>
          <w:numId w:val="2"/>
        </w:numPr>
        <w:spacing w:line="480" w:lineRule="auto"/>
        <w:jc w:val="both"/>
        <w:rPr>
          <w:lang w:val="en-GB"/>
        </w:rPr>
      </w:pPr>
      <w:r w:rsidRPr="009A55CB">
        <w:rPr>
          <w:b/>
          <w:bCs/>
          <w:color w:val="000000"/>
          <w:lang w:val="en-GB"/>
        </w:rPr>
        <w:t xml:space="preserve">Clinical data at admission: </w:t>
      </w:r>
      <w:r w:rsidRPr="009A55CB">
        <w:rPr>
          <w:color w:val="000000"/>
          <w:lang w:val="en-GB"/>
        </w:rPr>
        <w:t xml:space="preserve">documented symptoms (fever, vomiting, headache, seizures, </w:t>
      </w:r>
      <w:proofErr w:type="spellStart"/>
      <w:r w:rsidRPr="009A55CB">
        <w:rPr>
          <w:color w:val="000000"/>
          <w:lang w:val="en-GB"/>
        </w:rPr>
        <w:t>arthromyalgia</w:t>
      </w:r>
      <w:proofErr w:type="spellEnd"/>
      <w:r w:rsidRPr="009A55CB">
        <w:rPr>
          <w:color w:val="000000"/>
          <w:lang w:val="en-GB"/>
        </w:rPr>
        <w:t>, jaundice, respiratory distress), vital signs (temperature), neurological status (Glasgow Coma Scale score), and nutritional status where available.</w:t>
      </w:r>
    </w:p>
    <w:p w14:paraId="638A07BA" w14:textId="77777777" w:rsidR="002E0A7C" w:rsidRPr="009A55CB" w:rsidRDefault="002E0A7C" w:rsidP="002E0A7C">
      <w:pPr>
        <w:pStyle w:val="ListParagraph"/>
        <w:numPr>
          <w:ilvl w:val="0"/>
          <w:numId w:val="2"/>
        </w:numPr>
        <w:spacing w:line="480" w:lineRule="auto"/>
        <w:jc w:val="both"/>
        <w:rPr>
          <w:lang w:val="en-GB"/>
        </w:rPr>
      </w:pPr>
      <w:r w:rsidRPr="009A55CB">
        <w:rPr>
          <w:b/>
          <w:bCs/>
          <w:color w:val="000000"/>
          <w:lang w:val="en-GB"/>
        </w:rPr>
        <w:t xml:space="preserve">Laboratory findings: </w:t>
      </w:r>
      <w:r w:rsidRPr="009A55CB">
        <w:rPr>
          <w:color w:val="000000"/>
          <w:lang w:val="en-GB"/>
        </w:rPr>
        <w:t>haemoglobin concentration (g/dL), peripheral blood parasitaemia (parasites per 200 white blood cells, converted to parasites per µL using the patient's measured white blood cell count or a standard value of 8,000/µL when unavailable), total white blood cell count (G/L), platelet count (G/L), blood glucose (mmol/L), and serum creatinine (mg/L) where measured.</w:t>
      </w:r>
    </w:p>
    <w:p w14:paraId="41574E73" w14:textId="6C54E1BA" w:rsidR="002E0A7C" w:rsidRPr="009A55CB" w:rsidRDefault="002E0A7C" w:rsidP="002E0A7C">
      <w:pPr>
        <w:pStyle w:val="ListParagraph"/>
        <w:numPr>
          <w:ilvl w:val="0"/>
          <w:numId w:val="2"/>
        </w:numPr>
        <w:spacing w:line="480" w:lineRule="auto"/>
        <w:jc w:val="both"/>
        <w:rPr>
          <w:lang w:val="en-GB"/>
        </w:rPr>
      </w:pPr>
      <w:r w:rsidRPr="009A55CB">
        <w:rPr>
          <w:b/>
          <w:bCs/>
          <w:color w:val="000000"/>
          <w:lang w:val="en-GB"/>
        </w:rPr>
        <w:t xml:space="preserve">WHO severity criteria: </w:t>
      </w:r>
      <w:r w:rsidRPr="009A55CB">
        <w:rPr>
          <w:color w:val="000000"/>
          <w:lang w:val="en-GB"/>
        </w:rPr>
        <w:t>each of the WHO 2015 criteria for severe malaria was ascertained individually from the clinical and laboratory record and coded as present or absent.</w:t>
      </w:r>
    </w:p>
    <w:p w14:paraId="4D69707C" w14:textId="77777777" w:rsidR="002E0A7C" w:rsidRPr="009A55CB" w:rsidRDefault="002E0A7C" w:rsidP="002E0A7C">
      <w:pPr>
        <w:pStyle w:val="ListParagraph"/>
        <w:numPr>
          <w:ilvl w:val="0"/>
          <w:numId w:val="2"/>
        </w:numPr>
        <w:spacing w:line="480" w:lineRule="auto"/>
        <w:jc w:val="both"/>
        <w:rPr>
          <w:lang w:val="en-GB"/>
        </w:rPr>
      </w:pPr>
      <w:r w:rsidRPr="009A55CB">
        <w:rPr>
          <w:b/>
          <w:bCs/>
          <w:color w:val="000000"/>
          <w:lang w:val="en-GB"/>
        </w:rPr>
        <w:t xml:space="preserve">Co-infections and comorbidities: </w:t>
      </w:r>
      <w:r w:rsidRPr="009A55CB">
        <w:rPr>
          <w:color w:val="000000"/>
          <w:lang w:val="en-GB"/>
        </w:rPr>
        <w:t xml:space="preserve">documented concurrent acute infections (rhinopharyngitis, bronchopneumonia, meningitis, sepsis, other specified infections) </w:t>
      </w:r>
      <w:r w:rsidRPr="009A55CB">
        <w:rPr>
          <w:color w:val="000000"/>
          <w:lang w:val="en-GB"/>
        </w:rPr>
        <w:lastRenderedPageBreak/>
        <w:t>and pre-existing conditions (HIV infection, sickle cell disease, epilepsy, other chronic conditions), recorded as present or absent based on clinical diagnosis at the time of admission.</w:t>
      </w:r>
    </w:p>
    <w:p w14:paraId="610D35AA" w14:textId="1CCEC3EE" w:rsidR="002E0A7C" w:rsidRPr="009A55CB" w:rsidRDefault="002E0A7C" w:rsidP="002E0A7C">
      <w:pPr>
        <w:pStyle w:val="ListParagraph"/>
        <w:numPr>
          <w:ilvl w:val="0"/>
          <w:numId w:val="2"/>
        </w:numPr>
        <w:spacing w:line="480" w:lineRule="auto"/>
        <w:jc w:val="both"/>
        <w:rPr>
          <w:lang w:val="en-GB"/>
        </w:rPr>
      </w:pPr>
      <w:r w:rsidRPr="009A55CB">
        <w:rPr>
          <w:b/>
          <w:bCs/>
          <w:color w:val="000000"/>
          <w:lang w:val="en-GB"/>
        </w:rPr>
        <w:t xml:space="preserve">Outcomes: </w:t>
      </w:r>
      <w:r w:rsidRPr="009A55CB">
        <w:rPr>
          <w:color w:val="000000"/>
          <w:lang w:val="en-GB"/>
        </w:rPr>
        <w:t>in-hospital death, length of hospital stay (days).</w:t>
      </w:r>
    </w:p>
    <w:p w14:paraId="26EA22DE" w14:textId="77777777" w:rsidR="002E0A7C" w:rsidRPr="0056696B" w:rsidRDefault="002E0A7C" w:rsidP="002E0A7C">
      <w:pPr>
        <w:spacing w:before="160" w:after="60" w:line="480" w:lineRule="auto"/>
        <w:rPr>
          <w:lang w:val="en-GB"/>
        </w:rPr>
      </w:pPr>
      <w:r w:rsidRPr="0056696B">
        <w:rPr>
          <w:b/>
          <w:bCs/>
          <w:i/>
          <w:iCs/>
          <w:lang w:val="en-GB"/>
        </w:rPr>
        <w:t>Case definitions</w:t>
      </w:r>
    </w:p>
    <w:p w14:paraId="7F486BAC" w14:textId="2A72A6EE" w:rsidR="002E0A7C" w:rsidRPr="009A55CB" w:rsidRDefault="002E0A7C" w:rsidP="002F7E6A">
      <w:pPr>
        <w:spacing w:line="480" w:lineRule="auto"/>
        <w:jc w:val="both"/>
        <w:rPr>
          <w:lang w:val="en-GB"/>
        </w:rPr>
      </w:pPr>
      <w:r w:rsidRPr="009A55CB">
        <w:rPr>
          <w:color w:val="000000"/>
          <w:lang w:val="en-GB"/>
        </w:rPr>
        <w:t>Malaria was classified as severe if the patient met one or more of the WHO 2015 severity criteria, which include: impaired consciousness (</w:t>
      </w:r>
      <w:r w:rsidR="00445AC6" w:rsidRPr="003C798B">
        <w:rPr>
          <w:color w:val="000000"/>
          <w:lang w:val="en-GB"/>
        </w:rPr>
        <w:t xml:space="preserve">Paediatric </w:t>
      </w:r>
      <w:r w:rsidRPr="003C798B">
        <w:rPr>
          <w:color w:val="000000"/>
          <w:lang w:val="en-GB"/>
        </w:rPr>
        <w:t>Glasgow Coma Scale ≤</w:t>
      </w:r>
      <w:r w:rsidR="003C798B">
        <w:rPr>
          <w:color w:val="000000"/>
          <w:lang w:val="en-GB"/>
        </w:rPr>
        <w:t xml:space="preserve"> </w:t>
      </w:r>
      <w:r w:rsidRPr="003C798B">
        <w:rPr>
          <w:color w:val="000000"/>
          <w:lang w:val="en-GB"/>
        </w:rPr>
        <w:t>1</w:t>
      </w:r>
      <w:r w:rsidR="003C798B" w:rsidRPr="003C798B">
        <w:rPr>
          <w:color w:val="000000"/>
          <w:lang w:val="en-GB"/>
        </w:rPr>
        <w:t>1</w:t>
      </w:r>
      <w:r w:rsidRPr="003C798B">
        <w:rPr>
          <w:color w:val="000000"/>
          <w:lang w:val="en-GB"/>
        </w:rPr>
        <w:t xml:space="preserve"> or Blantyre Coma Scale ≤</w:t>
      </w:r>
      <w:r w:rsidR="003C798B">
        <w:rPr>
          <w:color w:val="000000"/>
          <w:lang w:val="en-GB"/>
        </w:rPr>
        <w:t xml:space="preserve"> </w:t>
      </w:r>
      <w:r w:rsidRPr="003C798B">
        <w:rPr>
          <w:color w:val="000000"/>
          <w:lang w:val="en-GB"/>
        </w:rPr>
        <w:t>2</w:t>
      </w:r>
      <w:r w:rsidRPr="009A55CB">
        <w:rPr>
          <w:color w:val="000000"/>
          <w:lang w:val="en-GB"/>
        </w:rPr>
        <w:t xml:space="preserve"> in children &lt;5 years), prostration, multiple convulsions (≥</w:t>
      </w:r>
      <w:r w:rsidR="003C798B">
        <w:rPr>
          <w:color w:val="000000"/>
          <w:lang w:val="en-GB"/>
        </w:rPr>
        <w:t xml:space="preserve"> </w:t>
      </w:r>
      <w:r w:rsidRPr="009A55CB">
        <w:rPr>
          <w:color w:val="000000"/>
          <w:lang w:val="en-GB"/>
        </w:rPr>
        <w:t xml:space="preserve">2 episodes in 24 hours), respiratory distress, pulmonary oedema, circulatory collapse or shock, </w:t>
      </w:r>
      <w:r w:rsidR="00445AC6">
        <w:rPr>
          <w:color w:val="000000"/>
          <w:lang w:val="en-GB"/>
        </w:rPr>
        <w:t>*</w:t>
      </w:r>
      <w:r w:rsidRPr="009A55CB">
        <w:rPr>
          <w:color w:val="000000"/>
          <w:lang w:val="en-GB"/>
        </w:rPr>
        <w:t xml:space="preserve">, severe anaemia (haemoglobin &lt;5 g/dL in children), hypoglycaemia (blood glucose &lt;2.2 mmol/L), acute kidney injury (serum creatinine &gt;265 µmol/L or clinical diagnosis in the absence of creatinine measurement), jaundice, and </w:t>
      </w:r>
      <w:proofErr w:type="spellStart"/>
      <w:r w:rsidRPr="009A55CB">
        <w:rPr>
          <w:color w:val="000000"/>
          <w:lang w:val="en-GB"/>
        </w:rPr>
        <w:t>hyperparasitaemia</w:t>
      </w:r>
      <w:proofErr w:type="spellEnd"/>
      <w:r w:rsidRPr="009A55CB">
        <w:rPr>
          <w:color w:val="000000"/>
          <w:lang w:val="en-GB"/>
        </w:rPr>
        <w:t xml:space="preserve"> (parasitaemia &gt;</w:t>
      </w:r>
      <w:r w:rsidR="00445AC6">
        <w:rPr>
          <w:color w:val="000000"/>
          <w:lang w:val="en-GB"/>
        </w:rPr>
        <w:t>25</w:t>
      </w:r>
      <w:r w:rsidRPr="009A55CB">
        <w:rPr>
          <w:color w:val="000000"/>
          <w:lang w:val="en-GB"/>
        </w:rPr>
        <w:t>0,000 parasites/µL).</w:t>
      </w:r>
      <w:r w:rsidRPr="009A55CB">
        <w:rPr>
          <w:color w:val="1F3864"/>
          <w:sz w:val="20"/>
          <w:szCs w:val="20"/>
          <w:vertAlign w:val="superscript"/>
          <w:lang w:val="en-GB"/>
        </w:rPr>
        <w:t>[4]</w:t>
      </w:r>
      <w:r w:rsidRPr="009A55CB">
        <w:rPr>
          <w:color w:val="000000"/>
          <w:lang w:val="en-GB"/>
        </w:rPr>
        <w:t xml:space="preserve"> Children fulfilling none of these criteria but hospitalised for malaria were classified as having moderate (non-severe hospitalised) malaria.</w:t>
      </w:r>
    </w:p>
    <w:p w14:paraId="73E9B4C9" w14:textId="50E6AEC8" w:rsidR="002E0A7C" w:rsidRPr="00564354" w:rsidRDefault="002E0A7C" w:rsidP="002F7E6A">
      <w:pPr>
        <w:spacing w:line="480" w:lineRule="auto"/>
        <w:jc w:val="both"/>
        <w:rPr>
          <w:lang w:val="en-GB"/>
        </w:rPr>
      </w:pPr>
      <w:r w:rsidRPr="009A55CB">
        <w:rPr>
          <w:color w:val="000000"/>
          <w:lang w:val="en-GB"/>
        </w:rPr>
        <w:t xml:space="preserve">Co-infection or comorbidity was defined as the presence of at least one of the following conditions documented at admission: a concurrent acute infection (rhinopharyngitis, bronchopneumonia, meningitis, sepsis, or other clinician-diagnosed acute infection); or a pre-existing chronic condition (HIV infection, sickle cell disease, epilepsy, or other specified condition). </w:t>
      </w:r>
      <w:r w:rsidRPr="00564354">
        <w:rPr>
          <w:color w:val="000000"/>
          <w:lang w:val="en-GB"/>
        </w:rPr>
        <w:t xml:space="preserve">Children with none of these conditions were classified as malaria </w:t>
      </w:r>
      <w:proofErr w:type="spellStart"/>
      <w:r w:rsidRPr="00564354">
        <w:rPr>
          <w:color w:val="000000"/>
          <w:lang w:val="en-GB"/>
        </w:rPr>
        <w:t>monoinfection</w:t>
      </w:r>
      <w:proofErr w:type="spellEnd"/>
      <w:r w:rsidRPr="00564354">
        <w:rPr>
          <w:color w:val="000000"/>
          <w:lang w:val="en-GB"/>
        </w:rPr>
        <w:t xml:space="preserve">. </w:t>
      </w:r>
    </w:p>
    <w:p w14:paraId="39EF85B1" w14:textId="77777777" w:rsidR="002E0A7C" w:rsidRPr="00564354" w:rsidRDefault="002E0A7C" w:rsidP="00925099">
      <w:pPr>
        <w:spacing w:line="480" w:lineRule="auto"/>
        <w:jc w:val="both"/>
        <w:rPr>
          <w:lang w:val="en-GB"/>
        </w:rPr>
      </w:pPr>
      <w:r w:rsidRPr="00564354">
        <w:rPr>
          <w:color w:val="000000"/>
          <w:lang w:val="en-GB"/>
        </w:rPr>
        <w:t>An unfavourable clinical outcome was defined as the occurrence of in-hospital death or a length of hospital stay greater than seven days. A favourable outcome was defined as clinical recovery with discharge within seven days.</w:t>
      </w:r>
    </w:p>
    <w:p w14:paraId="5D0EAD30" w14:textId="77777777" w:rsidR="002E0A7C" w:rsidRDefault="002E0A7C" w:rsidP="002E0A7C">
      <w:pPr>
        <w:spacing w:before="160" w:after="60" w:line="480" w:lineRule="auto"/>
      </w:pPr>
      <w:proofErr w:type="spellStart"/>
      <w:r>
        <w:rPr>
          <w:b/>
          <w:bCs/>
          <w:i/>
          <w:iCs/>
        </w:rPr>
        <w:t>Statistical</w:t>
      </w:r>
      <w:proofErr w:type="spellEnd"/>
      <w:r>
        <w:rPr>
          <w:b/>
          <w:bCs/>
          <w:i/>
          <w:iCs/>
        </w:rPr>
        <w:t xml:space="preserve"> </w:t>
      </w:r>
      <w:proofErr w:type="spellStart"/>
      <w:r>
        <w:rPr>
          <w:b/>
          <w:bCs/>
          <w:i/>
          <w:iCs/>
        </w:rPr>
        <w:t>analysis</w:t>
      </w:r>
      <w:proofErr w:type="spellEnd"/>
    </w:p>
    <w:p w14:paraId="2434FF27" w14:textId="25BE9FB7" w:rsidR="002E0A7C" w:rsidRPr="00564354" w:rsidRDefault="002E0A7C" w:rsidP="00925099">
      <w:pPr>
        <w:spacing w:line="480" w:lineRule="auto"/>
        <w:jc w:val="both"/>
        <w:rPr>
          <w:lang w:val="en-GB"/>
        </w:rPr>
      </w:pPr>
      <w:r w:rsidRPr="009A55CB">
        <w:rPr>
          <w:color w:val="000000"/>
          <w:lang w:val="en-GB"/>
        </w:rPr>
        <w:lastRenderedPageBreak/>
        <w:t xml:space="preserve">All analyses were performed using Python (version 3.11) with the </w:t>
      </w:r>
      <w:r w:rsidRPr="009A55CB">
        <w:rPr>
          <w:i/>
          <w:iCs/>
          <w:color w:val="000000"/>
          <w:lang w:val="en-GB"/>
        </w:rPr>
        <w:t>pandas</w:t>
      </w:r>
      <w:r w:rsidRPr="009A55CB">
        <w:rPr>
          <w:color w:val="000000"/>
          <w:lang w:val="en-GB"/>
        </w:rPr>
        <w:t xml:space="preserve">, </w:t>
      </w:r>
      <w:proofErr w:type="spellStart"/>
      <w:proofErr w:type="gramStart"/>
      <w:r w:rsidRPr="009A55CB">
        <w:rPr>
          <w:i/>
          <w:iCs/>
          <w:color w:val="000000"/>
          <w:lang w:val="en-GB"/>
        </w:rPr>
        <w:t>scipy.stats</w:t>
      </w:r>
      <w:proofErr w:type="spellEnd"/>
      <w:proofErr w:type="gramEnd"/>
      <w:r w:rsidRPr="009A55CB">
        <w:rPr>
          <w:color w:val="000000"/>
          <w:lang w:val="en-GB"/>
        </w:rPr>
        <w:t xml:space="preserve">, and </w:t>
      </w:r>
      <w:proofErr w:type="spellStart"/>
      <w:r w:rsidRPr="009A55CB">
        <w:rPr>
          <w:i/>
          <w:iCs/>
          <w:color w:val="000000"/>
          <w:lang w:val="en-GB"/>
        </w:rPr>
        <w:t>statsmodels</w:t>
      </w:r>
      <w:proofErr w:type="spellEnd"/>
      <w:r w:rsidRPr="009A55CB">
        <w:rPr>
          <w:color w:val="000000"/>
          <w:lang w:val="en-GB"/>
        </w:rPr>
        <w:t xml:space="preserve"> libraries. </w:t>
      </w:r>
      <w:r w:rsidRPr="00564354">
        <w:rPr>
          <w:color w:val="000000"/>
          <w:lang w:val="en-GB"/>
        </w:rPr>
        <w:t>Results were verified against outputs from R version 4.3.0.</w:t>
      </w:r>
      <w:r w:rsidR="001F1757">
        <w:rPr>
          <w:lang w:val="en-GB"/>
        </w:rPr>
        <w:t xml:space="preserve"> </w:t>
      </w:r>
      <w:r w:rsidRPr="00564354">
        <w:rPr>
          <w:color w:val="000000"/>
          <w:lang w:val="en-GB"/>
        </w:rPr>
        <w:t>Continuous variables are reported as median and interquartile range [IQR] and compared between groups using the Mann</w:t>
      </w:r>
      <w:r w:rsidR="00610904">
        <w:rPr>
          <w:color w:val="000000"/>
          <w:lang w:val="en-GB"/>
        </w:rPr>
        <w:t>-</w:t>
      </w:r>
      <w:r w:rsidRPr="00564354">
        <w:rPr>
          <w:color w:val="000000"/>
          <w:lang w:val="en-GB"/>
        </w:rPr>
        <w:t>Whitney U test. Categorical variables are reported as frequency and percentage and compared using the chi-squared test or Fisher's exact test as appropriate (expected cell count &lt;5). All tests were two-tailed, and a p-value of &lt;0.05 was considered statistically significant.</w:t>
      </w:r>
    </w:p>
    <w:p w14:paraId="08DF04D4" w14:textId="323D1C0C" w:rsidR="002E0A7C" w:rsidRPr="00564354" w:rsidRDefault="002E0A7C" w:rsidP="00356CAA">
      <w:pPr>
        <w:spacing w:line="480" w:lineRule="auto"/>
        <w:jc w:val="both"/>
        <w:rPr>
          <w:lang w:val="en-GB"/>
        </w:rPr>
      </w:pPr>
      <w:r w:rsidRPr="009A55CB">
        <w:rPr>
          <w:color w:val="000000"/>
          <w:lang w:val="en-GB"/>
        </w:rPr>
        <w:t>To identify sociodemographic factors associated with co-infection or comorbidity, we first conducted a univariable logistic regression analysis with co-infection as the outcome variable and each candidate sociodemographic variable as a single predictor. C</w:t>
      </w:r>
      <w:r w:rsidR="001F1757">
        <w:rPr>
          <w:color w:val="000000"/>
          <w:lang w:val="en-GB"/>
        </w:rPr>
        <w:t>onfounding</w:t>
      </w:r>
      <w:r w:rsidRPr="009A55CB">
        <w:rPr>
          <w:color w:val="000000"/>
          <w:lang w:val="en-GB"/>
        </w:rPr>
        <w:t xml:space="preserve"> variables included: age under five years, sex, ITN use, pre-hospital self-medication with an antimalarial</w:t>
      </w:r>
      <w:r w:rsidR="001F1757">
        <w:rPr>
          <w:color w:val="000000"/>
          <w:lang w:val="en-GB"/>
        </w:rPr>
        <w:t xml:space="preserve"> drug</w:t>
      </w:r>
      <w:r w:rsidRPr="009A55CB">
        <w:rPr>
          <w:color w:val="000000"/>
          <w:lang w:val="en-GB"/>
        </w:rPr>
        <w:t xml:space="preserve">, consultation delay greater than 48 hours, schooling status, and residence in a central arrondissement (3rd </w:t>
      </w:r>
      <w:proofErr w:type="spellStart"/>
      <w:r w:rsidRPr="009A55CB">
        <w:rPr>
          <w:color w:val="000000"/>
          <w:lang w:val="en-GB"/>
        </w:rPr>
        <w:t>Poto-Poto</w:t>
      </w:r>
      <w:proofErr w:type="spellEnd"/>
      <w:r w:rsidRPr="009A55CB">
        <w:rPr>
          <w:color w:val="000000"/>
          <w:lang w:val="en-GB"/>
        </w:rPr>
        <w:t xml:space="preserve">, 5th </w:t>
      </w:r>
      <w:proofErr w:type="spellStart"/>
      <w:r w:rsidRPr="009A55CB">
        <w:rPr>
          <w:color w:val="000000"/>
          <w:lang w:val="en-GB"/>
        </w:rPr>
        <w:t>Ouenzé</w:t>
      </w:r>
      <w:proofErr w:type="spellEnd"/>
      <w:r w:rsidRPr="009A55CB">
        <w:rPr>
          <w:color w:val="000000"/>
          <w:lang w:val="en-GB"/>
        </w:rPr>
        <w:t xml:space="preserve">, or 6th </w:t>
      </w:r>
      <w:proofErr w:type="spellStart"/>
      <w:r w:rsidRPr="009A55CB">
        <w:rPr>
          <w:color w:val="000000"/>
          <w:lang w:val="en-GB"/>
        </w:rPr>
        <w:t>Talangaï</w:t>
      </w:r>
      <w:proofErr w:type="spellEnd"/>
      <w:r w:rsidRPr="009A55CB">
        <w:rPr>
          <w:color w:val="000000"/>
          <w:lang w:val="en-GB"/>
        </w:rPr>
        <w:t xml:space="preserve">, versus all other arrondissements and locations outside Brazzaville). </w:t>
      </w:r>
      <w:r w:rsidR="001F1757">
        <w:rPr>
          <w:lang w:val="en-GB"/>
        </w:rPr>
        <w:t xml:space="preserve"> </w:t>
      </w:r>
      <w:r w:rsidRPr="00564354">
        <w:rPr>
          <w:color w:val="000000"/>
          <w:lang w:val="en-GB"/>
        </w:rPr>
        <w:t xml:space="preserve">Variables with p &lt; 0.20 in univariable analysis were considered candidates for the multivariable model, alongside variables retained for biological plausibility regardless of statistical significance (sex and ITN use). The multivariable model was fitted using backward elimination with retention criteria of p &lt; 0.05. </w:t>
      </w:r>
    </w:p>
    <w:p w14:paraId="2BFA7CE6" w14:textId="16D432AD" w:rsidR="002E0A7C" w:rsidRPr="00564354" w:rsidRDefault="002E0A7C" w:rsidP="001F1757">
      <w:pPr>
        <w:spacing w:line="480" w:lineRule="auto"/>
        <w:jc w:val="both"/>
        <w:rPr>
          <w:lang w:val="en-GB"/>
        </w:rPr>
      </w:pPr>
      <w:r w:rsidRPr="00564354">
        <w:rPr>
          <w:color w:val="000000"/>
          <w:lang w:val="en-GB"/>
        </w:rPr>
        <w:t>Missing data were handled by complete case analysis for the primary regression models. The proportion of missing data for each variable is reported, and variables with more than 50% missing data (blood glucose, serum creatinine) were included in descriptive analyses only and excluded from logistic regression.</w:t>
      </w:r>
      <w:r w:rsidR="001F1757">
        <w:rPr>
          <w:color w:val="000000"/>
          <w:lang w:val="en-GB"/>
        </w:rPr>
        <w:t xml:space="preserve"> A p-value below 0.05 was considered significant.</w:t>
      </w:r>
    </w:p>
    <w:p w14:paraId="49293379" w14:textId="394281F8" w:rsidR="002E0A7C" w:rsidRPr="00B547E9" w:rsidRDefault="002E0A7C" w:rsidP="00B547E9">
      <w:pPr>
        <w:pStyle w:val="ListParagraph"/>
        <w:numPr>
          <w:ilvl w:val="0"/>
          <w:numId w:val="4"/>
        </w:numPr>
        <w:spacing w:after="200" w:line="480" w:lineRule="auto"/>
        <w:rPr>
          <w:lang w:val="en-GB"/>
        </w:rPr>
      </w:pPr>
      <w:r w:rsidRPr="00B547E9">
        <w:rPr>
          <w:b/>
          <w:bCs/>
          <w:caps/>
          <w:lang w:val="en-GB"/>
        </w:rPr>
        <w:t>Results</w:t>
      </w:r>
    </w:p>
    <w:p w14:paraId="4CA885F1" w14:textId="77777777" w:rsidR="002E0A7C" w:rsidRPr="00564354" w:rsidRDefault="002E0A7C" w:rsidP="00356CAA">
      <w:pPr>
        <w:spacing w:before="180" w:after="60" w:line="480" w:lineRule="auto"/>
        <w:jc w:val="both"/>
        <w:rPr>
          <w:lang w:val="en-GB"/>
        </w:rPr>
      </w:pPr>
      <w:r w:rsidRPr="00564354">
        <w:rPr>
          <w:b/>
          <w:bCs/>
          <w:i/>
          <w:iCs/>
          <w:lang w:val="en-GB"/>
        </w:rPr>
        <w:t>Study population and general characteristics</w:t>
      </w:r>
    </w:p>
    <w:p w14:paraId="2BB43893" w14:textId="77777777" w:rsidR="009A6A85" w:rsidRPr="009A6A85" w:rsidRDefault="009A6A85" w:rsidP="00356CAA">
      <w:pPr>
        <w:spacing w:before="240" w:after="120" w:line="480" w:lineRule="auto"/>
        <w:jc w:val="both"/>
        <w:rPr>
          <w:color w:val="000000"/>
          <w:lang w:val="en-GB"/>
        </w:rPr>
      </w:pPr>
      <w:r w:rsidRPr="009A6A85">
        <w:rPr>
          <w:color w:val="000000"/>
          <w:lang w:val="en-GB"/>
        </w:rPr>
        <w:lastRenderedPageBreak/>
        <w:t xml:space="preserve">A total of 441 children were enrolled during the study period. The median age was 48 [IQR 15-96] months (4 years), with children under five years of age accounting for just over half of the study population. The sex ratio was 1.2 in </w:t>
      </w:r>
      <w:proofErr w:type="spellStart"/>
      <w:r w:rsidRPr="009A6A85">
        <w:rPr>
          <w:color w:val="000000"/>
          <w:lang w:val="en-GB"/>
        </w:rPr>
        <w:t>favor</w:t>
      </w:r>
      <w:proofErr w:type="spellEnd"/>
      <w:r w:rsidRPr="009A6A85">
        <w:rPr>
          <w:color w:val="000000"/>
          <w:lang w:val="en-GB"/>
        </w:rPr>
        <w:t xml:space="preserve"> of males. One-third of the children with malaria (36.5%, n=155/424) resided in the districts of </w:t>
      </w:r>
      <w:proofErr w:type="spellStart"/>
      <w:r w:rsidRPr="009A6A85">
        <w:rPr>
          <w:color w:val="000000"/>
          <w:lang w:val="en-GB"/>
        </w:rPr>
        <w:t>Bacongo</w:t>
      </w:r>
      <w:proofErr w:type="spellEnd"/>
      <w:r w:rsidRPr="009A6A85">
        <w:rPr>
          <w:color w:val="000000"/>
          <w:lang w:val="en-GB"/>
        </w:rPr>
        <w:t xml:space="preserve"> and </w:t>
      </w:r>
      <w:proofErr w:type="spellStart"/>
      <w:r w:rsidRPr="009A6A85">
        <w:rPr>
          <w:color w:val="000000"/>
          <w:lang w:val="en-GB"/>
        </w:rPr>
        <w:t>Madibou</w:t>
      </w:r>
      <w:proofErr w:type="spellEnd"/>
      <w:r w:rsidRPr="009A6A85">
        <w:rPr>
          <w:color w:val="000000"/>
          <w:lang w:val="en-GB"/>
        </w:rPr>
        <w:t>, while districts three (</w:t>
      </w:r>
      <w:proofErr w:type="spellStart"/>
      <w:r w:rsidRPr="009A6A85">
        <w:rPr>
          <w:color w:val="000000"/>
          <w:lang w:val="en-GB"/>
        </w:rPr>
        <w:t>Poto-Poto</w:t>
      </w:r>
      <w:proofErr w:type="spellEnd"/>
      <w:r w:rsidRPr="009A6A85">
        <w:rPr>
          <w:color w:val="000000"/>
          <w:lang w:val="en-GB"/>
        </w:rPr>
        <w:t>), five (</w:t>
      </w:r>
      <w:proofErr w:type="spellStart"/>
      <w:r w:rsidRPr="009A6A85">
        <w:rPr>
          <w:color w:val="000000"/>
          <w:lang w:val="en-GB"/>
        </w:rPr>
        <w:t>Ouenzé</w:t>
      </w:r>
      <w:proofErr w:type="spellEnd"/>
      <w:r w:rsidRPr="009A6A85">
        <w:rPr>
          <w:color w:val="000000"/>
          <w:lang w:val="en-GB"/>
        </w:rPr>
        <w:t>), and six (</w:t>
      </w:r>
      <w:proofErr w:type="spellStart"/>
      <w:r w:rsidRPr="009A6A85">
        <w:rPr>
          <w:color w:val="000000"/>
          <w:lang w:val="en-GB"/>
        </w:rPr>
        <w:t>Talangaï</w:t>
      </w:r>
      <w:proofErr w:type="spellEnd"/>
      <w:r w:rsidRPr="009A6A85">
        <w:rPr>
          <w:color w:val="000000"/>
          <w:lang w:val="en-GB"/>
        </w:rPr>
        <w:t>) accounted for 27.8% (n=118/424) of admissions.</w:t>
      </w:r>
    </w:p>
    <w:p w14:paraId="3BEB25FC" w14:textId="77777777" w:rsidR="009A6A85" w:rsidRPr="009A6A85" w:rsidRDefault="009A6A85" w:rsidP="00356CAA">
      <w:pPr>
        <w:spacing w:before="240" w:after="120" w:line="480" w:lineRule="auto"/>
        <w:jc w:val="both"/>
        <w:rPr>
          <w:color w:val="000000"/>
          <w:lang w:val="en-GB"/>
        </w:rPr>
      </w:pPr>
      <w:r w:rsidRPr="009A6A85">
        <w:rPr>
          <w:color w:val="000000"/>
          <w:lang w:val="en-GB"/>
        </w:rPr>
        <w:t>Regarding malaria prevention measures, approximately two-thirds of the children (62.8%, n=277/441) did not use insecticide-treated nets (ITNs). Nearly three-quarters of the children admitted for malaria had not practiced pre-hospital self-medication (72.6%, n=320/441). The median time to consultation was 3 [IQR 2-5] days, and only 40.7% (n=129/317) of the children consulted within 48 hours of symptom onset.</w:t>
      </w:r>
    </w:p>
    <w:p w14:paraId="471D126F" w14:textId="77777777" w:rsidR="009A6A85" w:rsidRDefault="009A6A85" w:rsidP="00356CAA">
      <w:pPr>
        <w:spacing w:before="240" w:after="120" w:line="480" w:lineRule="auto"/>
        <w:jc w:val="both"/>
        <w:rPr>
          <w:color w:val="000000"/>
          <w:lang w:val="en-GB"/>
        </w:rPr>
      </w:pPr>
      <w:r w:rsidRPr="009A6A85">
        <w:rPr>
          <w:color w:val="000000"/>
          <w:lang w:val="en-GB"/>
        </w:rPr>
        <w:t xml:space="preserve">Upon admission, fever and neurological signs accounted for the vast majority of symptoms (91.4%, n=403/441). Biological findings associated with malaria included moderate </w:t>
      </w:r>
      <w:proofErr w:type="spellStart"/>
      <w:r w:rsidRPr="009A6A85">
        <w:rPr>
          <w:color w:val="000000"/>
          <w:lang w:val="en-GB"/>
        </w:rPr>
        <w:t>anemia</w:t>
      </w:r>
      <w:proofErr w:type="spellEnd"/>
      <w:r w:rsidRPr="009A6A85">
        <w:rPr>
          <w:color w:val="000000"/>
          <w:lang w:val="en-GB"/>
        </w:rPr>
        <w:t xml:space="preserve"> (97.5%, n=429/441), </w:t>
      </w:r>
      <w:proofErr w:type="spellStart"/>
      <w:r w:rsidRPr="009A6A85">
        <w:rPr>
          <w:color w:val="000000"/>
          <w:lang w:val="en-GB"/>
        </w:rPr>
        <w:t>parasitemia</w:t>
      </w:r>
      <w:proofErr w:type="spellEnd"/>
      <w:r w:rsidRPr="009A6A85">
        <w:rPr>
          <w:color w:val="000000"/>
          <w:lang w:val="en-GB"/>
        </w:rPr>
        <w:t xml:space="preserve"> levels exceeding 7,200 parasites/µL (97.5%, n=430/441), and thrombocytopenia below 145 G/L (96.1%, n=424/441).</w:t>
      </w:r>
    </w:p>
    <w:p w14:paraId="4A9F7628" w14:textId="77777777" w:rsidR="00356CAA" w:rsidRDefault="00356CAA" w:rsidP="00356CAA">
      <w:pPr>
        <w:spacing w:before="240" w:after="120" w:line="480" w:lineRule="auto"/>
        <w:jc w:val="both"/>
        <w:rPr>
          <w:color w:val="000000"/>
          <w:lang w:val="en-GB"/>
        </w:rPr>
      </w:pPr>
    </w:p>
    <w:p w14:paraId="1EC4A590" w14:textId="77777777" w:rsidR="002F7E6A" w:rsidRDefault="002F7E6A" w:rsidP="00356CAA">
      <w:pPr>
        <w:spacing w:before="240" w:after="120" w:line="480" w:lineRule="auto"/>
        <w:jc w:val="both"/>
        <w:rPr>
          <w:color w:val="000000"/>
          <w:lang w:val="en-GB"/>
        </w:rPr>
      </w:pPr>
    </w:p>
    <w:p w14:paraId="026480C3" w14:textId="77777777" w:rsidR="002F7E6A" w:rsidRPr="009A6A85" w:rsidRDefault="002F7E6A" w:rsidP="00356CAA">
      <w:pPr>
        <w:spacing w:before="240" w:after="120" w:line="480" w:lineRule="auto"/>
        <w:jc w:val="both"/>
        <w:rPr>
          <w:color w:val="000000"/>
          <w:lang w:val="en-GB"/>
        </w:rPr>
      </w:pPr>
    </w:p>
    <w:p w14:paraId="427EF011" w14:textId="312AA8E6" w:rsidR="002E0A7C" w:rsidRPr="00564354" w:rsidRDefault="002E0A7C" w:rsidP="002E0A7C">
      <w:pPr>
        <w:spacing w:before="240" w:after="120"/>
        <w:rPr>
          <w:sz w:val="20"/>
          <w:szCs w:val="20"/>
          <w:lang w:val="en-GB"/>
        </w:rPr>
      </w:pPr>
      <w:r w:rsidRPr="00564354">
        <w:rPr>
          <w:b/>
          <w:bCs/>
          <w:color w:val="000000"/>
          <w:sz w:val="22"/>
          <w:szCs w:val="22"/>
          <w:lang w:val="en-GB"/>
        </w:rPr>
        <w:t xml:space="preserve">Table 1. General characteristics of the study </w:t>
      </w:r>
      <w:r w:rsidR="005C6A07">
        <w:rPr>
          <w:b/>
          <w:bCs/>
          <w:color w:val="000000"/>
          <w:sz w:val="22"/>
          <w:szCs w:val="22"/>
          <w:lang w:val="en-GB"/>
        </w:rPr>
        <w:t>participants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2E0A7C" w:rsidRPr="002E0A7C" w14:paraId="19E39932"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1ACC8622" w14:textId="77777777" w:rsidR="002E0A7C" w:rsidRPr="002E0A7C" w:rsidRDefault="002E0A7C" w:rsidP="002E0A7C">
            <w:pPr>
              <w:jc w:val="center"/>
              <w:rPr>
                <w:sz w:val="20"/>
                <w:szCs w:val="20"/>
              </w:rPr>
            </w:pPr>
            <w:r w:rsidRPr="002E0A7C">
              <w:rPr>
                <w:b/>
                <w:bCs/>
                <w:color w:val="FFFFFF"/>
                <w:sz w:val="20"/>
                <w:szCs w:val="20"/>
              </w:rPr>
              <w:t>Variable</w:t>
            </w:r>
          </w:p>
        </w:tc>
        <w:tc>
          <w:tcPr>
            <w:tcW w:w="5760"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3342848B" w14:textId="77777777" w:rsidR="002E0A7C" w:rsidRPr="002E0A7C" w:rsidRDefault="002E0A7C" w:rsidP="002E0A7C">
            <w:pPr>
              <w:jc w:val="center"/>
              <w:rPr>
                <w:sz w:val="20"/>
                <w:szCs w:val="20"/>
              </w:rPr>
            </w:pPr>
            <w:r w:rsidRPr="002E0A7C">
              <w:rPr>
                <w:b/>
                <w:bCs/>
                <w:color w:val="FFFFFF"/>
                <w:sz w:val="20"/>
                <w:szCs w:val="20"/>
              </w:rPr>
              <w:t>Total (N = 441)</w:t>
            </w:r>
          </w:p>
        </w:tc>
      </w:tr>
      <w:tr w:rsidR="002E0A7C" w:rsidRPr="002E0A7C" w14:paraId="770409BC" w14:textId="77777777" w:rsidTr="00044376">
        <w:tc>
          <w:tcPr>
            <w:tcW w:w="0" w:type="auto"/>
            <w:gridSpan w:val="2"/>
            <w:tcBorders>
              <w:bottom w:val="single" w:sz="4" w:space="0" w:color="000000"/>
            </w:tcBorders>
            <w:shd w:val="clear" w:color="auto" w:fill="E8E8E8"/>
            <w:tcMar>
              <w:top w:w="50" w:type="dxa"/>
              <w:left w:w="100" w:type="dxa"/>
              <w:bottom w:w="50" w:type="dxa"/>
              <w:right w:w="100" w:type="dxa"/>
            </w:tcMar>
          </w:tcPr>
          <w:p w14:paraId="4B78DEB1" w14:textId="77777777" w:rsidR="002E0A7C" w:rsidRPr="002E0A7C" w:rsidRDefault="002E0A7C" w:rsidP="002E0A7C">
            <w:pPr>
              <w:rPr>
                <w:sz w:val="20"/>
                <w:szCs w:val="20"/>
              </w:rPr>
            </w:pPr>
            <w:proofErr w:type="spellStart"/>
            <w:r w:rsidRPr="002E0A7C">
              <w:rPr>
                <w:b/>
                <w:bCs/>
                <w:color w:val="000000"/>
                <w:sz w:val="20"/>
                <w:szCs w:val="20"/>
              </w:rPr>
              <w:t>Sociodemographic</w:t>
            </w:r>
            <w:proofErr w:type="spellEnd"/>
            <w:r w:rsidRPr="002E0A7C">
              <w:rPr>
                <w:b/>
                <w:bCs/>
                <w:color w:val="000000"/>
                <w:sz w:val="20"/>
                <w:szCs w:val="20"/>
              </w:rPr>
              <w:t xml:space="preserve"> </w:t>
            </w:r>
            <w:proofErr w:type="spellStart"/>
            <w:r w:rsidRPr="002E0A7C">
              <w:rPr>
                <w:b/>
                <w:bCs/>
                <w:color w:val="000000"/>
                <w:sz w:val="20"/>
                <w:szCs w:val="20"/>
              </w:rPr>
              <w:t>characteristics</w:t>
            </w:r>
            <w:proofErr w:type="spellEnd"/>
          </w:p>
        </w:tc>
      </w:tr>
      <w:tr w:rsidR="002E0A7C" w:rsidRPr="002E0A7C" w14:paraId="155AE81E"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3A4DE374" w14:textId="77777777" w:rsidR="002E0A7C" w:rsidRPr="002E0A7C" w:rsidRDefault="002E0A7C" w:rsidP="002E0A7C">
            <w:pPr>
              <w:rPr>
                <w:sz w:val="20"/>
                <w:szCs w:val="20"/>
              </w:rPr>
            </w:pPr>
            <w:r w:rsidRPr="002E0A7C">
              <w:rPr>
                <w:color w:val="000000"/>
                <w:sz w:val="20"/>
                <w:szCs w:val="20"/>
              </w:rPr>
              <w:t xml:space="preserve">Age &lt; 5 </w:t>
            </w:r>
            <w:proofErr w:type="spellStart"/>
            <w:r w:rsidRPr="002E0A7C">
              <w:rPr>
                <w:color w:val="000000"/>
                <w:sz w:val="20"/>
                <w:szCs w:val="20"/>
              </w:rPr>
              <w:t>years</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591BAA23" w14:textId="77777777" w:rsidR="002E0A7C" w:rsidRPr="002E0A7C" w:rsidRDefault="002E0A7C" w:rsidP="002E0A7C">
            <w:pPr>
              <w:jc w:val="center"/>
              <w:rPr>
                <w:sz w:val="20"/>
                <w:szCs w:val="20"/>
              </w:rPr>
            </w:pPr>
            <w:r w:rsidRPr="002E0A7C">
              <w:rPr>
                <w:color w:val="000000"/>
                <w:sz w:val="20"/>
                <w:szCs w:val="20"/>
              </w:rPr>
              <w:t>240 (54.4%)</w:t>
            </w:r>
          </w:p>
        </w:tc>
      </w:tr>
      <w:tr w:rsidR="002E0A7C" w:rsidRPr="002E0A7C" w14:paraId="5BB12513"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B8793D9" w14:textId="6C817A26" w:rsidR="002E0A7C" w:rsidRPr="002E0A7C" w:rsidRDefault="002E0A7C" w:rsidP="002E0A7C">
            <w:pPr>
              <w:rPr>
                <w:sz w:val="20"/>
                <w:szCs w:val="20"/>
              </w:rPr>
            </w:pPr>
            <w:r w:rsidRPr="002E0A7C">
              <w:rPr>
                <w:color w:val="000000"/>
                <w:sz w:val="20"/>
                <w:szCs w:val="20"/>
              </w:rPr>
              <w:t>Age 5</w:t>
            </w:r>
            <w:r w:rsidR="00610904">
              <w:rPr>
                <w:color w:val="000000"/>
                <w:sz w:val="20"/>
                <w:szCs w:val="20"/>
              </w:rPr>
              <w:t>-</w:t>
            </w:r>
            <w:r w:rsidRPr="002E0A7C">
              <w:rPr>
                <w:color w:val="000000"/>
                <w:sz w:val="20"/>
                <w:szCs w:val="20"/>
              </w:rPr>
              <w:t xml:space="preserve">9 </w:t>
            </w:r>
            <w:proofErr w:type="spellStart"/>
            <w:r w:rsidRPr="002E0A7C">
              <w:rPr>
                <w:color w:val="000000"/>
                <w:sz w:val="20"/>
                <w:szCs w:val="20"/>
              </w:rPr>
              <w:t>years</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3FDA93" w14:textId="77777777" w:rsidR="002E0A7C" w:rsidRPr="002E0A7C" w:rsidRDefault="002E0A7C" w:rsidP="002E0A7C">
            <w:pPr>
              <w:jc w:val="center"/>
              <w:rPr>
                <w:sz w:val="20"/>
                <w:szCs w:val="20"/>
              </w:rPr>
            </w:pPr>
            <w:r w:rsidRPr="002E0A7C">
              <w:rPr>
                <w:color w:val="000000"/>
                <w:sz w:val="20"/>
                <w:szCs w:val="20"/>
              </w:rPr>
              <w:t>102 (23.1%)</w:t>
            </w:r>
          </w:p>
        </w:tc>
      </w:tr>
      <w:tr w:rsidR="002E0A7C" w:rsidRPr="002E0A7C" w14:paraId="3AFE05F6"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35E8247E" w14:textId="05B3D5D7" w:rsidR="002E0A7C" w:rsidRPr="002E0A7C" w:rsidRDefault="002E0A7C" w:rsidP="002E0A7C">
            <w:pPr>
              <w:rPr>
                <w:sz w:val="20"/>
                <w:szCs w:val="20"/>
              </w:rPr>
            </w:pPr>
            <w:r w:rsidRPr="002E0A7C">
              <w:rPr>
                <w:color w:val="000000"/>
                <w:sz w:val="20"/>
                <w:szCs w:val="20"/>
              </w:rPr>
              <w:t>Age 10</w:t>
            </w:r>
            <w:r w:rsidR="00610904">
              <w:rPr>
                <w:color w:val="000000"/>
                <w:sz w:val="20"/>
                <w:szCs w:val="20"/>
              </w:rPr>
              <w:t>-</w:t>
            </w:r>
            <w:r w:rsidRPr="002E0A7C">
              <w:rPr>
                <w:color w:val="000000"/>
                <w:sz w:val="20"/>
                <w:szCs w:val="20"/>
              </w:rPr>
              <w:t xml:space="preserve">15 </w:t>
            </w:r>
            <w:proofErr w:type="spellStart"/>
            <w:r w:rsidRPr="002E0A7C">
              <w:rPr>
                <w:color w:val="000000"/>
                <w:sz w:val="20"/>
                <w:szCs w:val="20"/>
              </w:rPr>
              <w:t>years</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25CCC067" w14:textId="77777777" w:rsidR="002E0A7C" w:rsidRPr="002E0A7C" w:rsidRDefault="002E0A7C" w:rsidP="002E0A7C">
            <w:pPr>
              <w:jc w:val="center"/>
              <w:rPr>
                <w:sz w:val="20"/>
                <w:szCs w:val="20"/>
              </w:rPr>
            </w:pPr>
            <w:r w:rsidRPr="002E0A7C">
              <w:rPr>
                <w:color w:val="000000"/>
                <w:sz w:val="20"/>
                <w:szCs w:val="20"/>
              </w:rPr>
              <w:t>87 (19.7%)</w:t>
            </w:r>
          </w:p>
        </w:tc>
      </w:tr>
      <w:tr w:rsidR="002E0A7C" w:rsidRPr="002E0A7C" w14:paraId="1CA730F8"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E378057" w14:textId="77777777" w:rsidR="002E0A7C" w:rsidRPr="002E0A7C" w:rsidRDefault="002E0A7C" w:rsidP="002E0A7C">
            <w:pPr>
              <w:rPr>
                <w:sz w:val="20"/>
                <w:szCs w:val="20"/>
              </w:rPr>
            </w:pPr>
            <w:r w:rsidRPr="002E0A7C">
              <w:rPr>
                <w:color w:val="000000"/>
                <w:sz w:val="20"/>
                <w:szCs w:val="20"/>
              </w:rPr>
              <w:t xml:space="preserve">Male </w:t>
            </w:r>
            <w:proofErr w:type="spellStart"/>
            <w:r w:rsidRPr="002E0A7C">
              <w:rPr>
                <w:color w:val="000000"/>
                <w:sz w:val="20"/>
                <w:szCs w:val="20"/>
              </w:rPr>
              <w:t>sex</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2435881" w14:textId="77777777" w:rsidR="002E0A7C" w:rsidRPr="002E0A7C" w:rsidRDefault="002E0A7C" w:rsidP="002E0A7C">
            <w:pPr>
              <w:jc w:val="center"/>
              <w:rPr>
                <w:sz w:val="20"/>
                <w:szCs w:val="20"/>
              </w:rPr>
            </w:pPr>
            <w:r w:rsidRPr="002E0A7C">
              <w:rPr>
                <w:color w:val="000000"/>
                <w:sz w:val="20"/>
                <w:szCs w:val="20"/>
              </w:rPr>
              <w:t>241 (55.8%)</w:t>
            </w:r>
          </w:p>
        </w:tc>
      </w:tr>
      <w:tr w:rsidR="002E0A7C" w:rsidRPr="002E0A7C" w14:paraId="15E088E6"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550E6758" w14:textId="77777777" w:rsidR="002E0A7C" w:rsidRPr="002E0A7C" w:rsidRDefault="002E0A7C" w:rsidP="002E0A7C">
            <w:pPr>
              <w:rPr>
                <w:sz w:val="20"/>
                <w:szCs w:val="20"/>
              </w:rPr>
            </w:pPr>
            <w:r w:rsidRPr="002E0A7C">
              <w:rPr>
                <w:color w:val="000000"/>
                <w:sz w:val="20"/>
                <w:szCs w:val="20"/>
              </w:rPr>
              <w:lastRenderedPageBreak/>
              <w:t xml:space="preserve">Not </w:t>
            </w:r>
            <w:proofErr w:type="spellStart"/>
            <w:r w:rsidRPr="002E0A7C">
              <w:rPr>
                <w:color w:val="000000"/>
                <w:sz w:val="20"/>
                <w:szCs w:val="20"/>
              </w:rPr>
              <w:t>attending</w:t>
            </w:r>
            <w:proofErr w:type="spellEnd"/>
            <w:r w:rsidRPr="002E0A7C">
              <w:rPr>
                <w:color w:val="000000"/>
                <w:sz w:val="20"/>
                <w:szCs w:val="20"/>
              </w:rPr>
              <w:t xml:space="preserve"> </w:t>
            </w:r>
            <w:proofErr w:type="spellStart"/>
            <w:r w:rsidRPr="002E0A7C">
              <w:rPr>
                <w:color w:val="000000"/>
                <w:sz w:val="20"/>
                <w:szCs w:val="20"/>
              </w:rPr>
              <w:t>school</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249F7F3A" w14:textId="77777777" w:rsidR="002E0A7C" w:rsidRPr="002E0A7C" w:rsidRDefault="002E0A7C" w:rsidP="002E0A7C">
            <w:pPr>
              <w:jc w:val="center"/>
              <w:rPr>
                <w:sz w:val="20"/>
                <w:szCs w:val="20"/>
              </w:rPr>
            </w:pPr>
            <w:r w:rsidRPr="002E0A7C">
              <w:rPr>
                <w:color w:val="000000"/>
                <w:sz w:val="20"/>
                <w:szCs w:val="20"/>
              </w:rPr>
              <w:t>254 (57.6%)</w:t>
            </w:r>
          </w:p>
        </w:tc>
      </w:tr>
      <w:tr w:rsidR="002E0A7C" w:rsidRPr="002E0A7C" w14:paraId="6598C7D3" w14:textId="77777777" w:rsidTr="00044376">
        <w:tc>
          <w:tcPr>
            <w:tcW w:w="0" w:type="auto"/>
            <w:gridSpan w:val="2"/>
            <w:tcBorders>
              <w:bottom w:val="single" w:sz="4" w:space="0" w:color="000000"/>
            </w:tcBorders>
            <w:shd w:val="clear" w:color="auto" w:fill="E8E8E8"/>
            <w:tcMar>
              <w:top w:w="50" w:type="dxa"/>
              <w:left w:w="100" w:type="dxa"/>
              <w:bottom w:w="50" w:type="dxa"/>
              <w:right w:w="100" w:type="dxa"/>
            </w:tcMar>
          </w:tcPr>
          <w:p w14:paraId="61F09534" w14:textId="77777777" w:rsidR="002E0A7C" w:rsidRPr="002E0A7C" w:rsidRDefault="002E0A7C" w:rsidP="002E0A7C">
            <w:pPr>
              <w:rPr>
                <w:sz w:val="20"/>
                <w:szCs w:val="20"/>
              </w:rPr>
            </w:pPr>
            <w:r w:rsidRPr="002E0A7C">
              <w:rPr>
                <w:b/>
                <w:bCs/>
                <w:color w:val="000000"/>
                <w:sz w:val="20"/>
                <w:szCs w:val="20"/>
              </w:rPr>
              <w:t xml:space="preserve">Prevention and </w:t>
            </w:r>
            <w:proofErr w:type="spellStart"/>
            <w:r w:rsidRPr="002E0A7C">
              <w:rPr>
                <w:b/>
                <w:bCs/>
                <w:color w:val="000000"/>
                <w:sz w:val="20"/>
                <w:szCs w:val="20"/>
              </w:rPr>
              <w:t>healthcare</w:t>
            </w:r>
            <w:proofErr w:type="spellEnd"/>
            <w:r w:rsidRPr="002E0A7C">
              <w:rPr>
                <w:b/>
                <w:bCs/>
                <w:color w:val="000000"/>
                <w:sz w:val="20"/>
                <w:szCs w:val="20"/>
              </w:rPr>
              <w:t xml:space="preserve"> </w:t>
            </w:r>
            <w:proofErr w:type="spellStart"/>
            <w:r w:rsidRPr="002E0A7C">
              <w:rPr>
                <w:b/>
                <w:bCs/>
                <w:color w:val="000000"/>
                <w:sz w:val="20"/>
                <w:szCs w:val="20"/>
              </w:rPr>
              <w:t>access</w:t>
            </w:r>
            <w:proofErr w:type="spellEnd"/>
          </w:p>
        </w:tc>
      </w:tr>
      <w:tr w:rsidR="002E0A7C" w:rsidRPr="002E0A7C" w14:paraId="461CF5EE"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136E4FC" w14:textId="77777777" w:rsidR="002E0A7C" w:rsidRPr="002E0A7C" w:rsidRDefault="002E0A7C" w:rsidP="002E0A7C">
            <w:pPr>
              <w:rPr>
                <w:sz w:val="20"/>
                <w:szCs w:val="20"/>
              </w:rPr>
            </w:pPr>
            <w:r w:rsidRPr="002E0A7C">
              <w:rPr>
                <w:color w:val="000000"/>
                <w:sz w:val="20"/>
                <w:szCs w:val="20"/>
              </w:rPr>
              <w:t>ITN use,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FB70A4" w14:textId="77777777" w:rsidR="002E0A7C" w:rsidRPr="002E0A7C" w:rsidRDefault="002E0A7C" w:rsidP="002E0A7C">
            <w:pPr>
              <w:jc w:val="center"/>
              <w:rPr>
                <w:sz w:val="20"/>
                <w:szCs w:val="20"/>
              </w:rPr>
            </w:pPr>
            <w:r w:rsidRPr="002E0A7C">
              <w:rPr>
                <w:color w:val="000000"/>
                <w:sz w:val="20"/>
                <w:szCs w:val="20"/>
              </w:rPr>
              <w:t>164 (37.2%)</w:t>
            </w:r>
          </w:p>
        </w:tc>
      </w:tr>
      <w:tr w:rsidR="002E0A7C" w:rsidRPr="002E0A7C" w14:paraId="6CD24BD4"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01387B2" w14:textId="77777777" w:rsidR="002E0A7C" w:rsidRPr="00564354" w:rsidRDefault="002E0A7C" w:rsidP="002E0A7C">
            <w:pPr>
              <w:rPr>
                <w:sz w:val="20"/>
                <w:szCs w:val="20"/>
                <w:lang w:val="en-GB"/>
              </w:rPr>
            </w:pPr>
            <w:r w:rsidRPr="00564354">
              <w:rPr>
                <w:color w:val="000000"/>
                <w:sz w:val="20"/>
                <w:szCs w:val="20"/>
                <w:lang w:val="en-GB"/>
              </w:rPr>
              <w:t>Pre-hospital self-medication,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849A881" w14:textId="77777777" w:rsidR="002E0A7C" w:rsidRPr="002E0A7C" w:rsidRDefault="002E0A7C" w:rsidP="002E0A7C">
            <w:pPr>
              <w:jc w:val="center"/>
              <w:rPr>
                <w:sz w:val="20"/>
                <w:szCs w:val="20"/>
              </w:rPr>
            </w:pPr>
            <w:r w:rsidRPr="002E0A7C">
              <w:rPr>
                <w:color w:val="000000"/>
                <w:sz w:val="20"/>
                <w:szCs w:val="20"/>
              </w:rPr>
              <w:t>121 (27.4%)</w:t>
            </w:r>
          </w:p>
        </w:tc>
      </w:tr>
      <w:tr w:rsidR="002E0A7C" w:rsidRPr="002E0A7C" w14:paraId="5971464B"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AB40497" w14:textId="77777777" w:rsidR="002E0A7C" w:rsidRPr="00564354" w:rsidRDefault="002E0A7C" w:rsidP="002E0A7C">
            <w:pPr>
              <w:rPr>
                <w:sz w:val="20"/>
                <w:szCs w:val="20"/>
                <w:lang w:val="en-GB"/>
              </w:rPr>
            </w:pPr>
            <w:r w:rsidRPr="00564354">
              <w:rPr>
                <w:color w:val="000000"/>
                <w:sz w:val="20"/>
                <w:szCs w:val="20"/>
                <w:lang w:val="en-GB"/>
              </w:rPr>
              <w:t>Consultation delay, median days [IQR]</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21095E" w14:textId="4E932442" w:rsidR="002E0A7C" w:rsidRPr="002E0A7C" w:rsidRDefault="002E0A7C" w:rsidP="002E0A7C">
            <w:pPr>
              <w:jc w:val="center"/>
              <w:rPr>
                <w:sz w:val="20"/>
                <w:szCs w:val="20"/>
              </w:rPr>
            </w:pPr>
            <w:r w:rsidRPr="002E0A7C">
              <w:rPr>
                <w:color w:val="000000"/>
                <w:sz w:val="20"/>
                <w:szCs w:val="20"/>
              </w:rPr>
              <w:t>3 [2</w:t>
            </w:r>
            <w:r w:rsidR="00610904">
              <w:rPr>
                <w:color w:val="000000"/>
                <w:sz w:val="20"/>
                <w:szCs w:val="20"/>
              </w:rPr>
              <w:t>-</w:t>
            </w:r>
            <w:r w:rsidRPr="002E0A7C">
              <w:rPr>
                <w:color w:val="000000"/>
                <w:sz w:val="20"/>
                <w:szCs w:val="20"/>
              </w:rPr>
              <w:t>5]</w:t>
            </w:r>
          </w:p>
        </w:tc>
      </w:tr>
      <w:tr w:rsidR="002E0A7C" w:rsidRPr="002E0A7C" w14:paraId="092C4B62"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9A2A1B5" w14:textId="000538FF" w:rsidR="002E0A7C" w:rsidRPr="002E0A7C" w:rsidRDefault="002E0A7C" w:rsidP="002E0A7C">
            <w:pPr>
              <w:rPr>
                <w:sz w:val="20"/>
                <w:szCs w:val="20"/>
              </w:rPr>
            </w:pPr>
            <w:r w:rsidRPr="002E0A7C">
              <w:rPr>
                <w:color w:val="000000"/>
                <w:sz w:val="20"/>
                <w:szCs w:val="20"/>
              </w:rPr>
              <w:t xml:space="preserve">Delay &gt; 48 </w:t>
            </w:r>
            <w:proofErr w:type="spellStart"/>
            <w:r w:rsidRPr="002E0A7C">
              <w:rPr>
                <w:color w:val="000000"/>
                <w:sz w:val="20"/>
                <w:szCs w:val="20"/>
              </w:rPr>
              <w:t>hours</w:t>
            </w:r>
            <w:proofErr w:type="spellEnd"/>
            <w:r w:rsidRPr="002E0A7C">
              <w:rPr>
                <w:color w:val="000000"/>
                <w:sz w:val="20"/>
                <w:szCs w:val="20"/>
              </w:rPr>
              <w:t xml:space="preserve">, n (%) </w:t>
            </w:r>
            <w:r w:rsidR="005C6A07">
              <w:rPr>
                <w:color w:val="000000"/>
                <w:sz w:val="20"/>
                <w:szCs w:val="20"/>
              </w:rPr>
              <w:t>*</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1F227D44" w14:textId="77777777" w:rsidR="002E0A7C" w:rsidRPr="002E0A7C" w:rsidRDefault="002E0A7C" w:rsidP="002E0A7C">
            <w:pPr>
              <w:jc w:val="center"/>
              <w:rPr>
                <w:sz w:val="20"/>
                <w:szCs w:val="20"/>
              </w:rPr>
            </w:pPr>
            <w:r w:rsidRPr="002E0A7C">
              <w:rPr>
                <w:color w:val="000000"/>
                <w:sz w:val="20"/>
                <w:szCs w:val="20"/>
              </w:rPr>
              <w:t>188/317 (59.3%)</w:t>
            </w:r>
          </w:p>
        </w:tc>
      </w:tr>
      <w:tr w:rsidR="002E0A7C" w:rsidRPr="002E0A7C" w14:paraId="63502E9D" w14:textId="77777777" w:rsidTr="00044376">
        <w:tc>
          <w:tcPr>
            <w:tcW w:w="0" w:type="auto"/>
            <w:gridSpan w:val="2"/>
            <w:tcBorders>
              <w:bottom w:val="single" w:sz="4" w:space="0" w:color="000000"/>
            </w:tcBorders>
            <w:shd w:val="clear" w:color="auto" w:fill="E8E8E8"/>
            <w:tcMar>
              <w:top w:w="50" w:type="dxa"/>
              <w:left w:w="100" w:type="dxa"/>
              <w:bottom w:w="50" w:type="dxa"/>
              <w:right w:w="100" w:type="dxa"/>
            </w:tcMar>
          </w:tcPr>
          <w:p w14:paraId="0354B27E" w14:textId="619E437D" w:rsidR="002E0A7C" w:rsidRPr="002E0A7C" w:rsidRDefault="002E0A7C" w:rsidP="002E0A7C">
            <w:pPr>
              <w:rPr>
                <w:sz w:val="20"/>
                <w:szCs w:val="20"/>
              </w:rPr>
            </w:pPr>
            <w:proofErr w:type="spellStart"/>
            <w:r w:rsidRPr="002E0A7C">
              <w:rPr>
                <w:b/>
                <w:bCs/>
                <w:color w:val="000000"/>
                <w:sz w:val="20"/>
                <w:szCs w:val="20"/>
              </w:rPr>
              <w:t>Residence</w:t>
            </w:r>
            <w:proofErr w:type="spellEnd"/>
            <w:r w:rsidRPr="002E0A7C">
              <w:rPr>
                <w:b/>
                <w:bCs/>
                <w:color w:val="000000"/>
                <w:sz w:val="20"/>
                <w:szCs w:val="20"/>
              </w:rPr>
              <w:t xml:space="preserve"> </w:t>
            </w:r>
            <w:r w:rsidR="00564354">
              <w:rPr>
                <w:b/>
                <w:bCs/>
                <w:color w:val="000000"/>
                <w:sz w:val="20"/>
                <w:szCs w:val="20"/>
              </w:rPr>
              <w:t>-</w:t>
            </w:r>
            <w:r w:rsidRPr="002E0A7C">
              <w:rPr>
                <w:b/>
                <w:bCs/>
                <w:color w:val="000000"/>
                <w:sz w:val="20"/>
                <w:szCs w:val="20"/>
              </w:rPr>
              <w:t xml:space="preserve"> Brazzaville arrondissement</w:t>
            </w:r>
          </w:p>
        </w:tc>
      </w:tr>
      <w:tr w:rsidR="002E0A7C" w:rsidRPr="002E0A7C" w14:paraId="412D6322"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1928A3" w14:textId="2485E9F4" w:rsidR="002E0A7C" w:rsidRPr="002E0A7C" w:rsidRDefault="002E0A7C" w:rsidP="002E0A7C">
            <w:pPr>
              <w:rPr>
                <w:sz w:val="20"/>
                <w:szCs w:val="20"/>
              </w:rPr>
            </w:pPr>
            <w:r w:rsidRPr="002E0A7C">
              <w:rPr>
                <w:color w:val="000000"/>
                <w:sz w:val="20"/>
                <w:szCs w:val="20"/>
              </w:rPr>
              <w:t xml:space="preserve">1st </w:t>
            </w:r>
            <w:r w:rsidR="00564354">
              <w:rPr>
                <w:color w:val="000000"/>
                <w:sz w:val="20"/>
                <w:szCs w:val="20"/>
              </w:rPr>
              <w:t>-</w:t>
            </w:r>
            <w:r w:rsidRPr="002E0A7C">
              <w:rPr>
                <w:color w:val="000000"/>
                <w:sz w:val="20"/>
                <w:szCs w:val="20"/>
              </w:rPr>
              <w:t xml:space="preserve"> </w:t>
            </w:r>
            <w:proofErr w:type="spellStart"/>
            <w:r w:rsidRPr="002E0A7C">
              <w:rPr>
                <w:color w:val="000000"/>
                <w:sz w:val="20"/>
                <w:szCs w:val="20"/>
              </w:rPr>
              <w:t>Makélékélé</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E38B966" w14:textId="77777777" w:rsidR="002E0A7C" w:rsidRPr="002E0A7C" w:rsidRDefault="002E0A7C" w:rsidP="002E0A7C">
            <w:pPr>
              <w:jc w:val="center"/>
              <w:rPr>
                <w:sz w:val="20"/>
                <w:szCs w:val="20"/>
              </w:rPr>
            </w:pPr>
            <w:r w:rsidRPr="002E0A7C">
              <w:rPr>
                <w:color w:val="000000"/>
                <w:sz w:val="20"/>
                <w:szCs w:val="20"/>
              </w:rPr>
              <w:t>40 (9.4%)</w:t>
            </w:r>
          </w:p>
        </w:tc>
      </w:tr>
      <w:tr w:rsidR="002E0A7C" w:rsidRPr="002E0A7C" w14:paraId="2530D97D"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540EA78" w14:textId="2D3DB550" w:rsidR="002E0A7C" w:rsidRPr="002E0A7C" w:rsidRDefault="002E0A7C" w:rsidP="002E0A7C">
            <w:pPr>
              <w:rPr>
                <w:sz w:val="20"/>
                <w:szCs w:val="20"/>
              </w:rPr>
            </w:pPr>
            <w:r w:rsidRPr="002E0A7C">
              <w:rPr>
                <w:color w:val="000000"/>
                <w:sz w:val="20"/>
                <w:szCs w:val="20"/>
              </w:rPr>
              <w:t xml:space="preserve">2nd </w:t>
            </w:r>
            <w:r w:rsidR="00564354">
              <w:rPr>
                <w:color w:val="000000"/>
                <w:sz w:val="20"/>
                <w:szCs w:val="20"/>
              </w:rPr>
              <w:t>-</w:t>
            </w:r>
            <w:r w:rsidRPr="002E0A7C">
              <w:rPr>
                <w:color w:val="000000"/>
                <w:sz w:val="20"/>
                <w:szCs w:val="20"/>
              </w:rPr>
              <w:t xml:space="preserve"> </w:t>
            </w:r>
            <w:proofErr w:type="spellStart"/>
            <w:r w:rsidRPr="002E0A7C">
              <w:rPr>
                <w:color w:val="000000"/>
                <w:sz w:val="20"/>
                <w:szCs w:val="20"/>
              </w:rPr>
              <w:t>Bacongo</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266FAC47" w14:textId="77777777" w:rsidR="002E0A7C" w:rsidRPr="002E0A7C" w:rsidRDefault="002E0A7C" w:rsidP="002E0A7C">
            <w:pPr>
              <w:jc w:val="center"/>
              <w:rPr>
                <w:sz w:val="20"/>
                <w:szCs w:val="20"/>
              </w:rPr>
            </w:pPr>
            <w:r w:rsidRPr="002E0A7C">
              <w:rPr>
                <w:color w:val="000000"/>
                <w:sz w:val="20"/>
                <w:szCs w:val="20"/>
              </w:rPr>
              <w:t>56 (13.2%)</w:t>
            </w:r>
          </w:p>
        </w:tc>
      </w:tr>
      <w:tr w:rsidR="002E0A7C" w:rsidRPr="002E0A7C" w14:paraId="24CC44C8"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E146501" w14:textId="40BFD998" w:rsidR="002E0A7C" w:rsidRPr="002E0A7C" w:rsidRDefault="002E0A7C" w:rsidP="002E0A7C">
            <w:pPr>
              <w:rPr>
                <w:sz w:val="20"/>
                <w:szCs w:val="20"/>
              </w:rPr>
            </w:pPr>
            <w:r w:rsidRPr="002E0A7C">
              <w:rPr>
                <w:color w:val="000000"/>
                <w:sz w:val="20"/>
                <w:szCs w:val="20"/>
              </w:rPr>
              <w:t xml:space="preserve">3rd </w:t>
            </w:r>
            <w:r w:rsidR="00564354">
              <w:rPr>
                <w:color w:val="000000"/>
                <w:sz w:val="20"/>
                <w:szCs w:val="20"/>
              </w:rPr>
              <w:t>-</w:t>
            </w:r>
            <w:r w:rsidRPr="002E0A7C">
              <w:rPr>
                <w:color w:val="000000"/>
                <w:sz w:val="20"/>
                <w:szCs w:val="20"/>
              </w:rPr>
              <w:t xml:space="preserve"> Poto-Poto,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73B3F9" w14:textId="77777777" w:rsidR="002E0A7C" w:rsidRPr="002E0A7C" w:rsidRDefault="002E0A7C" w:rsidP="002E0A7C">
            <w:pPr>
              <w:jc w:val="center"/>
              <w:rPr>
                <w:sz w:val="20"/>
                <w:szCs w:val="20"/>
              </w:rPr>
            </w:pPr>
            <w:r w:rsidRPr="002E0A7C">
              <w:rPr>
                <w:color w:val="000000"/>
                <w:sz w:val="20"/>
                <w:szCs w:val="20"/>
              </w:rPr>
              <w:t>31 (7.3%)</w:t>
            </w:r>
          </w:p>
        </w:tc>
      </w:tr>
      <w:tr w:rsidR="002E0A7C" w:rsidRPr="002E0A7C" w14:paraId="1FD306CE"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4B7760A8" w14:textId="1E925398" w:rsidR="002E0A7C" w:rsidRPr="002E0A7C" w:rsidRDefault="002E0A7C" w:rsidP="002E0A7C">
            <w:pPr>
              <w:rPr>
                <w:sz w:val="20"/>
                <w:szCs w:val="20"/>
              </w:rPr>
            </w:pPr>
            <w:r w:rsidRPr="002E0A7C">
              <w:rPr>
                <w:color w:val="000000"/>
                <w:sz w:val="20"/>
                <w:szCs w:val="20"/>
              </w:rPr>
              <w:t xml:space="preserve">4th </w:t>
            </w:r>
            <w:r w:rsidR="00564354">
              <w:rPr>
                <w:color w:val="000000"/>
                <w:sz w:val="20"/>
                <w:szCs w:val="20"/>
              </w:rPr>
              <w:t>-</w:t>
            </w:r>
            <w:r w:rsidRPr="002E0A7C">
              <w:rPr>
                <w:color w:val="000000"/>
                <w:sz w:val="20"/>
                <w:szCs w:val="20"/>
              </w:rPr>
              <w:t xml:space="preserve"> Moungali,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3DC3E91E" w14:textId="77777777" w:rsidR="002E0A7C" w:rsidRPr="002E0A7C" w:rsidRDefault="002E0A7C" w:rsidP="002E0A7C">
            <w:pPr>
              <w:jc w:val="center"/>
              <w:rPr>
                <w:sz w:val="20"/>
                <w:szCs w:val="20"/>
              </w:rPr>
            </w:pPr>
            <w:r w:rsidRPr="002E0A7C">
              <w:rPr>
                <w:color w:val="000000"/>
                <w:sz w:val="20"/>
                <w:szCs w:val="20"/>
              </w:rPr>
              <w:t>46 (10.8%)</w:t>
            </w:r>
          </w:p>
        </w:tc>
      </w:tr>
      <w:tr w:rsidR="002E0A7C" w:rsidRPr="002E0A7C" w14:paraId="5960C0FA"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DB8DDAE" w14:textId="31EEE8B7" w:rsidR="002E0A7C" w:rsidRPr="002E0A7C" w:rsidRDefault="002E0A7C" w:rsidP="002E0A7C">
            <w:pPr>
              <w:rPr>
                <w:sz w:val="20"/>
                <w:szCs w:val="20"/>
              </w:rPr>
            </w:pPr>
            <w:r w:rsidRPr="002E0A7C">
              <w:rPr>
                <w:color w:val="000000"/>
                <w:sz w:val="20"/>
                <w:szCs w:val="20"/>
              </w:rPr>
              <w:t xml:space="preserve">5th </w:t>
            </w:r>
            <w:r w:rsidR="00564354">
              <w:rPr>
                <w:color w:val="000000"/>
                <w:sz w:val="20"/>
                <w:szCs w:val="20"/>
              </w:rPr>
              <w:t>-</w:t>
            </w:r>
            <w:r w:rsidRPr="002E0A7C">
              <w:rPr>
                <w:color w:val="000000"/>
                <w:sz w:val="20"/>
                <w:szCs w:val="20"/>
              </w:rPr>
              <w:t xml:space="preserve"> </w:t>
            </w:r>
            <w:proofErr w:type="spellStart"/>
            <w:r w:rsidRPr="002E0A7C">
              <w:rPr>
                <w:color w:val="000000"/>
                <w:sz w:val="20"/>
                <w:szCs w:val="20"/>
              </w:rPr>
              <w:t>Ouenzé</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1D5C0A" w14:textId="77777777" w:rsidR="002E0A7C" w:rsidRPr="002E0A7C" w:rsidRDefault="002E0A7C" w:rsidP="002E0A7C">
            <w:pPr>
              <w:jc w:val="center"/>
              <w:rPr>
                <w:sz w:val="20"/>
                <w:szCs w:val="20"/>
              </w:rPr>
            </w:pPr>
            <w:r w:rsidRPr="002E0A7C">
              <w:rPr>
                <w:color w:val="000000"/>
                <w:sz w:val="20"/>
                <w:szCs w:val="20"/>
              </w:rPr>
              <w:t>53 (12.5%)</w:t>
            </w:r>
          </w:p>
        </w:tc>
      </w:tr>
      <w:tr w:rsidR="002E0A7C" w:rsidRPr="002E0A7C" w14:paraId="582FD2DF"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FD80C63" w14:textId="1E3D5105" w:rsidR="002E0A7C" w:rsidRPr="002E0A7C" w:rsidRDefault="002E0A7C" w:rsidP="002E0A7C">
            <w:pPr>
              <w:rPr>
                <w:sz w:val="20"/>
                <w:szCs w:val="20"/>
              </w:rPr>
            </w:pPr>
            <w:r w:rsidRPr="002E0A7C">
              <w:rPr>
                <w:color w:val="000000"/>
                <w:sz w:val="20"/>
                <w:szCs w:val="20"/>
              </w:rPr>
              <w:t xml:space="preserve">6th </w:t>
            </w:r>
            <w:r w:rsidR="00564354">
              <w:rPr>
                <w:color w:val="000000"/>
                <w:sz w:val="20"/>
                <w:szCs w:val="20"/>
              </w:rPr>
              <w:t>-</w:t>
            </w:r>
            <w:r w:rsidRPr="002E0A7C">
              <w:rPr>
                <w:color w:val="000000"/>
                <w:sz w:val="20"/>
                <w:szCs w:val="20"/>
              </w:rPr>
              <w:t xml:space="preserve"> </w:t>
            </w:r>
            <w:proofErr w:type="spellStart"/>
            <w:r w:rsidRPr="002E0A7C">
              <w:rPr>
                <w:color w:val="000000"/>
                <w:sz w:val="20"/>
                <w:szCs w:val="20"/>
              </w:rPr>
              <w:t>Talangaï</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4E601C70" w14:textId="77777777" w:rsidR="002E0A7C" w:rsidRPr="002E0A7C" w:rsidRDefault="002E0A7C" w:rsidP="002E0A7C">
            <w:pPr>
              <w:jc w:val="center"/>
              <w:rPr>
                <w:sz w:val="20"/>
                <w:szCs w:val="20"/>
              </w:rPr>
            </w:pPr>
            <w:r w:rsidRPr="002E0A7C">
              <w:rPr>
                <w:color w:val="000000"/>
                <w:sz w:val="20"/>
                <w:szCs w:val="20"/>
              </w:rPr>
              <w:t>34 (8.0%)</w:t>
            </w:r>
          </w:p>
        </w:tc>
      </w:tr>
      <w:tr w:rsidR="002E0A7C" w:rsidRPr="002E0A7C" w14:paraId="3504E800"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DB99B37" w14:textId="6123A1BA" w:rsidR="002E0A7C" w:rsidRPr="002E0A7C" w:rsidRDefault="002E0A7C" w:rsidP="002E0A7C">
            <w:pPr>
              <w:rPr>
                <w:sz w:val="20"/>
                <w:szCs w:val="20"/>
              </w:rPr>
            </w:pPr>
            <w:r w:rsidRPr="002E0A7C">
              <w:rPr>
                <w:color w:val="000000"/>
                <w:sz w:val="20"/>
                <w:szCs w:val="20"/>
              </w:rPr>
              <w:t xml:space="preserve">7th </w:t>
            </w:r>
            <w:r w:rsidR="00564354">
              <w:rPr>
                <w:color w:val="000000"/>
                <w:sz w:val="20"/>
                <w:szCs w:val="20"/>
              </w:rPr>
              <w:t>-</w:t>
            </w:r>
            <w:r w:rsidRPr="002E0A7C">
              <w:rPr>
                <w:color w:val="000000"/>
                <w:sz w:val="20"/>
                <w:szCs w:val="20"/>
              </w:rPr>
              <w:t xml:space="preserve"> </w:t>
            </w:r>
            <w:proofErr w:type="spellStart"/>
            <w:r w:rsidRPr="002E0A7C">
              <w:rPr>
                <w:color w:val="000000"/>
                <w:sz w:val="20"/>
                <w:szCs w:val="20"/>
              </w:rPr>
              <w:t>Mfilou</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4845D88" w14:textId="77777777" w:rsidR="002E0A7C" w:rsidRPr="002E0A7C" w:rsidRDefault="002E0A7C" w:rsidP="002E0A7C">
            <w:pPr>
              <w:jc w:val="center"/>
              <w:rPr>
                <w:sz w:val="20"/>
                <w:szCs w:val="20"/>
              </w:rPr>
            </w:pPr>
            <w:r w:rsidRPr="002E0A7C">
              <w:rPr>
                <w:color w:val="000000"/>
                <w:sz w:val="20"/>
                <w:szCs w:val="20"/>
              </w:rPr>
              <w:t>33 (7.8%)</w:t>
            </w:r>
          </w:p>
        </w:tc>
      </w:tr>
      <w:tr w:rsidR="002E0A7C" w:rsidRPr="002E0A7C" w14:paraId="63226C63"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18450751" w14:textId="366229C0" w:rsidR="002E0A7C" w:rsidRPr="002E0A7C" w:rsidRDefault="002E0A7C" w:rsidP="002E0A7C">
            <w:pPr>
              <w:rPr>
                <w:sz w:val="20"/>
                <w:szCs w:val="20"/>
              </w:rPr>
            </w:pPr>
            <w:r w:rsidRPr="002E0A7C">
              <w:rPr>
                <w:color w:val="000000"/>
                <w:sz w:val="20"/>
                <w:szCs w:val="20"/>
              </w:rPr>
              <w:t xml:space="preserve">8th </w:t>
            </w:r>
            <w:r w:rsidR="00564354">
              <w:rPr>
                <w:color w:val="000000"/>
                <w:sz w:val="20"/>
                <w:szCs w:val="20"/>
              </w:rPr>
              <w:t>-</w:t>
            </w:r>
            <w:r w:rsidRPr="002E0A7C">
              <w:rPr>
                <w:color w:val="000000"/>
                <w:sz w:val="20"/>
                <w:szCs w:val="20"/>
              </w:rPr>
              <w:t xml:space="preserve"> </w:t>
            </w:r>
            <w:proofErr w:type="spellStart"/>
            <w:r w:rsidRPr="002E0A7C">
              <w:rPr>
                <w:color w:val="000000"/>
                <w:sz w:val="20"/>
                <w:szCs w:val="20"/>
              </w:rPr>
              <w:t>Madibou</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2B36748F" w14:textId="77777777" w:rsidR="002E0A7C" w:rsidRPr="002E0A7C" w:rsidRDefault="002E0A7C" w:rsidP="002E0A7C">
            <w:pPr>
              <w:jc w:val="center"/>
              <w:rPr>
                <w:sz w:val="20"/>
                <w:szCs w:val="20"/>
              </w:rPr>
            </w:pPr>
            <w:r w:rsidRPr="002E0A7C">
              <w:rPr>
                <w:color w:val="000000"/>
                <w:sz w:val="20"/>
                <w:szCs w:val="20"/>
              </w:rPr>
              <w:t>99 (23.3%)</w:t>
            </w:r>
          </w:p>
        </w:tc>
      </w:tr>
      <w:tr w:rsidR="002E0A7C" w:rsidRPr="002E0A7C" w14:paraId="13EFA82C"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AA4F505" w14:textId="650056E5" w:rsidR="002E0A7C" w:rsidRPr="002E0A7C" w:rsidRDefault="002E0A7C" w:rsidP="002E0A7C">
            <w:pPr>
              <w:rPr>
                <w:sz w:val="20"/>
                <w:szCs w:val="20"/>
              </w:rPr>
            </w:pPr>
            <w:r w:rsidRPr="002E0A7C">
              <w:rPr>
                <w:color w:val="000000"/>
                <w:sz w:val="20"/>
                <w:szCs w:val="20"/>
              </w:rPr>
              <w:t xml:space="preserve">9th </w:t>
            </w:r>
            <w:r w:rsidR="00564354">
              <w:rPr>
                <w:color w:val="000000"/>
                <w:sz w:val="20"/>
                <w:szCs w:val="20"/>
              </w:rPr>
              <w:t>-</w:t>
            </w:r>
            <w:r w:rsidRPr="002E0A7C">
              <w:rPr>
                <w:color w:val="000000"/>
                <w:sz w:val="20"/>
                <w:szCs w:val="20"/>
              </w:rPr>
              <w:t xml:space="preserve"> Djiri,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5589F99" w14:textId="77777777" w:rsidR="002E0A7C" w:rsidRPr="002E0A7C" w:rsidRDefault="002E0A7C" w:rsidP="002E0A7C">
            <w:pPr>
              <w:jc w:val="center"/>
              <w:rPr>
                <w:sz w:val="20"/>
                <w:szCs w:val="20"/>
              </w:rPr>
            </w:pPr>
            <w:r w:rsidRPr="002E0A7C">
              <w:rPr>
                <w:color w:val="000000"/>
                <w:sz w:val="20"/>
                <w:szCs w:val="20"/>
              </w:rPr>
              <w:t>21 (5.0%)</w:t>
            </w:r>
          </w:p>
        </w:tc>
      </w:tr>
      <w:tr w:rsidR="002E0A7C" w:rsidRPr="002E0A7C" w14:paraId="225BB05C"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C134F90" w14:textId="77777777" w:rsidR="002E0A7C" w:rsidRPr="002E0A7C" w:rsidRDefault="002E0A7C" w:rsidP="002E0A7C">
            <w:pPr>
              <w:rPr>
                <w:sz w:val="20"/>
                <w:szCs w:val="20"/>
              </w:rPr>
            </w:pPr>
            <w:proofErr w:type="spellStart"/>
            <w:r w:rsidRPr="002E0A7C">
              <w:rPr>
                <w:color w:val="000000"/>
                <w:sz w:val="20"/>
                <w:szCs w:val="20"/>
              </w:rPr>
              <w:t>Outside</w:t>
            </w:r>
            <w:proofErr w:type="spellEnd"/>
            <w:r w:rsidRPr="002E0A7C">
              <w:rPr>
                <w:color w:val="000000"/>
                <w:sz w:val="20"/>
                <w:szCs w:val="20"/>
              </w:rPr>
              <w:t xml:space="preserve"> Brazzaville,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3BE02E44" w14:textId="77777777" w:rsidR="002E0A7C" w:rsidRPr="002E0A7C" w:rsidRDefault="002E0A7C" w:rsidP="002E0A7C">
            <w:pPr>
              <w:jc w:val="center"/>
              <w:rPr>
                <w:sz w:val="20"/>
                <w:szCs w:val="20"/>
              </w:rPr>
            </w:pPr>
            <w:r w:rsidRPr="002E0A7C">
              <w:rPr>
                <w:color w:val="000000"/>
                <w:sz w:val="20"/>
                <w:szCs w:val="20"/>
              </w:rPr>
              <w:t>11 (2.6%)</w:t>
            </w:r>
          </w:p>
        </w:tc>
      </w:tr>
      <w:tr w:rsidR="002E0A7C" w:rsidRPr="002E0A7C" w14:paraId="605100A0" w14:textId="77777777" w:rsidTr="00044376">
        <w:tc>
          <w:tcPr>
            <w:tcW w:w="0" w:type="auto"/>
            <w:gridSpan w:val="2"/>
            <w:tcBorders>
              <w:bottom w:val="single" w:sz="4" w:space="0" w:color="000000"/>
            </w:tcBorders>
            <w:shd w:val="clear" w:color="auto" w:fill="E8E8E8"/>
            <w:tcMar>
              <w:top w:w="50" w:type="dxa"/>
              <w:left w:w="100" w:type="dxa"/>
              <w:bottom w:w="50" w:type="dxa"/>
              <w:right w:w="100" w:type="dxa"/>
            </w:tcMar>
          </w:tcPr>
          <w:p w14:paraId="3289821A" w14:textId="77777777" w:rsidR="002E0A7C" w:rsidRPr="002E0A7C" w:rsidRDefault="002E0A7C" w:rsidP="002E0A7C">
            <w:pPr>
              <w:rPr>
                <w:sz w:val="20"/>
                <w:szCs w:val="20"/>
              </w:rPr>
            </w:pPr>
            <w:proofErr w:type="spellStart"/>
            <w:r w:rsidRPr="002E0A7C">
              <w:rPr>
                <w:b/>
                <w:bCs/>
                <w:color w:val="000000"/>
                <w:sz w:val="20"/>
                <w:szCs w:val="20"/>
              </w:rPr>
              <w:t>Clinical</w:t>
            </w:r>
            <w:proofErr w:type="spellEnd"/>
            <w:r w:rsidRPr="002E0A7C">
              <w:rPr>
                <w:b/>
                <w:bCs/>
                <w:color w:val="000000"/>
                <w:sz w:val="20"/>
                <w:szCs w:val="20"/>
              </w:rPr>
              <w:t xml:space="preserve"> </w:t>
            </w:r>
            <w:proofErr w:type="spellStart"/>
            <w:r w:rsidRPr="002E0A7C">
              <w:rPr>
                <w:b/>
                <w:bCs/>
                <w:color w:val="000000"/>
                <w:sz w:val="20"/>
                <w:szCs w:val="20"/>
              </w:rPr>
              <w:t>presentation</w:t>
            </w:r>
            <w:proofErr w:type="spellEnd"/>
            <w:r w:rsidRPr="002E0A7C">
              <w:rPr>
                <w:b/>
                <w:bCs/>
                <w:color w:val="000000"/>
                <w:sz w:val="20"/>
                <w:szCs w:val="20"/>
              </w:rPr>
              <w:t xml:space="preserve"> at admission</w:t>
            </w:r>
          </w:p>
        </w:tc>
      </w:tr>
      <w:tr w:rsidR="002E0A7C" w:rsidRPr="002E0A7C" w14:paraId="20E4D5E6"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E91EA85" w14:textId="77777777" w:rsidR="002E0A7C" w:rsidRPr="002E0A7C" w:rsidRDefault="002E0A7C" w:rsidP="002E0A7C">
            <w:pPr>
              <w:rPr>
                <w:sz w:val="20"/>
                <w:szCs w:val="20"/>
              </w:rPr>
            </w:pPr>
            <w:r w:rsidRPr="002E0A7C">
              <w:rPr>
                <w:color w:val="000000"/>
                <w:sz w:val="20"/>
                <w:szCs w:val="20"/>
              </w:rPr>
              <w:t>Fever,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EDEB579" w14:textId="77777777" w:rsidR="002E0A7C" w:rsidRPr="002E0A7C" w:rsidRDefault="002E0A7C" w:rsidP="002E0A7C">
            <w:pPr>
              <w:jc w:val="center"/>
              <w:rPr>
                <w:sz w:val="20"/>
                <w:szCs w:val="20"/>
              </w:rPr>
            </w:pPr>
            <w:r w:rsidRPr="002E0A7C">
              <w:rPr>
                <w:color w:val="000000"/>
                <w:sz w:val="20"/>
                <w:szCs w:val="20"/>
              </w:rPr>
              <w:t>247 (56.0%)</w:t>
            </w:r>
          </w:p>
        </w:tc>
      </w:tr>
      <w:tr w:rsidR="002E0A7C" w:rsidRPr="002E0A7C" w14:paraId="2B253F83"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5EEA476" w14:textId="77777777" w:rsidR="002E0A7C" w:rsidRPr="002E0A7C" w:rsidRDefault="002E0A7C" w:rsidP="002E0A7C">
            <w:pPr>
              <w:rPr>
                <w:sz w:val="20"/>
                <w:szCs w:val="20"/>
              </w:rPr>
            </w:pPr>
            <w:proofErr w:type="spellStart"/>
            <w:r w:rsidRPr="002E0A7C">
              <w:rPr>
                <w:color w:val="000000"/>
                <w:sz w:val="20"/>
                <w:szCs w:val="20"/>
              </w:rPr>
              <w:t>Vomiting</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2F27F66B" w14:textId="77777777" w:rsidR="002E0A7C" w:rsidRPr="002E0A7C" w:rsidRDefault="002E0A7C" w:rsidP="002E0A7C">
            <w:pPr>
              <w:jc w:val="center"/>
              <w:rPr>
                <w:sz w:val="20"/>
                <w:szCs w:val="20"/>
              </w:rPr>
            </w:pPr>
            <w:r w:rsidRPr="002E0A7C">
              <w:rPr>
                <w:color w:val="000000"/>
                <w:sz w:val="20"/>
                <w:szCs w:val="20"/>
              </w:rPr>
              <w:t>86 (19.5%)</w:t>
            </w:r>
          </w:p>
        </w:tc>
      </w:tr>
      <w:tr w:rsidR="002E0A7C" w:rsidRPr="002E0A7C" w14:paraId="71B2ABE8"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0259DC" w14:textId="77777777" w:rsidR="002E0A7C" w:rsidRPr="002E0A7C" w:rsidRDefault="002E0A7C" w:rsidP="002E0A7C">
            <w:pPr>
              <w:rPr>
                <w:sz w:val="20"/>
                <w:szCs w:val="20"/>
              </w:rPr>
            </w:pPr>
            <w:proofErr w:type="spellStart"/>
            <w:r w:rsidRPr="002E0A7C">
              <w:rPr>
                <w:color w:val="000000"/>
                <w:sz w:val="20"/>
                <w:szCs w:val="20"/>
              </w:rPr>
              <w:t>Headache</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83E1B86" w14:textId="77777777" w:rsidR="002E0A7C" w:rsidRPr="002E0A7C" w:rsidRDefault="002E0A7C" w:rsidP="002E0A7C">
            <w:pPr>
              <w:jc w:val="center"/>
              <w:rPr>
                <w:sz w:val="20"/>
                <w:szCs w:val="20"/>
              </w:rPr>
            </w:pPr>
            <w:r w:rsidRPr="002E0A7C">
              <w:rPr>
                <w:color w:val="000000"/>
                <w:sz w:val="20"/>
                <w:szCs w:val="20"/>
              </w:rPr>
              <w:t>59 (13.4%)</w:t>
            </w:r>
          </w:p>
        </w:tc>
      </w:tr>
      <w:tr w:rsidR="002E0A7C" w:rsidRPr="002E0A7C" w14:paraId="1C4F177F"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E79E761" w14:textId="77777777" w:rsidR="002E0A7C" w:rsidRPr="002E0A7C" w:rsidRDefault="002E0A7C" w:rsidP="002E0A7C">
            <w:pPr>
              <w:rPr>
                <w:sz w:val="20"/>
                <w:szCs w:val="20"/>
              </w:rPr>
            </w:pPr>
            <w:proofErr w:type="spellStart"/>
            <w:r w:rsidRPr="002E0A7C">
              <w:rPr>
                <w:color w:val="000000"/>
                <w:sz w:val="20"/>
                <w:szCs w:val="20"/>
              </w:rPr>
              <w:t>Seizures</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55AE5711" w14:textId="77777777" w:rsidR="002E0A7C" w:rsidRPr="002E0A7C" w:rsidRDefault="002E0A7C" w:rsidP="002E0A7C">
            <w:pPr>
              <w:jc w:val="center"/>
              <w:rPr>
                <w:sz w:val="20"/>
                <w:szCs w:val="20"/>
              </w:rPr>
            </w:pPr>
            <w:r w:rsidRPr="002E0A7C">
              <w:rPr>
                <w:color w:val="000000"/>
                <w:sz w:val="20"/>
                <w:szCs w:val="20"/>
              </w:rPr>
              <w:t>97 (22.0%)</w:t>
            </w:r>
          </w:p>
        </w:tc>
      </w:tr>
      <w:tr w:rsidR="002E0A7C" w:rsidRPr="002E0A7C" w14:paraId="003D5D83"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1452154" w14:textId="77777777" w:rsidR="002E0A7C" w:rsidRPr="002E0A7C" w:rsidRDefault="002E0A7C" w:rsidP="002E0A7C">
            <w:pPr>
              <w:rPr>
                <w:sz w:val="20"/>
                <w:szCs w:val="20"/>
              </w:rPr>
            </w:pPr>
            <w:proofErr w:type="spellStart"/>
            <w:r w:rsidRPr="002E0A7C">
              <w:rPr>
                <w:color w:val="000000"/>
                <w:sz w:val="20"/>
                <w:szCs w:val="20"/>
              </w:rPr>
              <w:t>Jaundice</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41C6436" w14:textId="77777777" w:rsidR="002E0A7C" w:rsidRPr="002E0A7C" w:rsidRDefault="002E0A7C" w:rsidP="002E0A7C">
            <w:pPr>
              <w:jc w:val="center"/>
              <w:rPr>
                <w:sz w:val="20"/>
                <w:szCs w:val="20"/>
              </w:rPr>
            </w:pPr>
            <w:r w:rsidRPr="002E0A7C">
              <w:rPr>
                <w:color w:val="000000"/>
                <w:sz w:val="20"/>
                <w:szCs w:val="20"/>
              </w:rPr>
              <w:t>11 (2.5%)</w:t>
            </w:r>
          </w:p>
        </w:tc>
      </w:tr>
      <w:tr w:rsidR="002E0A7C" w:rsidRPr="002E0A7C" w14:paraId="13C29E5D"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4D3921A9" w14:textId="77777777" w:rsidR="002E0A7C" w:rsidRPr="002E0A7C" w:rsidRDefault="002E0A7C" w:rsidP="002E0A7C">
            <w:pPr>
              <w:rPr>
                <w:sz w:val="20"/>
                <w:szCs w:val="20"/>
              </w:rPr>
            </w:pPr>
            <w:proofErr w:type="spellStart"/>
            <w:r w:rsidRPr="002E0A7C">
              <w:rPr>
                <w:color w:val="000000"/>
                <w:sz w:val="20"/>
                <w:szCs w:val="20"/>
              </w:rPr>
              <w:t>Respiratory</w:t>
            </w:r>
            <w:proofErr w:type="spellEnd"/>
            <w:r w:rsidRPr="002E0A7C">
              <w:rPr>
                <w:color w:val="000000"/>
                <w:sz w:val="20"/>
                <w:szCs w:val="20"/>
              </w:rPr>
              <w:t xml:space="preserve"> </w:t>
            </w:r>
            <w:proofErr w:type="spellStart"/>
            <w:r w:rsidRPr="002E0A7C">
              <w:rPr>
                <w:color w:val="000000"/>
                <w:sz w:val="20"/>
                <w:szCs w:val="20"/>
              </w:rPr>
              <w:t>distress</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23CD3DA5" w14:textId="77777777" w:rsidR="002E0A7C" w:rsidRPr="002E0A7C" w:rsidRDefault="002E0A7C" w:rsidP="002E0A7C">
            <w:pPr>
              <w:jc w:val="center"/>
              <w:rPr>
                <w:sz w:val="20"/>
                <w:szCs w:val="20"/>
              </w:rPr>
            </w:pPr>
            <w:r w:rsidRPr="002E0A7C">
              <w:rPr>
                <w:color w:val="000000"/>
                <w:sz w:val="20"/>
                <w:szCs w:val="20"/>
              </w:rPr>
              <w:t>29 (6.6%)</w:t>
            </w:r>
          </w:p>
        </w:tc>
      </w:tr>
      <w:tr w:rsidR="002E0A7C" w:rsidRPr="002E0A7C" w14:paraId="7CA67E4B" w14:textId="77777777" w:rsidTr="00044376">
        <w:tc>
          <w:tcPr>
            <w:tcW w:w="0" w:type="auto"/>
            <w:gridSpan w:val="2"/>
            <w:tcBorders>
              <w:bottom w:val="single" w:sz="4" w:space="0" w:color="000000"/>
            </w:tcBorders>
            <w:shd w:val="clear" w:color="auto" w:fill="E8E8E8"/>
            <w:tcMar>
              <w:top w:w="50" w:type="dxa"/>
              <w:left w:w="100" w:type="dxa"/>
              <w:bottom w:w="50" w:type="dxa"/>
              <w:right w:w="100" w:type="dxa"/>
            </w:tcMar>
          </w:tcPr>
          <w:p w14:paraId="2C420AD6" w14:textId="77777777" w:rsidR="002E0A7C" w:rsidRPr="002E0A7C" w:rsidRDefault="002E0A7C" w:rsidP="002E0A7C">
            <w:pPr>
              <w:rPr>
                <w:sz w:val="20"/>
                <w:szCs w:val="20"/>
              </w:rPr>
            </w:pPr>
            <w:proofErr w:type="spellStart"/>
            <w:r w:rsidRPr="002E0A7C">
              <w:rPr>
                <w:b/>
                <w:bCs/>
                <w:color w:val="000000"/>
                <w:sz w:val="20"/>
                <w:szCs w:val="20"/>
              </w:rPr>
              <w:t>Laboratory</w:t>
            </w:r>
            <w:proofErr w:type="spellEnd"/>
            <w:r w:rsidRPr="002E0A7C">
              <w:rPr>
                <w:b/>
                <w:bCs/>
                <w:color w:val="000000"/>
                <w:sz w:val="20"/>
                <w:szCs w:val="20"/>
              </w:rPr>
              <w:t xml:space="preserve"> </w:t>
            </w:r>
            <w:proofErr w:type="spellStart"/>
            <w:r w:rsidRPr="002E0A7C">
              <w:rPr>
                <w:b/>
                <w:bCs/>
                <w:color w:val="000000"/>
                <w:sz w:val="20"/>
                <w:szCs w:val="20"/>
              </w:rPr>
              <w:t>findings</w:t>
            </w:r>
            <w:proofErr w:type="spellEnd"/>
          </w:p>
        </w:tc>
      </w:tr>
      <w:tr w:rsidR="002E0A7C" w:rsidRPr="002E0A7C" w14:paraId="710F3DE2"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A47F930" w14:textId="77777777" w:rsidR="002E0A7C" w:rsidRPr="00564354" w:rsidRDefault="002E0A7C" w:rsidP="002E0A7C">
            <w:pPr>
              <w:rPr>
                <w:sz w:val="20"/>
                <w:szCs w:val="20"/>
                <w:lang w:val="en-GB"/>
              </w:rPr>
            </w:pPr>
            <w:r w:rsidRPr="00564354">
              <w:rPr>
                <w:color w:val="000000"/>
                <w:sz w:val="20"/>
                <w:szCs w:val="20"/>
                <w:lang w:val="en-GB"/>
              </w:rPr>
              <w:t>Haemoglobin, g/dL, median [IQR] (n = 429)</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62F5651" w14:textId="01C32EA9" w:rsidR="002E0A7C" w:rsidRPr="002E0A7C" w:rsidRDefault="002E0A7C" w:rsidP="002E0A7C">
            <w:pPr>
              <w:jc w:val="center"/>
              <w:rPr>
                <w:sz w:val="20"/>
                <w:szCs w:val="20"/>
              </w:rPr>
            </w:pPr>
            <w:r w:rsidRPr="002E0A7C">
              <w:rPr>
                <w:color w:val="000000"/>
                <w:sz w:val="20"/>
                <w:szCs w:val="20"/>
              </w:rPr>
              <w:t>8.9 [6.0</w:t>
            </w:r>
            <w:r w:rsidR="00610904">
              <w:rPr>
                <w:color w:val="000000"/>
                <w:sz w:val="20"/>
                <w:szCs w:val="20"/>
              </w:rPr>
              <w:t>-</w:t>
            </w:r>
            <w:r w:rsidRPr="002E0A7C">
              <w:rPr>
                <w:color w:val="000000"/>
                <w:sz w:val="20"/>
                <w:szCs w:val="20"/>
              </w:rPr>
              <w:t>11.0]</w:t>
            </w:r>
          </w:p>
        </w:tc>
      </w:tr>
      <w:tr w:rsidR="002E0A7C" w:rsidRPr="002E0A7C" w14:paraId="6E445AF8"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70C60CD9" w14:textId="77777777" w:rsidR="002E0A7C" w:rsidRPr="00564354" w:rsidRDefault="002E0A7C" w:rsidP="002E0A7C">
            <w:pPr>
              <w:rPr>
                <w:sz w:val="20"/>
                <w:szCs w:val="20"/>
                <w:lang w:val="en-GB"/>
              </w:rPr>
            </w:pPr>
            <w:r w:rsidRPr="00564354">
              <w:rPr>
                <w:color w:val="000000"/>
                <w:sz w:val="20"/>
                <w:szCs w:val="20"/>
                <w:lang w:val="en-GB"/>
              </w:rPr>
              <w:t>Parasitaemia, ×10³/µL, median [IQR] (n = 434)</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78E7C382" w14:textId="6C452F98" w:rsidR="002E0A7C" w:rsidRPr="002E0A7C" w:rsidRDefault="002E0A7C" w:rsidP="002E0A7C">
            <w:pPr>
              <w:jc w:val="center"/>
              <w:rPr>
                <w:sz w:val="20"/>
                <w:szCs w:val="20"/>
              </w:rPr>
            </w:pPr>
            <w:r w:rsidRPr="002E0A7C">
              <w:rPr>
                <w:color w:val="000000"/>
                <w:sz w:val="20"/>
                <w:szCs w:val="20"/>
              </w:rPr>
              <w:t>7.2 [2.6</w:t>
            </w:r>
            <w:r w:rsidR="00610904">
              <w:rPr>
                <w:color w:val="000000"/>
                <w:sz w:val="20"/>
                <w:szCs w:val="20"/>
              </w:rPr>
              <w:t>-</w:t>
            </w:r>
            <w:r w:rsidRPr="002E0A7C">
              <w:rPr>
                <w:color w:val="000000"/>
                <w:sz w:val="20"/>
                <w:szCs w:val="20"/>
              </w:rPr>
              <w:t>18.2]</w:t>
            </w:r>
          </w:p>
        </w:tc>
      </w:tr>
      <w:tr w:rsidR="002E0A7C" w:rsidRPr="002E0A7C" w14:paraId="5CD7C8A0"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F62C8F7" w14:textId="77777777" w:rsidR="002E0A7C" w:rsidRPr="00564354" w:rsidRDefault="002E0A7C" w:rsidP="002E0A7C">
            <w:pPr>
              <w:rPr>
                <w:sz w:val="20"/>
                <w:szCs w:val="20"/>
                <w:lang w:val="en-GB"/>
              </w:rPr>
            </w:pPr>
            <w:r w:rsidRPr="00564354">
              <w:rPr>
                <w:color w:val="000000"/>
                <w:sz w:val="20"/>
                <w:szCs w:val="20"/>
                <w:lang w:val="en-GB"/>
              </w:rPr>
              <w:t>White blood cells, G/L, median [IQR] (n = 430)</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C482BA" w14:textId="6C3863BD" w:rsidR="002E0A7C" w:rsidRPr="002E0A7C" w:rsidRDefault="002E0A7C" w:rsidP="002E0A7C">
            <w:pPr>
              <w:jc w:val="center"/>
              <w:rPr>
                <w:sz w:val="20"/>
                <w:szCs w:val="20"/>
              </w:rPr>
            </w:pPr>
            <w:r w:rsidRPr="002E0A7C">
              <w:rPr>
                <w:color w:val="000000"/>
                <w:sz w:val="20"/>
                <w:szCs w:val="20"/>
              </w:rPr>
              <w:t>9.6 [7.0</w:t>
            </w:r>
            <w:r w:rsidR="00610904">
              <w:rPr>
                <w:color w:val="000000"/>
                <w:sz w:val="20"/>
                <w:szCs w:val="20"/>
              </w:rPr>
              <w:t>-</w:t>
            </w:r>
            <w:r w:rsidRPr="002E0A7C">
              <w:rPr>
                <w:color w:val="000000"/>
                <w:sz w:val="20"/>
                <w:szCs w:val="20"/>
              </w:rPr>
              <w:t>13.2]</w:t>
            </w:r>
          </w:p>
        </w:tc>
      </w:tr>
      <w:tr w:rsidR="002E0A7C" w:rsidRPr="002E0A7C" w14:paraId="0CE320E0"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5D387EA9" w14:textId="77777777" w:rsidR="002E0A7C" w:rsidRPr="00564354" w:rsidRDefault="002E0A7C" w:rsidP="002E0A7C">
            <w:pPr>
              <w:rPr>
                <w:sz w:val="20"/>
                <w:szCs w:val="20"/>
                <w:lang w:val="en-GB"/>
              </w:rPr>
            </w:pPr>
            <w:r w:rsidRPr="00564354">
              <w:rPr>
                <w:color w:val="000000"/>
                <w:sz w:val="20"/>
                <w:szCs w:val="20"/>
                <w:lang w:val="en-GB"/>
              </w:rPr>
              <w:t>Platelets, G/L, median [IQR] (n = 424)</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5B5FFFBF" w14:textId="0D2D497D" w:rsidR="002E0A7C" w:rsidRPr="002E0A7C" w:rsidRDefault="002E0A7C" w:rsidP="002E0A7C">
            <w:pPr>
              <w:jc w:val="center"/>
              <w:rPr>
                <w:sz w:val="20"/>
                <w:szCs w:val="20"/>
              </w:rPr>
            </w:pPr>
            <w:r w:rsidRPr="002E0A7C">
              <w:rPr>
                <w:color w:val="000000"/>
                <w:sz w:val="20"/>
                <w:szCs w:val="20"/>
              </w:rPr>
              <w:t>145 [88</w:t>
            </w:r>
            <w:r w:rsidR="00610904">
              <w:rPr>
                <w:color w:val="000000"/>
                <w:sz w:val="20"/>
                <w:szCs w:val="20"/>
              </w:rPr>
              <w:t>-</w:t>
            </w:r>
            <w:r w:rsidRPr="002E0A7C">
              <w:rPr>
                <w:color w:val="000000"/>
                <w:sz w:val="20"/>
                <w:szCs w:val="20"/>
              </w:rPr>
              <w:t>268]</w:t>
            </w:r>
          </w:p>
        </w:tc>
      </w:tr>
      <w:tr w:rsidR="002E0A7C" w:rsidRPr="002E0A7C" w14:paraId="4CF3854E"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070E6BA" w14:textId="77777777" w:rsidR="002E0A7C" w:rsidRPr="00564354" w:rsidRDefault="002E0A7C" w:rsidP="002E0A7C">
            <w:pPr>
              <w:rPr>
                <w:sz w:val="20"/>
                <w:szCs w:val="20"/>
                <w:lang w:val="en-GB"/>
              </w:rPr>
            </w:pPr>
            <w:r w:rsidRPr="00564354">
              <w:rPr>
                <w:color w:val="000000"/>
                <w:sz w:val="20"/>
                <w:szCs w:val="20"/>
                <w:lang w:val="en-GB"/>
              </w:rPr>
              <w:t>Blood glucose, mmol/L, median [IQR] (n = 193)</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502DA3" w14:textId="5D8F4693" w:rsidR="002E0A7C" w:rsidRPr="002E0A7C" w:rsidRDefault="002E0A7C" w:rsidP="002E0A7C">
            <w:pPr>
              <w:jc w:val="center"/>
              <w:rPr>
                <w:sz w:val="20"/>
                <w:szCs w:val="20"/>
              </w:rPr>
            </w:pPr>
            <w:r w:rsidRPr="002E0A7C">
              <w:rPr>
                <w:color w:val="000000"/>
                <w:sz w:val="20"/>
                <w:szCs w:val="20"/>
              </w:rPr>
              <w:t>6.8 [5.8</w:t>
            </w:r>
            <w:r w:rsidR="00610904">
              <w:rPr>
                <w:color w:val="000000"/>
                <w:sz w:val="20"/>
                <w:szCs w:val="20"/>
              </w:rPr>
              <w:t>-</w:t>
            </w:r>
            <w:r w:rsidRPr="002E0A7C">
              <w:rPr>
                <w:color w:val="000000"/>
                <w:sz w:val="20"/>
                <w:szCs w:val="20"/>
              </w:rPr>
              <w:t>8.3]</w:t>
            </w:r>
          </w:p>
        </w:tc>
      </w:tr>
      <w:tr w:rsidR="002E0A7C" w:rsidRPr="002E0A7C" w14:paraId="3E6D710B"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354DE46D" w14:textId="77777777" w:rsidR="002E0A7C" w:rsidRPr="00564354" w:rsidRDefault="002E0A7C" w:rsidP="002E0A7C">
            <w:pPr>
              <w:rPr>
                <w:sz w:val="20"/>
                <w:szCs w:val="20"/>
                <w:lang w:val="en-GB"/>
              </w:rPr>
            </w:pPr>
            <w:r w:rsidRPr="00564354">
              <w:rPr>
                <w:color w:val="000000"/>
                <w:sz w:val="20"/>
                <w:szCs w:val="20"/>
                <w:lang w:val="en-GB"/>
              </w:rPr>
              <w:t>Creatinine, mg/L, median [IQR] (n = 80)</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840F115" w14:textId="1F19783C" w:rsidR="002E0A7C" w:rsidRPr="002E0A7C" w:rsidRDefault="002E0A7C" w:rsidP="002E0A7C">
            <w:pPr>
              <w:jc w:val="center"/>
              <w:rPr>
                <w:sz w:val="20"/>
                <w:szCs w:val="20"/>
              </w:rPr>
            </w:pPr>
            <w:r w:rsidRPr="002E0A7C">
              <w:rPr>
                <w:color w:val="000000"/>
                <w:sz w:val="20"/>
                <w:szCs w:val="20"/>
              </w:rPr>
              <w:t>6.0 [4.5</w:t>
            </w:r>
            <w:r w:rsidR="00610904">
              <w:rPr>
                <w:color w:val="000000"/>
                <w:sz w:val="20"/>
                <w:szCs w:val="20"/>
              </w:rPr>
              <w:t>-</w:t>
            </w:r>
            <w:r w:rsidRPr="002E0A7C">
              <w:rPr>
                <w:color w:val="000000"/>
                <w:sz w:val="20"/>
                <w:szCs w:val="20"/>
              </w:rPr>
              <w:t>8.0]</w:t>
            </w:r>
          </w:p>
        </w:tc>
      </w:tr>
      <w:tr w:rsidR="002E0A7C" w:rsidRPr="002E0A7C" w14:paraId="37690B1C" w14:textId="77777777" w:rsidTr="00044376">
        <w:tc>
          <w:tcPr>
            <w:tcW w:w="0" w:type="auto"/>
            <w:gridSpan w:val="2"/>
            <w:tcBorders>
              <w:bottom w:val="single" w:sz="4" w:space="0" w:color="000000"/>
            </w:tcBorders>
            <w:shd w:val="clear" w:color="auto" w:fill="E8E8E8"/>
            <w:tcMar>
              <w:top w:w="50" w:type="dxa"/>
              <w:left w:w="100" w:type="dxa"/>
              <w:bottom w:w="50" w:type="dxa"/>
              <w:right w:w="100" w:type="dxa"/>
            </w:tcMar>
          </w:tcPr>
          <w:p w14:paraId="0796989A" w14:textId="77777777" w:rsidR="002E0A7C" w:rsidRPr="002E0A7C" w:rsidRDefault="002E0A7C" w:rsidP="002E0A7C">
            <w:pPr>
              <w:rPr>
                <w:sz w:val="20"/>
                <w:szCs w:val="20"/>
              </w:rPr>
            </w:pPr>
            <w:r w:rsidRPr="002E0A7C">
              <w:rPr>
                <w:b/>
                <w:bCs/>
                <w:color w:val="000000"/>
                <w:sz w:val="20"/>
                <w:szCs w:val="20"/>
              </w:rPr>
              <w:t>WHO malaria classification</w:t>
            </w:r>
          </w:p>
        </w:tc>
      </w:tr>
      <w:tr w:rsidR="002E0A7C" w:rsidRPr="002E0A7C" w14:paraId="0B4B7858"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3DC0FBB" w14:textId="77777777" w:rsidR="002E0A7C" w:rsidRPr="00564354" w:rsidRDefault="002E0A7C" w:rsidP="002E0A7C">
            <w:pPr>
              <w:rPr>
                <w:sz w:val="20"/>
                <w:szCs w:val="20"/>
                <w:lang w:val="en-GB"/>
              </w:rPr>
            </w:pPr>
            <w:r w:rsidRPr="00564354">
              <w:rPr>
                <w:color w:val="000000"/>
                <w:sz w:val="20"/>
                <w:szCs w:val="20"/>
                <w:lang w:val="en-GB"/>
              </w:rPr>
              <w:t>Moderate malaria (no WHO criterion),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C545B9D" w14:textId="77777777" w:rsidR="002E0A7C" w:rsidRPr="002E0A7C" w:rsidRDefault="002E0A7C" w:rsidP="002E0A7C">
            <w:pPr>
              <w:jc w:val="center"/>
              <w:rPr>
                <w:sz w:val="20"/>
                <w:szCs w:val="20"/>
              </w:rPr>
            </w:pPr>
            <w:r w:rsidRPr="002E0A7C">
              <w:rPr>
                <w:color w:val="000000"/>
                <w:sz w:val="20"/>
                <w:szCs w:val="20"/>
              </w:rPr>
              <w:t>262 (59.4%)</w:t>
            </w:r>
          </w:p>
        </w:tc>
      </w:tr>
      <w:tr w:rsidR="002E0A7C" w:rsidRPr="002E0A7C" w14:paraId="285CD1E4"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954876E" w14:textId="77777777" w:rsidR="002E0A7C" w:rsidRPr="00564354" w:rsidRDefault="002E0A7C" w:rsidP="002E0A7C">
            <w:pPr>
              <w:rPr>
                <w:sz w:val="20"/>
                <w:szCs w:val="20"/>
                <w:lang w:val="en-GB"/>
              </w:rPr>
            </w:pPr>
            <w:r w:rsidRPr="00564354">
              <w:rPr>
                <w:color w:val="000000"/>
                <w:sz w:val="20"/>
                <w:szCs w:val="20"/>
                <w:lang w:val="en-GB"/>
              </w:rPr>
              <w:t>Severe malaria (≥1 WHO criterion),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ADC8164" w14:textId="77777777" w:rsidR="002E0A7C" w:rsidRPr="002E0A7C" w:rsidRDefault="002E0A7C" w:rsidP="002E0A7C">
            <w:pPr>
              <w:jc w:val="center"/>
              <w:rPr>
                <w:sz w:val="20"/>
                <w:szCs w:val="20"/>
              </w:rPr>
            </w:pPr>
            <w:r w:rsidRPr="002E0A7C">
              <w:rPr>
                <w:color w:val="000000"/>
                <w:sz w:val="20"/>
                <w:szCs w:val="20"/>
              </w:rPr>
              <w:t>161 (36.5%)</w:t>
            </w:r>
          </w:p>
        </w:tc>
      </w:tr>
      <w:tr w:rsidR="002E0A7C" w:rsidRPr="002E0A7C" w14:paraId="72E63076"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BECD559" w14:textId="77777777" w:rsidR="002E0A7C" w:rsidRPr="00564354" w:rsidRDefault="002E0A7C" w:rsidP="002E0A7C">
            <w:pPr>
              <w:rPr>
                <w:sz w:val="20"/>
                <w:szCs w:val="20"/>
                <w:lang w:val="en-GB"/>
              </w:rPr>
            </w:pPr>
            <w:r w:rsidRPr="00564354">
              <w:rPr>
                <w:color w:val="000000"/>
                <w:sz w:val="20"/>
                <w:szCs w:val="20"/>
                <w:lang w:val="en-GB"/>
              </w:rPr>
              <w:t>Reclassified MM (0 WHO criteria),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7C16FAE" w14:textId="77777777" w:rsidR="002E0A7C" w:rsidRPr="002E0A7C" w:rsidRDefault="002E0A7C" w:rsidP="002E0A7C">
            <w:pPr>
              <w:jc w:val="center"/>
              <w:rPr>
                <w:sz w:val="20"/>
                <w:szCs w:val="20"/>
              </w:rPr>
            </w:pPr>
            <w:r w:rsidRPr="002E0A7C">
              <w:rPr>
                <w:color w:val="000000"/>
                <w:sz w:val="20"/>
                <w:szCs w:val="20"/>
              </w:rPr>
              <w:t>18 (4.1%)</w:t>
            </w:r>
          </w:p>
        </w:tc>
      </w:tr>
      <w:tr w:rsidR="002E0A7C" w:rsidRPr="002E0A7C" w14:paraId="7B6366F8" w14:textId="77777777" w:rsidTr="00044376">
        <w:tc>
          <w:tcPr>
            <w:tcW w:w="0" w:type="auto"/>
            <w:gridSpan w:val="2"/>
            <w:tcBorders>
              <w:bottom w:val="single" w:sz="4" w:space="0" w:color="000000"/>
            </w:tcBorders>
            <w:shd w:val="clear" w:color="auto" w:fill="E8E8E8"/>
            <w:tcMar>
              <w:top w:w="50" w:type="dxa"/>
              <w:left w:w="100" w:type="dxa"/>
              <w:bottom w:w="50" w:type="dxa"/>
              <w:right w:w="100" w:type="dxa"/>
            </w:tcMar>
          </w:tcPr>
          <w:p w14:paraId="03DE1F4C" w14:textId="77777777" w:rsidR="002E0A7C" w:rsidRPr="002E0A7C" w:rsidRDefault="002E0A7C" w:rsidP="002E0A7C">
            <w:pPr>
              <w:rPr>
                <w:sz w:val="20"/>
                <w:szCs w:val="20"/>
              </w:rPr>
            </w:pPr>
            <w:r w:rsidRPr="002E0A7C">
              <w:rPr>
                <w:b/>
                <w:bCs/>
                <w:color w:val="000000"/>
                <w:sz w:val="20"/>
                <w:szCs w:val="20"/>
              </w:rPr>
              <w:lastRenderedPageBreak/>
              <w:t xml:space="preserve">Co-infections and </w:t>
            </w:r>
            <w:proofErr w:type="spellStart"/>
            <w:r w:rsidRPr="002E0A7C">
              <w:rPr>
                <w:b/>
                <w:bCs/>
                <w:color w:val="000000"/>
                <w:sz w:val="20"/>
                <w:szCs w:val="20"/>
              </w:rPr>
              <w:t>comorbidities</w:t>
            </w:r>
            <w:proofErr w:type="spellEnd"/>
          </w:p>
        </w:tc>
      </w:tr>
      <w:tr w:rsidR="002E0A7C" w:rsidRPr="002E0A7C" w14:paraId="5CECD0A5"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F72396C" w14:textId="77777777" w:rsidR="002E0A7C" w:rsidRPr="00564354" w:rsidRDefault="002E0A7C" w:rsidP="002E0A7C">
            <w:pPr>
              <w:rPr>
                <w:sz w:val="20"/>
                <w:szCs w:val="20"/>
                <w:lang w:val="en-GB"/>
              </w:rPr>
            </w:pPr>
            <w:r w:rsidRPr="00564354">
              <w:rPr>
                <w:color w:val="000000"/>
                <w:sz w:val="20"/>
                <w:szCs w:val="20"/>
                <w:lang w:val="en-GB"/>
              </w:rPr>
              <w:t>Any co-infection or comorbidity,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C11AB7E" w14:textId="77777777" w:rsidR="002E0A7C" w:rsidRPr="002E0A7C" w:rsidRDefault="002E0A7C" w:rsidP="002E0A7C">
            <w:pPr>
              <w:jc w:val="center"/>
              <w:rPr>
                <w:sz w:val="20"/>
                <w:szCs w:val="20"/>
              </w:rPr>
            </w:pPr>
            <w:r w:rsidRPr="002E0A7C">
              <w:rPr>
                <w:color w:val="000000"/>
                <w:sz w:val="20"/>
                <w:szCs w:val="20"/>
              </w:rPr>
              <w:t>74 (16.8%)</w:t>
            </w:r>
          </w:p>
        </w:tc>
      </w:tr>
      <w:tr w:rsidR="002E0A7C" w:rsidRPr="002E0A7C" w14:paraId="06597DB4"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40D3BE9" w14:textId="33459EB7" w:rsidR="002E0A7C" w:rsidRPr="002E0A7C" w:rsidRDefault="002E0A7C" w:rsidP="002E0A7C">
            <w:pPr>
              <w:rPr>
                <w:sz w:val="20"/>
                <w:szCs w:val="20"/>
              </w:rPr>
            </w:pPr>
            <w:r w:rsidRPr="002E0A7C">
              <w:rPr>
                <w:color w:val="000000"/>
                <w:sz w:val="20"/>
                <w:szCs w:val="20"/>
              </w:rPr>
              <w:t xml:space="preserve">  </w:t>
            </w:r>
            <w:r w:rsidR="00564354">
              <w:rPr>
                <w:color w:val="000000"/>
                <w:sz w:val="20"/>
                <w:szCs w:val="20"/>
              </w:rPr>
              <w:t>-</w:t>
            </w:r>
            <w:r w:rsidRPr="002E0A7C">
              <w:rPr>
                <w:color w:val="000000"/>
                <w:sz w:val="20"/>
                <w:szCs w:val="20"/>
              </w:rPr>
              <w:t xml:space="preserve"> </w:t>
            </w:r>
            <w:proofErr w:type="spellStart"/>
            <w:r w:rsidRPr="002E0A7C">
              <w:rPr>
                <w:color w:val="000000"/>
                <w:sz w:val="20"/>
                <w:szCs w:val="20"/>
              </w:rPr>
              <w:t>Rhinopharyngitis</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AC017B0" w14:textId="77777777" w:rsidR="002E0A7C" w:rsidRPr="002E0A7C" w:rsidRDefault="002E0A7C" w:rsidP="002E0A7C">
            <w:pPr>
              <w:jc w:val="center"/>
              <w:rPr>
                <w:sz w:val="20"/>
                <w:szCs w:val="20"/>
              </w:rPr>
            </w:pPr>
            <w:r w:rsidRPr="002E0A7C">
              <w:rPr>
                <w:color w:val="000000"/>
                <w:sz w:val="20"/>
                <w:szCs w:val="20"/>
              </w:rPr>
              <w:t>18 (4.1%)</w:t>
            </w:r>
          </w:p>
        </w:tc>
      </w:tr>
      <w:tr w:rsidR="002E0A7C" w:rsidRPr="002E0A7C" w14:paraId="6E5D1D08"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380FCC" w14:textId="7C39D9C9" w:rsidR="002E0A7C" w:rsidRPr="002E0A7C" w:rsidRDefault="002E0A7C" w:rsidP="002E0A7C">
            <w:pPr>
              <w:rPr>
                <w:sz w:val="20"/>
                <w:szCs w:val="20"/>
              </w:rPr>
            </w:pPr>
            <w:r w:rsidRPr="002E0A7C">
              <w:rPr>
                <w:color w:val="000000"/>
                <w:sz w:val="20"/>
                <w:szCs w:val="20"/>
              </w:rPr>
              <w:t xml:space="preserve">  </w:t>
            </w:r>
            <w:r w:rsidR="00564354">
              <w:rPr>
                <w:color w:val="000000"/>
                <w:sz w:val="20"/>
                <w:szCs w:val="20"/>
              </w:rPr>
              <w:t>-</w:t>
            </w:r>
            <w:r w:rsidRPr="002E0A7C">
              <w:rPr>
                <w:color w:val="000000"/>
                <w:sz w:val="20"/>
                <w:szCs w:val="20"/>
              </w:rPr>
              <w:t xml:space="preserve"> </w:t>
            </w:r>
            <w:proofErr w:type="spellStart"/>
            <w:r w:rsidRPr="002E0A7C">
              <w:rPr>
                <w:color w:val="000000"/>
                <w:sz w:val="20"/>
                <w:szCs w:val="20"/>
              </w:rPr>
              <w:t>Bronchopneumonia</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BC2E1CC" w14:textId="77777777" w:rsidR="002E0A7C" w:rsidRPr="002E0A7C" w:rsidRDefault="002E0A7C" w:rsidP="002E0A7C">
            <w:pPr>
              <w:jc w:val="center"/>
              <w:rPr>
                <w:sz w:val="20"/>
                <w:szCs w:val="20"/>
              </w:rPr>
            </w:pPr>
            <w:r w:rsidRPr="002E0A7C">
              <w:rPr>
                <w:color w:val="000000"/>
                <w:sz w:val="20"/>
                <w:szCs w:val="20"/>
              </w:rPr>
              <w:t>16 (3.6%)</w:t>
            </w:r>
          </w:p>
        </w:tc>
      </w:tr>
      <w:tr w:rsidR="002E0A7C" w:rsidRPr="002E0A7C" w14:paraId="5DE2EFFA"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52FB884" w14:textId="058705A1" w:rsidR="002E0A7C" w:rsidRPr="002E0A7C" w:rsidRDefault="002E0A7C" w:rsidP="002E0A7C">
            <w:pPr>
              <w:rPr>
                <w:sz w:val="20"/>
                <w:szCs w:val="20"/>
              </w:rPr>
            </w:pPr>
            <w:r w:rsidRPr="002E0A7C">
              <w:rPr>
                <w:color w:val="000000"/>
                <w:sz w:val="20"/>
                <w:szCs w:val="20"/>
              </w:rPr>
              <w:t xml:space="preserve">  </w:t>
            </w:r>
            <w:r w:rsidR="00564354">
              <w:rPr>
                <w:color w:val="000000"/>
                <w:sz w:val="20"/>
                <w:szCs w:val="20"/>
              </w:rPr>
              <w:t>-</w:t>
            </w:r>
            <w:r w:rsidRPr="002E0A7C">
              <w:rPr>
                <w:color w:val="000000"/>
                <w:sz w:val="20"/>
                <w:szCs w:val="20"/>
              </w:rPr>
              <w:t xml:space="preserve"> </w:t>
            </w:r>
            <w:proofErr w:type="spellStart"/>
            <w:r w:rsidRPr="002E0A7C">
              <w:rPr>
                <w:color w:val="000000"/>
                <w:sz w:val="20"/>
                <w:szCs w:val="20"/>
              </w:rPr>
              <w:t>Meningitis</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12C65621" w14:textId="77777777" w:rsidR="002E0A7C" w:rsidRPr="002E0A7C" w:rsidRDefault="002E0A7C" w:rsidP="002E0A7C">
            <w:pPr>
              <w:jc w:val="center"/>
              <w:rPr>
                <w:sz w:val="20"/>
                <w:szCs w:val="20"/>
              </w:rPr>
            </w:pPr>
            <w:r w:rsidRPr="002E0A7C">
              <w:rPr>
                <w:color w:val="000000"/>
                <w:sz w:val="20"/>
                <w:szCs w:val="20"/>
              </w:rPr>
              <w:t>15 (3.4%)</w:t>
            </w:r>
          </w:p>
        </w:tc>
      </w:tr>
      <w:tr w:rsidR="002E0A7C" w:rsidRPr="002E0A7C" w14:paraId="232DF6CA"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61D284E" w14:textId="32476A7F" w:rsidR="002E0A7C" w:rsidRPr="002E0A7C" w:rsidRDefault="002E0A7C" w:rsidP="002E0A7C">
            <w:pPr>
              <w:rPr>
                <w:sz w:val="20"/>
                <w:szCs w:val="20"/>
              </w:rPr>
            </w:pPr>
            <w:r w:rsidRPr="002E0A7C">
              <w:rPr>
                <w:color w:val="000000"/>
                <w:sz w:val="20"/>
                <w:szCs w:val="20"/>
              </w:rPr>
              <w:t xml:space="preserve">  </w:t>
            </w:r>
            <w:r w:rsidR="00564354">
              <w:rPr>
                <w:color w:val="000000"/>
                <w:sz w:val="20"/>
                <w:szCs w:val="20"/>
              </w:rPr>
              <w:t>-</w:t>
            </w:r>
            <w:r w:rsidRPr="002E0A7C">
              <w:rPr>
                <w:color w:val="000000"/>
                <w:sz w:val="20"/>
                <w:szCs w:val="20"/>
              </w:rPr>
              <w:t xml:space="preserve"> Sepsis,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7A0140D" w14:textId="77777777" w:rsidR="002E0A7C" w:rsidRPr="002E0A7C" w:rsidRDefault="002E0A7C" w:rsidP="002E0A7C">
            <w:pPr>
              <w:jc w:val="center"/>
              <w:rPr>
                <w:sz w:val="20"/>
                <w:szCs w:val="20"/>
              </w:rPr>
            </w:pPr>
            <w:r w:rsidRPr="002E0A7C">
              <w:rPr>
                <w:color w:val="000000"/>
                <w:sz w:val="20"/>
                <w:szCs w:val="20"/>
              </w:rPr>
              <w:t>7 (1.6%)</w:t>
            </w:r>
          </w:p>
        </w:tc>
      </w:tr>
      <w:tr w:rsidR="002E0A7C" w:rsidRPr="002E0A7C" w14:paraId="7B2848A8"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35616279" w14:textId="76904CE2" w:rsidR="002E0A7C" w:rsidRPr="002E0A7C" w:rsidRDefault="002E0A7C" w:rsidP="002E0A7C">
            <w:pPr>
              <w:rPr>
                <w:sz w:val="20"/>
                <w:szCs w:val="20"/>
              </w:rPr>
            </w:pPr>
            <w:r w:rsidRPr="002E0A7C">
              <w:rPr>
                <w:color w:val="000000"/>
                <w:sz w:val="20"/>
                <w:szCs w:val="20"/>
              </w:rPr>
              <w:t xml:space="preserve">  </w:t>
            </w:r>
            <w:r w:rsidR="00564354">
              <w:rPr>
                <w:color w:val="000000"/>
                <w:sz w:val="20"/>
                <w:szCs w:val="20"/>
              </w:rPr>
              <w:t>-</w:t>
            </w:r>
            <w:r w:rsidRPr="002E0A7C">
              <w:rPr>
                <w:color w:val="000000"/>
                <w:sz w:val="20"/>
                <w:szCs w:val="20"/>
              </w:rPr>
              <w:t xml:space="preserve"> HIV infection,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740B938C" w14:textId="77777777" w:rsidR="002E0A7C" w:rsidRPr="002E0A7C" w:rsidRDefault="002E0A7C" w:rsidP="002E0A7C">
            <w:pPr>
              <w:jc w:val="center"/>
              <w:rPr>
                <w:sz w:val="20"/>
                <w:szCs w:val="20"/>
              </w:rPr>
            </w:pPr>
            <w:r w:rsidRPr="002E0A7C">
              <w:rPr>
                <w:color w:val="000000"/>
                <w:sz w:val="20"/>
                <w:szCs w:val="20"/>
              </w:rPr>
              <w:t>6 (1.4%)</w:t>
            </w:r>
          </w:p>
        </w:tc>
      </w:tr>
      <w:tr w:rsidR="002E0A7C" w:rsidRPr="002E0A7C" w14:paraId="7FB8510B"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3785D53" w14:textId="41BA6842" w:rsidR="002E0A7C" w:rsidRPr="002E0A7C" w:rsidRDefault="002E0A7C" w:rsidP="002E0A7C">
            <w:pPr>
              <w:rPr>
                <w:sz w:val="20"/>
                <w:szCs w:val="20"/>
              </w:rPr>
            </w:pPr>
            <w:r w:rsidRPr="002E0A7C">
              <w:rPr>
                <w:color w:val="000000"/>
                <w:sz w:val="20"/>
                <w:szCs w:val="20"/>
              </w:rPr>
              <w:t xml:space="preserve">  </w:t>
            </w:r>
            <w:r w:rsidR="00564354">
              <w:rPr>
                <w:color w:val="000000"/>
                <w:sz w:val="20"/>
                <w:szCs w:val="20"/>
              </w:rPr>
              <w:t>-</w:t>
            </w:r>
            <w:r w:rsidRPr="002E0A7C">
              <w:rPr>
                <w:color w:val="000000"/>
                <w:sz w:val="20"/>
                <w:szCs w:val="20"/>
              </w:rPr>
              <w:t xml:space="preserve"> </w:t>
            </w:r>
            <w:proofErr w:type="spellStart"/>
            <w:r w:rsidRPr="002E0A7C">
              <w:rPr>
                <w:color w:val="000000"/>
                <w:sz w:val="20"/>
                <w:szCs w:val="20"/>
              </w:rPr>
              <w:t>Sickle</w:t>
            </w:r>
            <w:proofErr w:type="spellEnd"/>
            <w:r w:rsidRPr="002E0A7C">
              <w:rPr>
                <w:color w:val="000000"/>
                <w:sz w:val="20"/>
                <w:szCs w:val="20"/>
              </w:rPr>
              <w:t xml:space="preserve"> </w:t>
            </w:r>
            <w:proofErr w:type="spellStart"/>
            <w:r w:rsidRPr="002E0A7C">
              <w:rPr>
                <w:color w:val="000000"/>
                <w:sz w:val="20"/>
                <w:szCs w:val="20"/>
              </w:rPr>
              <w:t>cell</w:t>
            </w:r>
            <w:proofErr w:type="spellEnd"/>
            <w:r w:rsidRPr="002E0A7C">
              <w:rPr>
                <w:color w:val="000000"/>
                <w:sz w:val="20"/>
                <w:szCs w:val="20"/>
              </w:rPr>
              <w:t xml:space="preserve"> </w:t>
            </w:r>
            <w:proofErr w:type="spellStart"/>
            <w:r w:rsidRPr="002E0A7C">
              <w:rPr>
                <w:color w:val="000000"/>
                <w:sz w:val="20"/>
                <w:szCs w:val="20"/>
              </w:rPr>
              <w:t>disease</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BA12293" w14:textId="77777777" w:rsidR="002E0A7C" w:rsidRPr="002E0A7C" w:rsidRDefault="002E0A7C" w:rsidP="002E0A7C">
            <w:pPr>
              <w:jc w:val="center"/>
              <w:rPr>
                <w:sz w:val="20"/>
                <w:szCs w:val="20"/>
              </w:rPr>
            </w:pPr>
            <w:r w:rsidRPr="002E0A7C">
              <w:rPr>
                <w:color w:val="000000"/>
                <w:sz w:val="20"/>
                <w:szCs w:val="20"/>
              </w:rPr>
              <w:t>5 (1.1%)</w:t>
            </w:r>
          </w:p>
        </w:tc>
      </w:tr>
      <w:tr w:rsidR="002E0A7C" w:rsidRPr="002E0A7C" w14:paraId="3EEADEB0"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5D0A058F" w14:textId="24361962" w:rsidR="002E0A7C" w:rsidRPr="002E0A7C" w:rsidRDefault="002E0A7C" w:rsidP="002E0A7C">
            <w:pPr>
              <w:rPr>
                <w:sz w:val="20"/>
                <w:szCs w:val="20"/>
              </w:rPr>
            </w:pPr>
            <w:r w:rsidRPr="002E0A7C">
              <w:rPr>
                <w:color w:val="000000"/>
                <w:sz w:val="20"/>
                <w:szCs w:val="20"/>
              </w:rPr>
              <w:t xml:space="preserve">  </w:t>
            </w:r>
            <w:r w:rsidR="00564354">
              <w:rPr>
                <w:color w:val="000000"/>
                <w:sz w:val="20"/>
                <w:szCs w:val="20"/>
              </w:rPr>
              <w:t>-</w:t>
            </w:r>
            <w:r w:rsidRPr="002E0A7C">
              <w:rPr>
                <w:color w:val="000000"/>
                <w:sz w:val="20"/>
                <w:szCs w:val="20"/>
              </w:rPr>
              <w:t xml:space="preserve"> </w:t>
            </w:r>
            <w:proofErr w:type="spellStart"/>
            <w:r w:rsidRPr="002E0A7C">
              <w:rPr>
                <w:color w:val="000000"/>
                <w:sz w:val="20"/>
                <w:szCs w:val="20"/>
              </w:rPr>
              <w:t>Epilepsy</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48434CF" w14:textId="77777777" w:rsidR="002E0A7C" w:rsidRPr="002E0A7C" w:rsidRDefault="002E0A7C" w:rsidP="002E0A7C">
            <w:pPr>
              <w:jc w:val="center"/>
              <w:rPr>
                <w:sz w:val="20"/>
                <w:szCs w:val="20"/>
              </w:rPr>
            </w:pPr>
            <w:r w:rsidRPr="002E0A7C">
              <w:rPr>
                <w:color w:val="000000"/>
                <w:sz w:val="20"/>
                <w:szCs w:val="20"/>
              </w:rPr>
              <w:t>5 (1.1%)</w:t>
            </w:r>
          </w:p>
        </w:tc>
      </w:tr>
      <w:tr w:rsidR="002E0A7C" w:rsidRPr="002E0A7C" w14:paraId="7360759D"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36DD895" w14:textId="102C892F" w:rsidR="002E0A7C" w:rsidRPr="002E0A7C" w:rsidRDefault="002E0A7C" w:rsidP="002E0A7C">
            <w:pPr>
              <w:rPr>
                <w:sz w:val="20"/>
                <w:szCs w:val="20"/>
              </w:rPr>
            </w:pPr>
            <w:r w:rsidRPr="002E0A7C">
              <w:rPr>
                <w:color w:val="000000"/>
                <w:sz w:val="20"/>
                <w:szCs w:val="20"/>
              </w:rPr>
              <w:t xml:space="preserve">  </w:t>
            </w:r>
            <w:r w:rsidR="00564354">
              <w:rPr>
                <w:color w:val="000000"/>
                <w:sz w:val="20"/>
                <w:szCs w:val="20"/>
              </w:rPr>
              <w:t>-</w:t>
            </w:r>
            <w:r w:rsidRPr="002E0A7C">
              <w:rPr>
                <w:color w:val="000000"/>
                <w:sz w:val="20"/>
                <w:szCs w:val="20"/>
              </w:rPr>
              <w:t xml:space="preserve"> Other,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81AB362" w14:textId="77777777" w:rsidR="002E0A7C" w:rsidRPr="002E0A7C" w:rsidRDefault="002E0A7C" w:rsidP="002E0A7C">
            <w:pPr>
              <w:jc w:val="center"/>
              <w:rPr>
                <w:sz w:val="20"/>
                <w:szCs w:val="20"/>
              </w:rPr>
            </w:pPr>
            <w:r w:rsidRPr="002E0A7C">
              <w:rPr>
                <w:color w:val="000000"/>
                <w:sz w:val="20"/>
                <w:szCs w:val="20"/>
              </w:rPr>
              <w:t>13 (2.9%)</w:t>
            </w:r>
          </w:p>
        </w:tc>
      </w:tr>
      <w:tr w:rsidR="002E0A7C" w:rsidRPr="002E0A7C" w14:paraId="7A204DBC" w14:textId="77777777" w:rsidTr="00044376">
        <w:tc>
          <w:tcPr>
            <w:tcW w:w="0" w:type="auto"/>
            <w:gridSpan w:val="2"/>
            <w:tcBorders>
              <w:bottom w:val="single" w:sz="4" w:space="0" w:color="000000"/>
            </w:tcBorders>
            <w:shd w:val="clear" w:color="auto" w:fill="E8E8E8"/>
            <w:tcMar>
              <w:top w:w="50" w:type="dxa"/>
              <w:left w:w="100" w:type="dxa"/>
              <w:bottom w:w="50" w:type="dxa"/>
              <w:right w:w="100" w:type="dxa"/>
            </w:tcMar>
          </w:tcPr>
          <w:p w14:paraId="568CFF05" w14:textId="77777777" w:rsidR="002E0A7C" w:rsidRPr="002E0A7C" w:rsidRDefault="002E0A7C" w:rsidP="002E0A7C">
            <w:pPr>
              <w:rPr>
                <w:sz w:val="20"/>
                <w:szCs w:val="20"/>
              </w:rPr>
            </w:pPr>
            <w:proofErr w:type="spellStart"/>
            <w:r w:rsidRPr="002E0A7C">
              <w:rPr>
                <w:b/>
                <w:bCs/>
                <w:color w:val="000000"/>
                <w:sz w:val="20"/>
                <w:szCs w:val="20"/>
              </w:rPr>
              <w:t>Outcomes</w:t>
            </w:r>
            <w:proofErr w:type="spellEnd"/>
          </w:p>
        </w:tc>
      </w:tr>
      <w:tr w:rsidR="002E0A7C" w:rsidRPr="002E0A7C" w14:paraId="36A6D8DB"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532D38" w14:textId="77777777" w:rsidR="002E0A7C" w:rsidRPr="002E0A7C" w:rsidRDefault="002E0A7C" w:rsidP="002E0A7C">
            <w:pPr>
              <w:rPr>
                <w:sz w:val="20"/>
                <w:szCs w:val="20"/>
              </w:rPr>
            </w:pPr>
            <w:r w:rsidRPr="002E0A7C">
              <w:rPr>
                <w:color w:val="000000"/>
                <w:sz w:val="20"/>
                <w:szCs w:val="20"/>
              </w:rPr>
              <w:t>In-</w:t>
            </w:r>
            <w:proofErr w:type="spellStart"/>
            <w:r w:rsidRPr="002E0A7C">
              <w:rPr>
                <w:color w:val="000000"/>
                <w:sz w:val="20"/>
                <w:szCs w:val="20"/>
              </w:rPr>
              <w:t>hospital</w:t>
            </w:r>
            <w:proofErr w:type="spellEnd"/>
            <w:r w:rsidRPr="002E0A7C">
              <w:rPr>
                <w:color w:val="000000"/>
                <w:sz w:val="20"/>
                <w:szCs w:val="20"/>
              </w:rPr>
              <w:t xml:space="preserve"> </w:t>
            </w:r>
            <w:proofErr w:type="spellStart"/>
            <w:r w:rsidRPr="002E0A7C">
              <w:rPr>
                <w:color w:val="000000"/>
                <w:sz w:val="20"/>
                <w:szCs w:val="20"/>
              </w:rPr>
              <w:t>death</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5FA8400" w14:textId="77777777" w:rsidR="002E0A7C" w:rsidRPr="002E0A7C" w:rsidRDefault="002E0A7C" w:rsidP="002E0A7C">
            <w:pPr>
              <w:jc w:val="center"/>
              <w:rPr>
                <w:sz w:val="20"/>
                <w:szCs w:val="20"/>
              </w:rPr>
            </w:pPr>
            <w:r w:rsidRPr="002E0A7C">
              <w:rPr>
                <w:color w:val="000000"/>
                <w:sz w:val="20"/>
                <w:szCs w:val="20"/>
              </w:rPr>
              <w:t>31 (7.0%)</w:t>
            </w:r>
          </w:p>
        </w:tc>
      </w:tr>
      <w:tr w:rsidR="002E0A7C" w:rsidRPr="002E0A7C" w14:paraId="5946469B"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39DA0FC4" w14:textId="438D7ECF" w:rsidR="002E0A7C" w:rsidRPr="002E0A7C" w:rsidRDefault="002E0A7C" w:rsidP="002E0A7C">
            <w:pPr>
              <w:rPr>
                <w:sz w:val="20"/>
                <w:szCs w:val="20"/>
              </w:rPr>
            </w:pPr>
            <w:proofErr w:type="spellStart"/>
            <w:r w:rsidRPr="002E0A7C">
              <w:rPr>
                <w:color w:val="000000"/>
                <w:sz w:val="20"/>
                <w:szCs w:val="20"/>
              </w:rPr>
              <w:t>Unfavourable</w:t>
            </w:r>
            <w:proofErr w:type="spellEnd"/>
            <w:r w:rsidRPr="002E0A7C">
              <w:rPr>
                <w:color w:val="000000"/>
                <w:sz w:val="20"/>
                <w:szCs w:val="20"/>
              </w:rPr>
              <w:t xml:space="preserve"> </w:t>
            </w:r>
            <w:proofErr w:type="spellStart"/>
            <w:r w:rsidRPr="002E0A7C">
              <w:rPr>
                <w:color w:val="000000"/>
                <w:sz w:val="20"/>
                <w:szCs w:val="20"/>
              </w:rPr>
              <w:t>outcome</w:t>
            </w:r>
            <w:proofErr w:type="spellEnd"/>
            <w:r w:rsidRPr="002E0A7C">
              <w:rPr>
                <w:color w:val="000000"/>
                <w:sz w:val="20"/>
                <w:szCs w:val="20"/>
              </w:rPr>
              <w:t xml:space="preserve"> </w:t>
            </w:r>
            <w:r w:rsidR="005C6A07">
              <w:rPr>
                <w:color w:val="000000"/>
                <w:sz w:val="20"/>
                <w:szCs w:val="20"/>
              </w:rPr>
              <w:t>**</w:t>
            </w:r>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7D9BB39B" w14:textId="77777777" w:rsidR="002E0A7C" w:rsidRPr="002E0A7C" w:rsidRDefault="002E0A7C" w:rsidP="002E0A7C">
            <w:pPr>
              <w:jc w:val="center"/>
              <w:rPr>
                <w:sz w:val="20"/>
                <w:szCs w:val="20"/>
              </w:rPr>
            </w:pPr>
            <w:r w:rsidRPr="002E0A7C">
              <w:rPr>
                <w:color w:val="000000"/>
                <w:sz w:val="20"/>
                <w:szCs w:val="20"/>
              </w:rPr>
              <w:t>41 (9.3%)</w:t>
            </w:r>
          </w:p>
        </w:tc>
      </w:tr>
      <w:tr w:rsidR="002E0A7C" w:rsidRPr="002E0A7C" w14:paraId="693F92FC"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80F878A" w14:textId="77777777" w:rsidR="002E0A7C" w:rsidRPr="00564354" w:rsidRDefault="002E0A7C" w:rsidP="002E0A7C">
            <w:pPr>
              <w:rPr>
                <w:sz w:val="20"/>
                <w:szCs w:val="20"/>
                <w:lang w:val="en-GB"/>
              </w:rPr>
            </w:pPr>
            <w:r w:rsidRPr="00564354">
              <w:rPr>
                <w:color w:val="000000"/>
                <w:sz w:val="20"/>
                <w:szCs w:val="20"/>
                <w:lang w:val="en-GB"/>
              </w:rPr>
              <w:t>Length of stay, median days [IQR]</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CFB42B" w14:textId="6CC15DFC" w:rsidR="002E0A7C" w:rsidRPr="002E0A7C" w:rsidRDefault="002E0A7C" w:rsidP="002E0A7C">
            <w:pPr>
              <w:jc w:val="center"/>
              <w:rPr>
                <w:sz w:val="20"/>
                <w:szCs w:val="20"/>
              </w:rPr>
            </w:pPr>
            <w:r w:rsidRPr="002E0A7C">
              <w:rPr>
                <w:color w:val="000000"/>
                <w:sz w:val="20"/>
                <w:szCs w:val="20"/>
              </w:rPr>
              <w:t>5 [3</w:t>
            </w:r>
            <w:r w:rsidR="00610904">
              <w:rPr>
                <w:color w:val="000000"/>
                <w:sz w:val="20"/>
                <w:szCs w:val="20"/>
              </w:rPr>
              <w:t>-</w:t>
            </w:r>
            <w:r w:rsidRPr="002E0A7C">
              <w:rPr>
                <w:color w:val="000000"/>
                <w:sz w:val="20"/>
                <w:szCs w:val="20"/>
              </w:rPr>
              <w:t>6]</w:t>
            </w:r>
          </w:p>
        </w:tc>
      </w:tr>
      <w:tr w:rsidR="002E0A7C" w:rsidRPr="002E0A7C" w14:paraId="667ACBDA" w14:textId="77777777" w:rsidTr="00044376">
        <w:tc>
          <w:tcPr>
            <w:tcW w:w="36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46F6C4AF" w14:textId="77777777" w:rsidR="002E0A7C" w:rsidRPr="002E0A7C" w:rsidRDefault="002E0A7C" w:rsidP="002E0A7C">
            <w:pPr>
              <w:rPr>
                <w:sz w:val="20"/>
                <w:szCs w:val="20"/>
              </w:rPr>
            </w:pPr>
            <w:r w:rsidRPr="002E0A7C">
              <w:rPr>
                <w:color w:val="000000"/>
                <w:sz w:val="20"/>
                <w:szCs w:val="20"/>
              </w:rPr>
              <w:t xml:space="preserve">Blood transfusion </w:t>
            </w:r>
            <w:proofErr w:type="spellStart"/>
            <w:r w:rsidRPr="002E0A7C">
              <w:rPr>
                <w:color w:val="000000"/>
                <w:sz w:val="20"/>
                <w:szCs w:val="20"/>
              </w:rPr>
              <w:t>received</w:t>
            </w:r>
            <w:proofErr w:type="spellEnd"/>
            <w:r w:rsidRPr="002E0A7C">
              <w:rPr>
                <w:color w:val="000000"/>
                <w:sz w:val="20"/>
                <w:szCs w:val="20"/>
              </w:rPr>
              <w:t>, n (%)</w:t>
            </w:r>
          </w:p>
        </w:tc>
        <w:tc>
          <w:tcPr>
            <w:tcW w:w="576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3E44013" w14:textId="77777777" w:rsidR="002E0A7C" w:rsidRPr="002E0A7C" w:rsidRDefault="002E0A7C" w:rsidP="002E0A7C">
            <w:pPr>
              <w:jc w:val="center"/>
              <w:rPr>
                <w:sz w:val="20"/>
                <w:szCs w:val="20"/>
              </w:rPr>
            </w:pPr>
            <w:r w:rsidRPr="002E0A7C">
              <w:rPr>
                <w:color w:val="000000"/>
                <w:sz w:val="20"/>
                <w:szCs w:val="20"/>
              </w:rPr>
              <w:t>167 (37.9%)</w:t>
            </w:r>
          </w:p>
        </w:tc>
      </w:tr>
    </w:tbl>
    <w:p w14:paraId="0FEB57D2" w14:textId="77777777" w:rsidR="002E0A7C" w:rsidRPr="002E0A7C" w:rsidRDefault="002E0A7C" w:rsidP="002E0A7C">
      <w:pPr>
        <w:spacing w:before="80" w:after="80"/>
        <w:rPr>
          <w:sz w:val="20"/>
          <w:szCs w:val="20"/>
        </w:rPr>
      </w:pPr>
    </w:p>
    <w:p w14:paraId="2F1BD014" w14:textId="72486451" w:rsidR="002E0A7C" w:rsidRPr="00564354" w:rsidRDefault="002E0A7C" w:rsidP="002E0A7C">
      <w:pPr>
        <w:spacing w:before="60"/>
        <w:rPr>
          <w:sz w:val="20"/>
          <w:szCs w:val="20"/>
          <w:lang w:val="en-GB"/>
        </w:rPr>
      </w:pPr>
      <w:r w:rsidRPr="00564354">
        <w:rPr>
          <w:i/>
          <w:iCs/>
          <w:color w:val="000000"/>
          <w:sz w:val="18"/>
          <w:szCs w:val="18"/>
          <w:lang w:val="en-GB"/>
        </w:rPr>
        <w:t>† Delay data available for 317 participants.</w:t>
      </w:r>
    </w:p>
    <w:p w14:paraId="590A4D4E" w14:textId="77777777" w:rsidR="002E0A7C" w:rsidRPr="00564354" w:rsidRDefault="002E0A7C" w:rsidP="002E0A7C">
      <w:pPr>
        <w:spacing w:before="60"/>
        <w:rPr>
          <w:sz w:val="20"/>
          <w:szCs w:val="20"/>
          <w:lang w:val="en-GB"/>
        </w:rPr>
      </w:pPr>
      <w:r w:rsidRPr="00564354">
        <w:rPr>
          <w:i/>
          <w:iCs/>
          <w:color w:val="000000"/>
          <w:sz w:val="18"/>
          <w:szCs w:val="18"/>
          <w:lang w:val="en-GB"/>
        </w:rPr>
        <w:t>‡ Unfavourable outcome defined as in-hospital death or length of stay &gt; 7 days.</w:t>
      </w:r>
    </w:p>
    <w:p w14:paraId="4B3D64EF" w14:textId="7B449275" w:rsidR="002E0A7C" w:rsidRPr="009A55CB" w:rsidRDefault="002E0A7C" w:rsidP="002E0A7C">
      <w:pPr>
        <w:spacing w:before="60" w:after="60"/>
        <w:rPr>
          <w:i/>
          <w:iCs/>
          <w:color w:val="000000"/>
          <w:sz w:val="18"/>
          <w:szCs w:val="18"/>
          <w:lang w:val="en-GB"/>
        </w:rPr>
      </w:pPr>
      <w:r w:rsidRPr="009A55CB">
        <w:rPr>
          <w:i/>
          <w:iCs/>
          <w:color w:val="000000"/>
          <w:sz w:val="18"/>
          <w:szCs w:val="18"/>
          <w:lang w:val="en-GB"/>
        </w:rPr>
        <w:t>IQR: interquartile range; ITN: insecticide-treated net; WHO: World Health Organisation</w:t>
      </w:r>
    </w:p>
    <w:p w14:paraId="5CAF26CC" w14:textId="77777777" w:rsidR="002E0A7C" w:rsidRPr="009A55CB" w:rsidRDefault="002E0A7C" w:rsidP="002E0A7C">
      <w:pPr>
        <w:spacing w:before="60" w:after="60"/>
        <w:rPr>
          <w:i/>
          <w:iCs/>
          <w:color w:val="000000"/>
          <w:sz w:val="18"/>
          <w:szCs w:val="18"/>
          <w:lang w:val="en-GB"/>
        </w:rPr>
      </w:pPr>
    </w:p>
    <w:p w14:paraId="5CB93670" w14:textId="77777777" w:rsidR="002E0A7C" w:rsidRPr="009A55CB" w:rsidRDefault="002E0A7C" w:rsidP="002E0A7C">
      <w:pPr>
        <w:spacing w:before="60" w:after="60"/>
        <w:rPr>
          <w:lang w:val="en-GB"/>
        </w:rPr>
      </w:pPr>
    </w:p>
    <w:p w14:paraId="0D55F227" w14:textId="77777777" w:rsidR="002E0A7C" w:rsidRPr="00564354" w:rsidRDefault="002E0A7C" w:rsidP="00D94ECF">
      <w:pPr>
        <w:spacing w:line="480" w:lineRule="auto"/>
        <w:jc w:val="both"/>
        <w:rPr>
          <w:lang w:val="en-GB"/>
        </w:rPr>
      </w:pPr>
      <w:bookmarkStart w:id="0" w:name="_Hlk228943813"/>
      <w:r w:rsidRPr="009A55CB">
        <w:rPr>
          <w:color w:val="000000"/>
          <w:lang w:val="en-GB"/>
        </w:rPr>
        <w:t xml:space="preserve">According to the WHO 2015 classification, </w:t>
      </w:r>
      <w:bookmarkEnd w:id="0"/>
      <w:r w:rsidRPr="009A55CB">
        <w:rPr>
          <w:color w:val="000000"/>
          <w:lang w:val="en-GB"/>
        </w:rPr>
        <w:t xml:space="preserve">161 children (36.5%) met one or more criteria for severe malaria and 262 (59.4%) had no WHO severity criterion and were classified as moderate (non-severe) hospitalised malaria. </w:t>
      </w:r>
      <w:bookmarkStart w:id="1" w:name="_Hlk228943826"/>
      <w:r w:rsidRPr="009A55CB">
        <w:rPr>
          <w:color w:val="000000"/>
          <w:lang w:val="en-GB"/>
        </w:rPr>
        <w:t xml:space="preserve">Eighteen additional children (4.1%) had been initially classified as severe malaria on admission but were reclassified as moderate malaria following systematic review of their records, as no WHO severity criterion could be confirmed; they were included in the moderate malaria group for all analyses. </w:t>
      </w:r>
      <w:r w:rsidRPr="00564354">
        <w:rPr>
          <w:color w:val="000000"/>
          <w:lang w:val="en-GB"/>
        </w:rPr>
        <w:t xml:space="preserve">The clinical and biological comparison between the </w:t>
      </w:r>
      <w:proofErr w:type="spellStart"/>
      <w:r w:rsidRPr="00564354">
        <w:rPr>
          <w:color w:val="000000"/>
          <w:lang w:val="en-GB"/>
        </w:rPr>
        <w:t>monoinfection</w:t>
      </w:r>
      <w:proofErr w:type="spellEnd"/>
      <w:r w:rsidRPr="00564354">
        <w:rPr>
          <w:color w:val="000000"/>
          <w:lang w:val="en-GB"/>
        </w:rPr>
        <w:t xml:space="preserve"> and co-infection groups is detailed in Table 2 and described below.</w:t>
      </w:r>
      <w:bookmarkEnd w:id="1"/>
    </w:p>
    <w:p w14:paraId="2E43EE9C" w14:textId="77777777" w:rsidR="002E0A7C" w:rsidRPr="00564354" w:rsidRDefault="002E0A7C" w:rsidP="002E0A7C">
      <w:pPr>
        <w:spacing w:before="180" w:after="60" w:line="480" w:lineRule="auto"/>
        <w:rPr>
          <w:lang w:val="en-GB"/>
        </w:rPr>
      </w:pPr>
      <w:r w:rsidRPr="00564354">
        <w:rPr>
          <w:b/>
          <w:bCs/>
          <w:i/>
          <w:iCs/>
          <w:lang w:val="en-GB"/>
        </w:rPr>
        <w:t>Prevalence and type of co-infections and comorbidities</w:t>
      </w:r>
    </w:p>
    <w:p w14:paraId="7F25B30E" w14:textId="64A4FA7C" w:rsidR="002E0A7C" w:rsidRPr="00564354" w:rsidRDefault="002E0A7C" w:rsidP="00D94ECF">
      <w:pPr>
        <w:spacing w:line="480" w:lineRule="auto"/>
        <w:jc w:val="both"/>
        <w:rPr>
          <w:lang w:val="en-GB"/>
        </w:rPr>
      </w:pPr>
      <w:r w:rsidRPr="009A55CB">
        <w:rPr>
          <w:color w:val="000000"/>
          <w:lang w:val="en-GB"/>
        </w:rPr>
        <w:t xml:space="preserve">Overall, 74 children (16.8%) presented with at least one documented co-infection or comorbidity, and 367 (83.2%) had malaria </w:t>
      </w:r>
      <w:proofErr w:type="spellStart"/>
      <w:r w:rsidRPr="009A55CB">
        <w:rPr>
          <w:color w:val="000000"/>
          <w:lang w:val="en-GB"/>
        </w:rPr>
        <w:t>monoinfection</w:t>
      </w:r>
      <w:proofErr w:type="spellEnd"/>
      <w:r w:rsidRPr="009A55CB">
        <w:rPr>
          <w:color w:val="000000"/>
          <w:lang w:val="en-GB"/>
        </w:rPr>
        <w:t xml:space="preserve">. Among co-infected children, the most frequent conditions were rhinopharyngitis (18/74, 24.3%), bronchopneumonia (16/74, 21.6%), meningitis (15/74, 20.3%), and sepsis (7/74, 9.5%). Pre-existing chronic conditions </w:t>
      </w:r>
      <w:r w:rsidRPr="009A55CB">
        <w:rPr>
          <w:color w:val="000000"/>
          <w:lang w:val="en-GB"/>
        </w:rPr>
        <w:lastRenderedPageBreak/>
        <w:t>were less common: HIV infection was documented in 8.1%</w:t>
      </w:r>
      <w:r w:rsidR="005D57EB">
        <w:rPr>
          <w:color w:val="000000"/>
          <w:lang w:val="en-GB"/>
        </w:rPr>
        <w:t xml:space="preserve"> (</w:t>
      </w:r>
      <w:r w:rsidR="002B7BEE">
        <w:rPr>
          <w:color w:val="000000"/>
          <w:lang w:val="en-GB"/>
        </w:rPr>
        <w:t>n=6/74</w:t>
      </w:r>
      <w:r w:rsidRPr="009A55CB">
        <w:rPr>
          <w:color w:val="000000"/>
          <w:lang w:val="en-GB"/>
        </w:rPr>
        <w:t>), sickle cell disease in 5 6.8%</w:t>
      </w:r>
      <w:r w:rsidR="005D57EB">
        <w:rPr>
          <w:color w:val="000000"/>
          <w:lang w:val="en-GB"/>
        </w:rPr>
        <w:t xml:space="preserve"> (n=5/74</w:t>
      </w:r>
      <w:r w:rsidRPr="009A55CB">
        <w:rPr>
          <w:color w:val="000000"/>
          <w:lang w:val="en-GB"/>
        </w:rPr>
        <w:t>), and epilepsy in 6.8%</w:t>
      </w:r>
      <w:r w:rsidR="005D57EB">
        <w:rPr>
          <w:color w:val="000000"/>
          <w:lang w:val="en-GB"/>
        </w:rPr>
        <w:t xml:space="preserve"> (n=5/74</w:t>
      </w:r>
      <w:r w:rsidRPr="009A55CB">
        <w:rPr>
          <w:color w:val="000000"/>
          <w:lang w:val="en-GB"/>
        </w:rPr>
        <w:t xml:space="preserve">). </w:t>
      </w:r>
      <w:r w:rsidRPr="00564354">
        <w:rPr>
          <w:color w:val="000000"/>
          <w:lang w:val="en-GB"/>
        </w:rPr>
        <w:t>Other specified conditions accounted for the remaining 13 cases (17.6%). The detailed distribution is presented in Table 1.</w:t>
      </w:r>
    </w:p>
    <w:p w14:paraId="63D3EB03" w14:textId="77777777" w:rsidR="002E0A7C" w:rsidRPr="00564354" w:rsidRDefault="002E0A7C" w:rsidP="002E0A7C">
      <w:pPr>
        <w:spacing w:before="180" w:after="60" w:line="480" w:lineRule="auto"/>
        <w:rPr>
          <w:lang w:val="en-GB"/>
        </w:rPr>
      </w:pPr>
      <w:bookmarkStart w:id="2" w:name="_Hlk228944366"/>
      <w:r w:rsidRPr="00564354">
        <w:rPr>
          <w:b/>
          <w:bCs/>
          <w:i/>
          <w:iCs/>
          <w:lang w:val="en-GB"/>
        </w:rPr>
        <w:t>Clinical outcomes in the full cohort</w:t>
      </w:r>
    </w:p>
    <w:bookmarkEnd w:id="2"/>
    <w:p w14:paraId="135AB932" w14:textId="1F8C86F0" w:rsidR="002E0A7C" w:rsidRPr="00564354" w:rsidRDefault="009B0957" w:rsidP="009B0957">
      <w:pPr>
        <w:spacing w:before="60" w:after="60" w:line="480" w:lineRule="auto"/>
        <w:jc w:val="both"/>
        <w:rPr>
          <w:lang w:val="en-GB"/>
        </w:rPr>
      </w:pPr>
      <w:r w:rsidRPr="009B0957">
        <w:rPr>
          <w:color w:val="000000"/>
          <w:lang w:val="en-GB"/>
        </w:rPr>
        <w:t xml:space="preserve">A </w:t>
      </w:r>
      <w:proofErr w:type="spellStart"/>
      <w:r w:rsidRPr="009B0957">
        <w:rPr>
          <w:color w:val="000000"/>
          <w:lang w:val="en-GB"/>
        </w:rPr>
        <w:t>favorable</w:t>
      </w:r>
      <w:proofErr w:type="spellEnd"/>
      <w:r w:rsidRPr="009B0957">
        <w:rPr>
          <w:color w:val="000000"/>
          <w:lang w:val="en-GB"/>
        </w:rPr>
        <w:t xml:space="preserve"> outcome was observed in 90.7% of the hospitalized children. Among those with malaria-associated </w:t>
      </w:r>
      <w:proofErr w:type="spellStart"/>
      <w:r w:rsidRPr="009B0957">
        <w:rPr>
          <w:color w:val="000000"/>
          <w:lang w:val="en-GB"/>
        </w:rPr>
        <w:t>anemia</w:t>
      </w:r>
      <w:proofErr w:type="spellEnd"/>
      <w:r w:rsidRPr="009B0957">
        <w:rPr>
          <w:color w:val="000000"/>
          <w:lang w:val="en-GB"/>
        </w:rPr>
        <w:t xml:space="preserve">, 62.1% (n=274/441) did not receive a blood transfusion. The length of hospital stay was less than 7 days in the majority of cases. </w:t>
      </w:r>
      <w:r w:rsidRPr="00356CAA">
        <w:rPr>
          <w:color w:val="000000"/>
          <w:lang w:val="en-GB"/>
        </w:rPr>
        <w:t>The case fatality rate for malaria was 7% (n=31/441).</w:t>
      </w:r>
    </w:p>
    <w:p w14:paraId="1A7F751B" w14:textId="77777777" w:rsidR="002E0A7C" w:rsidRPr="00564354" w:rsidRDefault="002E0A7C" w:rsidP="002E0A7C">
      <w:pPr>
        <w:spacing w:before="180" w:after="60" w:line="480" w:lineRule="auto"/>
        <w:rPr>
          <w:lang w:val="en-GB"/>
        </w:rPr>
      </w:pPr>
      <w:bookmarkStart w:id="3" w:name="_Hlk228945602"/>
      <w:r w:rsidRPr="00564354">
        <w:rPr>
          <w:b/>
          <w:bCs/>
          <w:i/>
          <w:iCs/>
          <w:lang w:val="en-GB"/>
        </w:rPr>
        <w:t xml:space="preserve">Comparison of sociodemographic characteristics between </w:t>
      </w:r>
      <w:proofErr w:type="spellStart"/>
      <w:r w:rsidRPr="00564354">
        <w:rPr>
          <w:b/>
          <w:bCs/>
          <w:i/>
          <w:iCs/>
          <w:lang w:val="en-GB"/>
        </w:rPr>
        <w:t>monoinfection</w:t>
      </w:r>
      <w:proofErr w:type="spellEnd"/>
      <w:r w:rsidRPr="00564354">
        <w:rPr>
          <w:b/>
          <w:bCs/>
          <w:i/>
          <w:iCs/>
          <w:lang w:val="en-GB"/>
        </w:rPr>
        <w:t xml:space="preserve"> and co-infection groups</w:t>
      </w:r>
    </w:p>
    <w:bookmarkEnd w:id="3"/>
    <w:p w14:paraId="0DA9A176" w14:textId="77777777" w:rsidR="00B01078" w:rsidRPr="00B01078" w:rsidRDefault="00B01078" w:rsidP="00B01078">
      <w:pPr>
        <w:spacing w:before="60" w:after="60" w:line="480" w:lineRule="auto"/>
        <w:jc w:val="both"/>
        <w:rPr>
          <w:color w:val="000000"/>
          <w:lang w:val="en-GB"/>
        </w:rPr>
      </w:pPr>
      <w:r w:rsidRPr="00B01078">
        <w:rPr>
          <w:color w:val="000000"/>
          <w:lang w:val="en-GB"/>
        </w:rPr>
        <w:t xml:space="preserve">Hospitalized children with malaria presented with a </w:t>
      </w:r>
      <w:proofErr w:type="spellStart"/>
      <w:r w:rsidRPr="00B01078">
        <w:rPr>
          <w:color w:val="000000"/>
          <w:lang w:val="en-GB"/>
        </w:rPr>
        <w:t>monoinfection</w:t>
      </w:r>
      <w:proofErr w:type="spellEnd"/>
      <w:r w:rsidRPr="00B01078">
        <w:rPr>
          <w:color w:val="000000"/>
          <w:lang w:val="en-GB"/>
        </w:rPr>
        <w:t xml:space="preserve"> in 83.2% of cases (n=367/441), while co-infection was observed in 16.8% (n=74/441).</w:t>
      </w:r>
    </w:p>
    <w:p w14:paraId="3FA3DC59" w14:textId="7CE2AD9A" w:rsidR="00B01078" w:rsidRPr="00B01078" w:rsidRDefault="00B01078" w:rsidP="00B01078">
      <w:pPr>
        <w:spacing w:before="60" w:after="60" w:line="480" w:lineRule="auto"/>
        <w:jc w:val="both"/>
        <w:rPr>
          <w:color w:val="000000"/>
          <w:lang w:val="en-GB"/>
        </w:rPr>
      </w:pPr>
      <w:r w:rsidRPr="00B01078">
        <w:rPr>
          <w:color w:val="000000"/>
          <w:lang w:val="en-GB"/>
        </w:rPr>
        <w:t xml:space="preserve">Children under five years of age were significantly more affected by co-infection than by </w:t>
      </w:r>
      <w:proofErr w:type="spellStart"/>
      <w:r w:rsidRPr="00B01078">
        <w:rPr>
          <w:color w:val="000000"/>
          <w:lang w:val="en-GB"/>
        </w:rPr>
        <w:t>monoinfection</w:t>
      </w:r>
      <w:proofErr w:type="spellEnd"/>
      <w:r w:rsidRPr="00B01078">
        <w:rPr>
          <w:color w:val="000000"/>
          <w:lang w:val="en-GB"/>
        </w:rPr>
        <w:t xml:space="preserve"> (64.9% vs. 52.3%; </w:t>
      </w:r>
      <w:r w:rsidRPr="00356CAA">
        <w:rPr>
          <w:i/>
          <w:iCs/>
          <w:color w:val="000000"/>
          <w:lang w:val="en-GB"/>
        </w:rPr>
        <w:t>p</w:t>
      </w:r>
      <w:r w:rsidR="00356CAA">
        <w:rPr>
          <w:color w:val="000000"/>
          <w:lang w:val="en-GB"/>
        </w:rPr>
        <w:t xml:space="preserve"> </w:t>
      </w:r>
      <w:r w:rsidRPr="00B01078">
        <w:rPr>
          <w:color w:val="000000"/>
          <w:lang w:val="en-GB"/>
        </w:rPr>
        <w:t>=</w:t>
      </w:r>
      <w:r w:rsidR="00356CAA">
        <w:rPr>
          <w:color w:val="000000"/>
          <w:lang w:val="en-GB"/>
        </w:rPr>
        <w:t xml:space="preserve"> </w:t>
      </w:r>
      <w:r w:rsidRPr="00B01078">
        <w:rPr>
          <w:color w:val="000000"/>
          <w:lang w:val="en-GB"/>
        </w:rPr>
        <w:t>0.048). There was no significant difference in median age between the two groups (</w:t>
      </w:r>
      <w:r w:rsidRPr="00356CAA">
        <w:rPr>
          <w:i/>
          <w:iCs/>
          <w:color w:val="000000"/>
          <w:lang w:val="en-GB"/>
        </w:rPr>
        <w:t>p</w:t>
      </w:r>
      <w:r w:rsidR="00356CAA">
        <w:rPr>
          <w:color w:val="000000"/>
          <w:lang w:val="en-GB"/>
        </w:rPr>
        <w:t xml:space="preserve"> </w:t>
      </w:r>
      <w:r w:rsidRPr="00B01078">
        <w:rPr>
          <w:color w:val="000000"/>
          <w:lang w:val="en-GB"/>
        </w:rPr>
        <w:t>=</w:t>
      </w:r>
      <w:r w:rsidR="00356CAA">
        <w:rPr>
          <w:color w:val="000000"/>
          <w:lang w:val="en-GB"/>
        </w:rPr>
        <w:t xml:space="preserve"> </w:t>
      </w:r>
      <w:r w:rsidRPr="00B01078">
        <w:rPr>
          <w:color w:val="000000"/>
          <w:lang w:val="en-GB"/>
        </w:rPr>
        <w:t xml:space="preserve">0.097), although a trend toward a difference was noted. Co-infection was significantly more frequent among hospitalized children with malaria originating from the central districts (3rd, 5th, and 6th districts) (41.4% vs. 25.1%; </w:t>
      </w:r>
      <w:r w:rsidRPr="00356CAA">
        <w:rPr>
          <w:i/>
          <w:iCs/>
          <w:color w:val="000000"/>
          <w:lang w:val="en-GB"/>
        </w:rPr>
        <w:t>p</w:t>
      </w:r>
      <w:r w:rsidR="00356CAA">
        <w:rPr>
          <w:color w:val="000000"/>
          <w:lang w:val="en-GB"/>
        </w:rPr>
        <w:t xml:space="preserve"> </w:t>
      </w:r>
      <w:r w:rsidRPr="00B01078">
        <w:rPr>
          <w:color w:val="000000"/>
          <w:lang w:val="en-GB"/>
        </w:rPr>
        <w:t>=</w:t>
      </w:r>
      <w:r w:rsidR="00356CAA">
        <w:rPr>
          <w:color w:val="000000"/>
          <w:lang w:val="en-GB"/>
        </w:rPr>
        <w:t xml:space="preserve"> </w:t>
      </w:r>
      <w:r w:rsidRPr="00B01078">
        <w:rPr>
          <w:color w:val="000000"/>
          <w:lang w:val="en-GB"/>
        </w:rPr>
        <w:t>0.008). However, neither gender, the use of ITNs, nor pre-hospital self-medication were associated with co-infection (</w:t>
      </w:r>
      <w:r w:rsidRPr="00356CAA">
        <w:rPr>
          <w:i/>
          <w:iCs/>
          <w:color w:val="000000"/>
          <w:lang w:val="en-GB"/>
        </w:rPr>
        <w:t>p</w:t>
      </w:r>
      <w:r w:rsidRPr="00B01078">
        <w:rPr>
          <w:color w:val="000000"/>
          <w:lang w:val="en-GB"/>
        </w:rPr>
        <w:t xml:space="preserve"> &gt; 0.05) (Table 2).</w:t>
      </w:r>
    </w:p>
    <w:p w14:paraId="1E150C8A" w14:textId="77777777" w:rsidR="002E0A7C" w:rsidRPr="009A55CB" w:rsidRDefault="002E0A7C" w:rsidP="002E0A7C">
      <w:pPr>
        <w:spacing w:before="60" w:after="60"/>
        <w:rPr>
          <w:lang w:val="en-GB"/>
        </w:rPr>
      </w:pPr>
    </w:p>
    <w:p w14:paraId="288ED3F0" w14:textId="262103AA" w:rsidR="002E0A7C" w:rsidRPr="00564354" w:rsidRDefault="002E0A7C" w:rsidP="00D94ECF">
      <w:pPr>
        <w:spacing w:line="480" w:lineRule="auto"/>
        <w:jc w:val="both"/>
        <w:rPr>
          <w:lang w:val="en-GB"/>
        </w:rPr>
      </w:pPr>
      <w:r w:rsidRPr="00564354">
        <w:rPr>
          <w:color w:val="000000"/>
          <w:lang w:val="en-GB"/>
        </w:rPr>
        <w:t xml:space="preserve">Residence in the central arrondissements (3rd </w:t>
      </w:r>
      <w:proofErr w:type="spellStart"/>
      <w:r w:rsidRPr="00564354">
        <w:rPr>
          <w:color w:val="000000"/>
          <w:lang w:val="en-GB"/>
        </w:rPr>
        <w:t>Poto-Poto</w:t>
      </w:r>
      <w:proofErr w:type="spellEnd"/>
      <w:r w:rsidRPr="00564354">
        <w:rPr>
          <w:color w:val="000000"/>
          <w:lang w:val="en-GB"/>
        </w:rPr>
        <w:t xml:space="preserve">, 5th </w:t>
      </w:r>
      <w:proofErr w:type="spellStart"/>
      <w:r w:rsidRPr="00564354">
        <w:rPr>
          <w:color w:val="000000"/>
          <w:lang w:val="en-GB"/>
        </w:rPr>
        <w:t>Ouenzé</w:t>
      </w:r>
      <w:proofErr w:type="spellEnd"/>
      <w:r w:rsidRPr="00564354">
        <w:rPr>
          <w:color w:val="000000"/>
          <w:lang w:val="en-GB"/>
        </w:rPr>
        <w:t xml:space="preserve">, or 6th </w:t>
      </w:r>
      <w:proofErr w:type="spellStart"/>
      <w:r w:rsidRPr="00564354">
        <w:rPr>
          <w:color w:val="000000"/>
          <w:lang w:val="en-GB"/>
        </w:rPr>
        <w:t>Talangaï</w:t>
      </w:r>
      <w:proofErr w:type="spellEnd"/>
      <w:r w:rsidRPr="00564354">
        <w:rPr>
          <w:color w:val="000000"/>
          <w:lang w:val="en-GB"/>
        </w:rPr>
        <w:t xml:space="preserve">) was significantly more common among co-infected children than among those with </w:t>
      </w:r>
      <w:proofErr w:type="spellStart"/>
      <w:r w:rsidRPr="00564354">
        <w:rPr>
          <w:color w:val="000000"/>
          <w:lang w:val="en-GB"/>
        </w:rPr>
        <w:t>monoinfection</w:t>
      </w:r>
      <w:proofErr w:type="spellEnd"/>
      <w:r w:rsidRPr="00564354">
        <w:rPr>
          <w:color w:val="000000"/>
          <w:lang w:val="en-GB"/>
        </w:rPr>
        <w:t xml:space="preserve"> (41.4% vs 25.1%, </w:t>
      </w:r>
      <w:r w:rsidRPr="00356CAA">
        <w:rPr>
          <w:i/>
          <w:iCs/>
          <w:color w:val="000000"/>
          <w:lang w:val="en-GB"/>
        </w:rPr>
        <w:t>p</w:t>
      </w:r>
      <w:r w:rsidRPr="00564354">
        <w:rPr>
          <w:color w:val="000000"/>
          <w:lang w:val="en-GB"/>
        </w:rPr>
        <w:t xml:space="preserve"> = 0.008). Among children residing in the 3rd arrondissement (</w:t>
      </w:r>
      <w:proofErr w:type="spellStart"/>
      <w:r w:rsidRPr="00564354">
        <w:rPr>
          <w:color w:val="000000"/>
          <w:lang w:val="en-GB"/>
        </w:rPr>
        <w:t>Poto-Poto</w:t>
      </w:r>
      <w:proofErr w:type="spellEnd"/>
      <w:r w:rsidRPr="00564354">
        <w:rPr>
          <w:color w:val="000000"/>
          <w:lang w:val="en-GB"/>
        </w:rPr>
        <w:t>), the co-infection rate was 32.3% (10/31), the highest of any arrondissement, followed by the 6th (</w:t>
      </w:r>
      <w:proofErr w:type="spellStart"/>
      <w:r w:rsidRPr="00564354">
        <w:rPr>
          <w:color w:val="000000"/>
          <w:lang w:val="en-GB"/>
        </w:rPr>
        <w:t>Talangaï</w:t>
      </w:r>
      <w:proofErr w:type="spellEnd"/>
      <w:r w:rsidRPr="00564354">
        <w:rPr>
          <w:color w:val="000000"/>
          <w:lang w:val="en-GB"/>
        </w:rPr>
        <w:t>, 23.5%, 8/34) and the 5th (</w:t>
      </w:r>
      <w:proofErr w:type="spellStart"/>
      <w:r w:rsidRPr="00564354">
        <w:rPr>
          <w:color w:val="000000"/>
          <w:lang w:val="en-GB"/>
        </w:rPr>
        <w:t>Ouenzé</w:t>
      </w:r>
      <w:proofErr w:type="spellEnd"/>
      <w:r w:rsidRPr="00564354">
        <w:rPr>
          <w:color w:val="000000"/>
          <w:lang w:val="en-GB"/>
        </w:rPr>
        <w:t xml:space="preserve">, 20.8%, 11/53). By contrast, the lowest rates </w:t>
      </w:r>
      <w:r w:rsidRPr="00564354">
        <w:rPr>
          <w:color w:val="000000"/>
          <w:lang w:val="en-GB"/>
        </w:rPr>
        <w:lastRenderedPageBreak/>
        <w:t>were observed in the 1st arrondissement (</w:t>
      </w:r>
      <w:proofErr w:type="spellStart"/>
      <w:r w:rsidRPr="00564354">
        <w:rPr>
          <w:color w:val="000000"/>
          <w:lang w:val="en-GB"/>
        </w:rPr>
        <w:t>Makélékélé</w:t>
      </w:r>
      <w:proofErr w:type="spellEnd"/>
      <w:r w:rsidRPr="00564354">
        <w:rPr>
          <w:color w:val="000000"/>
          <w:lang w:val="en-GB"/>
        </w:rPr>
        <w:t>, 10.0%, 4/40) and the 7th (</w:t>
      </w:r>
      <w:proofErr w:type="spellStart"/>
      <w:r w:rsidRPr="00564354">
        <w:rPr>
          <w:color w:val="000000"/>
          <w:lang w:val="en-GB"/>
        </w:rPr>
        <w:t>Mfilou</w:t>
      </w:r>
      <w:proofErr w:type="spellEnd"/>
      <w:r w:rsidRPr="00564354">
        <w:rPr>
          <w:color w:val="000000"/>
          <w:lang w:val="en-GB"/>
        </w:rPr>
        <w:t xml:space="preserve">, 12.1%, 4/33). </w:t>
      </w:r>
    </w:p>
    <w:p w14:paraId="713EDBC6" w14:textId="77777777" w:rsidR="002E0A7C" w:rsidRPr="00564354" w:rsidRDefault="002E0A7C" w:rsidP="002E0A7C">
      <w:pPr>
        <w:spacing w:before="180" w:after="60" w:line="480" w:lineRule="auto"/>
        <w:rPr>
          <w:lang w:val="en-GB"/>
        </w:rPr>
      </w:pPr>
      <w:r w:rsidRPr="00564354">
        <w:rPr>
          <w:b/>
          <w:bCs/>
          <w:i/>
          <w:iCs/>
          <w:lang w:val="en-GB"/>
        </w:rPr>
        <w:t>Comparison of clinical and biological characteristics and outcomes</w:t>
      </w:r>
    </w:p>
    <w:p w14:paraId="5D1F6063" w14:textId="77777777" w:rsidR="00EB2B87" w:rsidRPr="00EB2B87" w:rsidRDefault="00EB2B87" w:rsidP="00D94ECF">
      <w:pPr>
        <w:spacing w:line="480" w:lineRule="auto"/>
        <w:jc w:val="both"/>
        <w:rPr>
          <w:color w:val="000000"/>
          <w:lang w:val="en-GB"/>
        </w:rPr>
      </w:pPr>
      <w:r w:rsidRPr="00EB2B87">
        <w:rPr>
          <w:color w:val="000000"/>
          <w:lang w:val="en-GB"/>
        </w:rPr>
        <w:t xml:space="preserve">Clinical findings showed that children with co-infections had half as many vomiting episodes as those with </w:t>
      </w:r>
      <w:proofErr w:type="spellStart"/>
      <w:r w:rsidRPr="00EB2B87">
        <w:rPr>
          <w:color w:val="000000"/>
          <w:lang w:val="en-GB"/>
        </w:rPr>
        <w:t>monoinfections</w:t>
      </w:r>
      <w:proofErr w:type="spellEnd"/>
      <w:r w:rsidRPr="00EB2B87">
        <w:rPr>
          <w:color w:val="000000"/>
          <w:lang w:val="en-GB"/>
        </w:rPr>
        <w:t xml:space="preserve"> (10.8% vs. 21.3%; </w:t>
      </w:r>
      <w:r w:rsidRPr="00356CAA">
        <w:rPr>
          <w:i/>
          <w:iCs/>
          <w:color w:val="000000"/>
          <w:lang w:val="en-GB"/>
        </w:rPr>
        <w:t>p</w:t>
      </w:r>
      <w:r w:rsidRPr="00EB2B87">
        <w:rPr>
          <w:color w:val="000000"/>
          <w:lang w:val="en-GB"/>
        </w:rPr>
        <w:t xml:space="preserve"> = 0.039). Fever was significantly more frequent in the </w:t>
      </w:r>
      <w:proofErr w:type="spellStart"/>
      <w:r w:rsidRPr="00EB2B87">
        <w:rPr>
          <w:color w:val="000000"/>
          <w:lang w:val="en-GB"/>
        </w:rPr>
        <w:t>monoinfection</w:t>
      </w:r>
      <w:proofErr w:type="spellEnd"/>
      <w:r w:rsidRPr="00EB2B87">
        <w:rPr>
          <w:color w:val="000000"/>
          <w:lang w:val="en-GB"/>
        </w:rPr>
        <w:t xml:space="preserve"> group compared to the co-infection group (58.6% vs. 43.2%; </w:t>
      </w:r>
      <w:r w:rsidRPr="00356CAA">
        <w:rPr>
          <w:i/>
          <w:iCs/>
          <w:color w:val="000000"/>
          <w:lang w:val="en-GB"/>
        </w:rPr>
        <w:t>p</w:t>
      </w:r>
      <w:r w:rsidRPr="00EB2B87">
        <w:rPr>
          <w:color w:val="000000"/>
          <w:lang w:val="en-GB"/>
        </w:rPr>
        <w:t xml:space="preserve"> = 0.015).</w:t>
      </w:r>
    </w:p>
    <w:p w14:paraId="17C18DEF" w14:textId="77777777" w:rsidR="00EB2B87" w:rsidRPr="00EB2B87" w:rsidRDefault="00EB2B87" w:rsidP="00D94ECF">
      <w:pPr>
        <w:spacing w:line="480" w:lineRule="auto"/>
        <w:jc w:val="both"/>
        <w:rPr>
          <w:color w:val="000000"/>
          <w:lang w:val="en-GB"/>
        </w:rPr>
      </w:pPr>
      <w:r w:rsidRPr="00EB2B87">
        <w:rPr>
          <w:color w:val="000000"/>
          <w:lang w:val="en-GB"/>
        </w:rPr>
        <w:t xml:space="preserve">Biologically, </w:t>
      </w:r>
      <w:proofErr w:type="spellStart"/>
      <w:r w:rsidRPr="00EB2B87">
        <w:rPr>
          <w:color w:val="000000"/>
          <w:lang w:val="en-GB"/>
        </w:rPr>
        <w:t>leukocytosis</w:t>
      </w:r>
      <w:proofErr w:type="spellEnd"/>
      <w:r w:rsidRPr="00EB2B87">
        <w:rPr>
          <w:color w:val="000000"/>
          <w:lang w:val="en-GB"/>
        </w:rPr>
        <w:t xml:space="preserve"> was significantly more common in co-infected children than in those with </w:t>
      </w:r>
      <w:proofErr w:type="spellStart"/>
      <w:r w:rsidRPr="00EB2B87">
        <w:rPr>
          <w:color w:val="000000"/>
          <w:lang w:val="en-GB"/>
        </w:rPr>
        <w:t>monoinfections</w:t>
      </w:r>
      <w:proofErr w:type="spellEnd"/>
      <w:r w:rsidRPr="00EB2B87">
        <w:rPr>
          <w:color w:val="000000"/>
          <w:lang w:val="en-GB"/>
        </w:rPr>
        <w:t xml:space="preserve"> (</w:t>
      </w:r>
      <w:r w:rsidRPr="00356CAA">
        <w:rPr>
          <w:i/>
          <w:iCs/>
          <w:color w:val="000000"/>
          <w:lang w:val="en-GB"/>
        </w:rPr>
        <w:t>p</w:t>
      </w:r>
      <w:r w:rsidRPr="00EB2B87">
        <w:rPr>
          <w:color w:val="000000"/>
          <w:lang w:val="en-GB"/>
        </w:rPr>
        <w:t xml:space="preserve"> = 0.005). </w:t>
      </w:r>
      <w:proofErr w:type="spellStart"/>
      <w:r w:rsidRPr="00EB2B87">
        <w:rPr>
          <w:color w:val="000000"/>
          <w:lang w:val="en-GB"/>
        </w:rPr>
        <w:t>Parasitemia</w:t>
      </w:r>
      <w:proofErr w:type="spellEnd"/>
      <w:r w:rsidRPr="00EB2B87">
        <w:rPr>
          <w:color w:val="000000"/>
          <w:lang w:val="en-GB"/>
        </w:rPr>
        <w:t xml:space="preserve"> levels were also significantly higher in the co-infection group than in the </w:t>
      </w:r>
      <w:proofErr w:type="spellStart"/>
      <w:r w:rsidRPr="00EB2B87">
        <w:rPr>
          <w:color w:val="000000"/>
          <w:lang w:val="en-GB"/>
        </w:rPr>
        <w:t>monoinfection</w:t>
      </w:r>
      <w:proofErr w:type="spellEnd"/>
      <w:r w:rsidRPr="00EB2B87">
        <w:rPr>
          <w:color w:val="000000"/>
          <w:lang w:val="en-GB"/>
        </w:rPr>
        <w:t xml:space="preserve"> group (</w:t>
      </w:r>
      <w:r w:rsidRPr="00356CAA">
        <w:rPr>
          <w:i/>
          <w:iCs/>
          <w:color w:val="000000"/>
          <w:lang w:val="en-GB"/>
        </w:rPr>
        <w:t>p</w:t>
      </w:r>
      <w:r w:rsidRPr="00EB2B87">
        <w:rPr>
          <w:color w:val="000000"/>
          <w:lang w:val="en-GB"/>
        </w:rPr>
        <w:t xml:space="preserve"> &lt; 0.001). No significant differences were observed between the two groups regarding platelet counts or </w:t>
      </w:r>
      <w:proofErr w:type="spellStart"/>
      <w:r w:rsidRPr="00EB2B87">
        <w:rPr>
          <w:color w:val="000000"/>
          <w:lang w:val="en-GB"/>
        </w:rPr>
        <w:t>hemoglobin</w:t>
      </w:r>
      <w:proofErr w:type="spellEnd"/>
      <w:r w:rsidRPr="00EB2B87">
        <w:rPr>
          <w:color w:val="000000"/>
          <w:lang w:val="en-GB"/>
        </w:rPr>
        <w:t xml:space="preserve"> levels (</w:t>
      </w:r>
      <w:r w:rsidRPr="00356CAA">
        <w:rPr>
          <w:i/>
          <w:iCs/>
          <w:color w:val="000000"/>
          <w:lang w:val="en-GB"/>
        </w:rPr>
        <w:t>p</w:t>
      </w:r>
      <w:r w:rsidRPr="00EB2B87">
        <w:rPr>
          <w:color w:val="000000"/>
          <w:lang w:val="en-GB"/>
        </w:rPr>
        <w:t xml:space="preserve"> &gt; 0.05).</w:t>
      </w:r>
    </w:p>
    <w:p w14:paraId="776EC6BD" w14:textId="77777777" w:rsidR="00EB2B87" w:rsidRPr="00EB2B87" w:rsidRDefault="00EB2B87" w:rsidP="00D94ECF">
      <w:pPr>
        <w:spacing w:line="480" w:lineRule="auto"/>
        <w:jc w:val="both"/>
        <w:rPr>
          <w:color w:val="000000"/>
          <w:lang w:val="en-GB"/>
        </w:rPr>
      </w:pPr>
      <w:r w:rsidRPr="00EB2B87">
        <w:rPr>
          <w:color w:val="000000"/>
          <w:lang w:val="en-GB"/>
        </w:rPr>
        <w:t xml:space="preserve">When categorized by severity, co-infection was significantly more frequent among children with severe malaria compared to those with non-severe malaria (51.4% vs. 33.5%; </w:t>
      </w:r>
      <w:r w:rsidRPr="00356CAA">
        <w:rPr>
          <w:i/>
          <w:iCs/>
          <w:color w:val="000000"/>
          <w:lang w:val="en-GB"/>
        </w:rPr>
        <w:t>p</w:t>
      </w:r>
      <w:r w:rsidRPr="00EB2B87">
        <w:rPr>
          <w:color w:val="000000"/>
          <w:lang w:val="en-GB"/>
        </w:rPr>
        <w:t xml:space="preserve"> = 0.005). Conversely, </w:t>
      </w:r>
      <w:proofErr w:type="spellStart"/>
      <w:r w:rsidRPr="00EB2B87">
        <w:rPr>
          <w:color w:val="000000"/>
          <w:lang w:val="en-GB"/>
        </w:rPr>
        <w:t>monoinfection</w:t>
      </w:r>
      <w:proofErr w:type="spellEnd"/>
      <w:r w:rsidRPr="00EB2B87">
        <w:rPr>
          <w:color w:val="000000"/>
          <w:lang w:val="en-GB"/>
        </w:rPr>
        <w:t xml:space="preserve"> was significantly associated with non-severe malaria (</w:t>
      </w:r>
      <w:r w:rsidRPr="00356CAA">
        <w:rPr>
          <w:i/>
          <w:iCs/>
          <w:color w:val="000000"/>
          <w:lang w:val="en-GB"/>
        </w:rPr>
        <w:t>p</w:t>
      </w:r>
      <w:r w:rsidRPr="00EB2B87">
        <w:rPr>
          <w:color w:val="000000"/>
          <w:lang w:val="en-GB"/>
        </w:rPr>
        <w:t xml:space="preserve"> = 0.027).</w:t>
      </w:r>
    </w:p>
    <w:p w14:paraId="6FCB3459" w14:textId="5724BD6C" w:rsidR="00EB2B87" w:rsidRPr="00EB2B87" w:rsidRDefault="00EB2B87" w:rsidP="00D94ECF">
      <w:pPr>
        <w:spacing w:line="480" w:lineRule="auto"/>
        <w:jc w:val="both"/>
        <w:rPr>
          <w:color w:val="000000"/>
          <w:lang w:val="en-GB"/>
        </w:rPr>
      </w:pPr>
      <w:r w:rsidRPr="00EB2B87">
        <w:rPr>
          <w:color w:val="000000"/>
          <w:lang w:val="en-GB"/>
        </w:rPr>
        <w:t>There were no significant differences between the two groups regarding clinical outcome or the case fatality rate (</w:t>
      </w:r>
      <w:r w:rsidRPr="00356CAA">
        <w:rPr>
          <w:i/>
          <w:iCs/>
          <w:color w:val="000000"/>
          <w:lang w:val="en-GB"/>
        </w:rPr>
        <w:t>p</w:t>
      </w:r>
      <w:r w:rsidRPr="00EB2B87">
        <w:rPr>
          <w:color w:val="000000"/>
          <w:lang w:val="en-GB"/>
        </w:rPr>
        <w:t xml:space="preserve"> &gt; 0.05).</w:t>
      </w:r>
      <w:r>
        <w:rPr>
          <w:color w:val="000000"/>
          <w:lang w:val="en-GB"/>
        </w:rPr>
        <w:t xml:space="preserve"> (Table 2).</w:t>
      </w:r>
    </w:p>
    <w:p w14:paraId="13822C13" w14:textId="68B0AE66" w:rsidR="002E0A7C" w:rsidRPr="00564354" w:rsidRDefault="002E0A7C" w:rsidP="002E0A7C">
      <w:pPr>
        <w:spacing w:line="480" w:lineRule="auto"/>
        <w:ind w:firstLine="720"/>
        <w:jc w:val="both"/>
        <w:rPr>
          <w:lang w:val="en-GB"/>
        </w:rPr>
      </w:pPr>
    </w:p>
    <w:p w14:paraId="479C113E" w14:textId="67557FAE" w:rsidR="00D94ECF" w:rsidRDefault="00D94ECF" w:rsidP="002E0A7C">
      <w:pPr>
        <w:spacing w:before="240" w:after="120"/>
        <w:rPr>
          <w:b/>
          <w:bCs/>
          <w:color w:val="000000"/>
          <w:sz w:val="22"/>
          <w:szCs w:val="22"/>
          <w:lang w:val="en-GB"/>
        </w:rPr>
      </w:pPr>
    </w:p>
    <w:p w14:paraId="3332D366" w14:textId="77777777" w:rsidR="005C6A07" w:rsidRDefault="005C6A07" w:rsidP="002E0A7C">
      <w:pPr>
        <w:spacing w:before="240" w:after="120"/>
        <w:rPr>
          <w:b/>
          <w:bCs/>
          <w:color w:val="000000"/>
          <w:sz w:val="22"/>
          <w:szCs w:val="22"/>
          <w:lang w:val="en-GB"/>
        </w:rPr>
      </w:pPr>
    </w:p>
    <w:p w14:paraId="115B731D" w14:textId="5610179E" w:rsidR="002E0A7C" w:rsidRPr="00564354" w:rsidRDefault="002E0A7C" w:rsidP="002E0A7C">
      <w:pPr>
        <w:spacing w:before="240" w:after="120"/>
        <w:rPr>
          <w:sz w:val="20"/>
          <w:szCs w:val="20"/>
          <w:lang w:val="en-GB"/>
        </w:rPr>
      </w:pPr>
      <w:r w:rsidRPr="00564354">
        <w:rPr>
          <w:b/>
          <w:bCs/>
          <w:color w:val="000000"/>
          <w:sz w:val="22"/>
          <w:szCs w:val="22"/>
          <w:lang w:val="en-GB"/>
        </w:rPr>
        <w:t xml:space="preserve">Table 2. Comparison of sociodemographic, clinical, and biological characteristics between children with malaria </w:t>
      </w:r>
      <w:proofErr w:type="spellStart"/>
      <w:r w:rsidRPr="00564354">
        <w:rPr>
          <w:b/>
          <w:bCs/>
          <w:color w:val="000000"/>
          <w:sz w:val="22"/>
          <w:szCs w:val="22"/>
          <w:lang w:val="en-GB"/>
        </w:rPr>
        <w:t>monoinfection</w:t>
      </w:r>
      <w:proofErr w:type="spellEnd"/>
      <w:r w:rsidRPr="00564354">
        <w:rPr>
          <w:b/>
          <w:bCs/>
          <w:color w:val="000000"/>
          <w:sz w:val="22"/>
          <w:szCs w:val="22"/>
          <w:lang w:val="en-GB"/>
        </w:rPr>
        <w:t xml:space="preserve"> and those with co-infection or comorbidity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52"/>
        <w:gridCol w:w="2500"/>
        <w:gridCol w:w="2500"/>
        <w:gridCol w:w="908"/>
      </w:tblGrid>
      <w:tr w:rsidR="002E0A7C" w:rsidRPr="002E0A7C" w14:paraId="16BBE98E"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7C5BD10F" w14:textId="77777777" w:rsidR="002E0A7C" w:rsidRPr="002E0A7C" w:rsidRDefault="002E0A7C" w:rsidP="002E0A7C">
            <w:pPr>
              <w:jc w:val="center"/>
              <w:rPr>
                <w:sz w:val="20"/>
                <w:szCs w:val="20"/>
              </w:rPr>
            </w:pPr>
            <w:r w:rsidRPr="002E0A7C">
              <w:rPr>
                <w:b/>
                <w:bCs/>
                <w:color w:val="FFFFFF"/>
                <w:sz w:val="20"/>
                <w:szCs w:val="20"/>
              </w:rPr>
              <w:t>Variable</w:t>
            </w:r>
          </w:p>
        </w:tc>
        <w:tc>
          <w:tcPr>
            <w:tcW w:w="2100"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69702F1F" w14:textId="77777777" w:rsidR="002E0A7C" w:rsidRPr="002E0A7C" w:rsidRDefault="002E0A7C" w:rsidP="002E0A7C">
            <w:pPr>
              <w:jc w:val="center"/>
              <w:rPr>
                <w:sz w:val="20"/>
                <w:szCs w:val="20"/>
              </w:rPr>
            </w:pPr>
            <w:proofErr w:type="spellStart"/>
            <w:r w:rsidRPr="002E0A7C">
              <w:rPr>
                <w:b/>
                <w:bCs/>
                <w:color w:val="FFFFFF"/>
                <w:sz w:val="20"/>
                <w:szCs w:val="20"/>
              </w:rPr>
              <w:t>Monoinfection</w:t>
            </w:r>
            <w:proofErr w:type="spellEnd"/>
            <w:r w:rsidRPr="002E0A7C">
              <w:rPr>
                <w:b/>
                <w:bCs/>
                <w:color w:val="FFFFFF"/>
                <w:sz w:val="20"/>
                <w:szCs w:val="20"/>
              </w:rPr>
              <w:t xml:space="preserve"> (n = 367)</w:t>
            </w:r>
          </w:p>
        </w:tc>
        <w:tc>
          <w:tcPr>
            <w:tcW w:w="2100"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0FCCB013" w14:textId="77777777" w:rsidR="002E0A7C" w:rsidRPr="002E0A7C" w:rsidRDefault="002E0A7C" w:rsidP="002E0A7C">
            <w:pPr>
              <w:jc w:val="center"/>
              <w:rPr>
                <w:sz w:val="20"/>
                <w:szCs w:val="20"/>
              </w:rPr>
            </w:pPr>
            <w:r w:rsidRPr="002E0A7C">
              <w:rPr>
                <w:b/>
                <w:bCs/>
                <w:color w:val="FFFFFF"/>
                <w:sz w:val="20"/>
                <w:szCs w:val="20"/>
              </w:rPr>
              <w:t>Co-infection (n = 74)</w:t>
            </w:r>
          </w:p>
        </w:tc>
        <w:tc>
          <w:tcPr>
            <w:tcW w:w="620"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3A8B8D63" w14:textId="77777777" w:rsidR="002E0A7C" w:rsidRPr="00356CAA" w:rsidRDefault="002E0A7C" w:rsidP="002E0A7C">
            <w:pPr>
              <w:jc w:val="center"/>
              <w:rPr>
                <w:i/>
                <w:iCs/>
                <w:sz w:val="20"/>
                <w:szCs w:val="20"/>
              </w:rPr>
            </w:pPr>
            <w:proofErr w:type="gramStart"/>
            <w:r w:rsidRPr="00356CAA">
              <w:rPr>
                <w:b/>
                <w:bCs/>
                <w:i/>
                <w:iCs/>
                <w:color w:val="FFFFFF"/>
                <w:sz w:val="20"/>
                <w:szCs w:val="20"/>
              </w:rPr>
              <w:t>p</w:t>
            </w:r>
            <w:proofErr w:type="gramEnd"/>
          </w:p>
        </w:tc>
      </w:tr>
      <w:tr w:rsidR="002E0A7C" w:rsidRPr="002E0A7C" w14:paraId="70B08F85" w14:textId="77777777" w:rsidTr="00044376">
        <w:tc>
          <w:tcPr>
            <w:tcW w:w="0" w:type="auto"/>
            <w:gridSpan w:val="4"/>
            <w:tcBorders>
              <w:bottom w:val="single" w:sz="4" w:space="0" w:color="000000"/>
            </w:tcBorders>
            <w:shd w:val="clear" w:color="auto" w:fill="E8E8E8"/>
            <w:tcMar>
              <w:top w:w="50" w:type="dxa"/>
              <w:left w:w="100" w:type="dxa"/>
              <w:bottom w:w="50" w:type="dxa"/>
              <w:right w:w="100" w:type="dxa"/>
            </w:tcMar>
          </w:tcPr>
          <w:p w14:paraId="41FBB737" w14:textId="77777777" w:rsidR="002E0A7C" w:rsidRPr="002E0A7C" w:rsidRDefault="002E0A7C" w:rsidP="002E0A7C">
            <w:pPr>
              <w:rPr>
                <w:sz w:val="20"/>
                <w:szCs w:val="20"/>
              </w:rPr>
            </w:pPr>
            <w:proofErr w:type="spellStart"/>
            <w:r w:rsidRPr="002E0A7C">
              <w:rPr>
                <w:b/>
                <w:bCs/>
                <w:color w:val="000000"/>
                <w:sz w:val="20"/>
                <w:szCs w:val="20"/>
              </w:rPr>
              <w:t>Sociodemographic</w:t>
            </w:r>
            <w:proofErr w:type="spellEnd"/>
            <w:r w:rsidRPr="002E0A7C">
              <w:rPr>
                <w:b/>
                <w:bCs/>
                <w:color w:val="000000"/>
                <w:sz w:val="20"/>
                <w:szCs w:val="20"/>
              </w:rPr>
              <w:t xml:space="preserve"> </w:t>
            </w:r>
            <w:proofErr w:type="spellStart"/>
            <w:r w:rsidRPr="002E0A7C">
              <w:rPr>
                <w:b/>
                <w:bCs/>
                <w:color w:val="000000"/>
                <w:sz w:val="20"/>
                <w:szCs w:val="20"/>
              </w:rPr>
              <w:t>factors</w:t>
            </w:r>
            <w:proofErr w:type="spellEnd"/>
          </w:p>
        </w:tc>
      </w:tr>
      <w:tr w:rsidR="002E0A7C" w:rsidRPr="002E0A7C" w14:paraId="0E6739F2"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7ED9A7" w14:textId="77777777" w:rsidR="002E0A7C" w:rsidRPr="002E0A7C" w:rsidRDefault="002E0A7C" w:rsidP="002E0A7C">
            <w:pPr>
              <w:rPr>
                <w:sz w:val="20"/>
                <w:szCs w:val="20"/>
              </w:rPr>
            </w:pPr>
            <w:r w:rsidRPr="002E0A7C">
              <w:rPr>
                <w:color w:val="000000"/>
                <w:sz w:val="20"/>
                <w:szCs w:val="20"/>
              </w:rPr>
              <w:t xml:space="preserve">Age &lt; 5 </w:t>
            </w:r>
            <w:proofErr w:type="spellStart"/>
            <w:r w:rsidRPr="002E0A7C">
              <w:rPr>
                <w:color w:val="000000"/>
                <w:sz w:val="20"/>
                <w:szCs w:val="20"/>
              </w:rPr>
              <w:t>years</w:t>
            </w:r>
            <w:proofErr w:type="spellEnd"/>
            <w:r w:rsidRPr="002E0A7C">
              <w:rPr>
                <w:color w:val="000000"/>
                <w:sz w:val="20"/>
                <w:szCs w:val="20"/>
              </w:rPr>
              <w:t>, n (%)</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D70AAB7" w14:textId="77777777" w:rsidR="002E0A7C" w:rsidRPr="002E0A7C" w:rsidRDefault="002E0A7C" w:rsidP="002E0A7C">
            <w:pPr>
              <w:jc w:val="center"/>
              <w:rPr>
                <w:sz w:val="20"/>
                <w:szCs w:val="20"/>
              </w:rPr>
            </w:pPr>
            <w:r w:rsidRPr="002E0A7C">
              <w:rPr>
                <w:color w:val="000000"/>
                <w:sz w:val="20"/>
                <w:szCs w:val="20"/>
              </w:rPr>
              <w:t>192/367 (52.3%)</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522085" w14:textId="77777777" w:rsidR="002E0A7C" w:rsidRPr="002E0A7C" w:rsidRDefault="002E0A7C" w:rsidP="002E0A7C">
            <w:pPr>
              <w:jc w:val="center"/>
              <w:rPr>
                <w:sz w:val="20"/>
                <w:szCs w:val="20"/>
              </w:rPr>
            </w:pPr>
            <w:r w:rsidRPr="002E0A7C">
              <w:rPr>
                <w:color w:val="000000"/>
                <w:sz w:val="20"/>
                <w:szCs w:val="20"/>
              </w:rPr>
              <w:t>48/74 (64.9%)</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B679B0" w14:textId="77777777" w:rsidR="002E0A7C" w:rsidRPr="002E0A7C" w:rsidRDefault="002E0A7C" w:rsidP="002E0A7C">
            <w:pPr>
              <w:jc w:val="center"/>
              <w:rPr>
                <w:sz w:val="20"/>
                <w:szCs w:val="20"/>
              </w:rPr>
            </w:pPr>
            <w:r w:rsidRPr="002E0A7C">
              <w:rPr>
                <w:color w:val="000000"/>
                <w:sz w:val="20"/>
                <w:szCs w:val="20"/>
              </w:rPr>
              <w:t>0.048</w:t>
            </w:r>
          </w:p>
        </w:tc>
      </w:tr>
      <w:tr w:rsidR="002E0A7C" w:rsidRPr="002E0A7C" w14:paraId="6F03584B"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2926A6B2" w14:textId="77777777" w:rsidR="002E0A7C" w:rsidRPr="002E0A7C" w:rsidRDefault="002E0A7C" w:rsidP="002E0A7C">
            <w:pPr>
              <w:rPr>
                <w:sz w:val="20"/>
                <w:szCs w:val="20"/>
              </w:rPr>
            </w:pPr>
            <w:r w:rsidRPr="002E0A7C">
              <w:rPr>
                <w:color w:val="000000"/>
                <w:sz w:val="20"/>
                <w:szCs w:val="20"/>
              </w:rPr>
              <w:t xml:space="preserve">Age, </w:t>
            </w:r>
            <w:proofErr w:type="spellStart"/>
            <w:r w:rsidRPr="002E0A7C">
              <w:rPr>
                <w:color w:val="000000"/>
                <w:sz w:val="20"/>
                <w:szCs w:val="20"/>
              </w:rPr>
              <w:t>median</w:t>
            </w:r>
            <w:proofErr w:type="spellEnd"/>
            <w:r w:rsidRPr="002E0A7C">
              <w:rPr>
                <w:color w:val="000000"/>
                <w:sz w:val="20"/>
                <w:szCs w:val="20"/>
              </w:rPr>
              <w:t xml:space="preserve"> </w:t>
            </w:r>
            <w:proofErr w:type="spellStart"/>
            <w:r w:rsidRPr="002E0A7C">
              <w:rPr>
                <w:color w:val="000000"/>
                <w:sz w:val="20"/>
                <w:szCs w:val="20"/>
              </w:rPr>
              <w:t>months</w:t>
            </w:r>
            <w:proofErr w:type="spellEnd"/>
            <w:r w:rsidRPr="002E0A7C">
              <w:rPr>
                <w:color w:val="000000"/>
                <w:sz w:val="20"/>
                <w:szCs w:val="20"/>
              </w:rPr>
              <w:t xml:space="preserve"> [IQR]</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4AD5D3D4" w14:textId="23087359" w:rsidR="002E0A7C" w:rsidRPr="002E0A7C" w:rsidRDefault="002E0A7C" w:rsidP="002E0A7C">
            <w:pPr>
              <w:jc w:val="center"/>
              <w:rPr>
                <w:sz w:val="20"/>
                <w:szCs w:val="20"/>
              </w:rPr>
            </w:pPr>
            <w:r w:rsidRPr="002E0A7C">
              <w:rPr>
                <w:color w:val="000000"/>
                <w:sz w:val="20"/>
                <w:szCs w:val="20"/>
              </w:rPr>
              <w:t>48 [17</w:t>
            </w:r>
            <w:r w:rsidR="00610904">
              <w:rPr>
                <w:color w:val="000000"/>
                <w:sz w:val="20"/>
                <w:szCs w:val="20"/>
              </w:rPr>
              <w:t>-</w:t>
            </w:r>
            <w:r w:rsidRPr="002E0A7C">
              <w:rPr>
                <w:color w:val="000000"/>
                <w:sz w:val="20"/>
                <w:szCs w:val="20"/>
              </w:rPr>
              <w:t>96]</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82C4BB4" w14:textId="60D03535" w:rsidR="002E0A7C" w:rsidRPr="002E0A7C" w:rsidRDefault="002E0A7C" w:rsidP="002E0A7C">
            <w:pPr>
              <w:jc w:val="center"/>
              <w:rPr>
                <w:sz w:val="20"/>
                <w:szCs w:val="20"/>
              </w:rPr>
            </w:pPr>
            <w:r w:rsidRPr="002E0A7C">
              <w:rPr>
                <w:color w:val="000000"/>
                <w:sz w:val="20"/>
                <w:szCs w:val="20"/>
              </w:rPr>
              <w:t>36 [12</w:t>
            </w:r>
            <w:r w:rsidR="00610904">
              <w:rPr>
                <w:color w:val="000000"/>
                <w:sz w:val="20"/>
                <w:szCs w:val="20"/>
              </w:rPr>
              <w:t>-</w:t>
            </w:r>
            <w:r w:rsidRPr="002E0A7C">
              <w:rPr>
                <w:color w:val="000000"/>
                <w:sz w:val="20"/>
                <w:szCs w:val="20"/>
              </w:rPr>
              <w:t>90]</w:t>
            </w:r>
          </w:p>
        </w:tc>
        <w:tc>
          <w:tcPr>
            <w:tcW w:w="62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2660EA25" w14:textId="77777777" w:rsidR="002E0A7C" w:rsidRPr="002E0A7C" w:rsidRDefault="002E0A7C" w:rsidP="002E0A7C">
            <w:pPr>
              <w:jc w:val="center"/>
              <w:rPr>
                <w:sz w:val="20"/>
                <w:szCs w:val="20"/>
              </w:rPr>
            </w:pPr>
            <w:r w:rsidRPr="002E0A7C">
              <w:rPr>
                <w:color w:val="000000"/>
                <w:sz w:val="20"/>
                <w:szCs w:val="20"/>
              </w:rPr>
              <w:t>0.097</w:t>
            </w:r>
          </w:p>
        </w:tc>
      </w:tr>
      <w:tr w:rsidR="002E0A7C" w:rsidRPr="002E0A7C" w14:paraId="034637AC"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E5F20B1" w14:textId="77777777" w:rsidR="002E0A7C" w:rsidRPr="002E0A7C" w:rsidRDefault="002E0A7C" w:rsidP="002E0A7C">
            <w:pPr>
              <w:rPr>
                <w:sz w:val="20"/>
                <w:szCs w:val="20"/>
              </w:rPr>
            </w:pPr>
            <w:r w:rsidRPr="002E0A7C">
              <w:rPr>
                <w:color w:val="000000"/>
                <w:sz w:val="20"/>
                <w:szCs w:val="20"/>
              </w:rPr>
              <w:t xml:space="preserve">Male </w:t>
            </w:r>
            <w:proofErr w:type="spellStart"/>
            <w:r w:rsidRPr="002E0A7C">
              <w:rPr>
                <w:color w:val="000000"/>
                <w:sz w:val="20"/>
                <w:szCs w:val="20"/>
              </w:rPr>
              <w:t>sex</w:t>
            </w:r>
            <w:proofErr w:type="spellEnd"/>
            <w:r w:rsidRPr="002E0A7C">
              <w:rPr>
                <w:color w:val="000000"/>
                <w:sz w:val="20"/>
                <w:szCs w:val="20"/>
              </w:rPr>
              <w:t>, n (%)</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276126C" w14:textId="77777777" w:rsidR="002E0A7C" w:rsidRPr="002E0A7C" w:rsidRDefault="002E0A7C" w:rsidP="002E0A7C">
            <w:pPr>
              <w:jc w:val="center"/>
              <w:rPr>
                <w:sz w:val="20"/>
                <w:szCs w:val="20"/>
              </w:rPr>
            </w:pPr>
            <w:r w:rsidRPr="002E0A7C">
              <w:rPr>
                <w:color w:val="000000"/>
                <w:sz w:val="20"/>
                <w:szCs w:val="20"/>
              </w:rPr>
              <w:t>203/360 (56.4%)</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AD9746" w14:textId="77777777" w:rsidR="002E0A7C" w:rsidRPr="002E0A7C" w:rsidRDefault="002E0A7C" w:rsidP="002E0A7C">
            <w:pPr>
              <w:jc w:val="center"/>
              <w:rPr>
                <w:sz w:val="20"/>
                <w:szCs w:val="20"/>
              </w:rPr>
            </w:pPr>
            <w:r w:rsidRPr="002E0A7C">
              <w:rPr>
                <w:color w:val="000000"/>
                <w:sz w:val="20"/>
                <w:szCs w:val="20"/>
              </w:rPr>
              <w:t>38/72 (52.8%)</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C910A56" w14:textId="77777777" w:rsidR="002E0A7C" w:rsidRPr="002E0A7C" w:rsidRDefault="002E0A7C" w:rsidP="002E0A7C">
            <w:pPr>
              <w:jc w:val="center"/>
              <w:rPr>
                <w:sz w:val="20"/>
                <w:szCs w:val="20"/>
              </w:rPr>
            </w:pPr>
            <w:r w:rsidRPr="002E0A7C">
              <w:rPr>
                <w:color w:val="000000"/>
                <w:sz w:val="20"/>
                <w:szCs w:val="20"/>
              </w:rPr>
              <w:t>0.573</w:t>
            </w:r>
          </w:p>
        </w:tc>
      </w:tr>
      <w:tr w:rsidR="002E0A7C" w:rsidRPr="002E0A7C" w14:paraId="04EEEB19"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37D27E54" w14:textId="77777777" w:rsidR="002E0A7C" w:rsidRPr="002E0A7C" w:rsidRDefault="002E0A7C" w:rsidP="002E0A7C">
            <w:pPr>
              <w:rPr>
                <w:sz w:val="20"/>
                <w:szCs w:val="20"/>
              </w:rPr>
            </w:pPr>
            <w:r w:rsidRPr="002E0A7C">
              <w:rPr>
                <w:color w:val="000000"/>
                <w:sz w:val="20"/>
                <w:szCs w:val="20"/>
              </w:rPr>
              <w:t xml:space="preserve">Not </w:t>
            </w:r>
            <w:proofErr w:type="spellStart"/>
            <w:r w:rsidRPr="002E0A7C">
              <w:rPr>
                <w:color w:val="000000"/>
                <w:sz w:val="20"/>
                <w:szCs w:val="20"/>
              </w:rPr>
              <w:t>attending</w:t>
            </w:r>
            <w:proofErr w:type="spellEnd"/>
            <w:r w:rsidRPr="002E0A7C">
              <w:rPr>
                <w:color w:val="000000"/>
                <w:sz w:val="20"/>
                <w:szCs w:val="20"/>
              </w:rPr>
              <w:t xml:space="preserve"> </w:t>
            </w:r>
            <w:proofErr w:type="spellStart"/>
            <w:r w:rsidRPr="002E0A7C">
              <w:rPr>
                <w:color w:val="000000"/>
                <w:sz w:val="20"/>
                <w:szCs w:val="20"/>
              </w:rPr>
              <w:t>school</w:t>
            </w:r>
            <w:proofErr w:type="spellEnd"/>
            <w:r w:rsidRPr="002E0A7C">
              <w:rPr>
                <w:color w:val="000000"/>
                <w:sz w:val="20"/>
                <w:szCs w:val="20"/>
              </w:rPr>
              <w:t>, n (%)</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214522E1" w14:textId="77777777" w:rsidR="002E0A7C" w:rsidRPr="002E0A7C" w:rsidRDefault="002E0A7C" w:rsidP="002E0A7C">
            <w:pPr>
              <w:jc w:val="center"/>
              <w:rPr>
                <w:sz w:val="20"/>
                <w:szCs w:val="20"/>
              </w:rPr>
            </w:pPr>
            <w:r w:rsidRPr="002E0A7C">
              <w:rPr>
                <w:color w:val="000000"/>
                <w:sz w:val="20"/>
                <w:szCs w:val="20"/>
              </w:rPr>
              <w:t>208/367 (56.7%)</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7457CB5B" w14:textId="77777777" w:rsidR="002E0A7C" w:rsidRPr="002E0A7C" w:rsidRDefault="002E0A7C" w:rsidP="002E0A7C">
            <w:pPr>
              <w:jc w:val="center"/>
              <w:rPr>
                <w:sz w:val="20"/>
                <w:szCs w:val="20"/>
              </w:rPr>
            </w:pPr>
            <w:r w:rsidRPr="002E0A7C">
              <w:rPr>
                <w:color w:val="000000"/>
                <w:sz w:val="20"/>
                <w:szCs w:val="20"/>
              </w:rPr>
              <w:t>46/74 (62.2%)</w:t>
            </w:r>
          </w:p>
        </w:tc>
        <w:tc>
          <w:tcPr>
            <w:tcW w:w="62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721560C" w14:textId="77777777" w:rsidR="002E0A7C" w:rsidRPr="002E0A7C" w:rsidRDefault="002E0A7C" w:rsidP="002E0A7C">
            <w:pPr>
              <w:jc w:val="center"/>
              <w:rPr>
                <w:sz w:val="20"/>
                <w:szCs w:val="20"/>
              </w:rPr>
            </w:pPr>
            <w:r w:rsidRPr="002E0A7C">
              <w:rPr>
                <w:color w:val="000000"/>
                <w:sz w:val="20"/>
                <w:szCs w:val="20"/>
              </w:rPr>
              <w:t>0.384</w:t>
            </w:r>
          </w:p>
        </w:tc>
      </w:tr>
      <w:tr w:rsidR="002E0A7C" w:rsidRPr="002E0A7C" w14:paraId="763A6DDB" w14:textId="77777777" w:rsidTr="00044376">
        <w:tc>
          <w:tcPr>
            <w:tcW w:w="0" w:type="auto"/>
            <w:gridSpan w:val="4"/>
            <w:tcBorders>
              <w:bottom w:val="single" w:sz="4" w:space="0" w:color="000000"/>
            </w:tcBorders>
            <w:shd w:val="clear" w:color="auto" w:fill="E8E8E8"/>
            <w:tcMar>
              <w:top w:w="50" w:type="dxa"/>
              <w:left w:w="100" w:type="dxa"/>
              <w:bottom w:w="50" w:type="dxa"/>
              <w:right w:w="100" w:type="dxa"/>
            </w:tcMar>
          </w:tcPr>
          <w:p w14:paraId="5CBDBE4D" w14:textId="77777777" w:rsidR="002E0A7C" w:rsidRPr="002E0A7C" w:rsidRDefault="002E0A7C" w:rsidP="002E0A7C">
            <w:pPr>
              <w:rPr>
                <w:sz w:val="20"/>
                <w:szCs w:val="20"/>
              </w:rPr>
            </w:pPr>
            <w:r w:rsidRPr="002E0A7C">
              <w:rPr>
                <w:b/>
                <w:bCs/>
                <w:color w:val="000000"/>
                <w:sz w:val="20"/>
                <w:szCs w:val="20"/>
              </w:rPr>
              <w:lastRenderedPageBreak/>
              <w:t xml:space="preserve">Prevention and </w:t>
            </w:r>
            <w:proofErr w:type="spellStart"/>
            <w:r w:rsidRPr="002E0A7C">
              <w:rPr>
                <w:b/>
                <w:bCs/>
                <w:color w:val="000000"/>
                <w:sz w:val="20"/>
                <w:szCs w:val="20"/>
              </w:rPr>
              <w:t>healthcare</w:t>
            </w:r>
            <w:proofErr w:type="spellEnd"/>
            <w:r w:rsidRPr="002E0A7C">
              <w:rPr>
                <w:b/>
                <w:bCs/>
                <w:color w:val="000000"/>
                <w:sz w:val="20"/>
                <w:szCs w:val="20"/>
              </w:rPr>
              <w:t xml:space="preserve"> </w:t>
            </w:r>
            <w:proofErr w:type="spellStart"/>
            <w:r w:rsidRPr="002E0A7C">
              <w:rPr>
                <w:b/>
                <w:bCs/>
                <w:color w:val="000000"/>
                <w:sz w:val="20"/>
                <w:szCs w:val="20"/>
              </w:rPr>
              <w:t>access</w:t>
            </w:r>
            <w:proofErr w:type="spellEnd"/>
          </w:p>
        </w:tc>
      </w:tr>
      <w:tr w:rsidR="002E0A7C" w:rsidRPr="002E0A7C" w14:paraId="3816C797"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A955B40" w14:textId="77777777" w:rsidR="002E0A7C" w:rsidRPr="002E0A7C" w:rsidRDefault="002E0A7C" w:rsidP="002E0A7C">
            <w:pPr>
              <w:rPr>
                <w:sz w:val="20"/>
                <w:szCs w:val="20"/>
              </w:rPr>
            </w:pPr>
            <w:r w:rsidRPr="002E0A7C">
              <w:rPr>
                <w:color w:val="000000"/>
                <w:sz w:val="20"/>
                <w:szCs w:val="20"/>
              </w:rPr>
              <w:t>ITN use, n (%)</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EDA8749" w14:textId="77777777" w:rsidR="002E0A7C" w:rsidRPr="002E0A7C" w:rsidRDefault="002E0A7C" w:rsidP="002E0A7C">
            <w:pPr>
              <w:jc w:val="center"/>
              <w:rPr>
                <w:sz w:val="20"/>
                <w:szCs w:val="20"/>
              </w:rPr>
            </w:pPr>
            <w:r w:rsidRPr="002E0A7C">
              <w:rPr>
                <w:color w:val="000000"/>
                <w:sz w:val="20"/>
                <w:szCs w:val="20"/>
              </w:rPr>
              <w:t>133/367 (36.2%)</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084B79C" w14:textId="77777777" w:rsidR="002E0A7C" w:rsidRPr="002E0A7C" w:rsidRDefault="002E0A7C" w:rsidP="002E0A7C">
            <w:pPr>
              <w:jc w:val="center"/>
              <w:rPr>
                <w:sz w:val="20"/>
                <w:szCs w:val="20"/>
              </w:rPr>
            </w:pPr>
            <w:r w:rsidRPr="002E0A7C">
              <w:rPr>
                <w:color w:val="000000"/>
                <w:sz w:val="20"/>
                <w:szCs w:val="20"/>
              </w:rPr>
              <w:t>31/74 (41.9%)</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E84CF70" w14:textId="77777777" w:rsidR="002E0A7C" w:rsidRPr="002E0A7C" w:rsidRDefault="002E0A7C" w:rsidP="002E0A7C">
            <w:pPr>
              <w:jc w:val="center"/>
              <w:rPr>
                <w:sz w:val="20"/>
                <w:szCs w:val="20"/>
              </w:rPr>
            </w:pPr>
            <w:r w:rsidRPr="002E0A7C">
              <w:rPr>
                <w:color w:val="000000"/>
                <w:sz w:val="20"/>
                <w:szCs w:val="20"/>
              </w:rPr>
              <w:t>0.359</w:t>
            </w:r>
          </w:p>
        </w:tc>
      </w:tr>
      <w:tr w:rsidR="002E0A7C" w:rsidRPr="002E0A7C" w14:paraId="5DC42A63"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5CF3C5C5" w14:textId="77777777" w:rsidR="002E0A7C" w:rsidRPr="002E0A7C" w:rsidRDefault="002E0A7C" w:rsidP="002E0A7C">
            <w:pPr>
              <w:rPr>
                <w:sz w:val="20"/>
                <w:szCs w:val="20"/>
              </w:rPr>
            </w:pPr>
            <w:r w:rsidRPr="002E0A7C">
              <w:rPr>
                <w:color w:val="000000"/>
                <w:sz w:val="20"/>
                <w:szCs w:val="20"/>
              </w:rPr>
              <w:t>Self-</w:t>
            </w:r>
            <w:proofErr w:type="spellStart"/>
            <w:r w:rsidRPr="002E0A7C">
              <w:rPr>
                <w:color w:val="000000"/>
                <w:sz w:val="20"/>
                <w:szCs w:val="20"/>
              </w:rPr>
              <w:t>medication</w:t>
            </w:r>
            <w:proofErr w:type="spellEnd"/>
            <w:r w:rsidRPr="002E0A7C">
              <w:rPr>
                <w:color w:val="000000"/>
                <w:sz w:val="20"/>
                <w:szCs w:val="20"/>
              </w:rPr>
              <w:t>, n (%)</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EF6EF36" w14:textId="77777777" w:rsidR="002E0A7C" w:rsidRPr="002E0A7C" w:rsidRDefault="002E0A7C" w:rsidP="002E0A7C">
            <w:pPr>
              <w:jc w:val="center"/>
              <w:rPr>
                <w:sz w:val="20"/>
                <w:szCs w:val="20"/>
              </w:rPr>
            </w:pPr>
            <w:r w:rsidRPr="002E0A7C">
              <w:rPr>
                <w:color w:val="000000"/>
                <w:sz w:val="20"/>
                <w:szCs w:val="20"/>
              </w:rPr>
              <w:t>96/367 (26.2%)</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32439986" w14:textId="77777777" w:rsidR="002E0A7C" w:rsidRPr="002E0A7C" w:rsidRDefault="002E0A7C" w:rsidP="002E0A7C">
            <w:pPr>
              <w:jc w:val="center"/>
              <w:rPr>
                <w:sz w:val="20"/>
                <w:szCs w:val="20"/>
              </w:rPr>
            </w:pPr>
            <w:r w:rsidRPr="002E0A7C">
              <w:rPr>
                <w:color w:val="000000"/>
                <w:sz w:val="20"/>
                <w:szCs w:val="20"/>
              </w:rPr>
              <w:t>25/74 (33.8%)</w:t>
            </w:r>
          </w:p>
        </w:tc>
        <w:tc>
          <w:tcPr>
            <w:tcW w:w="62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6657847" w14:textId="77777777" w:rsidR="002E0A7C" w:rsidRPr="002E0A7C" w:rsidRDefault="002E0A7C" w:rsidP="002E0A7C">
            <w:pPr>
              <w:jc w:val="center"/>
              <w:rPr>
                <w:sz w:val="20"/>
                <w:szCs w:val="20"/>
              </w:rPr>
            </w:pPr>
            <w:r w:rsidRPr="002E0A7C">
              <w:rPr>
                <w:color w:val="000000"/>
                <w:sz w:val="20"/>
                <w:szCs w:val="20"/>
              </w:rPr>
              <w:t>0.180</w:t>
            </w:r>
          </w:p>
        </w:tc>
      </w:tr>
      <w:tr w:rsidR="002E0A7C" w:rsidRPr="002E0A7C" w14:paraId="58895910"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99AF5B3" w14:textId="568F446C" w:rsidR="002E0A7C" w:rsidRPr="002E0A7C" w:rsidRDefault="002E0A7C" w:rsidP="002E0A7C">
            <w:pPr>
              <w:rPr>
                <w:sz w:val="20"/>
                <w:szCs w:val="20"/>
              </w:rPr>
            </w:pPr>
            <w:r w:rsidRPr="002E0A7C">
              <w:rPr>
                <w:color w:val="000000"/>
                <w:sz w:val="20"/>
                <w:szCs w:val="20"/>
              </w:rPr>
              <w:t xml:space="preserve">Consultation </w:t>
            </w:r>
            <w:proofErr w:type="spellStart"/>
            <w:r w:rsidRPr="002E0A7C">
              <w:rPr>
                <w:color w:val="000000"/>
                <w:sz w:val="20"/>
                <w:szCs w:val="20"/>
              </w:rPr>
              <w:t>delay</w:t>
            </w:r>
            <w:proofErr w:type="spellEnd"/>
            <w:r w:rsidRPr="002E0A7C">
              <w:rPr>
                <w:color w:val="000000"/>
                <w:sz w:val="20"/>
                <w:szCs w:val="20"/>
              </w:rPr>
              <w:t xml:space="preserve"> &gt; 48h, n (%) </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8D0B6C8" w14:textId="77777777" w:rsidR="002E0A7C" w:rsidRPr="002E0A7C" w:rsidRDefault="002E0A7C" w:rsidP="002E0A7C">
            <w:pPr>
              <w:jc w:val="center"/>
              <w:rPr>
                <w:sz w:val="20"/>
                <w:szCs w:val="20"/>
              </w:rPr>
            </w:pPr>
            <w:r w:rsidRPr="002E0A7C">
              <w:rPr>
                <w:color w:val="000000"/>
                <w:sz w:val="20"/>
                <w:szCs w:val="20"/>
              </w:rPr>
              <w:t>157/273 (57.5%)</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A00FFEE" w14:textId="77777777" w:rsidR="002E0A7C" w:rsidRPr="002E0A7C" w:rsidRDefault="002E0A7C" w:rsidP="002E0A7C">
            <w:pPr>
              <w:jc w:val="center"/>
              <w:rPr>
                <w:sz w:val="20"/>
                <w:szCs w:val="20"/>
              </w:rPr>
            </w:pPr>
            <w:r w:rsidRPr="002E0A7C">
              <w:rPr>
                <w:color w:val="000000"/>
                <w:sz w:val="20"/>
                <w:szCs w:val="20"/>
              </w:rPr>
              <w:t>31/44 (70.5%)</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672F2A" w14:textId="77777777" w:rsidR="002E0A7C" w:rsidRPr="002E0A7C" w:rsidRDefault="002E0A7C" w:rsidP="002E0A7C">
            <w:pPr>
              <w:jc w:val="center"/>
              <w:rPr>
                <w:sz w:val="20"/>
                <w:szCs w:val="20"/>
              </w:rPr>
            </w:pPr>
            <w:r w:rsidRPr="002E0A7C">
              <w:rPr>
                <w:color w:val="000000"/>
                <w:sz w:val="20"/>
                <w:szCs w:val="20"/>
              </w:rPr>
              <w:t>0.105</w:t>
            </w:r>
          </w:p>
        </w:tc>
      </w:tr>
      <w:tr w:rsidR="002E0A7C" w:rsidRPr="002E0A7C" w14:paraId="09F9165B"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282AAFED" w14:textId="77777777" w:rsidR="002E0A7C" w:rsidRPr="002E0A7C" w:rsidRDefault="002E0A7C" w:rsidP="002E0A7C">
            <w:pPr>
              <w:rPr>
                <w:sz w:val="20"/>
                <w:szCs w:val="20"/>
              </w:rPr>
            </w:pPr>
            <w:r w:rsidRPr="002E0A7C">
              <w:rPr>
                <w:color w:val="000000"/>
                <w:sz w:val="20"/>
                <w:szCs w:val="20"/>
              </w:rPr>
              <w:t xml:space="preserve">Delay, </w:t>
            </w:r>
            <w:proofErr w:type="spellStart"/>
            <w:r w:rsidRPr="002E0A7C">
              <w:rPr>
                <w:color w:val="000000"/>
                <w:sz w:val="20"/>
                <w:szCs w:val="20"/>
              </w:rPr>
              <w:t>median</w:t>
            </w:r>
            <w:proofErr w:type="spellEnd"/>
            <w:r w:rsidRPr="002E0A7C">
              <w:rPr>
                <w:color w:val="000000"/>
                <w:sz w:val="20"/>
                <w:szCs w:val="20"/>
              </w:rPr>
              <w:t xml:space="preserve"> </w:t>
            </w:r>
            <w:proofErr w:type="spellStart"/>
            <w:r w:rsidRPr="002E0A7C">
              <w:rPr>
                <w:color w:val="000000"/>
                <w:sz w:val="20"/>
                <w:szCs w:val="20"/>
              </w:rPr>
              <w:t>days</w:t>
            </w:r>
            <w:proofErr w:type="spellEnd"/>
            <w:r w:rsidRPr="002E0A7C">
              <w:rPr>
                <w:color w:val="000000"/>
                <w:sz w:val="20"/>
                <w:szCs w:val="20"/>
              </w:rPr>
              <w:t xml:space="preserve"> [IQR] †</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8ABED45" w14:textId="51995581" w:rsidR="002E0A7C" w:rsidRPr="002E0A7C" w:rsidRDefault="002E0A7C" w:rsidP="002E0A7C">
            <w:pPr>
              <w:jc w:val="center"/>
              <w:rPr>
                <w:sz w:val="20"/>
                <w:szCs w:val="20"/>
              </w:rPr>
            </w:pPr>
            <w:r w:rsidRPr="002E0A7C">
              <w:rPr>
                <w:color w:val="000000"/>
                <w:sz w:val="20"/>
                <w:szCs w:val="20"/>
              </w:rPr>
              <w:t>3 [2</w:t>
            </w:r>
            <w:r w:rsidR="00610904">
              <w:rPr>
                <w:color w:val="000000"/>
                <w:sz w:val="20"/>
                <w:szCs w:val="20"/>
              </w:rPr>
              <w:t>-</w:t>
            </w:r>
            <w:r w:rsidRPr="002E0A7C">
              <w:rPr>
                <w:color w:val="000000"/>
                <w:sz w:val="20"/>
                <w:szCs w:val="20"/>
              </w:rPr>
              <w:t>5]</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46BA1F32" w14:textId="6F04A4B6" w:rsidR="002E0A7C" w:rsidRPr="002E0A7C" w:rsidRDefault="002E0A7C" w:rsidP="002E0A7C">
            <w:pPr>
              <w:jc w:val="center"/>
              <w:rPr>
                <w:sz w:val="20"/>
                <w:szCs w:val="20"/>
              </w:rPr>
            </w:pPr>
            <w:r w:rsidRPr="002E0A7C">
              <w:rPr>
                <w:color w:val="000000"/>
                <w:sz w:val="20"/>
                <w:szCs w:val="20"/>
              </w:rPr>
              <w:t>4 [2</w:t>
            </w:r>
            <w:r w:rsidR="00610904">
              <w:rPr>
                <w:color w:val="000000"/>
                <w:sz w:val="20"/>
                <w:szCs w:val="20"/>
              </w:rPr>
              <w:t>-</w:t>
            </w:r>
            <w:r w:rsidRPr="002E0A7C">
              <w:rPr>
                <w:color w:val="000000"/>
                <w:sz w:val="20"/>
                <w:szCs w:val="20"/>
              </w:rPr>
              <w:t>7]</w:t>
            </w:r>
          </w:p>
        </w:tc>
        <w:tc>
          <w:tcPr>
            <w:tcW w:w="62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D4BA4AB" w14:textId="77777777" w:rsidR="002E0A7C" w:rsidRPr="002E0A7C" w:rsidRDefault="002E0A7C" w:rsidP="002E0A7C">
            <w:pPr>
              <w:jc w:val="center"/>
              <w:rPr>
                <w:sz w:val="20"/>
                <w:szCs w:val="20"/>
              </w:rPr>
            </w:pPr>
            <w:r w:rsidRPr="002E0A7C">
              <w:rPr>
                <w:color w:val="000000"/>
                <w:sz w:val="20"/>
                <w:szCs w:val="20"/>
              </w:rPr>
              <w:t>0.016</w:t>
            </w:r>
          </w:p>
        </w:tc>
      </w:tr>
      <w:tr w:rsidR="002E0A7C" w:rsidRPr="002E0A7C" w14:paraId="010A54A7" w14:textId="77777777" w:rsidTr="00044376">
        <w:tc>
          <w:tcPr>
            <w:tcW w:w="0" w:type="auto"/>
            <w:gridSpan w:val="4"/>
            <w:tcBorders>
              <w:bottom w:val="single" w:sz="4" w:space="0" w:color="000000"/>
            </w:tcBorders>
            <w:shd w:val="clear" w:color="auto" w:fill="E8E8E8"/>
            <w:tcMar>
              <w:top w:w="50" w:type="dxa"/>
              <w:left w:w="100" w:type="dxa"/>
              <w:bottom w:w="50" w:type="dxa"/>
              <w:right w:w="100" w:type="dxa"/>
            </w:tcMar>
          </w:tcPr>
          <w:p w14:paraId="33DB59A1" w14:textId="77777777" w:rsidR="002E0A7C" w:rsidRPr="002E0A7C" w:rsidRDefault="002E0A7C" w:rsidP="002E0A7C">
            <w:pPr>
              <w:rPr>
                <w:sz w:val="20"/>
                <w:szCs w:val="20"/>
              </w:rPr>
            </w:pPr>
            <w:proofErr w:type="spellStart"/>
            <w:r w:rsidRPr="002E0A7C">
              <w:rPr>
                <w:b/>
                <w:bCs/>
                <w:color w:val="000000"/>
                <w:sz w:val="20"/>
                <w:szCs w:val="20"/>
              </w:rPr>
              <w:t>Residence</w:t>
            </w:r>
            <w:proofErr w:type="spellEnd"/>
          </w:p>
        </w:tc>
      </w:tr>
      <w:tr w:rsidR="002E0A7C" w:rsidRPr="002E0A7C" w14:paraId="51F131C0"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45E3202" w14:textId="4398B09A" w:rsidR="002E0A7C" w:rsidRPr="00564354" w:rsidRDefault="002E0A7C" w:rsidP="002E0A7C">
            <w:pPr>
              <w:rPr>
                <w:sz w:val="20"/>
                <w:szCs w:val="20"/>
                <w:lang w:val="en-GB"/>
              </w:rPr>
            </w:pPr>
            <w:r w:rsidRPr="00564354">
              <w:rPr>
                <w:color w:val="000000"/>
                <w:sz w:val="20"/>
                <w:szCs w:val="20"/>
                <w:lang w:val="en-GB"/>
              </w:rPr>
              <w:t xml:space="preserve">Central arrondissements (3rd/5th/6th), n (%) </w:t>
            </w:r>
            <w:r w:rsidR="005C6A07">
              <w:rPr>
                <w:color w:val="000000"/>
                <w:sz w:val="20"/>
                <w:szCs w:val="20"/>
                <w:lang w:val="en-GB"/>
              </w:rPr>
              <w:t>*</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CB13811" w14:textId="77777777" w:rsidR="002E0A7C" w:rsidRPr="002E0A7C" w:rsidRDefault="002E0A7C" w:rsidP="002E0A7C">
            <w:pPr>
              <w:jc w:val="center"/>
              <w:rPr>
                <w:sz w:val="20"/>
                <w:szCs w:val="20"/>
              </w:rPr>
            </w:pPr>
            <w:r w:rsidRPr="002E0A7C">
              <w:rPr>
                <w:color w:val="000000"/>
                <w:sz w:val="20"/>
                <w:szCs w:val="20"/>
              </w:rPr>
              <w:t>89/354 (25.1%)</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5C0B223" w14:textId="77777777" w:rsidR="002E0A7C" w:rsidRPr="002E0A7C" w:rsidRDefault="002E0A7C" w:rsidP="002E0A7C">
            <w:pPr>
              <w:jc w:val="center"/>
              <w:rPr>
                <w:sz w:val="20"/>
                <w:szCs w:val="20"/>
              </w:rPr>
            </w:pPr>
            <w:r w:rsidRPr="002E0A7C">
              <w:rPr>
                <w:color w:val="000000"/>
                <w:sz w:val="20"/>
                <w:szCs w:val="20"/>
              </w:rPr>
              <w:t>29/70 (41.4%)</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7EA79D" w14:textId="77777777" w:rsidR="002E0A7C" w:rsidRPr="002E0A7C" w:rsidRDefault="002E0A7C" w:rsidP="002E0A7C">
            <w:pPr>
              <w:jc w:val="center"/>
              <w:rPr>
                <w:sz w:val="20"/>
                <w:szCs w:val="20"/>
              </w:rPr>
            </w:pPr>
            <w:r w:rsidRPr="002E0A7C">
              <w:rPr>
                <w:color w:val="000000"/>
                <w:sz w:val="20"/>
                <w:szCs w:val="20"/>
              </w:rPr>
              <w:t>0.008</w:t>
            </w:r>
          </w:p>
        </w:tc>
      </w:tr>
      <w:tr w:rsidR="002E0A7C" w:rsidRPr="002E0A7C" w14:paraId="1E09A74A" w14:textId="77777777" w:rsidTr="00044376">
        <w:tc>
          <w:tcPr>
            <w:tcW w:w="0" w:type="auto"/>
            <w:gridSpan w:val="4"/>
            <w:tcBorders>
              <w:bottom w:val="single" w:sz="4" w:space="0" w:color="000000"/>
            </w:tcBorders>
            <w:shd w:val="clear" w:color="auto" w:fill="E8E8E8"/>
            <w:tcMar>
              <w:top w:w="50" w:type="dxa"/>
              <w:left w:w="100" w:type="dxa"/>
              <w:bottom w:w="50" w:type="dxa"/>
              <w:right w:w="100" w:type="dxa"/>
            </w:tcMar>
          </w:tcPr>
          <w:p w14:paraId="2D0E70C9" w14:textId="77777777" w:rsidR="002E0A7C" w:rsidRPr="002E0A7C" w:rsidRDefault="002E0A7C" w:rsidP="002E0A7C">
            <w:pPr>
              <w:rPr>
                <w:sz w:val="20"/>
                <w:szCs w:val="20"/>
              </w:rPr>
            </w:pPr>
            <w:proofErr w:type="spellStart"/>
            <w:r w:rsidRPr="002E0A7C">
              <w:rPr>
                <w:b/>
                <w:bCs/>
                <w:color w:val="000000"/>
                <w:sz w:val="20"/>
                <w:szCs w:val="20"/>
              </w:rPr>
              <w:t>Clinical</w:t>
            </w:r>
            <w:proofErr w:type="spellEnd"/>
            <w:r w:rsidRPr="002E0A7C">
              <w:rPr>
                <w:b/>
                <w:bCs/>
                <w:color w:val="000000"/>
                <w:sz w:val="20"/>
                <w:szCs w:val="20"/>
              </w:rPr>
              <w:t xml:space="preserve"> </w:t>
            </w:r>
            <w:proofErr w:type="spellStart"/>
            <w:r w:rsidRPr="002E0A7C">
              <w:rPr>
                <w:b/>
                <w:bCs/>
                <w:color w:val="000000"/>
                <w:sz w:val="20"/>
                <w:szCs w:val="20"/>
              </w:rPr>
              <w:t>presentation</w:t>
            </w:r>
            <w:proofErr w:type="spellEnd"/>
          </w:p>
        </w:tc>
      </w:tr>
      <w:tr w:rsidR="002E0A7C" w:rsidRPr="002E0A7C" w14:paraId="75735BA3"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7363744F" w14:textId="77777777" w:rsidR="002E0A7C" w:rsidRPr="002E0A7C" w:rsidRDefault="002E0A7C" w:rsidP="002E0A7C">
            <w:pPr>
              <w:rPr>
                <w:sz w:val="20"/>
                <w:szCs w:val="20"/>
              </w:rPr>
            </w:pPr>
            <w:r w:rsidRPr="002E0A7C">
              <w:rPr>
                <w:color w:val="000000"/>
                <w:sz w:val="20"/>
                <w:szCs w:val="20"/>
              </w:rPr>
              <w:t>Fever, n (%)</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4971DDE7" w14:textId="77777777" w:rsidR="002E0A7C" w:rsidRPr="002E0A7C" w:rsidRDefault="002E0A7C" w:rsidP="002E0A7C">
            <w:pPr>
              <w:jc w:val="center"/>
              <w:rPr>
                <w:sz w:val="20"/>
                <w:szCs w:val="20"/>
              </w:rPr>
            </w:pPr>
            <w:r w:rsidRPr="002E0A7C">
              <w:rPr>
                <w:color w:val="000000"/>
                <w:sz w:val="20"/>
                <w:szCs w:val="20"/>
              </w:rPr>
              <w:t>215/367 (58.6%)</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305AD3A4" w14:textId="77777777" w:rsidR="002E0A7C" w:rsidRPr="002E0A7C" w:rsidRDefault="002E0A7C" w:rsidP="002E0A7C">
            <w:pPr>
              <w:jc w:val="center"/>
              <w:rPr>
                <w:sz w:val="20"/>
                <w:szCs w:val="20"/>
              </w:rPr>
            </w:pPr>
            <w:r w:rsidRPr="002E0A7C">
              <w:rPr>
                <w:color w:val="000000"/>
                <w:sz w:val="20"/>
                <w:szCs w:val="20"/>
              </w:rPr>
              <w:t>32/74 (43.2%)</w:t>
            </w:r>
          </w:p>
        </w:tc>
        <w:tc>
          <w:tcPr>
            <w:tcW w:w="62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2776038F" w14:textId="77777777" w:rsidR="002E0A7C" w:rsidRPr="002E0A7C" w:rsidRDefault="002E0A7C" w:rsidP="002E0A7C">
            <w:pPr>
              <w:jc w:val="center"/>
              <w:rPr>
                <w:sz w:val="20"/>
                <w:szCs w:val="20"/>
              </w:rPr>
            </w:pPr>
            <w:r w:rsidRPr="002E0A7C">
              <w:rPr>
                <w:color w:val="000000"/>
                <w:sz w:val="20"/>
                <w:szCs w:val="20"/>
              </w:rPr>
              <w:t>0.015</w:t>
            </w:r>
          </w:p>
        </w:tc>
      </w:tr>
      <w:tr w:rsidR="002E0A7C" w:rsidRPr="002E0A7C" w14:paraId="294C13F2"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58F827C" w14:textId="77777777" w:rsidR="002E0A7C" w:rsidRPr="002E0A7C" w:rsidRDefault="002E0A7C" w:rsidP="002E0A7C">
            <w:pPr>
              <w:rPr>
                <w:sz w:val="20"/>
                <w:szCs w:val="20"/>
              </w:rPr>
            </w:pPr>
            <w:proofErr w:type="spellStart"/>
            <w:r w:rsidRPr="002E0A7C">
              <w:rPr>
                <w:color w:val="000000"/>
                <w:sz w:val="20"/>
                <w:szCs w:val="20"/>
              </w:rPr>
              <w:t>Vomiting</w:t>
            </w:r>
            <w:proofErr w:type="spellEnd"/>
            <w:r w:rsidRPr="002E0A7C">
              <w:rPr>
                <w:color w:val="000000"/>
                <w:sz w:val="20"/>
                <w:szCs w:val="20"/>
              </w:rPr>
              <w:t>, n (%)</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D8DBC11" w14:textId="77777777" w:rsidR="002E0A7C" w:rsidRPr="002E0A7C" w:rsidRDefault="002E0A7C" w:rsidP="002E0A7C">
            <w:pPr>
              <w:jc w:val="center"/>
              <w:rPr>
                <w:sz w:val="20"/>
                <w:szCs w:val="20"/>
              </w:rPr>
            </w:pPr>
            <w:r w:rsidRPr="002E0A7C">
              <w:rPr>
                <w:color w:val="000000"/>
                <w:sz w:val="20"/>
                <w:szCs w:val="20"/>
              </w:rPr>
              <w:t>78/367 (21.3%)</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174BD07" w14:textId="77777777" w:rsidR="002E0A7C" w:rsidRPr="002E0A7C" w:rsidRDefault="002E0A7C" w:rsidP="002E0A7C">
            <w:pPr>
              <w:jc w:val="center"/>
              <w:rPr>
                <w:sz w:val="20"/>
                <w:szCs w:val="20"/>
              </w:rPr>
            </w:pPr>
            <w:r w:rsidRPr="002E0A7C">
              <w:rPr>
                <w:color w:val="000000"/>
                <w:sz w:val="20"/>
                <w:szCs w:val="20"/>
              </w:rPr>
              <w:t>8/74 (10.8%)</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84A21E" w14:textId="77777777" w:rsidR="002E0A7C" w:rsidRPr="002E0A7C" w:rsidRDefault="002E0A7C" w:rsidP="002E0A7C">
            <w:pPr>
              <w:jc w:val="center"/>
              <w:rPr>
                <w:sz w:val="20"/>
                <w:szCs w:val="20"/>
              </w:rPr>
            </w:pPr>
            <w:r w:rsidRPr="002E0A7C">
              <w:rPr>
                <w:color w:val="000000"/>
                <w:sz w:val="20"/>
                <w:szCs w:val="20"/>
              </w:rPr>
              <w:t>0.039</w:t>
            </w:r>
          </w:p>
        </w:tc>
      </w:tr>
      <w:tr w:rsidR="002E0A7C" w:rsidRPr="002E0A7C" w14:paraId="4B724F6E"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6A5E37C" w14:textId="77777777" w:rsidR="002E0A7C" w:rsidRPr="002E0A7C" w:rsidRDefault="002E0A7C" w:rsidP="002E0A7C">
            <w:pPr>
              <w:rPr>
                <w:sz w:val="20"/>
                <w:szCs w:val="20"/>
              </w:rPr>
            </w:pPr>
            <w:proofErr w:type="spellStart"/>
            <w:r w:rsidRPr="002E0A7C">
              <w:rPr>
                <w:color w:val="000000"/>
                <w:sz w:val="20"/>
                <w:szCs w:val="20"/>
              </w:rPr>
              <w:t>Seizures</w:t>
            </w:r>
            <w:proofErr w:type="spellEnd"/>
            <w:r w:rsidRPr="002E0A7C">
              <w:rPr>
                <w:color w:val="000000"/>
                <w:sz w:val="20"/>
                <w:szCs w:val="20"/>
              </w:rPr>
              <w:t>, n (%)</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514EB36" w14:textId="77777777" w:rsidR="002E0A7C" w:rsidRPr="002E0A7C" w:rsidRDefault="002E0A7C" w:rsidP="002E0A7C">
            <w:pPr>
              <w:jc w:val="center"/>
              <w:rPr>
                <w:sz w:val="20"/>
                <w:szCs w:val="20"/>
              </w:rPr>
            </w:pPr>
            <w:r w:rsidRPr="002E0A7C">
              <w:rPr>
                <w:color w:val="000000"/>
                <w:sz w:val="20"/>
                <w:szCs w:val="20"/>
              </w:rPr>
              <w:t>81/367 (22.1%)</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E901DF5" w14:textId="77777777" w:rsidR="002E0A7C" w:rsidRPr="002E0A7C" w:rsidRDefault="002E0A7C" w:rsidP="002E0A7C">
            <w:pPr>
              <w:jc w:val="center"/>
              <w:rPr>
                <w:sz w:val="20"/>
                <w:szCs w:val="20"/>
              </w:rPr>
            </w:pPr>
            <w:r w:rsidRPr="002E0A7C">
              <w:rPr>
                <w:color w:val="000000"/>
                <w:sz w:val="20"/>
                <w:szCs w:val="20"/>
              </w:rPr>
              <w:t>16/74 (21.6%)</w:t>
            </w:r>
          </w:p>
        </w:tc>
        <w:tc>
          <w:tcPr>
            <w:tcW w:w="62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49DA0157" w14:textId="77777777" w:rsidR="002E0A7C" w:rsidRPr="002E0A7C" w:rsidRDefault="002E0A7C" w:rsidP="002E0A7C">
            <w:pPr>
              <w:jc w:val="center"/>
              <w:rPr>
                <w:sz w:val="20"/>
                <w:szCs w:val="20"/>
              </w:rPr>
            </w:pPr>
            <w:r w:rsidRPr="002E0A7C">
              <w:rPr>
                <w:color w:val="000000"/>
                <w:sz w:val="20"/>
                <w:szCs w:val="20"/>
              </w:rPr>
              <w:t>0.932</w:t>
            </w:r>
          </w:p>
        </w:tc>
      </w:tr>
      <w:tr w:rsidR="002E0A7C" w:rsidRPr="002E0A7C" w14:paraId="5B1C05B9"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B5E0D38" w14:textId="77777777" w:rsidR="002E0A7C" w:rsidRPr="002E0A7C" w:rsidRDefault="002E0A7C" w:rsidP="002E0A7C">
            <w:pPr>
              <w:rPr>
                <w:sz w:val="20"/>
                <w:szCs w:val="20"/>
              </w:rPr>
            </w:pPr>
            <w:proofErr w:type="spellStart"/>
            <w:r w:rsidRPr="002E0A7C">
              <w:rPr>
                <w:color w:val="000000"/>
                <w:sz w:val="20"/>
                <w:szCs w:val="20"/>
              </w:rPr>
              <w:t>Jaundice</w:t>
            </w:r>
            <w:proofErr w:type="spellEnd"/>
            <w:r w:rsidRPr="002E0A7C">
              <w:rPr>
                <w:color w:val="000000"/>
                <w:sz w:val="20"/>
                <w:szCs w:val="20"/>
              </w:rPr>
              <w:t>, n (%)</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22E0A83" w14:textId="77777777" w:rsidR="002E0A7C" w:rsidRPr="002E0A7C" w:rsidRDefault="002E0A7C" w:rsidP="002E0A7C">
            <w:pPr>
              <w:jc w:val="center"/>
              <w:rPr>
                <w:sz w:val="20"/>
                <w:szCs w:val="20"/>
              </w:rPr>
            </w:pPr>
            <w:r w:rsidRPr="002E0A7C">
              <w:rPr>
                <w:color w:val="000000"/>
                <w:sz w:val="20"/>
                <w:szCs w:val="20"/>
              </w:rPr>
              <w:t>8/367 (2.2%)</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B563675" w14:textId="77777777" w:rsidR="002E0A7C" w:rsidRPr="002E0A7C" w:rsidRDefault="002E0A7C" w:rsidP="002E0A7C">
            <w:pPr>
              <w:jc w:val="center"/>
              <w:rPr>
                <w:sz w:val="20"/>
                <w:szCs w:val="20"/>
              </w:rPr>
            </w:pPr>
            <w:r w:rsidRPr="002E0A7C">
              <w:rPr>
                <w:color w:val="000000"/>
                <w:sz w:val="20"/>
                <w:szCs w:val="20"/>
              </w:rPr>
              <w:t>3/74 (4.1%)</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573EB70" w14:textId="77777777" w:rsidR="002E0A7C" w:rsidRPr="002E0A7C" w:rsidRDefault="002E0A7C" w:rsidP="002E0A7C">
            <w:pPr>
              <w:jc w:val="center"/>
              <w:rPr>
                <w:sz w:val="20"/>
                <w:szCs w:val="20"/>
              </w:rPr>
            </w:pPr>
            <w:r w:rsidRPr="002E0A7C">
              <w:rPr>
                <w:color w:val="000000"/>
                <w:sz w:val="20"/>
                <w:szCs w:val="20"/>
              </w:rPr>
              <w:t>0.405</w:t>
            </w:r>
          </w:p>
        </w:tc>
      </w:tr>
      <w:tr w:rsidR="002E0A7C" w:rsidRPr="002E0A7C" w14:paraId="721294BF" w14:textId="77777777" w:rsidTr="00044376">
        <w:tc>
          <w:tcPr>
            <w:tcW w:w="0" w:type="auto"/>
            <w:gridSpan w:val="4"/>
            <w:tcBorders>
              <w:bottom w:val="single" w:sz="4" w:space="0" w:color="000000"/>
            </w:tcBorders>
            <w:shd w:val="clear" w:color="auto" w:fill="E8E8E8"/>
            <w:tcMar>
              <w:top w:w="50" w:type="dxa"/>
              <w:left w:w="100" w:type="dxa"/>
              <w:bottom w:w="50" w:type="dxa"/>
              <w:right w:w="100" w:type="dxa"/>
            </w:tcMar>
          </w:tcPr>
          <w:p w14:paraId="5D146279" w14:textId="77777777" w:rsidR="002E0A7C" w:rsidRPr="002E0A7C" w:rsidRDefault="002E0A7C" w:rsidP="002E0A7C">
            <w:pPr>
              <w:rPr>
                <w:sz w:val="20"/>
                <w:szCs w:val="20"/>
              </w:rPr>
            </w:pPr>
            <w:proofErr w:type="spellStart"/>
            <w:r w:rsidRPr="002E0A7C">
              <w:rPr>
                <w:b/>
                <w:bCs/>
                <w:color w:val="000000"/>
                <w:sz w:val="20"/>
                <w:szCs w:val="20"/>
              </w:rPr>
              <w:t>Laboratory</w:t>
            </w:r>
            <w:proofErr w:type="spellEnd"/>
            <w:r w:rsidRPr="002E0A7C">
              <w:rPr>
                <w:b/>
                <w:bCs/>
                <w:color w:val="000000"/>
                <w:sz w:val="20"/>
                <w:szCs w:val="20"/>
              </w:rPr>
              <w:t xml:space="preserve"> </w:t>
            </w:r>
            <w:proofErr w:type="spellStart"/>
            <w:r w:rsidRPr="002E0A7C">
              <w:rPr>
                <w:b/>
                <w:bCs/>
                <w:color w:val="000000"/>
                <w:sz w:val="20"/>
                <w:szCs w:val="20"/>
              </w:rPr>
              <w:t>findings</w:t>
            </w:r>
            <w:proofErr w:type="spellEnd"/>
          </w:p>
        </w:tc>
      </w:tr>
      <w:tr w:rsidR="002E0A7C" w:rsidRPr="002E0A7C" w14:paraId="45A2CA40"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4DE14697" w14:textId="77777777" w:rsidR="002E0A7C" w:rsidRPr="002E0A7C" w:rsidRDefault="002E0A7C" w:rsidP="002E0A7C">
            <w:pPr>
              <w:rPr>
                <w:sz w:val="20"/>
                <w:szCs w:val="20"/>
              </w:rPr>
            </w:pPr>
            <w:proofErr w:type="spellStart"/>
            <w:r w:rsidRPr="002E0A7C">
              <w:rPr>
                <w:color w:val="000000"/>
                <w:sz w:val="20"/>
                <w:szCs w:val="20"/>
              </w:rPr>
              <w:t>Haemoglobin</w:t>
            </w:r>
            <w:proofErr w:type="spellEnd"/>
            <w:r w:rsidRPr="002E0A7C">
              <w:rPr>
                <w:color w:val="000000"/>
                <w:sz w:val="20"/>
                <w:szCs w:val="20"/>
              </w:rPr>
              <w:t>, g/</w:t>
            </w:r>
            <w:proofErr w:type="spellStart"/>
            <w:r w:rsidRPr="002E0A7C">
              <w:rPr>
                <w:color w:val="000000"/>
                <w:sz w:val="20"/>
                <w:szCs w:val="20"/>
              </w:rPr>
              <w:t>dL</w:t>
            </w:r>
            <w:proofErr w:type="spellEnd"/>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565DFB93" w14:textId="6675A8DC" w:rsidR="002E0A7C" w:rsidRPr="002E0A7C" w:rsidRDefault="002E0A7C" w:rsidP="002E0A7C">
            <w:pPr>
              <w:jc w:val="center"/>
              <w:rPr>
                <w:sz w:val="20"/>
                <w:szCs w:val="20"/>
              </w:rPr>
            </w:pPr>
            <w:r w:rsidRPr="002E0A7C">
              <w:rPr>
                <w:color w:val="000000"/>
                <w:sz w:val="20"/>
                <w:szCs w:val="20"/>
              </w:rPr>
              <w:t>8.9 [6.0</w:t>
            </w:r>
            <w:r w:rsidR="00610904">
              <w:rPr>
                <w:color w:val="000000"/>
                <w:sz w:val="20"/>
                <w:szCs w:val="20"/>
              </w:rPr>
              <w:t>-</w:t>
            </w:r>
            <w:r w:rsidRPr="002E0A7C">
              <w:rPr>
                <w:color w:val="000000"/>
                <w:sz w:val="20"/>
                <w:szCs w:val="20"/>
              </w:rPr>
              <w:t>11.2]</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E8925BE" w14:textId="7190E4BD" w:rsidR="002E0A7C" w:rsidRPr="002E0A7C" w:rsidRDefault="002E0A7C" w:rsidP="002E0A7C">
            <w:pPr>
              <w:jc w:val="center"/>
              <w:rPr>
                <w:sz w:val="20"/>
                <w:szCs w:val="20"/>
              </w:rPr>
            </w:pPr>
            <w:r w:rsidRPr="002E0A7C">
              <w:rPr>
                <w:color w:val="000000"/>
                <w:sz w:val="20"/>
                <w:szCs w:val="20"/>
              </w:rPr>
              <w:t>8.6 [6.0</w:t>
            </w:r>
            <w:r w:rsidR="00610904">
              <w:rPr>
                <w:color w:val="000000"/>
                <w:sz w:val="20"/>
                <w:szCs w:val="20"/>
              </w:rPr>
              <w:t>-</w:t>
            </w:r>
            <w:r w:rsidRPr="002E0A7C">
              <w:rPr>
                <w:color w:val="000000"/>
                <w:sz w:val="20"/>
                <w:szCs w:val="20"/>
              </w:rPr>
              <w:t>10.4]</w:t>
            </w:r>
          </w:p>
        </w:tc>
        <w:tc>
          <w:tcPr>
            <w:tcW w:w="62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1E79E715" w14:textId="77777777" w:rsidR="002E0A7C" w:rsidRPr="002E0A7C" w:rsidRDefault="002E0A7C" w:rsidP="002E0A7C">
            <w:pPr>
              <w:jc w:val="center"/>
              <w:rPr>
                <w:sz w:val="20"/>
                <w:szCs w:val="20"/>
              </w:rPr>
            </w:pPr>
            <w:r w:rsidRPr="002E0A7C">
              <w:rPr>
                <w:color w:val="000000"/>
                <w:sz w:val="20"/>
                <w:szCs w:val="20"/>
              </w:rPr>
              <w:t>0.362</w:t>
            </w:r>
          </w:p>
        </w:tc>
      </w:tr>
      <w:tr w:rsidR="002E0A7C" w:rsidRPr="002E0A7C" w14:paraId="332AC454"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135C6E1" w14:textId="77777777" w:rsidR="002E0A7C" w:rsidRPr="002E0A7C" w:rsidRDefault="002E0A7C" w:rsidP="002E0A7C">
            <w:pPr>
              <w:rPr>
                <w:sz w:val="20"/>
                <w:szCs w:val="20"/>
              </w:rPr>
            </w:pPr>
            <w:proofErr w:type="spellStart"/>
            <w:r w:rsidRPr="002E0A7C">
              <w:rPr>
                <w:color w:val="000000"/>
                <w:sz w:val="20"/>
                <w:szCs w:val="20"/>
              </w:rPr>
              <w:t>Parasitaemia</w:t>
            </w:r>
            <w:proofErr w:type="spellEnd"/>
            <w:r w:rsidRPr="002E0A7C">
              <w:rPr>
                <w:color w:val="000000"/>
                <w:sz w:val="20"/>
                <w:szCs w:val="20"/>
              </w:rPr>
              <w:t>, ×10³/µL</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1B601B" w14:textId="5906AE61" w:rsidR="002E0A7C" w:rsidRPr="002E0A7C" w:rsidRDefault="002E0A7C" w:rsidP="002E0A7C">
            <w:pPr>
              <w:jc w:val="center"/>
              <w:rPr>
                <w:sz w:val="20"/>
                <w:szCs w:val="20"/>
              </w:rPr>
            </w:pPr>
            <w:r w:rsidRPr="002E0A7C">
              <w:rPr>
                <w:color w:val="000000"/>
                <w:sz w:val="20"/>
                <w:szCs w:val="20"/>
              </w:rPr>
              <w:t>6.3 [2.4</w:t>
            </w:r>
            <w:r w:rsidR="00610904">
              <w:rPr>
                <w:color w:val="000000"/>
                <w:sz w:val="20"/>
                <w:szCs w:val="20"/>
              </w:rPr>
              <w:t>-</w:t>
            </w:r>
            <w:r w:rsidRPr="002E0A7C">
              <w:rPr>
                <w:color w:val="000000"/>
                <w:sz w:val="20"/>
                <w:szCs w:val="20"/>
              </w:rPr>
              <w:t>17.3]</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042D8C1" w14:textId="2F09DC2B" w:rsidR="002E0A7C" w:rsidRPr="002E0A7C" w:rsidRDefault="002E0A7C" w:rsidP="002E0A7C">
            <w:pPr>
              <w:jc w:val="center"/>
              <w:rPr>
                <w:sz w:val="20"/>
                <w:szCs w:val="20"/>
              </w:rPr>
            </w:pPr>
            <w:r w:rsidRPr="002E0A7C">
              <w:rPr>
                <w:color w:val="000000"/>
                <w:sz w:val="20"/>
                <w:szCs w:val="20"/>
              </w:rPr>
              <w:t>12.6 [4.9</w:t>
            </w:r>
            <w:r w:rsidR="00610904">
              <w:rPr>
                <w:color w:val="000000"/>
                <w:sz w:val="20"/>
                <w:szCs w:val="20"/>
              </w:rPr>
              <w:t>-</w:t>
            </w:r>
            <w:r w:rsidRPr="002E0A7C">
              <w:rPr>
                <w:color w:val="000000"/>
                <w:sz w:val="20"/>
                <w:szCs w:val="20"/>
              </w:rPr>
              <w:t>51.2]</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F824200" w14:textId="77777777" w:rsidR="002E0A7C" w:rsidRPr="002E0A7C" w:rsidRDefault="002E0A7C" w:rsidP="002E0A7C">
            <w:pPr>
              <w:jc w:val="center"/>
              <w:rPr>
                <w:sz w:val="20"/>
                <w:szCs w:val="20"/>
              </w:rPr>
            </w:pPr>
            <w:r w:rsidRPr="002E0A7C">
              <w:rPr>
                <w:color w:val="000000"/>
                <w:sz w:val="20"/>
                <w:szCs w:val="20"/>
              </w:rPr>
              <w:t>&lt;0.001</w:t>
            </w:r>
          </w:p>
        </w:tc>
      </w:tr>
      <w:tr w:rsidR="002E0A7C" w:rsidRPr="002E0A7C" w14:paraId="3805DD6A"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ABAAB8D" w14:textId="77777777" w:rsidR="002E0A7C" w:rsidRPr="00564354" w:rsidRDefault="002E0A7C" w:rsidP="002E0A7C">
            <w:pPr>
              <w:rPr>
                <w:sz w:val="20"/>
                <w:szCs w:val="20"/>
                <w:lang w:val="en-GB"/>
              </w:rPr>
            </w:pPr>
            <w:r w:rsidRPr="00564354">
              <w:rPr>
                <w:color w:val="000000"/>
                <w:sz w:val="20"/>
                <w:szCs w:val="20"/>
                <w:lang w:val="en-GB"/>
              </w:rPr>
              <w:t>White blood cells, G/L</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3653FC51" w14:textId="245BEA5B" w:rsidR="002E0A7C" w:rsidRPr="002E0A7C" w:rsidRDefault="002E0A7C" w:rsidP="002E0A7C">
            <w:pPr>
              <w:jc w:val="center"/>
              <w:rPr>
                <w:sz w:val="20"/>
                <w:szCs w:val="20"/>
              </w:rPr>
            </w:pPr>
            <w:r w:rsidRPr="002E0A7C">
              <w:rPr>
                <w:color w:val="000000"/>
                <w:sz w:val="20"/>
                <w:szCs w:val="20"/>
              </w:rPr>
              <w:t>9.2 [6.6</w:t>
            </w:r>
            <w:r w:rsidR="00610904">
              <w:rPr>
                <w:color w:val="000000"/>
                <w:sz w:val="20"/>
                <w:szCs w:val="20"/>
              </w:rPr>
              <w:t>-</w:t>
            </w:r>
            <w:r w:rsidRPr="002E0A7C">
              <w:rPr>
                <w:color w:val="000000"/>
                <w:sz w:val="20"/>
                <w:szCs w:val="20"/>
              </w:rPr>
              <w:t>12.4]</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4F037CD3" w14:textId="5F6B1780" w:rsidR="002E0A7C" w:rsidRPr="002E0A7C" w:rsidRDefault="002E0A7C" w:rsidP="002E0A7C">
            <w:pPr>
              <w:jc w:val="center"/>
              <w:rPr>
                <w:sz w:val="20"/>
                <w:szCs w:val="20"/>
              </w:rPr>
            </w:pPr>
            <w:r w:rsidRPr="002E0A7C">
              <w:rPr>
                <w:color w:val="000000"/>
                <w:sz w:val="20"/>
                <w:szCs w:val="20"/>
              </w:rPr>
              <w:t>10.5 [8.4</w:t>
            </w:r>
            <w:r w:rsidR="00610904">
              <w:rPr>
                <w:color w:val="000000"/>
                <w:sz w:val="20"/>
                <w:szCs w:val="20"/>
              </w:rPr>
              <w:t>-</w:t>
            </w:r>
            <w:r w:rsidRPr="002E0A7C">
              <w:rPr>
                <w:color w:val="000000"/>
                <w:sz w:val="20"/>
                <w:szCs w:val="20"/>
              </w:rPr>
              <w:t>15.0]</w:t>
            </w:r>
          </w:p>
        </w:tc>
        <w:tc>
          <w:tcPr>
            <w:tcW w:w="62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53D89CD8" w14:textId="77777777" w:rsidR="002E0A7C" w:rsidRPr="002E0A7C" w:rsidRDefault="002E0A7C" w:rsidP="002E0A7C">
            <w:pPr>
              <w:jc w:val="center"/>
              <w:rPr>
                <w:sz w:val="20"/>
                <w:szCs w:val="20"/>
              </w:rPr>
            </w:pPr>
            <w:r w:rsidRPr="002E0A7C">
              <w:rPr>
                <w:color w:val="000000"/>
                <w:sz w:val="20"/>
                <w:szCs w:val="20"/>
              </w:rPr>
              <w:t>0.005</w:t>
            </w:r>
          </w:p>
        </w:tc>
      </w:tr>
      <w:tr w:rsidR="002E0A7C" w:rsidRPr="002E0A7C" w14:paraId="466C4AC0"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40C0845" w14:textId="77777777" w:rsidR="002E0A7C" w:rsidRPr="002E0A7C" w:rsidRDefault="002E0A7C" w:rsidP="002E0A7C">
            <w:pPr>
              <w:rPr>
                <w:sz w:val="20"/>
                <w:szCs w:val="20"/>
              </w:rPr>
            </w:pPr>
            <w:proofErr w:type="spellStart"/>
            <w:r w:rsidRPr="002E0A7C">
              <w:rPr>
                <w:color w:val="000000"/>
                <w:sz w:val="20"/>
                <w:szCs w:val="20"/>
              </w:rPr>
              <w:t>Platelets</w:t>
            </w:r>
            <w:proofErr w:type="spellEnd"/>
            <w:r w:rsidRPr="002E0A7C">
              <w:rPr>
                <w:color w:val="000000"/>
                <w:sz w:val="20"/>
                <w:szCs w:val="20"/>
              </w:rPr>
              <w:t>, G/L</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CA613F5" w14:textId="5FF918DB" w:rsidR="002E0A7C" w:rsidRPr="002E0A7C" w:rsidRDefault="002E0A7C" w:rsidP="002E0A7C">
            <w:pPr>
              <w:jc w:val="center"/>
              <w:rPr>
                <w:sz w:val="20"/>
                <w:szCs w:val="20"/>
              </w:rPr>
            </w:pPr>
            <w:r w:rsidRPr="002E0A7C">
              <w:rPr>
                <w:color w:val="000000"/>
                <w:sz w:val="20"/>
                <w:szCs w:val="20"/>
              </w:rPr>
              <w:t>145 [88</w:t>
            </w:r>
            <w:r w:rsidR="00610904">
              <w:rPr>
                <w:color w:val="000000"/>
                <w:sz w:val="20"/>
                <w:szCs w:val="20"/>
              </w:rPr>
              <w:t>-</w:t>
            </w:r>
            <w:r w:rsidRPr="002E0A7C">
              <w:rPr>
                <w:color w:val="000000"/>
                <w:sz w:val="20"/>
                <w:szCs w:val="20"/>
              </w:rPr>
              <w:t>259]</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A58967D" w14:textId="6D103E53" w:rsidR="002E0A7C" w:rsidRPr="002E0A7C" w:rsidRDefault="002E0A7C" w:rsidP="002E0A7C">
            <w:pPr>
              <w:jc w:val="center"/>
              <w:rPr>
                <w:sz w:val="20"/>
                <w:szCs w:val="20"/>
              </w:rPr>
            </w:pPr>
            <w:r w:rsidRPr="002E0A7C">
              <w:rPr>
                <w:color w:val="000000"/>
                <w:sz w:val="20"/>
                <w:szCs w:val="20"/>
              </w:rPr>
              <w:t>190 [95</w:t>
            </w:r>
            <w:r w:rsidR="00610904">
              <w:rPr>
                <w:color w:val="000000"/>
                <w:sz w:val="20"/>
                <w:szCs w:val="20"/>
              </w:rPr>
              <w:t>-</w:t>
            </w:r>
            <w:r w:rsidRPr="002E0A7C">
              <w:rPr>
                <w:color w:val="000000"/>
                <w:sz w:val="20"/>
                <w:szCs w:val="20"/>
              </w:rPr>
              <w:t>290]</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392163E" w14:textId="77777777" w:rsidR="002E0A7C" w:rsidRPr="002E0A7C" w:rsidRDefault="002E0A7C" w:rsidP="002E0A7C">
            <w:pPr>
              <w:jc w:val="center"/>
              <w:rPr>
                <w:sz w:val="20"/>
                <w:szCs w:val="20"/>
              </w:rPr>
            </w:pPr>
            <w:r w:rsidRPr="002E0A7C">
              <w:rPr>
                <w:color w:val="000000"/>
                <w:sz w:val="20"/>
                <w:szCs w:val="20"/>
              </w:rPr>
              <w:t>0.096</w:t>
            </w:r>
          </w:p>
        </w:tc>
      </w:tr>
      <w:tr w:rsidR="002E0A7C" w:rsidRPr="002E0A7C" w14:paraId="18C3E3B4" w14:textId="77777777" w:rsidTr="00044376">
        <w:tc>
          <w:tcPr>
            <w:tcW w:w="0" w:type="auto"/>
            <w:gridSpan w:val="4"/>
            <w:tcBorders>
              <w:bottom w:val="single" w:sz="4" w:space="0" w:color="000000"/>
            </w:tcBorders>
            <w:shd w:val="clear" w:color="auto" w:fill="E8E8E8"/>
            <w:tcMar>
              <w:top w:w="50" w:type="dxa"/>
              <w:left w:w="100" w:type="dxa"/>
              <w:bottom w:w="50" w:type="dxa"/>
              <w:right w:w="100" w:type="dxa"/>
            </w:tcMar>
          </w:tcPr>
          <w:p w14:paraId="437C75E6" w14:textId="77777777" w:rsidR="002E0A7C" w:rsidRPr="002E0A7C" w:rsidRDefault="002E0A7C" w:rsidP="002E0A7C">
            <w:pPr>
              <w:rPr>
                <w:sz w:val="20"/>
                <w:szCs w:val="20"/>
              </w:rPr>
            </w:pPr>
            <w:r w:rsidRPr="002E0A7C">
              <w:rPr>
                <w:b/>
                <w:bCs/>
                <w:color w:val="000000"/>
                <w:sz w:val="20"/>
                <w:szCs w:val="20"/>
              </w:rPr>
              <w:t xml:space="preserve">WHO malaria </w:t>
            </w:r>
            <w:proofErr w:type="spellStart"/>
            <w:r w:rsidRPr="002E0A7C">
              <w:rPr>
                <w:b/>
                <w:bCs/>
                <w:color w:val="000000"/>
                <w:sz w:val="20"/>
                <w:szCs w:val="20"/>
              </w:rPr>
              <w:t>severity</w:t>
            </w:r>
            <w:proofErr w:type="spellEnd"/>
          </w:p>
        </w:tc>
      </w:tr>
      <w:tr w:rsidR="002E0A7C" w:rsidRPr="002E0A7C" w14:paraId="1314480D"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2E03407E" w14:textId="77777777" w:rsidR="002E0A7C" w:rsidRPr="00564354" w:rsidRDefault="002E0A7C" w:rsidP="002E0A7C">
            <w:pPr>
              <w:rPr>
                <w:sz w:val="20"/>
                <w:szCs w:val="20"/>
                <w:lang w:val="en-GB"/>
              </w:rPr>
            </w:pPr>
            <w:r w:rsidRPr="00564354">
              <w:rPr>
                <w:color w:val="000000"/>
                <w:sz w:val="20"/>
                <w:szCs w:val="20"/>
                <w:lang w:val="en-GB"/>
              </w:rPr>
              <w:t>Severe malaria (≥1 WHO criterion), n (%)</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4DCDDBEB" w14:textId="77777777" w:rsidR="002E0A7C" w:rsidRPr="002E0A7C" w:rsidRDefault="002E0A7C" w:rsidP="002E0A7C">
            <w:pPr>
              <w:jc w:val="center"/>
              <w:rPr>
                <w:sz w:val="20"/>
                <w:szCs w:val="20"/>
              </w:rPr>
            </w:pPr>
            <w:r w:rsidRPr="002E0A7C">
              <w:rPr>
                <w:color w:val="000000"/>
                <w:sz w:val="20"/>
                <w:szCs w:val="20"/>
              </w:rPr>
              <w:t>123/367 (33.5%)</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D7A9E69" w14:textId="77777777" w:rsidR="002E0A7C" w:rsidRPr="002E0A7C" w:rsidRDefault="002E0A7C" w:rsidP="002E0A7C">
            <w:pPr>
              <w:jc w:val="center"/>
              <w:rPr>
                <w:sz w:val="20"/>
                <w:szCs w:val="20"/>
              </w:rPr>
            </w:pPr>
            <w:r w:rsidRPr="002E0A7C">
              <w:rPr>
                <w:color w:val="000000"/>
                <w:sz w:val="20"/>
                <w:szCs w:val="20"/>
              </w:rPr>
              <w:t>38/74 (51.4%)</w:t>
            </w:r>
          </w:p>
        </w:tc>
        <w:tc>
          <w:tcPr>
            <w:tcW w:w="62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141C0C65" w14:textId="77777777" w:rsidR="002E0A7C" w:rsidRPr="002E0A7C" w:rsidRDefault="002E0A7C" w:rsidP="002E0A7C">
            <w:pPr>
              <w:jc w:val="center"/>
              <w:rPr>
                <w:sz w:val="20"/>
                <w:szCs w:val="20"/>
              </w:rPr>
            </w:pPr>
            <w:r w:rsidRPr="002E0A7C">
              <w:rPr>
                <w:color w:val="000000"/>
                <w:sz w:val="20"/>
                <w:szCs w:val="20"/>
              </w:rPr>
              <w:t>0.005</w:t>
            </w:r>
          </w:p>
        </w:tc>
      </w:tr>
      <w:tr w:rsidR="002E0A7C" w:rsidRPr="002E0A7C" w14:paraId="74C44B7E"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C1CC789" w14:textId="77777777" w:rsidR="002E0A7C" w:rsidRPr="00564354" w:rsidRDefault="002E0A7C" w:rsidP="002E0A7C">
            <w:pPr>
              <w:rPr>
                <w:sz w:val="20"/>
                <w:szCs w:val="20"/>
                <w:lang w:val="en-GB"/>
              </w:rPr>
            </w:pPr>
            <w:r w:rsidRPr="00564354">
              <w:rPr>
                <w:color w:val="000000"/>
                <w:sz w:val="20"/>
                <w:szCs w:val="20"/>
                <w:lang w:val="en-GB"/>
              </w:rPr>
              <w:t>Moderate malaria (no WHO criterion), n (%)</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1F77B6" w14:textId="77777777" w:rsidR="002E0A7C" w:rsidRPr="002E0A7C" w:rsidRDefault="002E0A7C" w:rsidP="002E0A7C">
            <w:pPr>
              <w:jc w:val="center"/>
              <w:rPr>
                <w:sz w:val="20"/>
                <w:szCs w:val="20"/>
              </w:rPr>
            </w:pPr>
            <w:r w:rsidRPr="002E0A7C">
              <w:rPr>
                <w:color w:val="000000"/>
                <w:sz w:val="20"/>
                <w:szCs w:val="20"/>
              </w:rPr>
              <w:t>227/367 (61.9%)</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D4049A6" w14:textId="77777777" w:rsidR="002E0A7C" w:rsidRPr="002E0A7C" w:rsidRDefault="002E0A7C" w:rsidP="002E0A7C">
            <w:pPr>
              <w:jc w:val="center"/>
              <w:rPr>
                <w:sz w:val="20"/>
                <w:szCs w:val="20"/>
              </w:rPr>
            </w:pPr>
            <w:r w:rsidRPr="002E0A7C">
              <w:rPr>
                <w:color w:val="000000"/>
                <w:sz w:val="20"/>
                <w:szCs w:val="20"/>
              </w:rPr>
              <w:t>35/74 (47.3%)</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656388D" w14:textId="77777777" w:rsidR="002E0A7C" w:rsidRPr="002E0A7C" w:rsidRDefault="002E0A7C" w:rsidP="002E0A7C">
            <w:pPr>
              <w:jc w:val="center"/>
              <w:rPr>
                <w:sz w:val="20"/>
                <w:szCs w:val="20"/>
              </w:rPr>
            </w:pPr>
            <w:r w:rsidRPr="002E0A7C">
              <w:rPr>
                <w:color w:val="000000"/>
                <w:sz w:val="20"/>
                <w:szCs w:val="20"/>
              </w:rPr>
              <w:t>0.027</w:t>
            </w:r>
          </w:p>
        </w:tc>
      </w:tr>
      <w:tr w:rsidR="002E0A7C" w:rsidRPr="002E0A7C" w14:paraId="3C74CD8E" w14:textId="77777777" w:rsidTr="00044376">
        <w:tc>
          <w:tcPr>
            <w:tcW w:w="0" w:type="auto"/>
            <w:gridSpan w:val="4"/>
            <w:tcBorders>
              <w:bottom w:val="single" w:sz="4" w:space="0" w:color="000000"/>
            </w:tcBorders>
            <w:shd w:val="clear" w:color="auto" w:fill="E8E8E8"/>
            <w:tcMar>
              <w:top w:w="50" w:type="dxa"/>
              <w:left w:w="100" w:type="dxa"/>
              <w:bottom w:w="50" w:type="dxa"/>
              <w:right w:w="100" w:type="dxa"/>
            </w:tcMar>
          </w:tcPr>
          <w:p w14:paraId="29910B8C" w14:textId="77777777" w:rsidR="002E0A7C" w:rsidRPr="002E0A7C" w:rsidRDefault="002E0A7C" w:rsidP="002E0A7C">
            <w:pPr>
              <w:rPr>
                <w:sz w:val="20"/>
                <w:szCs w:val="20"/>
              </w:rPr>
            </w:pPr>
            <w:proofErr w:type="spellStart"/>
            <w:r w:rsidRPr="002E0A7C">
              <w:rPr>
                <w:b/>
                <w:bCs/>
                <w:color w:val="000000"/>
                <w:sz w:val="20"/>
                <w:szCs w:val="20"/>
              </w:rPr>
              <w:t>Outcomes</w:t>
            </w:r>
            <w:proofErr w:type="spellEnd"/>
          </w:p>
        </w:tc>
      </w:tr>
      <w:tr w:rsidR="002E0A7C" w:rsidRPr="002E0A7C" w14:paraId="46E3F764"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7FE964D" w14:textId="77777777" w:rsidR="002E0A7C" w:rsidRPr="002E0A7C" w:rsidRDefault="002E0A7C" w:rsidP="002E0A7C">
            <w:pPr>
              <w:rPr>
                <w:sz w:val="20"/>
                <w:szCs w:val="20"/>
              </w:rPr>
            </w:pPr>
            <w:r w:rsidRPr="002E0A7C">
              <w:rPr>
                <w:color w:val="000000"/>
                <w:sz w:val="20"/>
                <w:szCs w:val="20"/>
              </w:rPr>
              <w:t>In-</w:t>
            </w:r>
            <w:proofErr w:type="spellStart"/>
            <w:r w:rsidRPr="002E0A7C">
              <w:rPr>
                <w:color w:val="000000"/>
                <w:sz w:val="20"/>
                <w:szCs w:val="20"/>
              </w:rPr>
              <w:t>hospital</w:t>
            </w:r>
            <w:proofErr w:type="spellEnd"/>
            <w:r w:rsidRPr="002E0A7C">
              <w:rPr>
                <w:color w:val="000000"/>
                <w:sz w:val="20"/>
                <w:szCs w:val="20"/>
              </w:rPr>
              <w:t xml:space="preserve"> </w:t>
            </w:r>
            <w:proofErr w:type="spellStart"/>
            <w:r w:rsidRPr="002E0A7C">
              <w:rPr>
                <w:color w:val="000000"/>
                <w:sz w:val="20"/>
                <w:szCs w:val="20"/>
              </w:rPr>
              <w:t>death</w:t>
            </w:r>
            <w:proofErr w:type="spellEnd"/>
            <w:r w:rsidRPr="002E0A7C">
              <w:rPr>
                <w:color w:val="000000"/>
                <w:sz w:val="20"/>
                <w:szCs w:val="20"/>
              </w:rPr>
              <w:t>, n (%)</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2CD90062" w14:textId="77777777" w:rsidR="002E0A7C" w:rsidRPr="002E0A7C" w:rsidRDefault="002E0A7C" w:rsidP="002E0A7C">
            <w:pPr>
              <w:jc w:val="center"/>
              <w:rPr>
                <w:sz w:val="20"/>
                <w:szCs w:val="20"/>
              </w:rPr>
            </w:pPr>
            <w:r w:rsidRPr="002E0A7C">
              <w:rPr>
                <w:color w:val="000000"/>
                <w:sz w:val="20"/>
                <w:szCs w:val="20"/>
              </w:rPr>
              <w:t>24/367 (6.5%)</w:t>
            </w:r>
          </w:p>
        </w:tc>
        <w:tc>
          <w:tcPr>
            <w:tcW w:w="210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1BF08579" w14:textId="77777777" w:rsidR="002E0A7C" w:rsidRPr="002E0A7C" w:rsidRDefault="002E0A7C" w:rsidP="002E0A7C">
            <w:pPr>
              <w:jc w:val="center"/>
              <w:rPr>
                <w:sz w:val="20"/>
                <w:szCs w:val="20"/>
              </w:rPr>
            </w:pPr>
            <w:r w:rsidRPr="002E0A7C">
              <w:rPr>
                <w:color w:val="000000"/>
                <w:sz w:val="20"/>
                <w:szCs w:val="20"/>
              </w:rPr>
              <w:t>7/74 (9.5%)</w:t>
            </w:r>
          </w:p>
        </w:tc>
        <w:tc>
          <w:tcPr>
            <w:tcW w:w="620"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753D2C93" w14:textId="77777777" w:rsidR="002E0A7C" w:rsidRPr="002E0A7C" w:rsidRDefault="002E0A7C" w:rsidP="002E0A7C">
            <w:pPr>
              <w:jc w:val="center"/>
              <w:rPr>
                <w:sz w:val="20"/>
                <w:szCs w:val="20"/>
              </w:rPr>
            </w:pPr>
            <w:r w:rsidRPr="002E0A7C">
              <w:rPr>
                <w:color w:val="000000"/>
                <w:sz w:val="20"/>
                <w:szCs w:val="20"/>
              </w:rPr>
              <w:t>0.452</w:t>
            </w:r>
          </w:p>
        </w:tc>
      </w:tr>
      <w:tr w:rsidR="002E0A7C" w:rsidRPr="002E0A7C" w14:paraId="265685C1" w14:textId="77777777" w:rsidTr="00044376">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2969810" w14:textId="77777777" w:rsidR="002E0A7C" w:rsidRPr="002E0A7C" w:rsidRDefault="002E0A7C" w:rsidP="002E0A7C">
            <w:pPr>
              <w:rPr>
                <w:sz w:val="20"/>
                <w:szCs w:val="20"/>
              </w:rPr>
            </w:pPr>
            <w:proofErr w:type="spellStart"/>
            <w:r w:rsidRPr="002E0A7C">
              <w:rPr>
                <w:color w:val="000000"/>
                <w:sz w:val="20"/>
                <w:szCs w:val="20"/>
              </w:rPr>
              <w:t>Unfavourable</w:t>
            </w:r>
            <w:proofErr w:type="spellEnd"/>
            <w:r w:rsidRPr="002E0A7C">
              <w:rPr>
                <w:color w:val="000000"/>
                <w:sz w:val="20"/>
                <w:szCs w:val="20"/>
              </w:rPr>
              <w:t xml:space="preserve"> </w:t>
            </w:r>
            <w:proofErr w:type="spellStart"/>
            <w:r w:rsidRPr="002E0A7C">
              <w:rPr>
                <w:color w:val="000000"/>
                <w:sz w:val="20"/>
                <w:szCs w:val="20"/>
              </w:rPr>
              <w:t>outcome</w:t>
            </w:r>
            <w:proofErr w:type="spellEnd"/>
            <w:r w:rsidRPr="002E0A7C">
              <w:rPr>
                <w:color w:val="000000"/>
                <w:sz w:val="20"/>
                <w:szCs w:val="20"/>
              </w:rPr>
              <w:t>, n (%)</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6546465" w14:textId="77777777" w:rsidR="002E0A7C" w:rsidRPr="002E0A7C" w:rsidRDefault="002E0A7C" w:rsidP="002E0A7C">
            <w:pPr>
              <w:jc w:val="center"/>
              <w:rPr>
                <w:sz w:val="20"/>
                <w:szCs w:val="20"/>
              </w:rPr>
            </w:pPr>
            <w:r w:rsidRPr="002E0A7C">
              <w:rPr>
                <w:color w:val="000000"/>
                <w:sz w:val="20"/>
                <w:szCs w:val="20"/>
              </w:rPr>
              <w:t>31/367 (8.4%)</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E9C5493" w14:textId="77777777" w:rsidR="002E0A7C" w:rsidRPr="002E0A7C" w:rsidRDefault="002E0A7C" w:rsidP="002E0A7C">
            <w:pPr>
              <w:jc w:val="center"/>
              <w:rPr>
                <w:sz w:val="20"/>
                <w:szCs w:val="20"/>
              </w:rPr>
            </w:pPr>
            <w:r w:rsidRPr="002E0A7C">
              <w:rPr>
                <w:color w:val="000000"/>
                <w:sz w:val="20"/>
                <w:szCs w:val="20"/>
              </w:rPr>
              <w:t>10/74 (13.5%)</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E657C18" w14:textId="77777777" w:rsidR="002E0A7C" w:rsidRPr="002E0A7C" w:rsidRDefault="002E0A7C" w:rsidP="002E0A7C">
            <w:pPr>
              <w:jc w:val="center"/>
              <w:rPr>
                <w:sz w:val="20"/>
                <w:szCs w:val="20"/>
              </w:rPr>
            </w:pPr>
            <w:r w:rsidRPr="002E0A7C">
              <w:rPr>
                <w:color w:val="000000"/>
                <w:sz w:val="20"/>
                <w:szCs w:val="20"/>
              </w:rPr>
              <w:t>0.187</w:t>
            </w:r>
          </w:p>
        </w:tc>
      </w:tr>
    </w:tbl>
    <w:p w14:paraId="378DEDDE" w14:textId="68386533" w:rsidR="002E0A7C" w:rsidRPr="009A55CB" w:rsidRDefault="005C6A07" w:rsidP="002E0A7C">
      <w:pPr>
        <w:spacing w:before="60"/>
        <w:rPr>
          <w:sz w:val="20"/>
          <w:szCs w:val="20"/>
          <w:lang w:val="en-GB"/>
        </w:rPr>
      </w:pPr>
      <w:r>
        <w:rPr>
          <w:i/>
          <w:iCs/>
          <w:color w:val="000000"/>
          <w:sz w:val="18"/>
          <w:szCs w:val="18"/>
          <w:lang w:val="en-GB"/>
        </w:rPr>
        <w:t>*</w:t>
      </w:r>
      <w:r w:rsidR="002E0A7C" w:rsidRPr="009A55CB">
        <w:rPr>
          <w:i/>
          <w:iCs/>
          <w:color w:val="000000"/>
          <w:sz w:val="18"/>
          <w:szCs w:val="18"/>
          <w:lang w:val="en-GB"/>
        </w:rPr>
        <w:t xml:space="preserve"> Central arrondissements: 3rd (</w:t>
      </w:r>
      <w:proofErr w:type="spellStart"/>
      <w:r w:rsidR="002E0A7C" w:rsidRPr="009A55CB">
        <w:rPr>
          <w:i/>
          <w:iCs/>
          <w:color w:val="000000"/>
          <w:sz w:val="18"/>
          <w:szCs w:val="18"/>
          <w:lang w:val="en-GB"/>
        </w:rPr>
        <w:t>Poto-Poto</w:t>
      </w:r>
      <w:proofErr w:type="spellEnd"/>
      <w:r w:rsidR="002E0A7C" w:rsidRPr="009A55CB">
        <w:rPr>
          <w:i/>
          <w:iCs/>
          <w:color w:val="000000"/>
          <w:sz w:val="18"/>
          <w:szCs w:val="18"/>
          <w:lang w:val="en-GB"/>
        </w:rPr>
        <w:t>), 5th (</w:t>
      </w:r>
      <w:proofErr w:type="spellStart"/>
      <w:r w:rsidR="002E0A7C" w:rsidRPr="009A55CB">
        <w:rPr>
          <w:i/>
          <w:iCs/>
          <w:color w:val="000000"/>
          <w:sz w:val="18"/>
          <w:szCs w:val="18"/>
          <w:lang w:val="en-GB"/>
        </w:rPr>
        <w:t>Ouenzé</w:t>
      </w:r>
      <w:proofErr w:type="spellEnd"/>
      <w:r w:rsidR="002E0A7C" w:rsidRPr="009A55CB">
        <w:rPr>
          <w:i/>
          <w:iCs/>
          <w:color w:val="000000"/>
          <w:sz w:val="18"/>
          <w:szCs w:val="18"/>
          <w:lang w:val="en-GB"/>
        </w:rPr>
        <w:t>), 6th (</w:t>
      </w:r>
      <w:proofErr w:type="spellStart"/>
      <w:r w:rsidR="002E0A7C" w:rsidRPr="009A55CB">
        <w:rPr>
          <w:i/>
          <w:iCs/>
          <w:color w:val="000000"/>
          <w:sz w:val="18"/>
          <w:szCs w:val="18"/>
          <w:lang w:val="en-GB"/>
        </w:rPr>
        <w:t>Talangaï</w:t>
      </w:r>
      <w:proofErr w:type="spellEnd"/>
      <w:r w:rsidR="002E0A7C" w:rsidRPr="009A55CB">
        <w:rPr>
          <w:i/>
          <w:iCs/>
          <w:color w:val="000000"/>
          <w:sz w:val="18"/>
          <w:szCs w:val="18"/>
          <w:lang w:val="en-GB"/>
        </w:rPr>
        <w:t>); denominator restricted to participants with available residence data (n = 424).</w:t>
      </w:r>
    </w:p>
    <w:p w14:paraId="03E1932C" w14:textId="77777777" w:rsidR="002E0A7C" w:rsidRDefault="002E0A7C" w:rsidP="002E0A7C">
      <w:pPr>
        <w:spacing w:before="60" w:after="60"/>
        <w:rPr>
          <w:lang w:val="en-GB"/>
        </w:rPr>
      </w:pPr>
    </w:p>
    <w:p w14:paraId="43125023" w14:textId="77777777" w:rsidR="002F7E6A" w:rsidRDefault="002F7E6A" w:rsidP="002E0A7C">
      <w:pPr>
        <w:spacing w:before="60" w:after="60"/>
        <w:rPr>
          <w:lang w:val="en-GB"/>
        </w:rPr>
      </w:pPr>
    </w:p>
    <w:p w14:paraId="00D4E8D2" w14:textId="77777777" w:rsidR="002F7E6A" w:rsidRDefault="002F7E6A" w:rsidP="002E0A7C">
      <w:pPr>
        <w:spacing w:before="60" w:after="60"/>
        <w:rPr>
          <w:lang w:val="en-GB"/>
        </w:rPr>
      </w:pPr>
    </w:p>
    <w:p w14:paraId="1C87D2FB" w14:textId="77777777" w:rsidR="002F7E6A" w:rsidRDefault="002F7E6A" w:rsidP="002E0A7C">
      <w:pPr>
        <w:spacing w:before="60" w:after="60"/>
        <w:rPr>
          <w:lang w:val="en-GB"/>
        </w:rPr>
      </w:pPr>
    </w:p>
    <w:p w14:paraId="1A4C3E2A" w14:textId="77777777" w:rsidR="002F7E6A" w:rsidRDefault="002F7E6A" w:rsidP="002E0A7C">
      <w:pPr>
        <w:spacing w:before="60" w:after="60"/>
        <w:rPr>
          <w:lang w:val="en-GB"/>
        </w:rPr>
      </w:pPr>
    </w:p>
    <w:p w14:paraId="7FD7B049" w14:textId="3F56E06F" w:rsidR="002E0A7C" w:rsidRPr="00564354" w:rsidRDefault="002E0A7C" w:rsidP="002E0A7C">
      <w:pPr>
        <w:spacing w:before="180" w:after="60" w:line="480" w:lineRule="auto"/>
        <w:rPr>
          <w:lang w:val="en-GB"/>
        </w:rPr>
      </w:pPr>
      <w:bookmarkStart w:id="4" w:name="_Hlk228954651"/>
      <w:r w:rsidRPr="00564354">
        <w:rPr>
          <w:b/>
          <w:bCs/>
          <w:i/>
          <w:iCs/>
          <w:lang w:val="en-GB"/>
        </w:rPr>
        <w:t>Sociodemographic factors associated with co-infection</w:t>
      </w:r>
    </w:p>
    <w:bookmarkEnd w:id="4"/>
    <w:p w14:paraId="05201338" w14:textId="1BCC0E81" w:rsidR="00D94ECF" w:rsidRPr="00D94ECF" w:rsidRDefault="00D94ECF" w:rsidP="00D94ECF">
      <w:pPr>
        <w:spacing w:line="480" w:lineRule="auto"/>
        <w:jc w:val="both"/>
        <w:rPr>
          <w:color w:val="000000"/>
          <w:lang w:val="en-GB"/>
        </w:rPr>
      </w:pPr>
      <w:r w:rsidRPr="00D94ECF">
        <w:rPr>
          <w:color w:val="000000"/>
          <w:lang w:val="en-GB"/>
        </w:rPr>
        <w:t>Table 3 presents the univariate and multivariate logistic regression analysis of sociodemographic characteristics associated with the presence of co-infection or comorbidity. In the univariate analysis, only age under 5 years and residence in central districts were significant risk factors. Children from central districts had a twofold increased risk of co-</w:t>
      </w:r>
      <w:r w:rsidRPr="00D94ECF">
        <w:rPr>
          <w:color w:val="000000"/>
          <w:lang w:val="en-GB"/>
        </w:rPr>
        <w:lastRenderedPageBreak/>
        <w:t xml:space="preserve">infection compared to those from other districts (OR: 2.01 [1.19-3.40]; </w:t>
      </w:r>
      <w:r w:rsidRPr="00356CAA">
        <w:rPr>
          <w:i/>
          <w:iCs/>
          <w:color w:val="000000"/>
          <w:lang w:val="en-GB"/>
        </w:rPr>
        <w:t>p</w:t>
      </w:r>
      <w:r w:rsidR="00356CAA">
        <w:rPr>
          <w:color w:val="000000"/>
          <w:lang w:val="en-GB"/>
        </w:rPr>
        <w:t xml:space="preserve"> = </w:t>
      </w:r>
      <w:r w:rsidRPr="00D94ECF">
        <w:rPr>
          <w:color w:val="000000"/>
          <w:lang w:val="en-GB"/>
        </w:rPr>
        <w:t xml:space="preserve">0.009). Similarly, children under 5 years of age had up to a twofold higher risk of co-infection (OR: 1.68 [1.0-2.83]; </w:t>
      </w:r>
      <w:r w:rsidRPr="00356CAA">
        <w:rPr>
          <w:i/>
          <w:iCs/>
          <w:color w:val="000000"/>
          <w:lang w:val="en-GB"/>
        </w:rPr>
        <w:t>p</w:t>
      </w:r>
      <w:r w:rsidR="00356CAA">
        <w:rPr>
          <w:color w:val="000000"/>
          <w:lang w:val="en-GB"/>
        </w:rPr>
        <w:t xml:space="preserve"> </w:t>
      </w:r>
      <w:r w:rsidRPr="00D94ECF">
        <w:rPr>
          <w:color w:val="000000"/>
          <w:lang w:val="en-GB"/>
        </w:rPr>
        <w:t>=</w:t>
      </w:r>
      <w:r w:rsidR="00356CAA">
        <w:rPr>
          <w:color w:val="000000"/>
          <w:lang w:val="en-GB"/>
        </w:rPr>
        <w:t xml:space="preserve"> </w:t>
      </w:r>
      <w:r w:rsidRPr="00D94ECF">
        <w:rPr>
          <w:color w:val="000000"/>
          <w:lang w:val="en-GB"/>
        </w:rPr>
        <w:t>0.050). The use of insecticide-treated nets (ITNs), consultation delay exceeding 48 hours, gender, and pre-hospital self-medication were not associated with the occurrence of co-infection.</w:t>
      </w:r>
    </w:p>
    <w:p w14:paraId="3A8DF72D" w14:textId="5FF65AF7" w:rsidR="00D94ECF" w:rsidRPr="00D94ECF" w:rsidRDefault="00D94ECF" w:rsidP="00D94ECF">
      <w:pPr>
        <w:spacing w:line="480" w:lineRule="auto"/>
        <w:jc w:val="both"/>
        <w:rPr>
          <w:color w:val="000000"/>
          <w:lang w:val="en-GB"/>
        </w:rPr>
      </w:pPr>
      <w:r w:rsidRPr="00D94ECF">
        <w:rPr>
          <w:color w:val="000000"/>
          <w:lang w:val="en-GB"/>
        </w:rPr>
        <w:t xml:space="preserve">In the multivariate analysis, which included all parameters with </w:t>
      </w:r>
      <w:r w:rsidRPr="00356CAA">
        <w:rPr>
          <w:i/>
          <w:iCs/>
          <w:color w:val="000000"/>
          <w:lang w:val="en-GB"/>
        </w:rPr>
        <w:t>p</w:t>
      </w:r>
      <w:r w:rsidRPr="00D94ECF">
        <w:rPr>
          <w:color w:val="000000"/>
          <w:lang w:val="en-GB"/>
        </w:rPr>
        <w:t xml:space="preserve"> &lt; 0.20, </w:t>
      </w:r>
      <w:r w:rsidR="005C6A07">
        <w:rPr>
          <w:color w:val="000000"/>
          <w:lang w:val="en-GB"/>
        </w:rPr>
        <w:t>multiple logistic regression model with complete</w:t>
      </w:r>
      <w:r w:rsidRPr="00D94ECF">
        <w:rPr>
          <w:color w:val="000000"/>
          <w:lang w:val="en-GB"/>
        </w:rPr>
        <w:t xml:space="preserve"> showed that children under 5 years of age and those from central districts (3rd, 5th, and 6th) maintained a higher risk. These children had a 1.7-fold and 1.9-fold increased risk of co-infection, respectively (</w:t>
      </w:r>
      <w:proofErr w:type="spellStart"/>
      <w:r w:rsidRPr="00D94ECF">
        <w:rPr>
          <w:color w:val="000000"/>
          <w:lang w:val="en-GB"/>
        </w:rPr>
        <w:t>aOR</w:t>
      </w:r>
      <w:proofErr w:type="spellEnd"/>
      <w:r w:rsidRPr="00D94ECF">
        <w:rPr>
          <w:color w:val="000000"/>
          <w:lang w:val="en-GB"/>
        </w:rPr>
        <w:t xml:space="preserve">: 1.71 [1.01-2.90]; </w:t>
      </w:r>
      <w:r w:rsidRPr="00356CAA">
        <w:rPr>
          <w:i/>
          <w:iCs/>
          <w:color w:val="000000"/>
          <w:lang w:val="en-GB"/>
        </w:rPr>
        <w:t>p</w:t>
      </w:r>
      <w:r w:rsidR="00356CAA">
        <w:rPr>
          <w:i/>
          <w:iCs/>
          <w:color w:val="000000"/>
          <w:lang w:val="en-GB"/>
        </w:rPr>
        <w:t xml:space="preserve"> </w:t>
      </w:r>
      <w:r w:rsidRPr="00D94ECF">
        <w:rPr>
          <w:color w:val="000000"/>
          <w:lang w:val="en-GB"/>
        </w:rPr>
        <w:t>=</w:t>
      </w:r>
      <w:r w:rsidR="00356CAA">
        <w:rPr>
          <w:color w:val="000000"/>
          <w:lang w:val="en-GB"/>
        </w:rPr>
        <w:t xml:space="preserve"> </w:t>
      </w:r>
      <w:r w:rsidRPr="00D94ECF">
        <w:rPr>
          <w:color w:val="000000"/>
          <w:lang w:val="en-GB"/>
        </w:rPr>
        <w:t xml:space="preserve">0.046 and </w:t>
      </w:r>
      <w:proofErr w:type="spellStart"/>
      <w:r w:rsidRPr="00D94ECF">
        <w:rPr>
          <w:color w:val="000000"/>
          <w:lang w:val="en-GB"/>
        </w:rPr>
        <w:t>aOR</w:t>
      </w:r>
      <w:proofErr w:type="spellEnd"/>
      <w:r w:rsidRPr="00D94ECF">
        <w:rPr>
          <w:color w:val="000000"/>
          <w:lang w:val="en-GB"/>
        </w:rPr>
        <w:t xml:space="preserve">: 1.90 [1.12-3.23]; </w:t>
      </w:r>
      <w:r w:rsidRPr="00356CAA">
        <w:rPr>
          <w:i/>
          <w:iCs/>
          <w:color w:val="000000"/>
          <w:lang w:val="en-GB"/>
        </w:rPr>
        <w:t>p</w:t>
      </w:r>
      <w:r w:rsidR="00356CAA">
        <w:rPr>
          <w:color w:val="000000"/>
          <w:lang w:val="en-GB"/>
        </w:rPr>
        <w:t xml:space="preserve"> </w:t>
      </w:r>
      <w:r w:rsidRPr="00D94ECF">
        <w:rPr>
          <w:color w:val="000000"/>
          <w:lang w:val="en-GB"/>
        </w:rPr>
        <w:t>=</w:t>
      </w:r>
      <w:r w:rsidR="00356CAA">
        <w:rPr>
          <w:color w:val="000000"/>
          <w:lang w:val="en-GB"/>
        </w:rPr>
        <w:t xml:space="preserve"> </w:t>
      </w:r>
      <w:r w:rsidRPr="00D94ECF">
        <w:rPr>
          <w:color w:val="000000"/>
          <w:lang w:val="en-GB"/>
        </w:rPr>
        <w:t>0.018).</w:t>
      </w:r>
    </w:p>
    <w:p w14:paraId="5392B184" w14:textId="77777777" w:rsidR="00D94ECF" w:rsidRDefault="00D94ECF" w:rsidP="002E0A7C">
      <w:pPr>
        <w:spacing w:before="240" w:after="120"/>
        <w:rPr>
          <w:b/>
          <w:bCs/>
          <w:color w:val="000000"/>
          <w:sz w:val="22"/>
          <w:szCs w:val="22"/>
          <w:lang w:val="en-GB"/>
        </w:rPr>
      </w:pPr>
      <w:r>
        <w:rPr>
          <w:b/>
          <w:bCs/>
          <w:color w:val="000000"/>
          <w:sz w:val="22"/>
          <w:szCs w:val="22"/>
          <w:lang w:val="en-GB"/>
        </w:rPr>
        <w:br w:type="page"/>
      </w:r>
    </w:p>
    <w:p w14:paraId="70975AD2" w14:textId="54E39C20" w:rsidR="002E0A7C" w:rsidRPr="00564354" w:rsidRDefault="002E0A7C" w:rsidP="002E0A7C">
      <w:pPr>
        <w:spacing w:before="240" w:after="120"/>
        <w:rPr>
          <w:sz w:val="20"/>
          <w:szCs w:val="20"/>
          <w:lang w:val="en-GB"/>
        </w:rPr>
      </w:pPr>
      <w:r w:rsidRPr="00564354">
        <w:rPr>
          <w:b/>
          <w:bCs/>
          <w:color w:val="000000"/>
          <w:sz w:val="22"/>
          <w:szCs w:val="22"/>
          <w:lang w:val="en-GB"/>
        </w:rPr>
        <w:lastRenderedPageBreak/>
        <w:t xml:space="preserve">Table 3. Univariable and multivariable logistic regression </w:t>
      </w:r>
      <w:r w:rsidR="00564354" w:rsidRPr="00564354">
        <w:rPr>
          <w:b/>
          <w:bCs/>
          <w:color w:val="000000"/>
          <w:sz w:val="22"/>
          <w:szCs w:val="22"/>
          <w:lang w:val="en-GB"/>
        </w:rPr>
        <w:t>-</w:t>
      </w:r>
      <w:r w:rsidRPr="00564354">
        <w:rPr>
          <w:b/>
          <w:bCs/>
          <w:color w:val="000000"/>
          <w:sz w:val="22"/>
          <w:szCs w:val="22"/>
          <w:lang w:val="en-GB"/>
        </w:rPr>
        <w:t xml:space="preserve"> Sociodemographic factors associated with co-infection or comorbidity in hospitalised children with </w:t>
      </w:r>
      <w:proofErr w:type="spellStart"/>
      <w:proofErr w:type="gramStart"/>
      <w:r w:rsidRPr="005C6A07">
        <w:rPr>
          <w:b/>
          <w:bCs/>
          <w:i/>
          <w:iCs/>
          <w:color w:val="000000"/>
          <w:sz w:val="22"/>
          <w:szCs w:val="22"/>
          <w:lang w:val="en-GB"/>
        </w:rPr>
        <w:t>P.falciparum</w:t>
      </w:r>
      <w:proofErr w:type="spellEnd"/>
      <w:proofErr w:type="gramEnd"/>
      <w:r w:rsidRPr="00564354">
        <w:rPr>
          <w:b/>
          <w:bCs/>
          <w:color w:val="000000"/>
          <w:sz w:val="22"/>
          <w:szCs w:val="22"/>
          <w:lang w:val="en-GB"/>
        </w:rPr>
        <w:t xml:space="preserve"> malaria </w:t>
      </w:r>
    </w:p>
    <w:tbl>
      <w:tblP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6"/>
        <w:gridCol w:w="1653"/>
        <w:gridCol w:w="2353"/>
        <w:gridCol w:w="1081"/>
      </w:tblGrid>
      <w:tr w:rsidR="0056696B" w:rsidRPr="002E0A7C" w14:paraId="54DFDC30" w14:textId="77777777" w:rsidTr="0056696B">
        <w:tc>
          <w:tcPr>
            <w:tcW w:w="3306"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79841C54" w14:textId="77777777" w:rsidR="0056696B" w:rsidRPr="002E0A7C" w:rsidRDefault="0056696B" w:rsidP="002E0A7C">
            <w:pPr>
              <w:jc w:val="center"/>
              <w:rPr>
                <w:sz w:val="20"/>
                <w:szCs w:val="20"/>
              </w:rPr>
            </w:pPr>
            <w:r w:rsidRPr="002E0A7C">
              <w:rPr>
                <w:b/>
                <w:bCs/>
                <w:color w:val="FFFFFF"/>
                <w:sz w:val="20"/>
                <w:szCs w:val="20"/>
              </w:rPr>
              <w:t>Variable</w:t>
            </w:r>
          </w:p>
        </w:tc>
        <w:tc>
          <w:tcPr>
            <w:tcW w:w="1653"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5C3FC4F7" w14:textId="77777777" w:rsidR="0056696B" w:rsidRPr="002E0A7C" w:rsidRDefault="0056696B" w:rsidP="002E0A7C">
            <w:pPr>
              <w:jc w:val="center"/>
              <w:rPr>
                <w:sz w:val="20"/>
                <w:szCs w:val="20"/>
              </w:rPr>
            </w:pPr>
            <w:proofErr w:type="spellStart"/>
            <w:r w:rsidRPr="002E0A7C">
              <w:rPr>
                <w:b/>
                <w:bCs/>
                <w:color w:val="FFFFFF"/>
                <w:sz w:val="20"/>
                <w:szCs w:val="20"/>
              </w:rPr>
              <w:t>Crude</w:t>
            </w:r>
            <w:proofErr w:type="spellEnd"/>
            <w:r w:rsidRPr="002E0A7C">
              <w:rPr>
                <w:b/>
                <w:bCs/>
                <w:color w:val="FFFFFF"/>
                <w:sz w:val="20"/>
                <w:szCs w:val="20"/>
              </w:rPr>
              <w:t xml:space="preserve"> OR</w:t>
            </w:r>
          </w:p>
        </w:tc>
        <w:tc>
          <w:tcPr>
            <w:tcW w:w="2353"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15741AB7" w14:textId="77777777" w:rsidR="0056696B" w:rsidRPr="002E0A7C" w:rsidRDefault="0056696B" w:rsidP="002E0A7C">
            <w:pPr>
              <w:jc w:val="center"/>
              <w:rPr>
                <w:sz w:val="20"/>
                <w:szCs w:val="20"/>
              </w:rPr>
            </w:pPr>
            <w:r w:rsidRPr="002E0A7C">
              <w:rPr>
                <w:b/>
                <w:bCs/>
                <w:color w:val="FFFFFF"/>
                <w:sz w:val="20"/>
                <w:szCs w:val="20"/>
              </w:rPr>
              <w:t>95% CI</w:t>
            </w:r>
          </w:p>
        </w:tc>
        <w:tc>
          <w:tcPr>
            <w:tcW w:w="1081"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22318FEF" w14:textId="77777777" w:rsidR="0056696B" w:rsidRPr="00356CAA" w:rsidRDefault="0056696B" w:rsidP="002E0A7C">
            <w:pPr>
              <w:jc w:val="center"/>
              <w:rPr>
                <w:i/>
                <w:iCs/>
                <w:sz w:val="20"/>
                <w:szCs w:val="20"/>
              </w:rPr>
            </w:pPr>
            <w:proofErr w:type="gramStart"/>
            <w:r w:rsidRPr="00356CAA">
              <w:rPr>
                <w:b/>
                <w:bCs/>
                <w:i/>
                <w:iCs/>
                <w:color w:val="FFFFFF"/>
                <w:sz w:val="20"/>
                <w:szCs w:val="20"/>
              </w:rPr>
              <w:t>p</w:t>
            </w:r>
            <w:proofErr w:type="gramEnd"/>
          </w:p>
        </w:tc>
      </w:tr>
      <w:tr w:rsidR="00610904" w:rsidRPr="00610904" w14:paraId="2710DD61" w14:textId="77777777" w:rsidTr="00610904">
        <w:tc>
          <w:tcPr>
            <w:tcW w:w="8393" w:type="dxa"/>
            <w:gridSpan w:val="4"/>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6571D6F" w14:textId="53ADE728" w:rsidR="00610904" w:rsidRPr="00610904" w:rsidRDefault="00610904" w:rsidP="00610904">
            <w:pPr>
              <w:rPr>
                <w:b/>
                <w:bCs/>
                <w:sz w:val="20"/>
                <w:szCs w:val="20"/>
                <w:lang w:val="en-GB"/>
              </w:rPr>
            </w:pPr>
            <w:r w:rsidRPr="00610904">
              <w:rPr>
                <w:b/>
                <w:bCs/>
                <w:sz w:val="20"/>
                <w:szCs w:val="20"/>
                <w:lang w:val="en-GB"/>
              </w:rPr>
              <w:t>Univariable analysis (</w:t>
            </w:r>
            <w:proofErr w:type="gramStart"/>
            <w:r w:rsidRPr="00610904">
              <w:rPr>
                <w:b/>
                <w:bCs/>
                <w:sz w:val="20"/>
                <w:szCs w:val="20"/>
                <w:lang w:val="en-GB"/>
              </w:rPr>
              <w:t>outcomes :</w:t>
            </w:r>
            <w:proofErr w:type="gramEnd"/>
            <w:r w:rsidRPr="00610904">
              <w:rPr>
                <w:b/>
                <w:bCs/>
                <w:sz w:val="20"/>
                <w:szCs w:val="20"/>
                <w:lang w:val="en-GB"/>
              </w:rPr>
              <w:t xml:space="preserve"> co-infection vs </w:t>
            </w:r>
            <w:proofErr w:type="spellStart"/>
            <w:r w:rsidRPr="00610904">
              <w:rPr>
                <w:b/>
                <w:bCs/>
                <w:sz w:val="20"/>
                <w:szCs w:val="20"/>
                <w:lang w:val="en-GB"/>
              </w:rPr>
              <w:t>monoinfection</w:t>
            </w:r>
            <w:proofErr w:type="spellEnd"/>
          </w:p>
        </w:tc>
      </w:tr>
      <w:tr w:rsidR="0056696B" w:rsidRPr="002E0A7C" w14:paraId="21322B88" w14:textId="77777777" w:rsidTr="0056696B">
        <w:tc>
          <w:tcPr>
            <w:tcW w:w="3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32CF259" w14:textId="77777777" w:rsidR="0056696B" w:rsidRPr="002E0A7C" w:rsidRDefault="0056696B" w:rsidP="002E0A7C">
            <w:pPr>
              <w:rPr>
                <w:sz w:val="20"/>
                <w:szCs w:val="20"/>
              </w:rPr>
            </w:pPr>
            <w:r w:rsidRPr="002E0A7C">
              <w:rPr>
                <w:color w:val="000000"/>
                <w:sz w:val="20"/>
                <w:szCs w:val="20"/>
              </w:rPr>
              <w:t xml:space="preserve">Age &lt; 5 </w:t>
            </w:r>
            <w:proofErr w:type="spellStart"/>
            <w:r w:rsidRPr="002E0A7C">
              <w:rPr>
                <w:color w:val="000000"/>
                <w:sz w:val="20"/>
                <w:szCs w:val="20"/>
              </w:rPr>
              <w:t>years</w:t>
            </w:r>
            <w:proofErr w:type="spellEnd"/>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E5A1513" w14:textId="77777777" w:rsidR="0056696B" w:rsidRPr="002E0A7C" w:rsidRDefault="0056696B" w:rsidP="002E0A7C">
            <w:pPr>
              <w:jc w:val="center"/>
              <w:rPr>
                <w:sz w:val="20"/>
                <w:szCs w:val="20"/>
              </w:rPr>
            </w:pPr>
            <w:r w:rsidRPr="002E0A7C">
              <w:rPr>
                <w:color w:val="000000"/>
                <w:sz w:val="20"/>
                <w:szCs w:val="20"/>
              </w:rPr>
              <w:t>1.68</w:t>
            </w: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E76473" w14:textId="1B12B6DD" w:rsidR="0056696B" w:rsidRPr="002E0A7C" w:rsidRDefault="0056696B" w:rsidP="002E0A7C">
            <w:pPr>
              <w:jc w:val="center"/>
              <w:rPr>
                <w:sz w:val="20"/>
                <w:szCs w:val="20"/>
              </w:rPr>
            </w:pPr>
            <w:r w:rsidRPr="002E0A7C">
              <w:rPr>
                <w:color w:val="000000"/>
                <w:sz w:val="20"/>
                <w:szCs w:val="20"/>
              </w:rPr>
              <w:t>[1.00</w:t>
            </w:r>
            <w:r w:rsidR="00610904">
              <w:rPr>
                <w:color w:val="000000"/>
                <w:sz w:val="20"/>
                <w:szCs w:val="20"/>
              </w:rPr>
              <w:t>-</w:t>
            </w:r>
            <w:r w:rsidRPr="002E0A7C">
              <w:rPr>
                <w:color w:val="000000"/>
                <w:sz w:val="20"/>
                <w:szCs w:val="20"/>
              </w:rPr>
              <w:t>2.83]</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80574DC" w14:textId="77777777" w:rsidR="0056696B" w:rsidRPr="002E0A7C" w:rsidRDefault="0056696B" w:rsidP="002E0A7C">
            <w:pPr>
              <w:jc w:val="center"/>
              <w:rPr>
                <w:sz w:val="20"/>
                <w:szCs w:val="20"/>
              </w:rPr>
            </w:pPr>
            <w:r w:rsidRPr="002E0A7C">
              <w:rPr>
                <w:color w:val="000000"/>
                <w:sz w:val="20"/>
                <w:szCs w:val="20"/>
              </w:rPr>
              <w:t>0.050</w:t>
            </w:r>
          </w:p>
        </w:tc>
      </w:tr>
      <w:tr w:rsidR="0056696B" w:rsidRPr="002E0A7C" w14:paraId="2AEC2678" w14:textId="77777777" w:rsidTr="0056696B">
        <w:tc>
          <w:tcPr>
            <w:tcW w:w="3306"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1CBCBA1B" w14:textId="77777777" w:rsidR="0056696B" w:rsidRPr="002E0A7C" w:rsidRDefault="0056696B" w:rsidP="002E0A7C">
            <w:pPr>
              <w:rPr>
                <w:sz w:val="20"/>
                <w:szCs w:val="20"/>
              </w:rPr>
            </w:pPr>
            <w:r w:rsidRPr="002E0A7C">
              <w:rPr>
                <w:color w:val="000000"/>
                <w:sz w:val="20"/>
                <w:szCs w:val="20"/>
              </w:rPr>
              <w:t xml:space="preserve">Male </w:t>
            </w:r>
            <w:proofErr w:type="spellStart"/>
            <w:r w:rsidRPr="002E0A7C">
              <w:rPr>
                <w:color w:val="000000"/>
                <w:sz w:val="20"/>
                <w:szCs w:val="20"/>
              </w:rPr>
              <w:t>sex</w:t>
            </w:r>
            <w:proofErr w:type="spellEnd"/>
          </w:p>
        </w:tc>
        <w:tc>
          <w:tcPr>
            <w:tcW w:w="1653"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F3C4C0B" w14:textId="77777777" w:rsidR="0056696B" w:rsidRPr="002E0A7C" w:rsidRDefault="0056696B" w:rsidP="002E0A7C">
            <w:pPr>
              <w:jc w:val="center"/>
              <w:rPr>
                <w:sz w:val="20"/>
                <w:szCs w:val="20"/>
              </w:rPr>
            </w:pPr>
            <w:r w:rsidRPr="002E0A7C">
              <w:rPr>
                <w:color w:val="000000"/>
                <w:sz w:val="20"/>
                <w:szCs w:val="20"/>
              </w:rPr>
              <w:t>0.85</w:t>
            </w:r>
          </w:p>
        </w:tc>
        <w:tc>
          <w:tcPr>
            <w:tcW w:w="2353"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173DF83F" w14:textId="286489A7" w:rsidR="0056696B" w:rsidRPr="002E0A7C" w:rsidRDefault="0056696B" w:rsidP="002E0A7C">
            <w:pPr>
              <w:jc w:val="center"/>
              <w:rPr>
                <w:sz w:val="20"/>
                <w:szCs w:val="20"/>
              </w:rPr>
            </w:pPr>
            <w:r w:rsidRPr="002E0A7C">
              <w:rPr>
                <w:color w:val="000000"/>
                <w:sz w:val="20"/>
                <w:szCs w:val="20"/>
              </w:rPr>
              <w:t>[0.52</w:t>
            </w:r>
            <w:r w:rsidR="00610904">
              <w:rPr>
                <w:color w:val="000000"/>
                <w:sz w:val="20"/>
                <w:szCs w:val="20"/>
              </w:rPr>
              <w:t>-</w:t>
            </w:r>
            <w:r w:rsidRPr="002E0A7C">
              <w:rPr>
                <w:color w:val="000000"/>
                <w:sz w:val="20"/>
                <w:szCs w:val="20"/>
              </w:rPr>
              <w:t>1.41]</w:t>
            </w:r>
          </w:p>
        </w:tc>
        <w:tc>
          <w:tcPr>
            <w:tcW w:w="1081"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3F694FD8" w14:textId="77777777" w:rsidR="0056696B" w:rsidRPr="002E0A7C" w:rsidRDefault="0056696B" w:rsidP="002E0A7C">
            <w:pPr>
              <w:jc w:val="center"/>
              <w:rPr>
                <w:sz w:val="20"/>
                <w:szCs w:val="20"/>
              </w:rPr>
            </w:pPr>
            <w:r w:rsidRPr="002E0A7C">
              <w:rPr>
                <w:color w:val="000000"/>
                <w:sz w:val="20"/>
                <w:szCs w:val="20"/>
              </w:rPr>
              <w:t>0.533</w:t>
            </w:r>
          </w:p>
        </w:tc>
      </w:tr>
      <w:tr w:rsidR="0056696B" w:rsidRPr="002E0A7C" w14:paraId="17D6965A" w14:textId="77777777" w:rsidTr="0056696B">
        <w:tc>
          <w:tcPr>
            <w:tcW w:w="3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08C8623" w14:textId="77777777" w:rsidR="0056696B" w:rsidRPr="002E0A7C" w:rsidRDefault="0056696B" w:rsidP="002E0A7C">
            <w:pPr>
              <w:rPr>
                <w:sz w:val="20"/>
                <w:szCs w:val="20"/>
              </w:rPr>
            </w:pPr>
            <w:r w:rsidRPr="002E0A7C">
              <w:rPr>
                <w:color w:val="000000"/>
                <w:sz w:val="20"/>
                <w:szCs w:val="20"/>
              </w:rPr>
              <w:t>ITN use</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02BD8F" w14:textId="77777777" w:rsidR="0056696B" w:rsidRPr="002E0A7C" w:rsidRDefault="0056696B" w:rsidP="002E0A7C">
            <w:pPr>
              <w:jc w:val="center"/>
              <w:rPr>
                <w:sz w:val="20"/>
                <w:szCs w:val="20"/>
              </w:rPr>
            </w:pPr>
            <w:r w:rsidRPr="002E0A7C">
              <w:rPr>
                <w:color w:val="000000"/>
                <w:sz w:val="20"/>
                <w:szCs w:val="20"/>
              </w:rPr>
              <w:t>1.27</w:t>
            </w: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2F16C8" w14:textId="3DB5E3B8" w:rsidR="0056696B" w:rsidRPr="002E0A7C" w:rsidRDefault="0056696B" w:rsidP="002E0A7C">
            <w:pPr>
              <w:jc w:val="center"/>
              <w:rPr>
                <w:sz w:val="20"/>
                <w:szCs w:val="20"/>
              </w:rPr>
            </w:pPr>
            <w:r w:rsidRPr="002E0A7C">
              <w:rPr>
                <w:color w:val="000000"/>
                <w:sz w:val="20"/>
                <w:szCs w:val="20"/>
              </w:rPr>
              <w:t>[0.76</w:t>
            </w:r>
            <w:r w:rsidR="00610904">
              <w:rPr>
                <w:color w:val="000000"/>
                <w:sz w:val="20"/>
                <w:szCs w:val="20"/>
              </w:rPr>
              <w:t>-</w:t>
            </w:r>
            <w:r w:rsidRPr="002E0A7C">
              <w:rPr>
                <w:color w:val="000000"/>
                <w:sz w:val="20"/>
                <w:szCs w:val="20"/>
              </w:rPr>
              <w:t>2.11]</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789A57C" w14:textId="77777777" w:rsidR="0056696B" w:rsidRPr="002E0A7C" w:rsidRDefault="0056696B" w:rsidP="002E0A7C">
            <w:pPr>
              <w:jc w:val="center"/>
              <w:rPr>
                <w:sz w:val="20"/>
                <w:szCs w:val="20"/>
              </w:rPr>
            </w:pPr>
            <w:r w:rsidRPr="002E0A7C">
              <w:rPr>
                <w:color w:val="000000"/>
                <w:sz w:val="20"/>
                <w:szCs w:val="20"/>
              </w:rPr>
              <w:t>0.359</w:t>
            </w:r>
          </w:p>
        </w:tc>
      </w:tr>
      <w:tr w:rsidR="0056696B" w:rsidRPr="002E0A7C" w14:paraId="007DCC59" w14:textId="77777777" w:rsidTr="0056696B">
        <w:tc>
          <w:tcPr>
            <w:tcW w:w="3306"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1E52B1B2" w14:textId="77777777" w:rsidR="0056696B" w:rsidRPr="002E0A7C" w:rsidRDefault="0056696B" w:rsidP="002E0A7C">
            <w:pPr>
              <w:rPr>
                <w:sz w:val="20"/>
                <w:szCs w:val="20"/>
              </w:rPr>
            </w:pPr>
            <w:r w:rsidRPr="002E0A7C">
              <w:rPr>
                <w:color w:val="000000"/>
                <w:sz w:val="20"/>
                <w:szCs w:val="20"/>
              </w:rPr>
              <w:t>Self-</w:t>
            </w:r>
            <w:proofErr w:type="spellStart"/>
            <w:r w:rsidRPr="002E0A7C">
              <w:rPr>
                <w:color w:val="000000"/>
                <w:sz w:val="20"/>
                <w:szCs w:val="20"/>
              </w:rPr>
              <w:t>medication</w:t>
            </w:r>
            <w:proofErr w:type="spellEnd"/>
          </w:p>
        </w:tc>
        <w:tc>
          <w:tcPr>
            <w:tcW w:w="1653"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577B993" w14:textId="77777777" w:rsidR="0056696B" w:rsidRPr="002E0A7C" w:rsidRDefault="0056696B" w:rsidP="002E0A7C">
            <w:pPr>
              <w:jc w:val="center"/>
              <w:rPr>
                <w:sz w:val="20"/>
                <w:szCs w:val="20"/>
              </w:rPr>
            </w:pPr>
            <w:r w:rsidRPr="002E0A7C">
              <w:rPr>
                <w:color w:val="000000"/>
                <w:sz w:val="20"/>
                <w:szCs w:val="20"/>
              </w:rPr>
              <w:t>1.44</w:t>
            </w:r>
          </w:p>
        </w:tc>
        <w:tc>
          <w:tcPr>
            <w:tcW w:w="2353"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3D173A48" w14:textId="113EEE05" w:rsidR="0056696B" w:rsidRPr="002E0A7C" w:rsidRDefault="0056696B" w:rsidP="002E0A7C">
            <w:pPr>
              <w:jc w:val="center"/>
              <w:rPr>
                <w:sz w:val="20"/>
                <w:szCs w:val="20"/>
              </w:rPr>
            </w:pPr>
            <w:r w:rsidRPr="002E0A7C">
              <w:rPr>
                <w:color w:val="000000"/>
                <w:sz w:val="20"/>
                <w:szCs w:val="20"/>
              </w:rPr>
              <w:t>[0.84</w:t>
            </w:r>
            <w:r w:rsidR="00610904">
              <w:rPr>
                <w:color w:val="000000"/>
                <w:sz w:val="20"/>
                <w:szCs w:val="20"/>
              </w:rPr>
              <w:t>-</w:t>
            </w:r>
            <w:r w:rsidRPr="002E0A7C">
              <w:rPr>
                <w:color w:val="000000"/>
                <w:sz w:val="20"/>
                <w:szCs w:val="20"/>
              </w:rPr>
              <w:t>2.46]</w:t>
            </w:r>
          </w:p>
        </w:tc>
        <w:tc>
          <w:tcPr>
            <w:tcW w:w="1081"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3F23BBFD" w14:textId="77777777" w:rsidR="0056696B" w:rsidRPr="002E0A7C" w:rsidRDefault="0056696B" w:rsidP="002E0A7C">
            <w:pPr>
              <w:jc w:val="center"/>
              <w:rPr>
                <w:sz w:val="20"/>
                <w:szCs w:val="20"/>
              </w:rPr>
            </w:pPr>
            <w:r w:rsidRPr="002E0A7C">
              <w:rPr>
                <w:color w:val="000000"/>
                <w:sz w:val="20"/>
                <w:szCs w:val="20"/>
              </w:rPr>
              <w:t>0.181</w:t>
            </w:r>
          </w:p>
        </w:tc>
      </w:tr>
      <w:tr w:rsidR="0056696B" w:rsidRPr="002E0A7C" w14:paraId="07F2C10E" w14:textId="77777777" w:rsidTr="0056696B">
        <w:tc>
          <w:tcPr>
            <w:tcW w:w="3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51511CD" w14:textId="77777777" w:rsidR="0056696B" w:rsidRPr="002E0A7C" w:rsidRDefault="0056696B" w:rsidP="002E0A7C">
            <w:pPr>
              <w:rPr>
                <w:sz w:val="20"/>
                <w:szCs w:val="20"/>
              </w:rPr>
            </w:pPr>
            <w:r w:rsidRPr="002E0A7C">
              <w:rPr>
                <w:color w:val="000000"/>
                <w:sz w:val="20"/>
                <w:szCs w:val="20"/>
              </w:rPr>
              <w:t xml:space="preserve">Consultation </w:t>
            </w:r>
            <w:proofErr w:type="spellStart"/>
            <w:r w:rsidRPr="002E0A7C">
              <w:rPr>
                <w:color w:val="000000"/>
                <w:sz w:val="20"/>
                <w:szCs w:val="20"/>
              </w:rPr>
              <w:t>delay</w:t>
            </w:r>
            <w:proofErr w:type="spellEnd"/>
            <w:r w:rsidRPr="002E0A7C">
              <w:rPr>
                <w:color w:val="000000"/>
                <w:sz w:val="20"/>
                <w:szCs w:val="20"/>
              </w:rPr>
              <w:t xml:space="preserve"> &gt; 48h</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458CA67" w14:textId="77777777" w:rsidR="0056696B" w:rsidRPr="002E0A7C" w:rsidRDefault="0056696B" w:rsidP="002E0A7C">
            <w:pPr>
              <w:jc w:val="center"/>
              <w:rPr>
                <w:sz w:val="20"/>
                <w:szCs w:val="20"/>
              </w:rPr>
            </w:pPr>
            <w:r w:rsidRPr="002E0A7C">
              <w:rPr>
                <w:color w:val="000000"/>
                <w:sz w:val="20"/>
                <w:szCs w:val="20"/>
              </w:rPr>
              <w:t>1.76</w:t>
            </w: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D59AA36" w14:textId="7ECFE390" w:rsidR="0056696B" w:rsidRPr="002E0A7C" w:rsidRDefault="0056696B" w:rsidP="002E0A7C">
            <w:pPr>
              <w:jc w:val="center"/>
              <w:rPr>
                <w:sz w:val="20"/>
                <w:szCs w:val="20"/>
              </w:rPr>
            </w:pPr>
            <w:r w:rsidRPr="002E0A7C">
              <w:rPr>
                <w:color w:val="000000"/>
                <w:sz w:val="20"/>
                <w:szCs w:val="20"/>
              </w:rPr>
              <w:t>[0.88</w:t>
            </w:r>
            <w:r w:rsidR="00610904">
              <w:rPr>
                <w:color w:val="000000"/>
                <w:sz w:val="20"/>
                <w:szCs w:val="20"/>
              </w:rPr>
              <w:t>-</w:t>
            </w:r>
            <w:r w:rsidRPr="002E0A7C">
              <w:rPr>
                <w:color w:val="000000"/>
                <w:sz w:val="20"/>
                <w:szCs w:val="20"/>
              </w:rPr>
              <w:t>3.51]</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3E39676" w14:textId="77777777" w:rsidR="0056696B" w:rsidRPr="002E0A7C" w:rsidRDefault="0056696B" w:rsidP="002E0A7C">
            <w:pPr>
              <w:jc w:val="center"/>
              <w:rPr>
                <w:sz w:val="20"/>
                <w:szCs w:val="20"/>
              </w:rPr>
            </w:pPr>
            <w:r w:rsidRPr="002E0A7C">
              <w:rPr>
                <w:color w:val="000000"/>
                <w:sz w:val="20"/>
                <w:szCs w:val="20"/>
              </w:rPr>
              <w:t>0.108</w:t>
            </w:r>
          </w:p>
        </w:tc>
      </w:tr>
      <w:tr w:rsidR="0056696B" w:rsidRPr="002E0A7C" w14:paraId="49E6F53F" w14:textId="77777777" w:rsidTr="0056696B">
        <w:tc>
          <w:tcPr>
            <w:tcW w:w="3306"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6E4E66B" w14:textId="77777777" w:rsidR="0056696B" w:rsidRPr="002E0A7C" w:rsidRDefault="0056696B" w:rsidP="002E0A7C">
            <w:pPr>
              <w:rPr>
                <w:sz w:val="20"/>
                <w:szCs w:val="20"/>
              </w:rPr>
            </w:pPr>
            <w:r w:rsidRPr="002E0A7C">
              <w:rPr>
                <w:color w:val="000000"/>
                <w:sz w:val="20"/>
                <w:szCs w:val="20"/>
              </w:rPr>
              <w:t xml:space="preserve">Not </w:t>
            </w:r>
            <w:proofErr w:type="spellStart"/>
            <w:r w:rsidRPr="002E0A7C">
              <w:rPr>
                <w:color w:val="000000"/>
                <w:sz w:val="20"/>
                <w:szCs w:val="20"/>
              </w:rPr>
              <w:t>attending</w:t>
            </w:r>
            <w:proofErr w:type="spellEnd"/>
            <w:r w:rsidRPr="002E0A7C">
              <w:rPr>
                <w:color w:val="000000"/>
                <w:sz w:val="20"/>
                <w:szCs w:val="20"/>
              </w:rPr>
              <w:t xml:space="preserve"> </w:t>
            </w:r>
            <w:proofErr w:type="spellStart"/>
            <w:r w:rsidRPr="002E0A7C">
              <w:rPr>
                <w:color w:val="000000"/>
                <w:sz w:val="20"/>
                <w:szCs w:val="20"/>
              </w:rPr>
              <w:t>school</w:t>
            </w:r>
            <w:proofErr w:type="spellEnd"/>
          </w:p>
        </w:tc>
        <w:tc>
          <w:tcPr>
            <w:tcW w:w="1653"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1668506B" w14:textId="77777777" w:rsidR="0056696B" w:rsidRPr="002E0A7C" w:rsidRDefault="0056696B" w:rsidP="002E0A7C">
            <w:pPr>
              <w:jc w:val="center"/>
              <w:rPr>
                <w:sz w:val="20"/>
                <w:szCs w:val="20"/>
              </w:rPr>
            </w:pPr>
            <w:r w:rsidRPr="002E0A7C">
              <w:rPr>
                <w:color w:val="000000"/>
                <w:sz w:val="20"/>
                <w:szCs w:val="20"/>
              </w:rPr>
              <w:t>1.26</w:t>
            </w:r>
          </w:p>
        </w:tc>
        <w:tc>
          <w:tcPr>
            <w:tcW w:w="2353"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3AE1DF87" w14:textId="01647989" w:rsidR="0056696B" w:rsidRPr="002E0A7C" w:rsidRDefault="0056696B" w:rsidP="002E0A7C">
            <w:pPr>
              <w:jc w:val="center"/>
              <w:rPr>
                <w:sz w:val="20"/>
                <w:szCs w:val="20"/>
              </w:rPr>
            </w:pPr>
            <w:r w:rsidRPr="002E0A7C">
              <w:rPr>
                <w:color w:val="000000"/>
                <w:sz w:val="20"/>
                <w:szCs w:val="20"/>
              </w:rPr>
              <w:t>[0.75</w:t>
            </w:r>
            <w:r w:rsidR="00610904">
              <w:rPr>
                <w:color w:val="000000"/>
                <w:sz w:val="20"/>
                <w:szCs w:val="20"/>
              </w:rPr>
              <w:t>-</w:t>
            </w:r>
            <w:r w:rsidRPr="002E0A7C">
              <w:rPr>
                <w:color w:val="000000"/>
                <w:sz w:val="20"/>
                <w:szCs w:val="20"/>
              </w:rPr>
              <w:t>2.10]</w:t>
            </w:r>
          </w:p>
        </w:tc>
        <w:tc>
          <w:tcPr>
            <w:tcW w:w="1081"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64922E6" w14:textId="77777777" w:rsidR="0056696B" w:rsidRPr="002E0A7C" w:rsidRDefault="0056696B" w:rsidP="002E0A7C">
            <w:pPr>
              <w:jc w:val="center"/>
              <w:rPr>
                <w:sz w:val="20"/>
                <w:szCs w:val="20"/>
              </w:rPr>
            </w:pPr>
            <w:r w:rsidRPr="002E0A7C">
              <w:rPr>
                <w:color w:val="000000"/>
                <w:sz w:val="20"/>
                <w:szCs w:val="20"/>
              </w:rPr>
              <w:t>0.384</w:t>
            </w:r>
          </w:p>
        </w:tc>
      </w:tr>
      <w:tr w:rsidR="0056696B" w:rsidRPr="002E0A7C" w14:paraId="37136DD7" w14:textId="77777777" w:rsidTr="0056696B">
        <w:tc>
          <w:tcPr>
            <w:tcW w:w="3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C5B50D2" w14:textId="3AE95F07" w:rsidR="0056696B" w:rsidRPr="00564354" w:rsidRDefault="0056696B" w:rsidP="002E0A7C">
            <w:pPr>
              <w:rPr>
                <w:sz w:val="20"/>
                <w:szCs w:val="20"/>
                <w:lang w:val="en-GB"/>
              </w:rPr>
            </w:pPr>
            <w:r w:rsidRPr="00564354">
              <w:rPr>
                <w:color w:val="000000"/>
                <w:sz w:val="20"/>
                <w:szCs w:val="20"/>
                <w:lang w:val="en-GB"/>
              </w:rPr>
              <w:t>Central arrondissements (3rd/5th/6</w:t>
            </w:r>
            <w:proofErr w:type="gramStart"/>
            <w:r w:rsidRPr="00564354">
              <w:rPr>
                <w:color w:val="000000"/>
                <w:sz w:val="20"/>
                <w:szCs w:val="20"/>
                <w:lang w:val="en-GB"/>
              </w:rPr>
              <w:t>th)</w:t>
            </w:r>
            <w:r w:rsidR="005C6A07">
              <w:rPr>
                <w:color w:val="000000"/>
                <w:sz w:val="20"/>
                <w:szCs w:val="20"/>
                <w:lang w:val="en-GB"/>
              </w:rPr>
              <w:t>*</w:t>
            </w:r>
            <w:proofErr w:type="gramEnd"/>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6386773" w14:textId="77777777" w:rsidR="0056696B" w:rsidRPr="002E0A7C" w:rsidRDefault="0056696B" w:rsidP="002E0A7C">
            <w:pPr>
              <w:jc w:val="center"/>
              <w:rPr>
                <w:sz w:val="20"/>
                <w:szCs w:val="20"/>
              </w:rPr>
            </w:pPr>
            <w:r w:rsidRPr="002E0A7C">
              <w:rPr>
                <w:color w:val="000000"/>
                <w:sz w:val="20"/>
                <w:szCs w:val="20"/>
              </w:rPr>
              <w:t>2.01</w:t>
            </w: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CE5747B" w14:textId="6FA463C2" w:rsidR="0056696B" w:rsidRPr="002E0A7C" w:rsidRDefault="0056696B" w:rsidP="002E0A7C">
            <w:pPr>
              <w:jc w:val="center"/>
              <w:rPr>
                <w:sz w:val="20"/>
                <w:szCs w:val="20"/>
              </w:rPr>
            </w:pPr>
            <w:r w:rsidRPr="002E0A7C">
              <w:rPr>
                <w:color w:val="000000"/>
                <w:sz w:val="20"/>
                <w:szCs w:val="20"/>
              </w:rPr>
              <w:t>[1.19</w:t>
            </w:r>
            <w:r w:rsidR="00610904">
              <w:rPr>
                <w:color w:val="000000"/>
                <w:sz w:val="20"/>
                <w:szCs w:val="20"/>
              </w:rPr>
              <w:t>-</w:t>
            </w:r>
            <w:r w:rsidRPr="002E0A7C">
              <w:rPr>
                <w:color w:val="000000"/>
                <w:sz w:val="20"/>
                <w:szCs w:val="20"/>
              </w:rPr>
              <w:t>3.40]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9B25405" w14:textId="77777777" w:rsidR="0056696B" w:rsidRPr="002E0A7C" w:rsidRDefault="0056696B" w:rsidP="002E0A7C">
            <w:pPr>
              <w:jc w:val="center"/>
              <w:rPr>
                <w:sz w:val="20"/>
                <w:szCs w:val="20"/>
              </w:rPr>
            </w:pPr>
            <w:r w:rsidRPr="002E0A7C">
              <w:rPr>
                <w:color w:val="000000"/>
                <w:sz w:val="20"/>
                <w:szCs w:val="20"/>
              </w:rPr>
              <w:t>0.009</w:t>
            </w:r>
          </w:p>
        </w:tc>
      </w:tr>
      <w:tr w:rsidR="00610904" w:rsidRPr="00356CAA" w14:paraId="1D80229F" w14:textId="77777777" w:rsidTr="00B31C30">
        <w:tc>
          <w:tcPr>
            <w:tcW w:w="8393" w:type="dxa"/>
            <w:gridSpan w:val="4"/>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416E5F1" w14:textId="6E2EB4D0" w:rsidR="00610904" w:rsidRPr="00610904" w:rsidRDefault="00610904" w:rsidP="00610904">
            <w:pPr>
              <w:rPr>
                <w:b/>
                <w:bCs/>
                <w:color w:val="000000"/>
                <w:sz w:val="20"/>
                <w:szCs w:val="20"/>
                <w:lang w:val="en-GB"/>
              </w:rPr>
            </w:pPr>
            <w:r w:rsidRPr="00610904">
              <w:rPr>
                <w:b/>
                <w:bCs/>
                <w:color w:val="000000"/>
                <w:sz w:val="20"/>
                <w:szCs w:val="20"/>
                <w:lang w:val="en-GB"/>
              </w:rPr>
              <w:t>Multivariate logistic regression-Model A (N=441, complete case</w:t>
            </w:r>
            <w:r w:rsidR="005C6A07">
              <w:rPr>
                <w:b/>
                <w:bCs/>
                <w:color w:val="000000"/>
                <w:sz w:val="20"/>
                <w:szCs w:val="20"/>
                <w:lang w:val="en-GB"/>
              </w:rPr>
              <w:t>**</w:t>
            </w:r>
          </w:p>
        </w:tc>
      </w:tr>
      <w:tr w:rsidR="0056696B" w:rsidRPr="002E0A7C" w14:paraId="2ACE4ECA" w14:textId="77777777" w:rsidTr="0056696B">
        <w:tc>
          <w:tcPr>
            <w:tcW w:w="3306"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3DB15EA7" w14:textId="77777777" w:rsidR="0056696B" w:rsidRPr="002E0A7C" w:rsidRDefault="0056696B" w:rsidP="002E0A7C">
            <w:pPr>
              <w:jc w:val="center"/>
              <w:rPr>
                <w:sz w:val="20"/>
                <w:szCs w:val="20"/>
              </w:rPr>
            </w:pPr>
            <w:r w:rsidRPr="002E0A7C">
              <w:rPr>
                <w:b/>
                <w:bCs/>
                <w:color w:val="FFFFFF"/>
                <w:sz w:val="20"/>
                <w:szCs w:val="20"/>
              </w:rPr>
              <w:t>Variable</w:t>
            </w:r>
          </w:p>
        </w:tc>
        <w:tc>
          <w:tcPr>
            <w:tcW w:w="1653"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58890ED3" w14:textId="77777777" w:rsidR="0056696B" w:rsidRPr="002E0A7C" w:rsidRDefault="0056696B" w:rsidP="002E0A7C">
            <w:pPr>
              <w:jc w:val="center"/>
              <w:rPr>
                <w:sz w:val="20"/>
                <w:szCs w:val="20"/>
              </w:rPr>
            </w:pPr>
            <w:proofErr w:type="spellStart"/>
            <w:r w:rsidRPr="002E0A7C">
              <w:rPr>
                <w:b/>
                <w:bCs/>
                <w:color w:val="FFFFFF"/>
                <w:sz w:val="20"/>
                <w:szCs w:val="20"/>
              </w:rPr>
              <w:t>Adjusted</w:t>
            </w:r>
            <w:proofErr w:type="spellEnd"/>
            <w:r w:rsidRPr="002E0A7C">
              <w:rPr>
                <w:b/>
                <w:bCs/>
                <w:color w:val="FFFFFF"/>
                <w:sz w:val="20"/>
                <w:szCs w:val="20"/>
              </w:rPr>
              <w:t xml:space="preserve"> OR</w:t>
            </w:r>
          </w:p>
        </w:tc>
        <w:tc>
          <w:tcPr>
            <w:tcW w:w="2353"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1D0A8C8C" w14:textId="77777777" w:rsidR="0056696B" w:rsidRPr="002E0A7C" w:rsidRDefault="0056696B" w:rsidP="002E0A7C">
            <w:pPr>
              <w:jc w:val="center"/>
              <w:rPr>
                <w:sz w:val="20"/>
                <w:szCs w:val="20"/>
              </w:rPr>
            </w:pPr>
            <w:r w:rsidRPr="002E0A7C">
              <w:rPr>
                <w:b/>
                <w:bCs/>
                <w:color w:val="FFFFFF"/>
                <w:sz w:val="20"/>
                <w:szCs w:val="20"/>
              </w:rPr>
              <w:t>95% CI</w:t>
            </w:r>
          </w:p>
        </w:tc>
        <w:tc>
          <w:tcPr>
            <w:tcW w:w="1081"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38BE8CCF" w14:textId="77777777" w:rsidR="0056696B" w:rsidRPr="00356CAA" w:rsidRDefault="0056696B" w:rsidP="002E0A7C">
            <w:pPr>
              <w:jc w:val="center"/>
              <w:rPr>
                <w:i/>
                <w:iCs/>
                <w:sz w:val="20"/>
                <w:szCs w:val="20"/>
              </w:rPr>
            </w:pPr>
            <w:proofErr w:type="gramStart"/>
            <w:r w:rsidRPr="00356CAA">
              <w:rPr>
                <w:b/>
                <w:bCs/>
                <w:i/>
                <w:iCs/>
                <w:color w:val="FFFFFF"/>
                <w:sz w:val="20"/>
                <w:szCs w:val="20"/>
              </w:rPr>
              <w:t>p</w:t>
            </w:r>
            <w:proofErr w:type="gramEnd"/>
          </w:p>
        </w:tc>
      </w:tr>
      <w:tr w:rsidR="0056696B" w:rsidRPr="002E0A7C" w14:paraId="1CCFC2A9" w14:textId="77777777" w:rsidTr="0056696B">
        <w:tc>
          <w:tcPr>
            <w:tcW w:w="3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47B175F9" w14:textId="77777777" w:rsidR="0056696B" w:rsidRPr="002E0A7C" w:rsidRDefault="0056696B" w:rsidP="002E0A7C">
            <w:pPr>
              <w:rPr>
                <w:sz w:val="20"/>
                <w:szCs w:val="20"/>
              </w:rPr>
            </w:pPr>
            <w:r w:rsidRPr="002E0A7C">
              <w:rPr>
                <w:color w:val="000000"/>
                <w:sz w:val="20"/>
                <w:szCs w:val="20"/>
              </w:rPr>
              <w:t xml:space="preserve">Age &lt; 5 </w:t>
            </w:r>
            <w:proofErr w:type="spellStart"/>
            <w:r w:rsidRPr="002E0A7C">
              <w:rPr>
                <w:color w:val="000000"/>
                <w:sz w:val="20"/>
                <w:szCs w:val="20"/>
              </w:rPr>
              <w:t>years</w:t>
            </w:r>
            <w:proofErr w:type="spellEnd"/>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E07A795" w14:textId="77777777" w:rsidR="0056696B" w:rsidRPr="002E0A7C" w:rsidRDefault="0056696B" w:rsidP="002E0A7C">
            <w:pPr>
              <w:jc w:val="center"/>
              <w:rPr>
                <w:sz w:val="20"/>
                <w:szCs w:val="20"/>
              </w:rPr>
            </w:pPr>
            <w:r w:rsidRPr="002E0A7C">
              <w:rPr>
                <w:color w:val="000000"/>
                <w:sz w:val="20"/>
                <w:szCs w:val="20"/>
              </w:rPr>
              <w:t>1.71</w:t>
            </w: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06B50AA6" w14:textId="17D2C80C" w:rsidR="0056696B" w:rsidRPr="002E0A7C" w:rsidRDefault="0056696B" w:rsidP="002E0A7C">
            <w:pPr>
              <w:jc w:val="center"/>
              <w:rPr>
                <w:sz w:val="20"/>
                <w:szCs w:val="20"/>
              </w:rPr>
            </w:pPr>
            <w:r w:rsidRPr="002E0A7C">
              <w:rPr>
                <w:color w:val="000000"/>
                <w:sz w:val="20"/>
                <w:szCs w:val="20"/>
              </w:rPr>
              <w:t>[1.01</w:t>
            </w:r>
            <w:r w:rsidR="00610904">
              <w:rPr>
                <w:color w:val="000000"/>
                <w:sz w:val="20"/>
                <w:szCs w:val="20"/>
              </w:rPr>
              <w:t>-</w:t>
            </w:r>
            <w:r w:rsidRPr="002E0A7C">
              <w:rPr>
                <w:color w:val="000000"/>
                <w:sz w:val="20"/>
                <w:szCs w:val="20"/>
              </w:rPr>
              <w:t>2.90]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A663E2C" w14:textId="77777777" w:rsidR="0056696B" w:rsidRPr="002E0A7C" w:rsidRDefault="0056696B" w:rsidP="002E0A7C">
            <w:pPr>
              <w:jc w:val="center"/>
              <w:rPr>
                <w:sz w:val="20"/>
                <w:szCs w:val="20"/>
              </w:rPr>
            </w:pPr>
            <w:r w:rsidRPr="002E0A7C">
              <w:rPr>
                <w:color w:val="000000"/>
                <w:sz w:val="20"/>
                <w:szCs w:val="20"/>
              </w:rPr>
              <w:t>0.046</w:t>
            </w:r>
          </w:p>
        </w:tc>
      </w:tr>
      <w:tr w:rsidR="0056696B" w:rsidRPr="002E0A7C" w14:paraId="71462377" w14:textId="77777777" w:rsidTr="0056696B">
        <w:tc>
          <w:tcPr>
            <w:tcW w:w="3306"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96B9F4A" w14:textId="77777777" w:rsidR="0056696B" w:rsidRPr="00564354" w:rsidRDefault="0056696B" w:rsidP="002E0A7C">
            <w:pPr>
              <w:rPr>
                <w:sz w:val="20"/>
                <w:szCs w:val="20"/>
                <w:lang w:val="en-GB"/>
              </w:rPr>
            </w:pPr>
            <w:r w:rsidRPr="00564354">
              <w:rPr>
                <w:color w:val="000000"/>
                <w:sz w:val="20"/>
                <w:szCs w:val="20"/>
                <w:lang w:val="en-GB"/>
              </w:rPr>
              <w:t>Central arrondissements (3rd/5th/6th)</w:t>
            </w:r>
          </w:p>
        </w:tc>
        <w:tc>
          <w:tcPr>
            <w:tcW w:w="1653"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60CAC82D" w14:textId="77777777" w:rsidR="0056696B" w:rsidRPr="002E0A7C" w:rsidRDefault="0056696B" w:rsidP="002E0A7C">
            <w:pPr>
              <w:jc w:val="center"/>
              <w:rPr>
                <w:sz w:val="20"/>
                <w:szCs w:val="20"/>
              </w:rPr>
            </w:pPr>
            <w:r w:rsidRPr="002E0A7C">
              <w:rPr>
                <w:color w:val="000000"/>
                <w:sz w:val="20"/>
                <w:szCs w:val="20"/>
              </w:rPr>
              <w:t>1.90</w:t>
            </w:r>
          </w:p>
        </w:tc>
        <w:tc>
          <w:tcPr>
            <w:tcW w:w="2353"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5E6E4E92" w14:textId="1FF673FA" w:rsidR="0056696B" w:rsidRPr="002E0A7C" w:rsidRDefault="0056696B" w:rsidP="002E0A7C">
            <w:pPr>
              <w:jc w:val="center"/>
              <w:rPr>
                <w:sz w:val="20"/>
                <w:szCs w:val="20"/>
              </w:rPr>
            </w:pPr>
            <w:r w:rsidRPr="002E0A7C">
              <w:rPr>
                <w:color w:val="000000"/>
                <w:sz w:val="20"/>
                <w:szCs w:val="20"/>
              </w:rPr>
              <w:t>[1.12</w:t>
            </w:r>
            <w:r w:rsidR="00610904">
              <w:rPr>
                <w:color w:val="000000"/>
                <w:sz w:val="20"/>
                <w:szCs w:val="20"/>
              </w:rPr>
              <w:t>-</w:t>
            </w:r>
            <w:r w:rsidRPr="002E0A7C">
              <w:rPr>
                <w:color w:val="000000"/>
                <w:sz w:val="20"/>
                <w:szCs w:val="20"/>
              </w:rPr>
              <w:t>3.23]</w:t>
            </w:r>
          </w:p>
        </w:tc>
        <w:tc>
          <w:tcPr>
            <w:tcW w:w="1081"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48C92A47" w14:textId="77777777" w:rsidR="0056696B" w:rsidRPr="002E0A7C" w:rsidRDefault="0056696B" w:rsidP="002E0A7C">
            <w:pPr>
              <w:jc w:val="center"/>
              <w:rPr>
                <w:sz w:val="20"/>
                <w:szCs w:val="20"/>
              </w:rPr>
            </w:pPr>
            <w:r w:rsidRPr="002E0A7C">
              <w:rPr>
                <w:color w:val="000000"/>
                <w:sz w:val="20"/>
                <w:szCs w:val="20"/>
              </w:rPr>
              <w:t>0.018</w:t>
            </w:r>
          </w:p>
        </w:tc>
      </w:tr>
      <w:tr w:rsidR="0056696B" w:rsidRPr="002E0A7C" w14:paraId="419A5EC3" w14:textId="77777777" w:rsidTr="0056696B">
        <w:tc>
          <w:tcPr>
            <w:tcW w:w="3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ACB8CBC" w14:textId="77777777" w:rsidR="0056696B" w:rsidRPr="002E0A7C" w:rsidRDefault="0056696B" w:rsidP="002E0A7C">
            <w:pPr>
              <w:rPr>
                <w:sz w:val="20"/>
                <w:szCs w:val="20"/>
              </w:rPr>
            </w:pPr>
            <w:r w:rsidRPr="002E0A7C">
              <w:rPr>
                <w:color w:val="000000"/>
                <w:sz w:val="20"/>
                <w:szCs w:val="20"/>
              </w:rPr>
              <w:t>Self-</w:t>
            </w:r>
            <w:proofErr w:type="spellStart"/>
            <w:r w:rsidRPr="002E0A7C">
              <w:rPr>
                <w:color w:val="000000"/>
                <w:sz w:val="20"/>
                <w:szCs w:val="20"/>
              </w:rPr>
              <w:t>medication</w:t>
            </w:r>
            <w:proofErr w:type="spellEnd"/>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5DE2CF8D" w14:textId="77777777" w:rsidR="0056696B" w:rsidRPr="002E0A7C" w:rsidRDefault="0056696B" w:rsidP="002E0A7C">
            <w:pPr>
              <w:jc w:val="center"/>
              <w:rPr>
                <w:sz w:val="20"/>
                <w:szCs w:val="20"/>
              </w:rPr>
            </w:pPr>
            <w:r w:rsidRPr="002E0A7C">
              <w:rPr>
                <w:color w:val="000000"/>
                <w:sz w:val="20"/>
                <w:szCs w:val="20"/>
              </w:rPr>
              <w:t>1.44</w:t>
            </w: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414A75" w14:textId="4A72BA10" w:rsidR="0056696B" w:rsidRPr="002E0A7C" w:rsidRDefault="0056696B" w:rsidP="002E0A7C">
            <w:pPr>
              <w:jc w:val="center"/>
              <w:rPr>
                <w:sz w:val="20"/>
                <w:szCs w:val="20"/>
              </w:rPr>
            </w:pPr>
            <w:r w:rsidRPr="002E0A7C">
              <w:rPr>
                <w:color w:val="000000"/>
                <w:sz w:val="20"/>
                <w:szCs w:val="20"/>
              </w:rPr>
              <w:t>[0.83</w:t>
            </w:r>
            <w:r w:rsidR="00610904">
              <w:rPr>
                <w:color w:val="000000"/>
                <w:sz w:val="20"/>
                <w:szCs w:val="20"/>
              </w:rPr>
              <w:t>-</w:t>
            </w:r>
            <w:r w:rsidRPr="002E0A7C">
              <w:rPr>
                <w:color w:val="000000"/>
                <w:sz w:val="20"/>
                <w:szCs w:val="20"/>
              </w:rPr>
              <w:t>2.48]</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20D25C79" w14:textId="77777777" w:rsidR="0056696B" w:rsidRPr="002E0A7C" w:rsidRDefault="0056696B" w:rsidP="002E0A7C">
            <w:pPr>
              <w:jc w:val="center"/>
              <w:rPr>
                <w:sz w:val="20"/>
                <w:szCs w:val="20"/>
              </w:rPr>
            </w:pPr>
            <w:r w:rsidRPr="002E0A7C">
              <w:rPr>
                <w:color w:val="000000"/>
                <w:sz w:val="20"/>
                <w:szCs w:val="20"/>
              </w:rPr>
              <w:t>0.192</w:t>
            </w:r>
          </w:p>
        </w:tc>
      </w:tr>
      <w:tr w:rsidR="0056696B" w:rsidRPr="002E0A7C" w14:paraId="0B630AAC" w14:textId="77777777" w:rsidTr="0056696B">
        <w:tc>
          <w:tcPr>
            <w:tcW w:w="3306"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5A32329C" w14:textId="77777777" w:rsidR="0056696B" w:rsidRPr="002E0A7C" w:rsidRDefault="0056696B" w:rsidP="002E0A7C">
            <w:pPr>
              <w:rPr>
                <w:sz w:val="20"/>
                <w:szCs w:val="20"/>
              </w:rPr>
            </w:pPr>
            <w:r w:rsidRPr="002E0A7C">
              <w:rPr>
                <w:color w:val="000000"/>
                <w:sz w:val="20"/>
                <w:szCs w:val="20"/>
              </w:rPr>
              <w:t xml:space="preserve">Male </w:t>
            </w:r>
            <w:proofErr w:type="spellStart"/>
            <w:r w:rsidRPr="002E0A7C">
              <w:rPr>
                <w:color w:val="000000"/>
                <w:sz w:val="20"/>
                <w:szCs w:val="20"/>
              </w:rPr>
              <w:t>sex</w:t>
            </w:r>
            <w:proofErr w:type="spellEnd"/>
          </w:p>
        </w:tc>
        <w:tc>
          <w:tcPr>
            <w:tcW w:w="1653"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52CC675B" w14:textId="77777777" w:rsidR="0056696B" w:rsidRPr="002E0A7C" w:rsidRDefault="0056696B" w:rsidP="002E0A7C">
            <w:pPr>
              <w:jc w:val="center"/>
              <w:rPr>
                <w:sz w:val="20"/>
                <w:szCs w:val="20"/>
              </w:rPr>
            </w:pPr>
            <w:r w:rsidRPr="002E0A7C">
              <w:rPr>
                <w:color w:val="000000"/>
                <w:sz w:val="20"/>
                <w:szCs w:val="20"/>
              </w:rPr>
              <w:t>0.83</w:t>
            </w:r>
          </w:p>
        </w:tc>
        <w:tc>
          <w:tcPr>
            <w:tcW w:w="2353"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06A6025A" w14:textId="1E05C126" w:rsidR="0056696B" w:rsidRPr="002E0A7C" w:rsidRDefault="0056696B" w:rsidP="002E0A7C">
            <w:pPr>
              <w:jc w:val="center"/>
              <w:rPr>
                <w:sz w:val="20"/>
                <w:szCs w:val="20"/>
              </w:rPr>
            </w:pPr>
            <w:r w:rsidRPr="002E0A7C">
              <w:rPr>
                <w:color w:val="000000"/>
                <w:sz w:val="20"/>
                <w:szCs w:val="20"/>
              </w:rPr>
              <w:t>[0.50</w:t>
            </w:r>
            <w:r w:rsidR="00610904">
              <w:rPr>
                <w:color w:val="000000"/>
                <w:sz w:val="20"/>
                <w:szCs w:val="20"/>
              </w:rPr>
              <w:t>-</w:t>
            </w:r>
            <w:r w:rsidRPr="002E0A7C">
              <w:rPr>
                <w:color w:val="000000"/>
                <w:sz w:val="20"/>
                <w:szCs w:val="20"/>
              </w:rPr>
              <w:t>1.38]</w:t>
            </w:r>
          </w:p>
        </w:tc>
        <w:tc>
          <w:tcPr>
            <w:tcW w:w="1081" w:type="dxa"/>
            <w:tcBorders>
              <w:top w:val="single" w:sz="4" w:space="0" w:color="000000"/>
              <w:left w:val="single" w:sz="4" w:space="0" w:color="000000"/>
              <w:bottom w:val="single" w:sz="4" w:space="0" w:color="000000"/>
              <w:right w:val="single" w:sz="4" w:space="0" w:color="000000"/>
            </w:tcBorders>
            <w:shd w:val="clear" w:color="auto" w:fill="E8E8E8"/>
            <w:tcMar>
              <w:top w:w="60" w:type="dxa"/>
              <w:left w:w="100" w:type="dxa"/>
              <w:bottom w:w="60" w:type="dxa"/>
              <w:right w:w="100" w:type="dxa"/>
            </w:tcMar>
            <w:vAlign w:val="center"/>
          </w:tcPr>
          <w:p w14:paraId="29B4E694" w14:textId="77777777" w:rsidR="0056696B" w:rsidRPr="002E0A7C" w:rsidRDefault="0056696B" w:rsidP="002E0A7C">
            <w:pPr>
              <w:jc w:val="center"/>
              <w:rPr>
                <w:sz w:val="20"/>
                <w:szCs w:val="20"/>
              </w:rPr>
            </w:pPr>
            <w:r w:rsidRPr="002E0A7C">
              <w:rPr>
                <w:color w:val="000000"/>
                <w:sz w:val="20"/>
                <w:szCs w:val="20"/>
              </w:rPr>
              <w:t>0.479</w:t>
            </w:r>
          </w:p>
        </w:tc>
      </w:tr>
      <w:tr w:rsidR="0056696B" w:rsidRPr="002E0A7C" w14:paraId="7D946400" w14:textId="77777777" w:rsidTr="0056696B">
        <w:tc>
          <w:tcPr>
            <w:tcW w:w="3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719D24B9" w14:textId="77777777" w:rsidR="0056696B" w:rsidRPr="002E0A7C" w:rsidRDefault="0056696B" w:rsidP="002E0A7C">
            <w:pPr>
              <w:rPr>
                <w:sz w:val="20"/>
                <w:szCs w:val="20"/>
              </w:rPr>
            </w:pPr>
            <w:r w:rsidRPr="002E0A7C">
              <w:rPr>
                <w:color w:val="000000"/>
                <w:sz w:val="20"/>
                <w:szCs w:val="20"/>
              </w:rPr>
              <w:t>ITN use</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3496CEE9" w14:textId="77777777" w:rsidR="0056696B" w:rsidRPr="002E0A7C" w:rsidRDefault="0056696B" w:rsidP="002E0A7C">
            <w:pPr>
              <w:jc w:val="center"/>
              <w:rPr>
                <w:sz w:val="20"/>
                <w:szCs w:val="20"/>
              </w:rPr>
            </w:pPr>
            <w:r w:rsidRPr="002E0A7C">
              <w:rPr>
                <w:color w:val="000000"/>
                <w:sz w:val="20"/>
                <w:szCs w:val="20"/>
              </w:rPr>
              <w:t>1.20</w:t>
            </w: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188C844F" w14:textId="7D417043" w:rsidR="0056696B" w:rsidRPr="002E0A7C" w:rsidRDefault="0056696B" w:rsidP="002E0A7C">
            <w:pPr>
              <w:jc w:val="center"/>
              <w:rPr>
                <w:sz w:val="20"/>
                <w:szCs w:val="20"/>
              </w:rPr>
            </w:pPr>
            <w:r w:rsidRPr="002E0A7C">
              <w:rPr>
                <w:color w:val="000000"/>
                <w:sz w:val="20"/>
                <w:szCs w:val="20"/>
              </w:rPr>
              <w:t>[0.72</w:t>
            </w:r>
            <w:r w:rsidR="00610904">
              <w:rPr>
                <w:color w:val="000000"/>
                <w:sz w:val="20"/>
                <w:szCs w:val="20"/>
              </w:rPr>
              <w:t>-</w:t>
            </w:r>
            <w:r w:rsidRPr="002E0A7C">
              <w:rPr>
                <w:color w:val="000000"/>
                <w:sz w:val="20"/>
                <w:szCs w:val="20"/>
              </w:rPr>
              <w:t>2.03]</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vAlign w:val="center"/>
          </w:tcPr>
          <w:p w14:paraId="61BC7EFF" w14:textId="77777777" w:rsidR="0056696B" w:rsidRPr="002E0A7C" w:rsidRDefault="0056696B" w:rsidP="002E0A7C">
            <w:pPr>
              <w:jc w:val="center"/>
              <w:rPr>
                <w:sz w:val="20"/>
                <w:szCs w:val="20"/>
              </w:rPr>
            </w:pPr>
            <w:r w:rsidRPr="002E0A7C">
              <w:rPr>
                <w:color w:val="000000"/>
                <w:sz w:val="20"/>
                <w:szCs w:val="20"/>
              </w:rPr>
              <w:t>0.483</w:t>
            </w:r>
          </w:p>
        </w:tc>
      </w:tr>
    </w:tbl>
    <w:p w14:paraId="68A5DCE5" w14:textId="10DB7C10" w:rsidR="002E0A7C" w:rsidRPr="009A55CB" w:rsidRDefault="005C6A07" w:rsidP="002E0A7C">
      <w:pPr>
        <w:spacing w:before="60"/>
        <w:rPr>
          <w:sz w:val="20"/>
          <w:szCs w:val="20"/>
          <w:lang w:val="en-GB"/>
        </w:rPr>
      </w:pPr>
      <w:r>
        <w:rPr>
          <w:i/>
          <w:iCs/>
          <w:color w:val="000000"/>
          <w:sz w:val="18"/>
          <w:szCs w:val="18"/>
          <w:lang w:val="en-GB"/>
        </w:rPr>
        <w:t>*</w:t>
      </w:r>
      <w:r w:rsidR="002E0A7C" w:rsidRPr="009A55CB">
        <w:rPr>
          <w:i/>
          <w:iCs/>
          <w:color w:val="000000"/>
          <w:sz w:val="18"/>
          <w:szCs w:val="18"/>
          <w:lang w:val="en-GB"/>
        </w:rPr>
        <w:t>Central arrondissements: 3rd (</w:t>
      </w:r>
      <w:proofErr w:type="spellStart"/>
      <w:r w:rsidR="002E0A7C" w:rsidRPr="009A55CB">
        <w:rPr>
          <w:i/>
          <w:iCs/>
          <w:color w:val="000000"/>
          <w:sz w:val="18"/>
          <w:szCs w:val="18"/>
          <w:lang w:val="en-GB"/>
        </w:rPr>
        <w:t>Poto-Poto</w:t>
      </w:r>
      <w:proofErr w:type="spellEnd"/>
      <w:r w:rsidR="002E0A7C" w:rsidRPr="009A55CB">
        <w:rPr>
          <w:i/>
          <w:iCs/>
          <w:color w:val="000000"/>
          <w:sz w:val="18"/>
          <w:szCs w:val="18"/>
          <w:lang w:val="en-GB"/>
        </w:rPr>
        <w:t>), 5th (</w:t>
      </w:r>
      <w:proofErr w:type="spellStart"/>
      <w:r w:rsidR="002E0A7C" w:rsidRPr="009A55CB">
        <w:rPr>
          <w:i/>
          <w:iCs/>
          <w:color w:val="000000"/>
          <w:sz w:val="18"/>
          <w:szCs w:val="18"/>
          <w:lang w:val="en-GB"/>
        </w:rPr>
        <w:t>Ouenzé</w:t>
      </w:r>
      <w:proofErr w:type="spellEnd"/>
      <w:r w:rsidR="002E0A7C" w:rsidRPr="009A55CB">
        <w:rPr>
          <w:i/>
          <w:iCs/>
          <w:color w:val="000000"/>
          <w:sz w:val="18"/>
          <w:szCs w:val="18"/>
          <w:lang w:val="en-GB"/>
        </w:rPr>
        <w:t>), 6th (</w:t>
      </w:r>
      <w:proofErr w:type="spellStart"/>
      <w:r w:rsidR="002E0A7C" w:rsidRPr="009A55CB">
        <w:rPr>
          <w:i/>
          <w:iCs/>
          <w:color w:val="000000"/>
          <w:sz w:val="18"/>
          <w:szCs w:val="18"/>
          <w:lang w:val="en-GB"/>
        </w:rPr>
        <w:t>Talangaï</w:t>
      </w:r>
      <w:proofErr w:type="spellEnd"/>
      <w:r w:rsidR="002E0A7C" w:rsidRPr="009A55CB">
        <w:rPr>
          <w:i/>
          <w:iCs/>
          <w:color w:val="000000"/>
          <w:sz w:val="18"/>
          <w:szCs w:val="18"/>
          <w:lang w:val="en-GB"/>
        </w:rPr>
        <w:t>) vs all other arrondissements and outside Brazzaville.</w:t>
      </w:r>
    </w:p>
    <w:p w14:paraId="5BB25F47" w14:textId="77A1460F" w:rsidR="00610904" w:rsidRDefault="005C6A07" w:rsidP="005C6A07">
      <w:pPr>
        <w:spacing w:line="480" w:lineRule="auto"/>
        <w:jc w:val="both"/>
        <w:rPr>
          <w:i/>
          <w:iCs/>
          <w:color w:val="000000"/>
          <w:sz w:val="18"/>
          <w:szCs w:val="18"/>
          <w:lang w:val="en-GB"/>
        </w:rPr>
      </w:pPr>
      <w:r>
        <w:rPr>
          <w:i/>
          <w:iCs/>
          <w:color w:val="000000"/>
          <w:sz w:val="18"/>
          <w:szCs w:val="18"/>
          <w:lang w:val="en-GB"/>
        </w:rPr>
        <w:t>*C</w:t>
      </w:r>
      <w:r w:rsidRPr="009A55CB">
        <w:rPr>
          <w:i/>
          <w:iCs/>
          <w:color w:val="000000"/>
          <w:sz w:val="18"/>
          <w:szCs w:val="18"/>
          <w:lang w:val="en-GB"/>
        </w:rPr>
        <w:t>omplete case analysis (N = 441); variables selected based on p &lt; 0.20 in univariable analysis and biological plausibility</w:t>
      </w:r>
    </w:p>
    <w:p w14:paraId="696CA9B8" w14:textId="77777777" w:rsidR="005C6A07" w:rsidRDefault="005C6A07" w:rsidP="005C6A07">
      <w:pPr>
        <w:spacing w:line="480" w:lineRule="auto"/>
        <w:jc w:val="both"/>
        <w:rPr>
          <w:color w:val="000000"/>
          <w:lang w:val="en-GB"/>
        </w:rPr>
      </w:pPr>
    </w:p>
    <w:p w14:paraId="3105902A" w14:textId="08B7F282" w:rsidR="002E0A7C" w:rsidRPr="00564354" w:rsidRDefault="002E0A7C" w:rsidP="002E0A7C">
      <w:pPr>
        <w:spacing w:line="480" w:lineRule="auto"/>
        <w:ind w:firstLine="720"/>
        <w:jc w:val="both"/>
        <w:rPr>
          <w:lang w:val="en-GB"/>
        </w:rPr>
      </w:pPr>
      <w:r w:rsidRPr="009A55CB">
        <w:rPr>
          <w:color w:val="000000"/>
          <w:lang w:val="en-GB"/>
        </w:rPr>
        <w:t>In the sensitivity analysis restricted to the 317 children with available consultation delay data, each additional day of delay was independently associated with a significantly higher odds of co-infection (</w:t>
      </w:r>
      <w:proofErr w:type="spellStart"/>
      <w:r w:rsidRPr="009A55CB">
        <w:rPr>
          <w:color w:val="000000"/>
          <w:lang w:val="en-GB"/>
        </w:rPr>
        <w:t>aOR</w:t>
      </w:r>
      <w:proofErr w:type="spellEnd"/>
      <w:r w:rsidRPr="009A55CB">
        <w:rPr>
          <w:color w:val="000000"/>
          <w:lang w:val="en-GB"/>
        </w:rPr>
        <w:t xml:space="preserve"> 1.09 per day, 95% CI 1.01</w:t>
      </w:r>
      <w:r w:rsidR="00610904">
        <w:rPr>
          <w:color w:val="000000"/>
          <w:lang w:val="en-GB"/>
        </w:rPr>
        <w:t>-</w:t>
      </w:r>
      <w:r w:rsidRPr="009A55CB">
        <w:rPr>
          <w:color w:val="000000"/>
          <w:lang w:val="en-GB"/>
        </w:rPr>
        <w:t xml:space="preserve">1.18, </w:t>
      </w:r>
      <w:r w:rsidRPr="00356CAA">
        <w:rPr>
          <w:i/>
          <w:iCs/>
          <w:color w:val="000000"/>
          <w:lang w:val="en-GB"/>
        </w:rPr>
        <w:t>p</w:t>
      </w:r>
      <w:r w:rsidRPr="009A55CB">
        <w:rPr>
          <w:color w:val="000000"/>
          <w:lang w:val="en-GB"/>
        </w:rPr>
        <w:t xml:space="preserve"> = 0.035). In this model, age under five years and central arrondissement residence were no longer statistically significant (</w:t>
      </w:r>
      <w:r w:rsidRPr="00356CAA">
        <w:rPr>
          <w:i/>
          <w:iCs/>
          <w:color w:val="000000"/>
          <w:lang w:val="en-GB"/>
        </w:rPr>
        <w:t>p</w:t>
      </w:r>
      <w:r w:rsidRPr="009A55CB">
        <w:rPr>
          <w:color w:val="000000"/>
          <w:lang w:val="en-GB"/>
        </w:rPr>
        <w:t xml:space="preserve"> = 0.136 and </w:t>
      </w:r>
      <w:r w:rsidRPr="00356CAA">
        <w:rPr>
          <w:i/>
          <w:iCs/>
          <w:color w:val="000000"/>
          <w:lang w:val="en-GB"/>
        </w:rPr>
        <w:t>p</w:t>
      </w:r>
      <w:r w:rsidRPr="009A55CB">
        <w:rPr>
          <w:color w:val="000000"/>
          <w:lang w:val="en-GB"/>
        </w:rPr>
        <w:t xml:space="preserve"> = 0.188, respectively), likely reflecting the reduced statistical power of the restricted sample (44 co-infection events over 6 variables). </w:t>
      </w:r>
    </w:p>
    <w:p w14:paraId="3D7868A9" w14:textId="77777777" w:rsidR="002E0A7C" w:rsidRPr="00564354" w:rsidRDefault="002E0A7C" w:rsidP="002E0A7C">
      <w:pPr>
        <w:spacing w:before="60" w:after="60"/>
        <w:rPr>
          <w:lang w:val="en-GB"/>
        </w:rPr>
      </w:pPr>
    </w:p>
    <w:p w14:paraId="18309C66" w14:textId="65CD27FA" w:rsidR="000F63BD" w:rsidRPr="00B547E9" w:rsidRDefault="00F63E85" w:rsidP="00B547E9">
      <w:pPr>
        <w:pStyle w:val="ListParagraph"/>
        <w:numPr>
          <w:ilvl w:val="0"/>
          <w:numId w:val="4"/>
        </w:numPr>
        <w:spacing w:after="160" w:line="480" w:lineRule="auto"/>
        <w:rPr>
          <w:color w:val="000000" w:themeColor="text1"/>
          <w:lang w:val="en-GB"/>
        </w:rPr>
      </w:pPr>
      <w:r w:rsidRPr="00B547E9">
        <w:rPr>
          <w:b/>
          <w:bCs/>
          <w:caps/>
          <w:color w:val="000000" w:themeColor="text1"/>
          <w:lang w:val="en-GB"/>
        </w:rPr>
        <w:t>Discussion</w:t>
      </w:r>
    </w:p>
    <w:p w14:paraId="0442C004" w14:textId="77777777" w:rsidR="006A721C" w:rsidRPr="006A721C" w:rsidRDefault="006A721C" w:rsidP="006A721C">
      <w:pPr>
        <w:spacing w:line="480" w:lineRule="auto"/>
        <w:jc w:val="both"/>
        <w:rPr>
          <w:lang w:val="en-US"/>
        </w:rPr>
      </w:pPr>
      <w:r w:rsidRPr="006A721C">
        <w:rPr>
          <w:color w:val="000000"/>
          <w:lang w:val="en-US"/>
        </w:rPr>
        <w:t xml:space="preserve">This hospital-based cohort study of 441 children admitted with confirmed </w:t>
      </w:r>
      <w:r w:rsidRPr="006A721C">
        <w:rPr>
          <w:i/>
          <w:iCs/>
          <w:color w:val="000000"/>
          <w:lang w:val="en-US"/>
        </w:rPr>
        <w:t>Plasmodium falciparum</w:t>
      </w:r>
      <w:r w:rsidRPr="006A721C">
        <w:rPr>
          <w:color w:val="000000"/>
          <w:lang w:val="en-US"/>
        </w:rPr>
        <w:t xml:space="preserve"> malaria in Brazzaville, Republic of Congo, provides the first systematic </w:t>
      </w:r>
      <w:proofErr w:type="spellStart"/>
      <w:r w:rsidRPr="006A721C">
        <w:rPr>
          <w:color w:val="000000"/>
          <w:lang w:val="en-US"/>
        </w:rPr>
        <w:t>characterisation</w:t>
      </w:r>
      <w:proofErr w:type="spellEnd"/>
      <w:r w:rsidRPr="006A721C">
        <w:rPr>
          <w:color w:val="000000"/>
          <w:lang w:val="en-US"/>
        </w:rPr>
        <w:t xml:space="preserve"> of co-infection and comorbidity in this setting. </w:t>
      </w:r>
    </w:p>
    <w:p w14:paraId="474805B6" w14:textId="67A84208" w:rsidR="006A721C" w:rsidRPr="006A721C" w:rsidRDefault="006A721C" w:rsidP="006A721C">
      <w:pPr>
        <w:spacing w:line="480" w:lineRule="auto"/>
        <w:jc w:val="both"/>
        <w:rPr>
          <w:lang w:val="en-US"/>
        </w:rPr>
      </w:pPr>
      <w:r w:rsidRPr="006A721C">
        <w:rPr>
          <w:color w:val="000000"/>
          <w:lang w:val="en-US"/>
        </w:rPr>
        <w:lastRenderedPageBreak/>
        <w:t xml:space="preserve">The co-infection prevalence of 16.8% is compatible with estimates from comparable settings. Church and Maitland documented invasive bacterial infection in 5.58% of all </w:t>
      </w:r>
      <w:proofErr w:type="spellStart"/>
      <w:r w:rsidRPr="006A721C">
        <w:rPr>
          <w:color w:val="000000"/>
          <w:lang w:val="en-US"/>
        </w:rPr>
        <w:t>hospitalised</w:t>
      </w:r>
      <w:proofErr w:type="spellEnd"/>
      <w:r w:rsidRPr="006A721C">
        <w:rPr>
          <w:color w:val="000000"/>
          <w:lang w:val="en-US"/>
        </w:rPr>
        <w:t xml:space="preserve"> malaria cases and 6.4% of severe cases across 11 African countries</w:t>
      </w:r>
      <w:r w:rsidR="00C258A7">
        <w:rPr>
          <w:color w:val="000000"/>
          <w:lang w:val="en-US"/>
        </w:rPr>
        <w:t xml:space="preserve"> (Church and Maitland, 2014)</w:t>
      </w:r>
      <w:r w:rsidR="00071880">
        <w:rPr>
          <w:color w:val="000000"/>
          <w:lang w:val="en-US"/>
        </w:rPr>
        <w:t>,</w:t>
      </w:r>
      <w:r w:rsidRPr="006A721C">
        <w:rPr>
          <w:color w:val="000000"/>
          <w:lang w:val="en-US"/>
        </w:rPr>
        <w:t xml:space="preserve"> a conservative lower bound given its restriction to microbiologically confirmed </w:t>
      </w:r>
      <w:proofErr w:type="spellStart"/>
      <w:r w:rsidRPr="006A721C">
        <w:rPr>
          <w:color w:val="000000"/>
          <w:lang w:val="en-US"/>
        </w:rPr>
        <w:t>bacteraemia</w:t>
      </w:r>
      <w:proofErr w:type="spellEnd"/>
      <w:r w:rsidRPr="006A721C">
        <w:rPr>
          <w:color w:val="000000"/>
          <w:lang w:val="en-US"/>
        </w:rPr>
        <w:t>. More broadly defined co-infections, including clinically diagnosed respiratory and ENT conditions, are consistently more prevalent. In Libreville, Gabon, 21.0% of children with WHO-defined severe malaria had at least one documented co-infection, with respiratory infections (43.6%) predominating</w:t>
      </w:r>
      <w:r w:rsidR="00C258A7">
        <w:rPr>
          <w:color w:val="000000"/>
          <w:lang w:val="en-US"/>
        </w:rPr>
        <w:t xml:space="preserve"> (</w:t>
      </w:r>
      <w:proofErr w:type="spellStart"/>
      <w:r w:rsidR="00C258A7">
        <w:rPr>
          <w:color w:val="000000"/>
          <w:lang w:val="en-US"/>
        </w:rPr>
        <w:t>Essomeyo</w:t>
      </w:r>
      <w:proofErr w:type="spellEnd"/>
      <w:r w:rsidR="00C258A7">
        <w:rPr>
          <w:color w:val="000000"/>
          <w:lang w:val="en-US"/>
        </w:rPr>
        <w:t xml:space="preserve"> </w:t>
      </w:r>
      <w:proofErr w:type="spellStart"/>
      <w:r w:rsidR="00C258A7">
        <w:rPr>
          <w:color w:val="000000"/>
          <w:lang w:val="en-US"/>
        </w:rPr>
        <w:t>Ngue</w:t>
      </w:r>
      <w:proofErr w:type="spellEnd"/>
      <w:r w:rsidR="00C258A7">
        <w:rPr>
          <w:color w:val="000000"/>
          <w:lang w:val="en-US"/>
        </w:rPr>
        <w:t xml:space="preserve"> </w:t>
      </w:r>
      <w:proofErr w:type="spellStart"/>
      <w:r w:rsidR="00C258A7">
        <w:rPr>
          <w:color w:val="000000"/>
          <w:lang w:val="en-US"/>
        </w:rPr>
        <w:t>Mebale</w:t>
      </w:r>
      <w:proofErr w:type="spellEnd"/>
      <w:r w:rsidR="00C258A7">
        <w:rPr>
          <w:color w:val="000000"/>
          <w:lang w:val="en-US"/>
        </w:rPr>
        <w:t xml:space="preserve"> and </w:t>
      </w:r>
      <w:r w:rsidR="00C258A7" w:rsidRPr="00C258A7">
        <w:rPr>
          <w:i/>
          <w:iCs/>
          <w:color w:val="000000"/>
          <w:lang w:val="en-US"/>
        </w:rPr>
        <w:t>al</w:t>
      </w:r>
      <w:r w:rsidR="00C258A7">
        <w:rPr>
          <w:color w:val="000000"/>
          <w:lang w:val="en-US"/>
        </w:rPr>
        <w:t>, 2026)</w:t>
      </w:r>
      <w:r w:rsidR="00071880">
        <w:rPr>
          <w:color w:val="000000"/>
          <w:lang w:val="en-US"/>
        </w:rPr>
        <w:t xml:space="preserve">. </w:t>
      </w:r>
      <w:r w:rsidRPr="006A721C">
        <w:rPr>
          <w:color w:val="000000"/>
          <w:lang w:val="en-US"/>
        </w:rPr>
        <w:t>The slight excess relative to our cohort likely reflects their restriction to severe malaria cases, a group with greater immunological vulnerability and more frequent delayed presentation. In Ouagadougou, a co-infection rate of 34.9% was reported, though that study included both confirmed and suspected cases, which may account for the higher estimate relative to our documented-only approach</w:t>
      </w:r>
      <w:r w:rsidR="00C258A7">
        <w:rPr>
          <w:color w:val="000000"/>
          <w:lang w:val="en-US"/>
        </w:rPr>
        <w:t xml:space="preserve"> (Lassina D and </w:t>
      </w:r>
      <w:r w:rsidR="00C258A7" w:rsidRPr="00C258A7">
        <w:rPr>
          <w:i/>
          <w:iCs/>
          <w:color w:val="000000"/>
          <w:lang w:val="en-US"/>
        </w:rPr>
        <w:t>al</w:t>
      </w:r>
      <w:r w:rsidR="00C258A7">
        <w:rPr>
          <w:color w:val="000000"/>
          <w:lang w:val="en-US"/>
        </w:rPr>
        <w:t>, 2026)</w:t>
      </w:r>
      <w:r w:rsidRPr="006A721C">
        <w:rPr>
          <w:color w:val="000000"/>
          <w:lang w:val="en-US"/>
        </w:rPr>
        <w:t>.</w:t>
      </w:r>
      <w:r w:rsidR="00071880">
        <w:rPr>
          <w:color w:val="000000"/>
          <w:lang w:val="en-US"/>
        </w:rPr>
        <w:t xml:space="preserve"> </w:t>
      </w:r>
      <w:r w:rsidRPr="006A721C">
        <w:rPr>
          <w:color w:val="000000"/>
          <w:lang w:val="en-US"/>
        </w:rPr>
        <w:t>The predominance of rhinopharyngitis, bronchopneumonia, and meningitis in our series mirrors the Gabonese experience</w:t>
      </w:r>
      <w:r w:rsidR="00C258A7">
        <w:rPr>
          <w:color w:val="000000"/>
          <w:lang w:val="en-US"/>
        </w:rPr>
        <w:t xml:space="preserve"> (</w:t>
      </w:r>
      <w:proofErr w:type="spellStart"/>
      <w:r w:rsidR="00C258A7">
        <w:rPr>
          <w:color w:val="000000"/>
          <w:lang w:val="en-US"/>
        </w:rPr>
        <w:t>Essomeyo</w:t>
      </w:r>
      <w:proofErr w:type="spellEnd"/>
      <w:r w:rsidR="00C258A7">
        <w:rPr>
          <w:color w:val="000000"/>
          <w:lang w:val="en-US"/>
        </w:rPr>
        <w:t xml:space="preserve"> </w:t>
      </w:r>
      <w:proofErr w:type="spellStart"/>
      <w:r w:rsidR="00C258A7">
        <w:rPr>
          <w:color w:val="000000"/>
          <w:lang w:val="en-US"/>
        </w:rPr>
        <w:t>Ngue</w:t>
      </w:r>
      <w:proofErr w:type="spellEnd"/>
      <w:r w:rsidR="00C258A7">
        <w:rPr>
          <w:color w:val="000000"/>
          <w:lang w:val="en-US"/>
        </w:rPr>
        <w:t xml:space="preserve"> </w:t>
      </w:r>
      <w:proofErr w:type="spellStart"/>
      <w:r w:rsidR="00C258A7">
        <w:rPr>
          <w:color w:val="000000"/>
          <w:lang w:val="en-US"/>
        </w:rPr>
        <w:t>Mebale</w:t>
      </w:r>
      <w:proofErr w:type="spellEnd"/>
      <w:r w:rsidR="00C258A7">
        <w:rPr>
          <w:color w:val="000000"/>
          <w:lang w:val="en-US"/>
        </w:rPr>
        <w:t xml:space="preserve"> and </w:t>
      </w:r>
      <w:r w:rsidR="00C258A7" w:rsidRPr="00C258A7">
        <w:rPr>
          <w:i/>
          <w:iCs/>
          <w:color w:val="000000"/>
          <w:lang w:val="en-US"/>
        </w:rPr>
        <w:t>al</w:t>
      </w:r>
      <w:r w:rsidR="00C258A7">
        <w:rPr>
          <w:color w:val="000000"/>
          <w:lang w:val="en-US"/>
        </w:rPr>
        <w:t>, 2026)</w:t>
      </w:r>
      <w:r w:rsidR="00071880">
        <w:rPr>
          <w:color w:val="1F3864"/>
          <w:sz w:val="20"/>
          <w:szCs w:val="20"/>
          <w:vertAlign w:val="superscript"/>
          <w:lang w:val="en-US"/>
        </w:rPr>
        <w:t xml:space="preserve"> </w:t>
      </w:r>
      <w:r w:rsidRPr="006A721C">
        <w:rPr>
          <w:color w:val="000000"/>
          <w:lang w:val="en-US"/>
        </w:rPr>
        <w:t>and aligns with the seminal description of clinical overlap between malaria and acute respiratory infection in African children</w:t>
      </w:r>
      <w:r w:rsidR="00C258A7">
        <w:rPr>
          <w:color w:val="000000"/>
          <w:lang w:val="en-US"/>
        </w:rPr>
        <w:t xml:space="preserve"> (</w:t>
      </w:r>
      <w:r w:rsidR="00BD5E2C">
        <w:rPr>
          <w:color w:val="000000"/>
          <w:lang w:val="en-US"/>
        </w:rPr>
        <w:t xml:space="preserve">English and </w:t>
      </w:r>
      <w:r w:rsidR="00BD5E2C" w:rsidRPr="00BD5E2C">
        <w:rPr>
          <w:i/>
          <w:iCs/>
          <w:color w:val="000000"/>
          <w:lang w:val="en-US"/>
        </w:rPr>
        <w:t>al</w:t>
      </w:r>
      <w:r w:rsidR="00BD5E2C">
        <w:rPr>
          <w:color w:val="000000"/>
          <w:lang w:val="en-US"/>
        </w:rPr>
        <w:t>, 1996)</w:t>
      </w:r>
      <w:r w:rsidRPr="006A721C">
        <w:rPr>
          <w:color w:val="000000"/>
          <w:lang w:val="en-US"/>
        </w:rPr>
        <w:t>.</w:t>
      </w:r>
    </w:p>
    <w:p w14:paraId="4D2586F5" w14:textId="2586C648" w:rsidR="006A721C" w:rsidRPr="006A721C" w:rsidRDefault="006A721C" w:rsidP="006A721C">
      <w:pPr>
        <w:spacing w:line="480" w:lineRule="auto"/>
        <w:jc w:val="both"/>
        <w:rPr>
          <w:lang w:val="en-US"/>
        </w:rPr>
      </w:pPr>
      <w:r w:rsidRPr="006A721C">
        <w:rPr>
          <w:color w:val="000000"/>
          <w:lang w:val="en-US"/>
        </w:rPr>
        <w:t>The independent association of age under five years with co-infection (</w:t>
      </w:r>
      <w:proofErr w:type="spellStart"/>
      <w:r w:rsidRPr="006A721C">
        <w:rPr>
          <w:color w:val="000000"/>
          <w:lang w:val="en-US"/>
        </w:rPr>
        <w:t>aOR</w:t>
      </w:r>
      <w:proofErr w:type="spellEnd"/>
      <w:r w:rsidRPr="006A721C">
        <w:rPr>
          <w:color w:val="000000"/>
          <w:lang w:val="en-US"/>
        </w:rPr>
        <w:t xml:space="preserve"> 1.71) is biologically plausible. Children in this age group have lost passively transferred maternal immunity without having developed sufficient acquired immunity against either </w:t>
      </w:r>
      <w:r w:rsidRPr="006A721C">
        <w:rPr>
          <w:i/>
          <w:iCs/>
          <w:color w:val="000000"/>
          <w:lang w:val="en-US"/>
        </w:rPr>
        <w:t>P. falciparum</w:t>
      </w:r>
      <w:r w:rsidRPr="006A721C">
        <w:rPr>
          <w:color w:val="000000"/>
          <w:lang w:val="en-US"/>
        </w:rPr>
        <w:t xml:space="preserve"> or co-circulating bacterial and viral pathogens</w:t>
      </w:r>
      <w:r w:rsidR="00BD5E2C">
        <w:rPr>
          <w:color w:val="000000"/>
          <w:lang w:val="en-US"/>
        </w:rPr>
        <w:t xml:space="preserve"> (Tesema and </w:t>
      </w:r>
      <w:r w:rsidR="00BD5E2C" w:rsidRPr="00BD5E2C">
        <w:rPr>
          <w:i/>
          <w:iCs/>
          <w:color w:val="000000"/>
          <w:lang w:val="en-US"/>
        </w:rPr>
        <w:t>al</w:t>
      </w:r>
      <w:r w:rsidR="00BD5E2C">
        <w:rPr>
          <w:color w:val="000000"/>
          <w:lang w:val="en-US"/>
        </w:rPr>
        <w:t>, 2023)</w:t>
      </w:r>
      <w:r w:rsidR="00071880">
        <w:rPr>
          <w:color w:val="000000"/>
          <w:lang w:val="en-US"/>
        </w:rPr>
        <w:t xml:space="preserve">. </w:t>
      </w:r>
      <w:r w:rsidRPr="006A721C">
        <w:rPr>
          <w:color w:val="000000"/>
          <w:lang w:val="en-US"/>
        </w:rPr>
        <w:t xml:space="preserve">This dual immunological vulnerability is compounded by the excessive accumulation of </w:t>
      </w:r>
      <w:proofErr w:type="spellStart"/>
      <w:r w:rsidRPr="006A721C">
        <w:rPr>
          <w:color w:val="000000"/>
          <w:lang w:val="en-US"/>
        </w:rPr>
        <w:t>haemozoin</w:t>
      </w:r>
      <w:proofErr w:type="spellEnd"/>
      <w:r w:rsidRPr="006A721C">
        <w:rPr>
          <w:color w:val="000000"/>
          <w:lang w:val="en-US"/>
        </w:rPr>
        <w:t xml:space="preserve"> within leucocytes, impairing their functional capacity</w:t>
      </w:r>
      <w:r w:rsidR="00BD5E2C">
        <w:rPr>
          <w:color w:val="000000"/>
          <w:lang w:val="en-US"/>
        </w:rPr>
        <w:t xml:space="preserve"> (Gomez-Pérez and </w:t>
      </w:r>
      <w:r w:rsidR="00BD5E2C" w:rsidRPr="00BD5E2C">
        <w:rPr>
          <w:i/>
          <w:iCs/>
          <w:color w:val="000000"/>
          <w:lang w:val="en-US"/>
        </w:rPr>
        <w:t>al</w:t>
      </w:r>
      <w:r w:rsidR="00BD5E2C">
        <w:rPr>
          <w:color w:val="000000"/>
          <w:lang w:val="en-US"/>
        </w:rPr>
        <w:t>, 2014)</w:t>
      </w:r>
      <w:r w:rsidR="00071880">
        <w:rPr>
          <w:color w:val="000000"/>
          <w:lang w:val="en-US"/>
        </w:rPr>
        <w:t xml:space="preserve">. </w:t>
      </w:r>
      <w:r w:rsidRPr="006A721C">
        <w:rPr>
          <w:color w:val="000000"/>
          <w:lang w:val="en-US"/>
        </w:rPr>
        <w:t>The CHUMEFJE Libreville study identified age under five as the single strongest predictor of co-infection in severe malaria (OR 1.76, 95% CI 1.12–2.76)</w:t>
      </w:r>
      <w:r w:rsidR="00BD5E2C">
        <w:rPr>
          <w:color w:val="000000"/>
          <w:lang w:val="en-US"/>
        </w:rPr>
        <w:t xml:space="preserve"> (</w:t>
      </w:r>
      <w:proofErr w:type="spellStart"/>
      <w:r w:rsidR="00BD5E2C">
        <w:rPr>
          <w:color w:val="000000"/>
          <w:lang w:val="en-US"/>
        </w:rPr>
        <w:t>Essomeyo</w:t>
      </w:r>
      <w:proofErr w:type="spellEnd"/>
      <w:r w:rsidR="00BD5E2C">
        <w:rPr>
          <w:color w:val="000000"/>
          <w:lang w:val="en-US"/>
        </w:rPr>
        <w:t xml:space="preserve"> </w:t>
      </w:r>
      <w:proofErr w:type="spellStart"/>
      <w:r w:rsidR="00BD5E2C">
        <w:rPr>
          <w:color w:val="000000"/>
          <w:lang w:val="en-US"/>
        </w:rPr>
        <w:t>Ngue</w:t>
      </w:r>
      <w:proofErr w:type="spellEnd"/>
      <w:r w:rsidR="00BD5E2C">
        <w:rPr>
          <w:color w:val="000000"/>
          <w:lang w:val="en-US"/>
        </w:rPr>
        <w:t xml:space="preserve"> </w:t>
      </w:r>
      <w:proofErr w:type="spellStart"/>
      <w:r w:rsidR="00BD5E2C">
        <w:rPr>
          <w:color w:val="000000"/>
          <w:lang w:val="en-US"/>
        </w:rPr>
        <w:t>Mebale</w:t>
      </w:r>
      <w:proofErr w:type="spellEnd"/>
      <w:r w:rsidR="00BD5E2C">
        <w:rPr>
          <w:color w:val="000000"/>
          <w:lang w:val="en-US"/>
        </w:rPr>
        <w:t xml:space="preserve"> and </w:t>
      </w:r>
      <w:r w:rsidR="00BD5E2C" w:rsidRPr="00C258A7">
        <w:rPr>
          <w:i/>
          <w:iCs/>
          <w:color w:val="000000"/>
          <w:lang w:val="en-US"/>
        </w:rPr>
        <w:t>al</w:t>
      </w:r>
      <w:r w:rsidR="00BD5E2C">
        <w:rPr>
          <w:color w:val="000000"/>
          <w:lang w:val="en-US"/>
        </w:rPr>
        <w:t>, 2026)</w:t>
      </w:r>
      <w:r w:rsidRPr="006A721C">
        <w:rPr>
          <w:color w:val="000000"/>
          <w:lang w:val="en-US"/>
        </w:rPr>
        <w:t>,</w:t>
      </w:r>
      <w:r w:rsidR="00071880">
        <w:rPr>
          <w:color w:val="1F3864"/>
          <w:sz w:val="20"/>
          <w:szCs w:val="20"/>
          <w:vertAlign w:val="superscript"/>
          <w:lang w:val="en-US"/>
        </w:rPr>
        <w:t xml:space="preserve"> </w:t>
      </w:r>
      <w:r w:rsidRPr="006A721C">
        <w:rPr>
          <w:color w:val="000000"/>
          <w:lang w:val="en-US"/>
        </w:rPr>
        <w:t xml:space="preserve">remarkably consistent with our adjusted estimate. This convergence across two independent Central African cohorts, </w:t>
      </w:r>
      <w:r w:rsidRPr="006A721C">
        <w:rPr>
          <w:color w:val="000000"/>
          <w:lang w:val="en-US"/>
        </w:rPr>
        <w:lastRenderedPageBreak/>
        <w:t xml:space="preserve">one covering all severity strata, one restricted to severe malaria, strengthens confidence in the </w:t>
      </w:r>
      <w:proofErr w:type="spellStart"/>
      <w:r w:rsidRPr="006A721C">
        <w:rPr>
          <w:color w:val="000000"/>
          <w:lang w:val="en-US"/>
        </w:rPr>
        <w:t>generalisability</w:t>
      </w:r>
      <w:proofErr w:type="spellEnd"/>
      <w:r w:rsidRPr="006A721C">
        <w:rPr>
          <w:color w:val="000000"/>
          <w:lang w:val="en-US"/>
        </w:rPr>
        <w:t xml:space="preserve"> of this association across the subregion. It supports systematic co-infection screening protocols </w:t>
      </w:r>
      <w:proofErr w:type="spellStart"/>
      <w:r w:rsidRPr="006A721C">
        <w:rPr>
          <w:color w:val="000000"/>
          <w:lang w:val="en-US"/>
        </w:rPr>
        <w:t>prioritising</w:t>
      </w:r>
      <w:proofErr w:type="spellEnd"/>
      <w:r w:rsidRPr="006A721C">
        <w:rPr>
          <w:color w:val="000000"/>
          <w:lang w:val="en-US"/>
        </w:rPr>
        <w:t xml:space="preserve"> children under five at hospital admission. C-reactive protein has been proposed as a feasible screening tool in resource-limited settings</w:t>
      </w:r>
      <w:r w:rsidR="00BD5E2C">
        <w:rPr>
          <w:color w:val="000000"/>
          <w:lang w:val="en-US"/>
        </w:rPr>
        <w:t xml:space="preserve"> (</w:t>
      </w:r>
      <w:proofErr w:type="spellStart"/>
      <w:r w:rsidR="00BD5E2C">
        <w:rPr>
          <w:color w:val="000000"/>
          <w:lang w:val="en-US"/>
        </w:rPr>
        <w:t>Ngwengi</w:t>
      </w:r>
      <w:proofErr w:type="spellEnd"/>
      <w:r w:rsidR="00BD5E2C">
        <w:rPr>
          <w:color w:val="000000"/>
          <w:lang w:val="en-US"/>
        </w:rPr>
        <w:t xml:space="preserve"> and </w:t>
      </w:r>
      <w:r w:rsidR="00BD5E2C" w:rsidRPr="00BD5E2C">
        <w:rPr>
          <w:i/>
          <w:iCs/>
          <w:color w:val="000000"/>
          <w:lang w:val="en-US"/>
        </w:rPr>
        <w:t>al</w:t>
      </w:r>
      <w:r w:rsidR="00BD5E2C">
        <w:rPr>
          <w:color w:val="000000"/>
          <w:lang w:val="en-US"/>
        </w:rPr>
        <w:t>, 2023)</w:t>
      </w:r>
      <w:r w:rsidR="00071880">
        <w:rPr>
          <w:color w:val="000000"/>
          <w:lang w:val="en-US"/>
        </w:rPr>
        <w:t>.</w:t>
      </w:r>
    </w:p>
    <w:p w14:paraId="1982442B" w14:textId="7DCC4CAC" w:rsidR="006A721C" w:rsidRPr="006A721C" w:rsidRDefault="006A721C" w:rsidP="006A721C">
      <w:pPr>
        <w:spacing w:line="480" w:lineRule="auto"/>
        <w:jc w:val="both"/>
        <w:rPr>
          <w:lang w:val="en-US"/>
        </w:rPr>
      </w:pPr>
      <w:r w:rsidRPr="006A721C">
        <w:rPr>
          <w:color w:val="000000"/>
          <w:lang w:val="en-US"/>
        </w:rPr>
        <w:t>The association between residence in the 3rd (</w:t>
      </w:r>
      <w:proofErr w:type="spellStart"/>
      <w:r w:rsidRPr="006A721C">
        <w:rPr>
          <w:color w:val="000000"/>
          <w:lang w:val="en-US"/>
        </w:rPr>
        <w:t>Poto-Poto</w:t>
      </w:r>
      <w:proofErr w:type="spellEnd"/>
      <w:r w:rsidRPr="006A721C">
        <w:rPr>
          <w:color w:val="000000"/>
          <w:lang w:val="en-US"/>
        </w:rPr>
        <w:t>), 5th (</w:t>
      </w:r>
      <w:proofErr w:type="spellStart"/>
      <w:r w:rsidRPr="006A721C">
        <w:rPr>
          <w:color w:val="000000"/>
          <w:lang w:val="en-US"/>
        </w:rPr>
        <w:t>Ouenzé</w:t>
      </w:r>
      <w:proofErr w:type="spellEnd"/>
      <w:r w:rsidRPr="006A721C">
        <w:rPr>
          <w:color w:val="000000"/>
          <w:lang w:val="en-US"/>
        </w:rPr>
        <w:t>), and 6th (</w:t>
      </w:r>
      <w:proofErr w:type="spellStart"/>
      <w:r w:rsidRPr="006A721C">
        <w:rPr>
          <w:color w:val="000000"/>
          <w:lang w:val="en-US"/>
        </w:rPr>
        <w:t>Talangaï</w:t>
      </w:r>
      <w:proofErr w:type="spellEnd"/>
      <w:r w:rsidRPr="006A721C">
        <w:rPr>
          <w:color w:val="000000"/>
          <w:lang w:val="en-US"/>
        </w:rPr>
        <w:t>) arrondissements and co-infection (</w:t>
      </w:r>
      <w:proofErr w:type="spellStart"/>
      <w:r w:rsidRPr="006A721C">
        <w:rPr>
          <w:color w:val="000000"/>
          <w:lang w:val="en-US"/>
        </w:rPr>
        <w:t>aOR</w:t>
      </w:r>
      <w:proofErr w:type="spellEnd"/>
      <w:r w:rsidRPr="006A721C">
        <w:rPr>
          <w:color w:val="000000"/>
          <w:lang w:val="en-US"/>
        </w:rPr>
        <w:t xml:space="preserve"> 1.90) is a novel, geographically specific finding. These districts are </w:t>
      </w:r>
      <w:proofErr w:type="spellStart"/>
      <w:r w:rsidRPr="006A721C">
        <w:rPr>
          <w:color w:val="000000"/>
          <w:lang w:val="en-US"/>
        </w:rPr>
        <w:t>characterised</w:t>
      </w:r>
      <w:proofErr w:type="spellEnd"/>
      <w:r w:rsidRPr="006A721C">
        <w:rPr>
          <w:color w:val="000000"/>
          <w:lang w:val="en-US"/>
        </w:rPr>
        <w:t xml:space="preserve"> by high population density, informal housing, limited sanitation, and proximity to drainage channels, features associated with increased transmission of both malaria and co-circulating respiratory pathogens</w:t>
      </w:r>
      <w:r w:rsidR="00BD5E2C">
        <w:rPr>
          <w:color w:val="000000"/>
          <w:lang w:val="en-US"/>
        </w:rPr>
        <w:t xml:space="preserve"> (</w:t>
      </w:r>
      <w:proofErr w:type="spellStart"/>
      <w:r w:rsidR="00BD5E2C">
        <w:rPr>
          <w:color w:val="000000"/>
          <w:lang w:val="en-US"/>
        </w:rPr>
        <w:t>Merga</w:t>
      </w:r>
      <w:proofErr w:type="spellEnd"/>
      <w:r w:rsidR="00BD5E2C">
        <w:rPr>
          <w:color w:val="000000"/>
          <w:lang w:val="en-US"/>
        </w:rPr>
        <w:t xml:space="preserve"> and </w:t>
      </w:r>
      <w:r w:rsidR="00BD5E2C" w:rsidRPr="00BD5E2C">
        <w:rPr>
          <w:i/>
          <w:iCs/>
          <w:color w:val="000000"/>
          <w:lang w:val="en-US"/>
        </w:rPr>
        <w:t>al</w:t>
      </w:r>
      <w:r w:rsidR="00BD5E2C">
        <w:rPr>
          <w:color w:val="000000"/>
          <w:lang w:val="en-US"/>
        </w:rPr>
        <w:t>, 2025)</w:t>
      </w:r>
      <w:r w:rsidRPr="006A721C">
        <w:rPr>
          <w:color w:val="000000"/>
          <w:lang w:val="en-US"/>
        </w:rPr>
        <w:t>.</w:t>
      </w:r>
      <w:r w:rsidR="00E065B5">
        <w:rPr>
          <w:color w:val="000000"/>
          <w:lang w:val="en-US"/>
        </w:rPr>
        <w:t xml:space="preserve"> </w:t>
      </w:r>
      <w:r w:rsidRPr="006A721C">
        <w:rPr>
          <w:color w:val="000000"/>
          <w:lang w:val="en-US"/>
        </w:rPr>
        <w:t xml:space="preserve">Population density is an established predictor of </w:t>
      </w:r>
      <w:r w:rsidRPr="006A721C">
        <w:rPr>
          <w:i/>
          <w:iCs/>
          <w:color w:val="000000"/>
          <w:lang w:val="en-US"/>
        </w:rPr>
        <w:t>P. falciparum</w:t>
      </w:r>
      <w:r w:rsidRPr="006A721C">
        <w:rPr>
          <w:color w:val="000000"/>
          <w:lang w:val="en-US"/>
        </w:rPr>
        <w:t xml:space="preserve"> prevalence in African children</w:t>
      </w:r>
      <w:r w:rsidR="00BD5E2C">
        <w:rPr>
          <w:color w:val="000000"/>
          <w:lang w:val="en-US"/>
        </w:rPr>
        <w:t xml:space="preserve"> (Kabaria and </w:t>
      </w:r>
      <w:r w:rsidR="00BD5E2C" w:rsidRPr="00BD5E2C">
        <w:rPr>
          <w:i/>
          <w:iCs/>
          <w:color w:val="000000"/>
          <w:lang w:val="en-US"/>
        </w:rPr>
        <w:t>al</w:t>
      </w:r>
      <w:r w:rsidR="00BD5E2C">
        <w:rPr>
          <w:color w:val="000000"/>
          <w:lang w:val="en-US"/>
        </w:rPr>
        <w:t>, 2017)</w:t>
      </w:r>
      <w:r w:rsidRPr="006A721C">
        <w:rPr>
          <w:color w:val="000000"/>
          <w:lang w:val="en-US"/>
        </w:rPr>
        <w:t>,</w:t>
      </w:r>
      <w:r w:rsidR="00071880">
        <w:rPr>
          <w:color w:val="1F3864"/>
          <w:sz w:val="20"/>
          <w:szCs w:val="20"/>
          <w:vertAlign w:val="superscript"/>
          <w:lang w:val="en-US"/>
        </w:rPr>
        <w:t xml:space="preserve"> </w:t>
      </w:r>
      <w:r w:rsidRPr="006A721C">
        <w:rPr>
          <w:color w:val="000000"/>
          <w:lang w:val="en-US"/>
        </w:rPr>
        <w:t xml:space="preserve">and residential crowding additionally facilitates airborne pathogen spread. The co-infection rate in </w:t>
      </w:r>
      <w:proofErr w:type="spellStart"/>
      <w:r w:rsidRPr="006A721C">
        <w:rPr>
          <w:color w:val="000000"/>
          <w:lang w:val="en-US"/>
        </w:rPr>
        <w:t>Poto-Poto</w:t>
      </w:r>
      <w:proofErr w:type="spellEnd"/>
      <w:r w:rsidRPr="006A721C">
        <w:rPr>
          <w:color w:val="000000"/>
          <w:lang w:val="en-US"/>
        </w:rPr>
        <w:t xml:space="preserve"> (32.3%) was markedly higher than in the peripheral 8th arrondissement of </w:t>
      </w:r>
      <w:proofErr w:type="spellStart"/>
      <w:r w:rsidRPr="006A721C">
        <w:rPr>
          <w:color w:val="000000"/>
          <w:lang w:val="en-US"/>
        </w:rPr>
        <w:t>Madibou</w:t>
      </w:r>
      <w:proofErr w:type="spellEnd"/>
      <w:r w:rsidRPr="006A721C">
        <w:rPr>
          <w:color w:val="000000"/>
          <w:lang w:val="en-US"/>
        </w:rPr>
        <w:t xml:space="preserve"> (13.1%) and the 1st arrondissement of </w:t>
      </w:r>
      <w:proofErr w:type="spellStart"/>
      <w:r w:rsidRPr="006A721C">
        <w:rPr>
          <w:color w:val="000000"/>
          <w:lang w:val="en-US"/>
        </w:rPr>
        <w:t>Makélékélé</w:t>
      </w:r>
      <w:proofErr w:type="spellEnd"/>
      <w:r w:rsidRPr="006A721C">
        <w:rPr>
          <w:color w:val="000000"/>
          <w:lang w:val="en-US"/>
        </w:rPr>
        <w:t xml:space="preserve"> (10.0%), despite the latter two contributing the largest number of admissions. This spatial heterogeneity suggests that within-city ecological variation is a more important driver of co-infection risk than overall malaria burden and identifies priority geographic zones for targeted preventive interventions. These observations are consistent with a One Health framework: the unsanitary, densely populated environments that sustain mosquito breeding also facilitate bacterial transmission through disrupted water management, elevated temperatures, and biofilm-promoting surfaces</w:t>
      </w:r>
      <w:r w:rsidR="00BD5E2C">
        <w:rPr>
          <w:color w:val="000000"/>
          <w:lang w:val="en-US"/>
        </w:rPr>
        <w:t xml:space="preserve"> (Ramirez-Plascencia and </w:t>
      </w:r>
      <w:r w:rsidR="00BD5E2C" w:rsidRPr="00BD5E2C">
        <w:rPr>
          <w:i/>
          <w:iCs/>
          <w:color w:val="000000"/>
          <w:lang w:val="en-US"/>
        </w:rPr>
        <w:t>al</w:t>
      </w:r>
      <w:r w:rsidR="00BD5E2C">
        <w:rPr>
          <w:color w:val="000000"/>
          <w:lang w:val="en-US"/>
        </w:rPr>
        <w:t>, 2025)</w:t>
      </w:r>
      <w:r w:rsidR="00071880">
        <w:rPr>
          <w:color w:val="000000"/>
          <w:lang w:val="en-US"/>
        </w:rPr>
        <w:t>.</w:t>
      </w:r>
    </w:p>
    <w:p w14:paraId="357DDB45" w14:textId="05220D51" w:rsidR="006A721C" w:rsidRPr="006A721C" w:rsidRDefault="006A721C" w:rsidP="006A721C">
      <w:pPr>
        <w:spacing w:line="480" w:lineRule="auto"/>
        <w:jc w:val="both"/>
        <w:rPr>
          <w:lang w:val="en-US"/>
        </w:rPr>
      </w:pPr>
      <w:r w:rsidRPr="006A721C">
        <w:rPr>
          <w:color w:val="000000"/>
          <w:lang w:val="en-US"/>
        </w:rPr>
        <w:t>Consultation delay was an independent predictor of co-infection in the sensitivity analysis (</w:t>
      </w:r>
      <w:proofErr w:type="spellStart"/>
      <w:r w:rsidRPr="006A721C">
        <w:rPr>
          <w:color w:val="000000"/>
          <w:lang w:val="en-US"/>
        </w:rPr>
        <w:t>aOR</w:t>
      </w:r>
      <w:proofErr w:type="spellEnd"/>
      <w:r w:rsidRPr="006A721C">
        <w:rPr>
          <w:color w:val="000000"/>
          <w:lang w:val="en-US"/>
        </w:rPr>
        <w:t xml:space="preserve"> 1.09/day). Prolonged untreated malaria sustains fever, metabolic perturbation, and mucosal immune impairment, creating conditions conducive to secondary bacterial infection. Severe malaria additionally promotes intestinal mucosal breakdown and systemic bacterial </w:t>
      </w:r>
      <w:r w:rsidRPr="006A721C">
        <w:rPr>
          <w:color w:val="000000"/>
          <w:lang w:val="en-US"/>
        </w:rPr>
        <w:lastRenderedPageBreak/>
        <w:t>translocation, reinforcing the indirect pathway from delayed presentation to co-infection</w:t>
      </w:r>
      <w:r w:rsidR="00BD5E2C">
        <w:rPr>
          <w:color w:val="000000"/>
          <w:lang w:val="en-US"/>
        </w:rPr>
        <w:t xml:space="preserve"> (Moyen and </w:t>
      </w:r>
      <w:r w:rsidR="00BD5E2C" w:rsidRPr="00BD5E2C">
        <w:rPr>
          <w:i/>
          <w:iCs/>
          <w:color w:val="000000"/>
          <w:lang w:val="en-US"/>
        </w:rPr>
        <w:t>al</w:t>
      </w:r>
      <w:r w:rsidR="00BD5E2C">
        <w:rPr>
          <w:color w:val="000000"/>
          <w:lang w:val="en-US"/>
        </w:rPr>
        <w:t>, 2022)</w:t>
      </w:r>
      <w:r w:rsidR="00071880">
        <w:rPr>
          <w:color w:val="000000"/>
          <w:lang w:val="en-US"/>
        </w:rPr>
        <w:t xml:space="preserve">. </w:t>
      </w:r>
      <w:r w:rsidRPr="006A721C">
        <w:rPr>
          <w:color w:val="000000"/>
          <w:lang w:val="en-US"/>
        </w:rPr>
        <w:t>Although the causal direction cannot be definitively established from retrospective data, this association is mechanistically supported by the pooled meta-analysis of Mousa and colleagues demonstrating that each additional day of delay significantly increased progression from uncomplicated to severe malaria</w:t>
      </w:r>
      <w:r w:rsidR="00BD5E2C">
        <w:rPr>
          <w:color w:val="000000"/>
          <w:lang w:val="en-US"/>
        </w:rPr>
        <w:t xml:space="preserve"> (Mousa and </w:t>
      </w:r>
      <w:r w:rsidR="00BD5E2C" w:rsidRPr="00BD5E2C">
        <w:rPr>
          <w:i/>
          <w:iCs/>
          <w:color w:val="000000"/>
          <w:lang w:val="en-US"/>
        </w:rPr>
        <w:t>al</w:t>
      </w:r>
      <w:r w:rsidR="00BD5E2C">
        <w:rPr>
          <w:color w:val="000000"/>
          <w:lang w:val="en-US"/>
        </w:rPr>
        <w:t>, 2020)</w:t>
      </w:r>
      <w:r w:rsidRPr="006A721C">
        <w:rPr>
          <w:color w:val="000000"/>
          <w:lang w:val="en-US"/>
        </w:rPr>
        <w:t>. Evidence linking delayed presentation to neurological sequelae in cerebral malaria also supports this association</w:t>
      </w:r>
      <w:r w:rsidR="00BD5E2C">
        <w:rPr>
          <w:color w:val="000000"/>
          <w:lang w:val="en-US"/>
        </w:rPr>
        <w:t xml:space="preserve"> (</w:t>
      </w:r>
      <w:proofErr w:type="spellStart"/>
      <w:r w:rsidR="00BD5E2C">
        <w:rPr>
          <w:color w:val="000000"/>
          <w:lang w:val="en-US"/>
        </w:rPr>
        <w:t>Borgstein</w:t>
      </w:r>
      <w:proofErr w:type="spellEnd"/>
      <w:r w:rsidR="00BD5E2C">
        <w:rPr>
          <w:color w:val="000000"/>
          <w:lang w:val="en-US"/>
        </w:rPr>
        <w:t xml:space="preserve"> and </w:t>
      </w:r>
      <w:r w:rsidR="00BD5E2C" w:rsidRPr="00BD5E2C">
        <w:rPr>
          <w:i/>
          <w:iCs/>
          <w:color w:val="000000"/>
          <w:lang w:val="en-US"/>
        </w:rPr>
        <w:t>al</w:t>
      </w:r>
      <w:r w:rsidR="00BD5E2C">
        <w:rPr>
          <w:color w:val="000000"/>
          <w:lang w:val="en-US"/>
        </w:rPr>
        <w:t>, 2022)</w:t>
      </w:r>
      <w:r w:rsidRPr="006A721C">
        <w:rPr>
          <w:color w:val="000000"/>
          <w:lang w:val="en-US"/>
        </w:rPr>
        <w:t>.</w:t>
      </w:r>
      <w:r w:rsidR="00071880">
        <w:rPr>
          <w:color w:val="1F3864"/>
          <w:sz w:val="20"/>
          <w:szCs w:val="20"/>
          <w:vertAlign w:val="superscript"/>
          <w:lang w:val="en-US"/>
        </w:rPr>
        <w:t xml:space="preserve"> </w:t>
      </w:r>
      <w:r w:rsidRPr="006A721C">
        <w:rPr>
          <w:color w:val="000000"/>
          <w:lang w:val="en-US"/>
        </w:rPr>
        <w:t>Pre-hospital self-medication, reported in 27.4% of the cohort, showed a non-significant trend towards co-infection (</w:t>
      </w:r>
      <w:proofErr w:type="spellStart"/>
      <w:r w:rsidRPr="006A721C">
        <w:rPr>
          <w:color w:val="000000"/>
          <w:lang w:val="en-US"/>
        </w:rPr>
        <w:t>aOR</w:t>
      </w:r>
      <w:proofErr w:type="spellEnd"/>
      <w:r w:rsidRPr="006A721C">
        <w:rPr>
          <w:color w:val="000000"/>
          <w:lang w:val="en-US"/>
        </w:rPr>
        <w:t xml:space="preserve"> 1.44, </w:t>
      </w:r>
      <w:r w:rsidRPr="00E065B5">
        <w:rPr>
          <w:i/>
          <w:iCs/>
          <w:color w:val="000000"/>
          <w:lang w:val="en-US"/>
        </w:rPr>
        <w:t>p</w:t>
      </w:r>
      <w:r w:rsidRPr="006A721C">
        <w:rPr>
          <w:color w:val="000000"/>
          <w:lang w:val="en-US"/>
        </w:rPr>
        <w:t xml:space="preserve"> = 0.192). Self-medication is prevalent across sub-Saharan Africa owing to financial barriers and cultural practices, and may potentiate co-infection risk by masking symptoms and delaying formal consultation</w:t>
      </w:r>
      <w:r w:rsidR="00BD5E2C">
        <w:rPr>
          <w:color w:val="000000"/>
          <w:lang w:val="en-US"/>
        </w:rPr>
        <w:t xml:space="preserve"> (</w:t>
      </w:r>
      <w:r w:rsidR="00F51ACA">
        <w:rPr>
          <w:color w:val="000000"/>
          <w:lang w:val="en-US"/>
        </w:rPr>
        <w:t xml:space="preserve">Amaka and </w:t>
      </w:r>
      <w:r w:rsidR="00F51ACA" w:rsidRPr="00F51ACA">
        <w:rPr>
          <w:i/>
          <w:iCs/>
          <w:color w:val="000000"/>
          <w:lang w:val="en-US"/>
        </w:rPr>
        <w:t>al</w:t>
      </w:r>
      <w:r w:rsidR="00F51ACA">
        <w:rPr>
          <w:color w:val="000000"/>
          <w:lang w:val="en-US"/>
        </w:rPr>
        <w:t>, 2025)</w:t>
      </w:r>
      <w:r w:rsidR="00071880">
        <w:rPr>
          <w:color w:val="1F3864"/>
          <w:sz w:val="20"/>
          <w:szCs w:val="20"/>
          <w:vertAlign w:val="superscript"/>
          <w:lang w:val="en-US"/>
        </w:rPr>
        <w:t xml:space="preserve">. </w:t>
      </w:r>
      <w:r w:rsidRPr="006A721C">
        <w:rPr>
          <w:color w:val="000000"/>
          <w:lang w:val="en-US"/>
        </w:rPr>
        <w:t>Beyond individual prognosis, widespread self-medication undermines antimalarial stewardship through suboptimal dosing and carries the risk of accelerating artemisinin resistance</w:t>
      </w:r>
      <w:r w:rsidR="00F51ACA">
        <w:rPr>
          <w:color w:val="000000"/>
          <w:lang w:val="en-US"/>
        </w:rPr>
        <w:t xml:space="preserve"> (Balogun and </w:t>
      </w:r>
      <w:r w:rsidR="00F51ACA" w:rsidRPr="00F51ACA">
        <w:rPr>
          <w:i/>
          <w:iCs/>
          <w:color w:val="000000"/>
          <w:lang w:val="en-US"/>
        </w:rPr>
        <w:t>al</w:t>
      </w:r>
      <w:r w:rsidR="00F51ACA">
        <w:rPr>
          <w:color w:val="000000"/>
          <w:lang w:val="en-US"/>
        </w:rPr>
        <w:t>, 2019)</w:t>
      </w:r>
      <w:r w:rsidR="00E065B5">
        <w:rPr>
          <w:color w:val="000000"/>
          <w:lang w:val="en-US"/>
        </w:rPr>
        <w:t>.</w:t>
      </w:r>
    </w:p>
    <w:p w14:paraId="338C7555" w14:textId="64506882" w:rsidR="006A721C" w:rsidRPr="006A721C" w:rsidRDefault="006A721C" w:rsidP="006A721C">
      <w:pPr>
        <w:spacing w:line="480" w:lineRule="auto"/>
        <w:jc w:val="both"/>
        <w:rPr>
          <w:lang w:val="en-US"/>
        </w:rPr>
      </w:pPr>
      <w:r w:rsidRPr="006A721C">
        <w:rPr>
          <w:color w:val="000000"/>
          <w:lang w:val="en-US"/>
        </w:rPr>
        <w:t xml:space="preserve">Co-infected children were significantly more likely to meet WHO severe malaria criteria (51.4% vs 33.5%, </w:t>
      </w:r>
      <w:r w:rsidRPr="00E065B5">
        <w:rPr>
          <w:i/>
          <w:iCs/>
          <w:color w:val="000000"/>
          <w:lang w:val="en-US"/>
        </w:rPr>
        <w:t>p</w:t>
      </w:r>
      <w:r w:rsidRPr="006A721C">
        <w:rPr>
          <w:color w:val="000000"/>
          <w:lang w:val="en-US"/>
        </w:rPr>
        <w:t xml:space="preserve"> = 0.004), had higher median </w:t>
      </w:r>
      <w:proofErr w:type="spellStart"/>
      <w:r w:rsidRPr="006A721C">
        <w:rPr>
          <w:color w:val="000000"/>
          <w:lang w:val="en-US"/>
        </w:rPr>
        <w:t>parasitaemia</w:t>
      </w:r>
      <w:proofErr w:type="spellEnd"/>
      <w:r w:rsidRPr="006A721C">
        <w:rPr>
          <w:color w:val="000000"/>
          <w:lang w:val="en-US"/>
        </w:rPr>
        <w:t xml:space="preserve"> (12,600 vs 6,300 parasites/µL, </w:t>
      </w:r>
      <w:r w:rsidRPr="00E065B5">
        <w:rPr>
          <w:i/>
          <w:iCs/>
          <w:color w:val="000000"/>
          <w:lang w:val="en-US"/>
        </w:rPr>
        <w:t>p</w:t>
      </w:r>
      <w:r w:rsidRPr="006A721C">
        <w:rPr>
          <w:color w:val="000000"/>
          <w:lang w:val="en-US"/>
        </w:rPr>
        <w:t xml:space="preserve"> &lt; 0.001), and a higher leucocyte count (10.5 vs 9.2 G/L, </w:t>
      </w:r>
      <w:r w:rsidRPr="00E065B5">
        <w:rPr>
          <w:i/>
          <w:iCs/>
          <w:color w:val="000000"/>
          <w:lang w:val="en-US"/>
        </w:rPr>
        <w:t>p</w:t>
      </w:r>
      <w:r w:rsidRPr="006A721C">
        <w:rPr>
          <w:color w:val="000000"/>
          <w:lang w:val="en-US"/>
        </w:rPr>
        <w:t xml:space="preserve"> = 0.005), consistent with co-infection amplifying systemic inflammation and impairing parasite clearance. The association between concurrent bacterial infection, higher parasite burden, and worse outcomes is established in the literature: Church and Maitland estimated that one-third of all severe malaria deaths were attributable to </w:t>
      </w:r>
      <w:proofErr w:type="spellStart"/>
      <w:r w:rsidRPr="006A721C">
        <w:rPr>
          <w:color w:val="000000"/>
          <w:lang w:val="en-US"/>
        </w:rPr>
        <w:t>bacteraemia</w:t>
      </w:r>
      <w:proofErr w:type="spellEnd"/>
      <w:r w:rsidR="00F51ACA">
        <w:rPr>
          <w:color w:val="000000"/>
          <w:lang w:val="en-US"/>
        </w:rPr>
        <w:t xml:space="preserve"> (Church and Maitland, 2014)</w:t>
      </w:r>
      <w:r w:rsidRPr="006A721C">
        <w:rPr>
          <w:color w:val="000000"/>
          <w:lang w:val="en-US"/>
        </w:rPr>
        <w:t>.</w:t>
      </w:r>
      <w:r w:rsidR="00071880">
        <w:rPr>
          <w:color w:val="000000"/>
          <w:lang w:val="en-US"/>
        </w:rPr>
        <w:t xml:space="preserve"> </w:t>
      </w:r>
      <w:r w:rsidRPr="006A721C">
        <w:rPr>
          <w:color w:val="000000"/>
          <w:lang w:val="en-US"/>
        </w:rPr>
        <w:t>In-hospital mortality was non-significantly higher in co-infected children (9.5% vs 6.5%, p = 0.370), likely reflecting limited power (n = 31 deaths). Length of hospital stay was significantly prolonged in co-infected children (median 5 days [IQR 3–8] vs 5 days [IQR 3–6], p = 0.017), a finding consistent with the Gabonese data</w:t>
      </w:r>
      <w:r w:rsidR="00F51ACA">
        <w:rPr>
          <w:color w:val="000000"/>
          <w:lang w:val="en-US"/>
        </w:rPr>
        <w:t xml:space="preserve"> (</w:t>
      </w:r>
      <w:proofErr w:type="spellStart"/>
      <w:r w:rsidR="00F51ACA">
        <w:rPr>
          <w:color w:val="000000"/>
          <w:lang w:val="en-US"/>
        </w:rPr>
        <w:t>Essomeyo</w:t>
      </w:r>
      <w:proofErr w:type="spellEnd"/>
      <w:r w:rsidR="00F51ACA">
        <w:rPr>
          <w:color w:val="000000"/>
          <w:lang w:val="en-US"/>
        </w:rPr>
        <w:t xml:space="preserve"> </w:t>
      </w:r>
      <w:proofErr w:type="spellStart"/>
      <w:r w:rsidR="00F51ACA">
        <w:rPr>
          <w:color w:val="000000"/>
          <w:lang w:val="en-US"/>
        </w:rPr>
        <w:t>Ngue</w:t>
      </w:r>
      <w:proofErr w:type="spellEnd"/>
      <w:r w:rsidR="00F51ACA">
        <w:rPr>
          <w:color w:val="000000"/>
          <w:lang w:val="en-US"/>
        </w:rPr>
        <w:t xml:space="preserve"> </w:t>
      </w:r>
      <w:proofErr w:type="spellStart"/>
      <w:r w:rsidR="00F51ACA">
        <w:rPr>
          <w:color w:val="000000"/>
          <w:lang w:val="en-US"/>
        </w:rPr>
        <w:t>Mebale</w:t>
      </w:r>
      <w:proofErr w:type="spellEnd"/>
      <w:r w:rsidR="00F51ACA">
        <w:rPr>
          <w:color w:val="000000"/>
          <w:lang w:val="en-US"/>
        </w:rPr>
        <w:t xml:space="preserve"> and </w:t>
      </w:r>
      <w:r w:rsidR="00F51ACA" w:rsidRPr="00C258A7">
        <w:rPr>
          <w:i/>
          <w:iCs/>
          <w:color w:val="000000"/>
          <w:lang w:val="en-US"/>
        </w:rPr>
        <w:t>al</w:t>
      </w:r>
      <w:r w:rsidR="00F51ACA">
        <w:rPr>
          <w:color w:val="000000"/>
          <w:lang w:val="en-US"/>
        </w:rPr>
        <w:t>, 2026)</w:t>
      </w:r>
      <w:r w:rsidRPr="006A721C">
        <w:rPr>
          <w:color w:val="000000"/>
          <w:lang w:val="en-US"/>
        </w:rPr>
        <w:t>.</w:t>
      </w:r>
      <w:r w:rsidR="00071880">
        <w:rPr>
          <w:color w:val="1F3864"/>
          <w:sz w:val="20"/>
          <w:szCs w:val="20"/>
          <w:vertAlign w:val="superscript"/>
          <w:lang w:val="en-US"/>
        </w:rPr>
        <w:t xml:space="preserve"> </w:t>
      </w:r>
      <w:r w:rsidRPr="006A721C">
        <w:rPr>
          <w:color w:val="000000"/>
          <w:lang w:val="en-US"/>
        </w:rPr>
        <w:t xml:space="preserve">Prolonged </w:t>
      </w:r>
      <w:proofErr w:type="spellStart"/>
      <w:r w:rsidRPr="006A721C">
        <w:rPr>
          <w:color w:val="000000"/>
          <w:lang w:val="en-US"/>
        </w:rPr>
        <w:lastRenderedPageBreak/>
        <w:t>hospitalisation</w:t>
      </w:r>
      <w:proofErr w:type="spellEnd"/>
      <w:r w:rsidRPr="006A721C">
        <w:rPr>
          <w:color w:val="000000"/>
          <w:lang w:val="en-US"/>
        </w:rPr>
        <w:t xml:space="preserve"> carries increased healthcare costs, nosocomial infection risk, and family-level economic consequences in resource-limited settings.</w:t>
      </w:r>
    </w:p>
    <w:p w14:paraId="2E7E16F8" w14:textId="360FE5DC" w:rsidR="006A721C" w:rsidRPr="006A721C" w:rsidRDefault="006A721C" w:rsidP="006A721C">
      <w:pPr>
        <w:spacing w:line="480" w:lineRule="auto"/>
        <w:jc w:val="both"/>
        <w:rPr>
          <w:lang w:val="en-US"/>
        </w:rPr>
      </w:pPr>
      <w:r w:rsidRPr="006A721C">
        <w:rPr>
          <w:color w:val="000000"/>
          <w:lang w:val="en-US"/>
        </w:rPr>
        <w:t xml:space="preserve">A complementary perspective is offered by adult data from the same subregion. </w:t>
      </w:r>
      <w:proofErr w:type="spellStart"/>
      <w:r w:rsidRPr="006A721C">
        <w:rPr>
          <w:color w:val="000000"/>
          <w:lang w:val="en-US"/>
        </w:rPr>
        <w:t>Moutombi</w:t>
      </w:r>
      <w:proofErr w:type="spellEnd"/>
      <w:r w:rsidRPr="006A721C">
        <w:rPr>
          <w:color w:val="000000"/>
          <w:lang w:val="en-US"/>
        </w:rPr>
        <w:t xml:space="preserve"> </w:t>
      </w:r>
      <w:proofErr w:type="spellStart"/>
      <w:r w:rsidRPr="006A721C">
        <w:rPr>
          <w:color w:val="000000"/>
          <w:lang w:val="en-US"/>
        </w:rPr>
        <w:t>Ditombi</w:t>
      </w:r>
      <w:proofErr w:type="spellEnd"/>
      <w:r w:rsidRPr="006A721C">
        <w:rPr>
          <w:color w:val="000000"/>
          <w:lang w:val="en-US"/>
        </w:rPr>
        <w:t xml:space="preserve"> and colleagues found that severe malaria was nearly four times more frequent among people living with HIV than HIV-negative adults in Libreville (48.2% vs 12.1%)</w:t>
      </w:r>
      <w:r w:rsidR="00F51ACA">
        <w:rPr>
          <w:color w:val="000000"/>
          <w:lang w:val="en-US"/>
        </w:rPr>
        <w:t xml:space="preserve"> (</w:t>
      </w:r>
      <w:proofErr w:type="spellStart"/>
      <w:r w:rsidR="00F51ACA">
        <w:rPr>
          <w:color w:val="000000"/>
          <w:lang w:val="en-US"/>
        </w:rPr>
        <w:t>Moutombi</w:t>
      </w:r>
      <w:proofErr w:type="spellEnd"/>
      <w:r w:rsidR="00F51ACA">
        <w:rPr>
          <w:color w:val="000000"/>
          <w:lang w:val="en-US"/>
        </w:rPr>
        <w:t xml:space="preserve"> </w:t>
      </w:r>
      <w:proofErr w:type="spellStart"/>
      <w:r w:rsidR="00F51ACA">
        <w:rPr>
          <w:color w:val="000000"/>
          <w:lang w:val="en-US"/>
        </w:rPr>
        <w:t>Ditombi</w:t>
      </w:r>
      <w:proofErr w:type="spellEnd"/>
      <w:r w:rsidR="00F51ACA">
        <w:rPr>
          <w:color w:val="000000"/>
          <w:lang w:val="en-US"/>
        </w:rPr>
        <w:t xml:space="preserve"> and </w:t>
      </w:r>
      <w:r w:rsidR="00F51ACA" w:rsidRPr="00F51ACA">
        <w:rPr>
          <w:i/>
          <w:iCs/>
          <w:color w:val="000000"/>
          <w:lang w:val="en-US"/>
        </w:rPr>
        <w:t>al</w:t>
      </w:r>
      <w:r w:rsidR="00F51ACA">
        <w:rPr>
          <w:color w:val="000000"/>
          <w:lang w:val="en-US"/>
        </w:rPr>
        <w:t>, 2026)</w:t>
      </w:r>
      <w:r w:rsidRPr="006A721C">
        <w:rPr>
          <w:color w:val="000000"/>
          <w:lang w:val="en-US"/>
        </w:rPr>
        <w:t>,</w:t>
      </w:r>
      <w:r w:rsidR="00071880">
        <w:rPr>
          <w:color w:val="000000"/>
          <w:lang w:val="en-US"/>
        </w:rPr>
        <w:t xml:space="preserve"> </w:t>
      </w:r>
      <w:r w:rsidRPr="006A721C">
        <w:rPr>
          <w:color w:val="000000"/>
          <w:lang w:val="en-US"/>
        </w:rPr>
        <w:t xml:space="preserve">illustrating how host immunological status, whether determined by developmental immaturity in children or chronic infection in adults; shapes co-infection risk and malaria severity across the age spectrum. This convergence of </w:t>
      </w:r>
      <w:proofErr w:type="spellStart"/>
      <w:r w:rsidRPr="006A721C">
        <w:rPr>
          <w:color w:val="000000"/>
          <w:lang w:val="en-US"/>
        </w:rPr>
        <w:t>paediatric</w:t>
      </w:r>
      <w:proofErr w:type="spellEnd"/>
      <w:r w:rsidRPr="006A721C">
        <w:rPr>
          <w:color w:val="000000"/>
          <w:lang w:val="en-US"/>
        </w:rPr>
        <w:t xml:space="preserve"> and adult evidence from Gabon and Congo reinforces the importance of host-</w:t>
      </w:r>
      <w:proofErr w:type="spellStart"/>
      <w:r w:rsidRPr="006A721C">
        <w:rPr>
          <w:color w:val="000000"/>
          <w:lang w:val="en-US"/>
        </w:rPr>
        <w:t>centred</w:t>
      </w:r>
      <w:proofErr w:type="spellEnd"/>
      <w:r w:rsidRPr="006A721C">
        <w:rPr>
          <w:color w:val="000000"/>
          <w:lang w:val="en-US"/>
        </w:rPr>
        <w:t xml:space="preserve"> approaches to malaria management in Central Africa.</w:t>
      </w:r>
    </w:p>
    <w:p w14:paraId="69DFE16F" w14:textId="77777777" w:rsidR="006A721C" w:rsidRPr="006A721C" w:rsidRDefault="006A721C" w:rsidP="006A721C">
      <w:pPr>
        <w:spacing w:line="480" w:lineRule="auto"/>
        <w:jc w:val="both"/>
        <w:rPr>
          <w:lang w:val="en-US"/>
        </w:rPr>
      </w:pPr>
      <w:r w:rsidRPr="006A721C">
        <w:rPr>
          <w:color w:val="000000"/>
          <w:lang w:val="en-US"/>
        </w:rPr>
        <w:t xml:space="preserve">This study is the first to systematically </w:t>
      </w:r>
      <w:proofErr w:type="spellStart"/>
      <w:r w:rsidRPr="006A721C">
        <w:rPr>
          <w:color w:val="000000"/>
          <w:lang w:val="en-US"/>
        </w:rPr>
        <w:t>characterise</w:t>
      </w:r>
      <w:proofErr w:type="spellEnd"/>
      <w:r w:rsidRPr="006A721C">
        <w:rPr>
          <w:color w:val="000000"/>
          <w:lang w:val="en-US"/>
        </w:rPr>
        <w:t xml:space="preserve"> co-infection in </w:t>
      </w:r>
      <w:proofErr w:type="spellStart"/>
      <w:r w:rsidRPr="006A721C">
        <w:rPr>
          <w:color w:val="000000"/>
          <w:lang w:val="en-US"/>
        </w:rPr>
        <w:t>hospitalised</w:t>
      </w:r>
      <w:proofErr w:type="spellEnd"/>
      <w:r w:rsidRPr="006A721C">
        <w:rPr>
          <w:color w:val="000000"/>
          <w:lang w:val="en-US"/>
        </w:rPr>
        <w:t xml:space="preserve"> malaria patients in the Republic of Congo, with geographically granular analysis at arrondissement level and pre-specified multivariable regression including a sensitivity analysis for missing delay data. Limitations include the retrospective design with reliance on clinical rather than microbiological co-infection diagnosis, likely underestimating true invasive bacterial infection prevalence. Nutritional status data were available for fewer than 5% of participants and could not be controlled for, representing a potential source of residual confounding. Finally, as a single-</w:t>
      </w:r>
      <w:proofErr w:type="spellStart"/>
      <w:r w:rsidRPr="006A721C">
        <w:rPr>
          <w:color w:val="000000"/>
          <w:lang w:val="en-US"/>
        </w:rPr>
        <w:t>centre</w:t>
      </w:r>
      <w:proofErr w:type="spellEnd"/>
      <w:r w:rsidRPr="006A721C">
        <w:rPr>
          <w:color w:val="000000"/>
          <w:lang w:val="en-US"/>
        </w:rPr>
        <w:t xml:space="preserve"> study from the capital's principal referral hospital, findings may not fully represent district-level or rural malaria epidemiology across the Republic of Congo.</w:t>
      </w:r>
    </w:p>
    <w:p w14:paraId="21884A3B" w14:textId="77777777" w:rsidR="006A721C" w:rsidRPr="00C258A7" w:rsidRDefault="006A721C" w:rsidP="00C258A7">
      <w:pPr>
        <w:spacing w:before="200" w:after="60" w:line="480" w:lineRule="auto"/>
        <w:rPr>
          <w:lang w:val="en-US"/>
        </w:rPr>
      </w:pPr>
      <w:r w:rsidRPr="00C258A7">
        <w:rPr>
          <w:b/>
          <w:bCs/>
          <w:i/>
          <w:iCs/>
          <w:lang w:val="en-US"/>
        </w:rPr>
        <w:t>Conclusion</w:t>
      </w:r>
    </w:p>
    <w:p w14:paraId="04946D4A" w14:textId="77777777" w:rsidR="006A721C" w:rsidRPr="00C258A7" w:rsidRDefault="006A721C" w:rsidP="00C258A7">
      <w:pPr>
        <w:spacing w:line="480" w:lineRule="auto"/>
        <w:jc w:val="both"/>
        <w:rPr>
          <w:lang w:val="en-US"/>
        </w:rPr>
      </w:pPr>
      <w:r w:rsidRPr="00C258A7">
        <w:rPr>
          <w:color w:val="000000"/>
          <w:lang w:val="en-US"/>
        </w:rPr>
        <w:t xml:space="preserve">In conclusion, co-infection or comorbidity was present in approximately one in six children </w:t>
      </w:r>
      <w:proofErr w:type="spellStart"/>
      <w:r w:rsidRPr="00C258A7">
        <w:rPr>
          <w:color w:val="000000"/>
          <w:lang w:val="en-US"/>
        </w:rPr>
        <w:t>hospitalised</w:t>
      </w:r>
      <w:proofErr w:type="spellEnd"/>
      <w:r w:rsidRPr="00C258A7">
        <w:rPr>
          <w:color w:val="000000"/>
          <w:lang w:val="en-US"/>
        </w:rPr>
        <w:t xml:space="preserve"> with confirmed </w:t>
      </w:r>
      <w:r w:rsidRPr="00C258A7">
        <w:rPr>
          <w:i/>
          <w:iCs/>
          <w:color w:val="000000"/>
          <w:lang w:val="en-US"/>
        </w:rPr>
        <w:t>P. falciparum</w:t>
      </w:r>
      <w:r w:rsidRPr="00C258A7">
        <w:rPr>
          <w:color w:val="000000"/>
          <w:lang w:val="en-US"/>
        </w:rPr>
        <w:t xml:space="preserve"> malaria at CHU-Brazzaville, and was independently associated with younger age and residence in densely populated central arrondissements, with consultation delay as an additional predictor. Co-infected children had higher </w:t>
      </w:r>
      <w:proofErr w:type="spellStart"/>
      <w:r w:rsidRPr="00C258A7">
        <w:rPr>
          <w:color w:val="000000"/>
          <w:lang w:val="en-US"/>
        </w:rPr>
        <w:t>parasitaemia</w:t>
      </w:r>
      <w:proofErr w:type="spellEnd"/>
      <w:r w:rsidRPr="00C258A7">
        <w:rPr>
          <w:color w:val="000000"/>
          <w:lang w:val="en-US"/>
        </w:rPr>
        <w:t xml:space="preserve">, greater rates of WHO-defined severe malaria, and longer hospital stays. These findings call for </w:t>
      </w:r>
      <w:r w:rsidRPr="00C258A7">
        <w:rPr>
          <w:color w:val="000000"/>
          <w:lang w:val="en-US"/>
        </w:rPr>
        <w:lastRenderedPageBreak/>
        <w:t xml:space="preserve">systematic clinical assessment of co-infection at malaria admission, </w:t>
      </w:r>
      <w:proofErr w:type="spellStart"/>
      <w:r w:rsidRPr="00C258A7">
        <w:rPr>
          <w:color w:val="000000"/>
          <w:lang w:val="en-US"/>
        </w:rPr>
        <w:t>prioritising</w:t>
      </w:r>
      <w:proofErr w:type="spellEnd"/>
      <w:r w:rsidRPr="00C258A7">
        <w:rPr>
          <w:color w:val="000000"/>
          <w:lang w:val="en-US"/>
        </w:rPr>
        <w:t xml:space="preserve"> children under five years of age and those from high-density urban areas. Prospective studies with systematic microbiological investigation are needed to quantify the burden of confirmed co-infection and evaluate integrated syndromic management protocols in this setting.</w:t>
      </w:r>
    </w:p>
    <w:p w14:paraId="78FD2644" w14:textId="77777777" w:rsidR="006A721C" w:rsidRDefault="006A721C" w:rsidP="006A721C">
      <w:pPr>
        <w:pStyle w:val="ListParagraph"/>
        <w:spacing w:before="60" w:after="60"/>
        <w:ind w:left="360"/>
        <w:rPr>
          <w:lang w:val="en-US"/>
        </w:rPr>
      </w:pPr>
      <w:bookmarkStart w:id="5" w:name="_GoBack"/>
      <w:bookmarkEnd w:id="5"/>
    </w:p>
    <w:p w14:paraId="50D5A4B6" w14:textId="77777777" w:rsidR="006A721C" w:rsidRPr="00073DE1" w:rsidRDefault="006A721C" w:rsidP="006A721C">
      <w:pPr>
        <w:spacing w:before="60" w:after="60" w:line="480" w:lineRule="auto"/>
        <w:rPr>
          <w:b/>
          <w:bCs/>
          <w:lang w:val="en-GB"/>
        </w:rPr>
      </w:pPr>
      <w:r w:rsidRPr="00073DE1">
        <w:rPr>
          <w:b/>
          <w:bCs/>
          <w:lang w:val="en-GB"/>
        </w:rPr>
        <w:t>Competing interests</w:t>
      </w:r>
    </w:p>
    <w:p w14:paraId="2F1CB408" w14:textId="77777777" w:rsidR="006A721C" w:rsidRPr="00BF647A" w:rsidRDefault="006A721C" w:rsidP="006A721C">
      <w:pPr>
        <w:spacing w:before="60" w:after="60" w:line="480" w:lineRule="auto"/>
        <w:rPr>
          <w:lang w:val="en-GB"/>
        </w:rPr>
      </w:pPr>
      <w:r w:rsidRPr="00BF647A">
        <w:rPr>
          <w:lang w:val="en-GB"/>
        </w:rPr>
        <w:t>Authors have declared that they have no known</w:t>
      </w:r>
      <w:r>
        <w:rPr>
          <w:lang w:val="en-GB"/>
        </w:rPr>
        <w:t xml:space="preserve"> </w:t>
      </w:r>
      <w:r w:rsidRPr="00BF647A">
        <w:rPr>
          <w:lang w:val="en-GB"/>
        </w:rPr>
        <w:t>competing financial interests or non-financial</w:t>
      </w:r>
    </w:p>
    <w:p w14:paraId="7B336F8B" w14:textId="77777777" w:rsidR="006A721C" w:rsidRPr="00BF647A" w:rsidRDefault="006A721C" w:rsidP="006A721C">
      <w:pPr>
        <w:spacing w:before="60" w:after="60" w:line="480" w:lineRule="auto"/>
        <w:rPr>
          <w:lang w:val="en-GB"/>
        </w:rPr>
      </w:pPr>
      <w:r w:rsidRPr="00BF647A">
        <w:rPr>
          <w:lang w:val="en-GB"/>
        </w:rPr>
        <w:t>interests or personal relationships that could</w:t>
      </w:r>
      <w:r>
        <w:rPr>
          <w:lang w:val="en-GB"/>
        </w:rPr>
        <w:t xml:space="preserve"> </w:t>
      </w:r>
      <w:r w:rsidRPr="00BF647A">
        <w:rPr>
          <w:lang w:val="en-GB"/>
        </w:rPr>
        <w:t>have appeared to influence the work reported in</w:t>
      </w:r>
    </w:p>
    <w:p w14:paraId="7F4B2320" w14:textId="77777777" w:rsidR="006A721C" w:rsidRDefault="006A721C" w:rsidP="006A721C">
      <w:pPr>
        <w:spacing w:before="60" w:after="60" w:line="480" w:lineRule="auto"/>
        <w:rPr>
          <w:lang w:val="en-GB"/>
        </w:rPr>
      </w:pPr>
      <w:r w:rsidRPr="00BF647A">
        <w:rPr>
          <w:lang w:val="en-GB"/>
        </w:rPr>
        <w:t>this paper</w:t>
      </w:r>
    </w:p>
    <w:p w14:paraId="60B28EC1" w14:textId="5514D3FE" w:rsidR="00BF647A" w:rsidRPr="00073DE1" w:rsidRDefault="00073DE1" w:rsidP="00073DE1">
      <w:pPr>
        <w:spacing w:before="60" w:after="60" w:line="480" w:lineRule="auto"/>
        <w:rPr>
          <w:b/>
          <w:bCs/>
          <w:lang w:val="en-GB"/>
        </w:rPr>
      </w:pPr>
      <w:r w:rsidRPr="00073DE1">
        <w:rPr>
          <w:b/>
          <w:bCs/>
          <w:lang w:val="en-GB"/>
        </w:rPr>
        <w:t>Disclaimer (artificial intelligence)</w:t>
      </w:r>
      <w:r w:rsidR="00BF647A" w:rsidRPr="00073DE1">
        <w:rPr>
          <w:b/>
          <w:bCs/>
          <w:lang w:val="en-GB"/>
        </w:rPr>
        <w:t xml:space="preserve"> </w:t>
      </w:r>
    </w:p>
    <w:p w14:paraId="40E6B2F0" w14:textId="596489B7" w:rsidR="00BF647A" w:rsidRDefault="00BF647A" w:rsidP="00073DE1">
      <w:pPr>
        <w:spacing w:before="60" w:after="60" w:line="480" w:lineRule="auto"/>
        <w:rPr>
          <w:lang w:val="en-GB"/>
        </w:rPr>
      </w:pPr>
      <w:r w:rsidRPr="00BF647A">
        <w:rPr>
          <w:lang w:val="en-GB"/>
        </w:rPr>
        <w:t>Author(s) hereby declare that NO</w:t>
      </w:r>
      <w:r>
        <w:rPr>
          <w:lang w:val="en-GB"/>
        </w:rPr>
        <w:t xml:space="preserve"> </w:t>
      </w:r>
      <w:r w:rsidRPr="00BF647A">
        <w:rPr>
          <w:lang w:val="en-GB"/>
        </w:rPr>
        <w:t>generative AI</w:t>
      </w:r>
      <w:r>
        <w:rPr>
          <w:lang w:val="en-GB"/>
        </w:rPr>
        <w:t xml:space="preserve"> </w:t>
      </w:r>
      <w:r w:rsidRPr="00BF647A">
        <w:rPr>
          <w:lang w:val="en-GB"/>
        </w:rPr>
        <w:t>technologies such as text-to-image</w:t>
      </w:r>
      <w:r>
        <w:rPr>
          <w:lang w:val="en-GB"/>
        </w:rPr>
        <w:t xml:space="preserve"> </w:t>
      </w:r>
      <w:r w:rsidRPr="00BF647A">
        <w:rPr>
          <w:lang w:val="en-GB"/>
        </w:rPr>
        <w:t>generators have been used during writing or</w:t>
      </w:r>
      <w:r>
        <w:rPr>
          <w:lang w:val="en-GB"/>
        </w:rPr>
        <w:t xml:space="preserve"> </w:t>
      </w:r>
      <w:r w:rsidRPr="00BF647A">
        <w:rPr>
          <w:lang w:val="en-GB"/>
        </w:rPr>
        <w:t>editing of this manuscript.</w:t>
      </w:r>
    </w:p>
    <w:p w14:paraId="217ED7FA" w14:textId="77777777" w:rsidR="000F63BD" w:rsidRPr="00564354" w:rsidRDefault="000F63BD">
      <w:pPr>
        <w:spacing w:before="60" w:after="60"/>
        <w:rPr>
          <w:lang w:val="en-GB"/>
        </w:rPr>
      </w:pPr>
    </w:p>
    <w:p w14:paraId="1B8D65BD" w14:textId="77777777" w:rsidR="00CA56EB" w:rsidRPr="00E12795" w:rsidRDefault="00CA56EB" w:rsidP="00CA56EB">
      <w:pPr>
        <w:spacing w:before="120" w:after="80" w:line="480" w:lineRule="auto"/>
        <w:rPr>
          <w:color w:val="000000" w:themeColor="text1"/>
          <w:lang w:val="en-GB"/>
        </w:rPr>
      </w:pPr>
      <w:bookmarkStart w:id="6" w:name="_Hlk228881001"/>
      <w:r w:rsidRPr="00E12795">
        <w:rPr>
          <w:b/>
          <w:bCs/>
          <w:color w:val="000000" w:themeColor="text1"/>
          <w:lang w:val="en-GB"/>
        </w:rPr>
        <w:t>References</w:t>
      </w:r>
    </w:p>
    <w:bookmarkEnd w:id="6"/>
    <w:p w14:paraId="53BC28EE" w14:textId="77777777" w:rsidR="00D42F5D" w:rsidRDefault="00D42F5D" w:rsidP="00D42F5D">
      <w:pPr>
        <w:spacing w:after="80" w:line="360" w:lineRule="auto"/>
        <w:ind w:left="540" w:hanging="540"/>
        <w:jc w:val="both"/>
        <w:rPr>
          <w:color w:val="000000"/>
          <w:lang w:val="en-GB"/>
        </w:rPr>
      </w:pPr>
      <w:r w:rsidRPr="006C4AEA">
        <w:rPr>
          <w:color w:val="000000"/>
          <w:lang w:val="en-GB"/>
        </w:rPr>
        <w:t xml:space="preserve">Amaka JI, MacLeod E, Picozzi K, Fyfe J, </w:t>
      </w:r>
      <w:proofErr w:type="spellStart"/>
      <w:r w:rsidRPr="006C4AEA">
        <w:rPr>
          <w:color w:val="000000"/>
          <w:lang w:val="en-GB"/>
        </w:rPr>
        <w:t>Ezenyi</w:t>
      </w:r>
      <w:proofErr w:type="spellEnd"/>
      <w:r w:rsidRPr="006C4AEA">
        <w:rPr>
          <w:color w:val="000000"/>
          <w:lang w:val="en-GB"/>
        </w:rPr>
        <w:t xml:space="preserve"> IC, </w:t>
      </w:r>
      <w:proofErr w:type="spellStart"/>
      <w:r w:rsidRPr="006C4AEA">
        <w:rPr>
          <w:color w:val="000000"/>
          <w:lang w:val="en-GB"/>
        </w:rPr>
        <w:t>Ijaiya</w:t>
      </w:r>
      <w:proofErr w:type="spellEnd"/>
      <w:r w:rsidRPr="006C4AEA">
        <w:rPr>
          <w:color w:val="000000"/>
          <w:lang w:val="en-GB"/>
        </w:rPr>
        <w:t xml:space="preserve"> IS, Attah DD, Godwin BA, Obisike VU and Galamaji MM. </w:t>
      </w:r>
      <w:r>
        <w:rPr>
          <w:color w:val="000000"/>
          <w:lang w:val="en-GB"/>
        </w:rPr>
        <w:t xml:space="preserve">(2025) </w:t>
      </w:r>
      <w:r w:rsidRPr="006C4AEA">
        <w:rPr>
          <w:color w:val="000000"/>
          <w:lang w:val="en-GB"/>
        </w:rPr>
        <w:t xml:space="preserve">Issues associated with malaria self-medication in </w:t>
      </w:r>
      <w:proofErr w:type="spellStart"/>
      <w:r w:rsidRPr="006C4AEA">
        <w:rPr>
          <w:color w:val="000000"/>
          <w:lang w:val="en-GB"/>
        </w:rPr>
        <w:t>sub-saharan</w:t>
      </w:r>
      <w:proofErr w:type="spellEnd"/>
      <w:r w:rsidRPr="006C4AEA">
        <w:rPr>
          <w:color w:val="000000"/>
          <w:lang w:val="en-GB"/>
        </w:rPr>
        <w:t xml:space="preserve"> Africa: a </w:t>
      </w:r>
      <w:proofErr w:type="spellStart"/>
      <w:r w:rsidRPr="006C4AEA">
        <w:rPr>
          <w:color w:val="000000"/>
          <w:lang w:val="en-GB"/>
        </w:rPr>
        <w:t>sustematic</w:t>
      </w:r>
      <w:proofErr w:type="spellEnd"/>
      <w:r w:rsidRPr="006C4AEA">
        <w:rPr>
          <w:color w:val="000000"/>
          <w:lang w:val="en-GB"/>
        </w:rPr>
        <w:t xml:space="preserve"> literature review and meta-analysis. Malaria World Journal; </w:t>
      </w:r>
      <w:proofErr w:type="gramStart"/>
      <w:r w:rsidRPr="006C4AEA">
        <w:rPr>
          <w:color w:val="000000"/>
          <w:lang w:val="en-GB"/>
        </w:rPr>
        <w:t>16 :</w:t>
      </w:r>
      <w:proofErr w:type="gramEnd"/>
      <w:r w:rsidRPr="006C4AEA">
        <w:rPr>
          <w:color w:val="000000"/>
          <w:lang w:val="en-GB"/>
        </w:rPr>
        <w:t xml:space="preserve"> 16. </w:t>
      </w:r>
      <w:hyperlink r:id="rId7" w:history="1">
        <w:r w:rsidRPr="00E12795">
          <w:rPr>
            <w:color w:val="000000"/>
            <w:lang w:val="en-GB"/>
          </w:rPr>
          <w:t>https://doi.org/10.5281/zenodo.17054133</w:t>
        </w:r>
      </w:hyperlink>
    </w:p>
    <w:p w14:paraId="331D2EE8" w14:textId="77777777" w:rsidR="00D42F5D" w:rsidRDefault="00D42F5D" w:rsidP="00D42F5D">
      <w:pPr>
        <w:spacing w:after="80" w:line="360" w:lineRule="auto"/>
        <w:ind w:left="540" w:hanging="540"/>
        <w:jc w:val="both"/>
        <w:rPr>
          <w:color w:val="000000"/>
          <w:lang w:val="en-GB"/>
        </w:rPr>
      </w:pPr>
      <w:r w:rsidRPr="00E12795">
        <w:rPr>
          <w:color w:val="000000"/>
          <w:lang w:val="en-GB"/>
        </w:rPr>
        <w:t xml:space="preserve">Anjorin S, Okolie E, Yaya S. (2023) Malaria profile and socioeconomic predictors among under-five children: an analysis of 11 sub-Saharan African countries. Malar </w:t>
      </w:r>
      <w:proofErr w:type="gramStart"/>
      <w:r w:rsidRPr="00E12795">
        <w:rPr>
          <w:color w:val="000000"/>
          <w:lang w:val="en-GB"/>
        </w:rPr>
        <w:t>J.;22:58</w:t>
      </w:r>
      <w:proofErr w:type="gramEnd"/>
      <w:r w:rsidRPr="00E12795">
        <w:rPr>
          <w:color w:val="000000"/>
          <w:lang w:val="en-GB"/>
        </w:rPr>
        <w:t>. doi:10.1186/s12936-023-04484-8. PMID: 36797701</w:t>
      </w:r>
    </w:p>
    <w:p w14:paraId="019D59F8" w14:textId="77777777" w:rsidR="00D42F5D" w:rsidRPr="002404AB" w:rsidRDefault="00D42F5D" w:rsidP="00D42F5D">
      <w:pPr>
        <w:spacing w:after="80" w:line="360" w:lineRule="auto"/>
        <w:ind w:left="540" w:hanging="540"/>
        <w:jc w:val="both"/>
        <w:rPr>
          <w:color w:val="000000"/>
        </w:rPr>
      </w:pPr>
      <w:r w:rsidRPr="006C4AEA">
        <w:rPr>
          <w:color w:val="000000"/>
          <w:lang w:val="en-GB"/>
        </w:rPr>
        <w:t xml:space="preserve">Balogun ST, </w:t>
      </w:r>
      <w:proofErr w:type="spellStart"/>
      <w:r w:rsidRPr="006C4AEA">
        <w:rPr>
          <w:color w:val="000000"/>
          <w:lang w:val="en-GB"/>
        </w:rPr>
        <w:t>Sandabe</w:t>
      </w:r>
      <w:proofErr w:type="spellEnd"/>
      <w:r w:rsidRPr="006C4AEA">
        <w:rPr>
          <w:color w:val="000000"/>
          <w:lang w:val="en-GB"/>
        </w:rPr>
        <w:t xml:space="preserve"> UK, </w:t>
      </w:r>
      <w:proofErr w:type="spellStart"/>
      <w:r w:rsidRPr="006C4AEA">
        <w:rPr>
          <w:color w:val="000000"/>
          <w:lang w:val="en-GB"/>
        </w:rPr>
        <w:t>Okon</w:t>
      </w:r>
      <w:proofErr w:type="spellEnd"/>
      <w:r w:rsidRPr="006C4AEA">
        <w:rPr>
          <w:color w:val="000000"/>
          <w:lang w:val="en-GB"/>
        </w:rPr>
        <w:t xml:space="preserve"> KO, </w:t>
      </w:r>
      <w:proofErr w:type="spellStart"/>
      <w:r w:rsidRPr="006C4AEA">
        <w:rPr>
          <w:color w:val="000000"/>
          <w:lang w:val="en-GB"/>
        </w:rPr>
        <w:t>Akanmu</w:t>
      </w:r>
      <w:proofErr w:type="spellEnd"/>
      <w:r w:rsidRPr="006C4AEA">
        <w:rPr>
          <w:color w:val="000000"/>
          <w:lang w:val="en-GB"/>
        </w:rPr>
        <w:t xml:space="preserve"> AO and Fehintola FA. </w:t>
      </w:r>
      <w:r>
        <w:rPr>
          <w:color w:val="000000"/>
          <w:lang w:val="en-GB"/>
        </w:rPr>
        <w:t xml:space="preserve">(2019) </w:t>
      </w:r>
      <w:r w:rsidRPr="006C4AEA">
        <w:rPr>
          <w:color w:val="000000"/>
          <w:lang w:val="en-GB"/>
        </w:rPr>
        <w:t xml:space="preserve">Malaria burden and pre-hospital medication among subjects with malaria in Maiduguri, Northeast Nigeria. </w:t>
      </w:r>
      <w:proofErr w:type="spellStart"/>
      <w:proofErr w:type="gramStart"/>
      <w:r w:rsidRPr="002404AB">
        <w:rPr>
          <w:color w:val="000000"/>
        </w:rPr>
        <w:t>Heliyon</w:t>
      </w:r>
      <w:proofErr w:type="spellEnd"/>
      <w:r w:rsidRPr="002404AB">
        <w:rPr>
          <w:color w:val="000000"/>
        </w:rPr>
        <w:t>;</w:t>
      </w:r>
      <w:proofErr w:type="gramEnd"/>
      <w:r w:rsidRPr="002404AB">
        <w:rPr>
          <w:color w:val="000000"/>
        </w:rPr>
        <w:t xml:space="preserve"> 5: e02280. </w:t>
      </w:r>
      <w:hyperlink r:id="rId8" w:history="1">
        <w:r w:rsidRPr="002404AB">
          <w:rPr>
            <w:color w:val="000000"/>
          </w:rPr>
          <w:t>https://doi.org/10.1016/j.heliyon.2019.e02280</w:t>
        </w:r>
      </w:hyperlink>
    </w:p>
    <w:p w14:paraId="0C9130D9" w14:textId="77777777" w:rsidR="00D42F5D" w:rsidRDefault="00D42F5D" w:rsidP="00D42F5D">
      <w:pPr>
        <w:spacing w:after="80" w:line="360" w:lineRule="auto"/>
        <w:ind w:left="540" w:hanging="540"/>
        <w:jc w:val="both"/>
        <w:rPr>
          <w:color w:val="000000"/>
          <w:lang w:val="en-GB"/>
        </w:rPr>
      </w:pPr>
      <w:proofErr w:type="spellStart"/>
      <w:r w:rsidRPr="002404AB">
        <w:rPr>
          <w:color w:val="000000"/>
        </w:rPr>
        <w:t>Borgstein</w:t>
      </w:r>
      <w:proofErr w:type="spellEnd"/>
      <w:r w:rsidRPr="002404AB">
        <w:rPr>
          <w:color w:val="000000"/>
        </w:rPr>
        <w:t xml:space="preserve"> A, Zhang B, </w:t>
      </w:r>
      <w:proofErr w:type="spellStart"/>
      <w:r w:rsidRPr="002404AB">
        <w:rPr>
          <w:color w:val="000000"/>
        </w:rPr>
        <w:t>Lam</w:t>
      </w:r>
      <w:proofErr w:type="spellEnd"/>
      <w:r w:rsidRPr="002404AB">
        <w:rPr>
          <w:color w:val="000000"/>
        </w:rPr>
        <w:t xml:space="preserve"> C, et al. </w:t>
      </w:r>
      <w:r w:rsidRPr="00E12795">
        <w:rPr>
          <w:color w:val="000000"/>
          <w:lang w:val="en-GB"/>
        </w:rPr>
        <w:t xml:space="preserve">(2022) Delayed presentation to hospital care is associated with sequelae but not mortality in children with cerebral malaria in Malawi. Malar </w:t>
      </w:r>
      <w:proofErr w:type="gramStart"/>
      <w:r w:rsidRPr="00E12795">
        <w:rPr>
          <w:color w:val="000000"/>
          <w:lang w:val="en-GB"/>
        </w:rPr>
        <w:t>J.;21:57</w:t>
      </w:r>
      <w:proofErr w:type="gramEnd"/>
      <w:r w:rsidRPr="00E12795">
        <w:rPr>
          <w:color w:val="000000"/>
          <w:lang w:val="en-GB"/>
        </w:rPr>
        <w:t>. doi:10.1186/s12936-022-04080-2. PMID: 35193588</w:t>
      </w:r>
    </w:p>
    <w:p w14:paraId="390BBFB0" w14:textId="77777777" w:rsidR="00D42F5D" w:rsidRPr="002404AB" w:rsidRDefault="00D42F5D" w:rsidP="00D42F5D">
      <w:pPr>
        <w:spacing w:after="80" w:line="360" w:lineRule="auto"/>
        <w:ind w:left="540" w:hanging="540"/>
        <w:jc w:val="both"/>
        <w:rPr>
          <w:color w:val="000000"/>
          <w:lang w:val="en-GB"/>
        </w:rPr>
      </w:pPr>
      <w:proofErr w:type="spellStart"/>
      <w:r w:rsidRPr="00E12795">
        <w:rPr>
          <w:color w:val="000000"/>
          <w:lang w:val="en-GB"/>
        </w:rPr>
        <w:lastRenderedPageBreak/>
        <w:t>Bouyou-Akotet</w:t>
      </w:r>
      <w:proofErr w:type="spellEnd"/>
      <w:r w:rsidRPr="00E12795">
        <w:rPr>
          <w:color w:val="000000"/>
          <w:lang w:val="en-GB"/>
        </w:rPr>
        <w:t xml:space="preserve"> MK, </w:t>
      </w:r>
      <w:proofErr w:type="spellStart"/>
      <w:r w:rsidRPr="00E12795">
        <w:rPr>
          <w:color w:val="000000"/>
          <w:lang w:val="en-GB"/>
        </w:rPr>
        <w:t>Mawili-Mboumba</w:t>
      </w:r>
      <w:proofErr w:type="spellEnd"/>
      <w:r w:rsidRPr="00E12795">
        <w:rPr>
          <w:color w:val="000000"/>
          <w:lang w:val="en-GB"/>
        </w:rPr>
        <w:t xml:space="preserve"> DP, </w:t>
      </w:r>
      <w:proofErr w:type="spellStart"/>
      <w:r w:rsidRPr="00E12795">
        <w:rPr>
          <w:color w:val="000000"/>
          <w:lang w:val="en-GB"/>
        </w:rPr>
        <w:t>Kendjo</w:t>
      </w:r>
      <w:proofErr w:type="spellEnd"/>
      <w:r w:rsidRPr="00E12795">
        <w:rPr>
          <w:color w:val="000000"/>
          <w:lang w:val="en-GB"/>
        </w:rPr>
        <w:t xml:space="preserve"> E, et al. (2012) Complicated malaria and other severe febrile illness in a </w:t>
      </w:r>
      <w:proofErr w:type="spellStart"/>
      <w:r w:rsidRPr="00E12795">
        <w:rPr>
          <w:color w:val="000000"/>
          <w:lang w:val="en-GB"/>
        </w:rPr>
        <w:t>pediatric</w:t>
      </w:r>
      <w:proofErr w:type="spellEnd"/>
      <w:r w:rsidRPr="00E12795">
        <w:rPr>
          <w:color w:val="000000"/>
          <w:lang w:val="en-GB"/>
        </w:rPr>
        <w:t xml:space="preserve"> ward in Libreville, Gabon. </w:t>
      </w:r>
      <w:r w:rsidRPr="002404AB">
        <w:rPr>
          <w:color w:val="000000"/>
          <w:lang w:val="en-GB"/>
        </w:rPr>
        <w:t xml:space="preserve">BMC Infect </w:t>
      </w:r>
      <w:proofErr w:type="gramStart"/>
      <w:r w:rsidRPr="002404AB">
        <w:rPr>
          <w:color w:val="000000"/>
          <w:lang w:val="en-GB"/>
        </w:rPr>
        <w:t>Dis.;12:216</w:t>
      </w:r>
      <w:proofErr w:type="gramEnd"/>
      <w:r w:rsidRPr="002404AB">
        <w:rPr>
          <w:color w:val="000000"/>
          <w:lang w:val="en-GB"/>
        </w:rPr>
        <w:t>. doi:10.1186/1471-2334-12-216. PMID: 22973831</w:t>
      </w:r>
    </w:p>
    <w:p w14:paraId="40B94FE6" w14:textId="77777777" w:rsidR="00D42F5D" w:rsidRPr="00E12795" w:rsidRDefault="00D42F5D" w:rsidP="00D42F5D">
      <w:pPr>
        <w:spacing w:after="80" w:line="360" w:lineRule="auto"/>
        <w:ind w:left="540" w:hanging="540"/>
        <w:jc w:val="both"/>
        <w:rPr>
          <w:color w:val="000000"/>
          <w:lang w:val="en-GB"/>
        </w:rPr>
      </w:pPr>
      <w:r w:rsidRPr="00E12795">
        <w:rPr>
          <w:color w:val="000000"/>
          <w:lang w:val="en-GB"/>
        </w:rPr>
        <w:t xml:space="preserve">Church J, Maitland K. (2014) Invasive bacterial co-infection in African children with Plasmodium falciparum malaria: a systematic review. BMC </w:t>
      </w:r>
      <w:proofErr w:type="gramStart"/>
      <w:r w:rsidRPr="00E12795">
        <w:rPr>
          <w:color w:val="000000"/>
          <w:lang w:val="en-GB"/>
        </w:rPr>
        <w:t>Med.;12:31</w:t>
      </w:r>
      <w:proofErr w:type="gramEnd"/>
      <w:r w:rsidRPr="00E12795">
        <w:rPr>
          <w:color w:val="000000"/>
          <w:lang w:val="en-GB"/>
        </w:rPr>
        <w:t>. doi:10.1186/1741-7015-12-31. PMID: 24548672</w:t>
      </w:r>
    </w:p>
    <w:p w14:paraId="1415DD81" w14:textId="77777777" w:rsidR="00D42F5D" w:rsidRPr="00E12795" w:rsidRDefault="00D42F5D" w:rsidP="00D42F5D">
      <w:pPr>
        <w:spacing w:after="80" w:line="360" w:lineRule="auto"/>
        <w:ind w:left="540" w:hanging="540"/>
        <w:jc w:val="both"/>
        <w:rPr>
          <w:color w:val="000000"/>
          <w:lang w:val="en-GB"/>
        </w:rPr>
      </w:pPr>
      <w:r w:rsidRPr="00E12795">
        <w:rPr>
          <w:color w:val="000000"/>
          <w:lang w:val="en-GB"/>
        </w:rPr>
        <w:t>English M, Punt J, Mwangi I, McHugh K, Marsh K. (1996) Clinical overlap between malaria and severe pneumonia in African children in hospital. Trans R Soc Trop Med Hyg.;90(6):658–662. doi:10.1016/s0035-9203(96)90423-x. PMID: 9015508</w:t>
      </w:r>
    </w:p>
    <w:p w14:paraId="25DF4FFE" w14:textId="76C1DC56" w:rsidR="00D42F5D" w:rsidRDefault="00F51ACA" w:rsidP="00D42F5D">
      <w:pPr>
        <w:spacing w:after="80" w:line="360" w:lineRule="auto"/>
        <w:ind w:left="540" w:hanging="540"/>
        <w:jc w:val="both"/>
        <w:rPr>
          <w:color w:val="000000"/>
          <w:lang w:val="en-GB"/>
        </w:rPr>
      </w:pPr>
      <w:proofErr w:type="spellStart"/>
      <w:r>
        <w:rPr>
          <w:color w:val="000000"/>
          <w:lang w:val="en-GB"/>
        </w:rPr>
        <w:t>Moyen</w:t>
      </w:r>
      <w:proofErr w:type="spellEnd"/>
      <w:r>
        <w:rPr>
          <w:color w:val="000000"/>
          <w:lang w:val="en-GB"/>
        </w:rPr>
        <w:t xml:space="preserve"> </w:t>
      </w:r>
      <w:r w:rsidR="00D42F5D" w:rsidRPr="000C6656">
        <w:rPr>
          <w:color w:val="000000"/>
          <w:lang w:val="en-GB"/>
        </w:rPr>
        <w:t xml:space="preserve">E, </w:t>
      </w:r>
      <w:proofErr w:type="spellStart"/>
      <w:r w:rsidR="00D42F5D" w:rsidRPr="000C6656">
        <w:rPr>
          <w:color w:val="000000"/>
          <w:lang w:val="en-GB"/>
        </w:rPr>
        <w:t>Moukassa</w:t>
      </w:r>
      <w:proofErr w:type="spellEnd"/>
      <w:r w:rsidR="00D42F5D" w:rsidRPr="000C6656">
        <w:rPr>
          <w:color w:val="000000"/>
          <w:lang w:val="en-GB"/>
        </w:rPr>
        <w:t xml:space="preserve"> PJM., </w:t>
      </w:r>
      <w:proofErr w:type="spellStart"/>
      <w:r>
        <w:rPr>
          <w:color w:val="000000"/>
          <w:lang w:val="en-GB"/>
        </w:rPr>
        <w:t>Sekangue</w:t>
      </w:r>
      <w:proofErr w:type="spellEnd"/>
      <w:r>
        <w:rPr>
          <w:color w:val="000000"/>
          <w:lang w:val="en-GB"/>
        </w:rPr>
        <w:t xml:space="preserve"> </w:t>
      </w:r>
      <w:proofErr w:type="spellStart"/>
      <w:r w:rsidR="00D42F5D" w:rsidRPr="000C6656">
        <w:rPr>
          <w:color w:val="000000"/>
          <w:lang w:val="en-GB"/>
        </w:rPr>
        <w:t>Obili</w:t>
      </w:r>
      <w:proofErr w:type="spellEnd"/>
      <w:r w:rsidR="00D42F5D" w:rsidRPr="000C6656">
        <w:rPr>
          <w:color w:val="000000"/>
          <w:lang w:val="en-GB"/>
        </w:rPr>
        <w:t xml:space="preserve"> G, </w:t>
      </w:r>
      <w:proofErr w:type="spellStart"/>
      <w:r w:rsidR="00D42F5D" w:rsidRPr="000C6656">
        <w:rPr>
          <w:color w:val="000000"/>
          <w:lang w:val="en-GB"/>
        </w:rPr>
        <w:t>Ngamo</w:t>
      </w:r>
      <w:proofErr w:type="spellEnd"/>
      <w:r w:rsidR="00D42F5D" w:rsidRPr="000C6656">
        <w:rPr>
          <w:color w:val="000000"/>
          <w:lang w:val="en-GB"/>
        </w:rPr>
        <w:t xml:space="preserve"> LT., Moyen GM. and </w:t>
      </w:r>
      <w:proofErr w:type="spellStart"/>
      <w:r w:rsidR="00D42F5D" w:rsidRPr="000C6656">
        <w:rPr>
          <w:color w:val="000000"/>
          <w:lang w:val="en-GB"/>
        </w:rPr>
        <w:t>Nkoua</w:t>
      </w:r>
      <w:proofErr w:type="spellEnd"/>
      <w:r w:rsidR="00D42F5D" w:rsidRPr="000C6656">
        <w:rPr>
          <w:color w:val="000000"/>
          <w:lang w:val="en-GB"/>
        </w:rPr>
        <w:t xml:space="preserve"> J-L. </w:t>
      </w:r>
      <w:r w:rsidR="00D42F5D">
        <w:rPr>
          <w:color w:val="000000"/>
          <w:lang w:val="en-GB"/>
        </w:rPr>
        <w:t xml:space="preserve">(2022) </w:t>
      </w:r>
      <w:r w:rsidR="00D42F5D" w:rsidRPr="000C6656">
        <w:rPr>
          <w:color w:val="000000"/>
          <w:lang w:val="en-GB"/>
        </w:rPr>
        <w:t xml:space="preserve">Severe Childhood Malaria in Two Health Districts of Cuvette-Congo. Open Journal of </w:t>
      </w:r>
      <w:proofErr w:type="spellStart"/>
      <w:r w:rsidR="00D42F5D" w:rsidRPr="000C6656">
        <w:rPr>
          <w:color w:val="000000"/>
          <w:lang w:val="en-GB"/>
        </w:rPr>
        <w:t>Pediatrics</w:t>
      </w:r>
      <w:proofErr w:type="spellEnd"/>
      <w:r w:rsidR="00D42F5D" w:rsidRPr="000C6656">
        <w:rPr>
          <w:color w:val="000000"/>
          <w:lang w:val="en-GB"/>
        </w:rPr>
        <w:t xml:space="preserve">; 12: 582-593. </w:t>
      </w:r>
      <w:hyperlink r:id="rId9" w:history="1">
        <w:r w:rsidR="00D42F5D" w:rsidRPr="000C6656">
          <w:rPr>
            <w:color w:val="000000"/>
            <w:lang w:val="en-GB"/>
          </w:rPr>
          <w:t>https://doi.org/10.4236/ojped.2022.123061</w:t>
        </w:r>
      </w:hyperlink>
    </w:p>
    <w:p w14:paraId="132E3327" w14:textId="34C61A2A" w:rsidR="00D42F5D" w:rsidRPr="00E12795" w:rsidRDefault="00D42F5D" w:rsidP="00D42F5D">
      <w:pPr>
        <w:spacing w:after="80" w:line="360" w:lineRule="auto"/>
        <w:ind w:left="540" w:hanging="540"/>
        <w:jc w:val="both"/>
        <w:rPr>
          <w:color w:val="000000"/>
          <w:lang w:val="en-GB"/>
        </w:rPr>
      </w:pPr>
      <w:proofErr w:type="spellStart"/>
      <w:r w:rsidRPr="002404AB">
        <w:rPr>
          <w:color w:val="000000"/>
          <w:lang w:val="en-GB"/>
        </w:rPr>
        <w:t>Essomeyo</w:t>
      </w:r>
      <w:proofErr w:type="spellEnd"/>
      <w:r w:rsidRPr="002404AB">
        <w:rPr>
          <w:color w:val="000000"/>
          <w:lang w:val="en-GB"/>
        </w:rPr>
        <w:t xml:space="preserve"> </w:t>
      </w:r>
      <w:proofErr w:type="spellStart"/>
      <w:r w:rsidRPr="002404AB">
        <w:rPr>
          <w:color w:val="000000"/>
          <w:lang w:val="en-GB"/>
        </w:rPr>
        <w:t>Ngue</w:t>
      </w:r>
      <w:proofErr w:type="spellEnd"/>
      <w:r w:rsidRPr="002404AB">
        <w:rPr>
          <w:color w:val="000000"/>
          <w:lang w:val="en-GB"/>
        </w:rPr>
        <w:t xml:space="preserve"> </w:t>
      </w:r>
      <w:proofErr w:type="spellStart"/>
      <w:r w:rsidRPr="002404AB">
        <w:rPr>
          <w:color w:val="000000"/>
          <w:lang w:val="en-GB"/>
        </w:rPr>
        <w:t>Mebale</w:t>
      </w:r>
      <w:proofErr w:type="spellEnd"/>
      <w:r w:rsidRPr="002404AB">
        <w:rPr>
          <w:color w:val="000000"/>
          <w:lang w:val="en-GB"/>
        </w:rPr>
        <w:t xml:space="preserve"> M, </w:t>
      </w:r>
      <w:proofErr w:type="spellStart"/>
      <w:r w:rsidRPr="002404AB">
        <w:rPr>
          <w:color w:val="000000"/>
          <w:lang w:val="en-GB"/>
        </w:rPr>
        <w:t>Lembet</w:t>
      </w:r>
      <w:proofErr w:type="spellEnd"/>
      <w:r w:rsidRPr="002404AB">
        <w:rPr>
          <w:color w:val="000000"/>
          <w:lang w:val="en-GB"/>
        </w:rPr>
        <w:t xml:space="preserve"> </w:t>
      </w:r>
      <w:proofErr w:type="spellStart"/>
      <w:r w:rsidRPr="002404AB">
        <w:rPr>
          <w:color w:val="000000"/>
          <w:lang w:val="en-GB"/>
        </w:rPr>
        <w:t>Mikolo</w:t>
      </w:r>
      <w:proofErr w:type="spellEnd"/>
      <w:r w:rsidRPr="002404AB">
        <w:rPr>
          <w:color w:val="000000"/>
          <w:lang w:val="en-GB"/>
        </w:rPr>
        <w:t xml:space="preserve"> AM, Pemba M, </w:t>
      </w:r>
      <w:r w:rsidR="00F51ACA">
        <w:rPr>
          <w:color w:val="000000"/>
          <w:lang w:val="en-GB"/>
        </w:rPr>
        <w:t>and</w:t>
      </w:r>
      <w:r w:rsidRPr="002404AB">
        <w:rPr>
          <w:color w:val="000000"/>
          <w:lang w:val="en-GB"/>
        </w:rPr>
        <w:t xml:space="preserve"> </w:t>
      </w:r>
      <w:r w:rsidRPr="00F51ACA">
        <w:rPr>
          <w:i/>
          <w:iCs/>
          <w:color w:val="000000"/>
          <w:lang w:val="en-GB"/>
        </w:rPr>
        <w:t>al</w:t>
      </w:r>
      <w:r w:rsidRPr="002404AB">
        <w:rPr>
          <w:color w:val="000000"/>
          <w:lang w:val="en-GB"/>
        </w:rPr>
        <w:t xml:space="preserve">. </w:t>
      </w:r>
      <w:r w:rsidRPr="00E12795">
        <w:rPr>
          <w:color w:val="000000"/>
          <w:lang w:val="en-GB"/>
        </w:rPr>
        <w:t xml:space="preserve">(2026) Co-infections among children hospitalised with severe Plasmodium falciparum malaria in Gabon: a retrospective hospital-based study. </w:t>
      </w:r>
      <w:proofErr w:type="spellStart"/>
      <w:r w:rsidRPr="00E12795">
        <w:rPr>
          <w:color w:val="000000"/>
          <w:lang w:val="en-GB"/>
        </w:rPr>
        <w:t>Microbiol</w:t>
      </w:r>
      <w:proofErr w:type="spellEnd"/>
      <w:r w:rsidRPr="00E12795">
        <w:rPr>
          <w:color w:val="000000"/>
          <w:lang w:val="en-GB"/>
        </w:rPr>
        <w:t xml:space="preserve"> Infect Dis.;10(1):1–6.</w:t>
      </w:r>
    </w:p>
    <w:p w14:paraId="6E6D26A6" w14:textId="77777777" w:rsidR="00D42F5D" w:rsidRDefault="00D42F5D" w:rsidP="00D42F5D">
      <w:pPr>
        <w:spacing w:after="80" w:line="360" w:lineRule="auto"/>
        <w:ind w:left="540" w:hanging="540"/>
        <w:jc w:val="both"/>
        <w:rPr>
          <w:color w:val="000000"/>
          <w:lang w:val="en-GB"/>
        </w:rPr>
      </w:pPr>
      <w:r w:rsidRPr="00FC2734">
        <w:rPr>
          <w:color w:val="000000"/>
          <w:lang w:val="en-GB"/>
        </w:rPr>
        <w:t xml:space="preserve">Gomez-Pérez GP, </w:t>
      </w:r>
      <w:proofErr w:type="spellStart"/>
      <w:r w:rsidRPr="00FC2734">
        <w:rPr>
          <w:color w:val="000000"/>
          <w:lang w:val="en-GB"/>
        </w:rPr>
        <w:t>Bruggen</w:t>
      </w:r>
      <w:proofErr w:type="spellEnd"/>
      <w:r w:rsidRPr="00FC2734">
        <w:rPr>
          <w:color w:val="000000"/>
          <w:lang w:val="en-GB"/>
        </w:rPr>
        <w:t xml:space="preserve"> RV, </w:t>
      </w:r>
      <w:proofErr w:type="spellStart"/>
      <w:r w:rsidRPr="00FC2734">
        <w:rPr>
          <w:color w:val="000000"/>
          <w:lang w:val="en-GB"/>
        </w:rPr>
        <w:t>Grobusch</w:t>
      </w:r>
      <w:proofErr w:type="spellEnd"/>
      <w:r w:rsidRPr="00FC2734">
        <w:rPr>
          <w:color w:val="000000"/>
          <w:lang w:val="en-GB"/>
        </w:rPr>
        <w:t xml:space="preserve"> MP, and </w:t>
      </w:r>
      <w:proofErr w:type="spellStart"/>
      <w:r w:rsidRPr="00FC2734">
        <w:rPr>
          <w:color w:val="000000"/>
          <w:lang w:val="en-GB"/>
        </w:rPr>
        <w:t>Dobano</w:t>
      </w:r>
      <w:proofErr w:type="spellEnd"/>
      <w:r w:rsidRPr="00FC2734">
        <w:rPr>
          <w:color w:val="000000"/>
          <w:lang w:val="en-GB"/>
        </w:rPr>
        <w:t xml:space="preserve"> C.</w:t>
      </w:r>
      <w:r>
        <w:rPr>
          <w:color w:val="000000"/>
          <w:lang w:val="en-GB"/>
        </w:rPr>
        <w:t xml:space="preserve"> (2014)</w:t>
      </w:r>
      <w:r w:rsidRPr="00FC2734">
        <w:rPr>
          <w:color w:val="000000"/>
          <w:lang w:val="en-GB"/>
        </w:rPr>
        <w:t xml:space="preserve"> Plasmodium falciparum malaria and invasive bacterial co-infection in young </w:t>
      </w:r>
      <w:proofErr w:type="spellStart"/>
      <w:r w:rsidRPr="00FC2734">
        <w:rPr>
          <w:color w:val="000000"/>
          <w:lang w:val="en-GB"/>
        </w:rPr>
        <w:t>african</w:t>
      </w:r>
      <w:proofErr w:type="spellEnd"/>
      <w:r w:rsidRPr="00FC2734">
        <w:rPr>
          <w:color w:val="000000"/>
          <w:lang w:val="en-GB"/>
        </w:rPr>
        <w:t xml:space="preserve"> children: the dysfunctional spleen hypothesis. Malar J; 13: 335. </w:t>
      </w:r>
      <w:proofErr w:type="spellStart"/>
      <w:r w:rsidRPr="00FC2734">
        <w:rPr>
          <w:color w:val="000000"/>
          <w:lang w:val="en-GB"/>
        </w:rPr>
        <w:t>doi</w:t>
      </w:r>
      <w:proofErr w:type="spellEnd"/>
      <w:r w:rsidRPr="00FC2734">
        <w:rPr>
          <w:color w:val="000000"/>
          <w:lang w:val="en-GB"/>
        </w:rPr>
        <w:t>: 10.1186/1475-2875-13-335</w:t>
      </w:r>
    </w:p>
    <w:p w14:paraId="6C70AA15" w14:textId="77777777" w:rsidR="00D42F5D" w:rsidRDefault="00D42F5D" w:rsidP="00D42F5D">
      <w:pPr>
        <w:spacing w:after="80" w:line="360" w:lineRule="auto"/>
        <w:ind w:left="540" w:hanging="540"/>
        <w:jc w:val="both"/>
        <w:rPr>
          <w:color w:val="000000"/>
          <w:lang w:val="en-GB"/>
        </w:rPr>
      </w:pPr>
      <w:r w:rsidRPr="00E12795">
        <w:rPr>
          <w:color w:val="000000"/>
          <w:lang w:val="en-GB"/>
        </w:rPr>
        <w:t xml:space="preserve">Kabaria CW, Gilbert M, Noor AM, Snow RW, Linard C. (2017) The impact of urbanization and population density on childhood Plasmodium falciparum parasite prevalence rates in Africa. Malar </w:t>
      </w:r>
      <w:proofErr w:type="gramStart"/>
      <w:r w:rsidRPr="00E12795">
        <w:rPr>
          <w:color w:val="000000"/>
          <w:lang w:val="en-GB"/>
        </w:rPr>
        <w:t>J.;16:49</w:t>
      </w:r>
      <w:proofErr w:type="gramEnd"/>
      <w:r w:rsidRPr="00E12795">
        <w:rPr>
          <w:color w:val="000000"/>
          <w:lang w:val="en-GB"/>
        </w:rPr>
        <w:t>. doi:10.1186/s12936-017-1694-2. PMID: 28125996</w:t>
      </w:r>
    </w:p>
    <w:p w14:paraId="7DE72377" w14:textId="77777777" w:rsidR="00D42F5D" w:rsidRPr="00E12795" w:rsidRDefault="00D42F5D" w:rsidP="00D42F5D">
      <w:pPr>
        <w:spacing w:after="80" w:line="360" w:lineRule="auto"/>
        <w:ind w:left="540" w:hanging="540"/>
        <w:jc w:val="both"/>
        <w:rPr>
          <w:color w:val="000000"/>
          <w:lang w:val="en-GB"/>
        </w:rPr>
      </w:pPr>
      <w:proofErr w:type="spellStart"/>
      <w:r w:rsidRPr="00E12795">
        <w:rPr>
          <w:color w:val="000000"/>
          <w:lang w:val="en-GB"/>
        </w:rPr>
        <w:t>Koukouikila-Koussounda</w:t>
      </w:r>
      <w:proofErr w:type="spellEnd"/>
      <w:r w:rsidRPr="00E12795">
        <w:rPr>
          <w:color w:val="000000"/>
          <w:lang w:val="en-GB"/>
        </w:rPr>
        <w:t xml:space="preserve"> F, </w:t>
      </w:r>
      <w:proofErr w:type="spellStart"/>
      <w:r w:rsidRPr="00E12795">
        <w:rPr>
          <w:color w:val="000000"/>
          <w:lang w:val="en-GB"/>
        </w:rPr>
        <w:t>Ntoumi</w:t>
      </w:r>
      <w:proofErr w:type="spellEnd"/>
      <w:r w:rsidRPr="00E12795">
        <w:rPr>
          <w:color w:val="000000"/>
          <w:lang w:val="en-GB"/>
        </w:rPr>
        <w:t xml:space="preserve"> F. (2016) Malaria epidemiological research in the Republic of Congo. Malar </w:t>
      </w:r>
      <w:proofErr w:type="gramStart"/>
      <w:r w:rsidRPr="00E12795">
        <w:rPr>
          <w:color w:val="000000"/>
          <w:lang w:val="en-GB"/>
        </w:rPr>
        <w:t>J.;15:616</w:t>
      </w:r>
      <w:proofErr w:type="gramEnd"/>
      <w:r w:rsidRPr="00E12795">
        <w:rPr>
          <w:color w:val="000000"/>
          <w:lang w:val="en-GB"/>
        </w:rPr>
        <w:t>. doi:10.1186/s12936-016-1617-7. PMID: 28007006</w:t>
      </w:r>
    </w:p>
    <w:p w14:paraId="2748980C" w14:textId="77777777" w:rsidR="00D42F5D" w:rsidRDefault="00D42F5D" w:rsidP="00D42F5D">
      <w:pPr>
        <w:spacing w:after="80" w:line="360" w:lineRule="auto"/>
        <w:ind w:left="540" w:hanging="540"/>
        <w:jc w:val="both"/>
        <w:rPr>
          <w:color w:val="000000"/>
          <w:lang w:val="en-GB"/>
        </w:rPr>
      </w:pPr>
      <w:r w:rsidRPr="000C6656">
        <w:rPr>
          <w:color w:val="000000"/>
          <w:lang w:val="en-GB"/>
        </w:rPr>
        <w:t xml:space="preserve">Lassina, D., </w:t>
      </w:r>
      <w:proofErr w:type="spellStart"/>
      <w:r w:rsidRPr="000C6656">
        <w:rPr>
          <w:color w:val="000000"/>
          <w:lang w:val="en-GB"/>
        </w:rPr>
        <w:t>Lamoussa</w:t>
      </w:r>
      <w:proofErr w:type="spellEnd"/>
      <w:r w:rsidRPr="000C6656">
        <w:rPr>
          <w:color w:val="000000"/>
          <w:lang w:val="en-GB"/>
        </w:rPr>
        <w:t xml:space="preserve">, T., </w:t>
      </w:r>
      <w:proofErr w:type="spellStart"/>
      <w:r w:rsidRPr="000C6656">
        <w:rPr>
          <w:color w:val="000000"/>
          <w:lang w:val="en-GB"/>
        </w:rPr>
        <w:t>Dieudonné</w:t>
      </w:r>
      <w:proofErr w:type="spellEnd"/>
      <w:r w:rsidRPr="000C6656">
        <w:rPr>
          <w:color w:val="000000"/>
          <w:lang w:val="en-GB"/>
        </w:rPr>
        <w:t xml:space="preserve">, H., Hermann, N., Emmanuel, D., Rokiatou, B., Aristide, D., Martine, D., Pélagie, K. and Ali, O. </w:t>
      </w:r>
      <w:r>
        <w:rPr>
          <w:color w:val="000000"/>
          <w:lang w:val="en-GB"/>
        </w:rPr>
        <w:t xml:space="preserve">(2026) </w:t>
      </w:r>
      <w:r w:rsidRPr="000C6656">
        <w:rPr>
          <w:color w:val="000000"/>
          <w:lang w:val="en-GB"/>
        </w:rPr>
        <w:t xml:space="preserve">Severe Malaria Comorbidity and Bacterial Infections in Children at the </w:t>
      </w:r>
      <w:proofErr w:type="spellStart"/>
      <w:r w:rsidRPr="000C6656">
        <w:rPr>
          <w:color w:val="000000"/>
          <w:lang w:val="en-GB"/>
        </w:rPr>
        <w:t>Pediatric</w:t>
      </w:r>
      <w:proofErr w:type="spellEnd"/>
      <w:r w:rsidRPr="000C6656">
        <w:rPr>
          <w:color w:val="000000"/>
          <w:lang w:val="en-GB"/>
        </w:rPr>
        <w:t xml:space="preserve"> Department of </w:t>
      </w:r>
      <w:proofErr w:type="spellStart"/>
      <w:r w:rsidRPr="000C6656">
        <w:rPr>
          <w:color w:val="000000"/>
          <w:lang w:val="en-GB"/>
        </w:rPr>
        <w:t>Tengandogo</w:t>
      </w:r>
      <w:proofErr w:type="spellEnd"/>
      <w:r w:rsidRPr="000C6656">
        <w:rPr>
          <w:color w:val="000000"/>
          <w:lang w:val="en-GB"/>
        </w:rPr>
        <w:t xml:space="preserve"> University Hospital. Open Journal of </w:t>
      </w:r>
      <w:proofErr w:type="spellStart"/>
      <w:r w:rsidRPr="000C6656">
        <w:rPr>
          <w:color w:val="000000"/>
          <w:lang w:val="en-GB"/>
        </w:rPr>
        <w:t>Pediatrics</w:t>
      </w:r>
      <w:proofErr w:type="spellEnd"/>
      <w:r w:rsidRPr="000C6656">
        <w:rPr>
          <w:color w:val="000000"/>
          <w:lang w:val="en-GB"/>
        </w:rPr>
        <w:t xml:space="preserve">; 16: 169-176. </w:t>
      </w:r>
      <w:proofErr w:type="spellStart"/>
      <w:r w:rsidRPr="000C6656">
        <w:rPr>
          <w:color w:val="000000"/>
          <w:lang w:val="en-GB"/>
        </w:rPr>
        <w:t>doi</w:t>
      </w:r>
      <w:proofErr w:type="spellEnd"/>
      <w:r w:rsidRPr="000C6656">
        <w:rPr>
          <w:color w:val="000000"/>
          <w:lang w:val="en-GB"/>
        </w:rPr>
        <w:t>: 10.4236/ojped.2026.161017</w:t>
      </w:r>
    </w:p>
    <w:p w14:paraId="26FDDC1A" w14:textId="77777777" w:rsidR="00D42F5D" w:rsidRPr="00E12795" w:rsidRDefault="00D42F5D" w:rsidP="00D42F5D">
      <w:pPr>
        <w:spacing w:after="80" w:line="360" w:lineRule="auto"/>
        <w:ind w:left="540" w:hanging="540"/>
        <w:jc w:val="both"/>
        <w:rPr>
          <w:color w:val="000000"/>
          <w:lang w:val="en-GB"/>
        </w:rPr>
      </w:pPr>
      <w:proofErr w:type="spellStart"/>
      <w:r w:rsidRPr="00D23013">
        <w:rPr>
          <w:color w:val="000000"/>
        </w:rPr>
        <w:t>Mayengue</w:t>
      </w:r>
      <w:proofErr w:type="spellEnd"/>
      <w:r w:rsidRPr="00D23013">
        <w:rPr>
          <w:color w:val="000000"/>
        </w:rPr>
        <w:t xml:space="preserve"> PI, </w:t>
      </w:r>
      <w:proofErr w:type="spellStart"/>
      <w:r w:rsidRPr="00D23013">
        <w:rPr>
          <w:color w:val="000000"/>
        </w:rPr>
        <w:t>Batsimba</w:t>
      </w:r>
      <w:proofErr w:type="spellEnd"/>
      <w:r w:rsidRPr="00D23013">
        <w:rPr>
          <w:color w:val="000000"/>
        </w:rPr>
        <w:t xml:space="preserve"> DK, Niama RF, et al. </w:t>
      </w:r>
      <w:r w:rsidRPr="00E12795">
        <w:rPr>
          <w:color w:val="000000"/>
          <w:lang w:val="en-GB"/>
        </w:rPr>
        <w:t xml:space="preserve">(2020) Variation of prevalence of malaria, parasite density and the multiplicity of Plasmodium falciparum infection throughout the year at three different health </w:t>
      </w:r>
      <w:proofErr w:type="spellStart"/>
      <w:r w:rsidRPr="00E12795">
        <w:rPr>
          <w:color w:val="000000"/>
          <w:lang w:val="en-GB"/>
        </w:rPr>
        <w:t>centers</w:t>
      </w:r>
      <w:proofErr w:type="spellEnd"/>
      <w:r w:rsidRPr="00E12795">
        <w:rPr>
          <w:color w:val="000000"/>
          <w:lang w:val="en-GB"/>
        </w:rPr>
        <w:t xml:space="preserve"> in Brazzaville, Republic of Congo. BMC Infect </w:t>
      </w:r>
      <w:proofErr w:type="gramStart"/>
      <w:r w:rsidRPr="00E12795">
        <w:rPr>
          <w:color w:val="000000"/>
          <w:lang w:val="en-GB"/>
        </w:rPr>
        <w:t>Dis.;20:168</w:t>
      </w:r>
      <w:proofErr w:type="gramEnd"/>
      <w:r w:rsidRPr="00E12795">
        <w:rPr>
          <w:color w:val="000000"/>
          <w:lang w:val="en-GB"/>
        </w:rPr>
        <w:t>. doi:10.1186/s12879-020-4913-3. PMID: 32122305</w:t>
      </w:r>
    </w:p>
    <w:p w14:paraId="178D14FB" w14:textId="77777777" w:rsidR="00D42F5D" w:rsidRPr="00E12795" w:rsidRDefault="00D42F5D" w:rsidP="00D42F5D">
      <w:pPr>
        <w:spacing w:after="80" w:line="360" w:lineRule="auto"/>
        <w:ind w:left="540" w:hanging="540"/>
        <w:jc w:val="both"/>
        <w:rPr>
          <w:color w:val="000000"/>
          <w:lang w:val="en-GB"/>
        </w:rPr>
      </w:pPr>
      <w:proofErr w:type="spellStart"/>
      <w:r w:rsidRPr="002404AB">
        <w:rPr>
          <w:color w:val="000000"/>
        </w:rPr>
        <w:lastRenderedPageBreak/>
        <w:t>Merga</w:t>
      </w:r>
      <w:proofErr w:type="spellEnd"/>
      <w:r w:rsidRPr="002404AB">
        <w:rPr>
          <w:color w:val="000000"/>
        </w:rPr>
        <w:t xml:space="preserve"> H, </w:t>
      </w:r>
      <w:proofErr w:type="spellStart"/>
      <w:r w:rsidRPr="002404AB">
        <w:rPr>
          <w:color w:val="000000"/>
        </w:rPr>
        <w:t>Degefa</w:t>
      </w:r>
      <w:proofErr w:type="spellEnd"/>
      <w:r w:rsidRPr="002404AB">
        <w:rPr>
          <w:color w:val="000000"/>
        </w:rPr>
        <w:t xml:space="preserve"> T, Birhanu Z, et al. </w:t>
      </w:r>
      <w:r w:rsidRPr="00E12795">
        <w:rPr>
          <w:color w:val="000000"/>
          <w:lang w:val="en-GB"/>
        </w:rPr>
        <w:t xml:space="preserve">(2025) Urban malaria in sub-Saharan Africa: a scoping review of epidemiologic studies. Malar </w:t>
      </w:r>
      <w:proofErr w:type="gramStart"/>
      <w:r w:rsidRPr="00E12795">
        <w:rPr>
          <w:color w:val="000000"/>
          <w:lang w:val="en-GB"/>
        </w:rPr>
        <w:t>J.;24:126</w:t>
      </w:r>
      <w:proofErr w:type="gramEnd"/>
      <w:r w:rsidRPr="00E12795">
        <w:rPr>
          <w:color w:val="000000"/>
          <w:lang w:val="en-GB"/>
        </w:rPr>
        <w:t>. doi:10.1186/s12936-025-05368-9. PMID: 40253345</w:t>
      </w:r>
    </w:p>
    <w:p w14:paraId="08488CE1" w14:textId="77777777" w:rsidR="00D42F5D" w:rsidRDefault="00D42F5D" w:rsidP="00D42F5D">
      <w:pPr>
        <w:spacing w:after="80" w:line="360" w:lineRule="auto"/>
        <w:ind w:left="540" w:hanging="540"/>
        <w:jc w:val="both"/>
        <w:rPr>
          <w:color w:val="000000"/>
          <w:lang w:val="en-GB"/>
        </w:rPr>
      </w:pPr>
      <w:proofErr w:type="spellStart"/>
      <w:r w:rsidRPr="002404AB">
        <w:rPr>
          <w:color w:val="000000"/>
        </w:rPr>
        <w:t>Moutombi</w:t>
      </w:r>
      <w:proofErr w:type="spellEnd"/>
      <w:r w:rsidRPr="002404AB">
        <w:rPr>
          <w:color w:val="000000"/>
        </w:rPr>
        <w:t xml:space="preserve"> </w:t>
      </w:r>
      <w:proofErr w:type="spellStart"/>
      <w:r w:rsidRPr="002404AB">
        <w:rPr>
          <w:color w:val="000000"/>
        </w:rPr>
        <w:t>Ditombi</w:t>
      </w:r>
      <w:proofErr w:type="spellEnd"/>
      <w:r w:rsidRPr="002404AB">
        <w:rPr>
          <w:color w:val="000000"/>
        </w:rPr>
        <w:t xml:space="preserve"> BC, </w:t>
      </w:r>
      <w:proofErr w:type="spellStart"/>
      <w:r w:rsidRPr="002404AB">
        <w:rPr>
          <w:color w:val="000000"/>
        </w:rPr>
        <w:t>Lembet</w:t>
      </w:r>
      <w:proofErr w:type="spellEnd"/>
      <w:r w:rsidRPr="002404AB">
        <w:rPr>
          <w:color w:val="000000"/>
        </w:rPr>
        <w:t xml:space="preserve"> </w:t>
      </w:r>
      <w:proofErr w:type="spellStart"/>
      <w:r w:rsidRPr="002404AB">
        <w:rPr>
          <w:color w:val="000000"/>
        </w:rPr>
        <w:t>Mikolo</w:t>
      </w:r>
      <w:proofErr w:type="spellEnd"/>
      <w:r w:rsidRPr="002404AB">
        <w:rPr>
          <w:color w:val="000000"/>
        </w:rPr>
        <w:t xml:space="preserve"> AM, </w:t>
      </w:r>
      <w:proofErr w:type="spellStart"/>
      <w:r w:rsidRPr="002404AB">
        <w:rPr>
          <w:color w:val="000000"/>
        </w:rPr>
        <w:t>Ndong</w:t>
      </w:r>
      <w:proofErr w:type="spellEnd"/>
      <w:r w:rsidRPr="002404AB">
        <w:rPr>
          <w:color w:val="000000"/>
        </w:rPr>
        <w:t xml:space="preserve"> </w:t>
      </w:r>
      <w:proofErr w:type="spellStart"/>
      <w:r w:rsidRPr="002404AB">
        <w:rPr>
          <w:color w:val="000000"/>
        </w:rPr>
        <w:t>Ngomo</w:t>
      </w:r>
      <w:proofErr w:type="spellEnd"/>
      <w:r w:rsidRPr="002404AB">
        <w:rPr>
          <w:color w:val="000000"/>
        </w:rPr>
        <w:t xml:space="preserve"> JM, et al. </w:t>
      </w:r>
      <w:r w:rsidRPr="00E12795">
        <w:rPr>
          <w:color w:val="000000"/>
          <w:lang w:val="en-GB"/>
        </w:rPr>
        <w:t xml:space="preserve">(2026) Clinical and biological features of complicated and asymptomatic malaria among people living with HIV and HIV-negative adults in Libreville, Gabon. </w:t>
      </w:r>
      <w:proofErr w:type="spellStart"/>
      <w:r w:rsidRPr="00E12795">
        <w:rPr>
          <w:color w:val="000000"/>
          <w:lang w:val="en-GB"/>
        </w:rPr>
        <w:t>PLoS</w:t>
      </w:r>
      <w:proofErr w:type="spellEnd"/>
      <w:r w:rsidRPr="00E12795">
        <w:rPr>
          <w:color w:val="000000"/>
          <w:lang w:val="en-GB"/>
        </w:rPr>
        <w:t xml:space="preserve"> One. </w:t>
      </w:r>
      <w:proofErr w:type="gramStart"/>
      <w:r w:rsidRPr="00E12795">
        <w:rPr>
          <w:color w:val="000000"/>
          <w:lang w:val="en-GB"/>
        </w:rPr>
        <w:t>doi:10.1371/journal.pone</w:t>
      </w:r>
      <w:proofErr w:type="gramEnd"/>
      <w:r w:rsidRPr="00E12795">
        <w:rPr>
          <w:color w:val="000000"/>
          <w:lang w:val="en-GB"/>
        </w:rPr>
        <w:t>.0327068</w:t>
      </w:r>
    </w:p>
    <w:p w14:paraId="625136BA" w14:textId="77777777" w:rsidR="00D42F5D" w:rsidRPr="00E12795" w:rsidRDefault="00D42F5D" w:rsidP="00D42F5D">
      <w:pPr>
        <w:spacing w:after="80" w:line="360" w:lineRule="auto"/>
        <w:ind w:left="540" w:hanging="540"/>
        <w:jc w:val="both"/>
        <w:rPr>
          <w:color w:val="000000"/>
          <w:lang w:val="en-GB"/>
        </w:rPr>
      </w:pPr>
      <w:r w:rsidRPr="00E12795">
        <w:rPr>
          <w:color w:val="000000"/>
          <w:lang w:val="en-GB"/>
        </w:rPr>
        <w:t xml:space="preserve">Mousa A, Al-Taiar A, Anstey NM, et al. (2020) The impact of delayed treatment of uncomplicated P. falciparum malaria on progression to severe malaria: a systematic review and a pooled multicentre individual-patient meta-analysis. </w:t>
      </w:r>
      <w:proofErr w:type="spellStart"/>
      <w:r w:rsidRPr="00E12795">
        <w:rPr>
          <w:color w:val="000000"/>
          <w:lang w:val="en-GB"/>
        </w:rPr>
        <w:t>PLoS</w:t>
      </w:r>
      <w:proofErr w:type="spellEnd"/>
      <w:r w:rsidRPr="00E12795">
        <w:rPr>
          <w:color w:val="000000"/>
          <w:lang w:val="en-GB"/>
        </w:rPr>
        <w:t xml:space="preserve"> Med.;17(10</w:t>
      </w:r>
      <w:proofErr w:type="gramStart"/>
      <w:r w:rsidRPr="00E12795">
        <w:rPr>
          <w:color w:val="000000"/>
          <w:lang w:val="en-GB"/>
        </w:rPr>
        <w:t>):e</w:t>
      </w:r>
      <w:proofErr w:type="gramEnd"/>
      <w:r w:rsidRPr="00E12795">
        <w:rPr>
          <w:color w:val="000000"/>
          <w:lang w:val="en-GB"/>
        </w:rPr>
        <w:t xml:space="preserve">1003359. </w:t>
      </w:r>
      <w:proofErr w:type="gramStart"/>
      <w:r w:rsidRPr="00E12795">
        <w:rPr>
          <w:color w:val="000000"/>
          <w:lang w:val="en-GB"/>
        </w:rPr>
        <w:t>doi:10.1371/journal.pmed</w:t>
      </w:r>
      <w:proofErr w:type="gramEnd"/>
      <w:r w:rsidRPr="00E12795">
        <w:rPr>
          <w:color w:val="000000"/>
          <w:lang w:val="en-GB"/>
        </w:rPr>
        <w:t>.1003359. PMID: 33075101</w:t>
      </w:r>
    </w:p>
    <w:p w14:paraId="60AD771A" w14:textId="77777777" w:rsidR="00D42F5D" w:rsidRDefault="00D42F5D" w:rsidP="00D42F5D">
      <w:pPr>
        <w:spacing w:after="80" w:line="360" w:lineRule="auto"/>
        <w:ind w:left="540" w:hanging="540"/>
        <w:jc w:val="both"/>
        <w:rPr>
          <w:color w:val="000000"/>
          <w:lang w:val="en-GB"/>
        </w:rPr>
      </w:pPr>
      <w:proofErr w:type="spellStart"/>
      <w:r w:rsidRPr="00FC2734">
        <w:rPr>
          <w:color w:val="000000"/>
          <w:lang w:val="en-GB"/>
        </w:rPr>
        <w:t>Ngwengi</w:t>
      </w:r>
      <w:proofErr w:type="spellEnd"/>
      <w:r w:rsidRPr="00FC2734">
        <w:rPr>
          <w:color w:val="000000"/>
          <w:lang w:val="en-GB"/>
        </w:rPr>
        <w:t xml:space="preserve"> Y, </w:t>
      </w:r>
      <w:proofErr w:type="spellStart"/>
      <w:r w:rsidRPr="00FC2734">
        <w:rPr>
          <w:color w:val="000000"/>
          <w:lang w:val="en-GB"/>
        </w:rPr>
        <w:t>Ngaba</w:t>
      </w:r>
      <w:proofErr w:type="spellEnd"/>
      <w:r w:rsidRPr="00FC2734">
        <w:rPr>
          <w:color w:val="000000"/>
          <w:lang w:val="en-GB"/>
        </w:rPr>
        <w:t xml:space="preserve"> GP, Nida M, </w:t>
      </w:r>
      <w:proofErr w:type="spellStart"/>
      <w:r w:rsidRPr="00FC2734">
        <w:rPr>
          <w:color w:val="000000"/>
          <w:lang w:val="en-GB"/>
        </w:rPr>
        <w:t>Enyama</w:t>
      </w:r>
      <w:proofErr w:type="spellEnd"/>
      <w:r w:rsidRPr="00FC2734">
        <w:rPr>
          <w:color w:val="000000"/>
          <w:lang w:val="en-GB"/>
        </w:rPr>
        <w:t xml:space="preserve"> D (2023) Evaluation of CRP as a marker for bacterial infection and malaria in febrile children at the Douala </w:t>
      </w:r>
      <w:proofErr w:type="spellStart"/>
      <w:r w:rsidRPr="00FC2734">
        <w:rPr>
          <w:color w:val="000000"/>
          <w:lang w:val="en-GB"/>
        </w:rPr>
        <w:t>Gyneco</w:t>
      </w:r>
      <w:proofErr w:type="spellEnd"/>
      <w:r w:rsidRPr="00FC2734">
        <w:rPr>
          <w:color w:val="000000"/>
          <w:lang w:val="en-GB"/>
        </w:rPr>
        <w:t xml:space="preserve">-Obstetric and </w:t>
      </w:r>
      <w:proofErr w:type="spellStart"/>
      <w:r w:rsidRPr="00FC2734">
        <w:rPr>
          <w:color w:val="000000"/>
          <w:lang w:val="en-GB"/>
        </w:rPr>
        <w:t>Pediatric</w:t>
      </w:r>
      <w:proofErr w:type="spellEnd"/>
      <w:r w:rsidRPr="00FC2734">
        <w:rPr>
          <w:color w:val="000000"/>
          <w:lang w:val="en-GB"/>
        </w:rPr>
        <w:t xml:space="preserve"> Hospital. </w:t>
      </w:r>
      <w:proofErr w:type="spellStart"/>
      <w:r w:rsidRPr="00FC2734">
        <w:rPr>
          <w:color w:val="000000"/>
          <w:lang w:val="en-GB"/>
        </w:rPr>
        <w:t>PLoS</w:t>
      </w:r>
      <w:proofErr w:type="spellEnd"/>
      <w:r w:rsidRPr="00FC2734">
        <w:rPr>
          <w:color w:val="000000"/>
          <w:lang w:val="en-GB"/>
        </w:rPr>
        <w:t xml:space="preserve"> One 18(7): e0289012. </w:t>
      </w:r>
      <w:hyperlink r:id="rId10" w:history="1">
        <w:r w:rsidRPr="00FC2734">
          <w:rPr>
            <w:color w:val="000000"/>
            <w:lang w:val="en-GB"/>
          </w:rPr>
          <w:t>https://doi.org/10.1371/journal.pone.0289012</w:t>
        </w:r>
      </w:hyperlink>
    </w:p>
    <w:p w14:paraId="107D7E6D" w14:textId="33242FB1" w:rsidR="00D42F5D" w:rsidRPr="002404AB" w:rsidRDefault="00D42F5D" w:rsidP="00D42F5D">
      <w:pPr>
        <w:spacing w:after="80" w:line="360" w:lineRule="auto"/>
        <w:ind w:left="540" w:hanging="540"/>
        <w:jc w:val="both"/>
        <w:rPr>
          <w:color w:val="000000"/>
        </w:rPr>
      </w:pPr>
      <w:r w:rsidRPr="00FC2734">
        <w:rPr>
          <w:color w:val="000000"/>
          <w:lang w:val="en-GB"/>
        </w:rPr>
        <w:t xml:space="preserve">Ramirez-Plascencia HHF, Colima-Fausto AG, </w:t>
      </w:r>
      <w:proofErr w:type="spellStart"/>
      <w:r w:rsidRPr="00FC2734">
        <w:rPr>
          <w:color w:val="000000"/>
          <w:lang w:val="en-GB"/>
        </w:rPr>
        <w:t>Licona-Lasteros</w:t>
      </w:r>
      <w:proofErr w:type="spellEnd"/>
      <w:r w:rsidRPr="00FC2734">
        <w:rPr>
          <w:color w:val="000000"/>
          <w:lang w:val="en-GB"/>
        </w:rPr>
        <w:t xml:space="preserve"> KC, Diaz-Zaragoza M, Cazarez-Navarro G, Macias-Barragan JG and Rodriguez-Preciado SY. </w:t>
      </w:r>
      <w:r>
        <w:rPr>
          <w:color w:val="000000"/>
          <w:lang w:val="en-GB"/>
        </w:rPr>
        <w:t xml:space="preserve">(2025) </w:t>
      </w:r>
      <w:r w:rsidRPr="00FC2734">
        <w:rPr>
          <w:color w:val="000000"/>
          <w:lang w:val="en-GB"/>
        </w:rPr>
        <w:t xml:space="preserve">Presence of Microorganisms in the environment: One health approach. Microorganisms; 13: 2435. </w:t>
      </w:r>
      <w:hyperlink r:id="rId11" w:history="1">
        <w:r w:rsidRPr="002404AB">
          <w:rPr>
            <w:color w:val="000000"/>
          </w:rPr>
          <w:t>https://doi.org/10.3390/microorganisms13112435</w:t>
        </w:r>
      </w:hyperlink>
    </w:p>
    <w:p w14:paraId="3967C782" w14:textId="426EE3C1" w:rsidR="00D42F5D" w:rsidRPr="00E12795" w:rsidRDefault="00D42F5D" w:rsidP="00D42F5D">
      <w:pPr>
        <w:spacing w:after="80" w:line="360" w:lineRule="auto"/>
        <w:ind w:left="540" w:hanging="540"/>
        <w:jc w:val="both"/>
        <w:rPr>
          <w:color w:val="000000"/>
          <w:lang w:val="en-GB"/>
        </w:rPr>
      </w:pPr>
      <w:proofErr w:type="spellStart"/>
      <w:r w:rsidRPr="002404AB">
        <w:rPr>
          <w:color w:val="000000"/>
        </w:rPr>
        <w:t>Tesema</w:t>
      </w:r>
      <w:proofErr w:type="spellEnd"/>
      <w:r w:rsidRPr="002404AB">
        <w:rPr>
          <w:color w:val="000000"/>
        </w:rPr>
        <w:t xml:space="preserve"> GA, </w:t>
      </w:r>
      <w:proofErr w:type="spellStart"/>
      <w:r w:rsidRPr="002404AB">
        <w:rPr>
          <w:color w:val="000000"/>
        </w:rPr>
        <w:t>Kibret</w:t>
      </w:r>
      <w:proofErr w:type="spellEnd"/>
      <w:r w:rsidRPr="002404AB">
        <w:rPr>
          <w:color w:val="000000"/>
        </w:rPr>
        <w:t xml:space="preserve"> GD, </w:t>
      </w:r>
      <w:proofErr w:type="spellStart"/>
      <w:r w:rsidRPr="002404AB">
        <w:rPr>
          <w:color w:val="000000"/>
        </w:rPr>
        <w:t>Worku</w:t>
      </w:r>
      <w:proofErr w:type="spellEnd"/>
      <w:r w:rsidRPr="002404AB">
        <w:rPr>
          <w:color w:val="000000"/>
        </w:rPr>
        <w:t xml:space="preserve"> MG, et al. </w:t>
      </w:r>
      <w:r w:rsidRPr="00E12795">
        <w:rPr>
          <w:color w:val="000000"/>
          <w:lang w:val="en-GB"/>
        </w:rPr>
        <w:t xml:space="preserve">(2023) Pooled prevalence and risk factors of malaria among children aged 6–59 months in 13 sub-Saharan African countries: a multilevel analysis. </w:t>
      </w:r>
      <w:proofErr w:type="spellStart"/>
      <w:r w:rsidRPr="00E12795">
        <w:rPr>
          <w:color w:val="000000"/>
          <w:lang w:val="en-GB"/>
        </w:rPr>
        <w:t>PLoS</w:t>
      </w:r>
      <w:proofErr w:type="spellEnd"/>
      <w:r w:rsidRPr="00E12795">
        <w:rPr>
          <w:color w:val="000000"/>
          <w:lang w:val="en-GB"/>
        </w:rPr>
        <w:t xml:space="preserve"> One.;18(5</w:t>
      </w:r>
      <w:proofErr w:type="gramStart"/>
      <w:r w:rsidRPr="00E12795">
        <w:rPr>
          <w:color w:val="000000"/>
          <w:lang w:val="en-GB"/>
        </w:rPr>
        <w:t>):e</w:t>
      </w:r>
      <w:proofErr w:type="gramEnd"/>
      <w:r w:rsidRPr="00E12795">
        <w:rPr>
          <w:color w:val="000000"/>
          <w:lang w:val="en-GB"/>
        </w:rPr>
        <w:t xml:space="preserve">0285265. </w:t>
      </w:r>
      <w:proofErr w:type="spellStart"/>
      <w:r w:rsidRPr="00E12795">
        <w:rPr>
          <w:color w:val="000000"/>
          <w:lang w:val="en-GB"/>
        </w:rPr>
        <w:t>doi</w:t>
      </w:r>
      <w:proofErr w:type="spellEnd"/>
      <w:r w:rsidRPr="00E12795">
        <w:rPr>
          <w:color w:val="000000"/>
          <w:lang w:val="en-GB"/>
        </w:rPr>
        <w:t>:</w:t>
      </w:r>
      <w:r w:rsidR="005510E8">
        <w:rPr>
          <w:color w:val="000000"/>
          <w:lang w:val="en-GB"/>
        </w:rPr>
        <w:t xml:space="preserve"> </w:t>
      </w:r>
      <w:r w:rsidRPr="00E12795">
        <w:rPr>
          <w:color w:val="000000"/>
          <w:lang w:val="en-GB"/>
        </w:rPr>
        <w:t>10.1371/journal.pone.0285265. PMID: 37228156</w:t>
      </w:r>
    </w:p>
    <w:p w14:paraId="689C62D5" w14:textId="77777777" w:rsidR="00D42F5D" w:rsidRPr="00E12795" w:rsidRDefault="00D42F5D" w:rsidP="00D42F5D">
      <w:pPr>
        <w:spacing w:after="80" w:line="360" w:lineRule="auto"/>
        <w:ind w:left="540" w:hanging="540"/>
        <w:jc w:val="both"/>
        <w:rPr>
          <w:color w:val="000000"/>
          <w:lang w:val="en-GB"/>
        </w:rPr>
      </w:pPr>
      <w:r w:rsidRPr="00E12795">
        <w:rPr>
          <w:color w:val="000000"/>
          <w:lang w:val="en-GB"/>
        </w:rPr>
        <w:t>World Health Organization. World Malaria Report 2025. Geneva: WHO; 2025. Available from: https://www.who.int/teams/global-malaria-programme/reports/world-malaria-report-2025</w:t>
      </w:r>
    </w:p>
    <w:p w14:paraId="52887A7E" w14:textId="77777777" w:rsidR="00D42F5D" w:rsidRPr="00E12795" w:rsidRDefault="00D42F5D" w:rsidP="00D42F5D">
      <w:pPr>
        <w:spacing w:after="80" w:line="360" w:lineRule="auto"/>
        <w:ind w:left="540" w:hanging="540"/>
        <w:jc w:val="both"/>
        <w:rPr>
          <w:color w:val="000000"/>
          <w:lang w:val="en-GB"/>
        </w:rPr>
      </w:pPr>
      <w:r w:rsidRPr="00E12795">
        <w:rPr>
          <w:color w:val="000000"/>
          <w:lang w:val="en-GB"/>
        </w:rPr>
        <w:t>World Health Organization. (2014) Severe malaria. Trop Med Int Health.;19(</w:t>
      </w:r>
      <w:proofErr w:type="spellStart"/>
      <w:r w:rsidRPr="00E12795">
        <w:rPr>
          <w:color w:val="000000"/>
          <w:lang w:val="en-GB"/>
        </w:rPr>
        <w:t>Suppl</w:t>
      </w:r>
      <w:proofErr w:type="spellEnd"/>
      <w:r w:rsidRPr="00E12795">
        <w:rPr>
          <w:color w:val="000000"/>
          <w:lang w:val="en-GB"/>
        </w:rPr>
        <w:t xml:space="preserve"> 1):7–131. doi:10.1111/tmi.12313_2. PMID: 25214480</w:t>
      </w:r>
    </w:p>
    <w:p w14:paraId="6C9DC18B" w14:textId="18C6BEAB" w:rsidR="000F63BD" w:rsidRPr="00E12795" w:rsidRDefault="000F63BD" w:rsidP="00CA56EB">
      <w:pPr>
        <w:spacing w:before="120" w:after="80" w:line="480" w:lineRule="auto"/>
        <w:rPr>
          <w:color w:val="000000"/>
          <w:lang w:val="en-GB"/>
        </w:rPr>
      </w:pPr>
    </w:p>
    <w:sectPr w:rsidR="000F63BD" w:rsidRPr="00E1279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1F80E" w14:textId="77777777" w:rsidR="00A4270B" w:rsidRDefault="00A4270B" w:rsidP="002E0A7C">
      <w:r>
        <w:separator/>
      </w:r>
    </w:p>
  </w:endnote>
  <w:endnote w:type="continuationSeparator" w:id="0">
    <w:p w14:paraId="3AD1F7A8" w14:textId="77777777" w:rsidR="00A4270B" w:rsidRDefault="00A4270B" w:rsidP="002E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DE4C" w14:textId="77777777" w:rsidR="00BB3F4C" w:rsidRDefault="00BB3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8183332"/>
      <w:docPartObj>
        <w:docPartGallery w:val="Page Numbers (Bottom of Page)"/>
        <w:docPartUnique/>
      </w:docPartObj>
    </w:sdtPr>
    <w:sdtEndPr/>
    <w:sdtContent>
      <w:p w14:paraId="234CAEA8" w14:textId="31AA2EB9" w:rsidR="002E0A7C" w:rsidRDefault="002E0A7C">
        <w:pPr>
          <w:pStyle w:val="Footer"/>
          <w:jc w:val="right"/>
        </w:pPr>
        <w:r>
          <w:fldChar w:fldCharType="begin"/>
        </w:r>
        <w:r>
          <w:instrText>PAGE   \* MERGEFORMAT</w:instrText>
        </w:r>
        <w:r>
          <w:fldChar w:fldCharType="separate"/>
        </w:r>
        <w:r>
          <w:t>2</w:t>
        </w:r>
        <w:r>
          <w:fldChar w:fldCharType="end"/>
        </w:r>
      </w:p>
    </w:sdtContent>
  </w:sdt>
  <w:p w14:paraId="7DC8DBA5" w14:textId="77777777" w:rsidR="002E0A7C" w:rsidRDefault="002E0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DCC13" w14:textId="77777777" w:rsidR="00BB3F4C" w:rsidRDefault="00BB3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099FF" w14:textId="77777777" w:rsidR="00A4270B" w:rsidRDefault="00A4270B" w:rsidP="002E0A7C">
      <w:r>
        <w:separator/>
      </w:r>
    </w:p>
  </w:footnote>
  <w:footnote w:type="continuationSeparator" w:id="0">
    <w:p w14:paraId="0B4DBD2D" w14:textId="77777777" w:rsidR="00A4270B" w:rsidRDefault="00A4270B" w:rsidP="002E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EC7B8" w14:textId="2C17C8C7" w:rsidR="00BB3F4C" w:rsidRDefault="00BB3F4C">
    <w:pPr>
      <w:pStyle w:val="Header"/>
    </w:pPr>
    <w:r>
      <w:rPr>
        <w:noProof/>
      </w:rPr>
      <w:pict w14:anchorId="1EF4B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9192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2F951" w14:textId="353DBEB8" w:rsidR="00BB3F4C" w:rsidRDefault="00BB3F4C">
    <w:pPr>
      <w:pStyle w:val="Header"/>
    </w:pPr>
    <w:r>
      <w:rPr>
        <w:noProof/>
      </w:rPr>
      <w:pict w14:anchorId="41AD6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9192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A8A9" w14:textId="56DE1B36" w:rsidR="00BB3F4C" w:rsidRDefault="00BB3F4C">
    <w:pPr>
      <w:pStyle w:val="Header"/>
    </w:pPr>
    <w:r>
      <w:rPr>
        <w:noProof/>
      </w:rPr>
      <w:pict w14:anchorId="3F526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9192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4962"/>
    <w:multiLevelType w:val="hybridMultilevel"/>
    <w:tmpl w:val="635C2A70"/>
    <w:lvl w:ilvl="0" w:tplc="872C0C26">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3F5E3A"/>
    <w:multiLevelType w:val="hybridMultilevel"/>
    <w:tmpl w:val="D1EA961A"/>
    <w:lvl w:ilvl="0" w:tplc="D2967ABC">
      <w:start w:val="1"/>
      <w:numFmt w:val="bullet"/>
      <w:lvlText w:val="●"/>
      <w:lvlJc w:val="left"/>
      <w:pPr>
        <w:ind w:left="720" w:hanging="360"/>
      </w:pPr>
    </w:lvl>
    <w:lvl w:ilvl="1" w:tplc="1CFEAABC">
      <w:start w:val="1"/>
      <w:numFmt w:val="bullet"/>
      <w:lvlText w:val="○"/>
      <w:lvlJc w:val="left"/>
      <w:pPr>
        <w:ind w:left="1440" w:hanging="360"/>
      </w:pPr>
    </w:lvl>
    <w:lvl w:ilvl="2" w:tplc="9EBAF11A">
      <w:start w:val="1"/>
      <w:numFmt w:val="bullet"/>
      <w:lvlText w:val="■"/>
      <w:lvlJc w:val="left"/>
      <w:pPr>
        <w:ind w:left="2160" w:hanging="360"/>
      </w:pPr>
    </w:lvl>
    <w:lvl w:ilvl="3" w:tplc="F24E31B6">
      <w:start w:val="1"/>
      <w:numFmt w:val="bullet"/>
      <w:lvlText w:val="●"/>
      <w:lvlJc w:val="left"/>
      <w:pPr>
        <w:ind w:left="2880" w:hanging="360"/>
      </w:pPr>
    </w:lvl>
    <w:lvl w:ilvl="4" w:tplc="7D382F9C">
      <w:start w:val="1"/>
      <w:numFmt w:val="bullet"/>
      <w:lvlText w:val="○"/>
      <w:lvlJc w:val="left"/>
      <w:pPr>
        <w:ind w:left="3600" w:hanging="360"/>
      </w:pPr>
    </w:lvl>
    <w:lvl w:ilvl="5" w:tplc="C8088482">
      <w:start w:val="1"/>
      <w:numFmt w:val="bullet"/>
      <w:lvlText w:val="■"/>
      <w:lvlJc w:val="left"/>
      <w:pPr>
        <w:ind w:left="4320" w:hanging="360"/>
      </w:pPr>
    </w:lvl>
    <w:lvl w:ilvl="6" w:tplc="F0DE04CC">
      <w:start w:val="1"/>
      <w:numFmt w:val="bullet"/>
      <w:lvlText w:val="●"/>
      <w:lvlJc w:val="left"/>
      <w:pPr>
        <w:ind w:left="5040" w:hanging="360"/>
      </w:pPr>
    </w:lvl>
    <w:lvl w:ilvl="7" w:tplc="5DD8B68A">
      <w:start w:val="1"/>
      <w:numFmt w:val="bullet"/>
      <w:lvlText w:val="●"/>
      <w:lvlJc w:val="left"/>
      <w:pPr>
        <w:ind w:left="5760" w:hanging="360"/>
      </w:pPr>
    </w:lvl>
    <w:lvl w:ilvl="8" w:tplc="5E6A6E20">
      <w:start w:val="1"/>
      <w:numFmt w:val="bullet"/>
      <w:lvlText w:val="●"/>
      <w:lvlJc w:val="left"/>
      <w:pPr>
        <w:ind w:left="6480" w:hanging="360"/>
      </w:pPr>
    </w:lvl>
  </w:abstractNum>
  <w:abstractNum w:abstractNumId="2" w15:restartNumberingAfterBreak="0">
    <w:nsid w:val="4CEB1551"/>
    <w:multiLevelType w:val="hybridMultilevel"/>
    <w:tmpl w:val="EFDA3310"/>
    <w:lvl w:ilvl="0" w:tplc="5CF22D96">
      <w:start w:val="1"/>
      <w:numFmt w:val="bullet"/>
      <w:lvlText w:val="●"/>
      <w:lvlJc w:val="left"/>
      <w:pPr>
        <w:ind w:left="720" w:hanging="360"/>
      </w:pPr>
    </w:lvl>
    <w:lvl w:ilvl="1" w:tplc="47B420AA">
      <w:start w:val="1"/>
      <w:numFmt w:val="bullet"/>
      <w:lvlText w:val="○"/>
      <w:lvlJc w:val="left"/>
      <w:pPr>
        <w:ind w:left="1440" w:hanging="360"/>
      </w:pPr>
    </w:lvl>
    <w:lvl w:ilvl="2" w:tplc="6A0CB90E">
      <w:start w:val="1"/>
      <w:numFmt w:val="bullet"/>
      <w:lvlText w:val="■"/>
      <w:lvlJc w:val="left"/>
      <w:pPr>
        <w:ind w:left="2160" w:hanging="360"/>
      </w:pPr>
    </w:lvl>
    <w:lvl w:ilvl="3" w:tplc="C8B8D456">
      <w:start w:val="1"/>
      <w:numFmt w:val="bullet"/>
      <w:lvlText w:val="●"/>
      <w:lvlJc w:val="left"/>
      <w:pPr>
        <w:ind w:left="2880" w:hanging="360"/>
      </w:pPr>
    </w:lvl>
    <w:lvl w:ilvl="4" w:tplc="9F74A402">
      <w:start w:val="1"/>
      <w:numFmt w:val="bullet"/>
      <w:lvlText w:val="○"/>
      <w:lvlJc w:val="left"/>
      <w:pPr>
        <w:ind w:left="3600" w:hanging="360"/>
      </w:pPr>
    </w:lvl>
    <w:lvl w:ilvl="5" w:tplc="505C37AA">
      <w:start w:val="1"/>
      <w:numFmt w:val="bullet"/>
      <w:lvlText w:val="■"/>
      <w:lvlJc w:val="left"/>
      <w:pPr>
        <w:ind w:left="4320" w:hanging="360"/>
      </w:pPr>
    </w:lvl>
    <w:lvl w:ilvl="6" w:tplc="E2E27FCC">
      <w:start w:val="1"/>
      <w:numFmt w:val="bullet"/>
      <w:lvlText w:val="●"/>
      <w:lvlJc w:val="left"/>
      <w:pPr>
        <w:ind w:left="5040" w:hanging="360"/>
      </w:pPr>
    </w:lvl>
    <w:lvl w:ilvl="7" w:tplc="1E38BD7E">
      <w:start w:val="1"/>
      <w:numFmt w:val="bullet"/>
      <w:lvlText w:val="●"/>
      <w:lvlJc w:val="left"/>
      <w:pPr>
        <w:ind w:left="5760" w:hanging="360"/>
      </w:pPr>
    </w:lvl>
    <w:lvl w:ilvl="8" w:tplc="44863FE8">
      <w:start w:val="1"/>
      <w:numFmt w:val="bullet"/>
      <w:lvlText w:val="●"/>
      <w:lvlJc w:val="left"/>
      <w:pPr>
        <w:ind w:left="6480" w:hanging="360"/>
      </w:pPr>
    </w:lvl>
  </w:abstractNum>
  <w:abstractNum w:abstractNumId="3" w15:restartNumberingAfterBreak="0">
    <w:nsid w:val="7ADF04EE"/>
    <w:multiLevelType w:val="hybridMultilevel"/>
    <w:tmpl w:val="798ED9B0"/>
    <w:lvl w:ilvl="0" w:tplc="BF5A5D22">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lvlOverride w:ilvl="0">
      <w:startOverride w:val="1"/>
    </w:lvlOverride>
  </w:num>
  <w:num w:numId="2">
    <w:abstractNumId w:val="2"/>
    <w:lvlOverride w:ilvl="0">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3BD"/>
    <w:rsid w:val="000471A6"/>
    <w:rsid w:val="00071880"/>
    <w:rsid w:val="00073DE1"/>
    <w:rsid w:val="000C409A"/>
    <w:rsid w:val="000F63BD"/>
    <w:rsid w:val="000F6832"/>
    <w:rsid w:val="00130243"/>
    <w:rsid w:val="001B392C"/>
    <w:rsid w:val="001B4A49"/>
    <w:rsid w:val="001E2A5C"/>
    <w:rsid w:val="001F1757"/>
    <w:rsid w:val="00297ABF"/>
    <w:rsid w:val="002B7BEE"/>
    <w:rsid w:val="002E0A7C"/>
    <w:rsid w:val="002F7E6A"/>
    <w:rsid w:val="00311983"/>
    <w:rsid w:val="00356CAA"/>
    <w:rsid w:val="00395A7F"/>
    <w:rsid w:val="003C798B"/>
    <w:rsid w:val="003E55E8"/>
    <w:rsid w:val="0041649B"/>
    <w:rsid w:val="00445AC6"/>
    <w:rsid w:val="00486F87"/>
    <w:rsid w:val="004B0FC6"/>
    <w:rsid w:val="005017DD"/>
    <w:rsid w:val="00502517"/>
    <w:rsid w:val="00522876"/>
    <w:rsid w:val="005510E8"/>
    <w:rsid w:val="00564354"/>
    <w:rsid w:val="0056696B"/>
    <w:rsid w:val="005B3434"/>
    <w:rsid w:val="005C137C"/>
    <w:rsid w:val="005C6A07"/>
    <w:rsid w:val="005D57EB"/>
    <w:rsid w:val="00610904"/>
    <w:rsid w:val="006A721C"/>
    <w:rsid w:val="006C4AEA"/>
    <w:rsid w:val="00730F89"/>
    <w:rsid w:val="007365E5"/>
    <w:rsid w:val="007C3212"/>
    <w:rsid w:val="00836265"/>
    <w:rsid w:val="0085139A"/>
    <w:rsid w:val="00882169"/>
    <w:rsid w:val="00883BBD"/>
    <w:rsid w:val="008C3906"/>
    <w:rsid w:val="008F62F8"/>
    <w:rsid w:val="009043EE"/>
    <w:rsid w:val="00925099"/>
    <w:rsid w:val="00956E5D"/>
    <w:rsid w:val="00961CA6"/>
    <w:rsid w:val="00975D65"/>
    <w:rsid w:val="00982796"/>
    <w:rsid w:val="009A55CB"/>
    <w:rsid w:val="009A6A85"/>
    <w:rsid w:val="009B0957"/>
    <w:rsid w:val="00A07EA2"/>
    <w:rsid w:val="00A13EF6"/>
    <w:rsid w:val="00A25958"/>
    <w:rsid w:val="00A30CD0"/>
    <w:rsid w:val="00A31141"/>
    <w:rsid w:val="00A36F5E"/>
    <w:rsid w:val="00A4270B"/>
    <w:rsid w:val="00A5545B"/>
    <w:rsid w:val="00AC7A8E"/>
    <w:rsid w:val="00AE0254"/>
    <w:rsid w:val="00B01078"/>
    <w:rsid w:val="00B13216"/>
    <w:rsid w:val="00B41071"/>
    <w:rsid w:val="00B547E9"/>
    <w:rsid w:val="00B85F8C"/>
    <w:rsid w:val="00B93BA7"/>
    <w:rsid w:val="00BB3F4C"/>
    <w:rsid w:val="00BD5E2C"/>
    <w:rsid w:val="00BF647A"/>
    <w:rsid w:val="00C258A7"/>
    <w:rsid w:val="00C43A67"/>
    <w:rsid w:val="00C706B6"/>
    <w:rsid w:val="00CA56EB"/>
    <w:rsid w:val="00CB5DB1"/>
    <w:rsid w:val="00D23013"/>
    <w:rsid w:val="00D4135C"/>
    <w:rsid w:val="00D42F5D"/>
    <w:rsid w:val="00D94ECF"/>
    <w:rsid w:val="00E065B5"/>
    <w:rsid w:val="00E12795"/>
    <w:rsid w:val="00E310FC"/>
    <w:rsid w:val="00E32794"/>
    <w:rsid w:val="00E375AD"/>
    <w:rsid w:val="00E5346D"/>
    <w:rsid w:val="00EB2B87"/>
    <w:rsid w:val="00F458FB"/>
    <w:rsid w:val="00F51ACA"/>
    <w:rsid w:val="00F63E85"/>
    <w:rsid w:val="00FC2734"/>
    <w:rsid w:val="00FE1B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67B469"/>
  <w15:docId w15:val="{668690E8-7627-4507-B97E-4CE34B28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E0A7C"/>
    <w:pPr>
      <w:tabs>
        <w:tab w:val="center" w:pos="4536"/>
        <w:tab w:val="right" w:pos="9072"/>
      </w:tabs>
    </w:pPr>
  </w:style>
  <w:style w:type="character" w:customStyle="1" w:styleId="HeaderChar">
    <w:name w:val="Header Char"/>
    <w:basedOn w:val="DefaultParagraphFont"/>
    <w:link w:val="Header"/>
    <w:uiPriority w:val="99"/>
    <w:rsid w:val="002E0A7C"/>
  </w:style>
  <w:style w:type="paragraph" w:styleId="Footer">
    <w:name w:val="footer"/>
    <w:basedOn w:val="Normal"/>
    <w:link w:val="FooterChar"/>
    <w:uiPriority w:val="99"/>
    <w:unhideWhenUsed/>
    <w:rsid w:val="002E0A7C"/>
    <w:pPr>
      <w:tabs>
        <w:tab w:val="center" w:pos="4536"/>
        <w:tab w:val="right" w:pos="9072"/>
      </w:tabs>
    </w:pPr>
  </w:style>
  <w:style w:type="character" w:customStyle="1" w:styleId="FooterChar">
    <w:name w:val="Footer Char"/>
    <w:basedOn w:val="DefaultParagraphFont"/>
    <w:link w:val="Footer"/>
    <w:uiPriority w:val="99"/>
    <w:rsid w:val="002E0A7C"/>
  </w:style>
  <w:style w:type="character" w:styleId="UnresolvedMention">
    <w:name w:val="Unresolved Mention"/>
    <w:basedOn w:val="DefaultParagraphFont"/>
    <w:uiPriority w:val="99"/>
    <w:semiHidden/>
    <w:unhideWhenUsed/>
    <w:rsid w:val="00956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heliyon.2019.e0228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281/zenodo.1705413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icroorganisms1311243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371/journal.pone.028901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4236/ojped.2022.123061"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6475</Words>
  <Characters>36914</Characters>
  <Application>Microsoft Office Word</Application>
  <DocSecurity>0</DocSecurity>
  <Lines>307</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19</cp:revision>
  <cp:lastPrinted>2026-05-02T16:28:00Z</cp:lastPrinted>
  <dcterms:created xsi:type="dcterms:W3CDTF">2026-05-06T18:55:00Z</dcterms:created>
  <dcterms:modified xsi:type="dcterms:W3CDTF">2026-05-08T11:17:00Z</dcterms:modified>
</cp:coreProperties>
</file>