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E4E8C" w14:textId="303764DE" w:rsidR="0070638A" w:rsidRPr="0070638A" w:rsidRDefault="0070638A" w:rsidP="0070638A">
      <w:pPr>
        <w:spacing w:after="200"/>
        <w:rPr>
          <w:b/>
          <w:bCs/>
          <w:u w:val="single"/>
        </w:rPr>
      </w:pPr>
      <w:r w:rsidRPr="0070638A">
        <w:rPr>
          <w:b/>
          <w:bCs/>
          <w:u w:val="single"/>
        </w:rPr>
        <w:t>Original Research Article</w:t>
      </w:r>
    </w:p>
    <w:p w14:paraId="4BCD7095" w14:textId="65D37437" w:rsidR="008A0081" w:rsidRDefault="00682B32">
      <w:pPr>
        <w:spacing w:after="200"/>
        <w:jc w:val="center"/>
        <w:rPr>
          <w:b/>
          <w:bCs/>
        </w:rPr>
      </w:pPr>
      <w:r w:rsidRPr="00CF4C7C">
        <w:rPr>
          <w:b/>
          <w:bCs/>
        </w:rPr>
        <w:t>B</w:t>
      </w:r>
      <w:r w:rsidR="002F545F" w:rsidRPr="00CF4C7C">
        <w:rPr>
          <w:b/>
          <w:bCs/>
        </w:rPr>
        <w:t xml:space="preserve">acillus </w:t>
      </w:r>
      <w:r w:rsidRPr="00CF4C7C">
        <w:rPr>
          <w:b/>
          <w:bCs/>
        </w:rPr>
        <w:t>C</w:t>
      </w:r>
      <w:r w:rsidR="002F545F" w:rsidRPr="00CF4C7C">
        <w:rPr>
          <w:b/>
          <w:bCs/>
        </w:rPr>
        <w:t>almette-</w:t>
      </w:r>
      <w:r w:rsidRPr="00CF4C7C">
        <w:rPr>
          <w:b/>
          <w:bCs/>
        </w:rPr>
        <w:t>G</w:t>
      </w:r>
      <w:r w:rsidR="002F545F" w:rsidRPr="00CF4C7C">
        <w:rPr>
          <w:b/>
          <w:bCs/>
        </w:rPr>
        <w:t>u</w:t>
      </w:r>
      <w:r w:rsidR="00CF4C7C" w:rsidRPr="00CF4C7C">
        <w:rPr>
          <w:b/>
          <w:color w:val="000000"/>
        </w:rPr>
        <w:t>é</w:t>
      </w:r>
      <w:r w:rsidR="002F545F" w:rsidRPr="00CF4C7C">
        <w:rPr>
          <w:b/>
          <w:bCs/>
        </w:rPr>
        <w:t>rin</w:t>
      </w:r>
      <w:r w:rsidRPr="00CF4C7C">
        <w:rPr>
          <w:b/>
          <w:bCs/>
        </w:rPr>
        <w:t xml:space="preserve"> Vaccination Trends and Pediatric Tuberculosis Prevalence in Children Aged 0–5 Years at the Buea Regional Hospital, Cameroon: A Five-Year Retrospective Study (2020–2024)</w:t>
      </w:r>
    </w:p>
    <w:p w14:paraId="082B5D94" w14:textId="77777777" w:rsidR="0070638A" w:rsidRPr="00CF4C7C" w:rsidRDefault="0070638A">
      <w:pPr>
        <w:spacing w:after="200"/>
        <w:jc w:val="center"/>
      </w:pPr>
    </w:p>
    <w:p w14:paraId="3C0C2C95" w14:textId="77777777" w:rsidR="0070638A" w:rsidRPr="00935E82" w:rsidRDefault="0070638A">
      <w:pPr>
        <w:spacing w:after="80"/>
        <w:rPr>
          <w:lang w:val="fr-CM"/>
        </w:rPr>
      </w:pPr>
    </w:p>
    <w:p w14:paraId="4774032A" w14:textId="77777777" w:rsidR="00935E82" w:rsidRPr="00935E82" w:rsidRDefault="00935E82">
      <w:pPr>
        <w:spacing w:after="80"/>
        <w:rPr>
          <w:lang w:val="fr-CM"/>
        </w:rPr>
      </w:pPr>
    </w:p>
    <w:p w14:paraId="5CD86B2E" w14:textId="77777777" w:rsidR="008A0081" w:rsidRPr="00935E82" w:rsidRDefault="00682B32" w:rsidP="00413079">
      <w:pPr>
        <w:pStyle w:val="Heading1"/>
        <w:spacing w:before="200" w:after="100"/>
        <w:rPr>
          <w:lang w:val="fr-CM"/>
        </w:rPr>
      </w:pPr>
      <w:r w:rsidRPr="00935E82">
        <w:rPr>
          <w:lang w:val="fr-CM"/>
        </w:rPr>
        <w:t>Abstract</w:t>
      </w:r>
    </w:p>
    <w:p w14:paraId="296A7705" w14:textId="77777777" w:rsidR="00C1009C" w:rsidRDefault="00C1009C" w:rsidP="00413079">
      <w:pPr>
        <w:spacing w:after="120"/>
        <w:jc w:val="both"/>
        <w:rPr>
          <w:color w:val="000000"/>
        </w:rPr>
      </w:pPr>
      <w:r w:rsidRPr="00C1009C">
        <w:rPr>
          <w:b/>
          <w:color w:val="000000"/>
        </w:rPr>
        <w:t>Background:</w:t>
      </w:r>
      <w:r>
        <w:rPr>
          <w:color w:val="000000"/>
        </w:rPr>
        <w:t xml:space="preserve"> </w:t>
      </w:r>
      <w:r w:rsidR="00682B32">
        <w:rPr>
          <w:color w:val="000000"/>
        </w:rPr>
        <w:t xml:space="preserve">Tuberculosis (TB) remains a significant cause of illness and death in children globally, with sub-Saharan African countries like Cameroon carrying a disproportionate share of the burden. Despite the inclusion of the Bacillus Calmette-Guérin (BCG) vaccine in the national immunization program, the persistence of pediatric TB in the Buea Health District raises concerns about immunization coverage and its relationship with disease burden. </w:t>
      </w:r>
    </w:p>
    <w:p w14:paraId="05E7F5CA" w14:textId="77777777" w:rsidR="00C1009C" w:rsidRDefault="00C1009C" w:rsidP="00413079">
      <w:pPr>
        <w:spacing w:after="120"/>
        <w:jc w:val="both"/>
        <w:rPr>
          <w:color w:val="000000"/>
        </w:rPr>
      </w:pPr>
      <w:r w:rsidRPr="00C1009C">
        <w:rPr>
          <w:b/>
          <w:color w:val="000000"/>
        </w:rPr>
        <w:t>Aims:</w:t>
      </w:r>
      <w:r>
        <w:rPr>
          <w:color w:val="000000"/>
        </w:rPr>
        <w:t xml:space="preserve"> </w:t>
      </w:r>
      <w:r w:rsidR="00682B32">
        <w:rPr>
          <w:color w:val="000000"/>
        </w:rPr>
        <w:t xml:space="preserve">This study assessed the trends in BCG vaccination rates and TB prevalence in children aged 0–5 years at the Buea Regional Hospital </w:t>
      </w:r>
      <w:r w:rsidR="00051248">
        <w:rPr>
          <w:color w:val="000000"/>
        </w:rPr>
        <w:t xml:space="preserve">from </w:t>
      </w:r>
      <w:r w:rsidR="00682B32">
        <w:rPr>
          <w:color w:val="000000"/>
        </w:rPr>
        <w:t>2020</w:t>
      </w:r>
      <w:r w:rsidR="00051248">
        <w:rPr>
          <w:color w:val="000000"/>
        </w:rPr>
        <w:t xml:space="preserve"> to </w:t>
      </w:r>
      <w:r w:rsidR="00682B32">
        <w:rPr>
          <w:color w:val="000000"/>
        </w:rPr>
        <w:t>2024.</w:t>
      </w:r>
    </w:p>
    <w:p w14:paraId="203DC8C8" w14:textId="77777777" w:rsidR="008C3CF9" w:rsidRDefault="00C1009C" w:rsidP="00413079">
      <w:pPr>
        <w:spacing w:after="120"/>
        <w:jc w:val="both"/>
        <w:rPr>
          <w:color w:val="000000"/>
        </w:rPr>
      </w:pPr>
      <w:r w:rsidRPr="00C1009C">
        <w:rPr>
          <w:b/>
          <w:color w:val="000000"/>
        </w:rPr>
        <w:t>Method:</w:t>
      </w:r>
      <w:r w:rsidR="00682B32">
        <w:rPr>
          <w:color w:val="000000"/>
        </w:rPr>
        <w:t xml:space="preserve"> </w:t>
      </w:r>
      <w:r w:rsidR="00051248">
        <w:rPr>
          <w:color w:val="000000"/>
        </w:rPr>
        <w:t>It was a</w:t>
      </w:r>
      <w:r w:rsidR="00682B32">
        <w:rPr>
          <w:color w:val="000000"/>
        </w:rPr>
        <w:t xml:space="preserve"> hospital-based retrospective </w:t>
      </w:r>
      <w:r w:rsidR="00051248">
        <w:rPr>
          <w:color w:val="000000"/>
        </w:rPr>
        <w:t xml:space="preserve">study </w:t>
      </w:r>
      <w:r>
        <w:rPr>
          <w:color w:val="000000"/>
        </w:rPr>
        <w:t xml:space="preserve">carried out from </w:t>
      </w:r>
      <w:r w:rsidR="008C3CF9">
        <w:rPr>
          <w:color w:val="000000"/>
        </w:rPr>
        <w:t>M</w:t>
      </w:r>
      <w:r>
        <w:rPr>
          <w:color w:val="000000"/>
        </w:rPr>
        <w:t>a</w:t>
      </w:r>
      <w:r w:rsidR="008C3CF9">
        <w:rPr>
          <w:color w:val="000000"/>
        </w:rPr>
        <w:t xml:space="preserve">rch to June 2025, </w:t>
      </w:r>
      <w:r w:rsidR="00051248">
        <w:rPr>
          <w:color w:val="000000"/>
        </w:rPr>
        <w:t>which involved</w:t>
      </w:r>
      <w:r w:rsidR="00682B32">
        <w:rPr>
          <w:color w:val="000000"/>
        </w:rPr>
        <w:t xml:space="preserve"> </w:t>
      </w:r>
      <w:r w:rsidR="00051248">
        <w:rPr>
          <w:color w:val="000000"/>
        </w:rPr>
        <w:t>the</w:t>
      </w:r>
      <w:r w:rsidR="008C3CF9">
        <w:rPr>
          <w:color w:val="000000"/>
        </w:rPr>
        <w:t xml:space="preserve"> </w:t>
      </w:r>
      <w:proofErr w:type="spellStart"/>
      <w:r w:rsidR="008C3CF9">
        <w:rPr>
          <w:color w:val="000000"/>
        </w:rPr>
        <w:t>exhustive</w:t>
      </w:r>
      <w:proofErr w:type="spellEnd"/>
      <w:r w:rsidR="00051248">
        <w:rPr>
          <w:color w:val="000000"/>
        </w:rPr>
        <w:t xml:space="preserve"> </w:t>
      </w:r>
      <w:r w:rsidR="00682B32">
        <w:rPr>
          <w:color w:val="000000"/>
        </w:rPr>
        <w:t>extract</w:t>
      </w:r>
      <w:r w:rsidR="00051248">
        <w:rPr>
          <w:color w:val="000000"/>
        </w:rPr>
        <w:t>ion of</w:t>
      </w:r>
      <w:r w:rsidR="00682B32">
        <w:rPr>
          <w:color w:val="000000"/>
        </w:rPr>
        <w:t xml:space="preserve"> </w:t>
      </w:r>
      <w:r w:rsidR="00051248">
        <w:rPr>
          <w:color w:val="000000"/>
        </w:rPr>
        <w:t xml:space="preserve">data </w:t>
      </w:r>
      <w:r w:rsidR="00682B32">
        <w:rPr>
          <w:color w:val="000000"/>
        </w:rPr>
        <w:t xml:space="preserve">from TB and vaccination registers </w:t>
      </w:r>
      <w:r w:rsidR="008C3CF9">
        <w:rPr>
          <w:color w:val="000000"/>
        </w:rPr>
        <w:t xml:space="preserve">of 0-5 years old children, </w:t>
      </w:r>
      <w:r w:rsidR="00682B32">
        <w:rPr>
          <w:color w:val="000000"/>
        </w:rPr>
        <w:t xml:space="preserve">maintained at the Buea Regional Hospital. </w:t>
      </w:r>
      <w:r w:rsidR="008C3CF9">
        <w:rPr>
          <w:color w:val="000000"/>
        </w:rPr>
        <w:t>The data was analyzed using frequency distributions and line graph in SPSS version 21.</w:t>
      </w:r>
    </w:p>
    <w:p w14:paraId="02EA74AC" w14:textId="77777777" w:rsidR="008C3CF9" w:rsidRDefault="008C3CF9" w:rsidP="00413079">
      <w:pPr>
        <w:spacing w:after="120"/>
        <w:jc w:val="both"/>
        <w:rPr>
          <w:color w:val="000000"/>
        </w:rPr>
      </w:pPr>
      <w:r w:rsidRPr="008C3CF9">
        <w:rPr>
          <w:b/>
          <w:color w:val="000000"/>
        </w:rPr>
        <w:t>Result:</w:t>
      </w:r>
      <w:r>
        <w:rPr>
          <w:color w:val="000000"/>
        </w:rPr>
        <w:t xml:space="preserve"> </w:t>
      </w:r>
      <w:r w:rsidR="00682B32">
        <w:rPr>
          <w:color w:val="000000"/>
        </w:rPr>
        <w:t xml:space="preserve">The study </w:t>
      </w:r>
      <w:r>
        <w:rPr>
          <w:color w:val="000000"/>
        </w:rPr>
        <w:t>reported</w:t>
      </w:r>
      <w:r w:rsidR="00682B32">
        <w:rPr>
          <w:color w:val="000000"/>
        </w:rPr>
        <w:t xml:space="preserve"> 6,174 children aged 0–5 years, of whom 5,686 (92.2%) received BCG vaccination. A total of 172 </w:t>
      </w:r>
      <w:r w:rsidR="00051248">
        <w:rPr>
          <w:color w:val="000000"/>
        </w:rPr>
        <w:t xml:space="preserve">suspected cases of </w:t>
      </w:r>
      <w:r w:rsidR="00682B32">
        <w:rPr>
          <w:color w:val="000000"/>
        </w:rPr>
        <w:t>pediatric TB were recorded, with 42 confirmed diagnoses</w:t>
      </w:r>
      <w:r>
        <w:rPr>
          <w:color w:val="000000"/>
        </w:rPr>
        <w:t xml:space="preserve"> of TB</w:t>
      </w:r>
      <w:r w:rsidR="00682B32">
        <w:rPr>
          <w:color w:val="000000"/>
        </w:rPr>
        <w:t>. TB prevalence rose gradually from</w:t>
      </w:r>
      <w:r w:rsidR="00051248">
        <w:rPr>
          <w:color w:val="000000"/>
        </w:rPr>
        <w:t xml:space="preserve"> </w:t>
      </w:r>
      <w:r w:rsidR="00200453">
        <w:rPr>
          <w:color w:val="000000"/>
        </w:rPr>
        <w:t xml:space="preserve">0% in 2020 to </w:t>
      </w:r>
      <w:r w:rsidR="00682B32">
        <w:rPr>
          <w:color w:val="000000"/>
        </w:rPr>
        <w:t>0.23% in 2021</w:t>
      </w:r>
      <w:r w:rsidR="00200453">
        <w:rPr>
          <w:color w:val="000000"/>
        </w:rPr>
        <w:t xml:space="preserve"> and dropped to 0.76% in 2022, with</w:t>
      </w:r>
      <w:r w:rsidR="00682B32">
        <w:rPr>
          <w:color w:val="000000"/>
        </w:rPr>
        <w:t xml:space="preserve"> a peak of 1.04% in 2023, </w:t>
      </w:r>
      <w:r w:rsidR="00200453">
        <w:rPr>
          <w:color w:val="000000"/>
        </w:rPr>
        <w:t>followed by a</w:t>
      </w:r>
      <w:r w:rsidR="00682B32">
        <w:rPr>
          <w:color w:val="000000"/>
        </w:rPr>
        <w:t xml:space="preserve"> declined to 0.16% in 2024. BCG vaccination coverage dropped</w:t>
      </w:r>
      <w:r w:rsidR="00200453">
        <w:rPr>
          <w:color w:val="000000"/>
        </w:rPr>
        <w:t xml:space="preserve"> progressively</w:t>
      </w:r>
      <w:r w:rsidR="00682B32">
        <w:rPr>
          <w:color w:val="000000"/>
        </w:rPr>
        <w:t xml:space="preserve"> </w:t>
      </w:r>
      <w:r w:rsidR="00200453">
        <w:rPr>
          <w:color w:val="000000"/>
        </w:rPr>
        <w:t xml:space="preserve">from 99.53% coverage in 2020 to 78.92% coverage in 2021 and 50.12% coverage in 2022 but increased to </w:t>
      </w:r>
      <w:r w:rsidR="00154147">
        <w:rPr>
          <w:color w:val="000000"/>
        </w:rPr>
        <w:t>98.92% coverage in 2023 and later dropped to 77.15% in 2024.</w:t>
      </w:r>
      <w:r w:rsidR="00200453">
        <w:rPr>
          <w:color w:val="000000"/>
        </w:rPr>
        <w:t xml:space="preserve"> </w:t>
      </w:r>
    </w:p>
    <w:p w14:paraId="7594B48D" w14:textId="54FB0358" w:rsidR="008A0081" w:rsidRDefault="008C3CF9" w:rsidP="00413079">
      <w:pPr>
        <w:spacing w:after="120"/>
        <w:jc w:val="both"/>
      </w:pPr>
      <w:r w:rsidRPr="008C3CF9">
        <w:rPr>
          <w:b/>
          <w:color w:val="000000"/>
        </w:rPr>
        <w:t>Conclusion:</w:t>
      </w:r>
      <w:r>
        <w:rPr>
          <w:color w:val="000000"/>
        </w:rPr>
        <w:t xml:space="preserve"> </w:t>
      </w:r>
      <w:r w:rsidR="00682B32">
        <w:rPr>
          <w:color w:val="000000"/>
        </w:rPr>
        <w:t>These findings highlight the multi-factorial nature of pediatric TB and the need to strengthen both immunization programs and surveillance systems in high-burden settings.</w:t>
      </w:r>
    </w:p>
    <w:p w14:paraId="64DF7431" w14:textId="77777777" w:rsidR="008A0081" w:rsidRDefault="008A0081" w:rsidP="00413079">
      <w:pPr>
        <w:spacing w:after="80"/>
      </w:pPr>
    </w:p>
    <w:p w14:paraId="6B795616" w14:textId="38940B48" w:rsidR="008A0081" w:rsidRDefault="00682B32" w:rsidP="00413079">
      <w:pPr>
        <w:spacing w:after="200"/>
        <w:jc w:val="both"/>
      </w:pPr>
      <w:r>
        <w:rPr>
          <w:b/>
          <w:bCs/>
        </w:rPr>
        <w:t xml:space="preserve">Keywords: </w:t>
      </w:r>
      <w:r>
        <w:t>Tuberculosis</w:t>
      </w:r>
      <w:r w:rsidR="0074150B">
        <w:t xml:space="preserve">, </w:t>
      </w:r>
      <w:r>
        <w:t>BCG vaccine</w:t>
      </w:r>
      <w:r w:rsidR="0074150B">
        <w:t>,</w:t>
      </w:r>
      <w:r>
        <w:t xml:space="preserve"> </w:t>
      </w:r>
      <w:r w:rsidR="00515C23">
        <w:t>Pediatric,</w:t>
      </w:r>
      <w:r>
        <w:t xml:space="preserve"> Retrospective study</w:t>
      </w:r>
    </w:p>
    <w:p w14:paraId="28E8857A" w14:textId="77777777" w:rsidR="008A0081" w:rsidRDefault="00682B32" w:rsidP="00413079">
      <w:pPr>
        <w:pStyle w:val="Heading1"/>
        <w:spacing w:before="200" w:after="100"/>
      </w:pPr>
      <w:r>
        <w:t>Introduction</w:t>
      </w:r>
    </w:p>
    <w:p w14:paraId="1469E906" w14:textId="4CFC6BBC" w:rsidR="008A0081" w:rsidRDefault="00682B32" w:rsidP="00413079">
      <w:pPr>
        <w:spacing w:after="120"/>
        <w:jc w:val="both"/>
        <w:rPr>
          <w:color w:val="000000"/>
        </w:rPr>
      </w:pPr>
      <w:r>
        <w:rPr>
          <w:color w:val="000000"/>
        </w:rPr>
        <w:t xml:space="preserve">Tuberculosis (TB) is an infectious disease caused by Mycobacterium tuberculosis, a bacterium spread through the air via droplets from coughs and sneezes of infected individuals </w:t>
      </w:r>
      <w:r w:rsidR="00EF7060" w:rsidRPr="00813522">
        <w:rPr>
          <w:color w:val="000000"/>
        </w:rPr>
        <w:t>[1]</w:t>
      </w:r>
      <w:r>
        <w:rPr>
          <w:color w:val="000000"/>
        </w:rPr>
        <w:t xml:space="preserve">. The disease primarily affects the lungs but can also involve the brain, intestines, liver, kidneys, and spine. In pulmonary TB, common symptoms include persistent cough, chest pain, </w:t>
      </w:r>
      <w:proofErr w:type="spellStart"/>
      <w:r>
        <w:rPr>
          <w:color w:val="000000"/>
        </w:rPr>
        <w:t>haemoptysis</w:t>
      </w:r>
      <w:proofErr w:type="spellEnd"/>
      <w:r>
        <w:rPr>
          <w:color w:val="000000"/>
        </w:rPr>
        <w:t xml:space="preserve">, weakness, weight loss, fever, and night sweats </w:t>
      </w:r>
      <w:r w:rsidR="00EF35E3" w:rsidRPr="00813522">
        <w:rPr>
          <w:color w:val="000000"/>
        </w:rPr>
        <w:t>[2,3]</w:t>
      </w:r>
      <w:r w:rsidRPr="00813522">
        <w:rPr>
          <w:color w:val="000000"/>
        </w:rPr>
        <w:t>.</w:t>
      </w:r>
      <w:r w:rsidR="005F30E5">
        <w:t xml:space="preserve"> </w:t>
      </w:r>
      <w:r>
        <w:rPr>
          <w:color w:val="000000"/>
        </w:rPr>
        <w:t xml:space="preserve">Despite the availability of effective prevention and treatment strategies, TB remains one of the leading infectious disease killers worldwide. The World Health Organization (WHO) estimates that approximately 1.12 million children develop TB annually, contributing to roughly 200,000 deaths per year </w:t>
      </w:r>
      <w:r w:rsidR="00EF35E3" w:rsidRPr="00813522">
        <w:rPr>
          <w:color w:val="000000"/>
        </w:rPr>
        <w:t>[4]</w:t>
      </w:r>
      <w:r>
        <w:rPr>
          <w:color w:val="000000"/>
        </w:rPr>
        <w:t xml:space="preserve">. In 2023, TB was reported as the </w:t>
      </w:r>
      <w:r>
        <w:rPr>
          <w:color w:val="000000"/>
        </w:rPr>
        <w:lastRenderedPageBreak/>
        <w:t xml:space="preserve">leading cause of death from a single infectious disease globally, accounting for approximately 1.25 million deaths </w:t>
      </w:r>
      <w:r w:rsidR="00EF35E3" w:rsidRPr="00813522">
        <w:rPr>
          <w:color w:val="000000"/>
        </w:rPr>
        <w:t>[5]</w:t>
      </w:r>
      <w:r w:rsidRPr="00813522">
        <w:rPr>
          <w:color w:val="000000"/>
        </w:rPr>
        <w:t>.</w:t>
      </w:r>
      <w:r>
        <w:rPr>
          <w:color w:val="000000"/>
        </w:rPr>
        <w:t xml:space="preserve"> Children, particularly those under five years of age, are disproportionately affected and face heightened risk because of immature immune systems and their inability to produce sufficient sputum for microbiological testing, making diagnosis challenging </w:t>
      </w:r>
      <w:r w:rsidR="00EF35E3" w:rsidRPr="00813522">
        <w:rPr>
          <w:color w:val="000000"/>
        </w:rPr>
        <w:t>[6]</w:t>
      </w:r>
      <w:r>
        <w:rPr>
          <w:color w:val="000000"/>
        </w:rPr>
        <w:t>.</w:t>
      </w:r>
    </w:p>
    <w:p w14:paraId="0ABDFAF2" w14:textId="77777777" w:rsidR="00935E82" w:rsidRDefault="00935E82" w:rsidP="00413079">
      <w:pPr>
        <w:spacing w:after="120"/>
        <w:jc w:val="both"/>
      </w:pPr>
    </w:p>
    <w:p w14:paraId="2D7EF9F9" w14:textId="23DAF575" w:rsidR="008A0081" w:rsidRDefault="00682B32" w:rsidP="00413079">
      <w:pPr>
        <w:spacing w:after="120"/>
        <w:jc w:val="both"/>
      </w:pPr>
      <w:r>
        <w:rPr>
          <w:color w:val="000000"/>
        </w:rPr>
        <w:t xml:space="preserve">Globally, children under 15 years of age account for 11% of all TB cases, with nearly 50% of these occurring in children below five years of age </w:t>
      </w:r>
      <w:r w:rsidR="00EF35E3" w:rsidRPr="00813522">
        <w:rPr>
          <w:color w:val="000000"/>
        </w:rPr>
        <w:t>[6]</w:t>
      </w:r>
      <w:r>
        <w:rPr>
          <w:color w:val="000000"/>
        </w:rPr>
        <w:t xml:space="preserve">. Sub-Saharan Africa contributes unevenly to the global pediatric TB burden, with Cameroon being among the 30 highest TB burden countries worldwide </w:t>
      </w:r>
      <w:r w:rsidR="00EF35E3" w:rsidRPr="00813522">
        <w:rPr>
          <w:color w:val="000000"/>
        </w:rPr>
        <w:t>[2]</w:t>
      </w:r>
      <w:r>
        <w:rPr>
          <w:color w:val="000000"/>
        </w:rPr>
        <w:t xml:space="preserve">. In Cameroon, </w:t>
      </w:r>
      <w:r w:rsidR="002E30B9">
        <w:rPr>
          <w:color w:val="000000"/>
        </w:rPr>
        <w:t>the occurrence of TB is</w:t>
      </w:r>
      <w:r>
        <w:rPr>
          <w:color w:val="000000"/>
        </w:rPr>
        <w:t xml:space="preserve"> estimated</w:t>
      </w:r>
      <w:r w:rsidR="002E30B9">
        <w:rPr>
          <w:color w:val="000000"/>
        </w:rPr>
        <w:t xml:space="preserve"> to be</w:t>
      </w:r>
      <w:r>
        <w:rPr>
          <w:color w:val="000000"/>
        </w:rPr>
        <w:t xml:space="preserve"> 164 cases per 100,000 people, with a notable burden among young children </w:t>
      </w:r>
      <w:r w:rsidR="00EF35E3">
        <w:rPr>
          <w:color w:val="000000"/>
        </w:rPr>
        <w:t>[7]</w:t>
      </w:r>
      <w:r>
        <w:rPr>
          <w:color w:val="000000"/>
        </w:rPr>
        <w:t xml:space="preserve">. Pediatric TB remains frequently underdiagnosed and under-reported in this region owing to limited healthcare access, delayed diagnosis, centralized treatment at higher-level facilities, and insufficient awareness among caregivers and healthcare workers </w:t>
      </w:r>
      <w:r w:rsidR="00EF35E3" w:rsidRPr="00813522">
        <w:rPr>
          <w:color w:val="000000"/>
        </w:rPr>
        <w:t>[8]</w:t>
      </w:r>
      <w:r>
        <w:rPr>
          <w:color w:val="000000"/>
        </w:rPr>
        <w:t>.</w:t>
      </w:r>
      <w:r w:rsidR="002E30B9">
        <w:t xml:space="preserve"> </w:t>
      </w:r>
      <w:r>
        <w:rPr>
          <w:color w:val="000000"/>
        </w:rPr>
        <w:t xml:space="preserve">The BCG vaccine remains the only licensed vaccine against TB and is the cornerstone of pediatric TB prevention worldwide. Although BCG vaccines are administered to over 100 million children each year, the vaccine's efficacy varies and is subject to ongoing debate, particularly regarding its protective effect in older children and its duration of protection </w:t>
      </w:r>
      <w:r w:rsidR="00EF35E3" w:rsidRPr="00813522">
        <w:rPr>
          <w:color w:val="000000"/>
        </w:rPr>
        <w:t>[9]</w:t>
      </w:r>
      <w:r>
        <w:rPr>
          <w:color w:val="000000"/>
        </w:rPr>
        <w:t xml:space="preserve">. BCG is especially effective at preventing severe disseminated forms of TB in young children, such as TB meningitis and miliary TB </w:t>
      </w:r>
      <w:r w:rsidR="00EF35E3" w:rsidRPr="00813522">
        <w:rPr>
          <w:color w:val="000000"/>
        </w:rPr>
        <w:t>[10]</w:t>
      </w:r>
      <w:r>
        <w:rPr>
          <w:color w:val="000000"/>
        </w:rPr>
        <w:t xml:space="preserve">. Nevertheless, its ability to prevent pulmonary TB infection decreases with age, and it does not reliably protect against reactivation of latent TB </w:t>
      </w:r>
      <w:r w:rsidR="00EF35E3" w:rsidRPr="00813522">
        <w:rPr>
          <w:color w:val="000000"/>
        </w:rPr>
        <w:t>[11]</w:t>
      </w:r>
      <w:r>
        <w:rPr>
          <w:color w:val="000000"/>
        </w:rPr>
        <w:t>.</w:t>
      </w:r>
      <w:r w:rsidR="00365492">
        <w:t xml:space="preserve"> </w:t>
      </w:r>
      <w:r>
        <w:rPr>
          <w:color w:val="000000"/>
        </w:rPr>
        <w:t>In the Buea Health District, located in the South West Region of Cameroon, the Buea Regional Hospital serves as the sole TB Diagnostic and Treatment Centre. Despite the inclusion of BCG vaccination in the national immunization program, pediatric TB continues to represent a public health challenge. This study therefore aimed to assess BCG vaccination trends and pediatric TB prevalence over five years (2020–2024)</w:t>
      </w:r>
      <w:r w:rsidR="00365492">
        <w:rPr>
          <w:color w:val="000000"/>
        </w:rPr>
        <w:t>.</w:t>
      </w:r>
      <w:r>
        <w:rPr>
          <w:color w:val="000000"/>
        </w:rPr>
        <w:t xml:space="preserve"> Understanding these dynamics is critical for informing evidence-based public health strategies aimed at reducing the burden of childhood TB in this and similar high-burden settings.</w:t>
      </w:r>
    </w:p>
    <w:p w14:paraId="7B487DCD" w14:textId="77777777" w:rsidR="008A0081" w:rsidRDefault="00682B32" w:rsidP="00413079">
      <w:pPr>
        <w:pStyle w:val="Heading1"/>
        <w:spacing w:before="200" w:after="100"/>
      </w:pPr>
      <w:r>
        <w:t>Materials and Methods</w:t>
      </w:r>
    </w:p>
    <w:p w14:paraId="270F1217" w14:textId="77777777" w:rsidR="008A0081" w:rsidRDefault="00682B32" w:rsidP="00413079">
      <w:pPr>
        <w:spacing w:before="160" w:after="80"/>
      </w:pPr>
      <w:r>
        <w:rPr>
          <w:b/>
          <w:bCs/>
        </w:rPr>
        <w:t>Study design and setting</w:t>
      </w:r>
    </w:p>
    <w:p w14:paraId="0835D67F" w14:textId="0800A3F3" w:rsidR="008A0081" w:rsidRDefault="00682B32" w:rsidP="00413079">
      <w:pPr>
        <w:spacing w:after="120"/>
        <w:jc w:val="both"/>
      </w:pPr>
      <w:r>
        <w:rPr>
          <w:color w:val="000000"/>
        </w:rPr>
        <w:t>This was a hospital-based retrospective study conducted at the TB Diagnostic and Treatment Unit and Vaccination Unit of the Buea Regional Hospital, Buea Health District, South West Region, Cameroon</w:t>
      </w:r>
      <w:r w:rsidR="00BF43BA">
        <w:rPr>
          <w:color w:val="000000"/>
        </w:rPr>
        <w:t xml:space="preserve"> from </w:t>
      </w:r>
      <w:r w:rsidR="001007F6">
        <w:rPr>
          <w:color w:val="000000"/>
        </w:rPr>
        <w:t>March 2025 to June 2025</w:t>
      </w:r>
      <w:r>
        <w:rPr>
          <w:color w:val="000000"/>
        </w:rPr>
        <w:t>. The Buea Regional Hospital is a secondary-level referral hospital established in 1995 and is the only TB Diagnostic and Treatment Centre in the district, which comprises seven health areas and 26 health facilities. Data were collected over a five-year period spanning January 2020 to December 2024.</w:t>
      </w:r>
    </w:p>
    <w:p w14:paraId="14728D52" w14:textId="77777777" w:rsidR="008A0081" w:rsidRDefault="00682B32" w:rsidP="00413079">
      <w:pPr>
        <w:spacing w:before="160" w:after="80"/>
      </w:pPr>
      <w:r>
        <w:rPr>
          <w:b/>
          <w:bCs/>
        </w:rPr>
        <w:t>Study population and sampling</w:t>
      </w:r>
    </w:p>
    <w:p w14:paraId="2739A8FF" w14:textId="1DDA6219" w:rsidR="008A0081" w:rsidRDefault="00682B32" w:rsidP="00413079">
      <w:pPr>
        <w:spacing w:after="120"/>
        <w:jc w:val="both"/>
      </w:pPr>
      <w:r>
        <w:rPr>
          <w:color w:val="000000"/>
        </w:rPr>
        <w:t xml:space="preserve">The study targeted all children aged 0–5 years who visited the Buea Regional Hospital TB Diagnostic and Treatment Centre between 2020 and 2024. </w:t>
      </w:r>
      <w:r w:rsidR="00F86B14">
        <w:rPr>
          <w:color w:val="000000"/>
        </w:rPr>
        <w:t>Exhaustive</w:t>
      </w:r>
      <w:r>
        <w:rPr>
          <w:color w:val="000000"/>
        </w:rPr>
        <w:t xml:space="preserve"> sampling was used, focusing on health records of children in this age group, as they represent the primary target for BCG vaccination and are at the highest risk of developing severe forms of TB. The exact sample size was determined by the total volume of available records satisfying the inclusion </w:t>
      </w:r>
      <w:proofErr w:type="gramStart"/>
      <w:r>
        <w:rPr>
          <w:color w:val="000000"/>
        </w:rPr>
        <w:t>criteria</w:t>
      </w:r>
      <w:r w:rsidR="00592509">
        <w:rPr>
          <w:color w:val="000000"/>
        </w:rPr>
        <w:t xml:space="preserve">; </w:t>
      </w:r>
      <w:r w:rsidR="00592509">
        <w:t xml:space="preserve">  </w:t>
      </w:r>
      <w:proofErr w:type="gramEnd"/>
      <w:r w:rsidR="00592509">
        <w:t xml:space="preserve">  </w:t>
      </w:r>
      <w:r w:rsidR="009C4E4E">
        <w:t>c</w:t>
      </w:r>
      <w:r>
        <w:t>hildren aged 0–5 years who received BCG vaccine at the Buea Regional Hospital within the study period</w:t>
      </w:r>
      <w:r w:rsidR="00592509">
        <w:t xml:space="preserve"> and </w:t>
      </w:r>
      <w:r w:rsidR="00FD644B">
        <w:t>C</w:t>
      </w:r>
      <w:r>
        <w:t xml:space="preserve">hildren aged 0–5 years who were diagnosed with or screened for TB within the study </w:t>
      </w:r>
      <w:r>
        <w:lastRenderedPageBreak/>
        <w:t>period.</w:t>
      </w:r>
      <w:r w:rsidR="009C4E4E" w:rsidRPr="009C4E4E">
        <w:t xml:space="preserve"> </w:t>
      </w:r>
      <w:r w:rsidR="009C4E4E">
        <w:t>Children aged 0–5 years with incomplete or absent vaccination or TB records were excluded from the study.</w:t>
      </w:r>
    </w:p>
    <w:p w14:paraId="6A1504FE" w14:textId="77777777" w:rsidR="008A0081" w:rsidRDefault="00682B32" w:rsidP="00413079">
      <w:pPr>
        <w:spacing w:before="160" w:after="80"/>
      </w:pPr>
      <w:r>
        <w:rPr>
          <w:b/>
          <w:bCs/>
        </w:rPr>
        <w:t>Data collection</w:t>
      </w:r>
    </w:p>
    <w:p w14:paraId="436D739E" w14:textId="6606C2AE" w:rsidR="008A0081" w:rsidRDefault="009C4E4E" w:rsidP="00413079">
      <w:pPr>
        <w:spacing w:after="120"/>
        <w:jc w:val="both"/>
      </w:pPr>
      <w:r>
        <w:rPr>
          <w:color w:val="000000"/>
        </w:rPr>
        <w:t>D</w:t>
      </w:r>
      <w:r w:rsidR="00682B32">
        <w:rPr>
          <w:color w:val="000000"/>
        </w:rPr>
        <w:t xml:space="preserve">ata were extracted from existing medical records, vaccination </w:t>
      </w:r>
      <w:r>
        <w:rPr>
          <w:color w:val="000000"/>
        </w:rPr>
        <w:t>regist</w:t>
      </w:r>
      <w:r w:rsidR="00ED5CC3">
        <w:rPr>
          <w:color w:val="000000"/>
        </w:rPr>
        <w:t>ers</w:t>
      </w:r>
      <w:r w:rsidR="00682B32">
        <w:rPr>
          <w:color w:val="000000"/>
        </w:rPr>
        <w:t xml:space="preserve">, and TB registry databases maintained by the Buea Regional Hospital. Key variables included the age and sex of each child, BCG vaccination status, date and method of TB diagnosis, type of TB (pulmonary or extrapulmonary), clinical manifestations, HIV status, and treatment outcomes. </w:t>
      </w:r>
      <w:r w:rsidR="00ED5CC3">
        <w:rPr>
          <w:color w:val="000000"/>
        </w:rPr>
        <w:t>The b</w:t>
      </w:r>
      <w:r w:rsidR="00682B32">
        <w:rPr>
          <w:color w:val="000000"/>
        </w:rPr>
        <w:t>ata were extracted using a structured extraction sheet, and each record was assigned a unique study code (e.g., BRH-2020-001) to protect participant</w:t>
      </w:r>
      <w:r w:rsidR="00ED5CC3">
        <w:rPr>
          <w:color w:val="000000"/>
        </w:rPr>
        <w:t>’s identity</w:t>
      </w:r>
      <w:r w:rsidR="00682B32">
        <w:rPr>
          <w:color w:val="000000"/>
        </w:rPr>
        <w:t>.</w:t>
      </w:r>
    </w:p>
    <w:p w14:paraId="58F94B17" w14:textId="013E4960" w:rsidR="008A0081" w:rsidRDefault="00682B32" w:rsidP="00413079">
      <w:pPr>
        <w:spacing w:before="160" w:after="80"/>
      </w:pPr>
      <w:r>
        <w:rPr>
          <w:b/>
          <w:bCs/>
        </w:rPr>
        <w:t>Data analysis</w:t>
      </w:r>
    </w:p>
    <w:p w14:paraId="6EC29143" w14:textId="40A3A221" w:rsidR="008A0081" w:rsidRDefault="00E55317" w:rsidP="00413079">
      <w:pPr>
        <w:spacing w:after="120"/>
        <w:jc w:val="both"/>
      </w:pPr>
      <w:r>
        <w:rPr>
          <w:color w:val="000000"/>
        </w:rPr>
        <w:t>The e</w:t>
      </w:r>
      <w:r w:rsidR="00682B32">
        <w:rPr>
          <w:color w:val="000000"/>
        </w:rPr>
        <w:t xml:space="preserve">xtracted data were initially entered into Microsoft Excel and subsequently exported to IBM SPSS version 27 for statistical analysis. Annual BCG vaccination </w:t>
      </w:r>
      <w:r>
        <w:rPr>
          <w:color w:val="000000"/>
        </w:rPr>
        <w:t>coverage</w:t>
      </w:r>
      <w:r w:rsidR="00682B32">
        <w:rPr>
          <w:color w:val="000000"/>
        </w:rPr>
        <w:t xml:space="preserve"> and TB prevalence were computed. </w:t>
      </w:r>
      <w:r>
        <w:rPr>
          <w:color w:val="000000"/>
        </w:rPr>
        <w:t>F</w:t>
      </w:r>
      <w:r w:rsidR="00682B32">
        <w:rPr>
          <w:color w:val="000000"/>
        </w:rPr>
        <w:t>igures were generated to illustrate trends over the study period.</w:t>
      </w:r>
    </w:p>
    <w:p w14:paraId="394BA45C" w14:textId="77777777" w:rsidR="008A0081" w:rsidRDefault="00682B32" w:rsidP="00413079">
      <w:pPr>
        <w:spacing w:before="160" w:after="80"/>
      </w:pPr>
      <w:r>
        <w:rPr>
          <w:b/>
          <w:bCs/>
        </w:rPr>
        <w:t>Ethical considerations</w:t>
      </w:r>
    </w:p>
    <w:p w14:paraId="25ED425A" w14:textId="7ED75E26" w:rsidR="008A0081" w:rsidRDefault="00682B32" w:rsidP="00413079">
      <w:pPr>
        <w:spacing w:after="120"/>
        <w:jc w:val="both"/>
      </w:pPr>
      <w:r>
        <w:rPr>
          <w:color w:val="000000"/>
        </w:rPr>
        <w:t>Ethical clearance was obtained from the Regional Ethics Committee for Human Health Research, South West Region (CRESH), Cameroon</w:t>
      </w:r>
      <w:r w:rsidR="004270F5">
        <w:rPr>
          <w:color w:val="000000"/>
        </w:rPr>
        <w:t xml:space="preserve"> ref. No4</w:t>
      </w:r>
      <w:r w:rsidR="00071F14">
        <w:rPr>
          <w:color w:val="000000"/>
        </w:rPr>
        <w:t>74/CRERSH/SW/C/05/2025</w:t>
      </w:r>
      <w:r>
        <w:rPr>
          <w:color w:val="000000"/>
        </w:rPr>
        <w:t xml:space="preserve">. Administrative authorization was obtained from the South West Regional Delegation of Public Health and the Buea Regional Hospital. As this was a purely retrospective study based on existing medical records, no direct patient interaction occurred and no informed consent was required. All records were anonymized, and data were stored on a password-protected device accessible only to authorized research personnel. </w:t>
      </w:r>
    </w:p>
    <w:p w14:paraId="1A1743E0" w14:textId="77777777" w:rsidR="008A0081" w:rsidRDefault="00682B32" w:rsidP="00413079">
      <w:pPr>
        <w:pStyle w:val="Heading1"/>
        <w:spacing w:before="200" w:after="100"/>
      </w:pPr>
      <w:r>
        <w:t>Results</w:t>
      </w:r>
    </w:p>
    <w:p w14:paraId="09939F4D" w14:textId="0946D5E4" w:rsidR="008A0081" w:rsidRDefault="00682B32" w:rsidP="00413079">
      <w:pPr>
        <w:spacing w:before="160" w:after="80"/>
      </w:pPr>
      <w:r>
        <w:rPr>
          <w:b/>
          <w:bCs/>
        </w:rPr>
        <w:t>Sociodemographic characteristics</w:t>
      </w:r>
      <w:r w:rsidR="00895778">
        <w:rPr>
          <w:b/>
          <w:bCs/>
        </w:rPr>
        <w:t xml:space="preserve"> of TB cases</w:t>
      </w:r>
    </w:p>
    <w:p w14:paraId="7F5305EA" w14:textId="2E2B0CF5" w:rsidR="008A0081" w:rsidRDefault="00682B32" w:rsidP="00413079">
      <w:pPr>
        <w:spacing w:after="120"/>
        <w:jc w:val="both"/>
      </w:pPr>
      <w:r>
        <w:rPr>
          <w:color w:val="000000"/>
        </w:rPr>
        <w:t>A total of 172 children aged 0–5 years</w:t>
      </w:r>
      <w:r w:rsidR="00263B8A">
        <w:rPr>
          <w:color w:val="000000"/>
        </w:rPr>
        <w:t xml:space="preserve"> with suspected sign and symptoms for TB</w:t>
      </w:r>
      <w:r>
        <w:rPr>
          <w:color w:val="000000"/>
        </w:rPr>
        <w:t xml:space="preserve"> were registered at the TB unit during the study period. Of these, 93 (54.1%) were male and 79 (45.9%) were female (Table 1). The age distribution revealed that TB consultations were concentrated in the first year of life</w:t>
      </w:r>
      <w:r w:rsidR="00DB2B0C">
        <w:rPr>
          <w:color w:val="000000"/>
        </w:rPr>
        <w:t>;</w:t>
      </w:r>
      <w:r>
        <w:rPr>
          <w:color w:val="000000"/>
        </w:rPr>
        <w:t xml:space="preserve"> 0–</w:t>
      </w:r>
      <w:r w:rsidR="00B36F90">
        <w:rPr>
          <w:color w:val="000000"/>
        </w:rPr>
        <w:t>6-month</w:t>
      </w:r>
      <w:r>
        <w:rPr>
          <w:color w:val="000000"/>
        </w:rPr>
        <w:t xml:space="preserve"> age group accounted for the largest proportion (50 children; 29.1%), followed by the 6–</w:t>
      </w:r>
      <w:r w:rsidR="00B36F90">
        <w:rPr>
          <w:color w:val="000000"/>
        </w:rPr>
        <w:t>12-month</w:t>
      </w:r>
      <w:r>
        <w:rPr>
          <w:color w:val="000000"/>
        </w:rPr>
        <w:t xml:space="preserve"> group (46; 26.7%), collectively representing 55.8% of all recorded cases. Geographic data were missing for the majority (111; 64.5%) of records. Among those with available location data, </w:t>
      </w:r>
      <w:proofErr w:type="spellStart"/>
      <w:r>
        <w:rPr>
          <w:color w:val="000000"/>
        </w:rPr>
        <w:t>Muea</w:t>
      </w:r>
      <w:proofErr w:type="spellEnd"/>
      <w:r>
        <w:rPr>
          <w:color w:val="000000"/>
        </w:rPr>
        <w:t xml:space="preserve"> was the most frequently cited community (11; 6.4%), followed by Sandpit (7; 4.1%).</w:t>
      </w:r>
    </w:p>
    <w:p w14:paraId="2F16E402" w14:textId="77777777" w:rsidR="008A0081" w:rsidRDefault="008A0081" w:rsidP="005C218C">
      <w:pPr>
        <w:spacing w:after="80" w:line="480" w:lineRule="auto"/>
      </w:pPr>
    </w:p>
    <w:p w14:paraId="616E5BDC" w14:textId="3AED4B03" w:rsidR="00DB2B0C" w:rsidRDefault="00DB2B0C" w:rsidP="005C218C">
      <w:pPr>
        <w:spacing w:before="80" w:after="80" w:line="480" w:lineRule="auto"/>
        <w:jc w:val="center"/>
        <w:rPr>
          <w:b/>
          <w:bCs/>
          <w:sz w:val="20"/>
          <w:szCs w:val="20"/>
        </w:rPr>
      </w:pPr>
    </w:p>
    <w:p w14:paraId="3C6377D9" w14:textId="4EF99DCB" w:rsidR="005C218C" w:rsidRDefault="005C218C" w:rsidP="005C218C">
      <w:pPr>
        <w:spacing w:before="80" w:after="80" w:line="480" w:lineRule="auto"/>
        <w:jc w:val="center"/>
        <w:rPr>
          <w:b/>
          <w:bCs/>
          <w:sz w:val="20"/>
          <w:szCs w:val="20"/>
        </w:rPr>
      </w:pPr>
    </w:p>
    <w:p w14:paraId="5927460B" w14:textId="77777777" w:rsidR="005C218C" w:rsidRDefault="005C218C" w:rsidP="005C218C">
      <w:pPr>
        <w:spacing w:before="80" w:after="80" w:line="480" w:lineRule="auto"/>
        <w:jc w:val="center"/>
        <w:rPr>
          <w:b/>
          <w:bCs/>
          <w:sz w:val="20"/>
          <w:szCs w:val="20"/>
        </w:rPr>
      </w:pPr>
    </w:p>
    <w:p w14:paraId="25646D9E" w14:textId="77777777" w:rsidR="00DB2B0C" w:rsidRDefault="00DB2B0C">
      <w:pPr>
        <w:spacing w:before="80" w:after="80"/>
        <w:jc w:val="center"/>
        <w:rPr>
          <w:b/>
          <w:bCs/>
          <w:sz w:val="20"/>
          <w:szCs w:val="20"/>
        </w:rPr>
      </w:pPr>
    </w:p>
    <w:p w14:paraId="1C360043" w14:textId="61C6DEF6" w:rsidR="008A0081" w:rsidRDefault="00682B32">
      <w:pPr>
        <w:spacing w:before="80" w:after="80"/>
        <w:jc w:val="center"/>
      </w:pPr>
      <w:r>
        <w:rPr>
          <w:b/>
          <w:bCs/>
          <w:sz w:val="20"/>
          <w:szCs w:val="20"/>
        </w:rPr>
        <w:t>Table 1. Sociodemographic characteristics of children (0–5 years) at the Buea Regional Hospital TB Unit (2020–2024); N = 172</w:t>
      </w:r>
    </w:p>
    <w:tbl>
      <w:tblPr>
        <w:tblStyle w:val="TableGrid"/>
        <w:tblW w:w="0" w:type="auto"/>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68"/>
        <w:gridCol w:w="2042"/>
        <w:gridCol w:w="1405"/>
        <w:gridCol w:w="1349"/>
      </w:tblGrid>
      <w:tr w:rsidR="00C46FB6" w:rsidRPr="00F53A0B" w14:paraId="352CE24E" w14:textId="77777777" w:rsidTr="0029622B">
        <w:trPr>
          <w:trHeight w:val="537"/>
        </w:trPr>
        <w:tc>
          <w:tcPr>
            <w:tcW w:w="1868" w:type="dxa"/>
            <w:tcBorders>
              <w:top w:val="single" w:sz="12" w:space="0" w:color="000000" w:themeColor="text1"/>
              <w:bottom w:val="single" w:sz="12" w:space="0" w:color="000000" w:themeColor="text1"/>
            </w:tcBorders>
            <w:hideMark/>
          </w:tcPr>
          <w:p w14:paraId="60F690A6"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lastRenderedPageBreak/>
              <w:t>Variable</w:t>
            </w:r>
          </w:p>
        </w:tc>
        <w:tc>
          <w:tcPr>
            <w:tcW w:w="2042" w:type="dxa"/>
            <w:tcBorders>
              <w:top w:val="single" w:sz="12" w:space="0" w:color="000000" w:themeColor="text1"/>
              <w:bottom w:val="single" w:sz="12" w:space="0" w:color="000000" w:themeColor="text1"/>
            </w:tcBorders>
            <w:hideMark/>
          </w:tcPr>
          <w:p w14:paraId="6E182650"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t>Options</w:t>
            </w:r>
          </w:p>
        </w:tc>
        <w:tc>
          <w:tcPr>
            <w:tcW w:w="1405" w:type="dxa"/>
            <w:tcBorders>
              <w:top w:val="single" w:sz="12" w:space="0" w:color="000000" w:themeColor="text1"/>
              <w:bottom w:val="single" w:sz="12" w:space="0" w:color="000000" w:themeColor="text1"/>
            </w:tcBorders>
            <w:hideMark/>
          </w:tcPr>
          <w:p w14:paraId="2F82CE7D"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t>Frequency</w:t>
            </w:r>
          </w:p>
        </w:tc>
        <w:tc>
          <w:tcPr>
            <w:tcW w:w="1309" w:type="dxa"/>
            <w:tcBorders>
              <w:top w:val="single" w:sz="12" w:space="0" w:color="000000" w:themeColor="text1"/>
              <w:bottom w:val="single" w:sz="12" w:space="0" w:color="000000" w:themeColor="text1"/>
            </w:tcBorders>
            <w:hideMark/>
          </w:tcPr>
          <w:p w14:paraId="48385BF7"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t>Percentage (%)</w:t>
            </w:r>
          </w:p>
        </w:tc>
      </w:tr>
      <w:tr w:rsidR="00C46FB6" w:rsidRPr="00F53A0B" w14:paraId="343061FD" w14:textId="77777777" w:rsidTr="0029622B">
        <w:trPr>
          <w:trHeight w:val="283"/>
        </w:trPr>
        <w:tc>
          <w:tcPr>
            <w:tcW w:w="1868" w:type="dxa"/>
            <w:tcBorders>
              <w:top w:val="single" w:sz="12" w:space="0" w:color="000000" w:themeColor="text1"/>
            </w:tcBorders>
            <w:hideMark/>
          </w:tcPr>
          <w:p w14:paraId="15F2A06E" w14:textId="77777777" w:rsidR="00C46FB6" w:rsidRPr="00F53A0B" w:rsidRDefault="00C46FB6" w:rsidP="0029622B">
            <w:pPr>
              <w:rPr>
                <w:rFonts w:ascii="Times New Roman" w:eastAsia="Times New Roman"/>
                <w:sz w:val="24"/>
                <w:szCs w:val="24"/>
              </w:rPr>
            </w:pPr>
            <w:r w:rsidRPr="00F53A0B">
              <w:rPr>
                <w:rFonts w:ascii="Times New Roman" w:eastAsia="Times New Roman"/>
                <w:b/>
                <w:bCs/>
                <w:sz w:val="24"/>
                <w:szCs w:val="24"/>
              </w:rPr>
              <w:t>Sex</w:t>
            </w:r>
          </w:p>
        </w:tc>
        <w:tc>
          <w:tcPr>
            <w:tcW w:w="2042" w:type="dxa"/>
            <w:tcBorders>
              <w:top w:val="single" w:sz="12" w:space="0" w:color="000000" w:themeColor="text1"/>
            </w:tcBorders>
            <w:hideMark/>
          </w:tcPr>
          <w:p w14:paraId="18016A7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Male (M)</w:t>
            </w:r>
          </w:p>
        </w:tc>
        <w:tc>
          <w:tcPr>
            <w:tcW w:w="1405" w:type="dxa"/>
            <w:tcBorders>
              <w:top w:val="single" w:sz="12" w:space="0" w:color="000000" w:themeColor="text1"/>
            </w:tcBorders>
            <w:hideMark/>
          </w:tcPr>
          <w:p w14:paraId="095EFEA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93</w:t>
            </w:r>
          </w:p>
        </w:tc>
        <w:tc>
          <w:tcPr>
            <w:tcW w:w="1309" w:type="dxa"/>
            <w:tcBorders>
              <w:top w:val="single" w:sz="12" w:space="0" w:color="000000" w:themeColor="text1"/>
            </w:tcBorders>
            <w:hideMark/>
          </w:tcPr>
          <w:p w14:paraId="1C5CEE58"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54.1</w:t>
            </w:r>
          </w:p>
        </w:tc>
      </w:tr>
      <w:tr w:rsidR="00C46FB6" w:rsidRPr="00F53A0B" w14:paraId="2CAFF5FD" w14:textId="77777777" w:rsidTr="0029622B">
        <w:trPr>
          <w:trHeight w:val="537"/>
        </w:trPr>
        <w:tc>
          <w:tcPr>
            <w:tcW w:w="1868" w:type="dxa"/>
            <w:hideMark/>
          </w:tcPr>
          <w:p w14:paraId="3F2BED58" w14:textId="77777777" w:rsidR="00C46FB6" w:rsidRPr="00F53A0B" w:rsidRDefault="00C46FB6" w:rsidP="0029622B">
            <w:pPr>
              <w:rPr>
                <w:rFonts w:ascii="Times New Roman" w:eastAsia="Times New Roman"/>
                <w:sz w:val="24"/>
                <w:szCs w:val="24"/>
              </w:rPr>
            </w:pPr>
          </w:p>
        </w:tc>
        <w:tc>
          <w:tcPr>
            <w:tcW w:w="2042" w:type="dxa"/>
            <w:hideMark/>
          </w:tcPr>
          <w:p w14:paraId="133D18EC"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Female (F)</w:t>
            </w:r>
          </w:p>
        </w:tc>
        <w:tc>
          <w:tcPr>
            <w:tcW w:w="1405" w:type="dxa"/>
            <w:hideMark/>
          </w:tcPr>
          <w:p w14:paraId="29F1C1F2"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79</w:t>
            </w:r>
          </w:p>
        </w:tc>
        <w:tc>
          <w:tcPr>
            <w:tcW w:w="1309" w:type="dxa"/>
            <w:hideMark/>
          </w:tcPr>
          <w:p w14:paraId="3AAA1AD6"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45.9</w:t>
            </w:r>
          </w:p>
          <w:p w14:paraId="2AD446E1" w14:textId="77777777" w:rsidR="00C46FB6" w:rsidRPr="00F53A0B" w:rsidRDefault="00C46FB6" w:rsidP="0029622B">
            <w:pPr>
              <w:rPr>
                <w:rFonts w:ascii="Times New Roman" w:eastAsia="Times New Roman"/>
                <w:sz w:val="24"/>
                <w:szCs w:val="24"/>
              </w:rPr>
            </w:pPr>
          </w:p>
        </w:tc>
      </w:tr>
      <w:tr w:rsidR="00C46FB6" w:rsidRPr="00F53A0B" w14:paraId="01B936E4" w14:textId="77777777" w:rsidTr="0029622B">
        <w:trPr>
          <w:trHeight w:val="283"/>
        </w:trPr>
        <w:tc>
          <w:tcPr>
            <w:tcW w:w="1868" w:type="dxa"/>
            <w:hideMark/>
          </w:tcPr>
          <w:p w14:paraId="757CB2FD" w14:textId="77777777" w:rsidR="00C46FB6" w:rsidRPr="00F53A0B" w:rsidRDefault="00C46FB6" w:rsidP="0029622B">
            <w:pPr>
              <w:rPr>
                <w:rFonts w:ascii="Times New Roman" w:eastAsia="Times New Roman"/>
                <w:sz w:val="24"/>
                <w:szCs w:val="24"/>
              </w:rPr>
            </w:pPr>
            <w:r w:rsidRPr="00F53A0B">
              <w:rPr>
                <w:rFonts w:ascii="Times New Roman" w:eastAsia="Times New Roman"/>
                <w:b/>
                <w:bCs/>
                <w:sz w:val="24"/>
                <w:szCs w:val="24"/>
              </w:rPr>
              <w:t>Age (months)</w:t>
            </w:r>
          </w:p>
        </w:tc>
        <w:tc>
          <w:tcPr>
            <w:tcW w:w="2042" w:type="dxa"/>
            <w:hideMark/>
          </w:tcPr>
          <w:p w14:paraId="4BEB8A12"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0</w:t>
            </w:r>
            <w:r w:rsidRPr="00F53A0B">
              <w:rPr>
                <w:rFonts w:ascii="Times New Roman" w:eastAsia="Times New Roman"/>
                <w:sz w:val="24"/>
                <w:szCs w:val="24"/>
              </w:rPr>
              <w:t>–</w:t>
            </w:r>
            <w:r w:rsidRPr="00F53A0B">
              <w:rPr>
                <w:rFonts w:ascii="Times New Roman" w:eastAsia="Times New Roman"/>
                <w:sz w:val="24"/>
                <w:szCs w:val="24"/>
              </w:rPr>
              <w:t>6</w:t>
            </w:r>
          </w:p>
        </w:tc>
        <w:tc>
          <w:tcPr>
            <w:tcW w:w="1405" w:type="dxa"/>
            <w:hideMark/>
          </w:tcPr>
          <w:p w14:paraId="261CBF9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50</w:t>
            </w:r>
          </w:p>
        </w:tc>
        <w:tc>
          <w:tcPr>
            <w:tcW w:w="1309" w:type="dxa"/>
            <w:hideMark/>
          </w:tcPr>
          <w:p w14:paraId="37EFB32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29.1</w:t>
            </w:r>
          </w:p>
        </w:tc>
      </w:tr>
      <w:tr w:rsidR="00C46FB6" w:rsidRPr="00F53A0B" w14:paraId="3C20C31C" w14:textId="77777777" w:rsidTr="0029622B">
        <w:trPr>
          <w:trHeight w:val="268"/>
        </w:trPr>
        <w:tc>
          <w:tcPr>
            <w:tcW w:w="1868" w:type="dxa"/>
            <w:hideMark/>
          </w:tcPr>
          <w:p w14:paraId="397B7A22" w14:textId="77777777" w:rsidR="00C46FB6" w:rsidRPr="00F53A0B" w:rsidRDefault="00C46FB6" w:rsidP="0029622B">
            <w:pPr>
              <w:rPr>
                <w:rFonts w:ascii="Times New Roman" w:eastAsia="Times New Roman"/>
                <w:sz w:val="24"/>
                <w:szCs w:val="24"/>
              </w:rPr>
            </w:pPr>
          </w:p>
        </w:tc>
        <w:tc>
          <w:tcPr>
            <w:tcW w:w="2042" w:type="dxa"/>
            <w:hideMark/>
          </w:tcPr>
          <w:p w14:paraId="510931C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6</w:t>
            </w:r>
            <w:r w:rsidRPr="00F53A0B">
              <w:rPr>
                <w:rFonts w:ascii="Times New Roman" w:eastAsia="Times New Roman"/>
                <w:sz w:val="24"/>
                <w:szCs w:val="24"/>
              </w:rPr>
              <w:t>–</w:t>
            </w:r>
            <w:r w:rsidRPr="00F53A0B">
              <w:rPr>
                <w:rFonts w:ascii="Times New Roman" w:eastAsia="Times New Roman"/>
                <w:sz w:val="24"/>
                <w:szCs w:val="24"/>
              </w:rPr>
              <w:t>12</w:t>
            </w:r>
          </w:p>
        </w:tc>
        <w:tc>
          <w:tcPr>
            <w:tcW w:w="1405" w:type="dxa"/>
            <w:hideMark/>
          </w:tcPr>
          <w:p w14:paraId="68C6D44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46</w:t>
            </w:r>
          </w:p>
        </w:tc>
        <w:tc>
          <w:tcPr>
            <w:tcW w:w="1309" w:type="dxa"/>
            <w:hideMark/>
          </w:tcPr>
          <w:p w14:paraId="2ECAFB8B"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26.7</w:t>
            </w:r>
          </w:p>
        </w:tc>
      </w:tr>
      <w:tr w:rsidR="00C46FB6" w:rsidRPr="00F53A0B" w14:paraId="74F88C5D" w14:textId="77777777" w:rsidTr="0029622B">
        <w:trPr>
          <w:trHeight w:val="283"/>
        </w:trPr>
        <w:tc>
          <w:tcPr>
            <w:tcW w:w="1868" w:type="dxa"/>
            <w:hideMark/>
          </w:tcPr>
          <w:p w14:paraId="4FE9EB2D" w14:textId="77777777" w:rsidR="00C46FB6" w:rsidRPr="00F53A0B" w:rsidRDefault="00C46FB6" w:rsidP="0029622B">
            <w:pPr>
              <w:rPr>
                <w:rFonts w:ascii="Times New Roman" w:eastAsia="Times New Roman"/>
                <w:sz w:val="24"/>
                <w:szCs w:val="24"/>
              </w:rPr>
            </w:pPr>
          </w:p>
        </w:tc>
        <w:tc>
          <w:tcPr>
            <w:tcW w:w="2042" w:type="dxa"/>
            <w:hideMark/>
          </w:tcPr>
          <w:p w14:paraId="5BF00DA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12</w:t>
            </w:r>
            <w:r w:rsidRPr="00F53A0B">
              <w:rPr>
                <w:rFonts w:ascii="Times New Roman" w:eastAsia="Times New Roman"/>
                <w:sz w:val="24"/>
                <w:szCs w:val="24"/>
              </w:rPr>
              <w:t>–</w:t>
            </w:r>
            <w:r w:rsidRPr="00F53A0B">
              <w:rPr>
                <w:rFonts w:ascii="Times New Roman" w:eastAsia="Times New Roman"/>
                <w:sz w:val="24"/>
                <w:szCs w:val="24"/>
              </w:rPr>
              <w:t>18</w:t>
            </w:r>
          </w:p>
        </w:tc>
        <w:tc>
          <w:tcPr>
            <w:tcW w:w="1405" w:type="dxa"/>
            <w:hideMark/>
          </w:tcPr>
          <w:p w14:paraId="23491750"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10</w:t>
            </w:r>
          </w:p>
        </w:tc>
        <w:tc>
          <w:tcPr>
            <w:tcW w:w="1309" w:type="dxa"/>
            <w:hideMark/>
          </w:tcPr>
          <w:p w14:paraId="461028C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5.8</w:t>
            </w:r>
          </w:p>
        </w:tc>
      </w:tr>
      <w:tr w:rsidR="00C46FB6" w:rsidRPr="00F53A0B" w14:paraId="76A5BF0D" w14:textId="77777777" w:rsidTr="0029622B">
        <w:trPr>
          <w:trHeight w:val="268"/>
        </w:trPr>
        <w:tc>
          <w:tcPr>
            <w:tcW w:w="1868" w:type="dxa"/>
            <w:hideMark/>
          </w:tcPr>
          <w:p w14:paraId="7E2DCF95" w14:textId="77777777" w:rsidR="00C46FB6" w:rsidRPr="00F53A0B" w:rsidRDefault="00C46FB6" w:rsidP="0029622B">
            <w:pPr>
              <w:rPr>
                <w:rFonts w:ascii="Times New Roman" w:eastAsia="Times New Roman"/>
                <w:sz w:val="24"/>
                <w:szCs w:val="24"/>
              </w:rPr>
            </w:pPr>
          </w:p>
        </w:tc>
        <w:tc>
          <w:tcPr>
            <w:tcW w:w="2042" w:type="dxa"/>
            <w:hideMark/>
          </w:tcPr>
          <w:p w14:paraId="3E81747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18</w:t>
            </w:r>
            <w:r w:rsidRPr="00F53A0B">
              <w:rPr>
                <w:rFonts w:ascii="Times New Roman" w:eastAsia="Times New Roman"/>
                <w:sz w:val="24"/>
                <w:szCs w:val="24"/>
              </w:rPr>
              <w:t>–</w:t>
            </w:r>
            <w:r w:rsidRPr="00F53A0B">
              <w:rPr>
                <w:rFonts w:ascii="Times New Roman" w:eastAsia="Times New Roman"/>
                <w:sz w:val="24"/>
                <w:szCs w:val="24"/>
              </w:rPr>
              <w:t>24</w:t>
            </w:r>
          </w:p>
        </w:tc>
        <w:tc>
          <w:tcPr>
            <w:tcW w:w="1405" w:type="dxa"/>
            <w:hideMark/>
          </w:tcPr>
          <w:p w14:paraId="075D3A38"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14</w:t>
            </w:r>
          </w:p>
        </w:tc>
        <w:tc>
          <w:tcPr>
            <w:tcW w:w="1309" w:type="dxa"/>
            <w:hideMark/>
          </w:tcPr>
          <w:p w14:paraId="1E8F330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8.1</w:t>
            </w:r>
          </w:p>
        </w:tc>
      </w:tr>
      <w:tr w:rsidR="00C46FB6" w:rsidRPr="00F53A0B" w14:paraId="2EDB10C1" w14:textId="77777777" w:rsidTr="0029622B">
        <w:trPr>
          <w:trHeight w:val="268"/>
        </w:trPr>
        <w:tc>
          <w:tcPr>
            <w:tcW w:w="1868" w:type="dxa"/>
            <w:hideMark/>
          </w:tcPr>
          <w:p w14:paraId="4F9F4D4F" w14:textId="77777777" w:rsidR="00C46FB6" w:rsidRPr="00F53A0B" w:rsidRDefault="00C46FB6" w:rsidP="0029622B">
            <w:pPr>
              <w:rPr>
                <w:rFonts w:ascii="Times New Roman" w:eastAsia="Times New Roman"/>
                <w:sz w:val="24"/>
                <w:szCs w:val="24"/>
              </w:rPr>
            </w:pPr>
          </w:p>
        </w:tc>
        <w:tc>
          <w:tcPr>
            <w:tcW w:w="2042" w:type="dxa"/>
            <w:hideMark/>
          </w:tcPr>
          <w:p w14:paraId="2D65A5A5"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24</w:t>
            </w:r>
            <w:r w:rsidRPr="00F53A0B">
              <w:rPr>
                <w:rFonts w:ascii="Times New Roman" w:eastAsia="Times New Roman"/>
                <w:sz w:val="24"/>
                <w:szCs w:val="24"/>
              </w:rPr>
              <w:t>–</w:t>
            </w:r>
            <w:r w:rsidRPr="00F53A0B">
              <w:rPr>
                <w:rFonts w:ascii="Times New Roman" w:eastAsia="Times New Roman"/>
                <w:sz w:val="24"/>
                <w:szCs w:val="24"/>
              </w:rPr>
              <w:t>30</w:t>
            </w:r>
          </w:p>
        </w:tc>
        <w:tc>
          <w:tcPr>
            <w:tcW w:w="1405" w:type="dxa"/>
            <w:hideMark/>
          </w:tcPr>
          <w:p w14:paraId="2F906B88"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w:t>
            </w:r>
          </w:p>
        </w:tc>
        <w:tc>
          <w:tcPr>
            <w:tcW w:w="1309" w:type="dxa"/>
            <w:hideMark/>
          </w:tcPr>
          <w:p w14:paraId="527A09E9"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1.2</w:t>
            </w:r>
          </w:p>
        </w:tc>
      </w:tr>
      <w:tr w:rsidR="00C46FB6" w:rsidRPr="00F53A0B" w14:paraId="762226B9" w14:textId="77777777" w:rsidTr="0029622B">
        <w:trPr>
          <w:trHeight w:val="283"/>
        </w:trPr>
        <w:tc>
          <w:tcPr>
            <w:tcW w:w="1868" w:type="dxa"/>
            <w:hideMark/>
          </w:tcPr>
          <w:p w14:paraId="251E7F2D" w14:textId="77777777" w:rsidR="00C46FB6" w:rsidRPr="00F53A0B" w:rsidRDefault="00C46FB6" w:rsidP="0029622B">
            <w:pPr>
              <w:rPr>
                <w:rFonts w:ascii="Times New Roman" w:eastAsia="Times New Roman"/>
                <w:sz w:val="24"/>
                <w:szCs w:val="24"/>
              </w:rPr>
            </w:pPr>
          </w:p>
        </w:tc>
        <w:tc>
          <w:tcPr>
            <w:tcW w:w="2042" w:type="dxa"/>
            <w:hideMark/>
          </w:tcPr>
          <w:p w14:paraId="1E01AAA1"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30</w:t>
            </w:r>
            <w:r w:rsidRPr="00F53A0B">
              <w:rPr>
                <w:rFonts w:ascii="Times New Roman" w:eastAsia="Times New Roman"/>
                <w:sz w:val="24"/>
                <w:szCs w:val="24"/>
              </w:rPr>
              <w:t>–</w:t>
            </w:r>
            <w:r w:rsidRPr="00F53A0B">
              <w:rPr>
                <w:rFonts w:ascii="Times New Roman" w:eastAsia="Times New Roman"/>
                <w:sz w:val="24"/>
                <w:szCs w:val="24"/>
              </w:rPr>
              <w:t>36</w:t>
            </w:r>
          </w:p>
        </w:tc>
        <w:tc>
          <w:tcPr>
            <w:tcW w:w="1405" w:type="dxa"/>
            <w:hideMark/>
          </w:tcPr>
          <w:p w14:paraId="40FBAEB1"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15</w:t>
            </w:r>
          </w:p>
        </w:tc>
        <w:tc>
          <w:tcPr>
            <w:tcW w:w="1309" w:type="dxa"/>
            <w:hideMark/>
          </w:tcPr>
          <w:p w14:paraId="12698BB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8.7</w:t>
            </w:r>
          </w:p>
        </w:tc>
      </w:tr>
      <w:tr w:rsidR="00C46FB6" w:rsidRPr="00F53A0B" w14:paraId="25283CB3" w14:textId="77777777" w:rsidTr="0029622B">
        <w:trPr>
          <w:trHeight w:val="268"/>
        </w:trPr>
        <w:tc>
          <w:tcPr>
            <w:tcW w:w="1868" w:type="dxa"/>
            <w:hideMark/>
          </w:tcPr>
          <w:p w14:paraId="17348457" w14:textId="77777777" w:rsidR="00C46FB6" w:rsidRPr="00F53A0B" w:rsidRDefault="00C46FB6" w:rsidP="0029622B">
            <w:pPr>
              <w:rPr>
                <w:rFonts w:ascii="Times New Roman" w:eastAsia="Times New Roman"/>
                <w:sz w:val="24"/>
                <w:szCs w:val="24"/>
              </w:rPr>
            </w:pPr>
          </w:p>
        </w:tc>
        <w:tc>
          <w:tcPr>
            <w:tcW w:w="2042" w:type="dxa"/>
            <w:hideMark/>
          </w:tcPr>
          <w:p w14:paraId="54C5BE45"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42</w:t>
            </w:r>
            <w:r w:rsidRPr="00F53A0B">
              <w:rPr>
                <w:rFonts w:ascii="Times New Roman" w:eastAsia="Times New Roman"/>
                <w:sz w:val="24"/>
                <w:szCs w:val="24"/>
              </w:rPr>
              <w:t>–</w:t>
            </w:r>
            <w:r w:rsidRPr="00F53A0B">
              <w:rPr>
                <w:rFonts w:ascii="Times New Roman" w:eastAsia="Times New Roman"/>
                <w:sz w:val="24"/>
                <w:szCs w:val="24"/>
              </w:rPr>
              <w:t>48</w:t>
            </w:r>
          </w:p>
        </w:tc>
        <w:tc>
          <w:tcPr>
            <w:tcW w:w="1405" w:type="dxa"/>
            <w:hideMark/>
          </w:tcPr>
          <w:p w14:paraId="41212D8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13</w:t>
            </w:r>
          </w:p>
        </w:tc>
        <w:tc>
          <w:tcPr>
            <w:tcW w:w="1309" w:type="dxa"/>
            <w:hideMark/>
          </w:tcPr>
          <w:p w14:paraId="30DCE41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7.6</w:t>
            </w:r>
          </w:p>
        </w:tc>
      </w:tr>
      <w:tr w:rsidR="00C46FB6" w:rsidRPr="00F53A0B" w14:paraId="5527C6A0" w14:textId="77777777" w:rsidTr="0029622B">
        <w:trPr>
          <w:trHeight w:val="552"/>
        </w:trPr>
        <w:tc>
          <w:tcPr>
            <w:tcW w:w="1868" w:type="dxa"/>
            <w:hideMark/>
          </w:tcPr>
          <w:p w14:paraId="13AD64CA" w14:textId="77777777" w:rsidR="00C46FB6" w:rsidRPr="00F53A0B" w:rsidRDefault="00C46FB6" w:rsidP="0029622B">
            <w:pPr>
              <w:rPr>
                <w:rFonts w:ascii="Times New Roman" w:eastAsia="Times New Roman"/>
                <w:sz w:val="24"/>
                <w:szCs w:val="24"/>
              </w:rPr>
            </w:pPr>
          </w:p>
        </w:tc>
        <w:tc>
          <w:tcPr>
            <w:tcW w:w="2042" w:type="dxa"/>
            <w:hideMark/>
          </w:tcPr>
          <w:p w14:paraId="7E0050F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54</w:t>
            </w:r>
            <w:r w:rsidRPr="00F53A0B">
              <w:rPr>
                <w:rFonts w:ascii="Times New Roman" w:eastAsia="Times New Roman"/>
                <w:sz w:val="24"/>
                <w:szCs w:val="24"/>
              </w:rPr>
              <w:t>–</w:t>
            </w:r>
            <w:r w:rsidRPr="00F53A0B">
              <w:rPr>
                <w:rFonts w:ascii="Times New Roman" w:eastAsia="Times New Roman"/>
                <w:sz w:val="24"/>
                <w:szCs w:val="24"/>
              </w:rPr>
              <w:t>60</w:t>
            </w:r>
          </w:p>
          <w:p w14:paraId="6D2F7E7A" w14:textId="77777777" w:rsidR="00C46FB6" w:rsidRPr="00F53A0B" w:rsidRDefault="00C46FB6" w:rsidP="0029622B">
            <w:pPr>
              <w:rPr>
                <w:rFonts w:ascii="Times New Roman" w:eastAsia="Times New Roman"/>
                <w:sz w:val="24"/>
                <w:szCs w:val="24"/>
              </w:rPr>
            </w:pPr>
          </w:p>
        </w:tc>
        <w:tc>
          <w:tcPr>
            <w:tcW w:w="1405" w:type="dxa"/>
            <w:hideMark/>
          </w:tcPr>
          <w:p w14:paraId="521411AB"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22</w:t>
            </w:r>
          </w:p>
        </w:tc>
        <w:tc>
          <w:tcPr>
            <w:tcW w:w="1309" w:type="dxa"/>
            <w:hideMark/>
          </w:tcPr>
          <w:p w14:paraId="66F6B6FE"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12.8</w:t>
            </w:r>
          </w:p>
          <w:p w14:paraId="21D7215E" w14:textId="77777777" w:rsidR="00C46FB6" w:rsidRPr="00F53A0B" w:rsidRDefault="00C46FB6" w:rsidP="0029622B">
            <w:pPr>
              <w:rPr>
                <w:rFonts w:ascii="Times New Roman" w:eastAsia="Times New Roman"/>
                <w:sz w:val="24"/>
                <w:szCs w:val="24"/>
              </w:rPr>
            </w:pPr>
          </w:p>
        </w:tc>
      </w:tr>
      <w:tr w:rsidR="00C46FB6" w:rsidRPr="00F53A0B" w14:paraId="7812C104" w14:textId="77777777" w:rsidTr="0029622B">
        <w:trPr>
          <w:trHeight w:val="268"/>
        </w:trPr>
        <w:tc>
          <w:tcPr>
            <w:tcW w:w="1868" w:type="dxa"/>
            <w:hideMark/>
          </w:tcPr>
          <w:p w14:paraId="71FBB9CB" w14:textId="77777777" w:rsidR="00C46FB6" w:rsidRPr="00F53A0B" w:rsidRDefault="00C46FB6" w:rsidP="0029622B">
            <w:pPr>
              <w:rPr>
                <w:rFonts w:ascii="Times New Roman" w:eastAsia="Times New Roman"/>
                <w:b/>
                <w:bCs/>
                <w:sz w:val="24"/>
                <w:szCs w:val="24"/>
              </w:rPr>
            </w:pPr>
            <w:r w:rsidRPr="00F53A0B">
              <w:rPr>
                <w:rFonts w:ascii="Times New Roman" w:eastAsia="Times New Roman"/>
                <w:b/>
                <w:bCs/>
                <w:sz w:val="24"/>
                <w:szCs w:val="24"/>
              </w:rPr>
              <w:t>Location</w:t>
            </w:r>
          </w:p>
        </w:tc>
        <w:tc>
          <w:tcPr>
            <w:tcW w:w="2042" w:type="dxa"/>
            <w:hideMark/>
          </w:tcPr>
          <w:p w14:paraId="6113A07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Not Mentioned</w:t>
            </w:r>
          </w:p>
        </w:tc>
        <w:tc>
          <w:tcPr>
            <w:tcW w:w="1405" w:type="dxa"/>
            <w:hideMark/>
          </w:tcPr>
          <w:p w14:paraId="49011CC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111</w:t>
            </w:r>
          </w:p>
        </w:tc>
        <w:tc>
          <w:tcPr>
            <w:tcW w:w="1309" w:type="dxa"/>
            <w:hideMark/>
          </w:tcPr>
          <w:p w14:paraId="4ABAB731"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64.5</w:t>
            </w:r>
          </w:p>
        </w:tc>
      </w:tr>
      <w:tr w:rsidR="00C46FB6" w:rsidRPr="00F53A0B" w14:paraId="2F986817" w14:textId="77777777" w:rsidTr="0029622B">
        <w:trPr>
          <w:trHeight w:val="283"/>
        </w:trPr>
        <w:tc>
          <w:tcPr>
            <w:tcW w:w="1868" w:type="dxa"/>
            <w:hideMark/>
          </w:tcPr>
          <w:p w14:paraId="0283BE14" w14:textId="77777777" w:rsidR="00C46FB6" w:rsidRPr="00F53A0B" w:rsidRDefault="00C46FB6" w:rsidP="0029622B">
            <w:pPr>
              <w:rPr>
                <w:rFonts w:ascii="Times New Roman" w:eastAsia="Times New Roman"/>
                <w:sz w:val="24"/>
                <w:szCs w:val="24"/>
              </w:rPr>
            </w:pPr>
          </w:p>
        </w:tc>
        <w:tc>
          <w:tcPr>
            <w:tcW w:w="2042" w:type="dxa"/>
            <w:hideMark/>
          </w:tcPr>
          <w:p w14:paraId="131FB00E" w14:textId="77777777" w:rsidR="00C46FB6" w:rsidRPr="00F53A0B" w:rsidRDefault="00C46FB6" w:rsidP="0029622B">
            <w:pPr>
              <w:rPr>
                <w:rFonts w:ascii="Times New Roman" w:eastAsia="Times New Roman"/>
                <w:sz w:val="24"/>
                <w:szCs w:val="24"/>
              </w:rPr>
            </w:pPr>
            <w:proofErr w:type="spellStart"/>
            <w:r w:rsidRPr="00F53A0B">
              <w:rPr>
                <w:rFonts w:ascii="Times New Roman" w:eastAsia="Times New Roman"/>
                <w:sz w:val="24"/>
                <w:szCs w:val="24"/>
              </w:rPr>
              <w:t>Bonduma</w:t>
            </w:r>
            <w:proofErr w:type="spellEnd"/>
          </w:p>
        </w:tc>
        <w:tc>
          <w:tcPr>
            <w:tcW w:w="1405" w:type="dxa"/>
            <w:hideMark/>
          </w:tcPr>
          <w:p w14:paraId="41B1B1B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3</w:t>
            </w:r>
          </w:p>
        </w:tc>
        <w:tc>
          <w:tcPr>
            <w:tcW w:w="1309" w:type="dxa"/>
            <w:hideMark/>
          </w:tcPr>
          <w:p w14:paraId="58FAFBB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1.7</w:t>
            </w:r>
          </w:p>
        </w:tc>
      </w:tr>
      <w:tr w:rsidR="00C46FB6" w:rsidRPr="00F53A0B" w14:paraId="04B692CA" w14:textId="77777777" w:rsidTr="0029622B">
        <w:trPr>
          <w:trHeight w:val="268"/>
        </w:trPr>
        <w:tc>
          <w:tcPr>
            <w:tcW w:w="1868" w:type="dxa"/>
            <w:hideMark/>
          </w:tcPr>
          <w:p w14:paraId="04DDF973" w14:textId="77777777" w:rsidR="00C46FB6" w:rsidRPr="00F53A0B" w:rsidRDefault="00C46FB6" w:rsidP="0029622B">
            <w:pPr>
              <w:rPr>
                <w:rFonts w:ascii="Times New Roman" w:eastAsia="Times New Roman"/>
                <w:sz w:val="24"/>
                <w:szCs w:val="24"/>
              </w:rPr>
            </w:pPr>
          </w:p>
        </w:tc>
        <w:tc>
          <w:tcPr>
            <w:tcW w:w="2042" w:type="dxa"/>
            <w:hideMark/>
          </w:tcPr>
          <w:p w14:paraId="52B76201" w14:textId="77777777" w:rsidR="00C46FB6" w:rsidRPr="00F53A0B" w:rsidRDefault="00C46FB6" w:rsidP="0029622B">
            <w:pPr>
              <w:rPr>
                <w:rFonts w:ascii="Times New Roman" w:eastAsia="Times New Roman"/>
                <w:sz w:val="24"/>
                <w:szCs w:val="24"/>
              </w:rPr>
            </w:pPr>
            <w:proofErr w:type="spellStart"/>
            <w:r w:rsidRPr="00F53A0B">
              <w:rPr>
                <w:rFonts w:ascii="Times New Roman" w:eastAsia="Times New Roman"/>
                <w:sz w:val="24"/>
                <w:szCs w:val="24"/>
              </w:rPr>
              <w:t>Muea</w:t>
            </w:r>
            <w:proofErr w:type="spellEnd"/>
          </w:p>
        </w:tc>
        <w:tc>
          <w:tcPr>
            <w:tcW w:w="1405" w:type="dxa"/>
            <w:hideMark/>
          </w:tcPr>
          <w:p w14:paraId="6037A72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11</w:t>
            </w:r>
          </w:p>
        </w:tc>
        <w:tc>
          <w:tcPr>
            <w:tcW w:w="1309" w:type="dxa"/>
            <w:hideMark/>
          </w:tcPr>
          <w:p w14:paraId="5214D830"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6.4</w:t>
            </w:r>
          </w:p>
        </w:tc>
      </w:tr>
      <w:tr w:rsidR="00C46FB6" w:rsidRPr="00F53A0B" w14:paraId="0EADBB5F" w14:textId="77777777" w:rsidTr="0029622B">
        <w:trPr>
          <w:trHeight w:val="283"/>
        </w:trPr>
        <w:tc>
          <w:tcPr>
            <w:tcW w:w="1868" w:type="dxa"/>
            <w:hideMark/>
          </w:tcPr>
          <w:p w14:paraId="6B2A11B1" w14:textId="77777777" w:rsidR="00C46FB6" w:rsidRPr="00F53A0B" w:rsidRDefault="00C46FB6" w:rsidP="0029622B">
            <w:pPr>
              <w:rPr>
                <w:rFonts w:ascii="Times New Roman" w:eastAsia="Times New Roman"/>
                <w:sz w:val="24"/>
                <w:szCs w:val="24"/>
              </w:rPr>
            </w:pPr>
          </w:p>
        </w:tc>
        <w:tc>
          <w:tcPr>
            <w:tcW w:w="2042" w:type="dxa"/>
            <w:hideMark/>
          </w:tcPr>
          <w:p w14:paraId="47F5A9F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 xml:space="preserve">Great </w:t>
            </w:r>
            <w:proofErr w:type="spellStart"/>
            <w:r w:rsidRPr="00F53A0B">
              <w:rPr>
                <w:rFonts w:ascii="Times New Roman" w:eastAsia="Times New Roman"/>
                <w:sz w:val="24"/>
                <w:szCs w:val="24"/>
              </w:rPr>
              <w:t>Soppo</w:t>
            </w:r>
            <w:proofErr w:type="spellEnd"/>
          </w:p>
        </w:tc>
        <w:tc>
          <w:tcPr>
            <w:tcW w:w="1405" w:type="dxa"/>
            <w:hideMark/>
          </w:tcPr>
          <w:p w14:paraId="36871DF6"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w:t>
            </w:r>
          </w:p>
        </w:tc>
        <w:tc>
          <w:tcPr>
            <w:tcW w:w="1309" w:type="dxa"/>
            <w:hideMark/>
          </w:tcPr>
          <w:p w14:paraId="7895320B"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2.9</w:t>
            </w:r>
          </w:p>
        </w:tc>
      </w:tr>
      <w:tr w:rsidR="00C46FB6" w:rsidRPr="00F53A0B" w14:paraId="76695798" w14:textId="77777777" w:rsidTr="0029622B">
        <w:trPr>
          <w:trHeight w:val="268"/>
        </w:trPr>
        <w:tc>
          <w:tcPr>
            <w:tcW w:w="1868" w:type="dxa"/>
            <w:hideMark/>
          </w:tcPr>
          <w:p w14:paraId="39F9EA3A" w14:textId="77777777" w:rsidR="00C46FB6" w:rsidRPr="00F53A0B" w:rsidRDefault="00C46FB6" w:rsidP="0029622B">
            <w:pPr>
              <w:rPr>
                <w:rFonts w:ascii="Times New Roman" w:eastAsia="Times New Roman"/>
                <w:sz w:val="24"/>
                <w:szCs w:val="24"/>
              </w:rPr>
            </w:pPr>
          </w:p>
        </w:tc>
        <w:tc>
          <w:tcPr>
            <w:tcW w:w="2042" w:type="dxa"/>
            <w:hideMark/>
          </w:tcPr>
          <w:p w14:paraId="439B8E2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Buea Town</w:t>
            </w:r>
          </w:p>
        </w:tc>
        <w:tc>
          <w:tcPr>
            <w:tcW w:w="1405" w:type="dxa"/>
            <w:hideMark/>
          </w:tcPr>
          <w:p w14:paraId="41AA761E"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w:t>
            </w:r>
          </w:p>
        </w:tc>
        <w:tc>
          <w:tcPr>
            <w:tcW w:w="1309" w:type="dxa"/>
            <w:hideMark/>
          </w:tcPr>
          <w:p w14:paraId="43823CF5"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2.9</w:t>
            </w:r>
          </w:p>
        </w:tc>
      </w:tr>
      <w:tr w:rsidR="00C46FB6" w:rsidRPr="00F53A0B" w14:paraId="03F4FD45" w14:textId="77777777" w:rsidTr="0029622B">
        <w:trPr>
          <w:trHeight w:val="268"/>
        </w:trPr>
        <w:tc>
          <w:tcPr>
            <w:tcW w:w="1868" w:type="dxa"/>
            <w:hideMark/>
          </w:tcPr>
          <w:p w14:paraId="42526532" w14:textId="77777777" w:rsidR="00C46FB6" w:rsidRPr="00F53A0B" w:rsidRDefault="00C46FB6" w:rsidP="0029622B">
            <w:pPr>
              <w:rPr>
                <w:rFonts w:ascii="Times New Roman" w:eastAsia="Times New Roman"/>
                <w:sz w:val="24"/>
                <w:szCs w:val="24"/>
              </w:rPr>
            </w:pPr>
          </w:p>
        </w:tc>
        <w:tc>
          <w:tcPr>
            <w:tcW w:w="2042" w:type="dxa"/>
            <w:hideMark/>
          </w:tcPr>
          <w:p w14:paraId="6E00F61E" w14:textId="77777777" w:rsidR="00C46FB6" w:rsidRPr="00F53A0B" w:rsidRDefault="00C46FB6" w:rsidP="0029622B">
            <w:pPr>
              <w:rPr>
                <w:rFonts w:ascii="Times New Roman" w:eastAsia="Times New Roman"/>
                <w:sz w:val="24"/>
                <w:szCs w:val="24"/>
              </w:rPr>
            </w:pPr>
            <w:proofErr w:type="spellStart"/>
            <w:r w:rsidRPr="00F53A0B">
              <w:rPr>
                <w:rFonts w:ascii="Times New Roman" w:eastAsia="Times New Roman"/>
                <w:sz w:val="24"/>
                <w:szCs w:val="24"/>
              </w:rPr>
              <w:t>Bomaka</w:t>
            </w:r>
            <w:proofErr w:type="spellEnd"/>
          </w:p>
        </w:tc>
        <w:tc>
          <w:tcPr>
            <w:tcW w:w="1405" w:type="dxa"/>
            <w:hideMark/>
          </w:tcPr>
          <w:p w14:paraId="35EEDDA0"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w:t>
            </w:r>
          </w:p>
        </w:tc>
        <w:tc>
          <w:tcPr>
            <w:tcW w:w="1309" w:type="dxa"/>
            <w:hideMark/>
          </w:tcPr>
          <w:p w14:paraId="27B91F5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2.3</w:t>
            </w:r>
          </w:p>
        </w:tc>
      </w:tr>
      <w:tr w:rsidR="00C46FB6" w:rsidRPr="00F53A0B" w14:paraId="375A914F" w14:textId="77777777" w:rsidTr="0029622B">
        <w:trPr>
          <w:trHeight w:val="283"/>
        </w:trPr>
        <w:tc>
          <w:tcPr>
            <w:tcW w:w="1868" w:type="dxa"/>
            <w:hideMark/>
          </w:tcPr>
          <w:p w14:paraId="68A4E24E" w14:textId="77777777" w:rsidR="00C46FB6" w:rsidRPr="00F53A0B" w:rsidRDefault="00C46FB6" w:rsidP="0029622B">
            <w:pPr>
              <w:rPr>
                <w:rFonts w:ascii="Times New Roman" w:eastAsia="Times New Roman"/>
                <w:sz w:val="24"/>
                <w:szCs w:val="24"/>
              </w:rPr>
            </w:pPr>
          </w:p>
        </w:tc>
        <w:tc>
          <w:tcPr>
            <w:tcW w:w="2042" w:type="dxa"/>
            <w:hideMark/>
          </w:tcPr>
          <w:p w14:paraId="188ACAE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Sandpit</w:t>
            </w:r>
          </w:p>
        </w:tc>
        <w:tc>
          <w:tcPr>
            <w:tcW w:w="1405" w:type="dxa"/>
            <w:hideMark/>
          </w:tcPr>
          <w:p w14:paraId="1F974129"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7</w:t>
            </w:r>
          </w:p>
        </w:tc>
        <w:tc>
          <w:tcPr>
            <w:tcW w:w="1309" w:type="dxa"/>
            <w:hideMark/>
          </w:tcPr>
          <w:p w14:paraId="08AB86A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4.1</w:t>
            </w:r>
          </w:p>
        </w:tc>
      </w:tr>
      <w:tr w:rsidR="00C46FB6" w:rsidRPr="00F53A0B" w14:paraId="12031248" w14:textId="77777777" w:rsidTr="0029622B">
        <w:trPr>
          <w:trHeight w:val="268"/>
        </w:trPr>
        <w:tc>
          <w:tcPr>
            <w:tcW w:w="1868" w:type="dxa"/>
            <w:hideMark/>
          </w:tcPr>
          <w:p w14:paraId="5EC4AA6F" w14:textId="77777777" w:rsidR="00C46FB6" w:rsidRDefault="00C46FB6" w:rsidP="0029622B">
            <w:pPr>
              <w:rPr>
                <w:rFonts w:ascii="Times New Roman" w:eastAsia="Times New Roman"/>
                <w:sz w:val="24"/>
                <w:szCs w:val="24"/>
              </w:rPr>
            </w:pPr>
          </w:p>
          <w:p w14:paraId="454D80BB" w14:textId="77777777" w:rsidR="002D1405" w:rsidRDefault="002D1405" w:rsidP="002D1405">
            <w:pPr>
              <w:rPr>
                <w:rFonts w:ascii="Times New Roman" w:eastAsia="Times New Roman"/>
                <w:sz w:val="24"/>
                <w:szCs w:val="24"/>
              </w:rPr>
            </w:pPr>
          </w:p>
          <w:p w14:paraId="2C6595DE" w14:textId="20BA1A4E" w:rsidR="002D1405" w:rsidRPr="002D1405" w:rsidRDefault="002D1405" w:rsidP="002D1405">
            <w:pPr>
              <w:rPr>
                <w:rFonts w:ascii="Times New Roman" w:eastAsia="Times New Roman"/>
                <w:b/>
                <w:sz w:val="24"/>
                <w:szCs w:val="24"/>
              </w:rPr>
            </w:pPr>
            <w:r w:rsidRPr="002D1405">
              <w:rPr>
                <w:rFonts w:ascii="Times New Roman" w:eastAsia="Times New Roman"/>
                <w:b/>
                <w:sz w:val="24"/>
                <w:szCs w:val="24"/>
              </w:rPr>
              <w:t>HIV status</w:t>
            </w:r>
          </w:p>
          <w:p w14:paraId="28856435" w14:textId="495065FE" w:rsidR="002D1405" w:rsidRPr="002D1405" w:rsidRDefault="002D1405" w:rsidP="002D1405">
            <w:pPr>
              <w:rPr>
                <w:rFonts w:ascii="Times New Roman" w:eastAsia="Times New Roman"/>
                <w:sz w:val="24"/>
                <w:szCs w:val="24"/>
              </w:rPr>
            </w:pPr>
          </w:p>
        </w:tc>
        <w:tc>
          <w:tcPr>
            <w:tcW w:w="2042" w:type="dxa"/>
            <w:hideMark/>
          </w:tcPr>
          <w:p w14:paraId="1E95B8D9" w14:textId="77777777" w:rsidR="00C46FB6" w:rsidRDefault="00C46FB6" w:rsidP="0029622B">
            <w:pPr>
              <w:rPr>
                <w:rFonts w:ascii="Times New Roman" w:eastAsia="Times New Roman"/>
                <w:sz w:val="24"/>
                <w:szCs w:val="24"/>
              </w:rPr>
            </w:pPr>
            <w:r w:rsidRPr="00F53A0B">
              <w:rPr>
                <w:rFonts w:ascii="Times New Roman" w:eastAsia="Times New Roman"/>
                <w:sz w:val="24"/>
                <w:szCs w:val="24"/>
              </w:rPr>
              <w:t>Others</w:t>
            </w:r>
          </w:p>
          <w:p w14:paraId="42FCF34D" w14:textId="77777777" w:rsidR="002D1405" w:rsidRDefault="002D1405" w:rsidP="0029622B">
            <w:pPr>
              <w:rPr>
                <w:rFonts w:ascii="Times New Roman" w:eastAsia="Times New Roman"/>
                <w:sz w:val="24"/>
                <w:szCs w:val="24"/>
              </w:rPr>
            </w:pPr>
          </w:p>
          <w:p w14:paraId="096D9630" w14:textId="77777777" w:rsidR="002D1405" w:rsidRDefault="002D1405" w:rsidP="0029622B">
            <w:pPr>
              <w:rPr>
                <w:rFonts w:ascii="Times New Roman" w:eastAsia="Times New Roman"/>
                <w:sz w:val="24"/>
                <w:szCs w:val="24"/>
              </w:rPr>
            </w:pPr>
            <w:r>
              <w:rPr>
                <w:rFonts w:ascii="Times New Roman" w:eastAsia="Times New Roman"/>
                <w:sz w:val="24"/>
                <w:szCs w:val="24"/>
              </w:rPr>
              <w:t>Negative</w:t>
            </w:r>
          </w:p>
          <w:p w14:paraId="20621D4C" w14:textId="2126D808" w:rsidR="002D1405" w:rsidRPr="00F53A0B" w:rsidRDefault="002D1405" w:rsidP="0029622B">
            <w:pPr>
              <w:rPr>
                <w:rFonts w:ascii="Times New Roman" w:eastAsia="Times New Roman"/>
                <w:sz w:val="24"/>
                <w:szCs w:val="24"/>
              </w:rPr>
            </w:pPr>
            <w:r>
              <w:rPr>
                <w:rFonts w:ascii="Times New Roman" w:eastAsia="Times New Roman"/>
                <w:sz w:val="24"/>
                <w:szCs w:val="24"/>
              </w:rPr>
              <w:t>Positive</w:t>
            </w:r>
          </w:p>
        </w:tc>
        <w:tc>
          <w:tcPr>
            <w:tcW w:w="1405" w:type="dxa"/>
            <w:hideMark/>
          </w:tcPr>
          <w:p w14:paraId="750EEE9A" w14:textId="77777777" w:rsidR="00C46FB6" w:rsidRDefault="00C46FB6" w:rsidP="0029622B">
            <w:pPr>
              <w:rPr>
                <w:rFonts w:ascii="Times New Roman" w:eastAsia="Times New Roman"/>
                <w:sz w:val="24"/>
                <w:szCs w:val="24"/>
              </w:rPr>
            </w:pPr>
            <w:r w:rsidRPr="00F53A0B">
              <w:rPr>
                <w:rFonts w:ascii="Times New Roman" w:eastAsia="Times New Roman"/>
                <w:sz w:val="24"/>
                <w:szCs w:val="24"/>
              </w:rPr>
              <w:t>26</w:t>
            </w:r>
          </w:p>
          <w:p w14:paraId="50869D24" w14:textId="77777777" w:rsidR="002D1405" w:rsidRDefault="002D1405" w:rsidP="0029622B">
            <w:pPr>
              <w:rPr>
                <w:rFonts w:ascii="Times New Roman" w:eastAsia="Times New Roman"/>
                <w:sz w:val="24"/>
                <w:szCs w:val="24"/>
              </w:rPr>
            </w:pPr>
          </w:p>
          <w:p w14:paraId="61237152" w14:textId="77777777" w:rsidR="002D1405" w:rsidRDefault="002D1405" w:rsidP="0029622B">
            <w:pPr>
              <w:rPr>
                <w:rFonts w:ascii="Times New Roman" w:eastAsia="Times New Roman"/>
                <w:sz w:val="24"/>
                <w:szCs w:val="24"/>
              </w:rPr>
            </w:pPr>
            <w:r>
              <w:rPr>
                <w:rFonts w:ascii="Times New Roman" w:eastAsia="Times New Roman"/>
                <w:sz w:val="24"/>
                <w:szCs w:val="24"/>
              </w:rPr>
              <w:t>169</w:t>
            </w:r>
          </w:p>
          <w:p w14:paraId="6F0AB07E" w14:textId="27BF2E3B" w:rsidR="002D1405" w:rsidRPr="00F53A0B" w:rsidRDefault="002D1405" w:rsidP="0029622B">
            <w:pPr>
              <w:rPr>
                <w:rFonts w:ascii="Times New Roman" w:eastAsia="Times New Roman"/>
                <w:sz w:val="24"/>
                <w:szCs w:val="24"/>
              </w:rPr>
            </w:pPr>
            <w:r>
              <w:rPr>
                <w:rFonts w:ascii="Times New Roman" w:eastAsia="Times New Roman"/>
                <w:sz w:val="24"/>
                <w:szCs w:val="24"/>
              </w:rPr>
              <w:t>3</w:t>
            </w:r>
          </w:p>
        </w:tc>
        <w:tc>
          <w:tcPr>
            <w:tcW w:w="1309" w:type="dxa"/>
            <w:hideMark/>
          </w:tcPr>
          <w:p w14:paraId="263B4FD1" w14:textId="77777777" w:rsidR="00C46FB6" w:rsidRDefault="00C46FB6" w:rsidP="0029622B">
            <w:pPr>
              <w:rPr>
                <w:rFonts w:ascii="Times New Roman" w:eastAsia="Times New Roman"/>
                <w:sz w:val="24"/>
                <w:szCs w:val="24"/>
              </w:rPr>
            </w:pPr>
            <w:r w:rsidRPr="00F53A0B">
              <w:rPr>
                <w:rFonts w:ascii="Times New Roman" w:eastAsia="Times New Roman"/>
                <w:sz w:val="24"/>
                <w:szCs w:val="24"/>
              </w:rPr>
              <w:t>15.1</w:t>
            </w:r>
          </w:p>
          <w:p w14:paraId="432928AA" w14:textId="77777777" w:rsidR="002D1405" w:rsidRDefault="002D1405" w:rsidP="0029622B">
            <w:pPr>
              <w:rPr>
                <w:rFonts w:ascii="Times New Roman" w:eastAsia="Times New Roman"/>
                <w:sz w:val="24"/>
                <w:szCs w:val="24"/>
              </w:rPr>
            </w:pPr>
          </w:p>
          <w:p w14:paraId="2675BFF6" w14:textId="77777777" w:rsidR="002D1405" w:rsidRDefault="002D1405" w:rsidP="0029622B">
            <w:pPr>
              <w:rPr>
                <w:rFonts w:ascii="Times New Roman" w:eastAsia="Times New Roman"/>
                <w:sz w:val="24"/>
                <w:szCs w:val="24"/>
              </w:rPr>
            </w:pPr>
            <w:r>
              <w:rPr>
                <w:rFonts w:ascii="Times New Roman" w:eastAsia="Times New Roman"/>
                <w:sz w:val="24"/>
                <w:szCs w:val="24"/>
              </w:rPr>
              <w:t>98.3</w:t>
            </w:r>
          </w:p>
          <w:p w14:paraId="0821C158" w14:textId="4093B13B" w:rsidR="002D1405" w:rsidRPr="00F53A0B" w:rsidRDefault="002D1405" w:rsidP="0029622B">
            <w:pPr>
              <w:rPr>
                <w:rFonts w:ascii="Times New Roman" w:eastAsia="Times New Roman"/>
                <w:sz w:val="24"/>
                <w:szCs w:val="24"/>
              </w:rPr>
            </w:pPr>
            <w:r>
              <w:rPr>
                <w:rFonts w:ascii="Times New Roman" w:eastAsia="Times New Roman"/>
                <w:sz w:val="24"/>
                <w:szCs w:val="24"/>
              </w:rPr>
              <w:t>1.7</w:t>
            </w:r>
          </w:p>
        </w:tc>
      </w:tr>
    </w:tbl>
    <w:p w14:paraId="348C0F4A" w14:textId="1AE1084F" w:rsidR="008A0081" w:rsidRDefault="008A0081">
      <w:pPr>
        <w:spacing w:after="80"/>
      </w:pPr>
    </w:p>
    <w:p w14:paraId="4608825C" w14:textId="6ACEB160" w:rsidR="00C46FB6" w:rsidRDefault="00C46FB6">
      <w:pPr>
        <w:spacing w:after="80"/>
      </w:pPr>
    </w:p>
    <w:p w14:paraId="2EC23924" w14:textId="77777777" w:rsidR="00A5029E" w:rsidRDefault="00A5029E" w:rsidP="00413079">
      <w:pPr>
        <w:spacing w:before="160" w:after="80"/>
      </w:pPr>
      <w:r>
        <w:rPr>
          <w:b/>
          <w:bCs/>
        </w:rPr>
        <w:t>Trend in pediatric TB prevalence (2020–2024)</w:t>
      </w:r>
    </w:p>
    <w:p w14:paraId="6C16DA4A" w14:textId="0ECB0488" w:rsidR="00A5029E" w:rsidRDefault="00A5029E" w:rsidP="00413079">
      <w:pPr>
        <w:spacing w:after="120"/>
        <w:jc w:val="both"/>
      </w:pPr>
      <w:r>
        <w:rPr>
          <w:color w:val="000000"/>
        </w:rPr>
        <w:t xml:space="preserve">Base on clinical manifestations, cough was the main sign that all the 172 children (100%) suspected for TB infection </w:t>
      </w:r>
      <w:r w:rsidR="007A5FC1">
        <w:rPr>
          <w:color w:val="000000"/>
        </w:rPr>
        <w:t>exhibited</w:t>
      </w:r>
      <w:r>
        <w:rPr>
          <w:color w:val="000000"/>
        </w:rPr>
        <w:t>, fever was reported in 118 (68.6%), and night sweats in 17 (9.9%).</w:t>
      </w:r>
      <w:r w:rsidR="007A5FC1">
        <w:rPr>
          <w:color w:val="000000"/>
        </w:rPr>
        <w:t xml:space="preserve"> Of the 172 children tested for TB, 42 cases were confirmed to be positive.</w:t>
      </w:r>
      <w:r w:rsidR="007A5FC1">
        <w:t xml:space="preserve"> </w:t>
      </w:r>
      <w:r>
        <w:rPr>
          <w:color w:val="000000"/>
        </w:rPr>
        <w:t>No TB examination results were recorded in 2020</w:t>
      </w:r>
      <w:r w:rsidR="007A5FC1">
        <w:rPr>
          <w:color w:val="000000"/>
        </w:rPr>
        <w:t xml:space="preserve"> Fig 1</w:t>
      </w:r>
      <w:r>
        <w:rPr>
          <w:color w:val="000000"/>
        </w:rPr>
        <w:t xml:space="preserve">. From 2021 to 2023, TB prevalence increased progressively from 0.23% to 0.76% and </w:t>
      </w:r>
      <w:r w:rsidR="005A47CE">
        <w:rPr>
          <w:color w:val="000000"/>
        </w:rPr>
        <w:t>peaked at</w:t>
      </w:r>
      <w:r>
        <w:rPr>
          <w:color w:val="000000"/>
        </w:rPr>
        <w:t xml:space="preserve"> 1.04% respectively, before declining sharply to 0.16% in 2024. </w:t>
      </w:r>
      <w:proofErr w:type="gramStart"/>
      <w:r w:rsidR="005A47CE">
        <w:rPr>
          <w:color w:val="000000"/>
        </w:rPr>
        <w:t>Thus</w:t>
      </w:r>
      <w:proofErr w:type="gramEnd"/>
      <w:r w:rsidR="005A47CE">
        <w:rPr>
          <w:color w:val="000000"/>
        </w:rPr>
        <w:t xml:space="preserve"> the best fit line shows there is a general increase in t</w:t>
      </w:r>
      <w:r>
        <w:rPr>
          <w:color w:val="000000"/>
        </w:rPr>
        <w:t>he</w:t>
      </w:r>
      <w:r w:rsidR="005A47CE">
        <w:rPr>
          <w:color w:val="000000"/>
        </w:rPr>
        <w:t xml:space="preserve"> prevalence of pediatric TB. </w:t>
      </w:r>
      <w:r>
        <w:rPr>
          <w:color w:val="000000"/>
        </w:rPr>
        <w:t xml:space="preserve"> highest number of confirmed TB cases was recorded in 2023, where 24 of 25 tested children (96%) tested positive.  </w:t>
      </w:r>
    </w:p>
    <w:p w14:paraId="1677934F" w14:textId="045AF2AD" w:rsidR="001A212E" w:rsidRDefault="001A212E">
      <w:pPr>
        <w:spacing w:after="80"/>
      </w:pPr>
    </w:p>
    <w:p w14:paraId="301C9A6F" w14:textId="545D6805" w:rsidR="001A212E" w:rsidRDefault="001A212E">
      <w:pPr>
        <w:spacing w:after="80"/>
      </w:pPr>
    </w:p>
    <w:p w14:paraId="1E6C5D89" w14:textId="3E4D22D1" w:rsidR="001A212E" w:rsidRDefault="001A212E">
      <w:pPr>
        <w:spacing w:after="80"/>
      </w:pPr>
    </w:p>
    <w:p w14:paraId="303D81CB" w14:textId="42A928BB" w:rsidR="001A212E" w:rsidRDefault="001A212E">
      <w:pPr>
        <w:spacing w:after="80"/>
      </w:pPr>
    </w:p>
    <w:p w14:paraId="6E8C5B8F" w14:textId="19A15DAF" w:rsidR="001A212E" w:rsidRDefault="001A212E">
      <w:pPr>
        <w:spacing w:after="80"/>
      </w:pPr>
      <w:r w:rsidRPr="00431377">
        <w:rPr>
          <w:noProof/>
        </w:rPr>
        <w:lastRenderedPageBreak/>
        <w:drawing>
          <wp:inline distT="0" distB="0" distL="0" distR="0" wp14:anchorId="5E93C93B" wp14:editId="55E60177">
            <wp:extent cx="5943600" cy="3705463"/>
            <wp:effectExtent l="0" t="0" r="1270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A601CC" w14:textId="3459461E" w:rsidR="001A212E" w:rsidRDefault="001A212E" w:rsidP="001A212E">
      <w:pPr>
        <w:rPr>
          <w:b/>
          <w:bCs/>
        </w:rPr>
      </w:pPr>
      <w:r>
        <w:rPr>
          <w:b/>
          <w:bCs/>
        </w:rPr>
        <w:t xml:space="preserve">Fig 1. </w:t>
      </w:r>
      <w:r w:rsidRPr="00AC4582">
        <w:rPr>
          <w:b/>
          <w:bCs/>
        </w:rPr>
        <w:t xml:space="preserve">Number </w:t>
      </w:r>
      <w:r>
        <w:rPr>
          <w:b/>
          <w:bCs/>
        </w:rPr>
        <w:t>of</w:t>
      </w:r>
      <w:r w:rsidRPr="00AC4582">
        <w:rPr>
          <w:b/>
          <w:bCs/>
        </w:rPr>
        <w:t xml:space="preserve"> </w:t>
      </w:r>
      <w:r>
        <w:rPr>
          <w:b/>
          <w:bCs/>
        </w:rPr>
        <w:t xml:space="preserve">pediatric </w:t>
      </w:r>
      <w:r w:rsidRPr="00AC4582">
        <w:rPr>
          <w:b/>
          <w:bCs/>
        </w:rPr>
        <w:t>T</w:t>
      </w:r>
      <w:r>
        <w:rPr>
          <w:b/>
          <w:bCs/>
        </w:rPr>
        <w:t>B</w:t>
      </w:r>
      <w:r w:rsidRPr="00AC4582">
        <w:rPr>
          <w:b/>
          <w:bCs/>
        </w:rPr>
        <w:t xml:space="preserve"> Cases </w:t>
      </w:r>
      <w:r>
        <w:rPr>
          <w:b/>
          <w:bCs/>
        </w:rPr>
        <w:t>in the Buea Regional Hospital f</w:t>
      </w:r>
      <w:r w:rsidRPr="00AC4582">
        <w:rPr>
          <w:b/>
          <w:bCs/>
        </w:rPr>
        <w:t>rom 2020-2024</w:t>
      </w:r>
    </w:p>
    <w:p w14:paraId="5FE3C696" w14:textId="40465297" w:rsidR="00762BB6" w:rsidRDefault="00762BB6" w:rsidP="001A212E">
      <w:pPr>
        <w:rPr>
          <w:b/>
          <w:bCs/>
        </w:rPr>
      </w:pPr>
    </w:p>
    <w:p w14:paraId="4C1224E3" w14:textId="77777777" w:rsidR="00762BB6" w:rsidRDefault="00762BB6" w:rsidP="00413079">
      <w:pPr>
        <w:spacing w:before="160" w:after="80"/>
      </w:pPr>
      <w:r w:rsidRPr="00EF35E3">
        <w:rPr>
          <w:b/>
          <w:bCs/>
        </w:rPr>
        <w:t>Treatment outcomes</w:t>
      </w:r>
    </w:p>
    <w:p w14:paraId="6F1DEB42" w14:textId="22B82AAF" w:rsidR="00762BB6" w:rsidRDefault="00762BB6" w:rsidP="00413079">
      <w:pPr>
        <w:spacing w:after="120"/>
        <w:jc w:val="both"/>
      </w:pPr>
      <w:r>
        <w:rPr>
          <w:color w:val="000000"/>
        </w:rPr>
        <w:t>Of the 4</w:t>
      </w:r>
      <w:r w:rsidR="009A059C">
        <w:rPr>
          <w:color w:val="000000"/>
        </w:rPr>
        <w:t>2</w:t>
      </w:r>
      <w:r>
        <w:rPr>
          <w:color w:val="000000"/>
        </w:rPr>
        <w:t xml:space="preserve"> children for whom treatment outcome data were available, </w:t>
      </w:r>
      <w:r w:rsidR="009A059C">
        <w:rPr>
          <w:color w:val="000000"/>
        </w:rPr>
        <w:t>59.5</w:t>
      </w:r>
      <w:r>
        <w:rPr>
          <w:color w:val="000000"/>
        </w:rPr>
        <w:t>% (n = 2</w:t>
      </w:r>
      <w:r w:rsidR="009A059C">
        <w:rPr>
          <w:color w:val="000000"/>
        </w:rPr>
        <w:t>5</w:t>
      </w:r>
      <w:r>
        <w:rPr>
          <w:color w:val="000000"/>
        </w:rPr>
        <w:t>) had a successful outcome, comprising 6 who were cured (1</w:t>
      </w:r>
      <w:r w:rsidR="009A059C">
        <w:rPr>
          <w:color w:val="000000"/>
        </w:rPr>
        <w:t>4</w:t>
      </w:r>
      <w:r>
        <w:rPr>
          <w:color w:val="000000"/>
        </w:rPr>
        <w:t>.</w:t>
      </w:r>
      <w:r w:rsidR="009A059C">
        <w:rPr>
          <w:color w:val="000000"/>
        </w:rPr>
        <w:t>3</w:t>
      </w:r>
      <w:r>
        <w:rPr>
          <w:color w:val="000000"/>
        </w:rPr>
        <w:t>%) and 1</w:t>
      </w:r>
      <w:r w:rsidR="009A059C">
        <w:rPr>
          <w:color w:val="000000"/>
        </w:rPr>
        <w:t>9</w:t>
      </w:r>
      <w:r>
        <w:rPr>
          <w:color w:val="000000"/>
        </w:rPr>
        <w:t xml:space="preserve"> who completed treatment (4</w:t>
      </w:r>
      <w:r w:rsidR="009A059C">
        <w:rPr>
          <w:color w:val="000000"/>
        </w:rPr>
        <w:t>5</w:t>
      </w:r>
      <w:r>
        <w:rPr>
          <w:color w:val="000000"/>
        </w:rPr>
        <w:t>.</w:t>
      </w:r>
      <w:r w:rsidR="009A059C">
        <w:rPr>
          <w:color w:val="000000"/>
        </w:rPr>
        <w:t>2</w:t>
      </w:r>
      <w:r>
        <w:rPr>
          <w:color w:val="000000"/>
        </w:rPr>
        <w:t>%)</w:t>
      </w:r>
      <w:r w:rsidR="00C265F8">
        <w:rPr>
          <w:color w:val="000000"/>
        </w:rPr>
        <w:t xml:space="preserve"> Table 2</w:t>
      </w:r>
      <w:r>
        <w:rPr>
          <w:color w:val="000000"/>
        </w:rPr>
        <w:t xml:space="preserve">. The remaining </w:t>
      </w:r>
      <w:r w:rsidR="009A059C">
        <w:rPr>
          <w:color w:val="000000"/>
        </w:rPr>
        <w:t>40.5</w:t>
      </w:r>
      <w:r>
        <w:rPr>
          <w:color w:val="000000"/>
        </w:rPr>
        <w:t xml:space="preserve">% (n = 17) had an unsuccessful outcome, with the majority accounted for by those who defaulted (13; </w:t>
      </w:r>
      <w:r w:rsidR="009A059C">
        <w:rPr>
          <w:color w:val="000000"/>
        </w:rPr>
        <w:t>31</w:t>
      </w:r>
      <w:r>
        <w:rPr>
          <w:color w:val="000000"/>
        </w:rPr>
        <w:t>%), followed by those transferred out (2; 4.</w:t>
      </w:r>
      <w:r w:rsidR="00C265F8">
        <w:rPr>
          <w:color w:val="000000"/>
        </w:rPr>
        <w:t>7</w:t>
      </w:r>
      <w:r>
        <w:rPr>
          <w:color w:val="000000"/>
        </w:rPr>
        <w:t>%), those who died (1; 2.</w:t>
      </w:r>
      <w:r w:rsidR="00C265F8">
        <w:rPr>
          <w:color w:val="000000"/>
        </w:rPr>
        <w:t>4</w:t>
      </w:r>
      <w:r>
        <w:rPr>
          <w:color w:val="000000"/>
        </w:rPr>
        <w:t>%), and those lost to follow-up (1; 2.</w:t>
      </w:r>
      <w:r w:rsidR="00C265F8">
        <w:rPr>
          <w:color w:val="000000"/>
        </w:rPr>
        <w:t>4</w:t>
      </w:r>
      <w:r>
        <w:rPr>
          <w:color w:val="000000"/>
        </w:rPr>
        <w:t>%).</w:t>
      </w:r>
    </w:p>
    <w:p w14:paraId="69D7382A" w14:textId="77777777" w:rsidR="00762BB6" w:rsidRDefault="00762BB6" w:rsidP="00762BB6">
      <w:pPr>
        <w:spacing w:after="80" w:line="480" w:lineRule="auto"/>
      </w:pPr>
    </w:p>
    <w:p w14:paraId="00928066" w14:textId="50B6837A" w:rsidR="00762BB6" w:rsidRPr="00762BB6" w:rsidRDefault="00762BB6" w:rsidP="00762BB6">
      <w:pPr>
        <w:spacing w:before="80" w:after="80"/>
        <w:jc w:val="center"/>
      </w:pPr>
      <w:r w:rsidRPr="00762BB6">
        <w:rPr>
          <w:b/>
          <w:bCs/>
        </w:rPr>
        <w:t xml:space="preserve">Table </w:t>
      </w:r>
      <w:r w:rsidR="00C265F8">
        <w:rPr>
          <w:b/>
          <w:bCs/>
        </w:rPr>
        <w:t>2</w:t>
      </w:r>
      <w:r w:rsidRPr="00762BB6">
        <w:rPr>
          <w:b/>
          <w:bCs/>
        </w:rPr>
        <w:t>. Treatment outcomes of children with tuberculosis in the Buea Health District (2020–2024); N = 44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8"/>
        <w:gridCol w:w="2808"/>
        <w:gridCol w:w="1872"/>
        <w:gridCol w:w="1872"/>
      </w:tblGrid>
      <w:tr w:rsidR="00762BB6" w14:paraId="69A0AF50" w14:textId="77777777" w:rsidTr="007F1E41">
        <w:tc>
          <w:tcPr>
            <w:tcW w:w="280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F547411" w14:textId="77777777" w:rsidR="00762BB6" w:rsidRDefault="00762BB6" w:rsidP="007F1E41">
            <w:pPr>
              <w:jc w:val="center"/>
            </w:pPr>
            <w:r>
              <w:rPr>
                <w:b/>
                <w:bCs/>
                <w:sz w:val="20"/>
                <w:szCs w:val="20"/>
              </w:rPr>
              <w:t>Outcome Category</w:t>
            </w:r>
          </w:p>
        </w:tc>
        <w:tc>
          <w:tcPr>
            <w:tcW w:w="280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5F56DB2" w14:textId="77777777" w:rsidR="00762BB6" w:rsidRDefault="00762BB6" w:rsidP="007F1E41">
            <w:pPr>
              <w:jc w:val="center"/>
            </w:pPr>
            <w:r>
              <w:rPr>
                <w:b/>
                <w:bCs/>
                <w:sz w:val="20"/>
                <w:szCs w:val="20"/>
              </w:rPr>
              <w:t>Outcome</w:t>
            </w:r>
          </w:p>
        </w:tc>
        <w:tc>
          <w:tcPr>
            <w:tcW w:w="1872"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37E0984" w14:textId="77777777" w:rsidR="00762BB6" w:rsidRDefault="00762BB6" w:rsidP="007F1E41">
            <w:pPr>
              <w:jc w:val="center"/>
            </w:pPr>
            <w:r>
              <w:rPr>
                <w:b/>
                <w:bCs/>
                <w:sz w:val="20"/>
                <w:szCs w:val="20"/>
              </w:rPr>
              <w:t>n</w:t>
            </w:r>
          </w:p>
        </w:tc>
        <w:tc>
          <w:tcPr>
            <w:tcW w:w="1872"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53FBF75" w14:textId="77777777" w:rsidR="00762BB6" w:rsidRDefault="00762BB6" w:rsidP="007F1E41">
            <w:pPr>
              <w:jc w:val="center"/>
            </w:pPr>
            <w:r>
              <w:rPr>
                <w:b/>
                <w:bCs/>
                <w:sz w:val="20"/>
                <w:szCs w:val="20"/>
              </w:rPr>
              <w:t>%</w:t>
            </w:r>
          </w:p>
        </w:tc>
      </w:tr>
      <w:tr w:rsidR="00762BB6" w14:paraId="0C7E710F"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47278A9" w14:textId="77777777" w:rsidR="00762BB6" w:rsidRDefault="00762BB6" w:rsidP="007F1E41">
            <w:r>
              <w:rPr>
                <w:sz w:val="20"/>
                <w:szCs w:val="20"/>
              </w:rPr>
              <w:t>Successful</w:t>
            </w: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68BDB1D" w14:textId="77777777" w:rsidR="00762BB6" w:rsidRDefault="00762BB6" w:rsidP="007F1E41">
            <w:r>
              <w:rPr>
                <w:sz w:val="20"/>
                <w:szCs w:val="20"/>
              </w:rPr>
              <w:t>Cured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E61BAB4" w14:textId="77777777" w:rsidR="00762BB6" w:rsidRDefault="00762BB6" w:rsidP="007F1E41">
            <w:pPr>
              <w:jc w:val="center"/>
            </w:pPr>
            <w:r>
              <w:rPr>
                <w:sz w:val="20"/>
                <w:szCs w:val="20"/>
              </w:rPr>
              <w:t>6</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6447D10" w14:textId="37CE454C" w:rsidR="00762BB6" w:rsidRDefault="00762BB6" w:rsidP="007F1E41">
            <w:pPr>
              <w:jc w:val="center"/>
            </w:pPr>
            <w:r>
              <w:rPr>
                <w:sz w:val="20"/>
                <w:szCs w:val="20"/>
              </w:rPr>
              <w:t>1</w:t>
            </w:r>
            <w:r w:rsidR="006E71DF">
              <w:rPr>
                <w:sz w:val="20"/>
                <w:szCs w:val="20"/>
              </w:rPr>
              <w:t>4</w:t>
            </w:r>
            <w:r>
              <w:rPr>
                <w:sz w:val="20"/>
                <w:szCs w:val="20"/>
              </w:rPr>
              <w:t>.</w:t>
            </w:r>
            <w:r w:rsidR="006E71DF">
              <w:rPr>
                <w:sz w:val="20"/>
                <w:szCs w:val="20"/>
              </w:rPr>
              <w:t>3</w:t>
            </w:r>
          </w:p>
        </w:tc>
      </w:tr>
      <w:tr w:rsidR="00762BB6" w14:paraId="2294CF08"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69C4004C"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1F4C5820" w14:textId="77777777" w:rsidR="00762BB6" w:rsidRDefault="00762BB6" w:rsidP="007F1E41">
            <w:r>
              <w:rPr>
                <w:sz w:val="20"/>
                <w:szCs w:val="20"/>
              </w:rPr>
              <w:t>Completed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EDD8869" w14:textId="1EDCDA9A" w:rsidR="00762BB6" w:rsidRDefault="00762BB6" w:rsidP="007F1E41">
            <w:pPr>
              <w:jc w:val="center"/>
            </w:pPr>
            <w:r>
              <w:rPr>
                <w:sz w:val="20"/>
                <w:szCs w:val="20"/>
              </w:rPr>
              <w:t>1</w:t>
            </w:r>
            <w:r w:rsidR="006E71DF">
              <w:rPr>
                <w:sz w:val="20"/>
                <w:szCs w:val="20"/>
              </w:rPr>
              <w:t>9</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23C6F43F" w14:textId="7F17916A" w:rsidR="00762BB6" w:rsidRDefault="00762BB6" w:rsidP="007F1E41">
            <w:pPr>
              <w:jc w:val="center"/>
            </w:pPr>
            <w:r>
              <w:rPr>
                <w:sz w:val="20"/>
                <w:szCs w:val="20"/>
              </w:rPr>
              <w:t>4</w:t>
            </w:r>
            <w:r w:rsidR="006E71DF">
              <w:rPr>
                <w:sz w:val="20"/>
                <w:szCs w:val="20"/>
              </w:rPr>
              <w:t>5</w:t>
            </w:r>
            <w:r>
              <w:rPr>
                <w:sz w:val="20"/>
                <w:szCs w:val="20"/>
              </w:rPr>
              <w:t>.</w:t>
            </w:r>
            <w:r w:rsidR="006E71DF">
              <w:rPr>
                <w:sz w:val="20"/>
                <w:szCs w:val="20"/>
              </w:rPr>
              <w:t>2</w:t>
            </w:r>
          </w:p>
        </w:tc>
      </w:tr>
      <w:tr w:rsidR="00762BB6" w14:paraId="1C03E1A6"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1D73DF2"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9705729" w14:textId="77777777" w:rsidR="00762BB6" w:rsidRDefault="00762BB6" w:rsidP="007F1E41">
            <w:r>
              <w:rPr>
                <w:b/>
                <w:bCs/>
                <w:sz w:val="20"/>
                <w:szCs w:val="20"/>
              </w:rPr>
              <w:t>Subtotal</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65CCAF76" w14:textId="798977A5" w:rsidR="00762BB6" w:rsidRDefault="00762BB6" w:rsidP="007F1E41">
            <w:pPr>
              <w:jc w:val="center"/>
            </w:pPr>
            <w:r>
              <w:rPr>
                <w:b/>
                <w:bCs/>
                <w:sz w:val="20"/>
                <w:szCs w:val="20"/>
              </w:rPr>
              <w:t>2</w:t>
            </w:r>
            <w:r w:rsidR="00EF7060">
              <w:rPr>
                <w:b/>
                <w:bCs/>
                <w:sz w:val="20"/>
                <w:szCs w:val="20"/>
              </w:rPr>
              <w:t>5</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8742D89" w14:textId="7EE03021" w:rsidR="00762BB6" w:rsidRDefault="00EF7060" w:rsidP="007F1E41">
            <w:pPr>
              <w:jc w:val="center"/>
            </w:pPr>
            <w:r>
              <w:t>59.5</w:t>
            </w:r>
          </w:p>
        </w:tc>
      </w:tr>
      <w:tr w:rsidR="00762BB6" w14:paraId="540071AE"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BF460F7" w14:textId="77777777" w:rsidR="00762BB6" w:rsidRDefault="00762BB6" w:rsidP="007F1E41">
            <w:r>
              <w:rPr>
                <w:sz w:val="20"/>
                <w:szCs w:val="20"/>
              </w:rPr>
              <w:t>Unsuccessful</w:t>
            </w: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938BE65" w14:textId="77777777" w:rsidR="00762BB6" w:rsidRDefault="00762BB6" w:rsidP="007F1E41">
            <w:r>
              <w:rPr>
                <w:sz w:val="20"/>
                <w:szCs w:val="20"/>
              </w:rPr>
              <w:t>Died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20ECFA4A" w14:textId="77777777" w:rsidR="00762BB6" w:rsidRDefault="00762BB6" w:rsidP="007F1E41">
            <w:pPr>
              <w:jc w:val="center"/>
            </w:pPr>
            <w:r>
              <w:rPr>
                <w:sz w:val="20"/>
                <w:szCs w:val="20"/>
              </w:rPr>
              <w:t>1</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E4ABB4E" w14:textId="0D5693D4" w:rsidR="00762BB6" w:rsidRDefault="00762BB6" w:rsidP="007F1E41">
            <w:pPr>
              <w:jc w:val="center"/>
            </w:pPr>
            <w:r>
              <w:rPr>
                <w:sz w:val="20"/>
                <w:szCs w:val="20"/>
              </w:rPr>
              <w:t>2.</w:t>
            </w:r>
            <w:r w:rsidR="00EF7060">
              <w:rPr>
                <w:sz w:val="20"/>
                <w:szCs w:val="20"/>
              </w:rPr>
              <w:t>4</w:t>
            </w:r>
          </w:p>
        </w:tc>
      </w:tr>
      <w:tr w:rsidR="00762BB6" w14:paraId="7C6D0D04"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01611F4"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9BB8D23" w14:textId="77777777" w:rsidR="00762BB6" w:rsidRDefault="00762BB6" w:rsidP="007F1E41">
            <w:r>
              <w:rPr>
                <w:sz w:val="20"/>
                <w:szCs w:val="20"/>
              </w:rPr>
              <w:t>Defaulted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B226D35" w14:textId="77777777" w:rsidR="00762BB6" w:rsidRDefault="00762BB6" w:rsidP="007F1E41">
            <w:pPr>
              <w:jc w:val="center"/>
            </w:pPr>
            <w:r>
              <w:rPr>
                <w:sz w:val="20"/>
                <w:szCs w:val="20"/>
              </w:rPr>
              <w:t>13</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2C43689" w14:textId="73F35906" w:rsidR="00762BB6" w:rsidRDefault="00EF7060" w:rsidP="007F1E41">
            <w:pPr>
              <w:jc w:val="center"/>
            </w:pPr>
            <w:r>
              <w:t>31</w:t>
            </w:r>
          </w:p>
        </w:tc>
      </w:tr>
      <w:tr w:rsidR="00762BB6" w14:paraId="0316AAC7"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E995E31"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CBF74DC" w14:textId="77777777" w:rsidR="00762BB6" w:rsidRDefault="00762BB6" w:rsidP="007F1E41">
            <w:r>
              <w:rPr>
                <w:sz w:val="20"/>
                <w:szCs w:val="20"/>
              </w:rPr>
              <w:t>Transferred out</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7F30DE3" w14:textId="77777777" w:rsidR="00762BB6" w:rsidRDefault="00762BB6" w:rsidP="007F1E41">
            <w:pPr>
              <w:jc w:val="center"/>
            </w:pPr>
            <w:r>
              <w:rPr>
                <w:sz w:val="20"/>
                <w:szCs w:val="20"/>
              </w:rPr>
              <w:t>2</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268A1DF" w14:textId="1BDA1741" w:rsidR="00762BB6" w:rsidRDefault="00762BB6" w:rsidP="007F1E41">
            <w:pPr>
              <w:jc w:val="center"/>
            </w:pPr>
            <w:r>
              <w:rPr>
                <w:sz w:val="20"/>
                <w:szCs w:val="20"/>
              </w:rPr>
              <w:t>4.</w:t>
            </w:r>
            <w:r w:rsidR="009A059C">
              <w:rPr>
                <w:sz w:val="20"/>
                <w:szCs w:val="20"/>
              </w:rPr>
              <w:t>7</w:t>
            </w:r>
          </w:p>
        </w:tc>
      </w:tr>
      <w:tr w:rsidR="00762BB6" w14:paraId="04201C88"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17A241B4"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6BF63B6" w14:textId="77777777" w:rsidR="00762BB6" w:rsidRDefault="00762BB6" w:rsidP="007F1E41">
            <w:r>
              <w:rPr>
                <w:sz w:val="20"/>
                <w:szCs w:val="20"/>
              </w:rPr>
              <w:t>Lost to follow-up</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76120B7" w14:textId="77777777" w:rsidR="00762BB6" w:rsidRDefault="00762BB6" w:rsidP="007F1E41">
            <w:pPr>
              <w:jc w:val="center"/>
            </w:pPr>
            <w:r>
              <w:rPr>
                <w:sz w:val="20"/>
                <w:szCs w:val="20"/>
              </w:rPr>
              <w:t>1</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2430EDD0" w14:textId="51DB1887" w:rsidR="00EF7060" w:rsidRPr="00EF7060" w:rsidRDefault="00762BB6" w:rsidP="00EF7060">
            <w:pPr>
              <w:jc w:val="center"/>
              <w:rPr>
                <w:sz w:val="20"/>
                <w:szCs w:val="20"/>
              </w:rPr>
            </w:pPr>
            <w:r>
              <w:rPr>
                <w:sz w:val="20"/>
                <w:szCs w:val="20"/>
              </w:rPr>
              <w:t>2.</w:t>
            </w:r>
            <w:r w:rsidR="009A059C">
              <w:rPr>
                <w:sz w:val="20"/>
                <w:szCs w:val="20"/>
              </w:rPr>
              <w:t>4</w:t>
            </w:r>
          </w:p>
        </w:tc>
      </w:tr>
      <w:tr w:rsidR="00762BB6" w14:paraId="047135B4"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EF34A52"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6771F7B" w14:textId="77777777" w:rsidR="00762BB6" w:rsidRDefault="00762BB6" w:rsidP="007F1E41">
            <w:r>
              <w:rPr>
                <w:b/>
                <w:bCs/>
                <w:sz w:val="20"/>
                <w:szCs w:val="20"/>
              </w:rPr>
              <w:t>Subtotal</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12FF768C" w14:textId="77777777" w:rsidR="00762BB6" w:rsidRDefault="00762BB6" w:rsidP="007F1E41">
            <w:pPr>
              <w:jc w:val="center"/>
            </w:pPr>
            <w:r>
              <w:rPr>
                <w:b/>
                <w:bCs/>
                <w:sz w:val="20"/>
                <w:szCs w:val="20"/>
              </w:rPr>
              <w:t>17</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6D73898F" w14:textId="20D6E3CB" w:rsidR="00762BB6" w:rsidRPr="00EF7060" w:rsidRDefault="00EF7060" w:rsidP="007F1E41">
            <w:pPr>
              <w:jc w:val="center"/>
              <w:rPr>
                <w:b/>
                <w:sz w:val="20"/>
                <w:szCs w:val="20"/>
              </w:rPr>
            </w:pPr>
            <w:r w:rsidRPr="00EF7060">
              <w:rPr>
                <w:b/>
                <w:sz w:val="20"/>
                <w:szCs w:val="20"/>
              </w:rPr>
              <w:t>40.5</w:t>
            </w:r>
          </w:p>
        </w:tc>
      </w:tr>
      <w:tr w:rsidR="00762BB6" w14:paraId="6B738E2B"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625EC86" w14:textId="77777777" w:rsidR="00762BB6" w:rsidRDefault="00762BB6" w:rsidP="007F1E41">
            <w:pPr>
              <w:jc w:val="center"/>
            </w:pPr>
            <w:r>
              <w:rPr>
                <w:b/>
                <w:bCs/>
                <w:sz w:val="20"/>
                <w:szCs w:val="20"/>
              </w:rPr>
              <w:t>Total</w:t>
            </w: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7EF71A5" w14:textId="77777777" w:rsidR="00762BB6" w:rsidRDefault="00762BB6" w:rsidP="007F1E41">
            <w:pPr>
              <w:jc w:val="center"/>
            </w:pP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7E7C426" w14:textId="36146279" w:rsidR="00762BB6" w:rsidRDefault="00762BB6" w:rsidP="007F1E41">
            <w:pPr>
              <w:jc w:val="center"/>
            </w:pPr>
            <w:r>
              <w:rPr>
                <w:b/>
                <w:bCs/>
                <w:sz w:val="20"/>
                <w:szCs w:val="20"/>
              </w:rPr>
              <w:t>4</w:t>
            </w:r>
            <w:r w:rsidR="00EF7060">
              <w:rPr>
                <w:b/>
                <w:bCs/>
                <w:sz w:val="20"/>
                <w:szCs w:val="20"/>
              </w:rPr>
              <w:t>2</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15CAD5C" w14:textId="77777777" w:rsidR="00762BB6" w:rsidRDefault="00762BB6" w:rsidP="007F1E41">
            <w:pPr>
              <w:jc w:val="center"/>
            </w:pPr>
            <w:r>
              <w:rPr>
                <w:b/>
                <w:bCs/>
                <w:sz w:val="20"/>
                <w:szCs w:val="20"/>
              </w:rPr>
              <w:t>100.0</w:t>
            </w:r>
          </w:p>
        </w:tc>
      </w:tr>
    </w:tbl>
    <w:p w14:paraId="4B21E91A" w14:textId="77777777" w:rsidR="00762BB6" w:rsidRDefault="00762BB6" w:rsidP="00762BB6">
      <w:pPr>
        <w:spacing w:after="80"/>
      </w:pPr>
    </w:p>
    <w:p w14:paraId="64DB4C7C" w14:textId="77777777" w:rsidR="00762BB6" w:rsidRDefault="00762BB6" w:rsidP="001A212E">
      <w:pPr>
        <w:rPr>
          <w:b/>
          <w:bCs/>
        </w:rPr>
      </w:pPr>
    </w:p>
    <w:p w14:paraId="40259F62" w14:textId="7110AC90" w:rsidR="00895778" w:rsidRDefault="00895778" w:rsidP="001A212E">
      <w:pPr>
        <w:rPr>
          <w:b/>
          <w:bCs/>
        </w:rPr>
      </w:pPr>
    </w:p>
    <w:p w14:paraId="27B90487" w14:textId="2B213A69" w:rsidR="00895778" w:rsidRDefault="00895778" w:rsidP="00413079">
      <w:pPr>
        <w:rPr>
          <w:b/>
          <w:bCs/>
        </w:rPr>
      </w:pPr>
      <w:r>
        <w:rPr>
          <w:b/>
          <w:bCs/>
        </w:rPr>
        <w:t>Sociodemographic characteristics of BCG vaccinated participants</w:t>
      </w:r>
    </w:p>
    <w:p w14:paraId="34CA9374" w14:textId="77777777" w:rsidR="009C31DB" w:rsidRDefault="009C31DB" w:rsidP="00413079">
      <w:pPr>
        <w:rPr>
          <w:b/>
          <w:bCs/>
        </w:rPr>
      </w:pPr>
    </w:p>
    <w:p w14:paraId="07282BB4" w14:textId="13570972" w:rsidR="009C31DB" w:rsidRPr="00CA3C20" w:rsidRDefault="009C31DB" w:rsidP="00413079">
      <w:pPr>
        <w:jc w:val="both"/>
      </w:pPr>
      <w:r w:rsidRPr="009C31DB">
        <w:t xml:space="preserve">Between 2020 and 2024, a total of </w:t>
      </w:r>
      <w:r w:rsidRPr="009C31DB">
        <w:rPr>
          <w:rStyle w:val="Emphasis"/>
          <w:rFonts w:eastAsiaTheme="majorEastAsia"/>
          <w:i w:val="0"/>
        </w:rPr>
        <w:t>6,174 children</w:t>
      </w:r>
      <w:r w:rsidRPr="009C31DB">
        <w:t xml:space="preserve"> were recorded at the TB Diagnostic and Treatment Centre of the Buea Regional Hospital</w:t>
      </w:r>
      <w:r>
        <w:t xml:space="preserve"> Table </w:t>
      </w:r>
      <w:r w:rsidR="004039F5">
        <w:t>3</w:t>
      </w:r>
      <w:r w:rsidRPr="009C31DB">
        <w:t>. Out of this population</w:t>
      </w:r>
      <w:r w:rsidRPr="009C31DB">
        <w:rPr>
          <w:b/>
          <w:bCs/>
        </w:rPr>
        <w:t xml:space="preserve">, </w:t>
      </w:r>
      <w:r w:rsidRPr="009C31DB">
        <w:rPr>
          <w:rStyle w:val="Emphasis"/>
          <w:rFonts w:eastAsiaTheme="majorEastAsia"/>
          <w:i w:val="0"/>
        </w:rPr>
        <w:t>5,686 children (92.2%)</w:t>
      </w:r>
      <w:r w:rsidRPr="009C31DB">
        <w:t xml:space="preserve"> received the BCG vaccine, indicating a high level of BCG vaccination rate across the five-year span. Only </w:t>
      </w:r>
      <w:r w:rsidRPr="009C31DB">
        <w:rPr>
          <w:rStyle w:val="Emphasis"/>
          <w:rFonts w:eastAsiaTheme="majorEastAsia"/>
          <w:i w:val="0"/>
        </w:rPr>
        <w:t>488 children (7.8%)</w:t>
      </w:r>
      <w:r w:rsidRPr="009C31DB">
        <w:t xml:space="preserve"> remained unvaccinated.</w:t>
      </w:r>
    </w:p>
    <w:p w14:paraId="4F729BF2" w14:textId="7AD579F0" w:rsidR="00895778" w:rsidRDefault="00895778" w:rsidP="001A212E">
      <w:pPr>
        <w:rPr>
          <w:b/>
          <w:bCs/>
        </w:rPr>
      </w:pPr>
    </w:p>
    <w:p w14:paraId="28B3E168" w14:textId="0C0A0EB5" w:rsidR="005C218C" w:rsidRPr="005C218C" w:rsidRDefault="00895778" w:rsidP="005C218C">
      <w:pPr>
        <w:spacing w:before="80" w:after="80"/>
        <w:jc w:val="center"/>
      </w:pPr>
      <w:r>
        <w:rPr>
          <w:b/>
          <w:bCs/>
          <w:sz w:val="20"/>
          <w:szCs w:val="20"/>
        </w:rPr>
        <w:t xml:space="preserve">Table </w:t>
      </w:r>
      <w:r w:rsidR="004039F5">
        <w:rPr>
          <w:b/>
          <w:bCs/>
          <w:sz w:val="20"/>
          <w:szCs w:val="20"/>
        </w:rPr>
        <w:t>3</w:t>
      </w:r>
      <w:r>
        <w:rPr>
          <w:b/>
          <w:bCs/>
          <w:sz w:val="20"/>
          <w:szCs w:val="20"/>
        </w:rPr>
        <w:t>. BCG vaccination status of children (0–5 years) recorded at the Buea Regional Hospital (2020–2024)</w:t>
      </w:r>
    </w:p>
    <w:tbl>
      <w:tblPr>
        <w:tblpPr w:leftFromText="180" w:rightFromText="180" w:vertAnchor="text" w:tblpY="1"/>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57"/>
        <w:gridCol w:w="1607"/>
        <w:gridCol w:w="1812"/>
      </w:tblGrid>
      <w:tr w:rsidR="005C218C" w:rsidRPr="00F53A0B" w14:paraId="0AA40AE2" w14:textId="77777777" w:rsidTr="007F1E41">
        <w:trPr>
          <w:trHeight w:val="493"/>
          <w:tblHeader/>
          <w:tblCellSpacing w:w="15" w:type="dxa"/>
        </w:trPr>
        <w:tc>
          <w:tcPr>
            <w:tcW w:w="2812" w:type="dxa"/>
            <w:tcBorders>
              <w:top w:val="single" w:sz="4" w:space="0" w:color="auto"/>
              <w:bottom w:val="single" w:sz="4" w:space="0" w:color="auto"/>
            </w:tcBorders>
            <w:vAlign w:val="center"/>
            <w:hideMark/>
          </w:tcPr>
          <w:p w14:paraId="700406A2" w14:textId="77777777" w:rsidR="005C218C" w:rsidRPr="00F53A0B" w:rsidRDefault="005C218C" w:rsidP="007F1E41">
            <w:pPr>
              <w:spacing w:line="480" w:lineRule="auto"/>
              <w:rPr>
                <w:b/>
                <w:bCs/>
              </w:rPr>
            </w:pPr>
            <w:r w:rsidRPr="00F53A0B">
              <w:rPr>
                <w:b/>
                <w:bCs/>
              </w:rPr>
              <w:t xml:space="preserve">Variables </w:t>
            </w:r>
          </w:p>
        </w:tc>
        <w:tc>
          <w:tcPr>
            <w:tcW w:w="1577" w:type="dxa"/>
            <w:tcBorders>
              <w:top w:val="single" w:sz="4" w:space="0" w:color="auto"/>
              <w:bottom w:val="single" w:sz="4" w:space="0" w:color="auto"/>
            </w:tcBorders>
            <w:vAlign w:val="center"/>
            <w:hideMark/>
          </w:tcPr>
          <w:p w14:paraId="657F70EE" w14:textId="77777777" w:rsidR="005C218C" w:rsidRPr="00F53A0B" w:rsidRDefault="005C218C" w:rsidP="007F1E41">
            <w:pPr>
              <w:spacing w:line="480" w:lineRule="auto"/>
              <w:rPr>
                <w:b/>
                <w:bCs/>
              </w:rPr>
            </w:pPr>
            <w:r w:rsidRPr="00F53A0B">
              <w:rPr>
                <w:b/>
                <w:bCs/>
              </w:rPr>
              <w:t>Frequency</w:t>
            </w:r>
          </w:p>
        </w:tc>
        <w:tc>
          <w:tcPr>
            <w:tcW w:w="1767" w:type="dxa"/>
            <w:tcBorders>
              <w:top w:val="single" w:sz="4" w:space="0" w:color="auto"/>
              <w:bottom w:val="single" w:sz="4" w:space="0" w:color="auto"/>
            </w:tcBorders>
            <w:vAlign w:val="center"/>
            <w:hideMark/>
          </w:tcPr>
          <w:p w14:paraId="651C52DE" w14:textId="77777777" w:rsidR="005C218C" w:rsidRPr="00F53A0B" w:rsidRDefault="005C218C" w:rsidP="007F1E41">
            <w:pPr>
              <w:spacing w:line="480" w:lineRule="auto"/>
              <w:rPr>
                <w:b/>
                <w:bCs/>
              </w:rPr>
            </w:pPr>
            <w:r w:rsidRPr="00F53A0B">
              <w:rPr>
                <w:b/>
                <w:bCs/>
              </w:rPr>
              <w:t>Percentage (%)</w:t>
            </w:r>
          </w:p>
        </w:tc>
      </w:tr>
      <w:tr w:rsidR="005C218C" w:rsidRPr="00F53A0B" w14:paraId="2B318E1F" w14:textId="77777777" w:rsidTr="007F1E41">
        <w:trPr>
          <w:trHeight w:val="384"/>
          <w:tblCellSpacing w:w="15" w:type="dxa"/>
        </w:trPr>
        <w:tc>
          <w:tcPr>
            <w:tcW w:w="2812" w:type="dxa"/>
            <w:vAlign w:val="center"/>
            <w:hideMark/>
          </w:tcPr>
          <w:p w14:paraId="524239B8" w14:textId="77777777" w:rsidR="005C218C" w:rsidRPr="00F53A0B" w:rsidRDefault="005C218C" w:rsidP="007F1E41">
            <w:pPr>
              <w:spacing w:line="480" w:lineRule="auto"/>
            </w:pPr>
            <w:r w:rsidRPr="00F53A0B">
              <w:t>Total Children</w:t>
            </w:r>
          </w:p>
        </w:tc>
        <w:tc>
          <w:tcPr>
            <w:tcW w:w="1577" w:type="dxa"/>
            <w:vAlign w:val="center"/>
            <w:hideMark/>
          </w:tcPr>
          <w:p w14:paraId="51AD3BD5" w14:textId="77777777" w:rsidR="005C218C" w:rsidRPr="00F53A0B" w:rsidRDefault="005C218C" w:rsidP="007F1E41">
            <w:pPr>
              <w:spacing w:line="480" w:lineRule="auto"/>
            </w:pPr>
            <w:r w:rsidRPr="00F53A0B">
              <w:t>6,174</w:t>
            </w:r>
          </w:p>
        </w:tc>
        <w:tc>
          <w:tcPr>
            <w:tcW w:w="1767" w:type="dxa"/>
            <w:vAlign w:val="center"/>
            <w:hideMark/>
          </w:tcPr>
          <w:p w14:paraId="7DDD3B1C" w14:textId="77777777" w:rsidR="005C218C" w:rsidRPr="00F53A0B" w:rsidRDefault="005C218C" w:rsidP="007F1E41">
            <w:pPr>
              <w:spacing w:line="480" w:lineRule="auto"/>
            </w:pPr>
            <w:r w:rsidRPr="00F53A0B">
              <w:t>100.0</w:t>
            </w:r>
          </w:p>
        </w:tc>
      </w:tr>
      <w:tr w:rsidR="005C218C" w:rsidRPr="00F53A0B" w14:paraId="16E718B9" w14:textId="77777777" w:rsidTr="007F1E41">
        <w:trPr>
          <w:trHeight w:val="370"/>
          <w:tblCellSpacing w:w="15" w:type="dxa"/>
        </w:trPr>
        <w:tc>
          <w:tcPr>
            <w:tcW w:w="2812" w:type="dxa"/>
            <w:vAlign w:val="center"/>
            <w:hideMark/>
          </w:tcPr>
          <w:p w14:paraId="2725F2EF" w14:textId="77777777" w:rsidR="005C218C" w:rsidRPr="00F53A0B" w:rsidRDefault="005C218C" w:rsidP="007F1E41">
            <w:pPr>
              <w:spacing w:line="480" w:lineRule="auto"/>
            </w:pPr>
            <w:r w:rsidRPr="00F53A0B">
              <w:t>Total Male</w:t>
            </w:r>
          </w:p>
        </w:tc>
        <w:tc>
          <w:tcPr>
            <w:tcW w:w="1577" w:type="dxa"/>
            <w:vAlign w:val="center"/>
            <w:hideMark/>
          </w:tcPr>
          <w:p w14:paraId="75E59316" w14:textId="77777777" w:rsidR="005C218C" w:rsidRPr="00F53A0B" w:rsidRDefault="005C218C" w:rsidP="007F1E41">
            <w:pPr>
              <w:spacing w:line="480" w:lineRule="auto"/>
            </w:pPr>
            <w:r w:rsidRPr="00F53A0B">
              <w:t>3,103</w:t>
            </w:r>
          </w:p>
        </w:tc>
        <w:tc>
          <w:tcPr>
            <w:tcW w:w="1767" w:type="dxa"/>
            <w:vAlign w:val="center"/>
            <w:hideMark/>
          </w:tcPr>
          <w:p w14:paraId="0348B226" w14:textId="77777777" w:rsidR="005C218C" w:rsidRPr="00F53A0B" w:rsidRDefault="005C218C" w:rsidP="007F1E41">
            <w:pPr>
              <w:spacing w:line="480" w:lineRule="auto"/>
            </w:pPr>
            <w:r w:rsidRPr="00F53A0B">
              <w:t>50.3</w:t>
            </w:r>
          </w:p>
        </w:tc>
      </w:tr>
      <w:tr w:rsidR="005C218C" w:rsidRPr="00F53A0B" w14:paraId="18B8BD7C" w14:textId="77777777" w:rsidTr="007F1E41">
        <w:trPr>
          <w:trHeight w:val="384"/>
          <w:tblCellSpacing w:w="15" w:type="dxa"/>
        </w:trPr>
        <w:tc>
          <w:tcPr>
            <w:tcW w:w="2812" w:type="dxa"/>
            <w:vAlign w:val="center"/>
            <w:hideMark/>
          </w:tcPr>
          <w:p w14:paraId="3AAC3E89" w14:textId="77777777" w:rsidR="005C218C" w:rsidRPr="00F53A0B" w:rsidRDefault="005C218C" w:rsidP="007F1E41">
            <w:pPr>
              <w:spacing w:line="480" w:lineRule="auto"/>
            </w:pPr>
            <w:r w:rsidRPr="00F53A0B">
              <w:t>Total Female</w:t>
            </w:r>
          </w:p>
        </w:tc>
        <w:tc>
          <w:tcPr>
            <w:tcW w:w="1577" w:type="dxa"/>
            <w:vAlign w:val="center"/>
            <w:hideMark/>
          </w:tcPr>
          <w:p w14:paraId="7CE7E9A1" w14:textId="77777777" w:rsidR="005C218C" w:rsidRPr="00F53A0B" w:rsidRDefault="005C218C" w:rsidP="007F1E41">
            <w:pPr>
              <w:spacing w:line="480" w:lineRule="auto"/>
            </w:pPr>
            <w:r w:rsidRPr="00F53A0B">
              <w:t>3,071</w:t>
            </w:r>
          </w:p>
        </w:tc>
        <w:tc>
          <w:tcPr>
            <w:tcW w:w="1767" w:type="dxa"/>
            <w:vAlign w:val="center"/>
            <w:hideMark/>
          </w:tcPr>
          <w:p w14:paraId="67FAB9DA" w14:textId="77777777" w:rsidR="005C218C" w:rsidRPr="00F53A0B" w:rsidRDefault="005C218C" w:rsidP="007F1E41">
            <w:pPr>
              <w:spacing w:line="480" w:lineRule="auto"/>
            </w:pPr>
            <w:r w:rsidRPr="00F53A0B">
              <w:t>49.7</w:t>
            </w:r>
          </w:p>
        </w:tc>
      </w:tr>
      <w:tr w:rsidR="005C218C" w:rsidRPr="00F53A0B" w14:paraId="70849905" w14:textId="77777777" w:rsidTr="007F1E41">
        <w:trPr>
          <w:trHeight w:val="384"/>
          <w:tblCellSpacing w:w="15" w:type="dxa"/>
        </w:trPr>
        <w:tc>
          <w:tcPr>
            <w:tcW w:w="2812" w:type="dxa"/>
            <w:vAlign w:val="center"/>
            <w:hideMark/>
          </w:tcPr>
          <w:p w14:paraId="0249F6FF" w14:textId="77777777" w:rsidR="005C218C" w:rsidRPr="00F53A0B" w:rsidRDefault="005C218C" w:rsidP="007F1E41">
            <w:pPr>
              <w:spacing w:line="480" w:lineRule="auto"/>
            </w:pPr>
            <w:r w:rsidRPr="00F53A0B">
              <w:t>Total Vaccinated</w:t>
            </w:r>
          </w:p>
        </w:tc>
        <w:tc>
          <w:tcPr>
            <w:tcW w:w="1577" w:type="dxa"/>
            <w:vAlign w:val="center"/>
            <w:hideMark/>
          </w:tcPr>
          <w:p w14:paraId="6A9549E9" w14:textId="77777777" w:rsidR="005C218C" w:rsidRPr="00F53A0B" w:rsidRDefault="005C218C" w:rsidP="007F1E41">
            <w:pPr>
              <w:spacing w:line="480" w:lineRule="auto"/>
            </w:pPr>
            <w:r w:rsidRPr="00F53A0B">
              <w:t>5,686</w:t>
            </w:r>
          </w:p>
        </w:tc>
        <w:tc>
          <w:tcPr>
            <w:tcW w:w="1767" w:type="dxa"/>
            <w:vAlign w:val="center"/>
            <w:hideMark/>
          </w:tcPr>
          <w:p w14:paraId="7C414F1A" w14:textId="77777777" w:rsidR="005C218C" w:rsidRPr="00F53A0B" w:rsidRDefault="005C218C" w:rsidP="007F1E41">
            <w:pPr>
              <w:spacing w:line="480" w:lineRule="auto"/>
            </w:pPr>
            <w:r w:rsidRPr="00F53A0B">
              <w:t>92.2</w:t>
            </w:r>
          </w:p>
        </w:tc>
      </w:tr>
      <w:tr w:rsidR="005C218C" w:rsidRPr="00F53A0B" w14:paraId="5D2A56F5" w14:textId="77777777" w:rsidTr="007F1E41">
        <w:trPr>
          <w:trHeight w:val="370"/>
          <w:tblCellSpacing w:w="15" w:type="dxa"/>
        </w:trPr>
        <w:tc>
          <w:tcPr>
            <w:tcW w:w="2812" w:type="dxa"/>
            <w:vAlign w:val="center"/>
            <w:hideMark/>
          </w:tcPr>
          <w:p w14:paraId="29EF4955" w14:textId="77777777" w:rsidR="005C218C" w:rsidRPr="00F53A0B" w:rsidRDefault="005C218C" w:rsidP="007F1E41">
            <w:pPr>
              <w:spacing w:line="480" w:lineRule="auto"/>
            </w:pPr>
            <w:r w:rsidRPr="00F53A0B">
              <w:t>Vaccinated Male</w:t>
            </w:r>
          </w:p>
        </w:tc>
        <w:tc>
          <w:tcPr>
            <w:tcW w:w="1577" w:type="dxa"/>
            <w:vAlign w:val="center"/>
            <w:hideMark/>
          </w:tcPr>
          <w:p w14:paraId="5BDD06BD" w14:textId="77777777" w:rsidR="005C218C" w:rsidRPr="00F53A0B" w:rsidRDefault="005C218C" w:rsidP="007F1E41">
            <w:pPr>
              <w:spacing w:line="480" w:lineRule="auto"/>
            </w:pPr>
            <w:r w:rsidRPr="00F53A0B">
              <w:t>2,860</w:t>
            </w:r>
          </w:p>
        </w:tc>
        <w:tc>
          <w:tcPr>
            <w:tcW w:w="1767" w:type="dxa"/>
            <w:vAlign w:val="center"/>
            <w:hideMark/>
          </w:tcPr>
          <w:p w14:paraId="495857BA" w14:textId="77777777" w:rsidR="005C218C" w:rsidRPr="00F53A0B" w:rsidRDefault="005C218C" w:rsidP="007F1E41">
            <w:pPr>
              <w:spacing w:line="480" w:lineRule="auto"/>
            </w:pPr>
            <w:r w:rsidRPr="00F53A0B">
              <w:t>46.3</w:t>
            </w:r>
          </w:p>
        </w:tc>
      </w:tr>
      <w:tr w:rsidR="005C218C" w:rsidRPr="00F53A0B" w14:paraId="32D611F8" w14:textId="77777777" w:rsidTr="007F1E41">
        <w:trPr>
          <w:trHeight w:val="384"/>
          <w:tblCellSpacing w:w="15" w:type="dxa"/>
        </w:trPr>
        <w:tc>
          <w:tcPr>
            <w:tcW w:w="2812" w:type="dxa"/>
            <w:vAlign w:val="center"/>
            <w:hideMark/>
          </w:tcPr>
          <w:p w14:paraId="3C56CD6B" w14:textId="77777777" w:rsidR="005C218C" w:rsidRPr="00F53A0B" w:rsidRDefault="005C218C" w:rsidP="007F1E41">
            <w:pPr>
              <w:spacing w:line="480" w:lineRule="auto"/>
            </w:pPr>
            <w:r w:rsidRPr="00F53A0B">
              <w:t>Vaccinated Female</w:t>
            </w:r>
          </w:p>
        </w:tc>
        <w:tc>
          <w:tcPr>
            <w:tcW w:w="1577" w:type="dxa"/>
            <w:vAlign w:val="center"/>
            <w:hideMark/>
          </w:tcPr>
          <w:p w14:paraId="69136898" w14:textId="77777777" w:rsidR="005C218C" w:rsidRPr="00F53A0B" w:rsidRDefault="005C218C" w:rsidP="007F1E41">
            <w:pPr>
              <w:spacing w:line="480" w:lineRule="auto"/>
            </w:pPr>
            <w:r w:rsidRPr="00F53A0B">
              <w:t>2,826</w:t>
            </w:r>
          </w:p>
        </w:tc>
        <w:tc>
          <w:tcPr>
            <w:tcW w:w="1767" w:type="dxa"/>
            <w:vAlign w:val="center"/>
            <w:hideMark/>
          </w:tcPr>
          <w:p w14:paraId="28A0908C" w14:textId="77777777" w:rsidR="005C218C" w:rsidRPr="00F53A0B" w:rsidRDefault="005C218C" w:rsidP="007F1E41">
            <w:pPr>
              <w:spacing w:line="480" w:lineRule="auto"/>
            </w:pPr>
            <w:r w:rsidRPr="00F53A0B">
              <w:t>45.7</w:t>
            </w:r>
          </w:p>
        </w:tc>
      </w:tr>
      <w:tr w:rsidR="005C218C" w:rsidRPr="00F53A0B" w14:paraId="08B9F797" w14:textId="77777777" w:rsidTr="007F1E41">
        <w:trPr>
          <w:trHeight w:val="370"/>
          <w:tblCellSpacing w:w="15" w:type="dxa"/>
        </w:trPr>
        <w:tc>
          <w:tcPr>
            <w:tcW w:w="2812" w:type="dxa"/>
            <w:vAlign w:val="center"/>
            <w:hideMark/>
          </w:tcPr>
          <w:p w14:paraId="597C1908" w14:textId="77777777" w:rsidR="005C218C" w:rsidRPr="00F53A0B" w:rsidRDefault="005C218C" w:rsidP="007F1E41">
            <w:pPr>
              <w:spacing w:line="480" w:lineRule="auto"/>
            </w:pPr>
            <w:r w:rsidRPr="00F53A0B">
              <w:t>Total Unvaccinated</w:t>
            </w:r>
          </w:p>
        </w:tc>
        <w:tc>
          <w:tcPr>
            <w:tcW w:w="1577" w:type="dxa"/>
            <w:vAlign w:val="center"/>
            <w:hideMark/>
          </w:tcPr>
          <w:p w14:paraId="08D91BC1" w14:textId="77777777" w:rsidR="005C218C" w:rsidRPr="00F53A0B" w:rsidRDefault="005C218C" w:rsidP="007F1E41">
            <w:pPr>
              <w:spacing w:line="480" w:lineRule="auto"/>
            </w:pPr>
            <w:r w:rsidRPr="00F53A0B">
              <w:t>488</w:t>
            </w:r>
          </w:p>
        </w:tc>
        <w:tc>
          <w:tcPr>
            <w:tcW w:w="1767" w:type="dxa"/>
            <w:vAlign w:val="center"/>
            <w:hideMark/>
          </w:tcPr>
          <w:p w14:paraId="0C0A7868" w14:textId="77777777" w:rsidR="005C218C" w:rsidRPr="00F53A0B" w:rsidRDefault="005C218C" w:rsidP="007F1E41">
            <w:pPr>
              <w:spacing w:line="480" w:lineRule="auto"/>
            </w:pPr>
            <w:r w:rsidRPr="00F53A0B">
              <w:t>7.8</w:t>
            </w:r>
          </w:p>
        </w:tc>
      </w:tr>
      <w:tr w:rsidR="005C218C" w:rsidRPr="00F53A0B" w14:paraId="3A31778B" w14:textId="77777777" w:rsidTr="007F1E41">
        <w:trPr>
          <w:trHeight w:val="384"/>
          <w:tblCellSpacing w:w="15" w:type="dxa"/>
        </w:trPr>
        <w:tc>
          <w:tcPr>
            <w:tcW w:w="2812" w:type="dxa"/>
            <w:vAlign w:val="center"/>
            <w:hideMark/>
          </w:tcPr>
          <w:p w14:paraId="615C0C1C" w14:textId="77777777" w:rsidR="005C218C" w:rsidRPr="00F53A0B" w:rsidRDefault="005C218C" w:rsidP="007F1E41">
            <w:pPr>
              <w:spacing w:line="480" w:lineRule="auto"/>
            </w:pPr>
            <w:r w:rsidRPr="00F53A0B">
              <w:t>Unvaccinated Male</w:t>
            </w:r>
          </w:p>
        </w:tc>
        <w:tc>
          <w:tcPr>
            <w:tcW w:w="1577" w:type="dxa"/>
            <w:vAlign w:val="center"/>
            <w:hideMark/>
          </w:tcPr>
          <w:p w14:paraId="2349671D" w14:textId="77777777" w:rsidR="005C218C" w:rsidRPr="00F53A0B" w:rsidRDefault="005C218C" w:rsidP="007F1E41">
            <w:pPr>
              <w:spacing w:line="480" w:lineRule="auto"/>
            </w:pPr>
            <w:r w:rsidRPr="00F53A0B">
              <w:t>243</w:t>
            </w:r>
          </w:p>
        </w:tc>
        <w:tc>
          <w:tcPr>
            <w:tcW w:w="1767" w:type="dxa"/>
            <w:vAlign w:val="center"/>
            <w:hideMark/>
          </w:tcPr>
          <w:p w14:paraId="52058E50" w14:textId="77777777" w:rsidR="005C218C" w:rsidRPr="00F53A0B" w:rsidRDefault="005C218C" w:rsidP="007F1E41">
            <w:pPr>
              <w:spacing w:line="480" w:lineRule="auto"/>
            </w:pPr>
            <w:r w:rsidRPr="00F53A0B">
              <w:t>3.9</w:t>
            </w:r>
          </w:p>
        </w:tc>
      </w:tr>
      <w:tr w:rsidR="005C218C" w:rsidRPr="00F53A0B" w14:paraId="6B169ED5" w14:textId="77777777" w:rsidTr="007F1E41">
        <w:trPr>
          <w:trHeight w:val="370"/>
          <w:tblCellSpacing w:w="15" w:type="dxa"/>
        </w:trPr>
        <w:tc>
          <w:tcPr>
            <w:tcW w:w="2812" w:type="dxa"/>
            <w:tcBorders>
              <w:bottom w:val="single" w:sz="4" w:space="0" w:color="auto"/>
            </w:tcBorders>
            <w:vAlign w:val="center"/>
            <w:hideMark/>
          </w:tcPr>
          <w:p w14:paraId="16C3D93A" w14:textId="77777777" w:rsidR="005C218C" w:rsidRPr="00F53A0B" w:rsidRDefault="005C218C" w:rsidP="007F1E41">
            <w:pPr>
              <w:spacing w:line="480" w:lineRule="auto"/>
            </w:pPr>
            <w:r w:rsidRPr="00F53A0B">
              <w:t>Unvaccinated Female</w:t>
            </w:r>
          </w:p>
        </w:tc>
        <w:tc>
          <w:tcPr>
            <w:tcW w:w="1577" w:type="dxa"/>
            <w:tcBorders>
              <w:bottom w:val="single" w:sz="4" w:space="0" w:color="auto"/>
            </w:tcBorders>
            <w:vAlign w:val="center"/>
            <w:hideMark/>
          </w:tcPr>
          <w:p w14:paraId="727155B7" w14:textId="77777777" w:rsidR="005C218C" w:rsidRPr="00F53A0B" w:rsidRDefault="005C218C" w:rsidP="007F1E41">
            <w:pPr>
              <w:spacing w:line="480" w:lineRule="auto"/>
            </w:pPr>
            <w:r w:rsidRPr="00F53A0B">
              <w:t>245</w:t>
            </w:r>
          </w:p>
        </w:tc>
        <w:tc>
          <w:tcPr>
            <w:tcW w:w="1767" w:type="dxa"/>
            <w:tcBorders>
              <w:bottom w:val="single" w:sz="4" w:space="0" w:color="auto"/>
            </w:tcBorders>
            <w:vAlign w:val="center"/>
            <w:hideMark/>
          </w:tcPr>
          <w:p w14:paraId="00F250E9" w14:textId="77777777" w:rsidR="005C218C" w:rsidRPr="00F53A0B" w:rsidRDefault="005C218C" w:rsidP="007F1E41">
            <w:pPr>
              <w:spacing w:line="480" w:lineRule="auto"/>
            </w:pPr>
            <w:r w:rsidRPr="00F53A0B">
              <w:t>4.0</w:t>
            </w:r>
          </w:p>
        </w:tc>
      </w:tr>
    </w:tbl>
    <w:p w14:paraId="4A7A4D67" w14:textId="50F855E3" w:rsidR="005C218C" w:rsidRDefault="005C218C">
      <w:pPr>
        <w:spacing w:before="160" w:after="80"/>
        <w:rPr>
          <w:b/>
          <w:bCs/>
        </w:rPr>
      </w:pPr>
    </w:p>
    <w:p w14:paraId="6203CDC3" w14:textId="46F9AC0C" w:rsidR="005C218C" w:rsidRDefault="005C218C">
      <w:pPr>
        <w:spacing w:before="160" w:after="80"/>
        <w:rPr>
          <w:b/>
          <w:bCs/>
        </w:rPr>
      </w:pPr>
    </w:p>
    <w:p w14:paraId="734A2C03" w14:textId="7F875F41" w:rsidR="005C218C" w:rsidRDefault="005C218C">
      <w:pPr>
        <w:spacing w:before="160" w:after="80"/>
        <w:rPr>
          <w:b/>
          <w:bCs/>
        </w:rPr>
      </w:pPr>
    </w:p>
    <w:p w14:paraId="075E3DAC" w14:textId="4570A91B" w:rsidR="005C218C" w:rsidRDefault="005C218C">
      <w:pPr>
        <w:spacing w:before="160" w:after="80"/>
        <w:rPr>
          <w:b/>
          <w:bCs/>
        </w:rPr>
      </w:pPr>
    </w:p>
    <w:p w14:paraId="0E143E70" w14:textId="39AC090F" w:rsidR="005C218C" w:rsidRDefault="005C218C">
      <w:pPr>
        <w:spacing w:before="160" w:after="80"/>
        <w:rPr>
          <w:b/>
          <w:bCs/>
        </w:rPr>
      </w:pPr>
    </w:p>
    <w:p w14:paraId="17E44B09" w14:textId="2C1F4FCB" w:rsidR="005C218C" w:rsidRDefault="005C218C">
      <w:pPr>
        <w:spacing w:before="160" w:after="80"/>
        <w:rPr>
          <w:b/>
          <w:bCs/>
        </w:rPr>
      </w:pPr>
    </w:p>
    <w:p w14:paraId="4844E913" w14:textId="16AE5EF0" w:rsidR="005C218C" w:rsidRDefault="005C218C">
      <w:pPr>
        <w:spacing w:before="160" w:after="80"/>
        <w:rPr>
          <w:b/>
          <w:bCs/>
        </w:rPr>
      </w:pPr>
    </w:p>
    <w:p w14:paraId="3A7CD948" w14:textId="62A86C8E" w:rsidR="005C218C" w:rsidRDefault="005C218C">
      <w:pPr>
        <w:spacing w:before="160" w:after="80"/>
        <w:rPr>
          <w:b/>
          <w:bCs/>
        </w:rPr>
      </w:pPr>
    </w:p>
    <w:p w14:paraId="725975C6" w14:textId="6D08263C" w:rsidR="005C218C" w:rsidRDefault="005C218C">
      <w:pPr>
        <w:spacing w:before="160" w:after="80"/>
        <w:rPr>
          <w:b/>
          <w:bCs/>
        </w:rPr>
      </w:pPr>
    </w:p>
    <w:p w14:paraId="6CAFCEFE" w14:textId="2FA4E893" w:rsidR="005C218C" w:rsidRDefault="005C218C">
      <w:pPr>
        <w:spacing w:before="160" w:after="80"/>
        <w:rPr>
          <w:b/>
          <w:bCs/>
        </w:rPr>
      </w:pPr>
    </w:p>
    <w:p w14:paraId="3A5F187D" w14:textId="6D3B538A" w:rsidR="005C218C" w:rsidRDefault="005C218C">
      <w:pPr>
        <w:spacing w:before="160" w:after="80"/>
        <w:rPr>
          <w:b/>
          <w:bCs/>
        </w:rPr>
      </w:pPr>
    </w:p>
    <w:p w14:paraId="1800D710" w14:textId="77777777" w:rsidR="005C218C" w:rsidRDefault="005C218C">
      <w:pPr>
        <w:spacing w:before="160" w:after="80"/>
        <w:rPr>
          <w:b/>
          <w:bCs/>
        </w:rPr>
      </w:pPr>
    </w:p>
    <w:p w14:paraId="7D543EF8" w14:textId="77777777" w:rsidR="003235E4" w:rsidRDefault="003235E4">
      <w:pPr>
        <w:spacing w:before="160" w:after="80"/>
        <w:rPr>
          <w:b/>
          <w:bCs/>
        </w:rPr>
      </w:pPr>
    </w:p>
    <w:p w14:paraId="46A985B0" w14:textId="77777777" w:rsidR="003235E4" w:rsidRDefault="003235E4">
      <w:pPr>
        <w:spacing w:before="160" w:after="80"/>
        <w:rPr>
          <w:b/>
          <w:bCs/>
        </w:rPr>
      </w:pPr>
    </w:p>
    <w:p w14:paraId="28502449" w14:textId="77777777" w:rsidR="003235E4" w:rsidRDefault="003235E4">
      <w:pPr>
        <w:spacing w:before="160" w:after="80"/>
        <w:rPr>
          <w:b/>
          <w:bCs/>
        </w:rPr>
      </w:pPr>
    </w:p>
    <w:p w14:paraId="7C3361EC" w14:textId="707A8BBF" w:rsidR="008A0081" w:rsidRDefault="00682B32" w:rsidP="003235E4">
      <w:pPr>
        <w:spacing w:before="160" w:after="80"/>
      </w:pPr>
      <w:r>
        <w:rPr>
          <w:b/>
          <w:bCs/>
        </w:rPr>
        <w:t>BCG vaccination coverage (2020–2024)</w:t>
      </w:r>
    </w:p>
    <w:p w14:paraId="5A4084FB" w14:textId="52EAEF3F" w:rsidR="008A0081" w:rsidRDefault="00682B32" w:rsidP="003235E4">
      <w:pPr>
        <w:spacing w:after="120"/>
        <w:jc w:val="both"/>
        <w:rPr>
          <w:color w:val="000000"/>
        </w:rPr>
      </w:pPr>
      <w:r>
        <w:rPr>
          <w:color w:val="000000"/>
        </w:rPr>
        <w:t xml:space="preserve">Vaccination </w:t>
      </w:r>
      <w:r w:rsidR="00C46FB6">
        <w:rPr>
          <w:color w:val="000000"/>
        </w:rPr>
        <w:t>coverage</w:t>
      </w:r>
      <w:r>
        <w:rPr>
          <w:color w:val="000000"/>
        </w:rPr>
        <w:t xml:space="preserve">, however, fluctuated markedly </w:t>
      </w:r>
      <w:r w:rsidR="00777718">
        <w:rPr>
          <w:color w:val="000000"/>
        </w:rPr>
        <w:t>and the c</w:t>
      </w:r>
      <w:r>
        <w:rPr>
          <w:color w:val="000000"/>
        </w:rPr>
        <w:t>overage was highest in 2020 (99.53%) and dropped sharply to 50.12% in 2022, before r</w:t>
      </w:r>
      <w:r w:rsidR="00777718">
        <w:rPr>
          <w:color w:val="000000"/>
        </w:rPr>
        <w:t>is</w:t>
      </w:r>
      <w:r>
        <w:rPr>
          <w:color w:val="000000"/>
        </w:rPr>
        <w:t>ing to 98.92% in 2023 and declin</w:t>
      </w:r>
      <w:r w:rsidR="00777718">
        <w:rPr>
          <w:color w:val="000000"/>
        </w:rPr>
        <w:t>ed</w:t>
      </w:r>
      <w:r>
        <w:rPr>
          <w:color w:val="000000"/>
        </w:rPr>
        <w:t xml:space="preserve"> to 77.15% in 2024 </w:t>
      </w:r>
      <w:r w:rsidR="007A5FC1" w:rsidRPr="005C218C">
        <w:rPr>
          <w:color w:val="000000"/>
        </w:rPr>
        <w:t>Fig. 2</w:t>
      </w:r>
      <w:r w:rsidR="009C31DB" w:rsidRPr="005C218C">
        <w:rPr>
          <w:color w:val="000000"/>
        </w:rPr>
        <w:t xml:space="preserve">. In general, the trend in </w:t>
      </w:r>
      <w:r w:rsidR="005C218C" w:rsidRPr="005C218C">
        <w:rPr>
          <w:color w:val="000000"/>
        </w:rPr>
        <w:t>BCG vaccine coverage is increasing progressively over the years as shown by the best fit line.</w:t>
      </w:r>
    </w:p>
    <w:p w14:paraId="124306CB" w14:textId="30684774" w:rsidR="001A212E" w:rsidRDefault="001A212E" w:rsidP="00C46FB6">
      <w:pPr>
        <w:spacing w:after="120" w:line="276" w:lineRule="auto"/>
        <w:jc w:val="both"/>
      </w:pPr>
      <w:r w:rsidRPr="00431377">
        <w:rPr>
          <w:noProof/>
        </w:rPr>
        <w:lastRenderedPageBreak/>
        <w:drawing>
          <wp:inline distT="0" distB="0" distL="0" distR="0" wp14:anchorId="2B89FF57" wp14:editId="68156A0B">
            <wp:extent cx="5409565" cy="3590925"/>
            <wp:effectExtent l="0" t="0" r="63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A9F484" w14:textId="682DB8D5" w:rsidR="001A212E" w:rsidRPr="0025159D" w:rsidRDefault="001A212E" w:rsidP="001A212E">
      <w:pPr>
        <w:rPr>
          <w:b/>
          <w:bCs/>
        </w:rPr>
      </w:pPr>
      <w:r w:rsidRPr="0025159D">
        <w:rPr>
          <w:b/>
          <w:bCs/>
        </w:rPr>
        <w:t xml:space="preserve">Fig.  Trend of </w:t>
      </w:r>
      <w:r>
        <w:rPr>
          <w:b/>
          <w:bCs/>
        </w:rPr>
        <w:t>the BCG v</w:t>
      </w:r>
      <w:r w:rsidRPr="0025159D">
        <w:rPr>
          <w:b/>
          <w:bCs/>
        </w:rPr>
        <w:t xml:space="preserve">accination Coverage </w:t>
      </w:r>
      <w:r>
        <w:rPr>
          <w:b/>
          <w:bCs/>
        </w:rPr>
        <w:t>in Buea Regional Hospital</w:t>
      </w:r>
      <w:r w:rsidRPr="0025159D">
        <w:rPr>
          <w:b/>
          <w:bCs/>
        </w:rPr>
        <w:t xml:space="preserve"> from 2020-2024</w:t>
      </w:r>
    </w:p>
    <w:p w14:paraId="783A80E6" w14:textId="77777777" w:rsidR="008A0081" w:rsidRDefault="008A0081">
      <w:pPr>
        <w:spacing w:after="80"/>
      </w:pPr>
    </w:p>
    <w:p w14:paraId="0926ADE6" w14:textId="77777777" w:rsidR="008A0081" w:rsidRDefault="00682B32" w:rsidP="003235E4">
      <w:pPr>
        <w:pStyle w:val="Heading1"/>
        <w:spacing w:before="200" w:after="100"/>
      </w:pPr>
      <w:r>
        <w:t>Discussion</w:t>
      </w:r>
    </w:p>
    <w:p w14:paraId="51FB4D52" w14:textId="12071FAE" w:rsidR="00561913" w:rsidRDefault="00682B32" w:rsidP="003235E4">
      <w:pPr>
        <w:spacing w:after="120"/>
        <w:jc w:val="both"/>
      </w:pPr>
      <w:r>
        <w:rPr>
          <w:color w:val="000000"/>
        </w:rPr>
        <w:t xml:space="preserve">This study assessed the trends in BCG vaccination coverage and pediatric TB prevalence in children aged 0–5 years in the Buea Health District of Cameroon over a five-year period (2020–2024). </w:t>
      </w:r>
      <w:r w:rsidR="00561913">
        <w:rPr>
          <w:color w:val="000000"/>
        </w:rPr>
        <w:t xml:space="preserve">The trend in TB prevalence showed a progressive increase from 2021 to 2023, followed by a decline in 2024. The temporal alignment between reduced vaccination in 2022 and the subsequent surge in TB cases in 2023 is epidemiologically plausible, as infants unprotected in 2022 would have been at peak risk of TB disease one to two years later. This pattern echoes the Epidemiologic Triad, which emphasizes that disease outcomes arise from interactions between host susceptibility, agent virulence, and environmental exposure </w:t>
      </w:r>
      <w:r w:rsidR="005B3D47" w:rsidRPr="00813522">
        <w:rPr>
          <w:color w:val="000000"/>
        </w:rPr>
        <w:t>[12]</w:t>
      </w:r>
      <w:r w:rsidR="00561913">
        <w:rPr>
          <w:color w:val="000000"/>
        </w:rPr>
        <w:t xml:space="preserve">. While BCG strengthens host immunity against severe forms of TB, the vaccine's protective efficacy against pulmonary disease is not complete and is known to wane over time </w:t>
      </w:r>
      <w:r w:rsidR="005B3D47" w:rsidRPr="00813522">
        <w:rPr>
          <w:color w:val="000000"/>
        </w:rPr>
        <w:t>[11]</w:t>
      </w:r>
      <w:r w:rsidR="00561913">
        <w:rPr>
          <w:color w:val="000000"/>
        </w:rPr>
        <w:t>. Environmental factors—including malnutrition, overcrowding, and HIV co-infection—remain critical co-determinants of TB risk that are not addressed by vaccination alone.</w:t>
      </w:r>
      <w:r w:rsidR="00905CC8">
        <w:rPr>
          <w:color w:val="000000"/>
        </w:rPr>
        <w:t xml:space="preserve"> </w:t>
      </w:r>
      <w:proofErr w:type="gramStart"/>
      <w:r w:rsidR="00905CC8">
        <w:rPr>
          <w:color w:val="000000"/>
        </w:rPr>
        <w:t>Also</w:t>
      </w:r>
      <w:proofErr w:type="gramEnd"/>
      <w:r w:rsidR="00905CC8">
        <w:rPr>
          <w:color w:val="000000"/>
        </w:rPr>
        <w:t xml:space="preserve"> </w:t>
      </w:r>
      <w:r w:rsidR="00905CC8" w:rsidRPr="005B3D47">
        <w:rPr>
          <w:color w:val="000000"/>
        </w:rPr>
        <w:t xml:space="preserve">all HIV-positive children (3) in this study were co-infected with TB, which highlights the mutual relation that exist between HIV and TB </w:t>
      </w:r>
    </w:p>
    <w:p w14:paraId="30D212F7" w14:textId="49CD25EB" w:rsidR="00561913" w:rsidRDefault="00561913" w:rsidP="003235E4">
      <w:pPr>
        <w:spacing w:after="120"/>
        <w:jc w:val="both"/>
      </w:pPr>
      <w:r>
        <w:rPr>
          <w:color w:val="000000"/>
        </w:rPr>
        <w:t xml:space="preserve">The disproportionate concentration of TB cases in infants aged 0–12 months (55.8%) is consistent with existing literature and reflects the inherent immunological immaturity of neonates and the limited residual protection from BCG at the earliest stages of life </w:t>
      </w:r>
      <w:r w:rsidR="005B3D47" w:rsidRPr="00813522">
        <w:rPr>
          <w:color w:val="000000"/>
        </w:rPr>
        <w:t>[13]</w:t>
      </w:r>
      <w:r>
        <w:rPr>
          <w:color w:val="000000"/>
        </w:rPr>
        <w:t xml:space="preserve">. It is possible that some of these infants had not yet received BCG vaccination or had yet to develop adequate vaccine-mediated immunity at the time of exposure. These findings align with reports from other sub-Saharan African settings that highlight the first year of life as the period of highest TB vulnerability </w:t>
      </w:r>
      <w:r w:rsidR="005B3D47" w:rsidRPr="00813522">
        <w:rPr>
          <w:color w:val="000000"/>
        </w:rPr>
        <w:t>[6]</w:t>
      </w:r>
      <w:r w:rsidRPr="00813522">
        <w:rPr>
          <w:color w:val="000000"/>
        </w:rPr>
        <w:t>.</w:t>
      </w:r>
    </w:p>
    <w:p w14:paraId="39938864" w14:textId="33C32FA0" w:rsidR="00561913" w:rsidRDefault="00561913" w:rsidP="003235E4">
      <w:pPr>
        <w:spacing w:after="120"/>
        <w:jc w:val="both"/>
      </w:pPr>
      <w:r w:rsidRPr="00B467F0">
        <w:rPr>
          <w:color w:val="000000"/>
        </w:rPr>
        <w:lastRenderedPageBreak/>
        <w:t xml:space="preserve">The treatment success rate of </w:t>
      </w:r>
      <w:r w:rsidR="00B467F0" w:rsidRPr="00B467F0">
        <w:rPr>
          <w:color w:val="000000"/>
        </w:rPr>
        <w:t>59.5</w:t>
      </w:r>
      <w:r w:rsidRPr="00B467F0">
        <w:rPr>
          <w:color w:val="000000"/>
        </w:rPr>
        <w:t>%, though reflecting partial adherence to therapy, falls below the WHO End TB Strategy target of 90% treatment success. The high proportion of patients who defaulted (</w:t>
      </w:r>
      <w:r w:rsidR="00B467F0" w:rsidRPr="00B467F0">
        <w:rPr>
          <w:color w:val="000000"/>
        </w:rPr>
        <w:t>31</w:t>
      </w:r>
      <w:r w:rsidRPr="00B467F0">
        <w:rPr>
          <w:color w:val="000000"/>
        </w:rPr>
        <w:t>%) represents a significant challenge for TB control in the Buea Health District. Defaulting from TB therapy has serious consequences, including treatment failure, relapse, emergence of drug resistance, and ongoing community transmission. Addressing this issue requires a multi-pronged approach including patient education, social support, caregiver engagement, and reminder systems for scheduled visits.</w:t>
      </w:r>
    </w:p>
    <w:p w14:paraId="4DCBA001" w14:textId="24C4D3ED" w:rsidR="008A0081" w:rsidRDefault="00682B32" w:rsidP="003235E4">
      <w:pPr>
        <w:spacing w:after="120"/>
        <w:jc w:val="both"/>
      </w:pPr>
      <w:r>
        <w:rPr>
          <w:color w:val="000000"/>
        </w:rPr>
        <w:t>The overall BCG vaccination coverage of 92.2% reflects generally strong implementation of immunization programs in this setting and is broadly consistent with national immunization targets. However, the marked inter-year variability, particularly the sharp drop to 50.12% in 2022, indicates systemic vulnerabilities in the continuity of vaccine delivery.</w:t>
      </w:r>
      <w:r w:rsidR="006F3949">
        <w:t xml:space="preserve"> </w:t>
      </w:r>
      <w:r>
        <w:rPr>
          <w:color w:val="000000"/>
        </w:rPr>
        <w:t xml:space="preserve">The decline in vaccination coverage observed in 2022 likely reflects disruptions attributable to the ongoing COVID-19 pandemic, which severely interrupted routine immunization services globally, including in sub-Saharan Africa </w:t>
      </w:r>
      <w:r w:rsidR="005B3D47" w:rsidRPr="00813522">
        <w:rPr>
          <w:color w:val="000000"/>
        </w:rPr>
        <w:t>[2]</w:t>
      </w:r>
      <w:r>
        <w:rPr>
          <w:color w:val="000000"/>
        </w:rPr>
        <w:t>. This pattern is consistent with broader evidence that pandemic-related healthcare disruptions contribute to the accumulation of unprotected cohorts, increasing the susceptibility of young children to vaccine-preventable diseases. The sharp rebound in 2023 to 98.92% may represent intensified catch-up vaccination campaigns implemented in the post-pandemic recovery phase. Nevertheless, coverage again fell to 77.15% in 2024, underscoring the fragility of sustained vaccine delivery and the importance of uninterrupted cold-chain integrity, supply chain management, and community outreach.</w:t>
      </w:r>
    </w:p>
    <w:p w14:paraId="2D035174" w14:textId="43B49C6A" w:rsidR="008A0081" w:rsidRDefault="00682B32" w:rsidP="003235E4">
      <w:pPr>
        <w:spacing w:after="120"/>
        <w:jc w:val="both"/>
      </w:pPr>
      <w:r>
        <w:rPr>
          <w:color w:val="000000"/>
        </w:rPr>
        <w:t xml:space="preserve">Additionally, incomplete data for key variables—such as child weight (missing in 64.5% of records) and geographic location (missing in 64.5%)—limited the ability to perform subgroup analyses or identify geographic hotspots within the district. </w:t>
      </w:r>
    </w:p>
    <w:p w14:paraId="0A8F81D2" w14:textId="4DE08CB3" w:rsidR="005A2DDD" w:rsidRDefault="00682B32" w:rsidP="003235E4">
      <w:pPr>
        <w:pStyle w:val="Heading1"/>
        <w:spacing w:before="200" w:after="100"/>
      </w:pPr>
      <w:r>
        <w:t>Conclusions</w:t>
      </w:r>
    </w:p>
    <w:p w14:paraId="364E9949" w14:textId="4DC0AF30" w:rsidR="008A0081" w:rsidRDefault="00B467F0" w:rsidP="003235E4">
      <w:pPr>
        <w:spacing w:after="120"/>
        <w:jc w:val="both"/>
      </w:pPr>
      <w:r>
        <w:rPr>
          <w:color w:val="000000"/>
        </w:rPr>
        <w:t>Overall, there is an increasing trend in BCG vaccination coverage amongst infants attending the Buea Regional Hospital which is contradicted by an increasing trend in the prevalence of pediatric TB</w:t>
      </w:r>
      <w:r w:rsidR="00905CC8">
        <w:rPr>
          <w:color w:val="000000"/>
        </w:rPr>
        <w:t xml:space="preserve"> and underscores the multifactorial nature of TB transmission.</w:t>
      </w:r>
      <w:r>
        <w:rPr>
          <w:color w:val="000000"/>
        </w:rPr>
        <w:t xml:space="preserve"> </w:t>
      </w:r>
    </w:p>
    <w:p w14:paraId="725075BD" w14:textId="77777777" w:rsidR="008A0081" w:rsidRDefault="00682B32" w:rsidP="003235E4">
      <w:pPr>
        <w:pStyle w:val="Heading1"/>
        <w:spacing w:before="200" w:after="100"/>
      </w:pPr>
      <w:bookmarkStart w:id="0" w:name="_GoBack"/>
      <w:bookmarkEnd w:id="0"/>
      <w:r>
        <w:t>Data Availability</w:t>
      </w:r>
    </w:p>
    <w:p w14:paraId="13C1B67E" w14:textId="77777777" w:rsidR="008A0081" w:rsidRDefault="00682B32" w:rsidP="003235E4">
      <w:pPr>
        <w:spacing w:after="120"/>
        <w:jc w:val="both"/>
      </w:pPr>
      <w:r>
        <w:rPr>
          <w:color w:val="000000"/>
        </w:rPr>
        <w:t xml:space="preserve">The datasets used and/or </w:t>
      </w:r>
      <w:proofErr w:type="spellStart"/>
      <w:r>
        <w:rPr>
          <w:color w:val="000000"/>
        </w:rPr>
        <w:t>analysed</w:t>
      </w:r>
      <w:proofErr w:type="spellEnd"/>
      <w:r>
        <w:rPr>
          <w:color w:val="000000"/>
        </w:rPr>
        <w:t xml:space="preserve"> during the current study are available from the corresponding author upon reasonable request.</w:t>
      </w:r>
    </w:p>
    <w:p w14:paraId="0982C9BB" w14:textId="77777777" w:rsidR="008A0081" w:rsidRDefault="00682B32" w:rsidP="003235E4">
      <w:pPr>
        <w:pStyle w:val="Heading1"/>
        <w:spacing w:before="200" w:after="100"/>
      </w:pPr>
      <w:r>
        <w:t>Declarations</w:t>
      </w:r>
    </w:p>
    <w:p w14:paraId="7981C91F" w14:textId="77777777" w:rsidR="008A0081" w:rsidRDefault="00682B32" w:rsidP="003235E4">
      <w:pPr>
        <w:spacing w:after="120"/>
        <w:jc w:val="both"/>
      </w:pPr>
      <w:r>
        <w:rPr>
          <w:color w:val="000000"/>
        </w:rPr>
        <w:t>Ethical approval was obtained from the Regional Ethics Committee for Human Health Research, South West Region (CRESH), Cameroon. Administrative authorizations were obtained from the South West Regional Delegation of Public Health and the Buea Regional Hospital. As this was a records-based retrospective study with no direct patient involvement, the requirement for individual informed consent was waived by the ethics committee. All methods were conducted in accordance with the Declaration of Helsinki.</w:t>
      </w:r>
    </w:p>
    <w:p w14:paraId="513AC12F" w14:textId="77777777" w:rsidR="004258B2" w:rsidRDefault="004258B2" w:rsidP="004258B2">
      <w:pPr>
        <w:pStyle w:val="Heading1"/>
        <w:spacing w:before="200" w:after="100"/>
      </w:pPr>
      <w:r>
        <w:t>COMPETING INTERESTS DISCLAIMER:</w:t>
      </w:r>
    </w:p>
    <w:p w14:paraId="42E39D95" w14:textId="77777777" w:rsidR="004258B2" w:rsidRDefault="004258B2" w:rsidP="004258B2">
      <w:pPr>
        <w:pStyle w:val="Heading1"/>
        <w:spacing w:before="200" w:after="100"/>
      </w:pPr>
      <w:r>
        <w:t>Authors have declared that they have no known competing financial interests OR non-financial interests OR personal relationships that could have appeared to influence the work reported in this paper.</w:t>
      </w:r>
    </w:p>
    <w:p w14:paraId="46A6A885" w14:textId="0B0E6920" w:rsidR="008A0081" w:rsidRDefault="00682B32" w:rsidP="004258B2">
      <w:pPr>
        <w:pStyle w:val="Heading1"/>
        <w:spacing w:before="200" w:after="100"/>
      </w:pPr>
      <w:r>
        <w:lastRenderedPageBreak/>
        <w:t>References</w:t>
      </w:r>
    </w:p>
    <w:p w14:paraId="05E10C6E" w14:textId="77777777" w:rsidR="002B1085" w:rsidRPr="004878C3" w:rsidRDefault="002B1085" w:rsidP="003235E4">
      <w:pPr>
        <w:pStyle w:val="ListParagraph"/>
        <w:numPr>
          <w:ilvl w:val="0"/>
          <w:numId w:val="4"/>
        </w:numPr>
        <w:spacing w:after="120"/>
        <w:jc w:val="both"/>
      </w:pPr>
      <w:r w:rsidRPr="004878C3">
        <w:rPr>
          <w:color w:val="000000"/>
        </w:rPr>
        <w:t>World Health Organization (WHO). Tuberculosis. 2015. Available from: https://www.who.int/tb</w:t>
      </w:r>
    </w:p>
    <w:p w14:paraId="25A69A20" w14:textId="77777777" w:rsidR="002B1085" w:rsidRDefault="002B1085" w:rsidP="003235E4">
      <w:pPr>
        <w:pStyle w:val="ListParagraph"/>
        <w:numPr>
          <w:ilvl w:val="0"/>
          <w:numId w:val="4"/>
        </w:numPr>
        <w:spacing w:after="120"/>
        <w:jc w:val="both"/>
      </w:pPr>
      <w:r w:rsidRPr="004878C3">
        <w:rPr>
          <w:color w:val="000000"/>
        </w:rPr>
        <w:t>World Health Organization (WHO). Global Tuberculosis Report 2022. Geneva: WHO; 2022.</w:t>
      </w:r>
    </w:p>
    <w:p w14:paraId="03738004" w14:textId="77777777" w:rsidR="002B1085" w:rsidRPr="004878C3" w:rsidRDefault="002B1085" w:rsidP="003235E4">
      <w:pPr>
        <w:pStyle w:val="ListParagraph"/>
        <w:numPr>
          <w:ilvl w:val="0"/>
          <w:numId w:val="4"/>
        </w:numPr>
        <w:spacing w:after="120"/>
        <w:jc w:val="both"/>
        <w:rPr>
          <w:color w:val="000000"/>
        </w:rPr>
      </w:pPr>
      <w:r w:rsidRPr="004878C3">
        <w:rPr>
          <w:color w:val="000000"/>
        </w:rPr>
        <w:t xml:space="preserve">Centers for Disease Control and Prevention (CDC). Tuberculosis (TB). 2023. Available from: </w:t>
      </w:r>
      <w:hyperlink r:id="rId9" w:history="1">
        <w:r w:rsidRPr="00F703DC">
          <w:rPr>
            <w:rStyle w:val="Hyperlink"/>
          </w:rPr>
          <w:t>https://www.cdc.gov/tb</w:t>
        </w:r>
      </w:hyperlink>
    </w:p>
    <w:p w14:paraId="0102CA63" w14:textId="77777777" w:rsidR="002B1085" w:rsidRPr="005E5C7F" w:rsidRDefault="002B1085" w:rsidP="003235E4">
      <w:pPr>
        <w:pStyle w:val="ListParagraph"/>
        <w:numPr>
          <w:ilvl w:val="0"/>
          <w:numId w:val="4"/>
        </w:numPr>
        <w:spacing w:after="120"/>
        <w:jc w:val="both"/>
        <w:rPr>
          <w:color w:val="000000"/>
        </w:rPr>
      </w:pPr>
      <w:r w:rsidRPr="004878C3">
        <w:rPr>
          <w:color w:val="000000"/>
        </w:rPr>
        <w:t>World Health Organization (WHO). Global Tuberculosis Report 2019. Geneva: WHO; 2019.</w:t>
      </w:r>
    </w:p>
    <w:p w14:paraId="631ADC87" w14:textId="77777777" w:rsidR="002B1085" w:rsidRPr="004878C3" w:rsidRDefault="002B1085" w:rsidP="003235E4">
      <w:pPr>
        <w:pStyle w:val="ListParagraph"/>
        <w:numPr>
          <w:ilvl w:val="0"/>
          <w:numId w:val="4"/>
        </w:numPr>
        <w:spacing w:after="120"/>
        <w:jc w:val="both"/>
        <w:rPr>
          <w:color w:val="000000"/>
        </w:rPr>
      </w:pPr>
      <w:proofErr w:type="spellStart"/>
      <w:r w:rsidRPr="004878C3">
        <w:rPr>
          <w:color w:val="000000"/>
        </w:rPr>
        <w:t>Goletti</w:t>
      </w:r>
      <w:proofErr w:type="spellEnd"/>
      <w:r w:rsidRPr="004878C3">
        <w:rPr>
          <w:color w:val="000000"/>
        </w:rPr>
        <w:t xml:space="preserve"> D, </w:t>
      </w:r>
      <w:proofErr w:type="spellStart"/>
      <w:r w:rsidRPr="004878C3">
        <w:rPr>
          <w:color w:val="000000"/>
        </w:rPr>
        <w:t>Matteelli</w:t>
      </w:r>
      <w:proofErr w:type="spellEnd"/>
      <w:r w:rsidRPr="004878C3">
        <w:rPr>
          <w:color w:val="000000"/>
        </w:rPr>
        <w:t xml:space="preserve"> A, Migliori G, Zumla A. Insights from the 2024 WHO Global Tuberculosis Report: More comprehensive action, innovation, and investments required for achieving WHO End TB goals. International Journal of Infectious Diseases. </w:t>
      </w:r>
      <w:proofErr w:type="gramStart"/>
      <w:r w:rsidRPr="004878C3">
        <w:rPr>
          <w:color w:val="000000"/>
        </w:rPr>
        <w:t>2025;150:107325</w:t>
      </w:r>
      <w:proofErr w:type="gramEnd"/>
      <w:r w:rsidRPr="004878C3">
        <w:rPr>
          <w:color w:val="000000"/>
        </w:rPr>
        <w:t>.</w:t>
      </w:r>
    </w:p>
    <w:p w14:paraId="188B1976" w14:textId="77777777" w:rsidR="002B1085" w:rsidRPr="004878C3" w:rsidRDefault="002B1085" w:rsidP="003235E4">
      <w:pPr>
        <w:pStyle w:val="ListParagraph"/>
        <w:numPr>
          <w:ilvl w:val="0"/>
          <w:numId w:val="4"/>
        </w:numPr>
        <w:spacing w:after="120"/>
        <w:jc w:val="both"/>
        <w:rPr>
          <w:color w:val="000000"/>
        </w:rPr>
      </w:pPr>
      <w:r w:rsidRPr="004878C3">
        <w:rPr>
          <w:color w:val="000000"/>
        </w:rPr>
        <w:t xml:space="preserve">Kainz K, Bauer M, Madeo F, Carmona-Gutierrez D. Estimates of global, regional, and national incidence, prevalence, and mortality of pediatric tuberculosis. Frontiers in Pediatrics. </w:t>
      </w:r>
      <w:proofErr w:type="gramStart"/>
      <w:r w:rsidRPr="004878C3">
        <w:rPr>
          <w:color w:val="000000"/>
        </w:rPr>
        <w:t>2023;11:1123</w:t>
      </w:r>
      <w:proofErr w:type="gramEnd"/>
      <w:r w:rsidRPr="004878C3">
        <w:rPr>
          <w:color w:val="000000"/>
        </w:rPr>
        <w:t>.</w:t>
      </w:r>
    </w:p>
    <w:p w14:paraId="2B5C90D2" w14:textId="77777777" w:rsidR="002B1085" w:rsidRPr="004878C3" w:rsidRDefault="002B1085" w:rsidP="003235E4">
      <w:pPr>
        <w:pStyle w:val="ListParagraph"/>
        <w:numPr>
          <w:ilvl w:val="0"/>
          <w:numId w:val="4"/>
        </w:numPr>
        <w:spacing w:after="120"/>
        <w:jc w:val="both"/>
        <w:rPr>
          <w:color w:val="000000"/>
        </w:rPr>
      </w:pPr>
      <w:r w:rsidRPr="004878C3">
        <w:rPr>
          <w:color w:val="000000"/>
        </w:rPr>
        <w:t>World Health Organization (WHO). Global Tuberculosis Report 2023. Geneva: WHO; 2023.</w:t>
      </w:r>
    </w:p>
    <w:p w14:paraId="192C90AC" w14:textId="77777777" w:rsidR="002B1085" w:rsidRPr="004878C3" w:rsidRDefault="002B1085" w:rsidP="003235E4">
      <w:pPr>
        <w:pStyle w:val="ListParagraph"/>
        <w:numPr>
          <w:ilvl w:val="0"/>
          <w:numId w:val="4"/>
        </w:numPr>
        <w:spacing w:after="120"/>
        <w:jc w:val="both"/>
        <w:rPr>
          <w:color w:val="000000"/>
        </w:rPr>
      </w:pPr>
      <w:proofErr w:type="spellStart"/>
      <w:r w:rsidRPr="004878C3">
        <w:rPr>
          <w:color w:val="000000"/>
        </w:rPr>
        <w:t>Katirayi</w:t>
      </w:r>
      <w:proofErr w:type="spellEnd"/>
      <w:r w:rsidRPr="004878C3">
        <w:rPr>
          <w:color w:val="000000"/>
        </w:rPr>
        <w:t xml:space="preserve"> L, </w:t>
      </w:r>
      <w:proofErr w:type="spellStart"/>
      <w:r w:rsidRPr="004878C3">
        <w:rPr>
          <w:color w:val="000000"/>
        </w:rPr>
        <w:t>Namadingo</w:t>
      </w:r>
      <w:proofErr w:type="spellEnd"/>
      <w:r w:rsidRPr="004878C3">
        <w:rPr>
          <w:color w:val="000000"/>
        </w:rPr>
        <w:t xml:space="preserve"> H, </w:t>
      </w:r>
      <w:proofErr w:type="spellStart"/>
      <w:r w:rsidRPr="004878C3">
        <w:rPr>
          <w:color w:val="000000"/>
        </w:rPr>
        <w:t>Ngwira</w:t>
      </w:r>
      <w:proofErr w:type="spellEnd"/>
      <w:r w:rsidRPr="004878C3">
        <w:rPr>
          <w:color w:val="000000"/>
        </w:rPr>
        <w:t xml:space="preserve"> C, </w:t>
      </w:r>
      <w:proofErr w:type="spellStart"/>
      <w:r w:rsidRPr="004878C3">
        <w:rPr>
          <w:color w:val="000000"/>
        </w:rPr>
        <w:t>Siambi</w:t>
      </w:r>
      <w:proofErr w:type="spellEnd"/>
      <w:r w:rsidRPr="004878C3">
        <w:rPr>
          <w:color w:val="000000"/>
        </w:rPr>
        <w:t xml:space="preserve"> I, </w:t>
      </w:r>
      <w:proofErr w:type="spellStart"/>
      <w:r w:rsidRPr="004878C3">
        <w:rPr>
          <w:color w:val="000000"/>
        </w:rPr>
        <w:t>Mpinganjira</w:t>
      </w:r>
      <w:proofErr w:type="spellEnd"/>
      <w:r w:rsidRPr="004878C3">
        <w:rPr>
          <w:color w:val="000000"/>
        </w:rPr>
        <w:t xml:space="preserve"> S, Nyirenda M, et al. Pediatric tuberculosis: a review of current understanding and perspectives. BMC Infectious Diseases. 2024;24(1):200.</w:t>
      </w:r>
    </w:p>
    <w:p w14:paraId="5DB6DBCB" w14:textId="77777777" w:rsidR="002B1085" w:rsidRDefault="002B1085" w:rsidP="003235E4">
      <w:pPr>
        <w:pStyle w:val="ListParagraph"/>
        <w:numPr>
          <w:ilvl w:val="0"/>
          <w:numId w:val="4"/>
        </w:numPr>
        <w:spacing w:after="120"/>
        <w:jc w:val="both"/>
        <w:rPr>
          <w:color w:val="000000"/>
        </w:rPr>
      </w:pPr>
      <w:r w:rsidRPr="004878C3">
        <w:rPr>
          <w:color w:val="000000"/>
          <w:lang w:val="fr-CM"/>
        </w:rPr>
        <w:t xml:space="preserve">Martinez L, Cords O, Liu Q, </w:t>
      </w:r>
      <w:proofErr w:type="spellStart"/>
      <w:r w:rsidRPr="004878C3">
        <w:rPr>
          <w:color w:val="000000"/>
          <w:lang w:val="fr-CM"/>
        </w:rPr>
        <w:t>Acuna-Villaorduna</w:t>
      </w:r>
      <w:proofErr w:type="spellEnd"/>
      <w:r w:rsidRPr="004878C3">
        <w:rPr>
          <w:color w:val="000000"/>
          <w:lang w:val="fr-CM"/>
        </w:rPr>
        <w:t xml:space="preserve"> C, Bonnet M, Fox GJ, et al. </w:t>
      </w:r>
      <w:r w:rsidRPr="004878C3">
        <w:rPr>
          <w:color w:val="000000"/>
        </w:rPr>
        <w:t>Infant BCG vaccination and risk of pulmonary and extrapulmonary tuberculosis throughout the lifespan: a systematic review and individual participant data meta-analysis. The Lancet Global Health. 2022;10(9</w:t>
      </w:r>
      <w:proofErr w:type="gramStart"/>
      <w:r w:rsidRPr="004878C3">
        <w:rPr>
          <w:color w:val="000000"/>
        </w:rPr>
        <w:t>):e</w:t>
      </w:r>
      <w:proofErr w:type="gramEnd"/>
      <w:r w:rsidRPr="004878C3">
        <w:rPr>
          <w:color w:val="000000"/>
        </w:rPr>
        <w:t>1307–e1316.</w:t>
      </w:r>
    </w:p>
    <w:p w14:paraId="4B1AD542" w14:textId="77777777" w:rsidR="002B1085" w:rsidRDefault="002B1085" w:rsidP="003235E4">
      <w:pPr>
        <w:pStyle w:val="ListParagraph"/>
        <w:numPr>
          <w:ilvl w:val="0"/>
          <w:numId w:val="4"/>
        </w:numPr>
        <w:spacing w:after="120"/>
        <w:jc w:val="both"/>
      </w:pPr>
      <w:r w:rsidRPr="00F75345">
        <w:rPr>
          <w:color w:val="000000"/>
        </w:rPr>
        <w:t xml:space="preserve">Cho T, Khatchadourian C, Nguyen H, Dara Y, Jung S, </w:t>
      </w:r>
      <w:proofErr w:type="spellStart"/>
      <w:r w:rsidRPr="00F75345">
        <w:rPr>
          <w:color w:val="000000"/>
        </w:rPr>
        <w:t>Venketaraman</w:t>
      </w:r>
      <w:proofErr w:type="spellEnd"/>
      <w:r w:rsidRPr="00F75345">
        <w:rPr>
          <w:color w:val="000000"/>
        </w:rPr>
        <w:t xml:space="preserve"> V. A review of the BCG vaccine and other approaches toward tuberculosis eradication. Human Vaccines &amp; Immunotherapeutics. 2021;17(8):2454–2470.</w:t>
      </w:r>
    </w:p>
    <w:p w14:paraId="5F742F00" w14:textId="77777777" w:rsidR="002B1085" w:rsidRPr="00F75345" w:rsidRDefault="002B1085" w:rsidP="003235E4">
      <w:pPr>
        <w:pStyle w:val="ListParagraph"/>
        <w:numPr>
          <w:ilvl w:val="0"/>
          <w:numId w:val="4"/>
        </w:numPr>
        <w:spacing w:after="120"/>
        <w:jc w:val="both"/>
        <w:rPr>
          <w:color w:val="000000"/>
        </w:rPr>
      </w:pPr>
      <w:proofErr w:type="spellStart"/>
      <w:r w:rsidRPr="00F75345">
        <w:rPr>
          <w:color w:val="000000"/>
        </w:rPr>
        <w:t>Maphalle</w:t>
      </w:r>
      <w:proofErr w:type="spellEnd"/>
      <w:r w:rsidRPr="00F75345">
        <w:rPr>
          <w:color w:val="000000"/>
        </w:rPr>
        <w:t xml:space="preserve"> LNF, </w:t>
      </w:r>
      <w:proofErr w:type="spellStart"/>
      <w:r w:rsidRPr="00F75345">
        <w:rPr>
          <w:color w:val="000000"/>
        </w:rPr>
        <w:t>Michniak</w:t>
      </w:r>
      <w:proofErr w:type="spellEnd"/>
      <w:r w:rsidRPr="00F75345">
        <w:rPr>
          <w:color w:val="000000"/>
        </w:rPr>
        <w:t xml:space="preserve">-Kohn BB, </w:t>
      </w:r>
      <w:proofErr w:type="spellStart"/>
      <w:r w:rsidRPr="00F75345">
        <w:rPr>
          <w:color w:val="000000"/>
        </w:rPr>
        <w:t>Ogunrombi</w:t>
      </w:r>
      <w:proofErr w:type="spellEnd"/>
      <w:r w:rsidRPr="00F75345">
        <w:rPr>
          <w:color w:val="000000"/>
        </w:rPr>
        <w:t xml:space="preserve"> MO, Adeleke OA. Pediatric tuberculosis management: a global challenge or breakthrough? Children. 2022;9(8):1120.</w:t>
      </w:r>
    </w:p>
    <w:p w14:paraId="073BEDAB" w14:textId="77777777" w:rsidR="002B1085" w:rsidRPr="00E82364" w:rsidRDefault="002B1085" w:rsidP="003235E4">
      <w:pPr>
        <w:pStyle w:val="ListParagraph"/>
        <w:numPr>
          <w:ilvl w:val="0"/>
          <w:numId w:val="4"/>
        </w:numPr>
        <w:spacing w:after="120"/>
        <w:jc w:val="both"/>
      </w:pPr>
      <w:r w:rsidRPr="004878C3">
        <w:rPr>
          <w:color w:val="000000"/>
        </w:rPr>
        <w:t>Mandell GL, Bennett JE, Dolin R. Mandell, Douglas, and Bennett's Principles and Practice of Infectious Diseases. 7th ed. Philadelphia: Churchill Livingstone Elsevier; 2010.</w:t>
      </w:r>
    </w:p>
    <w:p w14:paraId="2119645B" w14:textId="77777777" w:rsidR="002B1085" w:rsidRDefault="002B1085" w:rsidP="003235E4">
      <w:pPr>
        <w:pStyle w:val="ListParagraph"/>
        <w:numPr>
          <w:ilvl w:val="0"/>
          <w:numId w:val="4"/>
        </w:numPr>
        <w:spacing w:after="120"/>
        <w:jc w:val="both"/>
      </w:pPr>
      <w:proofErr w:type="spellStart"/>
      <w:r w:rsidRPr="00E82364">
        <w:rPr>
          <w:color w:val="000000"/>
        </w:rPr>
        <w:t>Chakaya</w:t>
      </w:r>
      <w:proofErr w:type="spellEnd"/>
      <w:r w:rsidRPr="00E82364">
        <w:rPr>
          <w:color w:val="000000"/>
        </w:rPr>
        <w:t xml:space="preserve"> J, Khan M, </w:t>
      </w:r>
      <w:proofErr w:type="spellStart"/>
      <w:r w:rsidRPr="00E82364">
        <w:rPr>
          <w:color w:val="000000"/>
        </w:rPr>
        <w:t>Ntoumi</w:t>
      </w:r>
      <w:proofErr w:type="spellEnd"/>
      <w:r w:rsidRPr="00E82364">
        <w:rPr>
          <w:color w:val="000000"/>
        </w:rPr>
        <w:t xml:space="preserve"> F, </w:t>
      </w:r>
      <w:proofErr w:type="spellStart"/>
      <w:r w:rsidRPr="00E82364">
        <w:rPr>
          <w:color w:val="000000"/>
        </w:rPr>
        <w:t>Aklillu</w:t>
      </w:r>
      <w:proofErr w:type="spellEnd"/>
      <w:r w:rsidRPr="00E82364">
        <w:rPr>
          <w:color w:val="000000"/>
        </w:rPr>
        <w:t xml:space="preserve"> E, Fatima R, Mwaba P, et al. Global Tuberculosis Report 2020 – Reflections on the global TB burden, treatment and prevention efforts. International Journal of Infectious Diseases. 2021;</w:t>
      </w:r>
      <w:proofErr w:type="gramStart"/>
      <w:r w:rsidRPr="00E82364">
        <w:rPr>
          <w:color w:val="000000"/>
        </w:rPr>
        <w:t>113:S</w:t>
      </w:r>
      <w:proofErr w:type="gramEnd"/>
      <w:r w:rsidRPr="00E82364">
        <w:rPr>
          <w:color w:val="000000"/>
        </w:rPr>
        <w:t>7–S12.</w:t>
      </w:r>
    </w:p>
    <w:p w14:paraId="1E8FD956" w14:textId="77777777" w:rsidR="002D1405" w:rsidRDefault="002D1405" w:rsidP="002B1085">
      <w:pPr>
        <w:spacing w:after="120" w:line="276" w:lineRule="auto"/>
        <w:jc w:val="both"/>
      </w:pPr>
    </w:p>
    <w:sectPr w:rsidR="002D14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BAB6" w14:textId="77777777" w:rsidR="009C4A36" w:rsidRDefault="009C4A36" w:rsidP="006B0FD7">
      <w:r>
        <w:separator/>
      </w:r>
    </w:p>
  </w:endnote>
  <w:endnote w:type="continuationSeparator" w:id="0">
    <w:p w14:paraId="0CDDAD46" w14:textId="77777777" w:rsidR="009C4A36" w:rsidRDefault="009C4A36" w:rsidP="006B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FFE8" w14:textId="77777777" w:rsidR="006B0FD7" w:rsidRDefault="006B0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8920" w14:textId="77777777" w:rsidR="006B0FD7" w:rsidRDefault="006B0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84BD" w14:textId="77777777" w:rsidR="006B0FD7" w:rsidRDefault="006B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53E38" w14:textId="77777777" w:rsidR="009C4A36" w:rsidRDefault="009C4A36" w:rsidP="006B0FD7">
      <w:r>
        <w:separator/>
      </w:r>
    </w:p>
  </w:footnote>
  <w:footnote w:type="continuationSeparator" w:id="0">
    <w:p w14:paraId="194C83C2" w14:textId="77777777" w:rsidR="009C4A36" w:rsidRDefault="009C4A36" w:rsidP="006B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07F9" w14:textId="1F326BF6" w:rsidR="006B0FD7" w:rsidRDefault="006B0FD7">
    <w:pPr>
      <w:pStyle w:val="Header"/>
    </w:pPr>
    <w:r>
      <w:rPr>
        <w:noProof/>
      </w:rPr>
      <w:pict w14:anchorId="78383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6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4D3F" w14:textId="5FB1D92B" w:rsidR="006B0FD7" w:rsidRDefault="006B0FD7">
    <w:pPr>
      <w:pStyle w:val="Header"/>
    </w:pPr>
    <w:r>
      <w:rPr>
        <w:noProof/>
      </w:rPr>
      <w:pict w14:anchorId="73E62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6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6C52" w14:textId="731F0EAA" w:rsidR="006B0FD7" w:rsidRDefault="006B0FD7">
    <w:pPr>
      <w:pStyle w:val="Header"/>
    </w:pPr>
    <w:r>
      <w:rPr>
        <w:noProof/>
      </w:rPr>
      <w:pict w14:anchorId="695EC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6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448"/>
    <w:multiLevelType w:val="hybridMultilevel"/>
    <w:tmpl w:val="72C45E04"/>
    <w:lvl w:ilvl="0" w:tplc="9FF60BD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DEA0B6C"/>
    <w:multiLevelType w:val="hybridMultilevel"/>
    <w:tmpl w:val="B2667392"/>
    <w:lvl w:ilvl="0" w:tplc="0CDA86AE">
      <w:start w:val="1"/>
      <w:numFmt w:val="bullet"/>
      <w:lvlText w:val="●"/>
      <w:lvlJc w:val="left"/>
      <w:pPr>
        <w:ind w:left="720" w:hanging="360"/>
      </w:pPr>
    </w:lvl>
    <w:lvl w:ilvl="1" w:tplc="5FB8AB14">
      <w:start w:val="1"/>
      <w:numFmt w:val="bullet"/>
      <w:lvlText w:val="○"/>
      <w:lvlJc w:val="left"/>
      <w:pPr>
        <w:ind w:left="1440" w:hanging="360"/>
      </w:pPr>
    </w:lvl>
    <w:lvl w:ilvl="2" w:tplc="AC4EBDB2">
      <w:start w:val="1"/>
      <w:numFmt w:val="bullet"/>
      <w:lvlText w:val="■"/>
      <w:lvlJc w:val="left"/>
      <w:pPr>
        <w:ind w:left="2160" w:hanging="360"/>
      </w:pPr>
    </w:lvl>
    <w:lvl w:ilvl="3" w:tplc="F5C079B0">
      <w:start w:val="1"/>
      <w:numFmt w:val="bullet"/>
      <w:lvlText w:val="●"/>
      <w:lvlJc w:val="left"/>
      <w:pPr>
        <w:ind w:left="2880" w:hanging="360"/>
      </w:pPr>
    </w:lvl>
    <w:lvl w:ilvl="4" w:tplc="F0D81C52">
      <w:start w:val="1"/>
      <w:numFmt w:val="bullet"/>
      <w:lvlText w:val="○"/>
      <w:lvlJc w:val="left"/>
      <w:pPr>
        <w:ind w:left="3600" w:hanging="360"/>
      </w:pPr>
    </w:lvl>
    <w:lvl w:ilvl="5" w:tplc="BAC24F88">
      <w:start w:val="1"/>
      <w:numFmt w:val="bullet"/>
      <w:lvlText w:val="■"/>
      <w:lvlJc w:val="left"/>
      <w:pPr>
        <w:ind w:left="4320" w:hanging="360"/>
      </w:pPr>
    </w:lvl>
    <w:lvl w:ilvl="6" w:tplc="90883532">
      <w:start w:val="1"/>
      <w:numFmt w:val="bullet"/>
      <w:lvlText w:val="●"/>
      <w:lvlJc w:val="left"/>
      <w:pPr>
        <w:ind w:left="5040" w:hanging="360"/>
      </w:pPr>
    </w:lvl>
    <w:lvl w:ilvl="7" w:tplc="4374105A">
      <w:start w:val="1"/>
      <w:numFmt w:val="bullet"/>
      <w:lvlText w:val="●"/>
      <w:lvlJc w:val="left"/>
      <w:pPr>
        <w:ind w:left="5760" w:hanging="360"/>
      </w:pPr>
    </w:lvl>
    <w:lvl w:ilvl="8" w:tplc="8AFECAF8">
      <w:start w:val="1"/>
      <w:numFmt w:val="bullet"/>
      <w:lvlText w:val="●"/>
      <w:lvlJc w:val="left"/>
      <w:pPr>
        <w:ind w:left="6480" w:hanging="360"/>
      </w:pPr>
    </w:lvl>
  </w:abstractNum>
  <w:abstractNum w:abstractNumId="2" w15:restartNumberingAfterBreak="0">
    <w:nsid w:val="4A782830"/>
    <w:multiLevelType w:val="hybridMultilevel"/>
    <w:tmpl w:val="6D1C552C"/>
    <w:lvl w:ilvl="0" w:tplc="797AA6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384CD5"/>
    <w:multiLevelType w:val="hybridMultilevel"/>
    <w:tmpl w:val="91AC14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81"/>
    <w:rsid w:val="00051248"/>
    <w:rsid w:val="00071F14"/>
    <w:rsid w:val="001007F6"/>
    <w:rsid w:val="00113EE0"/>
    <w:rsid w:val="00154147"/>
    <w:rsid w:val="001A212E"/>
    <w:rsid w:val="00200453"/>
    <w:rsid w:val="002168FE"/>
    <w:rsid w:val="002522AD"/>
    <w:rsid w:val="00263B8A"/>
    <w:rsid w:val="002676A0"/>
    <w:rsid w:val="002920D4"/>
    <w:rsid w:val="002B1085"/>
    <w:rsid w:val="002D1405"/>
    <w:rsid w:val="002E30B9"/>
    <w:rsid w:val="002F545F"/>
    <w:rsid w:val="003235E4"/>
    <w:rsid w:val="003620F5"/>
    <w:rsid w:val="00365492"/>
    <w:rsid w:val="003A3DCF"/>
    <w:rsid w:val="004039F5"/>
    <w:rsid w:val="00413079"/>
    <w:rsid w:val="004258B2"/>
    <w:rsid w:val="004270F5"/>
    <w:rsid w:val="00515C23"/>
    <w:rsid w:val="00561913"/>
    <w:rsid w:val="00592509"/>
    <w:rsid w:val="005A2DDD"/>
    <w:rsid w:val="005A47CE"/>
    <w:rsid w:val="005B3D47"/>
    <w:rsid w:val="005C218C"/>
    <w:rsid w:val="005F30E5"/>
    <w:rsid w:val="00617CA1"/>
    <w:rsid w:val="0063684B"/>
    <w:rsid w:val="00682B32"/>
    <w:rsid w:val="006A7940"/>
    <w:rsid w:val="006B01C1"/>
    <w:rsid w:val="006B0FD7"/>
    <w:rsid w:val="006B77F5"/>
    <w:rsid w:val="006E71DF"/>
    <w:rsid w:val="006F3949"/>
    <w:rsid w:val="0070638A"/>
    <w:rsid w:val="0074150B"/>
    <w:rsid w:val="00762BB6"/>
    <w:rsid w:val="00777718"/>
    <w:rsid w:val="007A5FC1"/>
    <w:rsid w:val="007C4C91"/>
    <w:rsid w:val="00813522"/>
    <w:rsid w:val="00816C5D"/>
    <w:rsid w:val="008202FD"/>
    <w:rsid w:val="008545BA"/>
    <w:rsid w:val="00880284"/>
    <w:rsid w:val="00886276"/>
    <w:rsid w:val="00895778"/>
    <w:rsid w:val="008A0081"/>
    <w:rsid w:val="008C3CF9"/>
    <w:rsid w:val="008E7FE4"/>
    <w:rsid w:val="009015F4"/>
    <w:rsid w:val="00905CC8"/>
    <w:rsid w:val="00935E82"/>
    <w:rsid w:val="009A059C"/>
    <w:rsid w:val="009C31DB"/>
    <w:rsid w:val="009C4A36"/>
    <w:rsid w:val="009C4E4E"/>
    <w:rsid w:val="009E1943"/>
    <w:rsid w:val="00A5029E"/>
    <w:rsid w:val="00B36F90"/>
    <w:rsid w:val="00B467F0"/>
    <w:rsid w:val="00BF43BA"/>
    <w:rsid w:val="00C1009C"/>
    <w:rsid w:val="00C265F8"/>
    <w:rsid w:val="00C403CF"/>
    <w:rsid w:val="00C46FB6"/>
    <w:rsid w:val="00C94D81"/>
    <w:rsid w:val="00CF4C7C"/>
    <w:rsid w:val="00CF7C5B"/>
    <w:rsid w:val="00D43F4A"/>
    <w:rsid w:val="00D77271"/>
    <w:rsid w:val="00DB2B0C"/>
    <w:rsid w:val="00E401A4"/>
    <w:rsid w:val="00E55317"/>
    <w:rsid w:val="00E55D0B"/>
    <w:rsid w:val="00E77760"/>
    <w:rsid w:val="00ED5CC3"/>
    <w:rsid w:val="00EE3AAF"/>
    <w:rsid w:val="00EF35E3"/>
    <w:rsid w:val="00EF4CBF"/>
    <w:rsid w:val="00EF7060"/>
    <w:rsid w:val="00F01889"/>
    <w:rsid w:val="00F86B14"/>
    <w:rsid w:val="00FD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4CC7B3"/>
  <w15:docId w15:val="{8D4D0C82-3D10-4EF6-AC30-95B816C5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rPr>
  </w:style>
  <w:style w:type="paragraph" w:styleId="Heading2">
    <w:name w:val="heading 2"/>
    <w:uiPriority w:val="9"/>
    <w:semiHidden/>
    <w:unhideWhenUsed/>
    <w:qFormat/>
    <w:pPr>
      <w:spacing w:before="180" w:after="8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59"/>
    <w:rsid w:val="00C46FB6"/>
    <w:rPr>
      <w:rFonts w:asciiTheme="minorHAnsi" w:eastAsiaTheme="minorHAnsi"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C31DB"/>
    <w:rPr>
      <w:i/>
      <w:iCs/>
    </w:rPr>
  </w:style>
  <w:style w:type="character" w:styleId="UnresolvedMention">
    <w:name w:val="Unresolved Mention"/>
    <w:basedOn w:val="DefaultParagraphFont"/>
    <w:uiPriority w:val="99"/>
    <w:semiHidden/>
    <w:unhideWhenUsed/>
    <w:rsid w:val="00935E82"/>
    <w:rPr>
      <w:color w:val="605E5C"/>
      <w:shd w:val="clear" w:color="auto" w:fill="E1DFDD"/>
    </w:rPr>
  </w:style>
  <w:style w:type="paragraph" w:styleId="Header">
    <w:name w:val="header"/>
    <w:basedOn w:val="Normal"/>
    <w:link w:val="HeaderChar"/>
    <w:uiPriority w:val="99"/>
    <w:unhideWhenUsed/>
    <w:rsid w:val="006B0FD7"/>
    <w:pPr>
      <w:tabs>
        <w:tab w:val="center" w:pos="4513"/>
        <w:tab w:val="right" w:pos="9026"/>
      </w:tabs>
    </w:pPr>
  </w:style>
  <w:style w:type="character" w:customStyle="1" w:styleId="HeaderChar">
    <w:name w:val="Header Char"/>
    <w:basedOn w:val="DefaultParagraphFont"/>
    <w:link w:val="Header"/>
    <w:uiPriority w:val="99"/>
    <w:rsid w:val="006B0FD7"/>
  </w:style>
  <w:style w:type="paragraph" w:styleId="Footer">
    <w:name w:val="footer"/>
    <w:basedOn w:val="Normal"/>
    <w:link w:val="FooterChar"/>
    <w:uiPriority w:val="99"/>
    <w:unhideWhenUsed/>
    <w:rsid w:val="006B0FD7"/>
    <w:pPr>
      <w:tabs>
        <w:tab w:val="center" w:pos="4513"/>
        <w:tab w:val="right" w:pos="9026"/>
      </w:tabs>
    </w:pPr>
  </w:style>
  <w:style w:type="character" w:customStyle="1" w:styleId="FooterChar">
    <w:name w:val="Footer Char"/>
    <w:basedOn w:val="DefaultParagraphFont"/>
    <w:link w:val="Footer"/>
    <w:uiPriority w:val="99"/>
    <w:rsid w:val="006B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tb"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8.1888451443569557E-2"/>
                  <c:y val="-3.6758431511850494E-2"/>
                </c:manualLayout>
              </c:layout>
              <c:tx>
                <c:rich>
                  <a:bodyPr/>
                  <a:lstStyle/>
                  <a:p>
                    <a:r>
                      <a:rPr lang="en-US"/>
                      <a:t>0( </a:t>
                    </a:r>
                    <a:fld id="{E1504CB8-7A7B-4729-B1FD-B219AC1BE224}" type="VALUE">
                      <a:rPr lang="en-US"/>
                      <a:pPr/>
                      <a:t>[VALUE]</a:t>
                    </a:fld>
                    <a:r>
                      <a:rPr lang="en-US"/>
                      <a:t>.00%)</a:t>
                    </a:r>
                  </a:p>
                </c:rich>
              </c:tx>
              <c:showLegendKey val="0"/>
              <c:showVal val="1"/>
              <c:showCatName val="1"/>
              <c:showSerName val="0"/>
              <c:showPercent val="0"/>
              <c:showBubbleSize val="0"/>
              <c:extLst>
                <c:ext xmlns:c15="http://schemas.microsoft.com/office/drawing/2012/chart" uri="{CE6537A1-D6FC-4f65-9D91-7224C49458BB}">
                  <c15:layout>
                    <c:manualLayout>
                      <c:w val="0.16089161676147651"/>
                      <c:h val="7.2367996253989375E-2"/>
                    </c:manualLayout>
                  </c15:layout>
                  <c15:dlblFieldTable/>
                  <c15:showDataLabelsRange val="0"/>
                </c:ext>
                <c:ext xmlns:c16="http://schemas.microsoft.com/office/drawing/2014/chart" uri="{C3380CC4-5D6E-409C-BE32-E72D297353CC}">
                  <c16:uniqueId val="{00000000-772A-3946-849B-F9477EE402B8}"/>
                </c:ext>
              </c:extLst>
            </c:dLbl>
            <c:dLbl>
              <c:idx val="1"/>
              <c:layout>
                <c:manualLayout>
                  <c:x val="-0.10208333333333333"/>
                  <c:y val="2.6733631980212998E-2"/>
                </c:manualLayout>
              </c:layout>
              <c:tx>
                <c:rich>
                  <a:bodyPr/>
                  <a:lstStyle/>
                  <a:p>
                    <a:r>
                      <a:rPr lang="en-US"/>
                      <a:t>2( 0.</a:t>
                    </a:r>
                    <a:fld id="{D623E86C-A1D6-4B9A-9A48-2161CD8CCDC0}" type="VALUE">
                      <a:rPr lang="en-US"/>
                      <a:pPr/>
                      <a:t>[VALUE]</a:t>
                    </a:fld>
                    <a:r>
                      <a:rPr lang="en-US"/>
                      <a:t>3%)</a:t>
                    </a:r>
                  </a:p>
                </c:rich>
              </c:tx>
              <c:showLegendKey val="0"/>
              <c:showVal val="1"/>
              <c:showCatName val="1"/>
              <c:showSerName val="0"/>
              <c:showPercent val="0"/>
              <c:showBubbleSize val="0"/>
              <c:extLst>
                <c:ext xmlns:c15="http://schemas.microsoft.com/office/drawing/2012/chart" uri="{CE6537A1-D6FC-4f65-9D91-7224C49458BB}">
                  <c15:layout>
                    <c:manualLayout>
                      <c:w val="0.23613768554127723"/>
                      <c:h val="6.2978324892487031E-2"/>
                    </c:manualLayout>
                  </c15:layout>
                  <c15:dlblFieldTable/>
                  <c15:showDataLabelsRange val="0"/>
                </c:ext>
                <c:ext xmlns:c16="http://schemas.microsoft.com/office/drawing/2014/chart" uri="{C3380CC4-5D6E-409C-BE32-E72D297353CC}">
                  <c16:uniqueId val="{00000001-772A-3946-849B-F9477EE402B8}"/>
                </c:ext>
              </c:extLst>
            </c:dLbl>
            <c:dLbl>
              <c:idx val="2"/>
              <c:layout>
                <c:manualLayout>
                  <c:x val="-2.083325131233596E-2"/>
                  <c:y val="6.6833751044277356E-3"/>
                </c:manualLayout>
              </c:layout>
              <c:tx>
                <c:rich>
                  <a:bodyPr/>
                  <a:lstStyle/>
                  <a:p>
                    <a:r>
                      <a:rPr lang="en-US"/>
                      <a:t>13 (0.76%)</a:t>
                    </a:r>
                  </a:p>
                </c:rich>
              </c:tx>
              <c:showLegendKey val="0"/>
              <c:showVal val="1"/>
              <c:showCatName val="1"/>
              <c:showSerName val="0"/>
              <c:showPercent val="0"/>
              <c:showBubbleSize val="0"/>
              <c:extLst>
                <c:ext xmlns:c15="http://schemas.microsoft.com/office/drawing/2012/chart" uri="{CE6537A1-D6FC-4f65-9D91-7224C49458BB}">
                  <c15:layout>
                    <c:manualLayout>
                      <c:w val="0.13562494385955487"/>
                      <c:h val="4.7328872623316455E-2"/>
                    </c:manualLayout>
                  </c15:layout>
                </c:ext>
                <c:ext xmlns:c16="http://schemas.microsoft.com/office/drawing/2014/chart" uri="{C3380CC4-5D6E-409C-BE32-E72D297353CC}">
                  <c16:uniqueId val="{00000002-772A-3946-849B-F9477EE402B8}"/>
                </c:ext>
              </c:extLst>
            </c:dLbl>
            <c:dLbl>
              <c:idx val="3"/>
              <c:layout>
                <c:manualLayout>
                  <c:x val="-6.8750000000000006E-2"/>
                  <c:y val="-3.007518796992481E-2"/>
                </c:manualLayout>
              </c:layout>
              <c:tx>
                <c:rich>
                  <a:bodyPr/>
                  <a:lstStyle/>
                  <a:p>
                    <a:r>
                      <a:rPr lang="en-US"/>
                      <a:t>24 (1.04%)</a:t>
                    </a:r>
                  </a:p>
                </c:rich>
              </c:tx>
              <c:showLegendKey val="0"/>
              <c:showVal val="1"/>
              <c:showCatName val="1"/>
              <c:showSerName val="0"/>
              <c:showPercent val="0"/>
              <c:showBubbleSize val="0"/>
              <c:extLst>
                <c:ext xmlns:c15="http://schemas.microsoft.com/office/drawing/2012/chart" uri="{CE6537A1-D6FC-4f65-9D91-7224C49458BB}">
                  <c15:layout>
                    <c:manualLayout>
                      <c:w val="0.1456056732176971"/>
                      <c:h val="5.358865353098468E-2"/>
                    </c:manualLayout>
                  </c15:layout>
                </c:ext>
                <c:ext xmlns:c16="http://schemas.microsoft.com/office/drawing/2014/chart" uri="{C3380CC4-5D6E-409C-BE32-E72D297353CC}">
                  <c16:uniqueId val="{00000003-772A-3946-849B-F9477EE402B8}"/>
                </c:ext>
              </c:extLst>
            </c:dLbl>
            <c:dLbl>
              <c:idx val="4"/>
              <c:layout>
                <c:manualLayout>
                  <c:x val="-6.0416584645669291E-2"/>
                  <c:y val="3.6758563074352428E-2"/>
                </c:manualLayout>
              </c:layout>
              <c:tx>
                <c:rich>
                  <a:bodyPr/>
                  <a:lstStyle/>
                  <a:p>
                    <a:r>
                      <a:rPr lang="en-US"/>
                      <a:t>3 ( 0.16%)</a:t>
                    </a:r>
                  </a:p>
                </c:rich>
              </c:tx>
              <c:showLegendKey val="0"/>
              <c:showVal val="1"/>
              <c:showCatName val="1"/>
              <c:showSerName val="0"/>
              <c:showPercent val="0"/>
              <c:showBubbleSize val="0"/>
              <c:extLst>
                <c:ext xmlns:c15="http://schemas.microsoft.com/office/drawing/2012/chart" uri="{CE6537A1-D6FC-4f65-9D91-7224C49458BB}">
                  <c15:layout>
                    <c:manualLayout>
                      <c:w val="0.13562494385955487"/>
                      <c:h val="5.6718543984818799E-2"/>
                    </c:manualLayout>
                  </c15:layout>
                </c:ext>
                <c:ext xmlns:c16="http://schemas.microsoft.com/office/drawing/2014/chart" uri="{C3380CC4-5D6E-409C-BE32-E72D297353CC}">
                  <c16:uniqueId val="{00000004-772A-3946-849B-F9477EE402B8}"/>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trendline>
            <c:spPr>
              <a:ln w="19050" cap="rnd">
                <a:solidFill>
                  <a:srgbClr val="FF0000"/>
                </a:solidFill>
                <a:prstDash val="sysDash"/>
              </a:ln>
              <a:effectLst/>
            </c:spPr>
            <c:trendlineType val="linear"/>
            <c:forward val="2"/>
            <c:dispRSqr val="0"/>
            <c:dispEq val="0"/>
          </c:trendline>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0</c:v>
                </c:pt>
                <c:pt idx="1">
                  <c:v>2</c:v>
                </c:pt>
                <c:pt idx="2">
                  <c:v>13</c:v>
                </c:pt>
                <c:pt idx="3">
                  <c:v>24</c:v>
                </c:pt>
                <c:pt idx="4">
                  <c:v>3</c:v>
                </c:pt>
              </c:numCache>
            </c:numRef>
          </c:val>
          <c:smooth val="0"/>
          <c:extLst>
            <c:ext xmlns:c16="http://schemas.microsoft.com/office/drawing/2014/chart" uri="{C3380CC4-5D6E-409C-BE32-E72D297353CC}">
              <c16:uniqueId val="{00000006-772A-3946-849B-F9477EE402B8}"/>
            </c:ext>
          </c:extLst>
        </c:ser>
        <c:dLbls>
          <c:showLegendKey val="0"/>
          <c:showVal val="0"/>
          <c:showCatName val="0"/>
          <c:showSerName val="0"/>
          <c:showPercent val="0"/>
          <c:showBubbleSize val="0"/>
        </c:dLbls>
        <c:marker val="1"/>
        <c:smooth val="0"/>
        <c:axId val="881365280"/>
        <c:axId val="881378176"/>
      </c:lineChart>
      <c:catAx>
        <c:axId val="88136528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year</a:t>
                </a:r>
                <a:r>
                  <a:rPr lang="en-US"/>
                  <a:t> </a:t>
                </a:r>
              </a:p>
            </c:rich>
          </c:tx>
          <c:layout>
            <c:manualLayout>
              <c:xMode val="edge"/>
              <c:yMode val="edge"/>
              <c:x val="0.49687073490813649"/>
              <c:y val="0.9353549227399208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1378176"/>
        <c:crosses val="autoZero"/>
        <c:auto val="1"/>
        <c:lblAlgn val="ctr"/>
        <c:lblOffset val="100"/>
        <c:noMultiLvlLbl val="0"/>
      </c:catAx>
      <c:valAx>
        <c:axId val="88137817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 TB CASES </a:t>
                </a:r>
              </a:p>
            </c:rich>
          </c:tx>
          <c:layout>
            <c:manualLayout>
              <c:xMode val="edge"/>
              <c:yMode val="edge"/>
              <c:x val="1.5187828083989498E-2"/>
              <c:y val="0.3864919516639367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1365280"/>
        <c:crosses val="autoZero"/>
        <c:crossBetween val="between"/>
      </c:valAx>
      <c:spPr>
        <a:noFill/>
        <a:ln w="1270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14486100083834"/>
          <c:y val="0.20295244261576056"/>
          <c:w val="0.87885070241322549"/>
          <c:h val="0.6646637668275337"/>
        </c:manualLayout>
      </c:layout>
      <c:lineChart>
        <c:grouping val="standard"/>
        <c:varyColors val="0"/>
        <c:ser>
          <c:idx val="0"/>
          <c:order val="0"/>
          <c:tx>
            <c:strRef>
              <c:f>Sheet1!$B$1</c:f>
              <c:strCache>
                <c:ptCount val="1"/>
                <c:pt idx="0">
                  <c:v>Vaccination Coverage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7.2915441608843959E-2"/>
                  <c:y val="-4.0322657615012199E-2"/>
                </c:manualLayout>
              </c:layout>
              <c:tx>
                <c:rich>
                  <a:bodyPr/>
                  <a:lstStyle/>
                  <a:p>
                    <a:r>
                      <a:rPr lang="en-US"/>
                      <a:t>420(99.53%)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FF-CF4C-8361-963D660062E7}"/>
                </c:ext>
              </c:extLst>
            </c:dLbl>
            <c:dLbl>
              <c:idx val="1"/>
              <c:layout>
                <c:manualLayout>
                  <c:x val="-5.645066447136305E-2"/>
                  <c:y val="4.8387250713895366E-2"/>
                </c:manualLayout>
              </c:layout>
              <c:tx>
                <c:rich>
                  <a:bodyPr/>
                  <a:lstStyle/>
                  <a:p>
                    <a:r>
                      <a:rPr lang="en-US"/>
                      <a:t>700(78.92%)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FF-CF4C-8361-963D660062E7}"/>
                </c:ext>
              </c:extLst>
            </c:dLbl>
            <c:dLbl>
              <c:idx val="2"/>
              <c:layout>
                <c:manualLayout>
                  <c:x val="-5.880277549100326E-2"/>
                  <c:y val="4.0567113861500449E-2"/>
                </c:manualLayout>
              </c:layout>
              <c:tx>
                <c:rich>
                  <a:bodyPr/>
                  <a:lstStyle/>
                  <a:p>
                    <a:r>
                      <a:rPr lang="en-US"/>
                      <a:t>856(50.12%)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FF-CF4C-8361-963D660062E7}"/>
                </c:ext>
              </c:extLst>
            </c:dLbl>
            <c:dLbl>
              <c:idx val="3"/>
              <c:layout>
                <c:manualLayout>
                  <c:x val="-7.0563330589203804E-2"/>
                  <c:y val="-3.6290322580645122E-2"/>
                </c:manualLayout>
              </c:layout>
              <c:tx>
                <c:rich>
                  <a:bodyPr/>
                  <a:lstStyle/>
                  <a:p>
                    <a:r>
                      <a:rPr lang="en-US"/>
                      <a:t>2228(98.92%)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FF-CF4C-8361-963D660062E7}"/>
                </c:ext>
              </c:extLst>
            </c:dLbl>
            <c:dLbl>
              <c:idx val="4"/>
              <c:layout>
                <c:manualLayout>
                  <c:x val="-3.0577443255321652E-2"/>
                  <c:y val="3.6168132942326493E-2"/>
                </c:manualLayout>
              </c:layout>
              <c:tx>
                <c:rich>
                  <a:bodyPr/>
                  <a:lstStyle/>
                  <a:p>
                    <a:r>
                      <a:rPr lang="en-US"/>
                      <a:t>1425(77.15%)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FF-CF4C-8361-963D660062E7}"/>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trendline>
            <c:spPr>
              <a:ln w="19050" cap="rnd">
                <a:solidFill>
                  <a:srgbClr val="FF0000"/>
                </a:solidFill>
                <a:prstDash val="sysDash"/>
              </a:ln>
              <a:effectLst/>
            </c:spPr>
            <c:trendlineType val="linear"/>
            <c:dispRSqr val="0"/>
            <c:dispEq val="0"/>
          </c:trendline>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420</c:v>
                </c:pt>
                <c:pt idx="1">
                  <c:v>700</c:v>
                </c:pt>
                <c:pt idx="2">
                  <c:v>856</c:v>
                </c:pt>
                <c:pt idx="3">
                  <c:v>2228</c:v>
                </c:pt>
                <c:pt idx="4">
                  <c:v>1425</c:v>
                </c:pt>
              </c:numCache>
            </c:numRef>
          </c:val>
          <c:smooth val="0"/>
          <c:extLst>
            <c:ext xmlns:c16="http://schemas.microsoft.com/office/drawing/2014/chart" uri="{C3380CC4-5D6E-409C-BE32-E72D297353CC}">
              <c16:uniqueId val="{00000007-BDFF-CF4C-8361-963D660062E7}"/>
            </c:ext>
          </c:extLst>
        </c:ser>
        <c:dLbls>
          <c:showLegendKey val="0"/>
          <c:showVal val="0"/>
          <c:showCatName val="0"/>
          <c:showSerName val="0"/>
          <c:showPercent val="0"/>
          <c:showBubbleSize val="0"/>
        </c:dLbls>
        <c:marker val="1"/>
        <c:smooth val="0"/>
        <c:axId val="877034960"/>
        <c:axId val="877022896"/>
      </c:lineChart>
      <c:catAx>
        <c:axId val="8770349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Year</a:t>
                </a:r>
                <a:r>
                  <a:rPr lang="en-US"/>
                  <a:t> </a:t>
                </a:r>
              </a:p>
            </c:rich>
          </c:tx>
          <c:layout>
            <c:manualLayout>
              <c:xMode val="edge"/>
              <c:yMode val="edge"/>
              <c:x val="0.47555302505839192"/>
              <c:y val="0.9247784345259231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7022896"/>
        <c:crosses val="autoZero"/>
        <c:auto val="1"/>
        <c:lblAlgn val="ctr"/>
        <c:lblOffset val="100"/>
        <c:noMultiLvlLbl val="0"/>
      </c:catAx>
      <c:valAx>
        <c:axId val="8770228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cap="none"/>
                  <a:t>Total Number of Children Vaccinated</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7034960"/>
        <c:crosses val="autoZero"/>
        <c:crossBetween val="between"/>
      </c:valAx>
      <c:spPr>
        <a:noFill/>
        <a:ln>
          <a:noFill/>
        </a:ln>
        <a:effectLst/>
      </c:spPr>
    </c:plotArea>
    <c:legend>
      <c:legendPos val="t"/>
      <c:legendEntry>
        <c:idx val="1"/>
        <c:delete val="1"/>
      </c:legendEntry>
      <c:layout>
        <c:manualLayout>
          <c:xMode val="edge"/>
          <c:yMode val="edge"/>
          <c:x val="9.2364543174913341E-2"/>
          <c:y val="5.7894848074972242E-2"/>
          <c:w val="0.84354924292584088"/>
          <c:h val="5.42144841865441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20</cp:revision>
  <dcterms:created xsi:type="dcterms:W3CDTF">2026-04-15T15:35:00Z</dcterms:created>
  <dcterms:modified xsi:type="dcterms:W3CDTF">2026-04-16T10:44:00Z</dcterms:modified>
</cp:coreProperties>
</file>