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190" w:rsidRPr="00E36190" w:rsidRDefault="00E36190" w:rsidP="00E3619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36190">
        <w:rPr>
          <w:rFonts w:ascii="Times New Roman" w:eastAsia="Times New Roman" w:hAnsi="Times New Roman" w:cs="Times New Roman"/>
          <w:b/>
          <w:bCs/>
          <w:sz w:val="36"/>
          <w:szCs w:val="36"/>
          <w:lang w:val="en-US"/>
        </w:rPr>
        <w:t xml:space="preserve">Oral–Gut Microbial Translocation Axis in Periodontitis: A Critical Review of Mechanisms and </w:t>
      </w:r>
      <w:r>
        <w:rPr>
          <w:rFonts w:ascii="Times New Roman" w:eastAsia="Times New Roman" w:hAnsi="Times New Roman" w:cs="Times New Roman"/>
          <w:b/>
          <w:bCs/>
          <w:sz w:val="36"/>
          <w:szCs w:val="36"/>
          <w:lang w:val="en-US"/>
        </w:rPr>
        <w:t>Systemic Implications (2015–2025</w:t>
      </w:r>
      <w:r w:rsidRPr="00E36190">
        <w:rPr>
          <w:rFonts w:ascii="Times New Roman" w:eastAsia="Times New Roman" w:hAnsi="Times New Roman" w:cs="Times New Roman"/>
          <w:b/>
          <w:bCs/>
          <w:sz w:val="36"/>
          <w:szCs w:val="36"/>
          <w:lang w:val="en-US"/>
        </w:rPr>
        <w:t>)</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Abstract</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Periodontitis is a dysbiosis-driven chronic inflam</w:t>
      </w:r>
      <w:bookmarkStart w:id="0" w:name="_GoBack"/>
      <w:bookmarkEnd w:id="0"/>
      <w:r w:rsidRPr="00E36190">
        <w:rPr>
          <w:rFonts w:ascii="Times New Roman" w:eastAsia="Times New Roman" w:hAnsi="Times New Roman" w:cs="Times New Roman"/>
          <w:sz w:val="24"/>
          <w:szCs w:val="24"/>
          <w:lang w:val="en-US"/>
        </w:rPr>
        <w:t xml:space="preserve">matory disease affecting the tooth-supporting structures that extends its pathological influence well beyond the oral cavity. Over the past decade, the oral–gut microbial translocation axis has emerged as a biologically compelling framework through which periodontal dysbiosis may shape the composition and functional output of the intestinal microbiota, with downstream consequences for systemic health. This review critically examines the mechanistic basis of oral-to-gut bacterial translocation, addressing the survival of swallowed periodontal pathogens through the gastric environment, their disruption of intestinal colonisation resistance, impairment of epithelial tight junction integrity, and induction of systemic immunological cascades involving Th17 cells, regulatory T cells, and inflammasome activation. The roles of keystone periodontal pathogens—principally </w:t>
      </w:r>
      <w:r w:rsidRPr="00E36190">
        <w:rPr>
          <w:rFonts w:ascii="Times New Roman" w:eastAsia="Times New Roman" w:hAnsi="Times New Roman" w:cs="Times New Roman"/>
          <w:i/>
          <w:iCs/>
          <w:sz w:val="24"/>
          <w:szCs w:val="24"/>
          <w:lang w:val="en-US"/>
        </w:rPr>
        <w:t>Porphyromonas gingivalis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Fusobacterium nucleatum</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spp.—are scrutinised in both animal models and clinical studies. The review further evaluates evidence linking the oral–gut axis to inflammatory bowel disease, colorectal cancer, metabolic-associated steatotic liver disease, and cardiovascular disease. The effect of non-surgical periodontal therapy on gut microbial composition is assessed, alongside emerging microbiome-targeted therapeutic strategies including probiotics, prebiotics, and bacteriophage-based approaches. The synthesis of current evidence reveals a bidirectional and mechanistically intricate communication channel between the oral and intestinal ecosystems, yet causal inference from human data remains constrained by methodological heterogeneity, the preponderance of cross-sectional designs, and residual confounding. Future longitudinal and interventional research employing multi-omics platforms is necessary to translate the mechanistic insights reviewed herein into actionable clinical guidance.</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Keywords:</w:t>
      </w:r>
      <w:r w:rsidRPr="00E36190">
        <w:rPr>
          <w:rFonts w:ascii="Times New Roman" w:eastAsia="Times New Roman" w:hAnsi="Times New Roman" w:cs="Times New Roman"/>
          <w:sz w:val="24"/>
          <w:szCs w:val="24"/>
          <w:lang w:val="en-US"/>
        </w:rPr>
        <w:t xml:space="preserve"> oral–gut axis; periodontitis; microbial translocation; </w:t>
      </w:r>
      <w:r w:rsidRPr="00E36190">
        <w:rPr>
          <w:rFonts w:ascii="Times New Roman" w:eastAsia="Times New Roman" w:hAnsi="Times New Roman" w:cs="Times New Roman"/>
          <w:i/>
          <w:iCs/>
          <w:sz w:val="24"/>
          <w:szCs w:val="24"/>
          <w:lang w:val="en-US"/>
        </w:rPr>
        <w:t>Porphyromonas gingivalis</w:t>
      </w:r>
      <w:r w:rsidRPr="00E36190">
        <w:rPr>
          <w:rFonts w:ascii="Times New Roman" w:eastAsia="Times New Roman" w:hAnsi="Times New Roman" w:cs="Times New Roman"/>
          <w:sz w:val="24"/>
          <w:szCs w:val="24"/>
          <w:lang w:val="en-US"/>
        </w:rPr>
        <w:t>; gut dysbiosis; intestinal barrier; inflammatory bowel disease; colorectal cancer; systemic inflammation; periodontal therapy.</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1. Introduction</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1.1 The Oral Cavity as a Microbial Reservoir</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human oral cavity harbours one of the most compositionally diverse and ecologically complex microbial communities in the body, second in richness only to the gut. It is estimated that the oral microbiome comprises over 700 bacterial species distributed across distinct ecological niches—supragingival plaque, subgingival crevice, tongue dorsum, buccal mucosa, and saliva—each characterised by distinct microbial assemblages (Kinane et al., 2017). Under conditions of health, this community maintains dynamic equilibrium with the host immune system through competitive exclusion of exogenous pathogens, elaboration of </w:t>
      </w:r>
      <w:r w:rsidRPr="00E36190">
        <w:rPr>
          <w:rFonts w:ascii="Times New Roman" w:eastAsia="Times New Roman" w:hAnsi="Times New Roman" w:cs="Times New Roman"/>
          <w:sz w:val="24"/>
          <w:szCs w:val="24"/>
          <w:lang w:val="en-US"/>
        </w:rPr>
        <w:lastRenderedPageBreak/>
        <w:t>protective metabolites, and continuous immunological surveillance. Disruption of this equilibrium, whether by poor oral hygiene, systemic factors such as diabetes or smoking, or altered immune competence, precipitates a qualitative shift in microbial composition that is recognised as oral dysbiosis. When this dysbiosis affects the periodontium—the complex connective tissue apparatus anchoring teeth within the alveolar bone—the resulting condition is periodontitis.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1.2 Periodontitis: Epidemiology and Disease Burden</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Periodontitis constitutes one of the most prevalent chronic non-communicable diseases affecting humanity. Epidemiological surveillance in the United States, based on full-mouth periodontal examination data from the National Health and Nutrition Examination Survey (NHANES), estimated that approximately 47.2% of adults aged 30 years or older exhibited some form of periodontitis, with 8.9% classified as severe (Eke et al., 2015). Global burden studies suggest that periodontitis ranks as the eleventh most prevalent condition worldwide, affecting approximately half of adults over 30 years of age and more than 70% of those over 65 years of age (Tanwar et al., 2024). The 2018 World Workshop on Periodontal and Peri-Implant Diseases introduced a revised classification system that stratifies periodontitis by stage (I–IV, reflecting severity and complexity) and grade (A–C, reflecting rate of progression and systemic risk), providing a standardised framework for clinical and research purposes (Tonetti et al., 2018). This classification has been widely adopted and underpins much of the contemporary literature reviewed herein.</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1.3 From Localised Disease to Systemic Pathology</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Early research on the systemic consequences of periodontal disease focused predominantly on bacteraemic dissemination—the transient escape of oral bacteria into the bloodstream during dental procedures, mastication, and toothbrushing. This haematogenous route provided an initial biological explanation for observed epidemiological associations between periodontitis and conditions including cardiovascular disease, preterm birth, diabetes, and rheumatoid arthritis (Hajishengallis &amp; Chavakis, 2021). However, bacteraemia alone cannot fully account for the breadth and chronicity of the systemic inflammatory consequences attributed to periodontitis. More recent mechanistic inquiry has identified an alternative and sustained route of pathological influence: the enteral translocation of oral pathogens to the gut, where they disrupt indigenous microbial ecology, impair intestinal barrier function, and prime or sustain aberrant systemic immune responses.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1.4 Emergence of the Oral–Gut Axis Concept</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conceptualisation of an oral–gut axis arose from the convergence of several independent lines of inquiry. Molecular epidemiological studies detected oral-origin bacteria—including members of the genera </w:t>
      </w:r>
      <w:r w:rsidRPr="00E36190">
        <w:rPr>
          <w:rFonts w:ascii="Times New Roman" w:eastAsia="Times New Roman" w:hAnsi="Times New Roman" w:cs="Times New Roman"/>
          <w:i/>
          <w:iCs/>
          <w:sz w:val="24"/>
          <w:szCs w:val="24"/>
          <w:lang w:val="en-US"/>
        </w:rPr>
        <w:t>Porphyromonas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Treponema</w:t>
      </w:r>
      <w:r w:rsidRPr="00E36190">
        <w:rPr>
          <w:rFonts w:ascii="Times New Roman" w:eastAsia="Times New Roman" w:hAnsi="Times New Roman" w:cs="Times New Roman"/>
          <w:sz w:val="24"/>
          <w:szCs w:val="24"/>
          <w:lang w:val="en-US"/>
        </w:rPr>
        <w:t>—in stool samples, colonic mucosa, and colorectal tumours of patients with periodontal disease, raising the possibility of viable translocation beyond the stomach (Kageyama et al., 2023). Gnotobiotic animal experiments demonstrated that salivary bacteria from patients with inflammatory bowel disease (IBD), administered via oral gavage to germ-free mice, could colonise the intestine and induce robust, disease-relevant immune responses (Atarashi et al., 2017). Landmark mechanistic studies in murine models of periodontitis showed that oral inflammatory signals propagated both microbially and immunologically to the colon, exacerbating colitis through a dual mechanism involving translocated pathobionts and gut-</w:t>
      </w:r>
      <w:r w:rsidRPr="00E36190">
        <w:rPr>
          <w:rFonts w:ascii="Times New Roman" w:eastAsia="Times New Roman" w:hAnsi="Times New Roman" w:cs="Times New Roman"/>
          <w:sz w:val="24"/>
          <w:szCs w:val="24"/>
          <w:lang w:val="en-US"/>
        </w:rPr>
        <w:lastRenderedPageBreak/>
        <w:t>tropic Th17 lymphocytes of oral origin (Kitamoto et al., 2020). Together, these discoveries have reframed the oral–gut relationship from a passive anatomical continuity to an active and bidirectional biological axis with implications for the pathogenesis of multiple chronic diseases.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1.5 Scope and Objectives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This review critically examines the existing evidence—from fundamental mechanistic studies to clinical intervention trials—pertaining to the oral–gut microbial translocation axis in the context of periodontitis. The primary objectives are to delineate the biological mechanisms through which periodontal pathogens translocate to and colonise the gut, to assess the immunological consequences of this translocation, to evaluate the evidence linking the oral–gut axis to specific systemic diseases, to appraise the impact of periodontal therapy on gut ecology, and to identify methodological gaps that constrain causal inference. The review does not address periodontal–systemic associations mediated exclusively through bacteraemia, the oral–lung axis, or the role of oral fungi and viruses, which warrant separate treatment.</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2. Methods for Literature Selection</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2.1 Databases and Search Strategy</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 comprehensive literature search was conducted across the following electronic databases: PubMed/MEDLINE, Web of Science, Scopus, Embase, and Google Scholar. Field-specific databases were additionally searched, including the Cochrane Oral Health Database, MicrobiomeDB (for microbiome-specific genomic studies), the Human Oral Microbiome Database (HOMD), the Global Periodontal Health Observatory records, and ClinicalTrials.gov (for registered intervention studies of relevance). The search was restricted to the period January 2015 through May 2026, with no language restriction initially applied, although only English-language full-text articles were ultimately included.</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Search strings employed combinations of the following controlled vocabulary and free-text terms: "oral–gut axis," "oral-gut microbiome," "periodontitis AND gut microbiota," "</w:t>
      </w:r>
      <w:r w:rsidRPr="00E36190">
        <w:rPr>
          <w:rFonts w:ascii="Times New Roman" w:eastAsia="Times New Roman" w:hAnsi="Times New Roman" w:cs="Times New Roman"/>
          <w:i/>
          <w:iCs/>
          <w:sz w:val="24"/>
          <w:szCs w:val="24"/>
          <w:lang w:val="en-US"/>
        </w:rPr>
        <w:t>Porphyromonas gingivalis</w:t>
      </w:r>
      <w:r w:rsidRPr="00E36190">
        <w:rPr>
          <w:rFonts w:ascii="Times New Roman" w:eastAsia="Times New Roman" w:hAnsi="Times New Roman" w:cs="Times New Roman"/>
          <w:sz w:val="24"/>
          <w:szCs w:val="24"/>
          <w:lang w:val="en-US"/>
        </w:rPr>
        <w:t xml:space="preserve"> AND intestinal colonisation," "</w:t>
      </w:r>
      <w:r w:rsidRPr="00E36190">
        <w:rPr>
          <w:rFonts w:ascii="Times New Roman" w:eastAsia="Times New Roman" w:hAnsi="Times New Roman" w:cs="Times New Roman"/>
          <w:i/>
          <w:iCs/>
          <w:sz w:val="24"/>
          <w:szCs w:val="24"/>
          <w:lang w:val="en-US"/>
        </w:rPr>
        <w:t>Fusobacterium nucleatum</w:t>
      </w:r>
      <w:r w:rsidRPr="00E36190">
        <w:rPr>
          <w:rFonts w:ascii="Times New Roman" w:eastAsia="Times New Roman" w:hAnsi="Times New Roman" w:cs="Times New Roman"/>
          <w:sz w:val="24"/>
          <w:szCs w:val="24"/>
          <w:lang w:val="en-US"/>
        </w:rPr>
        <w:t xml:space="preserve"> AND colorectal cancer," "microbial translocation AND periodontitis," "oral pathobionts AND gut dysbiosis," "periodontal therapy AND gut microbiome," "inflammatory bowel disease AND periodontitis," "oral microbiota AND systemic disease," "colonisation resistance AND oral bacteria," and "tight junction AND periodontal pathogens." Boolean operators (AND, OR, NOT) were applied systematically to refine each search, and truncation symbols were used to capture variant terminologies.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2.2 Inclusion and Exclusion Criteria</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Studies were included if they fulfilled the following criteria: (i) peer-reviewed publication in an indexed academic journal; (ii) direct relevance to the mechanisms, clinical consequences, or therapeutic modulation of the oral–gut microbial translocation axis in the context of periodontitis; (iii) employing human subjects, animal models, or in vitro systems with interpretive relevance to the research questions; and (iv) publication within the specified date range, with supplementary inclusion of seminal pre-2015 studies where their contribution to </w:t>
      </w:r>
      <w:r w:rsidRPr="00E36190">
        <w:rPr>
          <w:rFonts w:ascii="Times New Roman" w:eastAsia="Times New Roman" w:hAnsi="Times New Roman" w:cs="Times New Roman"/>
          <w:sz w:val="24"/>
          <w:szCs w:val="24"/>
          <w:lang w:val="en-US"/>
        </w:rPr>
        <w:lastRenderedPageBreak/>
        <w:t>mechanistic understanding was considered foundational. Exclusion criteria encompassed: grey literature, book chapters, conference abstracts, patents, trade publications, and non-peer-reviewed commentaries. Studies addressing systemic associations mediated exclusively through bacteraemia, without reference to the gut pathway, were generally excluded unless they provided essential contextual information.</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2.3 Screening Workflow and Duplicate Handling</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Retrieved records were initially screened by title and abstract, followed by full-text assessment of potentially eligible papers. Duplicates identified across databases were removed prior to screening. Where multiple papers from a single research group addressed closely related topics, the most methodologically rigorous or most recent version was preferentially selected to avoid redundancy. Influential older studies (published before 2015) were identified through forward and backward citation analysis of included papers and were included as supplementary references to contextualise pivotal mechanistic discoveries.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2.4 Rationale for Narrative Review Approach</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 narrative rather than systematic review approach was adopted for this article on the grounds that the field spans heterogeneous study designs—including gnotobiotic animal experiments, human observational cohorts, randomised clinical trials, and multi-omics analyses—that resist aggregation under formal meta-analytic protocols</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sz w:val="24"/>
          <w:szCs w:val="24"/>
          <w:lang w:val="en-US"/>
        </w:rPr>
        <w:t>Sukhera</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sz w:val="24"/>
          <w:szCs w:val="24"/>
          <w:lang w:val="en-US"/>
        </w:rPr>
        <w:t>2022</w:t>
      </w:r>
      <w:r>
        <w:rPr>
          <w:rFonts w:ascii="Times New Roman" w:eastAsia="Times New Roman" w:hAnsi="Times New Roman" w:cs="Times New Roman"/>
          <w:sz w:val="24"/>
          <w:szCs w:val="24"/>
          <w:lang w:val="en-US"/>
        </w:rPr>
        <w:t>)</w:t>
      </w:r>
      <w:r w:rsidRPr="00E36190">
        <w:rPr>
          <w:rFonts w:ascii="Times New Roman" w:eastAsia="Times New Roman" w:hAnsi="Times New Roman" w:cs="Times New Roman"/>
          <w:sz w:val="24"/>
          <w:szCs w:val="24"/>
          <w:lang w:val="en-US"/>
        </w:rPr>
        <w:t>. This approach permits integration of mechanistic and clinical evidence streams in a manner appropriate to the rapidly evolving state of knowledge in this area, in keeping with the conduct of comparable narrative reviews addressing the same oral–gut axis literature (Sulaiman et al., 2024). The narrative synthesis prioritises methodological rigour in the appraisal of individual studies while acknowledging the inherent limitations of subjective evidence integration.</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3. The Oral Microbiome in Periodontitis: Dysbiosis and Keystone Pathogens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3.1 From Homeostasis to Dysbiosis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In a periodontally healthy individual, the subgingival microbiome is dominated by Gram-positive aerobic and facultatively anaerobic taxa—including </w:t>
      </w:r>
      <w:r w:rsidRPr="00E36190">
        <w:rPr>
          <w:rFonts w:ascii="Times New Roman" w:eastAsia="Times New Roman" w:hAnsi="Times New Roman" w:cs="Times New Roman"/>
          <w:i/>
          <w:iCs/>
          <w:sz w:val="24"/>
          <w:szCs w:val="24"/>
          <w:lang w:val="en-US"/>
        </w:rPr>
        <w:t>Streptococcus</w:t>
      </w:r>
      <w:r w:rsidRPr="00E36190">
        <w:rPr>
          <w:rFonts w:ascii="Times New Roman" w:eastAsia="Times New Roman" w:hAnsi="Times New Roman" w:cs="Times New Roman"/>
          <w:sz w:val="24"/>
          <w:szCs w:val="24"/>
          <w:lang w:val="en-US"/>
        </w:rPr>
        <w:t xml:space="preserve"> spp., </w:t>
      </w:r>
      <w:r w:rsidRPr="00E36190">
        <w:rPr>
          <w:rFonts w:ascii="Times New Roman" w:eastAsia="Times New Roman" w:hAnsi="Times New Roman" w:cs="Times New Roman"/>
          <w:i/>
          <w:iCs/>
          <w:sz w:val="24"/>
          <w:szCs w:val="24"/>
          <w:lang w:val="en-US"/>
        </w:rPr>
        <w:t>Actinomyces</w:t>
      </w:r>
      <w:r w:rsidRPr="00E36190">
        <w:rPr>
          <w:rFonts w:ascii="Times New Roman" w:eastAsia="Times New Roman" w:hAnsi="Times New Roman" w:cs="Times New Roman"/>
          <w:sz w:val="24"/>
          <w:szCs w:val="24"/>
          <w:lang w:val="en-US"/>
        </w:rPr>
        <w:t xml:space="preserve"> spp., and </w:t>
      </w:r>
      <w:r w:rsidRPr="00E36190">
        <w:rPr>
          <w:rFonts w:ascii="Times New Roman" w:eastAsia="Times New Roman" w:hAnsi="Times New Roman" w:cs="Times New Roman"/>
          <w:i/>
          <w:iCs/>
          <w:sz w:val="24"/>
          <w:szCs w:val="24"/>
          <w:lang w:val="en-US"/>
        </w:rPr>
        <w:t>Rothia</w:t>
      </w:r>
      <w:r w:rsidRPr="00E36190">
        <w:rPr>
          <w:rFonts w:ascii="Times New Roman" w:eastAsia="Times New Roman" w:hAnsi="Times New Roman" w:cs="Times New Roman"/>
          <w:sz w:val="24"/>
          <w:szCs w:val="24"/>
          <w:lang w:val="en-US"/>
        </w:rPr>
        <w:t xml:space="preserve"> spp.—that are metabolically compatible with the oxidative environment of shallow gingival crevices. The onset and progression of periodontitis is characterised not merely by an increase in microbial biomass but, more critically, by a qualitative shift in community structure towards a consortia dominated by anaerobic, proteolytic, Gram-negative species. This ecological shift, termed dysbiosis, is driven by feedback interactions between the expanding microbial community and a dysregulated host inflammatory response. Early work classified the pathogens most strongly associated with disease progression into the "red complex"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Tannerella forsythia</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Treponema denticola</w:t>
      </w:r>
      <w:r w:rsidRPr="00E36190">
        <w:rPr>
          <w:rFonts w:ascii="Times New Roman" w:eastAsia="Times New Roman" w:hAnsi="Times New Roman" w:cs="Times New Roman"/>
          <w:sz w:val="24"/>
          <w:szCs w:val="24"/>
          <w:lang w:val="en-US"/>
        </w:rPr>
        <w:t>) and "orange complex" (</w:t>
      </w:r>
      <w:r w:rsidRPr="00E36190">
        <w:rPr>
          <w:rFonts w:ascii="Times New Roman" w:eastAsia="Times New Roman" w:hAnsi="Times New Roman" w:cs="Times New Roman"/>
          <w:i/>
          <w:iCs/>
          <w:sz w:val="24"/>
          <w:szCs w:val="24"/>
          <w:lang w:val="en-US"/>
        </w:rPr>
        <w:t>Fusobacterium nucleatum</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Prevotella intermedia</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Campylobacter rectus</w:t>
      </w:r>
      <w:r w:rsidRPr="00E36190">
        <w:rPr>
          <w:rFonts w:ascii="Times New Roman" w:eastAsia="Times New Roman" w:hAnsi="Times New Roman" w:cs="Times New Roman"/>
          <w:sz w:val="24"/>
          <w:szCs w:val="24"/>
          <w:lang w:val="en-US"/>
        </w:rPr>
        <w:t>) (Kinane et al., 2017).</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paradigmatic shift in the understanding of periodontitis aetiology came with the recognition of keystone pathogens—low-abundance species capable of remodelling the entire </w:t>
      </w:r>
      <w:r w:rsidRPr="00E36190">
        <w:rPr>
          <w:rFonts w:ascii="Times New Roman" w:eastAsia="Times New Roman" w:hAnsi="Times New Roman" w:cs="Times New Roman"/>
          <w:sz w:val="24"/>
          <w:szCs w:val="24"/>
          <w:lang w:val="en-US"/>
        </w:rPr>
        <w:lastRenderedPageBreak/>
        <w:t xml:space="preserve">community to a dysbiotic state.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is the most extensively studied keystone pathogen; it exerts this influence through evasion of complement-mediated killing, manipulation of toll-like receptor (TLR) signalling, and selective suppression of neutrophil recruitment, thereby creating a nutrient-rich, anaerobic niche that favours the expansion of a cumulatively dysbiotic community (Hajishengallis, 2015). The concept of keystone pathogenicity is critical to understanding why oral pathogens can exert systemic effects disproportionate to their local abundance. This review focuses particularly on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as the two periodontal pathogens with the most robust body of evidence linking them to the oral–gut translocation axis.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3.2 Microbiological Signatures of Periodontitis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Clinical studies employing 16S ribosomal RNA gene amplicon sequencing have consistently demonstrated that the subgingival microbiome in periodontitis is characterised by reduced alpha diversity, enrichment of anaerobic Gram-negative taxa, and depletion of health-associated commensals. At the gut level, patients with severe periodontitis display alterations in faecal microbial composition compared to periodontally healthy controls, including enrichment of </w:t>
      </w:r>
      <w:r w:rsidRPr="00E36190">
        <w:rPr>
          <w:rFonts w:ascii="Times New Roman" w:eastAsia="Times New Roman" w:hAnsi="Times New Roman" w:cs="Times New Roman"/>
          <w:i/>
          <w:iCs/>
          <w:sz w:val="24"/>
          <w:szCs w:val="24"/>
          <w:lang w:val="en-US"/>
        </w:rPr>
        <w:t>Proteobacteria</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Fusobacteria</w:t>
      </w:r>
      <w:r w:rsidRPr="00E36190">
        <w:rPr>
          <w:rFonts w:ascii="Times New Roman" w:eastAsia="Times New Roman" w:hAnsi="Times New Roman" w:cs="Times New Roman"/>
          <w:sz w:val="24"/>
          <w:szCs w:val="24"/>
          <w:lang w:val="en-US"/>
        </w:rPr>
        <w:t xml:space="preserve"> and a reduction in butyrate-producing taxa such as </w:t>
      </w:r>
      <w:r w:rsidRPr="00E36190">
        <w:rPr>
          <w:rFonts w:ascii="Times New Roman" w:eastAsia="Times New Roman" w:hAnsi="Times New Roman" w:cs="Times New Roman"/>
          <w:i/>
          <w:iCs/>
          <w:sz w:val="24"/>
          <w:szCs w:val="24"/>
          <w:lang w:val="en-US"/>
        </w:rPr>
        <w:t>Faecalibacterium</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Roseburia</w:t>
      </w:r>
      <w:r w:rsidRPr="00E36190">
        <w:rPr>
          <w:rFonts w:ascii="Times New Roman" w:eastAsia="Times New Roman" w:hAnsi="Times New Roman" w:cs="Times New Roman"/>
          <w:sz w:val="24"/>
          <w:szCs w:val="24"/>
          <w:lang w:val="en-US"/>
        </w:rPr>
        <w:t xml:space="preserve"> (Kawamoto et al., 2021). A preliminary clinical study by Kawamoto et al. (2021) directly demonstrated that oral dysbiosis in severe periodontitis is significantly associated with gut dysbiosis, and that the abundance of oral pathobionts in subgingival sites is positively correlated with levels of salivary inflammatory mediators including interleukin-6 (IL-6) and chemokine CCL2. This bidirectional dysbiotic resonance forms the clinical foundation for mechanistic hypotheses regarding the oral–gut axis.</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4. Mechanisms of Oral-to-Gut Microbial Translocation</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4.1 The Salivary Route and Gastric Survival</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primary anatomical route through which oral bacteria reach the gastrointestinal tract is ingestion with saliva and food particles. It is estimated that humans swallow approximately 1.5 litres of saliva daily, a volume that carries a substantial bacterial load (Atarashi et al., 2017). In patients with untreated periodontitis, the total bacterial load in saliva is substantially elevated relative to healthy individuals, increasing the quantity of organisms delivered to the gut per swallowing event (Xi et al., 2024). A principal biological barrier to this route is the acidic pH of the stomach, which effectively kills most swallowed organisms. However,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related Gram-negative anaerobes possess mucin-degrading capabilities and can form biofilms that confer partial protection against gastric acidity, enabling a subset of the swallowed community to survive passage into the small intestine and colon (Lu et al., 2023).</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landmark study by Nakajima et al. (2015) provided foundational experimental evidence for this process.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(strain W83) to C57BL/6 mice produced measurable changes in gut microbial community structure, upregulation of inflammatory gene expression in intestinal tissue, decreased expression of tight junction proteins (occludin and zonula occludens-1), and dissemination of enteric bacteria to the liver—all within a short time frame following a single oral inoculation. These observations were corroborated by subsequent murine studies demonstrating that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induces </w:t>
      </w:r>
      <w:r w:rsidRPr="00E36190">
        <w:rPr>
          <w:rFonts w:ascii="Times New Roman" w:eastAsia="Times New Roman" w:hAnsi="Times New Roman" w:cs="Times New Roman"/>
          <w:sz w:val="24"/>
          <w:szCs w:val="24"/>
          <w:lang w:val="en-US"/>
        </w:rPr>
        <w:lastRenderedPageBreak/>
        <w:t>ileal inflammation and gut microbiota alteration via immunological mechanisms reliant on the altered microbiota rather than on direct mucosal invasion by the pathogen itself (Sohn et al., 2022). Together, these experiments firmly established that enteral translocation of periodontal pathogens is not merely theoretically possible but biologically consequential.</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Using full-length 16S rRNA gene amplicon sequencing with PacBio long-read technology combined with the amplicon sequence variant (ASV) approach—capable of resolving differences of as little as one nucleotide—Kageyama et al. (2023) examined 144 matched saliva and stool sample pairs from community-dwelling adults in Japan. The study confirmed the translocation of oral bacteria to the gut and identified poor periodontal status (specifically elevated probing depth and bleeding on probing) as a significant predictor of increased oral bacterial abundance in the faecal microbiome. This high-resolution study provided some of the most direct clinical evidence to date for the oral–gut translocation pathway in a non-experimental human population. Complementary work by Buetas et al. (2024), employing the same long-read sequencing approach in a case-control design comparing periodontitis patients and oral-healthy controls, demonstrated that the quantity of oral bacteria detectable in faecal samples was significantly greater in the periodontitis group, and that specific subgingival pathobionts were disproportionately represented among the translocated taxa.</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4.2 Disruption of Colonisation Resistance</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Under homeostatic conditions, the indigenous gut microbiome prevents the establishment of exogenous microorganisms through a phenomenon known as colonisation resistance—a collective property mediated through competition for nutrients, production of antimicrobial peptides and secondary bile acids, and immune priming of intestinal epithelium. The elegant gnotobiotic experiments of Atarashi et al. (2017) demonstrated that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strains isolated from the saliva of patients with IBD were capable of colonising the intestine of germ-free mice and inducing robust Th1 cell responses. Critically, these strains failed to establish themselves in mice with an intact gut microbiome, confirming that disruption of colonisation resistance is a prerequisite for successful ectopic gut colonisation by oral bacteria. This finding has important clinical implications: patients with existing gut dysbiosis—including those with IBD, antibiotic exposure, metabolic disease, or ageing-associated microbiome depletion—are presumably more susceptible to oral pathobiont colonisation of the gut.</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Kitamoto et al. (2020) extended this paradigm by demonstrating, in a murine periodontitis model, that inflammation of the oral mucosa fostered blooms of </w:t>
      </w:r>
      <w:r w:rsidRPr="00E36190">
        <w:rPr>
          <w:rFonts w:ascii="Times New Roman" w:eastAsia="Times New Roman" w:hAnsi="Times New Roman" w:cs="Times New Roman"/>
          <w:i/>
          <w:iCs/>
          <w:sz w:val="24"/>
          <w:szCs w:val="24"/>
          <w:lang w:val="en-US"/>
        </w:rPr>
        <w:t>Enterobacteriaceae</w:t>
      </w:r>
      <w:r w:rsidRPr="00E36190">
        <w:rPr>
          <w:rFonts w:ascii="Times New Roman" w:eastAsia="Times New Roman" w:hAnsi="Times New Roman" w:cs="Times New Roman"/>
          <w:sz w:val="24"/>
          <w:szCs w:val="24"/>
          <w:lang w:val="en-US"/>
        </w:rPr>
        <w:t xml:space="preserve"> (specifically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Enterobacter</w:t>
      </w:r>
      <w:r w:rsidRPr="00E36190">
        <w:rPr>
          <w:rFonts w:ascii="Times New Roman" w:eastAsia="Times New Roman" w:hAnsi="Times New Roman" w:cs="Times New Roman"/>
          <w:sz w:val="24"/>
          <w:szCs w:val="24"/>
          <w:lang w:val="en-US"/>
        </w:rPr>
        <w:t xml:space="preserve"> spp.) in the oral cavity that were subsequently ingested and translocated to the gut. Once in the inflamed colon, these translocated oral pathobionts activated the NLRP3 inflammasome in colonic mononuclear phagocytes, triggering further intestinal inflammation. In parallel, periodontitis generated gut-tropic Th17 cells in the oral mucosa that migrated to the inflamed gut, where they were re-activated specifically by the translocated oral pathobionts—not by resident gut commensals—and triggered colitis. This dual mechanism (microbial translocation plus T-cell migration) represented a conceptually important advance in understanding how the oral cavity communicates pathologically with the intestine.</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4.3 Tight Junction Impairment and Increased Intestinal Permeability</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 pivotal molecular consequence of oral pathobiont translocation is the degradation of intestinal epithelial tight junction (TJ) integrity. Tight junctions, comprising proteins such as </w:t>
      </w:r>
      <w:r w:rsidRPr="00E36190">
        <w:rPr>
          <w:rFonts w:ascii="Times New Roman" w:eastAsia="Times New Roman" w:hAnsi="Times New Roman" w:cs="Times New Roman"/>
          <w:sz w:val="24"/>
          <w:szCs w:val="24"/>
          <w:lang w:val="en-US"/>
        </w:rPr>
        <w:lastRenderedPageBreak/>
        <w:t xml:space="preserve">claudins, occludin, and zonula occludens (ZO-1), regulate paracellular permeability and are essential for maintaining the selective barrier that prevents luminal bacteria and their products from entering the systemic circulation. Multiple experimental models have shown that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its virulence factors—including gingipains, lipopolysaccharides (LPS), and outer membrane vesicles—downregulate the expression of occludin and ZO-1 in intestinal epithelial cell monolayers and in the intestinal tissue of orally inoculated mice (Xi et al., 2024). The resulting "leaky gut" phenotype allows bacterial LPS and other microbial-associated molecular patterns (MAMPs) to translocate into the portal circulation, contributing to systemic endotoxaemia and hepatic inflammation (Nakajima et al., 2015).</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employs complementary mechanisms of barrier disruption. Its virulence adhesin FadA binds to E-cadherin on intestinal epithelial cells, activating β-catenin signalling and nuclear factor-κB (NF-κB) pathways that upregulate pro-inflammatory cytokine production and increase epithelial permeability (Xi et al., 2024). Matrix metalloproteinase-9 (MMP-9), which is elevated both in inflamed periodontal tissues and in the intestine of patients with IBD, has been implicated as an upstream regulator of TJ degradation, operating through activation of myosin light chain kinase (MLCK) via the NF-κB p65 pathway (Lu et al., 2023).</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1</w:t>
      </w:r>
      <w:r w:rsidRPr="00E36190">
        <w:rPr>
          <w:rFonts w:ascii="Times New Roman" w:eastAsia="Times New Roman" w:hAnsi="Times New Roman" w:cs="Times New Roman"/>
          <w:sz w:val="24"/>
          <w:szCs w:val="24"/>
          <w:lang w:val="en-US"/>
        </w:rPr>
        <w:t xml:space="preserve"> summarises the principal molecular mechanisms through which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disrupt gut homeostasis following enteral translocation, drawing on the experimental studies reviewed in this section.</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1.</w:t>
      </w:r>
      <w:r w:rsidRPr="00E36190">
        <w:rPr>
          <w:rFonts w:ascii="Times New Roman" w:eastAsia="Times New Roman" w:hAnsi="Times New Roman" w:cs="Times New Roman"/>
          <w:sz w:val="24"/>
          <w:szCs w:val="24"/>
          <w:lang w:val="en-US"/>
        </w:rPr>
        <w:t xml:space="preserve"> Principal mechanisms of gut barrier disruption by key periodontal pathobionts following enteral translocation.</w:t>
      </w:r>
    </w:p>
    <w:tbl>
      <w:tblPr>
        <w:tblStyle w:val="TableGrid"/>
        <w:tblW w:w="0" w:type="auto"/>
        <w:tblLook w:val="04A0" w:firstRow="1" w:lastRow="0" w:firstColumn="1" w:lastColumn="0" w:noHBand="0" w:noVBand="1"/>
      </w:tblPr>
      <w:tblGrid>
        <w:gridCol w:w="1927"/>
        <w:gridCol w:w="2973"/>
        <w:gridCol w:w="2727"/>
        <w:gridCol w:w="1615"/>
      </w:tblGrid>
      <w:tr w:rsidR="00E36190" w:rsidRPr="00E36190" w:rsidTr="00E36190">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Pathobiont</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Virulence Factor / Mechanism</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Gut Consequence</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Evidence Source</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Gingipains; LPS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Occludin, ↓ ZO-1; systemic endotoxaemia</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Nakajima et al. (2015)</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Indirect dysbiosis; altered gut microbiota</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IL-9+CD4+ T cells; ileal inflammation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Sohn et al. (2022)</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PPAD (peptidylarginine deiminase)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Th17; ↓ Treg; ulcerative colitis exacerbation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Huang et al. (2024)</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F. nucleatum</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FadA adhesin → E-cadherin/β-catenin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NF-κB activation; epithelial permeability ↑</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Xi et al. (2024)</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F. nucleatum</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CARD3/ERS pathway activation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IL-17F/NF-κB-mediated barrier damage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Xi et al. (2024)</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spp. (oral-origin)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Ectopic colonisation in dysbiotic gut</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Th1 cell induction; intestinal inflammation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Atarashi et al. (2017)</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Mixed oral pathobionts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Inflammasome activation in colonic phagocytes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Colitis exacerbation via NLRP3 pathway</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Kitamoto et al. (2020)</w:t>
            </w:r>
          </w:p>
        </w:tc>
      </w:tr>
    </w:tbl>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LPS, lipopolysaccharide; ZO-1, zonula occludens-1; PPAD, P. gingivalis peptidylarginine deiminase; ERS, endoplasmic reticulum stress; NLRP3, NLR family pyrin domain-containing 3.</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lastRenderedPageBreak/>
        <w:t>4.4 Microbial Metabolite Pathways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Beyond direct bacterial translocation, periodontal dysbiosis influences the gut metabolic environment through alterations in the production of short-chain fatty acids (SCFAs), trimethylamine N-oxide (TMAO), and LPS-mediated signalling. SCFAs—including butyrate, propionate, and acetate—are produced principally by fermentation of dietary fibre by colonic Firmicutes and Bacteroidetes and serve as critical regulators of intestinal epithelial barrier integrity, immune homeostasis, and metabolic function. Periodontitis-associated gut dysbiosis is characterised by a reduction in SCFA-producing taxa, with consequent impairment of colonocyte energy metabolism and regulatory T-cell induction (Kuraji et al., 2023). TMAO, a hepatic oxidation product of trimethylamine (TMA) generated from dietary choline and carnitine by gut bacteria, has been detected at elevated concentrations in the serum of patients with severe periodontitis and in animal models of experimental periodontitis, implicating the oral–gut axis in the pathogenesis of atherosclerosis and metabolic disease (Li et al., 2022). Several oral bacteria, including </w:t>
      </w:r>
      <w:r w:rsidRPr="00E36190">
        <w:rPr>
          <w:rFonts w:ascii="Times New Roman" w:eastAsia="Times New Roman" w:hAnsi="Times New Roman" w:cs="Times New Roman"/>
          <w:i/>
          <w:iCs/>
          <w:sz w:val="24"/>
          <w:szCs w:val="24"/>
          <w:lang w:val="en-US"/>
        </w:rPr>
        <w:t>Prevotella</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species, are capable of producing TMA directly, suggesting a direct contribution of oral dysbiosis to the TMAO pathway independent of gut microbial alterations (Xi et al., 2024).</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5. Immunological Crosstalk Along the Oral–Gut Axis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5.1 Th17/Treg Imbalance as a Systemic Driver</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adaptive immune arm of the oral–gut axis revolves largely around the balance between Th17 cells—which produce interleukin-17 (IL-17) and drive mucosal inflammation—and regulatory T cells (Tregs)—which suppress immune activation and maintain tissue homeostasis.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LPS and gingipains prime dendritic cells to skew naïve T-helper differentiation towards the Th17 lineage both locally in the periodontium and, following enteral translocation, within Peyer's patches of the intestine (Byrd &amp; Gulati, 2021). Kitamoto et al. (2020) demonstrated that Th17 cells generated in the oral mucosa in response to periodontal inflammation acquired gut-homing properties (via upregulation of integrin α4β7 and CCR9 expression) and were recruited to the inflamed gut, where they amplified colitis upon re-encountering translocated oral pathobionts. Notably, these oral-origin Th17 cells did not respond to gut-resident commensals, indicating antigen-specific tropism rather than non-specific bystander activation. This elegant specificity illustrates how the oral immune compartment can prime colitogenic immunity that is subsequently realised at distant mucosal sites.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IL-9/IL-9-receptor signalling pathway has emerged as an additional mechanistic node connecting oral pathobiont translocation to intestinal inflammation. Sohn et al. (2022) demonstrated that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in mice significantly expanded a population of IL-9-producing CD4+ T cells in the small intestinal lamina propria, and that the abundance of these cells was negatively correlated with gut microbial alpha diversity. This expansion was dependent on alterations in gut microbial composition induced by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rather than on direct mucosal invasion by the pathogen, confirming an indirect immunological mechanism mediated through dysbiosis.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5.2 Inflammasome Activation and Endotoxaemia</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 xml:space="preserve">Periodontitis-associated endotoxaemia—defined as the presence of elevated circulating LPS—has been directly linked to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oral administration in murine models. LPS translocating through a leaky gut epithelium engages TLR-4 receptors on intestinal macrophages and hepatic Kupffer cells, activating the NF-κB pathway and the NLRP3 inflammasome, thereby perpetuating systemic low-grade inflammation (Lu et al., 2023). Crucially, the LPS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activates both TLR-2 and TLR-4—a dual receptor engagement that is atypical for conventional Gram-negative LPS and may confer distinct pro-inflammatory properties at the intestinal barrier (Xi et al., 2024). This dual activation contributes to a more complex and potentially more sustained inflammatory signal than that generated by enteric LPS from organisms such as </w:t>
      </w:r>
      <w:r w:rsidRPr="00E36190">
        <w:rPr>
          <w:rFonts w:ascii="Times New Roman" w:eastAsia="Times New Roman" w:hAnsi="Times New Roman" w:cs="Times New Roman"/>
          <w:i/>
          <w:iCs/>
          <w:sz w:val="24"/>
          <w:szCs w:val="24"/>
          <w:lang w:val="en-US"/>
        </w:rPr>
        <w:t>Escherichia coli</w:t>
      </w:r>
      <w:r w:rsidRPr="00E36190">
        <w:rPr>
          <w:rFonts w:ascii="Times New Roman" w:eastAsia="Times New Roman" w:hAnsi="Times New Roman" w:cs="Times New Roman"/>
          <w:sz w:val="24"/>
          <w:szCs w:val="24"/>
          <w:lang w:val="en-US"/>
        </w:rPr>
        <w:t>.</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gut–liver axis further amplifies these signals: impaired intestinal barrier function promotes bacterial translocation to the portal circulation, hepatic exposure to microbiota-derived toxins, and activation of hepatic innate immune responses that contribute to hepatic steatosis, inflammation, and fibrosis (Kuraji et al., 2023). This cascade situates the oral–gut axis as a mechanistic link not only between periodontitis and intestinal disease, but also between periodontitis and hepatic pathology.</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5.3 The Bidirectionality of the Oral–Gut Axis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Mounting evidence indicates that the relationship between oral and gut dysbiosis is genuinely bidirectional rather than unidirectional. Several animal studies have shown that gut dysbiosis induced by antibiotic administration, dextran sodium sulphate colitis, or faecal transplantation can exacerbate experimental periodontitis, increasing alveolar bone resorption and periodontal tissue inflammation through Th17/Treg imbalances and systemic cytokine elevation (Byrd &amp; Gulati, 2021). Mendelian randomisation analyses in human data have provided some of the strongest available evidence for this bidirectionality: one such study found that genetically predicted Crohn's disease was a risk factor for periodontitis, while genetically predicted periodontitis was associated with exacerbation of ulcerative colitis (Lu et al., 2023). These findings suggest that clinicians managing patients with either condition should consider screening for the other, and that therapeutic interventions targeting one disease may have off-target benefits for the other.</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6. Systemic Implications: Disease-Specific Associations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6.1 Inflammatory Bowel Disease</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association between periodontitis and IBD is one of the most extensively investigated dimensions of the oral–gut axis. Meta-epidemiological analyses have consistently reported higher prevalence of periodontitis among IBD patients compared to healthy controls, with particularly strong signals for ulcerative colitis (Tanwar et al., 2024). Conversely, patients with active IBD exhibit qualitative changes in oral microbial composition, including enrichment of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species in the saliva and subgingival crevice. The review by Tanwar et al. (2024) in the </w:t>
      </w:r>
      <w:r w:rsidRPr="00E36190">
        <w:rPr>
          <w:rFonts w:ascii="Times New Roman" w:eastAsia="Times New Roman" w:hAnsi="Times New Roman" w:cs="Times New Roman"/>
          <w:i/>
          <w:iCs/>
          <w:sz w:val="24"/>
          <w:szCs w:val="24"/>
          <w:lang w:val="en-US"/>
        </w:rPr>
        <w:t>Journal of Crohn's and Colitis</w:t>
      </w:r>
      <w:r w:rsidRPr="00E36190">
        <w:rPr>
          <w:rFonts w:ascii="Times New Roman" w:eastAsia="Times New Roman" w:hAnsi="Times New Roman" w:cs="Times New Roman"/>
          <w:sz w:val="24"/>
          <w:szCs w:val="24"/>
          <w:lang w:val="en-US"/>
        </w:rPr>
        <w:t xml:space="preserve">, one of the most comprehensive analyses of this bidirectional relationship, identified multiple overlapping pathogenic mechanisms including shared genetic susceptibility loci (NOD2, IL-23R), convergent dysregulation of mucosal innate immunity, and microbially mediated barrier dysfunction. Byrd &amp; Gulati (2021) proposed the conceptual framework of the "gum–gut axis" </w:t>
      </w:r>
      <w:r w:rsidRPr="00E36190">
        <w:rPr>
          <w:rFonts w:ascii="Times New Roman" w:eastAsia="Times New Roman" w:hAnsi="Times New Roman" w:cs="Times New Roman"/>
          <w:sz w:val="24"/>
          <w:szCs w:val="24"/>
          <w:lang w:val="en-US"/>
        </w:rPr>
        <w:lastRenderedPageBreak/>
        <w:t>to capture the hypothesis that once established, IBD can be perpetuated or worsened by microbiome and inflammatory changes originating in the gingival niche through saliva, thereby perpetuating a vicious inflammatory cycle.</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mechanistic study by Huang et al. (2024) specifically addressed the role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in IBD pathogenesis, demonstrating that PPAD—a unique virulence enzyme that citrullinates host proteins and thereby generates neo-autoantigens—amplifies Th17 responses and suppresses regulatory T-cell populations in a manner consistent with the immunological phenotype of IBD. Furthermore, experimental induction of periodontitis in colitis-susceptible mice has been shown to reproducibly worsen colitis severity, increase colon weight, shorten colon length, and elevate pro-inflammatory cytokines including TNF-α and IL-6 in both colonic tissue and systemic circulation (Lu et al., 2023).</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6.2 Colorectal Cancer</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detection of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DNA and viable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in human colorectal cancer (CRC) tissue specimens—demonstrated independently in multiple genomic cohorts—has generated intense interest in the role of oral-origin bacteria in gastrointestinal oncogenesis (Mesa et al., 2022). Evidence for the oral origin of intratumoral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has been substantially strengthened by studies demonstrating that identical strains, identified by whole-genome sequencing, are present in the oral cavity and matched CRC tumours of individual patients (Xi et al., 2024). Two routes of translocation have been proposed: haematogenous dissemination from the periodontal pocket to established tumour lesions, and enteral passage from the oral cavity through the alimentary tract to the colorectum. The latter route is supported by the anatomical logic of faeco-oral microbial continuity and by animal experiments demonstrating that orally administered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enriches in colonic tissue (Baima et al., 2023).</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Mechanistically,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promotes CRC progression through several convergent pathways. Its FadA adhesin activates the Wnt/β-catenin pathway in colonic epithelial cells, stimulating cellular proliferation and tumorigenesis. Its Fap2 adhesin binds to TIGIT receptors on natural killer cells and T cells, suppressing anti-tumour immunity. The bacterium also promotes the polarisation of pro-tumorigenic M2 macrophages through TLR-4 signalling and activates the endoplasmic reticulum stress pathway in colonic cells through CARD3-targeting activity (Xi et al., 2024). The narrative review by Baima et al. (2023) in </w:t>
      </w:r>
      <w:r w:rsidRPr="00E36190">
        <w:rPr>
          <w:rFonts w:ascii="Times New Roman" w:eastAsia="Times New Roman" w:hAnsi="Times New Roman" w:cs="Times New Roman"/>
          <w:i/>
          <w:iCs/>
          <w:sz w:val="24"/>
          <w:szCs w:val="24"/>
          <w:lang w:val="en-US"/>
        </w:rPr>
        <w:t>Cancers</w:t>
      </w:r>
      <w:r w:rsidRPr="00E36190">
        <w:rPr>
          <w:rFonts w:ascii="Times New Roman" w:eastAsia="Times New Roman" w:hAnsi="Times New Roman" w:cs="Times New Roman"/>
          <w:sz w:val="24"/>
          <w:szCs w:val="24"/>
          <w:lang w:val="en-US"/>
        </w:rPr>
        <w:t xml:space="preserve"> comprehensively evaluated the epidemiological and mechanistic evidence supporting the concept of the "gum–gut axis" in gastrointestinal cancer, concluding that the evidence for a causal contribution of periodontal pathogens to CRC pathogenesis is biologically plausible but that prospective data linking periodontal disease severity to CRC incidence remain sparse.</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6.3 Metabolic-Associated Steatotic Liver Disease</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Metabolic-associated steatotic liver disease (MASLD), formerly termed non-alcoholic fatty liver disease (NAFLD), is among the most prevalent chronic liver conditions globally and shares risk factors including insulin resistance, obesity, and systemic inflammation with periodontitis. Kuraji et al. (2023) published a comprehensive review in the </w:t>
      </w:r>
      <w:r w:rsidRPr="00E36190">
        <w:rPr>
          <w:rFonts w:ascii="Times New Roman" w:eastAsia="Times New Roman" w:hAnsi="Times New Roman" w:cs="Times New Roman"/>
          <w:i/>
          <w:iCs/>
          <w:sz w:val="24"/>
          <w:szCs w:val="24"/>
          <w:lang w:val="en-US"/>
        </w:rPr>
        <w:t>World Journal of Gastroenterology</w:t>
      </w:r>
      <w:r w:rsidRPr="00E36190">
        <w:rPr>
          <w:rFonts w:ascii="Times New Roman" w:eastAsia="Times New Roman" w:hAnsi="Times New Roman" w:cs="Times New Roman"/>
          <w:sz w:val="24"/>
          <w:szCs w:val="24"/>
          <w:lang w:val="en-US"/>
        </w:rPr>
        <w:t xml:space="preserve"> delineating two convergent pathways through which periodontitis may contribute to MASLD pathogenesis: a haematogenous route whereby periodontal bacteria and their products reach the liver via the hepatic artery, and an enteral route in which oral </w:t>
      </w:r>
      <w:r w:rsidRPr="00E36190">
        <w:rPr>
          <w:rFonts w:ascii="Times New Roman" w:eastAsia="Times New Roman" w:hAnsi="Times New Roman" w:cs="Times New Roman"/>
          <w:sz w:val="24"/>
          <w:szCs w:val="24"/>
          <w:lang w:val="en-US"/>
        </w:rPr>
        <w:lastRenderedPageBreak/>
        <w:t>pathobionts induce gut dysbiosis that impairs intestinal barrier function, promotes portal endotoxaemia, and delivers hepatotoxins to the liver through the enterohepatic circulation. The second route—mediated through the oral–gut–liver axis—is mechanistically more compelling for chronic MASLD progression.</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Animal studies have shown that oral administration of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to high-fat-diet-fed mice exacerbates hepatic steatosis, elevates serum alanine transaminase, and increases hepatic pro-inflammatory cytokine expression, with effects transmissible by faecal microbiota transplantation—confirming the gut-mediated nature of the hepatic injury (Xi et al., 2024). Clinically, several cross-sectional studies have identified periodontitis as an independent risk factor for MASLD after adjustment for known metabolic confounders, though the directionality of causation remains difficult to establish in the absence of longitudinal data (Kuraji et al., 2023). The therapeutic implication—that periodontal treatment may, via improvement in gut ecology and reduced systemic endotoxaemia, attenuate hepatic inflammation—is biologically plausible and warrants formal testing in randomised controlled trials.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6.4 Cardiovascular Disease</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association between periodontitis and cardiovascular disease (CVD) is among the most extensively documented in the periodontal medicine literature and has multiple mechanistic underpinnings. In the context of the oral–gut axis specifically, two metabolic pathways merit attention. First, periodontitis-associated gut dysbiosis is characterised by an increased abundance of TMAO-producing bacteria, and elevated circulating TMAO has been shown to promote atherosclerosis through impaired reverse cholesterol transport, foam cell formation, and platelet hyperreactivity, with activation of the TLR-4/NF-κB inflammatory cascade further amplifying endothelial dysfunction (Li et al., 2022). Second, LPS translocating through a periodontitis-impaired gut epithelium can directly damage vascular endothelium, promote endothelial adhesion molecule expression, and amplify systemic inflammatory circuits—including elevation of high-sensitivity C-reactive protein and IL-6—that drive atherogenesis (Hajishengallis &amp; Chavakis, 2021). Several oral bacteria, including </w:t>
      </w:r>
      <w:r w:rsidRPr="00E36190">
        <w:rPr>
          <w:rFonts w:ascii="Times New Roman" w:eastAsia="Times New Roman" w:hAnsi="Times New Roman" w:cs="Times New Roman"/>
          <w:i/>
          <w:iCs/>
          <w:sz w:val="24"/>
          <w:szCs w:val="24"/>
          <w:lang w:val="en-US"/>
        </w:rPr>
        <w:t>Prevotella</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Fusobacterium</w:t>
      </w:r>
      <w:r w:rsidRPr="00E36190">
        <w:rPr>
          <w:rFonts w:ascii="Times New Roman" w:eastAsia="Times New Roman" w:hAnsi="Times New Roman" w:cs="Times New Roman"/>
          <w:sz w:val="24"/>
          <w:szCs w:val="24"/>
          <w:lang w:val="en-US"/>
        </w:rPr>
        <w:t xml:space="preserve"> species, are capable of producing TMA directly, such that the oral–gut axis may contribute to TMAO-mediated vascular injury through both direct TMA production in the oral cavity and indirect modulation of gut community TMA output (Xi et al., 2024).</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2</w:t>
      </w:r>
      <w:r w:rsidRPr="00E36190">
        <w:rPr>
          <w:rFonts w:ascii="Times New Roman" w:eastAsia="Times New Roman" w:hAnsi="Times New Roman" w:cs="Times New Roman"/>
          <w:sz w:val="24"/>
          <w:szCs w:val="24"/>
          <w:lang w:val="en-US"/>
        </w:rPr>
        <w:t xml:space="preserve"> provides a consolidated overview of the systemic disease associations mediated through the oral–gut axis, summarising the key evidence and mechanistic pathways discussed in this section.</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2.</w:t>
      </w:r>
      <w:r w:rsidRPr="00E36190">
        <w:rPr>
          <w:rFonts w:ascii="Times New Roman" w:eastAsia="Times New Roman" w:hAnsi="Times New Roman" w:cs="Times New Roman"/>
          <w:sz w:val="24"/>
          <w:szCs w:val="24"/>
          <w:lang w:val="en-US"/>
        </w:rPr>
        <w:t xml:space="preserve"> Systemic diseases associated with the oral–gut microbial translocation axis in periodontitis.</w:t>
      </w:r>
    </w:p>
    <w:tbl>
      <w:tblPr>
        <w:tblStyle w:val="TableGrid"/>
        <w:tblW w:w="0" w:type="auto"/>
        <w:tblLook w:val="04A0" w:firstRow="1" w:lastRow="0" w:firstColumn="1" w:lastColumn="0" w:noHBand="0" w:noVBand="1"/>
      </w:tblPr>
      <w:tblGrid>
        <w:gridCol w:w="2086"/>
        <w:gridCol w:w="2960"/>
        <w:gridCol w:w="2146"/>
        <w:gridCol w:w="2050"/>
      </w:tblGrid>
      <w:tr w:rsidR="00E36190" w:rsidRPr="00E36190" w:rsidTr="00E36190">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Systemic Disease</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Mechanistic Pathways</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Study / Evidence</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Study Design</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Inflammatory bowel disease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Oral pathobiont gut colonisation; Th17/Treg imbalance; TJ disruption; PPAD-mediated citrullination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Kitamoto et al. (2020); Tanwar et al. (2024)</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Murine model; narrative review</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Colorectal cancer</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FadA → Wnt/β-catenin; Fap2 → immune suppression; ectopic tumour colonisation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Mesa et al. (2022); Baima et al. (2023)</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Clinical genomic; narrative review</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MASLD/NAFLD</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Oral–gut–liver axis; portal endotoxaemia; hepatic LPS accumulation; TMAO elevation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Kuraji et al. (2023); Xi et al. (2024)</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Narrative review; animal models</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Cardiovascular disease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TMAO production; endotoxaemia; systemic IL-6/CRP elevation; endothelial dysfunction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Li et al. (2022); Hajishengallis &amp; Chavakis (2021)</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Review; epidemiological</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Insulin resistance / T2DM</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-mediated gut dysbiosis; impaired AHR signalling; endotoxin-driven insulin resistance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Xi et al. (2024); Nakajima et al. (2015)</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Animal models</w:t>
            </w:r>
          </w:p>
        </w:tc>
      </w:tr>
    </w:tbl>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MASLD, metabolic-associated steatotic liver disease; NAFLD, non-alcoholic fatty liver disease; TJ, tight junction; PPAD, peptidylarginine deiminase; TMAO, trimethylamine N-oxide; CRP, C-reactive protein; AHR, aryl hydrocarbon receptor; T2DM, type 2 diabetes mellitus.</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7. Impact of Periodontal Therapy on the Gut Microbiome</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7.1 Non-Surgical Periodontal Therapy and Microbial Change</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 critical test of the oral–gut axis hypothesis is whether effective treatment of periodontitis produces measurable and sustained improvements in gut microbial composition. Non-surgical periodontal therapy (NSPT)—comprising full-mouth debridement through supragingival and subgingival scaling and root planing—significantly reduces the total subgingival microbial load and shifts the subgingival community towards a health-compatible composition. Several clinical studies have sought to determine whether these oral changes are mirrored at the gut level, with increasingly rigorous methodology.</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study by Baima et al. (2024), published in the </w:t>
      </w:r>
      <w:r w:rsidRPr="00E36190">
        <w:rPr>
          <w:rFonts w:ascii="Times New Roman" w:eastAsia="Times New Roman" w:hAnsi="Times New Roman" w:cs="Times New Roman"/>
          <w:i/>
          <w:iCs/>
          <w:sz w:val="24"/>
          <w:szCs w:val="24"/>
          <w:lang w:val="en-US"/>
        </w:rPr>
        <w:t>Journal of Dental Research</w:t>
      </w:r>
      <w:r w:rsidRPr="00E36190">
        <w:rPr>
          <w:rFonts w:ascii="Times New Roman" w:eastAsia="Times New Roman" w:hAnsi="Times New Roman" w:cs="Times New Roman"/>
          <w:sz w:val="24"/>
          <w:szCs w:val="24"/>
          <w:lang w:val="en-US"/>
        </w:rPr>
        <w:t>, is among the most methodologically robust clinical investigations of the oral–gut axis in periodontitis. The study enrolled 47 patients with generalised stage III/IV periodontitis, collected matched stool and saliva samples at baseline and three months after steps I–II of periodontal therapy, and analysed microbial composition using 16S rRNA gene amplicon sequencing. Non-surgical periodontal therapy was found to significantly reduce the relative abundance of periodontal pathogens in saliva and, notably, to alter gut microbial composition: Firmicutes-to-Bacteroidetes ratios, established markers of gut dysbiosis, improved following treatment, and there was a reduction in the gut abundance of pro-inflammatory taxa whose salivary counterparts had been reduced by therapy. This study thus provides direct clinical evidence that reducing oral microbial burden through standard periodontal intervention produces quantifiable changes in gut ecology, supporting the translational potential of the oral–gut axis concept.</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A randomised controlled clinical trial by de Oliveira et al. (2022) evaluated whether systemic probiotic supplementation as an adjunct to subgingival instrumentation offered additional benefits over NSPT alone for the oral–gut microbiota in periodontitis patients. While probiotic adjunction did not provide statistically significant additional clinical benefits in terms of periodontal pocket depth or clinical attachment level, the study identified that response to therapy was associated with distinct baseline oral–gut microbial profiles, suggesting that pre-existing microbiome configuration may modulate therapeutic outcomes. This finding has implications for precision periodontal medicine, wherein patient-specific microbiome profiling might eventually guide treatment selection.</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7.2 Therapeutic Modulation: Probiotics, Prebiotics, and Bacteriophage Approaches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convergence of oral and gut microbial communities along the oral–gut axis has stimulated interest in microbiome-targeted therapeutic strategies that could simultaneously benefit periodontal and systemic health. Probiotics—specifically </w:t>
      </w:r>
      <w:r w:rsidRPr="00E36190">
        <w:rPr>
          <w:rFonts w:ascii="Times New Roman" w:eastAsia="Times New Roman" w:hAnsi="Times New Roman" w:cs="Times New Roman"/>
          <w:i/>
          <w:iCs/>
          <w:sz w:val="24"/>
          <w:szCs w:val="24"/>
          <w:lang w:val="en-US"/>
        </w:rPr>
        <w:t>Lactobacillus</w:t>
      </w:r>
      <w:r w:rsidRPr="00E36190">
        <w:rPr>
          <w:rFonts w:ascii="Times New Roman" w:eastAsia="Times New Roman" w:hAnsi="Times New Roman" w:cs="Times New Roman"/>
          <w:sz w:val="24"/>
          <w:szCs w:val="24"/>
          <w:lang w:val="en-US"/>
        </w:rPr>
        <w:t xml:space="preserve"> and </w:t>
      </w:r>
      <w:r w:rsidRPr="00E36190">
        <w:rPr>
          <w:rFonts w:ascii="Times New Roman" w:eastAsia="Times New Roman" w:hAnsi="Times New Roman" w:cs="Times New Roman"/>
          <w:i/>
          <w:iCs/>
          <w:sz w:val="24"/>
          <w:szCs w:val="24"/>
          <w:lang w:val="en-US"/>
        </w:rPr>
        <w:t>Bifidobacterium</w:t>
      </w:r>
      <w:r w:rsidRPr="00E36190">
        <w:rPr>
          <w:rFonts w:ascii="Times New Roman" w:eastAsia="Times New Roman" w:hAnsi="Times New Roman" w:cs="Times New Roman"/>
          <w:sz w:val="24"/>
          <w:szCs w:val="24"/>
          <w:lang w:val="en-US"/>
        </w:rPr>
        <w:t xml:space="preserve"> strains with demonstrable mucosal anti-inflammatory properties—have been investigated as adjuncts to conventional periodontal therapy, with some evidence of modest improvements in clinical parameters and favourable shifts in subgingival microbial composition (Kuraji et al., 2023). Prebiotics, including inulin, fructooligosaccharides, and resistant starch, may promote the growth of butyrate-producing gut commensals reduced by periodontitis-associated dysbiosis, thereby reinforcing epithelial barrier function and dampening systemic endotoxaemia.</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Faecal microbiota transplantation (FMT) has been used in animal models to confirm that gut dysbiosis induced by oral pathobiont administration is sufficient to propagate intestinal inflammation in the absence of ongoing oral disease (Kitamoto et al., 2020). Clinically, FMT has been applied successfully in recurrent </w:t>
      </w:r>
      <w:r w:rsidRPr="00E36190">
        <w:rPr>
          <w:rFonts w:ascii="Times New Roman" w:eastAsia="Times New Roman" w:hAnsi="Times New Roman" w:cs="Times New Roman"/>
          <w:i/>
          <w:iCs/>
          <w:sz w:val="24"/>
          <w:szCs w:val="24"/>
          <w:lang w:val="en-US"/>
        </w:rPr>
        <w:t>Clostridioides difficile</w:t>
      </w:r>
      <w:r w:rsidRPr="00E36190">
        <w:rPr>
          <w:rFonts w:ascii="Times New Roman" w:eastAsia="Times New Roman" w:hAnsi="Times New Roman" w:cs="Times New Roman"/>
          <w:sz w:val="24"/>
          <w:szCs w:val="24"/>
          <w:lang w:val="en-US"/>
        </w:rPr>
        <w:t xml:space="preserve"> infection and is under investigation for IBD; whether it could be exploited therapeutically in the context of periodontitis-associated gut dysbiosis has not yet been formally studied. Bacteriophage therapy targeting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—using phage FNU1, which selectively lysed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cells and eliminated the organism from CRC tumour tissue in experimental models—represents a precision antimicrobial approach that may eventually complement conventional periodontal treatment (Xi et al., 2024). Regulatory and safety challenges remain substantial before clinical application.</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3</w:t>
      </w:r>
      <w:r w:rsidRPr="00E36190">
        <w:rPr>
          <w:rFonts w:ascii="Times New Roman" w:eastAsia="Times New Roman" w:hAnsi="Times New Roman" w:cs="Times New Roman"/>
          <w:sz w:val="24"/>
          <w:szCs w:val="24"/>
          <w:lang w:val="en-US"/>
        </w:rPr>
        <w:t xml:space="preserve"> summarises the clinical and experimental evidence for therapeutic modulation of the oral–gut axis.</w:t>
      </w:r>
      <w:r>
        <w:rPr>
          <w:rFonts w:ascii="Times New Roman" w:eastAsia="Times New Roman" w:hAnsi="Times New Roman" w:cs="Times New Roman"/>
          <w:sz w:val="24"/>
          <w:szCs w:val="24"/>
          <w:lang w:val="en-US"/>
        </w:rPr>
        <w:t xml:space="preserve"> </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3.</w:t>
      </w:r>
      <w:r w:rsidRPr="00E36190">
        <w:rPr>
          <w:rFonts w:ascii="Times New Roman" w:eastAsia="Times New Roman" w:hAnsi="Times New Roman" w:cs="Times New Roman"/>
          <w:sz w:val="24"/>
          <w:szCs w:val="24"/>
          <w:lang w:val="en-US"/>
        </w:rPr>
        <w:t xml:space="preserve"> Therapeutic interventions targeting the oral–gut axis in periodontitis: summary of key evidence.</w:t>
      </w:r>
    </w:p>
    <w:tbl>
      <w:tblPr>
        <w:tblStyle w:val="TableGrid"/>
        <w:tblW w:w="0" w:type="auto"/>
        <w:tblLook w:val="04A0" w:firstRow="1" w:lastRow="0" w:firstColumn="1" w:lastColumn="0" w:noHBand="0" w:noVBand="1"/>
      </w:tblPr>
      <w:tblGrid>
        <w:gridCol w:w="2527"/>
        <w:gridCol w:w="2021"/>
        <w:gridCol w:w="2877"/>
        <w:gridCol w:w="1817"/>
      </w:tblGrid>
      <w:tr w:rsidR="00E36190" w:rsidRPr="00E36190" w:rsidTr="00E36190">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Intervention</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Target / Mechanism</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Finding</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Study Type</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Non-surgical periodontal therapy (NSPT)</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Reduction of subgingival microbial burden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Altered gut microbial composition; ↓ pro-inflammatory gut taxa</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Clinical cohort (Baima et al., 2024)</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Systemic probiotics + NSPT vs NSPT alone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Modulation of oral–gut microbiota</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No additional clinical benefit; baseline microbiome predicts response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RCT (de Oliveira et al., 2022)</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Faecal microbiota transplantation (FMT)</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Corrects periodontitis-</w:t>
            </w:r>
            <w:r w:rsidRPr="00E36190">
              <w:rPr>
                <w:rFonts w:ascii="Times New Roman" w:eastAsia="Times New Roman" w:hAnsi="Times New Roman" w:cs="Times New Roman"/>
                <w:sz w:val="24"/>
                <w:szCs w:val="24"/>
                <w:lang w:val="en-US"/>
              </w:rPr>
              <w:lastRenderedPageBreak/>
              <w:t>induced gut dysbiosis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 xml:space="preserve">Transmissibility of intestinal inflammation via </w:t>
            </w:r>
            <w:r w:rsidRPr="00E36190">
              <w:rPr>
                <w:rFonts w:ascii="Times New Roman" w:eastAsia="Times New Roman" w:hAnsi="Times New Roman" w:cs="Times New Roman"/>
                <w:sz w:val="24"/>
                <w:szCs w:val="24"/>
                <w:lang w:val="en-US"/>
              </w:rPr>
              <w:lastRenderedPageBreak/>
              <w:t>dysbiotic gut microbiota confirmed</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 xml:space="preserve">Animal model (Kitamoto et al., </w:t>
            </w:r>
            <w:r w:rsidRPr="00E36190">
              <w:rPr>
                <w:rFonts w:ascii="Times New Roman" w:eastAsia="Times New Roman" w:hAnsi="Times New Roman" w:cs="Times New Roman"/>
                <w:sz w:val="24"/>
                <w:szCs w:val="24"/>
                <w:lang w:val="en-US"/>
              </w:rPr>
              <w:lastRenderedPageBreak/>
              <w:t>2020)</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lastRenderedPageBreak/>
              <w:t>Bacteriophage therapy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-specific phage FNU1)</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Targeted elimination of oral pathobiont</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Reduced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in CRC tumour tissue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Laboratory / animal model (Xi et al., 2024)</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Prebiotic / dietary fibre supplementation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SCFA restoration; Treg induction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Biologically plausible; limited periodontitis-specific data available</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Narrative synthesis (Kuraji et al., 2023)</w:t>
            </w:r>
          </w:p>
        </w:tc>
      </w:tr>
    </w:tbl>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NSPT, non-surgical periodontal therapy; RCT, randomised controlled trial; FMT, faecal microbiota transplantation; SCFA, short-chain fatty acids; CRC, colorectal cancer.</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8. Critical Appraisal of the Evidence Base</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8.1 Strengths and Advances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past decade has witnessed substantial mechanistic and clinical advances in the characterisation of the oral–gut axis. The development of high-resolution long-read 16S rRNA sequencing has enabled strain-level identification of oral bacteria in gut samples, overcoming the taxonomic resolution limitations of conventional short-read platforms that confounded earlier studies (Kageyama et al., 2023). Gnotobiotic and single-pathogen oral gavage murine models have provided rigorous mechanistic insights that were previously unattainable. The translation of these mechanistic discoveries into human clinical studies—most notably the periodontal therapy trials with gut microbiome outcomes—represents meaningful progress towards establishing clinical relevance (Baima et al., 2024). Mendelian randomisation studies have begun to address causality, though their assumptions are constrained by the polygenic architecture of both periodontitis and its comorbidities.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8.2 Methodological Limitations and Evidence Gaps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Despite these advances, the evidence base retains several important limitations. First, the majority of human studies examining the oral–gut axis are cross-sectional, precluding causal attribution: it is not possible to determine from such data whether oral dysbiosis precedes and causes gut dysbiosis, whether gut dysbiosis exacerbates oral disease, or whether both share common upstream determinants such as diet, smoking, or systemic inflammation. Second, there is substantial heterogeneity in the microbiological methodologies employed across studies, including differences in sample type (saliva versus subgingival plaque), sequencing platform (V3–V4 amplicons versus full-length 16S rRNA), bioinformatic pipelines, and reference databases, making direct comparison difficult. Third, most murine models of periodontitis employ ligature-induced or oral gavage paradigms that do not fully replicate the slow, biofilm-mediated progression of human periodontitis, and the relevance of high-dose single-pathogen experiments to the low-dose polymicrobial exposure of natural disease is uncertain.</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Fourth, confounding is a pervasive concern in clinical studies of the oral–gut axis. Patients with severe periodontitis differ systematically from periodontally healthy controls in multiple dimensions relevant to gut microbial composition—including dietary quality, smoking status, </w:t>
      </w:r>
      <w:r w:rsidRPr="00E36190">
        <w:rPr>
          <w:rFonts w:ascii="Times New Roman" w:eastAsia="Times New Roman" w:hAnsi="Times New Roman" w:cs="Times New Roman"/>
          <w:sz w:val="24"/>
          <w:szCs w:val="24"/>
          <w:lang w:val="en-US"/>
        </w:rPr>
        <w:lastRenderedPageBreak/>
        <w:t>body mass index, medication use, and socioeconomic factors—and most existing studies do not comprehensively control for these variables. Fifth, while the oral–gut axis framework is compelling, direct evidence that gut changes mediate the systemic disease consequences of periodontitis (rather than being a parallel consequence of shared risk factors) is limited in humans. Intervention studies with pre-specified gut microbiome and systemic inflammatory endpoints—such as the ongoing trial of periodontal therapy effects on gut microbiome in IBD patients registered at ClinicalTrials.gov (NCT04790825)—are needed to address this gap.</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8.3 Translational Considerations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translation of oral–gut axis research into clinical practice requires resolution of several conceptual and practical challenges. Clinically, the threshold of periodontal disease severity sufficient to produce biologically significant gut dysbiosis has not been established; it is plausible that subclinical or mild periodontitis contributes negligibly to gut ecology, while severe disease with deep, heavily colonised periodontal pockets represents a sufficient source of pathobiont delivery. The duration of periodontal therapy benefit on the gut microbiome has not been characterised over time frames longer than three months (Baima et al., 2024). The clinical applicability of microbiome profiling as a diagnostic or prognostic tool for systemic disease risk stratification in dental practice remains aspirational rather than evidence-based at present. Integration of periodontal care into holistic health management pathways—particularly for patients with IBD, metabolic liver disease, or cardiovascular risk—is conceptually supported by the evidence reviewed but requires formal health-economic analysis.</w:t>
      </w:r>
      <w:r>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bCs/>
          <w:sz w:val="24"/>
          <w:szCs w:val="24"/>
          <w:lang w:val="en-US"/>
        </w:rPr>
        <w:t>Table 4</w:t>
      </w:r>
      <w:r w:rsidRPr="00E36190">
        <w:rPr>
          <w:rFonts w:ascii="Times New Roman" w:eastAsia="Times New Roman" w:hAnsi="Times New Roman" w:cs="Times New Roman"/>
          <w:sz w:val="24"/>
          <w:szCs w:val="24"/>
          <w:lang w:val="en-US"/>
        </w:rPr>
        <w:t xml:space="preserve"> provides a concise overview of the major clinical associations within the oral–gut axis framework, their evidential grade, and key remaining research questions.</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b/>
          <w:bCs/>
          <w:sz w:val="24"/>
          <w:szCs w:val="24"/>
          <w:lang w:val="en-US"/>
        </w:rPr>
        <w:t>Table 4.</w:t>
      </w:r>
      <w:r w:rsidRPr="00E36190">
        <w:rPr>
          <w:rFonts w:ascii="Times New Roman" w:eastAsia="Times New Roman" w:hAnsi="Times New Roman" w:cs="Times New Roman"/>
          <w:sz w:val="24"/>
          <w:szCs w:val="24"/>
          <w:lang w:val="en-US"/>
        </w:rPr>
        <w:t xml:space="preserve"> Summary of oral–gut axis associations: evidence grade and key remaining research gaps.</w:t>
      </w:r>
    </w:p>
    <w:tbl>
      <w:tblPr>
        <w:tblStyle w:val="TableGrid"/>
        <w:tblW w:w="0" w:type="auto"/>
        <w:tblLook w:val="04A0" w:firstRow="1" w:lastRow="0" w:firstColumn="1" w:lastColumn="0" w:noHBand="0" w:noVBand="1"/>
      </w:tblPr>
      <w:tblGrid>
        <w:gridCol w:w="2713"/>
        <w:gridCol w:w="2967"/>
        <w:gridCol w:w="3562"/>
      </w:tblGrid>
      <w:tr w:rsidR="00E36190" w:rsidRPr="00E36190" w:rsidTr="00E36190">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Association</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Evidence Grade*</w:t>
            </w:r>
          </w:p>
        </w:tc>
        <w:tc>
          <w:tcPr>
            <w:tcW w:w="0" w:type="auto"/>
            <w:hideMark/>
          </w:tcPr>
          <w:p w:rsidR="00E36190" w:rsidRPr="00E36190" w:rsidRDefault="00E36190" w:rsidP="00E36190">
            <w:pPr>
              <w:jc w:val="center"/>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Key Remaining Question</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Periodontitis → gut dysbiosis (direct translocation)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(strong in animals; moderate in humans)</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Dose–response relationship; clinically relevant threshold of disease severity</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Periodontitis → IBD exacerbation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(bidirectional; epidemiological + mechanistic)</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Does periodontal treatment reduce IBD activity in RCTs?</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 CRC promotion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(genomic; mechanistic animal data)</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Prospective CRC incidence trials by periodontal disease severity</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Periodontitis → MASLD</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Moderate (animal; cross-sectional human data)</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Longitudinal studies with histological MASLD endpoints</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Periodontal therapy → gut microbiome improvement</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Preliminary (single clinical study)</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Reproducibility; durability; multi-centre RCTs</w:t>
            </w:r>
          </w:p>
        </w:tc>
      </w:tr>
      <w:tr w:rsidR="00E36190" w:rsidRPr="00E36190" w:rsidTr="00E36190">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Gut dysbiosis → periodontitis exacerbation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Preliminary (animal models; Mendelian randomisation)</w:t>
            </w:r>
          </w:p>
        </w:tc>
        <w:tc>
          <w:tcPr>
            <w:tcW w:w="0" w:type="auto"/>
            <w:hideMark/>
          </w:tcPr>
          <w:p w:rsidR="00E36190" w:rsidRPr="00E36190" w:rsidRDefault="00E36190" w:rsidP="00E36190">
            <w:pPr>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Human interventional data on gut modulation and periodontal outcomes</w:t>
            </w:r>
          </w:p>
        </w:tc>
      </w:tr>
    </w:tbl>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w:t>
      </w:r>
      <w:r w:rsidRPr="00E36190">
        <w:rPr>
          <w:rFonts w:ascii="Times New Roman" w:eastAsia="Times New Roman" w:hAnsi="Times New Roman" w:cs="Times New Roman"/>
          <w:i/>
          <w:iCs/>
          <w:sz w:val="24"/>
          <w:szCs w:val="24"/>
          <w:lang w:val="en-US"/>
        </w:rPr>
        <w:t>Grade assignment based on study design (RCT &gt; cohort &gt; cross-sectional &gt; animal &gt; in vitro), consistency across studies, and biological plausibility.</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 xml:space="preserve">RCT, randomised controlled </w:t>
      </w:r>
      <w:r w:rsidRPr="00E36190">
        <w:rPr>
          <w:rFonts w:ascii="Times New Roman" w:eastAsia="Times New Roman" w:hAnsi="Times New Roman" w:cs="Times New Roman"/>
          <w:i/>
          <w:iCs/>
          <w:sz w:val="24"/>
          <w:szCs w:val="24"/>
          <w:lang w:val="en-US"/>
        </w:rPr>
        <w:lastRenderedPageBreak/>
        <w:t>trial; IBD, inflammatory bowel disease; CRC, colorectal cancer; MASLD, metabolic-associated steatotic liver disease.</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9. Future Directions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9.1 Multi-Omics Integration</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integration of metagenomics, metatranscriptomics, metabolomics, and proteomics across oral and gut compartments in the same individuals represents the most promising near-term advance for mechanistic characterisation of the oral–gut axis. Multi-omics approaches can identify not merely which bacterial taxa are present at each anatomical site, but what metabolic functions they are actively performing, which host responses they are eliciting, and how therapeutic interventions modulate these functional signatures. A recent multi-omics study by Baima et al. (2025) in the </w:t>
      </w:r>
      <w:r w:rsidRPr="00E36190">
        <w:rPr>
          <w:rFonts w:ascii="Times New Roman" w:eastAsia="Times New Roman" w:hAnsi="Times New Roman" w:cs="Times New Roman"/>
          <w:i/>
          <w:iCs/>
          <w:sz w:val="24"/>
          <w:szCs w:val="24"/>
          <w:lang w:val="en-US"/>
        </w:rPr>
        <w:t>Journal of Periodontal Research</w:t>
      </w:r>
      <w:r w:rsidRPr="00E36190">
        <w:rPr>
          <w:rFonts w:ascii="Times New Roman" w:eastAsia="Times New Roman" w:hAnsi="Times New Roman" w:cs="Times New Roman"/>
          <w:sz w:val="24"/>
          <w:szCs w:val="24"/>
          <w:lang w:val="en-US"/>
        </w:rPr>
        <w:t xml:space="preserve"> applied shotgun metagenomics and NMR metabolomics to reveal coordinated microbial and metabolic signatures of periodontitis across the oral–gut axis, demonstrating that periodontal therapy induces concomitant shifts in both microbial composition and metabolic output in both the oral and faecal compartments. This represents an important methodological advance over prior single-omics designs.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9.2 Longitudinal Cohort Studies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Longitudinal human cohort studies with repeated oral and gut microbiome sampling, detailed clinical periodontal phenotyping by the 2018 staging and grading system, and pre-specified systemic disease outcomes are urgently needed to establish temporality—an essential criterion for causal inference. Ideally, such studies would follow participants from periodontal health through gingivitis and early periodontitis to advanced disease, capturing dynamic changes in gut ecology at each stage and correlating these with systemic inflammatory and metabolic markers.</w:t>
      </w:r>
    </w:p>
    <w:p w:rsidR="00E36190" w:rsidRPr="00E36190" w:rsidRDefault="00E36190" w:rsidP="00E36190">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36190">
        <w:rPr>
          <w:rFonts w:ascii="Times New Roman" w:eastAsia="Times New Roman" w:hAnsi="Times New Roman" w:cs="Times New Roman"/>
          <w:b/>
          <w:bCs/>
          <w:sz w:val="24"/>
          <w:szCs w:val="24"/>
          <w:lang w:val="en-US"/>
        </w:rPr>
        <w:t>9.3 Precision Medicine Approaches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identification by de Oliveira et al. (2022) of distinct baseline oral–gut microbial profiles that predict differential response to periodontal therapy supports the concept of microbiome-guided treatment stratification. Precision periodontal medicine may eventually incorporate metagenomic profiling of the oral and gut microbiome to identify patients at elevated systemic risk from their periodontal disease, to guide adjunctive microbiome-modulating interventions, and to monitor therapeutic effectiveness. Biomarker discovery studies focused on faecal and salivary metabolites as proxies for oral–gut axis activation would complement clinical microbiome profiling.</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10. Conclusions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 xml:space="preserve">The oral–gut microbial translocation axis in periodontitis represents a scientifically compelling and increasingly well-characterised biological mechanism through which chronic oral dysbiosis propagates pathological signals to the intestinal environment and beyond. The </w:t>
      </w:r>
      <w:r w:rsidRPr="00E36190">
        <w:rPr>
          <w:rFonts w:ascii="Times New Roman" w:eastAsia="Times New Roman" w:hAnsi="Times New Roman" w:cs="Times New Roman"/>
          <w:sz w:val="24"/>
          <w:szCs w:val="24"/>
          <w:lang w:val="en-US"/>
        </w:rPr>
        <w:lastRenderedPageBreak/>
        <w:t xml:space="preserve">evidence reviewed herein supports a coherent mechanistic narrative: periodontal pathogens—principally </w:t>
      </w:r>
      <w:r w:rsidRPr="00E36190">
        <w:rPr>
          <w:rFonts w:ascii="Times New Roman" w:eastAsia="Times New Roman" w:hAnsi="Times New Roman" w:cs="Times New Roman"/>
          <w:i/>
          <w:iCs/>
          <w:sz w:val="24"/>
          <w:szCs w:val="24"/>
          <w:lang w:val="en-US"/>
        </w:rPr>
        <w:t>P. gingivalis</w:t>
      </w:r>
      <w:r w:rsidRPr="00E36190">
        <w:rPr>
          <w:rFonts w:ascii="Times New Roman" w:eastAsia="Times New Roman" w:hAnsi="Times New Roman" w:cs="Times New Roman"/>
          <w:sz w:val="24"/>
          <w:szCs w:val="24"/>
          <w:lang w:val="en-US"/>
        </w:rPr>
        <w:t xml:space="preserve">, </w:t>
      </w:r>
      <w:r w:rsidRPr="00E36190">
        <w:rPr>
          <w:rFonts w:ascii="Times New Roman" w:eastAsia="Times New Roman" w:hAnsi="Times New Roman" w:cs="Times New Roman"/>
          <w:i/>
          <w:iCs/>
          <w:sz w:val="24"/>
          <w:szCs w:val="24"/>
          <w:lang w:val="en-US"/>
        </w:rPr>
        <w:t>F. nucleatum</w:t>
      </w:r>
      <w:r w:rsidRPr="00E36190">
        <w:rPr>
          <w:rFonts w:ascii="Times New Roman" w:eastAsia="Times New Roman" w:hAnsi="Times New Roman" w:cs="Times New Roman"/>
          <w:sz w:val="24"/>
          <w:szCs w:val="24"/>
          <w:lang w:val="en-US"/>
        </w:rPr>
        <w:t xml:space="preserve">, and oral-origin </w:t>
      </w:r>
      <w:r w:rsidRPr="00E36190">
        <w:rPr>
          <w:rFonts w:ascii="Times New Roman" w:eastAsia="Times New Roman" w:hAnsi="Times New Roman" w:cs="Times New Roman"/>
          <w:i/>
          <w:iCs/>
          <w:sz w:val="24"/>
          <w:szCs w:val="24"/>
          <w:lang w:val="en-US"/>
        </w:rPr>
        <w:t>Klebsiella</w:t>
      </w:r>
      <w:r w:rsidRPr="00E36190">
        <w:rPr>
          <w:rFonts w:ascii="Times New Roman" w:eastAsia="Times New Roman" w:hAnsi="Times New Roman" w:cs="Times New Roman"/>
          <w:sz w:val="24"/>
          <w:szCs w:val="24"/>
          <w:lang w:val="en-US"/>
        </w:rPr>
        <w:t xml:space="preserve"> spp.—survive gastric passage, disrupt intestinal colonisation resistance, degrade tight junction integrity, activate innate immune receptors, and generate gut-tropic adaptive immune responses that amplify systemic inflammation. These processes are not mere laboratory curiosities; they are supported by clinical evidence demonstrating that gut microbial composition differs measurably between periodontitis patients and healthy controls, that the burden of oral pathobionts in faecal samples correlates with periodontal severity, and that successful periodontal therapy produces downstream alterations in gut ecology.</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systemic implications of this axis are substantial. Associations between periodontitis and IBD, colorectal cancer, MASLD, and cardiovascular disease each have mechanistic pathways that can be at least partially attributed to oral-to-gut microbial translocation. However, the weight of evidence varies across these associations, and causal attribution in humans remains constrained by the predominance of cross-sectional and animal study designs. The field is at an inflection point: mechanistic understanding has matured sufficiently to inform well-designed interventional human studies, the results of which will determine whether the oral–gut axis concept can be translated from bench to bedside. The integration of periodontal care into holistic disease management—particularly for patients with concurrent IBD, liver disease, or cardiometabolic risk—is a logical extension of this science, even as its clinical evidence base continues to develop.</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t>11. Limitations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This review carries several inherent limitations that should be acknowledged. As a narrative review, it does not apply the formal methodological standards of a systematic review, including predefined PICO-formatted research questions, GRADE evidence appraisal, or quantitative meta-analysis. The selection of studies, while guided by explicit inclusion and exclusion criteria, involved elements of judgement that could introduce bias towards influential or well-cited work. The search strategy, while broad, may not have captured all relevant studies, particularly recent publications that had not yet been indexed at the time of the search.</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A substantial proportion of the mechanistic evidence base derives from murine or gnotobiotic models that may not faithfully replicate the microbial ecology, immunological context, or disease progression characteristics of human periodontitis. Single-pathogen oral gavage experiments in particular may overestimate the impact of individual species relative to their contribution within the polymicrobial biofilm of the periodontal pocket. Human clinical studies in this field are predominantly cross-sectional, are frequently conducted in small cohorts, and often lack comprehensive control for dietary, pharmacological, and lifestyle confounders.</w:t>
      </w:r>
    </w:p>
    <w:p w:rsidR="00E36190" w:rsidRPr="00E36190" w:rsidRDefault="00E36190" w:rsidP="00E36190">
      <w:pPr>
        <w:spacing w:before="100" w:beforeAutospacing="1" w:after="100" w:afterAutospacing="1" w:line="240" w:lineRule="auto"/>
        <w:rPr>
          <w:rFonts w:ascii="Times New Roman" w:eastAsia="Times New Roman" w:hAnsi="Times New Roman" w:cs="Times New Roman"/>
          <w:sz w:val="24"/>
          <w:szCs w:val="24"/>
          <w:lang w:val="en-US"/>
        </w:rPr>
      </w:pPr>
      <w:r w:rsidRPr="00E36190">
        <w:rPr>
          <w:rFonts w:ascii="Times New Roman" w:eastAsia="Times New Roman" w:hAnsi="Times New Roman" w:cs="Times New Roman"/>
          <w:sz w:val="24"/>
          <w:szCs w:val="24"/>
          <w:lang w:val="en-US"/>
        </w:rPr>
        <w:t>The review does not address the potential contributions of oral fungi, viruses, or archaea to the oral–gut axis, nor does it consider the modulating influence of host genetic factors, age, sex, or ethnicity on translocation dynamics. These are important dimensions for future investigation that lie beyond the scope of the present work.</w:t>
      </w:r>
    </w:p>
    <w:p w:rsidR="00E36190" w:rsidRPr="00E36190" w:rsidRDefault="00E36190" w:rsidP="00E36190">
      <w:pPr>
        <w:spacing w:after="0" w:line="240" w:lineRule="auto"/>
        <w:rPr>
          <w:rFonts w:ascii="Times New Roman" w:eastAsia="Times New Roman" w:hAnsi="Times New Roman" w:cs="Times New Roman"/>
          <w:sz w:val="24"/>
          <w:szCs w:val="24"/>
          <w:lang w:val="en-US"/>
        </w:rPr>
      </w:pPr>
    </w:p>
    <w:p w:rsidR="00E36190" w:rsidRPr="00E36190" w:rsidRDefault="00E36190" w:rsidP="00E3619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36190">
        <w:rPr>
          <w:rFonts w:ascii="Times New Roman" w:eastAsia="Times New Roman" w:hAnsi="Times New Roman" w:cs="Times New Roman"/>
          <w:b/>
          <w:bCs/>
          <w:sz w:val="27"/>
          <w:szCs w:val="27"/>
          <w:lang w:val="en-US"/>
        </w:rPr>
        <w:lastRenderedPageBreak/>
        <w:t>References</w:t>
      </w:r>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Atarashi, K., Suda, W., Luo, C., Kawaguchi, T., Motoo, I., Narushima, S., Kiguchi, Y., Yasuma, K., Watanabe, E., Tanoue, T., Thaiss, C. A., Sato, M., Toyooka, K., Said, H. S., Yamagami, H., Rice, S. A., Gevers, D., Johnson, R. C., Segre, J. A., ... Honda, K. (2017). Ectopic colonization of oral bacteria in the intestine drives TH1 cell induction and inflammation. </w:t>
      </w:r>
      <w:r w:rsidRPr="00794EDF">
        <w:rPr>
          <w:rFonts w:ascii="Times New Roman" w:eastAsia="Times New Roman" w:hAnsi="Times New Roman" w:cs="Times New Roman"/>
          <w:i/>
          <w:iCs/>
          <w:sz w:val="24"/>
          <w:szCs w:val="24"/>
          <w:lang w:val="en-US"/>
        </w:rPr>
        <w:t>Science, 358</w:t>
      </w:r>
      <w:r w:rsidRPr="00794EDF">
        <w:rPr>
          <w:rFonts w:ascii="Times New Roman" w:eastAsia="Times New Roman" w:hAnsi="Times New Roman" w:cs="Times New Roman"/>
          <w:sz w:val="24"/>
          <w:szCs w:val="24"/>
          <w:lang w:val="en-US"/>
        </w:rPr>
        <w:t xml:space="preserve">(6361), 359–365. </w:t>
      </w:r>
      <w:hyperlink r:id="rId7" w:tgtFrame="_new" w:history="1">
        <w:r w:rsidRPr="00794EDF">
          <w:rPr>
            <w:rFonts w:ascii="Times New Roman" w:eastAsia="Times New Roman" w:hAnsi="Times New Roman" w:cs="Times New Roman"/>
            <w:color w:val="0000FF"/>
            <w:sz w:val="24"/>
            <w:szCs w:val="24"/>
            <w:u w:val="single"/>
            <w:lang w:val="en-US"/>
          </w:rPr>
          <w:t>https://doi.org/10.1126/science.aan4526</w:t>
        </w:r>
      </w:hyperlink>
    </w:p>
    <w:p w:rsid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Baima, G., Dabdoub, S., Thumbigere-Math, V., Ribaldone, D. G., Caviglia, G. P., Tenori, L., Fantato, L., Vignoli, A., Romandini, M., Ferrocino, I., &amp; Aimetti, M. (2025). Multi-omics signatures of periodontitis and periodontal therapy on the oral and gut microbiome. </w:t>
      </w:r>
      <w:r w:rsidRPr="00794EDF">
        <w:rPr>
          <w:rFonts w:ascii="Times New Roman" w:eastAsia="Times New Roman" w:hAnsi="Times New Roman" w:cs="Times New Roman"/>
          <w:i/>
          <w:iCs/>
          <w:sz w:val="24"/>
          <w:szCs w:val="24"/>
          <w:lang w:val="en-US"/>
        </w:rPr>
        <w:t>Journal of Periodontal Research, 60</w:t>
      </w:r>
      <w:r w:rsidRPr="00794EDF">
        <w:rPr>
          <w:rFonts w:ascii="Times New Roman" w:eastAsia="Times New Roman" w:hAnsi="Times New Roman" w:cs="Times New Roman"/>
          <w:sz w:val="24"/>
          <w:szCs w:val="24"/>
          <w:lang w:val="en-US"/>
        </w:rPr>
        <w:t xml:space="preserve">(12), 1237–1253. </w:t>
      </w:r>
      <w:hyperlink r:id="rId8" w:tgtFrame="_new" w:history="1">
        <w:r w:rsidRPr="00794EDF">
          <w:rPr>
            <w:rFonts w:ascii="Times New Roman" w:eastAsia="Times New Roman" w:hAnsi="Times New Roman" w:cs="Times New Roman"/>
            <w:color w:val="0000FF"/>
            <w:sz w:val="24"/>
            <w:szCs w:val="24"/>
            <w:u w:val="single"/>
            <w:lang w:val="en-US"/>
          </w:rPr>
          <w:t>https://doi.org/10.1111/jre.70055</w:t>
        </w:r>
      </w:hyperlink>
      <w:r w:rsidRPr="00794EDF">
        <w:rPr>
          <w:rFonts w:ascii="Times New Roman" w:eastAsia="Times New Roman" w:hAnsi="Times New Roman" w:cs="Times New Roman"/>
          <w:sz w:val="24"/>
          <w:szCs w:val="24"/>
          <w:lang w:val="en-US"/>
        </w:rPr>
        <w:t xml:space="preserve"> </w:t>
      </w:r>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Baima, G., Ferrocino, I., Del Lupo, V., Colonna, E., Thumbigere-Math, V., Caviglia, G. P., Franciosa, I., Mariani, G. M., Romandini, M., Ribaldone, D. G., Romano, F., &amp; Aimetti, M. (2024). Effect of periodontitis and periodontal therapy on oral and gut microbiota. </w:t>
      </w:r>
      <w:r w:rsidRPr="00794EDF">
        <w:rPr>
          <w:rFonts w:ascii="Times New Roman" w:eastAsia="Times New Roman" w:hAnsi="Times New Roman" w:cs="Times New Roman"/>
          <w:i/>
          <w:iCs/>
          <w:sz w:val="24"/>
          <w:szCs w:val="24"/>
          <w:lang w:val="en-US"/>
        </w:rPr>
        <w:t>Journal of Dental Research, 103</w:t>
      </w:r>
      <w:r w:rsidRPr="00794EDF">
        <w:rPr>
          <w:rFonts w:ascii="Times New Roman" w:eastAsia="Times New Roman" w:hAnsi="Times New Roman" w:cs="Times New Roman"/>
          <w:sz w:val="24"/>
          <w:szCs w:val="24"/>
          <w:lang w:val="en-US"/>
        </w:rPr>
        <w:t xml:space="preserve">(4), 359–368. </w:t>
      </w:r>
      <w:hyperlink r:id="rId9" w:tgtFrame="_new" w:history="1">
        <w:r w:rsidRPr="00794EDF">
          <w:rPr>
            <w:rFonts w:ascii="Times New Roman" w:eastAsia="Times New Roman" w:hAnsi="Times New Roman" w:cs="Times New Roman"/>
            <w:color w:val="0000FF"/>
            <w:sz w:val="24"/>
            <w:szCs w:val="24"/>
            <w:u w:val="single"/>
            <w:lang w:val="en-US"/>
          </w:rPr>
          <w:t>https://doi.org/10.1177/00220345231222800</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Baima, G., Ribaldone, D. G., Romano, F., Aimetti, M., &amp; Romandini, M. (2023). The gum–gut axis: Periodontitis and the risk of gastrointestinal cancers. </w:t>
      </w:r>
      <w:r w:rsidRPr="00794EDF">
        <w:rPr>
          <w:rFonts w:ascii="Times New Roman" w:eastAsia="Times New Roman" w:hAnsi="Times New Roman" w:cs="Times New Roman"/>
          <w:i/>
          <w:iCs/>
          <w:sz w:val="24"/>
          <w:szCs w:val="24"/>
          <w:lang w:val="en-US"/>
        </w:rPr>
        <w:t>Cancers, 15</w:t>
      </w:r>
      <w:r w:rsidRPr="00794EDF">
        <w:rPr>
          <w:rFonts w:ascii="Times New Roman" w:eastAsia="Times New Roman" w:hAnsi="Times New Roman" w:cs="Times New Roman"/>
          <w:sz w:val="24"/>
          <w:szCs w:val="24"/>
          <w:lang w:val="en-US"/>
        </w:rPr>
        <w:t xml:space="preserve">(18), 4594. </w:t>
      </w:r>
      <w:hyperlink r:id="rId10" w:tgtFrame="_new" w:history="1">
        <w:r w:rsidRPr="00794EDF">
          <w:rPr>
            <w:rFonts w:ascii="Times New Roman" w:eastAsia="Times New Roman" w:hAnsi="Times New Roman" w:cs="Times New Roman"/>
            <w:color w:val="0000FF"/>
            <w:sz w:val="24"/>
            <w:szCs w:val="24"/>
            <w:u w:val="single"/>
            <w:lang w:val="en-US"/>
          </w:rPr>
          <w:t>https://doi.org/10.3390/cancers15184594</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Buetas, E., Jordán-López, M., López-Roldán, A., Mira, A., &amp; Carda-Diéguez, M. (2024). Impact of periodontitis on the leakage of oral bacteria to the gut. </w:t>
      </w:r>
      <w:r w:rsidRPr="00794EDF">
        <w:rPr>
          <w:rFonts w:ascii="Times New Roman" w:eastAsia="Times New Roman" w:hAnsi="Times New Roman" w:cs="Times New Roman"/>
          <w:i/>
          <w:iCs/>
          <w:sz w:val="24"/>
          <w:szCs w:val="24"/>
          <w:lang w:val="en-US"/>
        </w:rPr>
        <w:t>Journal of Dental Research, 103</w:t>
      </w:r>
      <w:r w:rsidRPr="00794EDF">
        <w:rPr>
          <w:rFonts w:ascii="Times New Roman" w:eastAsia="Times New Roman" w:hAnsi="Times New Roman" w:cs="Times New Roman"/>
          <w:sz w:val="24"/>
          <w:szCs w:val="24"/>
          <w:lang w:val="en-US"/>
        </w:rPr>
        <w:t xml:space="preserve">(3), 289–297. </w:t>
      </w:r>
      <w:hyperlink r:id="rId11" w:tgtFrame="_new" w:history="1">
        <w:r w:rsidRPr="00794EDF">
          <w:rPr>
            <w:rFonts w:ascii="Times New Roman" w:eastAsia="Times New Roman" w:hAnsi="Times New Roman" w:cs="Times New Roman"/>
            <w:color w:val="0000FF"/>
            <w:sz w:val="24"/>
            <w:szCs w:val="24"/>
            <w:u w:val="single"/>
            <w:lang w:val="en-US"/>
          </w:rPr>
          <w:t>https://doi.org/10.1177/00220345231221709</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Byrd, K. M., &amp; Gulati, A. S. (2021). The “gum–gut” axis in inflammatory bowel diseases: A hypothesis-driven review of associations and advances. </w:t>
      </w:r>
      <w:r w:rsidRPr="00794EDF">
        <w:rPr>
          <w:rFonts w:ascii="Times New Roman" w:eastAsia="Times New Roman" w:hAnsi="Times New Roman" w:cs="Times New Roman"/>
          <w:i/>
          <w:iCs/>
          <w:sz w:val="24"/>
          <w:szCs w:val="24"/>
          <w:lang w:val="en-US"/>
        </w:rPr>
        <w:t>Frontiers in Immunology, 12</w:t>
      </w:r>
      <w:r w:rsidRPr="00794EDF">
        <w:rPr>
          <w:rFonts w:ascii="Times New Roman" w:eastAsia="Times New Roman" w:hAnsi="Times New Roman" w:cs="Times New Roman"/>
          <w:sz w:val="24"/>
          <w:szCs w:val="24"/>
          <w:lang w:val="en-US"/>
        </w:rPr>
        <w:t xml:space="preserve">, 620124. </w:t>
      </w:r>
      <w:hyperlink r:id="rId12" w:tgtFrame="_new" w:history="1">
        <w:r w:rsidRPr="00794EDF">
          <w:rPr>
            <w:rFonts w:ascii="Times New Roman" w:eastAsia="Times New Roman" w:hAnsi="Times New Roman" w:cs="Times New Roman"/>
            <w:color w:val="0000FF"/>
            <w:sz w:val="24"/>
            <w:szCs w:val="24"/>
            <w:u w:val="single"/>
            <w:lang w:val="en-US"/>
          </w:rPr>
          <w:t>https://doi.org/10.3389/fimmu.2021.620124</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de Oliveira, A. M., Lourenço, T. G. B., &amp; Colombo, A. P. V. (2022). Impact of systemic probiotics as adjuncts to subgingival instrumentation on the oral-gut microbiota associated with periodontitis: A randomized controlled clinical trial. </w:t>
      </w:r>
      <w:r w:rsidRPr="00794EDF">
        <w:rPr>
          <w:rFonts w:ascii="Times New Roman" w:eastAsia="Times New Roman" w:hAnsi="Times New Roman" w:cs="Times New Roman"/>
          <w:i/>
          <w:iCs/>
          <w:sz w:val="24"/>
          <w:szCs w:val="24"/>
          <w:lang w:val="en-US"/>
        </w:rPr>
        <w:t>Journal of Periodontology, 93</w:t>
      </w:r>
      <w:r w:rsidRPr="00794EDF">
        <w:rPr>
          <w:rFonts w:ascii="Times New Roman" w:eastAsia="Times New Roman" w:hAnsi="Times New Roman" w:cs="Times New Roman"/>
          <w:sz w:val="24"/>
          <w:szCs w:val="24"/>
          <w:lang w:val="en-US"/>
        </w:rPr>
        <w:t xml:space="preserve">(1), 31–44. </w:t>
      </w:r>
      <w:hyperlink r:id="rId13" w:tgtFrame="_new" w:history="1">
        <w:r w:rsidRPr="00794EDF">
          <w:rPr>
            <w:rFonts w:ascii="Times New Roman" w:eastAsia="Times New Roman" w:hAnsi="Times New Roman" w:cs="Times New Roman"/>
            <w:color w:val="0000FF"/>
            <w:sz w:val="24"/>
            <w:szCs w:val="24"/>
            <w:u w:val="single"/>
            <w:lang w:val="en-US"/>
          </w:rPr>
          <w:t>https://doi.org/10.1002/JPER.21-0078</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Eke, P. I., Dye, B. A., Wei, L., Slade, G. D., Thornton-Evans, G. O., Borgnakke, W. S., Taylor, G. W., Page, R. C., Beck, J. D., &amp; Genco, R. J. (2015). Update on prevalence of periodontitis in adults in the United States: NHANES 2009 to 2012. </w:t>
      </w:r>
      <w:r w:rsidRPr="00794EDF">
        <w:rPr>
          <w:rFonts w:ascii="Times New Roman" w:eastAsia="Times New Roman" w:hAnsi="Times New Roman" w:cs="Times New Roman"/>
          <w:i/>
          <w:iCs/>
          <w:sz w:val="24"/>
          <w:szCs w:val="24"/>
          <w:lang w:val="en-US"/>
        </w:rPr>
        <w:t>Journal of Periodontology, 86</w:t>
      </w:r>
      <w:r w:rsidRPr="00794EDF">
        <w:rPr>
          <w:rFonts w:ascii="Times New Roman" w:eastAsia="Times New Roman" w:hAnsi="Times New Roman" w:cs="Times New Roman"/>
          <w:sz w:val="24"/>
          <w:szCs w:val="24"/>
          <w:lang w:val="en-US"/>
        </w:rPr>
        <w:t xml:space="preserve">(5), 611–622. </w:t>
      </w:r>
      <w:hyperlink r:id="rId14" w:tgtFrame="_new" w:history="1">
        <w:r w:rsidRPr="00794EDF">
          <w:rPr>
            <w:rFonts w:ascii="Times New Roman" w:eastAsia="Times New Roman" w:hAnsi="Times New Roman" w:cs="Times New Roman"/>
            <w:color w:val="0000FF"/>
            <w:sz w:val="24"/>
            <w:szCs w:val="24"/>
            <w:u w:val="single"/>
            <w:lang w:val="en-US"/>
          </w:rPr>
          <w:t>https://doi.org/10.1902/jop.2015.140520</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Hajishengallis, G. (2015). Periodontitis: From microbial immune subversion to systemic inflammation. </w:t>
      </w:r>
      <w:r w:rsidRPr="00794EDF">
        <w:rPr>
          <w:rFonts w:ascii="Times New Roman" w:eastAsia="Times New Roman" w:hAnsi="Times New Roman" w:cs="Times New Roman"/>
          <w:i/>
          <w:iCs/>
          <w:sz w:val="24"/>
          <w:szCs w:val="24"/>
          <w:lang w:val="en-US"/>
        </w:rPr>
        <w:t>Nature Reviews Immunology, 15</w:t>
      </w:r>
      <w:r w:rsidRPr="00794EDF">
        <w:rPr>
          <w:rFonts w:ascii="Times New Roman" w:eastAsia="Times New Roman" w:hAnsi="Times New Roman" w:cs="Times New Roman"/>
          <w:sz w:val="24"/>
          <w:szCs w:val="24"/>
          <w:lang w:val="en-US"/>
        </w:rPr>
        <w:t xml:space="preserve">(1), 30–44. </w:t>
      </w:r>
      <w:hyperlink r:id="rId15" w:tgtFrame="_new" w:history="1">
        <w:r w:rsidRPr="00794EDF">
          <w:rPr>
            <w:rFonts w:ascii="Times New Roman" w:eastAsia="Times New Roman" w:hAnsi="Times New Roman" w:cs="Times New Roman"/>
            <w:color w:val="0000FF"/>
            <w:sz w:val="24"/>
            <w:szCs w:val="24"/>
            <w:u w:val="single"/>
            <w:lang w:val="en-US"/>
          </w:rPr>
          <w:t>https://doi.org/10.1038/nri3785</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Hajishengallis, G., &amp; Chavakis, T. (2021). Local and systemic mechanisms linking periodontal disease and inflammatory comorbidities. </w:t>
      </w:r>
      <w:r w:rsidRPr="00794EDF">
        <w:rPr>
          <w:rFonts w:ascii="Times New Roman" w:eastAsia="Times New Roman" w:hAnsi="Times New Roman" w:cs="Times New Roman"/>
          <w:i/>
          <w:iCs/>
          <w:sz w:val="24"/>
          <w:szCs w:val="24"/>
          <w:lang w:val="en-US"/>
        </w:rPr>
        <w:t>Nature Reviews Immunology, 21</w:t>
      </w:r>
      <w:r w:rsidRPr="00794EDF">
        <w:rPr>
          <w:rFonts w:ascii="Times New Roman" w:eastAsia="Times New Roman" w:hAnsi="Times New Roman" w:cs="Times New Roman"/>
          <w:sz w:val="24"/>
          <w:szCs w:val="24"/>
          <w:lang w:val="en-US"/>
        </w:rPr>
        <w:t xml:space="preserve">(7), 426–440. </w:t>
      </w:r>
      <w:hyperlink r:id="rId16" w:tgtFrame="_new" w:history="1">
        <w:r w:rsidRPr="00794EDF">
          <w:rPr>
            <w:rFonts w:ascii="Times New Roman" w:eastAsia="Times New Roman" w:hAnsi="Times New Roman" w:cs="Times New Roman"/>
            <w:color w:val="0000FF"/>
            <w:sz w:val="24"/>
            <w:szCs w:val="24"/>
            <w:u w:val="single"/>
            <w:lang w:val="en-US"/>
          </w:rPr>
          <w:t>https://doi.org/10.1038/s41577-020-00488-6</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Huang, X., Li, Y., Zhang, J., &amp; Feng, Q. (2024). Linking periodontitis with inflammatory bowel disease through the oral–gut axis: The potential role of </w:t>
      </w:r>
      <w:r w:rsidRPr="00794EDF">
        <w:rPr>
          <w:rFonts w:ascii="Times New Roman" w:eastAsia="Times New Roman" w:hAnsi="Times New Roman" w:cs="Times New Roman"/>
          <w:i/>
          <w:iCs/>
          <w:sz w:val="24"/>
          <w:szCs w:val="24"/>
          <w:lang w:val="en-US"/>
        </w:rPr>
        <w:t>Porphyromonas gingivalis</w:t>
      </w:r>
      <w:r w:rsidRPr="00794EDF">
        <w:rPr>
          <w:rFonts w:ascii="Times New Roman" w:eastAsia="Times New Roman" w:hAnsi="Times New Roman" w:cs="Times New Roman"/>
          <w:sz w:val="24"/>
          <w:szCs w:val="24"/>
          <w:lang w:val="en-US"/>
        </w:rPr>
        <w:t xml:space="preserve">. </w:t>
      </w:r>
      <w:r w:rsidRPr="00794EDF">
        <w:rPr>
          <w:rFonts w:ascii="Times New Roman" w:eastAsia="Times New Roman" w:hAnsi="Times New Roman" w:cs="Times New Roman"/>
          <w:i/>
          <w:iCs/>
          <w:sz w:val="24"/>
          <w:szCs w:val="24"/>
          <w:lang w:val="en-US"/>
        </w:rPr>
        <w:t>Biomedicines, 12</w:t>
      </w:r>
      <w:r w:rsidRPr="00794EDF">
        <w:rPr>
          <w:rFonts w:ascii="Times New Roman" w:eastAsia="Times New Roman" w:hAnsi="Times New Roman" w:cs="Times New Roman"/>
          <w:sz w:val="24"/>
          <w:szCs w:val="24"/>
          <w:lang w:val="en-US"/>
        </w:rPr>
        <w:t xml:space="preserve">(3), 685. </w:t>
      </w:r>
      <w:hyperlink r:id="rId17" w:tgtFrame="_new" w:history="1">
        <w:r w:rsidRPr="00794EDF">
          <w:rPr>
            <w:rFonts w:ascii="Times New Roman" w:eastAsia="Times New Roman" w:hAnsi="Times New Roman" w:cs="Times New Roman"/>
            <w:color w:val="0000FF"/>
            <w:sz w:val="24"/>
            <w:szCs w:val="24"/>
            <w:u w:val="single"/>
            <w:lang w:val="en-US"/>
          </w:rPr>
          <w:t>https://doi.org/10.3390/biomedicines12030685</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lastRenderedPageBreak/>
        <w:t xml:space="preserve">Kageyama, S., Sakata, S., Ma, J., Asakawa, M., Takeshita, T., Furuta, M., Ninomiya, T., &amp; Yamashita, Y. (2023). High-resolution detection of translocation of oral bacteria to the gut. </w:t>
      </w:r>
      <w:r w:rsidRPr="00794EDF">
        <w:rPr>
          <w:rFonts w:ascii="Times New Roman" w:eastAsia="Times New Roman" w:hAnsi="Times New Roman" w:cs="Times New Roman"/>
          <w:i/>
          <w:iCs/>
          <w:sz w:val="24"/>
          <w:szCs w:val="24"/>
          <w:lang w:val="en-US"/>
        </w:rPr>
        <w:t>Journal of Dental Research, 102</w:t>
      </w:r>
      <w:r w:rsidRPr="00794EDF">
        <w:rPr>
          <w:rFonts w:ascii="Times New Roman" w:eastAsia="Times New Roman" w:hAnsi="Times New Roman" w:cs="Times New Roman"/>
          <w:sz w:val="24"/>
          <w:szCs w:val="24"/>
          <w:lang w:val="en-US"/>
        </w:rPr>
        <w:t xml:space="preserve">(7), 752–758. </w:t>
      </w:r>
      <w:hyperlink r:id="rId18" w:tgtFrame="_new" w:history="1">
        <w:r w:rsidRPr="00794EDF">
          <w:rPr>
            <w:rFonts w:ascii="Times New Roman" w:eastAsia="Times New Roman" w:hAnsi="Times New Roman" w:cs="Times New Roman"/>
            <w:color w:val="0000FF"/>
            <w:sz w:val="24"/>
            <w:szCs w:val="24"/>
            <w:u w:val="single"/>
            <w:lang w:val="en-US"/>
          </w:rPr>
          <w:t>https://doi.org/10.1177/00220345231160747</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Kawamoto, D., Borges, R., Ribeiro, R. A., de Souza, R. F., Amado, P. P. P., Saraiva, L., Horliana, A. C. R. T., Faveri, M., &amp; Mayer, M. P. A. (2021). Oral dysbiosis in severe forms of periodontitis is associated with gut dysbiosis and correlated with salivary inflammatory mediators: A preliminary study. </w:t>
      </w:r>
      <w:r w:rsidRPr="00794EDF">
        <w:rPr>
          <w:rFonts w:ascii="Times New Roman" w:eastAsia="Times New Roman" w:hAnsi="Times New Roman" w:cs="Times New Roman"/>
          <w:i/>
          <w:iCs/>
          <w:sz w:val="24"/>
          <w:szCs w:val="24"/>
          <w:lang w:val="en-US"/>
        </w:rPr>
        <w:t>Frontiers in Oral Health, 2</w:t>
      </w:r>
      <w:r w:rsidRPr="00794EDF">
        <w:rPr>
          <w:rFonts w:ascii="Times New Roman" w:eastAsia="Times New Roman" w:hAnsi="Times New Roman" w:cs="Times New Roman"/>
          <w:sz w:val="24"/>
          <w:szCs w:val="24"/>
          <w:lang w:val="en-US"/>
        </w:rPr>
        <w:t xml:space="preserve">, 722495. </w:t>
      </w:r>
      <w:hyperlink r:id="rId19" w:tgtFrame="_new" w:history="1">
        <w:r w:rsidRPr="00794EDF">
          <w:rPr>
            <w:rFonts w:ascii="Times New Roman" w:eastAsia="Times New Roman" w:hAnsi="Times New Roman" w:cs="Times New Roman"/>
            <w:color w:val="0000FF"/>
            <w:sz w:val="24"/>
            <w:szCs w:val="24"/>
            <w:u w:val="single"/>
            <w:lang w:val="en-US"/>
          </w:rPr>
          <w:t>https://doi.org/10.3389/froh.2021.722495</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Kinane, D. F., Stathopoulou, P. G., &amp; Papapanou, P. N. (2017). Periodontal diseases. </w:t>
      </w:r>
      <w:r w:rsidRPr="00794EDF">
        <w:rPr>
          <w:rFonts w:ascii="Times New Roman" w:eastAsia="Times New Roman" w:hAnsi="Times New Roman" w:cs="Times New Roman"/>
          <w:i/>
          <w:iCs/>
          <w:sz w:val="24"/>
          <w:szCs w:val="24"/>
          <w:lang w:val="en-US"/>
        </w:rPr>
        <w:t>Nature Reviews Disease Primers, 3</w:t>
      </w:r>
      <w:r w:rsidRPr="00794EDF">
        <w:rPr>
          <w:rFonts w:ascii="Times New Roman" w:eastAsia="Times New Roman" w:hAnsi="Times New Roman" w:cs="Times New Roman"/>
          <w:sz w:val="24"/>
          <w:szCs w:val="24"/>
          <w:lang w:val="en-US"/>
        </w:rPr>
        <w:t xml:space="preserve">, 17038. </w:t>
      </w:r>
      <w:hyperlink r:id="rId20" w:tgtFrame="_new" w:history="1">
        <w:r w:rsidRPr="00794EDF">
          <w:rPr>
            <w:rFonts w:ascii="Times New Roman" w:eastAsia="Times New Roman" w:hAnsi="Times New Roman" w:cs="Times New Roman"/>
            <w:color w:val="0000FF"/>
            <w:sz w:val="24"/>
            <w:szCs w:val="24"/>
            <w:u w:val="single"/>
            <w:lang w:val="en-US"/>
          </w:rPr>
          <w:t>https://doi.org/10.1038/nrdp.2017.38</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Kitamoto, S., Nagao-Kitamoto, H., Jiao, Y., Gillilland, M. G., III, Hayashi, A., Imai, J., Sugihara, K., Miyoshi, M., Brazil, J. C., Kuffa, P., Hill, B. D., Rizvi, S. M., Wen, F., Bishu, S., Inohara, N., Eaton, K. A., Nusrat, A., Lei, Y. L., Giannobile, W. V., &amp; Kamada, N. (2020). The intermucosal connection between the mouth and gut in commensal pathobiont-driven colitis. </w:t>
      </w:r>
      <w:r w:rsidRPr="00794EDF">
        <w:rPr>
          <w:rFonts w:ascii="Times New Roman" w:eastAsia="Times New Roman" w:hAnsi="Times New Roman" w:cs="Times New Roman"/>
          <w:i/>
          <w:iCs/>
          <w:sz w:val="24"/>
          <w:szCs w:val="24"/>
          <w:lang w:val="en-US"/>
        </w:rPr>
        <w:t>Cell, 182</w:t>
      </w:r>
      <w:r w:rsidRPr="00794EDF">
        <w:rPr>
          <w:rFonts w:ascii="Times New Roman" w:eastAsia="Times New Roman" w:hAnsi="Times New Roman" w:cs="Times New Roman"/>
          <w:sz w:val="24"/>
          <w:szCs w:val="24"/>
          <w:lang w:val="en-US"/>
        </w:rPr>
        <w:t xml:space="preserve">(2), 447–462.e14. </w:t>
      </w:r>
      <w:hyperlink r:id="rId21" w:tgtFrame="_new" w:history="1">
        <w:r w:rsidRPr="00794EDF">
          <w:rPr>
            <w:rFonts w:ascii="Times New Roman" w:eastAsia="Times New Roman" w:hAnsi="Times New Roman" w:cs="Times New Roman"/>
            <w:color w:val="0000FF"/>
            <w:sz w:val="24"/>
            <w:szCs w:val="24"/>
            <w:u w:val="single"/>
            <w:lang w:val="en-US"/>
          </w:rPr>
          <w:t>https://doi.org/10.1016/j.cell.2020.05.048</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Kuraji, R., Shiba, T., Dong, T. S., Numabe, Y., &amp; Kapila, Y. L. (2023). Periodontal treatment and microbiome-targeted therapy in management of periodontitis-related nonalcoholic fatty liver disease with oral and gut dysbiosis. </w:t>
      </w:r>
      <w:r w:rsidRPr="00794EDF">
        <w:rPr>
          <w:rFonts w:ascii="Times New Roman" w:eastAsia="Times New Roman" w:hAnsi="Times New Roman" w:cs="Times New Roman"/>
          <w:i/>
          <w:iCs/>
          <w:sz w:val="24"/>
          <w:szCs w:val="24"/>
          <w:lang w:val="en-US"/>
        </w:rPr>
        <w:t>World Journal of Gastroenterology, 29</w:t>
      </w:r>
      <w:r w:rsidRPr="00794EDF">
        <w:rPr>
          <w:rFonts w:ascii="Times New Roman" w:eastAsia="Times New Roman" w:hAnsi="Times New Roman" w:cs="Times New Roman"/>
          <w:sz w:val="24"/>
          <w:szCs w:val="24"/>
          <w:lang w:val="en-US"/>
        </w:rPr>
        <w:t xml:space="preserve">(6), 967–996. </w:t>
      </w:r>
      <w:hyperlink r:id="rId22" w:tgtFrame="_new" w:history="1">
        <w:r w:rsidRPr="00794EDF">
          <w:rPr>
            <w:rFonts w:ascii="Times New Roman" w:eastAsia="Times New Roman" w:hAnsi="Times New Roman" w:cs="Times New Roman"/>
            <w:color w:val="0000FF"/>
            <w:sz w:val="24"/>
            <w:szCs w:val="24"/>
            <w:u w:val="single"/>
            <w:lang w:val="en-US"/>
          </w:rPr>
          <w:t>https://doi.org/10.3748/wjg.v29.i6.967</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Li, Y., Zhu, M., Liu, Y., Luo, B., Cui, J., Huang, L., Chen, K., &amp; Liu, Y. (2022). The oral microbiota and cardiometabolic health: A comprehensive review and emerging insights. </w:t>
      </w:r>
      <w:r w:rsidRPr="00794EDF">
        <w:rPr>
          <w:rFonts w:ascii="Times New Roman" w:eastAsia="Times New Roman" w:hAnsi="Times New Roman" w:cs="Times New Roman"/>
          <w:i/>
          <w:iCs/>
          <w:sz w:val="24"/>
          <w:szCs w:val="24"/>
          <w:lang w:val="en-US"/>
        </w:rPr>
        <w:t>Frontiers in Immunology, 13</w:t>
      </w:r>
      <w:r w:rsidRPr="00794EDF">
        <w:rPr>
          <w:rFonts w:ascii="Times New Roman" w:eastAsia="Times New Roman" w:hAnsi="Times New Roman" w:cs="Times New Roman"/>
          <w:sz w:val="24"/>
          <w:szCs w:val="24"/>
          <w:lang w:val="en-US"/>
        </w:rPr>
        <w:t xml:space="preserve">, 1010368. </w:t>
      </w:r>
      <w:hyperlink r:id="rId23" w:tgtFrame="_new" w:history="1">
        <w:r w:rsidRPr="00794EDF">
          <w:rPr>
            <w:rFonts w:ascii="Times New Roman" w:eastAsia="Times New Roman" w:hAnsi="Times New Roman" w:cs="Times New Roman"/>
            <w:color w:val="0000FF"/>
            <w:sz w:val="24"/>
            <w:szCs w:val="24"/>
            <w:u w:val="single"/>
            <w:lang w:val="en-US"/>
          </w:rPr>
          <w:t>https://doi.org/10.3389/fimmu.2022.1010368</w:t>
        </w:r>
      </w:hyperlink>
      <w:r w:rsidRPr="00794EDF">
        <w:rPr>
          <w:rFonts w:ascii="Times New Roman" w:eastAsia="Times New Roman" w:hAnsi="Times New Roman" w:cs="Times New Roman"/>
          <w:sz w:val="24"/>
          <w:szCs w:val="24"/>
          <w:lang w:val="en-US"/>
        </w:rPr>
        <w:t xml:space="preserve"> </w:t>
      </w:r>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Lu, Y., Li, Z., &amp; Peng, X. (2023). Regulatory effects of oral microbe on intestinal microbiota and the illness. </w:t>
      </w:r>
      <w:r w:rsidRPr="00794EDF">
        <w:rPr>
          <w:rFonts w:ascii="Times New Roman" w:eastAsia="Times New Roman" w:hAnsi="Times New Roman" w:cs="Times New Roman"/>
          <w:i/>
          <w:iCs/>
          <w:sz w:val="24"/>
          <w:szCs w:val="24"/>
          <w:lang w:val="en-US"/>
        </w:rPr>
        <w:t>Frontiers in Cellular and Infection Microbiology, 13</w:t>
      </w:r>
      <w:r w:rsidRPr="00794EDF">
        <w:rPr>
          <w:rFonts w:ascii="Times New Roman" w:eastAsia="Times New Roman" w:hAnsi="Times New Roman" w:cs="Times New Roman"/>
          <w:sz w:val="24"/>
          <w:szCs w:val="24"/>
          <w:lang w:val="en-US"/>
        </w:rPr>
        <w:t xml:space="preserve">, 1093967. </w:t>
      </w:r>
      <w:hyperlink r:id="rId24" w:tgtFrame="_new" w:history="1">
        <w:r w:rsidRPr="00794EDF">
          <w:rPr>
            <w:rFonts w:ascii="Times New Roman" w:eastAsia="Times New Roman" w:hAnsi="Times New Roman" w:cs="Times New Roman"/>
            <w:color w:val="0000FF"/>
            <w:sz w:val="24"/>
            <w:szCs w:val="24"/>
            <w:u w:val="single"/>
            <w:lang w:val="en-US"/>
          </w:rPr>
          <w:t>https://doi.org/10.3389/fcimb.2023.1093967</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Mesa, F., Mesa-López, M. J., Egea-Valenzuela, J., Benavides-Reyes, C., Nibali, L., Ide, M., Mainas, G., Rizzo, M., &amp; Magan-Fernandez, A. (2022). A new comorbidity in periodontitis: </w:t>
      </w:r>
      <w:r w:rsidRPr="00794EDF">
        <w:rPr>
          <w:rFonts w:ascii="Times New Roman" w:eastAsia="Times New Roman" w:hAnsi="Times New Roman" w:cs="Times New Roman"/>
          <w:i/>
          <w:iCs/>
          <w:sz w:val="24"/>
          <w:szCs w:val="24"/>
          <w:lang w:val="en-US"/>
        </w:rPr>
        <w:t>Fusobacterium nucleatum</w:t>
      </w:r>
      <w:r w:rsidRPr="00794EDF">
        <w:rPr>
          <w:rFonts w:ascii="Times New Roman" w:eastAsia="Times New Roman" w:hAnsi="Times New Roman" w:cs="Times New Roman"/>
          <w:sz w:val="24"/>
          <w:szCs w:val="24"/>
          <w:lang w:val="en-US"/>
        </w:rPr>
        <w:t xml:space="preserve"> and colorectal cancer. </w:t>
      </w:r>
      <w:r w:rsidRPr="00794EDF">
        <w:rPr>
          <w:rFonts w:ascii="Times New Roman" w:eastAsia="Times New Roman" w:hAnsi="Times New Roman" w:cs="Times New Roman"/>
          <w:i/>
          <w:iCs/>
          <w:sz w:val="24"/>
          <w:szCs w:val="24"/>
          <w:lang w:val="en-US"/>
        </w:rPr>
        <w:t>Medicina, 58</w:t>
      </w:r>
      <w:r w:rsidRPr="00794EDF">
        <w:rPr>
          <w:rFonts w:ascii="Times New Roman" w:eastAsia="Times New Roman" w:hAnsi="Times New Roman" w:cs="Times New Roman"/>
          <w:sz w:val="24"/>
          <w:szCs w:val="24"/>
          <w:lang w:val="en-US"/>
        </w:rPr>
        <w:t xml:space="preserve">(4), 546. </w:t>
      </w:r>
      <w:hyperlink r:id="rId25" w:tgtFrame="_new" w:history="1">
        <w:r w:rsidRPr="00794EDF">
          <w:rPr>
            <w:rFonts w:ascii="Times New Roman" w:eastAsia="Times New Roman" w:hAnsi="Times New Roman" w:cs="Times New Roman"/>
            <w:color w:val="0000FF"/>
            <w:sz w:val="24"/>
            <w:szCs w:val="24"/>
            <w:u w:val="single"/>
            <w:lang w:val="en-US"/>
          </w:rPr>
          <w:t>https://doi.org/10.3390/medicina58040546</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Nakajima, M., Arimatsu, K., Kato, T., Matsuda, Y., Minagawa, T., Takahashi, N., Ohno, H., &amp; Yamazaki, K. (2015). Oral administration of </w:t>
      </w:r>
      <w:r w:rsidRPr="00794EDF">
        <w:rPr>
          <w:rFonts w:ascii="Times New Roman" w:eastAsia="Times New Roman" w:hAnsi="Times New Roman" w:cs="Times New Roman"/>
          <w:i/>
          <w:iCs/>
          <w:sz w:val="24"/>
          <w:szCs w:val="24"/>
          <w:lang w:val="en-US"/>
        </w:rPr>
        <w:t>P. gingivalis</w:t>
      </w:r>
      <w:r w:rsidRPr="00794EDF">
        <w:rPr>
          <w:rFonts w:ascii="Times New Roman" w:eastAsia="Times New Roman" w:hAnsi="Times New Roman" w:cs="Times New Roman"/>
          <w:sz w:val="24"/>
          <w:szCs w:val="24"/>
          <w:lang w:val="en-US"/>
        </w:rPr>
        <w:t xml:space="preserve"> induces dysbiosis of gut microbiota and impaired barrier function leading to dissemination of enterobacteria to the liver. </w:t>
      </w:r>
      <w:r w:rsidRPr="00794EDF">
        <w:rPr>
          <w:rFonts w:ascii="Times New Roman" w:eastAsia="Times New Roman" w:hAnsi="Times New Roman" w:cs="Times New Roman"/>
          <w:i/>
          <w:iCs/>
          <w:sz w:val="24"/>
          <w:szCs w:val="24"/>
          <w:lang w:val="en-US"/>
        </w:rPr>
        <w:t>PLOS ONE, 10</w:t>
      </w:r>
      <w:r w:rsidRPr="00794EDF">
        <w:rPr>
          <w:rFonts w:ascii="Times New Roman" w:eastAsia="Times New Roman" w:hAnsi="Times New Roman" w:cs="Times New Roman"/>
          <w:sz w:val="24"/>
          <w:szCs w:val="24"/>
          <w:lang w:val="en-US"/>
        </w:rPr>
        <w:t xml:space="preserve">(7), e0134234. </w:t>
      </w:r>
      <w:hyperlink r:id="rId26" w:tgtFrame="_new" w:history="1">
        <w:r w:rsidRPr="00794EDF">
          <w:rPr>
            <w:rFonts w:ascii="Times New Roman" w:eastAsia="Times New Roman" w:hAnsi="Times New Roman" w:cs="Times New Roman"/>
            <w:color w:val="0000FF"/>
            <w:sz w:val="24"/>
            <w:szCs w:val="24"/>
            <w:u w:val="single"/>
            <w:lang w:val="en-US"/>
          </w:rPr>
          <w:t>https://doi.org/10.1371/journal.pone.0134234</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Sohn, J., Li, L., Zhang, L., Settem, R. P., Honma, K., Sharma, A., Falkner, K. L., Novak, J. M., Sun, Y., &amp; Kirkwood, K. L. (2022). </w:t>
      </w:r>
      <w:r w:rsidRPr="00794EDF">
        <w:rPr>
          <w:rFonts w:ascii="Times New Roman" w:eastAsia="Times New Roman" w:hAnsi="Times New Roman" w:cs="Times New Roman"/>
          <w:i/>
          <w:iCs/>
          <w:sz w:val="24"/>
          <w:szCs w:val="24"/>
          <w:lang w:val="en-US"/>
        </w:rPr>
        <w:t>Porphyromonas gingivalis</w:t>
      </w:r>
      <w:r w:rsidRPr="00794EDF">
        <w:rPr>
          <w:rFonts w:ascii="Times New Roman" w:eastAsia="Times New Roman" w:hAnsi="Times New Roman" w:cs="Times New Roman"/>
          <w:sz w:val="24"/>
          <w:szCs w:val="24"/>
          <w:lang w:val="en-US"/>
        </w:rPr>
        <w:t xml:space="preserve"> indirectly elicits intestinal inflammation by altering the gut microbiota and disrupting epithelial barrier function through IL9-producing CD4+ T cells. </w:t>
      </w:r>
      <w:r w:rsidRPr="00794EDF">
        <w:rPr>
          <w:rFonts w:ascii="Times New Roman" w:eastAsia="Times New Roman" w:hAnsi="Times New Roman" w:cs="Times New Roman"/>
          <w:i/>
          <w:iCs/>
          <w:sz w:val="24"/>
          <w:szCs w:val="24"/>
          <w:lang w:val="en-US"/>
        </w:rPr>
        <w:t>Molecular Oral Microbiology, 37</w:t>
      </w:r>
      <w:r w:rsidRPr="00794EDF">
        <w:rPr>
          <w:rFonts w:ascii="Times New Roman" w:eastAsia="Times New Roman" w:hAnsi="Times New Roman" w:cs="Times New Roman"/>
          <w:sz w:val="24"/>
          <w:szCs w:val="24"/>
          <w:lang w:val="en-US"/>
        </w:rPr>
        <w:t xml:space="preserve">(2), 42–52. </w:t>
      </w:r>
      <w:hyperlink r:id="rId27" w:tgtFrame="_new" w:history="1">
        <w:r w:rsidRPr="00794EDF">
          <w:rPr>
            <w:rFonts w:ascii="Times New Roman" w:eastAsia="Times New Roman" w:hAnsi="Times New Roman" w:cs="Times New Roman"/>
            <w:color w:val="0000FF"/>
            <w:sz w:val="24"/>
            <w:szCs w:val="24"/>
            <w:u w:val="single"/>
            <w:lang w:val="en-US"/>
          </w:rPr>
          <w:t>https://doi.org/10.1111/omi.12359</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Sukhera, J. (2022). Narrative reviews: Flexible, rigorous, and practical. </w:t>
      </w:r>
      <w:r w:rsidRPr="00794EDF">
        <w:rPr>
          <w:rFonts w:ascii="Times New Roman" w:eastAsia="Times New Roman" w:hAnsi="Times New Roman" w:cs="Times New Roman"/>
          <w:i/>
          <w:iCs/>
          <w:sz w:val="24"/>
          <w:szCs w:val="24"/>
          <w:lang w:val="en-US"/>
        </w:rPr>
        <w:t>Journal of Graduate Medical Education, 14</w:t>
      </w:r>
      <w:r w:rsidRPr="00794EDF">
        <w:rPr>
          <w:rFonts w:ascii="Times New Roman" w:eastAsia="Times New Roman" w:hAnsi="Times New Roman" w:cs="Times New Roman"/>
          <w:sz w:val="24"/>
          <w:szCs w:val="24"/>
          <w:lang w:val="en-US"/>
        </w:rPr>
        <w:t xml:space="preserve">(4), 414–417. </w:t>
      </w:r>
      <w:hyperlink r:id="rId28" w:tgtFrame="_new" w:history="1">
        <w:r w:rsidRPr="00794EDF">
          <w:rPr>
            <w:rFonts w:ascii="Times New Roman" w:eastAsia="Times New Roman" w:hAnsi="Times New Roman" w:cs="Times New Roman"/>
            <w:color w:val="0000FF"/>
            <w:sz w:val="24"/>
            <w:szCs w:val="24"/>
            <w:u w:val="single"/>
            <w:lang w:val="en-US"/>
          </w:rPr>
          <w:t>https://doi.org/10.4300/JGME-D-22-00480.1</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lastRenderedPageBreak/>
        <w:t xml:space="preserve">Sulaiman, Y., Pacauskienė, I. M., Šadzevičienė, R., &amp; Anuzyte, R. (2024). Oral and gut microbiota dysbiosis due to periodontitis: Systemic implications and links to gastrointestinal cancer: A narrative review. </w:t>
      </w:r>
      <w:r w:rsidRPr="00794EDF">
        <w:rPr>
          <w:rFonts w:ascii="Times New Roman" w:eastAsia="Times New Roman" w:hAnsi="Times New Roman" w:cs="Times New Roman"/>
          <w:i/>
          <w:iCs/>
          <w:sz w:val="24"/>
          <w:szCs w:val="24"/>
          <w:lang w:val="en-US"/>
        </w:rPr>
        <w:t>Medicina, 60</w:t>
      </w:r>
      <w:r w:rsidRPr="00794EDF">
        <w:rPr>
          <w:rFonts w:ascii="Times New Roman" w:eastAsia="Times New Roman" w:hAnsi="Times New Roman" w:cs="Times New Roman"/>
          <w:sz w:val="24"/>
          <w:szCs w:val="24"/>
          <w:lang w:val="en-US"/>
        </w:rPr>
        <w:t xml:space="preserve">(9), 1416. </w:t>
      </w:r>
      <w:hyperlink r:id="rId29" w:tgtFrame="_new" w:history="1">
        <w:r w:rsidRPr="00794EDF">
          <w:rPr>
            <w:rFonts w:ascii="Times New Roman" w:eastAsia="Times New Roman" w:hAnsi="Times New Roman" w:cs="Times New Roman"/>
            <w:color w:val="0000FF"/>
            <w:sz w:val="24"/>
            <w:szCs w:val="24"/>
            <w:u w:val="single"/>
            <w:lang w:val="en-US"/>
          </w:rPr>
          <w:t>https://doi.org/10.3390/medicina60091416</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Tanwar, H., Gnanasekaran, J. M., Allison, D., Chuang, L.-S., He, X., Aimetti, M., Baima, G., Costalonga, M., Cross, R. K., Sears, C., Mehandru, S., Cho, J., Colombel, J.-F., Raufman, J.-P., &amp; Thumbigere-Math, V. (2024). Unravelling the oral–gut axis: Interconnection between periodontitis and inflammatory bowel disease, current challenges, and future perspective. </w:t>
      </w:r>
      <w:r w:rsidRPr="00794EDF">
        <w:rPr>
          <w:rFonts w:ascii="Times New Roman" w:eastAsia="Times New Roman" w:hAnsi="Times New Roman" w:cs="Times New Roman"/>
          <w:i/>
          <w:iCs/>
          <w:sz w:val="24"/>
          <w:szCs w:val="24"/>
          <w:lang w:val="en-US"/>
        </w:rPr>
        <w:t>Journal of Crohn’s and Colitis, 18</w:t>
      </w:r>
      <w:r w:rsidRPr="00794EDF">
        <w:rPr>
          <w:rFonts w:ascii="Times New Roman" w:eastAsia="Times New Roman" w:hAnsi="Times New Roman" w:cs="Times New Roman"/>
          <w:sz w:val="24"/>
          <w:szCs w:val="24"/>
          <w:lang w:val="en-US"/>
        </w:rPr>
        <w:t xml:space="preserve">(8), 1319–1341. </w:t>
      </w:r>
      <w:hyperlink r:id="rId30" w:tgtFrame="_new" w:history="1">
        <w:r w:rsidRPr="00794EDF">
          <w:rPr>
            <w:rFonts w:ascii="Times New Roman" w:eastAsia="Times New Roman" w:hAnsi="Times New Roman" w:cs="Times New Roman"/>
            <w:color w:val="0000FF"/>
            <w:sz w:val="24"/>
            <w:szCs w:val="24"/>
            <w:u w:val="single"/>
            <w:lang w:val="en-US"/>
          </w:rPr>
          <w:t>https://doi.org/10.1093/ecco-jcc/jjae028</w:t>
        </w:r>
      </w:hyperlink>
    </w:p>
    <w:p w:rsidR="00794EDF" w:rsidRPr="00794EDF" w:rsidRDefault="00794EDF" w:rsidP="00794EDF">
      <w:pPr>
        <w:spacing w:before="100" w:beforeAutospacing="1" w:after="100" w:afterAutospacing="1" w:line="240" w:lineRule="auto"/>
        <w:rPr>
          <w:rFonts w:ascii="Times New Roman" w:eastAsia="Times New Roman" w:hAnsi="Times New Roman" w:cs="Times New Roman"/>
          <w:sz w:val="24"/>
          <w:szCs w:val="24"/>
          <w:lang w:val="en-US"/>
        </w:rPr>
      </w:pPr>
      <w:r w:rsidRPr="00794EDF">
        <w:rPr>
          <w:rFonts w:ascii="Times New Roman" w:eastAsia="Times New Roman" w:hAnsi="Times New Roman" w:cs="Times New Roman"/>
          <w:sz w:val="24"/>
          <w:szCs w:val="24"/>
          <w:lang w:val="en-US"/>
        </w:rPr>
        <w:t xml:space="preserve">Tonetti, M. S., Greenwell, H., &amp; Kornman, K. S. (2018). Staging and grading of periodontitis: Framework and proposal of a new classification and case definition. </w:t>
      </w:r>
      <w:r w:rsidRPr="00794EDF">
        <w:rPr>
          <w:rFonts w:ascii="Times New Roman" w:eastAsia="Times New Roman" w:hAnsi="Times New Roman" w:cs="Times New Roman"/>
          <w:i/>
          <w:iCs/>
          <w:sz w:val="24"/>
          <w:szCs w:val="24"/>
          <w:lang w:val="en-US"/>
        </w:rPr>
        <w:t>Journal of Clinical Periodontology, 45</w:t>
      </w:r>
      <w:r w:rsidRPr="00794EDF">
        <w:rPr>
          <w:rFonts w:ascii="Times New Roman" w:eastAsia="Times New Roman" w:hAnsi="Times New Roman" w:cs="Times New Roman"/>
          <w:sz w:val="24"/>
          <w:szCs w:val="24"/>
          <w:lang w:val="en-US"/>
        </w:rPr>
        <w:t xml:space="preserve">(Suppl. 20), S149–S161. </w:t>
      </w:r>
      <w:hyperlink r:id="rId31" w:tgtFrame="_new" w:history="1">
        <w:r w:rsidRPr="00794EDF">
          <w:rPr>
            <w:rFonts w:ascii="Times New Roman" w:eastAsia="Times New Roman" w:hAnsi="Times New Roman" w:cs="Times New Roman"/>
            <w:color w:val="0000FF"/>
            <w:sz w:val="24"/>
            <w:szCs w:val="24"/>
            <w:u w:val="single"/>
            <w:lang w:val="en-US"/>
          </w:rPr>
          <w:t>https://doi.org/10.1111/jcpe.12945</w:t>
        </w:r>
      </w:hyperlink>
    </w:p>
    <w:p w:rsidR="00D75C9D" w:rsidRDefault="00794EDF" w:rsidP="00794EDF">
      <w:pPr>
        <w:spacing w:before="100" w:beforeAutospacing="1" w:after="100" w:afterAutospacing="1" w:line="240" w:lineRule="auto"/>
      </w:pPr>
      <w:r w:rsidRPr="00794EDF">
        <w:rPr>
          <w:rFonts w:ascii="Times New Roman" w:eastAsia="Times New Roman" w:hAnsi="Times New Roman" w:cs="Times New Roman"/>
          <w:sz w:val="24"/>
          <w:szCs w:val="24"/>
          <w:lang w:val="en-US"/>
        </w:rPr>
        <w:t xml:space="preserve">Xi, M., Ruan, Q., Zhong, S., Li, J., Qi, W., Xie, C., Wang, X., Abuduxiku, N., &amp; Ni, J. (2024). Periodontal bacteria influence systemic diseases through the gut microbiota. </w:t>
      </w:r>
      <w:r w:rsidRPr="00794EDF">
        <w:rPr>
          <w:rFonts w:ascii="Times New Roman" w:eastAsia="Times New Roman" w:hAnsi="Times New Roman" w:cs="Times New Roman"/>
          <w:i/>
          <w:iCs/>
          <w:sz w:val="24"/>
          <w:szCs w:val="24"/>
          <w:lang w:val="en-US"/>
        </w:rPr>
        <w:t>Frontiers in Cellular and Infection Microbiology, 14</w:t>
      </w:r>
      <w:r w:rsidRPr="00794EDF">
        <w:rPr>
          <w:rFonts w:ascii="Times New Roman" w:eastAsia="Times New Roman" w:hAnsi="Times New Roman" w:cs="Times New Roman"/>
          <w:sz w:val="24"/>
          <w:szCs w:val="24"/>
          <w:lang w:val="en-US"/>
        </w:rPr>
        <w:t xml:space="preserve">, 1478362. </w:t>
      </w:r>
      <w:hyperlink r:id="rId32" w:tgtFrame="_new" w:history="1">
        <w:r w:rsidRPr="00794EDF">
          <w:rPr>
            <w:rFonts w:ascii="Times New Roman" w:eastAsia="Times New Roman" w:hAnsi="Times New Roman" w:cs="Times New Roman"/>
            <w:color w:val="0000FF"/>
            <w:sz w:val="24"/>
            <w:szCs w:val="24"/>
            <w:u w:val="single"/>
            <w:lang w:val="en-US"/>
          </w:rPr>
          <w:t>https://doi.org/10.3389/fcimb.2024.1478362</w:t>
        </w:r>
      </w:hyperlink>
    </w:p>
    <w:sectPr w:rsidR="00D75C9D"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800" w:rsidRDefault="009A1800" w:rsidP="00FA798E">
      <w:pPr>
        <w:spacing w:after="0" w:line="240" w:lineRule="auto"/>
      </w:pPr>
      <w:r>
        <w:separator/>
      </w:r>
    </w:p>
  </w:endnote>
  <w:endnote w:type="continuationSeparator" w:id="0">
    <w:p w:rsidR="009A1800" w:rsidRDefault="009A1800" w:rsidP="00FA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8E" w:rsidRDefault="00FA7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8E" w:rsidRDefault="00FA7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8E" w:rsidRDefault="00FA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800" w:rsidRDefault="009A1800" w:rsidP="00FA798E">
      <w:pPr>
        <w:spacing w:after="0" w:line="240" w:lineRule="auto"/>
      </w:pPr>
      <w:r>
        <w:separator/>
      </w:r>
    </w:p>
  </w:footnote>
  <w:footnote w:type="continuationSeparator" w:id="0">
    <w:p w:rsidR="009A1800" w:rsidRDefault="009A1800" w:rsidP="00FA7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8E" w:rsidRDefault="00FA79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2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8E" w:rsidRDefault="00FA79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2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8E" w:rsidRDefault="00FA79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2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F52C8"/>
    <w:multiLevelType w:val="hybridMultilevel"/>
    <w:tmpl w:val="F5B85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6190"/>
    <w:rsid w:val="00011BE1"/>
    <w:rsid w:val="001E4551"/>
    <w:rsid w:val="003A104D"/>
    <w:rsid w:val="00794EDF"/>
    <w:rsid w:val="007D5FED"/>
    <w:rsid w:val="009A1800"/>
    <w:rsid w:val="00A2270F"/>
    <w:rsid w:val="00C02F50"/>
    <w:rsid w:val="00CB6EB6"/>
    <w:rsid w:val="00D75C9D"/>
    <w:rsid w:val="00E36190"/>
    <w:rsid w:val="00F6047F"/>
    <w:rsid w:val="00FA798E"/>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3C9191E-AFF9-4CAE-BBD4-A52779D6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E36190"/>
    <w:rPr>
      <w:color w:val="0563C1" w:themeColor="hyperlink"/>
      <w:u w:val="single"/>
    </w:rPr>
  </w:style>
  <w:style w:type="table" w:styleId="TableGrid">
    <w:name w:val="Table Grid"/>
    <w:basedOn w:val="TableNormal"/>
    <w:uiPriority w:val="39"/>
    <w:rsid w:val="00E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EDF"/>
    <w:pPr>
      <w:ind w:left="720"/>
      <w:contextualSpacing/>
    </w:pPr>
  </w:style>
  <w:style w:type="paragraph" w:styleId="Header">
    <w:name w:val="header"/>
    <w:basedOn w:val="Normal"/>
    <w:link w:val="HeaderChar"/>
    <w:uiPriority w:val="99"/>
    <w:unhideWhenUsed/>
    <w:rsid w:val="00FA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8E"/>
  </w:style>
  <w:style w:type="paragraph" w:styleId="Footer">
    <w:name w:val="footer"/>
    <w:basedOn w:val="Normal"/>
    <w:link w:val="FooterChar"/>
    <w:uiPriority w:val="99"/>
    <w:unhideWhenUsed/>
    <w:rsid w:val="00FA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189020">
      <w:bodyDiv w:val="1"/>
      <w:marLeft w:val="0"/>
      <w:marRight w:val="0"/>
      <w:marTop w:val="0"/>
      <w:marBottom w:val="0"/>
      <w:divBdr>
        <w:top w:val="none" w:sz="0" w:space="0" w:color="auto"/>
        <w:left w:val="none" w:sz="0" w:space="0" w:color="auto"/>
        <w:bottom w:val="none" w:sz="0" w:space="0" w:color="auto"/>
        <w:right w:val="none" w:sz="0" w:space="0" w:color="auto"/>
      </w:divBdr>
      <w:divsChild>
        <w:div w:id="1212230810">
          <w:marLeft w:val="0"/>
          <w:marRight w:val="0"/>
          <w:marTop w:val="0"/>
          <w:marBottom w:val="0"/>
          <w:divBdr>
            <w:top w:val="none" w:sz="0" w:space="0" w:color="auto"/>
            <w:left w:val="none" w:sz="0" w:space="0" w:color="auto"/>
            <w:bottom w:val="none" w:sz="0" w:space="0" w:color="auto"/>
            <w:right w:val="none" w:sz="0" w:space="0" w:color="auto"/>
          </w:divBdr>
          <w:divsChild>
            <w:div w:id="70465418">
              <w:marLeft w:val="0"/>
              <w:marRight w:val="0"/>
              <w:marTop w:val="0"/>
              <w:marBottom w:val="0"/>
              <w:divBdr>
                <w:top w:val="none" w:sz="0" w:space="0" w:color="auto"/>
                <w:left w:val="none" w:sz="0" w:space="0" w:color="auto"/>
                <w:bottom w:val="none" w:sz="0" w:space="0" w:color="auto"/>
                <w:right w:val="none" w:sz="0" w:space="0" w:color="auto"/>
              </w:divBdr>
              <w:divsChild>
                <w:div w:id="1878276937">
                  <w:marLeft w:val="0"/>
                  <w:marRight w:val="0"/>
                  <w:marTop w:val="0"/>
                  <w:marBottom w:val="0"/>
                  <w:divBdr>
                    <w:top w:val="none" w:sz="0" w:space="0" w:color="auto"/>
                    <w:left w:val="none" w:sz="0" w:space="0" w:color="auto"/>
                    <w:bottom w:val="none" w:sz="0" w:space="0" w:color="auto"/>
                    <w:right w:val="none" w:sz="0" w:space="0" w:color="auto"/>
                  </w:divBdr>
                  <w:divsChild>
                    <w:div w:id="21437972">
                      <w:marLeft w:val="0"/>
                      <w:marRight w:val="0"/>
                      <w:marTop w:val="0"/>
                      <w:marBottom w:val="0"/>
                      <w:divBdr>
                        <w:top w:val="none" w:sz="0" w:space="0" w:color="auto"/>
                        <w:left w:val="none" w:sz="0" w:space="0" w:color="auto"/>
                        <w:bottom w:val="none" w:sz="0" w:space="0" w:color="auto"/>
                        <w:right w:val="none" w:sz="0" w:space="0" w:color="auto"/>
                      </w:divBdr>
                      <w:divsChild>
                        <w:div w:id="1285845567">
                          <w:marLeft w:val="0"/>
                          <w:marRight w:val="0"/>
                          <w:marTop w:val="0"/>
                          <w:marBottom w:val="0"/>
                          <w:divBdr>
                            <w:top w:val="none" w:sz="0" w:space="0" w:color="auto"/>
                            <w:left w:val="none" w:sz="0" w:space="0" w:color="auto"/>
                            <w:bottom w:val="none" w:sz="0" w:space="0" w:color="auto"/>
                            <w:right w:val="none" w:sz="0" w:space="0" w:color="auto"/>
                          </w:divBdr>
                          <w:divsChild>
                            <w:div w:id="461269789">
                              <w:marLeft w:val="0"/>
                              <w:marRight w:val="0"/>
                              <w:marTop w:val="0"/>
                              <w:marBottom w:val="0"/>
                              <w:divBdr>
                                <w:top w:val="none" w:sz="0" w:space="0" w:color="auto"/>
                                <w:left w:val="none" w:sz="0" w:space="0" w:color="auto"/>
                                <w:bottom w:val="none" w:sz="0" w:space="0" w:color="auto"/>
                                <w:right w:val="none" w:sz="0" w:space="0" w:color="auto"/>
                              </w:divBdr>
                              <w:divsChild>
                                <w:div w:id="1100875170">
                                  <w:marLeft w:val="0"/>
                                  <w:marRight w:val="0"/>
                                  <w:marTop w:val="0"/>
                                  <w:marBottom w:val="0"/>
                                  <w:divBdr>
                                    <w:top w:val="none" w:sz="0" w:space="0" w:color="auto"/>
                                    <w:left w:val="none" w:sz="0" w:space="0" w:color="auto"/>
                                    <w:bottom w:val="none" w:sz="0" w:space="0" w:color="auto"/>
                                    <w:right w:val="none" w:sz="0" w:space="0" w:color="auto"/>
                                  </w:divBdr>
                                  <w:divsChild>
                                    <w:div w:id="1974477898">
                                      <w:marLeft w:val="0"/>
                                      <w:marRight w:val="0"/>
                                      <w:marTop w:val="0"/>
                                      <w:marBottom w:val="0"/>
                                      <w:divBdr>
                                        <w:top w:val="none" w:sz="0" w:space="0" w:color="auto"/>
                                        <w:left w:val="none" w:sz="0" w:space="0" w:color="auto"/>
                                        <w:bottom w:val="none" w:sz="0" w:space="0" w:color="auto"/>
                                        <w:right w:val="none" w:sz="0" w:space="0" w:color="auto"/>
                                      </w:divBdr>
                                      <w:divsChild>
                                        <w:div w:id="1768623411">
                                          <w:marLeft w:val="0"/>
                                          <w:marRight w:val="0"/>
                                          <w:marTop w:val="0"/>
                                          <w:marBottom w:val="0"/>
                                          <w:divBdr>
                                            <w:top w:val="none" w:sz="0" w:space="0" w:color="auto"/>
                                            <w:left w:val="none" w:sz="0" w:space="0" w:color="auto"/>
                                            <w:bottom w:val="none" w:sz="0" w:space="0" w:color="auto"/>
                                            <w:right w:val="none" w:sz="0" w:space="0" w:color="auto"/>
                                          </w:divBdr>
                                          <w:divsChild>
                                            <w:div w:id="2068647312">
                                              <w:marLeft w:val="0"/>
                                              <w:marRight w:val="0"/>
                                              <w:marTop w:val="0"/>
                                              <w:marBottom w:val="0"/>
                                              <w:divBdr>
                                                <w:top w:val="none" w:sz="0" w:space="0" w:color="auto"/>
                                                <w:left w:val="none" w:sz="0" w:space="0" w:color="auto"/>
                                                <w:bottom w:val="none" w:sz="0" w:space="0" w:color="auto"/>
                                                <w:right w:val="none" w:sz="0" w:space="0" w:color="auto"/>
                                              </w:divBdr>
                                              <w:divsChild>
                                                <w:div w:id="2077825402">
                                                  <w:marLeft w:val="0"/>
                                                  <w:marRight w:val="0"/>
                                                  <w:marTop w:val="0"/>
                                                  <w:marBottom w:val="0"/>
                                                  <w:divBdr>
                                                    <w:top w:val="none" w:sz="0" w:space="0" w:color="auto"/>
                                                    <w:left w:val="none" w:sz="0" w:space="0" w:color="auto"/>
                                                    <w:bottom w:val="none" w:sz="0" w:space="0" w:color="auto"/>
                                                    <w:right w:val="none" w:sz="0" w:space="0" w:color="auto"/>
                                                  </w:divBdr>
                                                  <w:divsChild>
                                                    <w:div w:id="938676639">
                                                      <w:marLeft w:val="0"/>
                                                      <w:marRight w:val="0"/>
                                                      <w:marTop w:val="0"/>
                                                      <w:marBottom w:val="0"/>
                                                      <w:divBdr>
                                                        <w:top w:val="none" w:sz="0" w:space="0" w:color="auto"/>
                                                        <w:left w:val="none" w:sz="0" w:space="0" w:color="auto"/>
                                                        <w:bottom w:val="none" w:sz="0" w:space="0" w:color="auto"/>
                                                        <w:right w:val="none" w:sz="0" w:space="0" w:color="auto"/>
                                                      </w:divBdr>
                                                      <w:divsChild>
                                                        <w:div w:id="754589916">
                                                          <w:marLeft w:val="0"/>
                                                          <w:marRight w:val="0"/>
                                                          <w:marTop w:val="0"/>
                                                          <w:marBottom w:val="0"/>
                                                          <w:divBdr>
                                                            <w:top w:val="none" w:sz="0" w:space="0" w:color="auto"/>
                                                            <w:left w:val="none" w:sz="0" w:space="0" w:color="auto"/>
                                                            <w:bottom w:val="none" w:sz="0" w:space="0" w:color="auto"/>
                                                            <w:right w:val="none" w:sz="0" w:space="0" w:color="auto"/>
                                                          </w:divBdr>
                                                          <w:divsChild>
                                                            <w:div w:id="897328182">
                                                              <w:marLeft w:val="0"/>
                                                              <w:marRight w:val="0"/>
                                                              <w:marTop w:val="0"/>
                                                              <w:marBottom w:val="0"/>
                                                              <w:divBdr>
                                                                <w:top w:val="none" w:sz="0" w:space="0" w:color="auto"/>
                                                                <w:left w:val="none" w:sz="0" w:space="0" w:color="auto"/>
                                                                <w:bottom w:val="none" w:sz="0" w:space="0" w:color="auto"/>
                                                                <w:right w:val="none" w:sz="0" w:space="0" w:color="auto"/>
                                                              </w:divBdr>
                                                              <w:divsChild>
                                                                <w:div w:id="1039554948">
                                                                  <w:marLeft w:val="0"/>
                                                                  <w:marRight w:val="0"/>
                                                                  <w:marTop w:val="0"/>
                                                                  <w:marBottom w:val="0"/>
                                                                  <w:divBdr>
                                                                    <w:top w:val="none" w:sz="0" w:space="0" w:color="auto"/>
                                                                    <w:left w:val="none" w:sz="0" w:space="0" w:color="auto"/>
                                                                    <w:bottom w:val="none" w:sz="0" w:space="0" w:color="auto"/>
                                                                    <w:right w:val="none" w:sz="0" w:space="0" w:color="auto"/>
                                                                  </w:divBdr>
                                                                  <w:divsChild>
                                                                    <w:div w:id="414279192">
                                                                      <w:marLeft w:val="0"/>
                                                                      <w:marRight w:val="0"/>
                                                                      <w:marTop w:val="0"/>
                                                                      <w:marBottom w:val="0"/>
                                                                      <w:divBdr>
                                                                        <w:top w:val="none" w:sz="0" w:space="0" w:color="auto"/>
                                                                        <w:left w:val="none" w:sz="0" w:space="0" w:color="auto"/>
                                                                        <w:bottom w:val="none" w:sz="0" w:space="0" w:color="auto"/>
                                                                        <w:right w:val="none" w:sz="0" w:space="0" w:color="auto"/>
                                                                      </w:divBdr>
                                                                      <w:divsChild>
                                                                        <w:div w:id="1178882591">
                                                                          <w:marLeft w:val="0"/>
                                                                          <w:marRight w:val="0"/>
                                                                          <w:marTop w:val="0"/>
                                                                          <w:marBottom w:val="0"/>
                                                                          <w:divBdr>
                                                                            <w:top w:val="none" w:sz="0" w:space="0" w:color="auto"/>
                                                                            <w:left w:val="none" w:sz="0" w:space="0" w:color="auto"/>
                                                                            <w:bottom w:val="none" w:sz="0" w:space="0" w:color="auto"/>
                                                                            <w:right w:val="none" w:sz="0" w:space="0" w:color="auto"/>
                                                                          </w:divBdr>
                                                                          <w:divsChild>
                                                                            <w:div w:id="100344753">
                                                                              <w:marLeft w:val="0"/>
                                                                              <w:marRight w:val="0"/>
                                                                              <w:marTop w:val="0"/>
                                                                              <w:marBottom w:val="0"/>
                                                                              <w:divBdr>
                                                                                <w:top w:val="none" w:sz="0" w:space="0" w:color="auto"/>
                                                                                <w:left w:val="none" w:sz="0" w:space="0" w:color="auto"/>
                                                                                <w:bottom w:val="none" w:sz="0" w:space="0" w:color="auto"/>
                                                                                <w:right w:val="none" w:sz="0" w:space="0" w:color="auto"/>
                                                                              </w:divBdr>
                                                                              <w:divsChild>
                                                                                <w:div w:id="1755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655670">
                                          <w:marLeft w:val="0"/>
                                          <w:marRight w:val="0"/>
                                          <w:marTop w:val="0"/>
                                          <w:marBottom w:val="0"/>
                                          <w:divBdr>
                                            <w:top w:val="none" w:sz="0" w:space="0" w:color="auto"/>
                                            <w:left w:val="none" w:sz="0" w:space="0" w:color="auto"/>
                                            <w:bottom w:val="none" w:sz="0" w:space="0" w:color="auto"/>
                                            <w:right w:val="none" w:sz="0" w:space="0" w:color="auto"/>
                                          </w:divBdr>
                                          <w:divsChild>
                                            <w:div w:id="1911040334">
                                              <w:marLeft w:val="0"/>
                                              <w:marRight w:val="0"/>
                                              <w:marTop w:val="0"/>
                                              <w:marBottom w:val="0"/>
                                              <w:divBdr>
                                                <w:top w:val="none" w:sz="0" w:space="0" w:color="auto"/>
                                                <w:left w:val="none" w:sz="0" w:space="0" w:color="auto"/>
                                                <w:bottom w:val="none" w:sz="0" w:space="0" w:color="auto"/>
                                                <w:right w:val="none" w:sz="0" w:space="0" w:color="auto"/>
                                              </w:divBdr>
                                              <w:divsChild>
                                                <w:div w:id="998923197">
                                                  <w:marLeft w:val="0"/>
                                                  <w:marRight w:val="0"/>
                                                  <w:marTop w:val="0"/>
                                                  <w:marBottom w:val="0"/>
                                                  <w:divBdr>
                                                    <w:top w:val="none" w:sz="0" w:space="0" w:color="auto"/>
                                                    <w:left w:val="none" w:sz="0" w:space="0" w:color="auto"/>
                                                    <w:bottom w:val="none" w:sz="0" w:space="0" w:color="auto"/>
                                                    <w:right w:val="none" w:sz="0" w:space="0" w:color="auto"/>
                                                  </w:divBdr>
                                                  <w:divsChild>
                                                    <w:div w:id="806359763">
                                                      <w:marLeft w:val="0"/>
                                                      <w:marRight w:val="0"/>
                                                      <w:marTop w:val="0"/>
                                                      <w:marBottom w:val="0"/>
                                                      <w:divBdr>
                                                        <w:top w:val="none" w:sz="0" w:space="0" w:color="auto"/>
                                                        <w:left w:val="none" w:sz="0" w:space="0" w:color="auto"/>
                                                        <w:bottom w:val="none" w:sz="0" w:space="0" w:color="auto"/>
                                                        <w:right w:val="none" w:sz="0" w:space="0" w:color="auto"/>
                                                      </w:divBdr>
                                                      <w:divsChild>
                                                        <w:div w:id="844706647">
                                                          <w:marLeft w:val="0"/>
                                                          <w:marRight w:val="0"/>
                                                          <w:marTop w:val="0"/>
                                                          <w:marBottom w:val="0"/>
                                                          <w:divBdr>
                                                            <w:top w:val="none" w:sz="0" w:space="0" w:color="auto"/>
                                                            <w:left w:val="none" w:sz="0" w:space="0" w:color="auto"/>
                                                            <w:bottom w:val="none" w:sz="0" w:space="0" w:color="auto"/>
                                                            <w:right w:val="none" w:sz="0" w:space="0" w:color="auto"/>
                                                          </w:divBdr>
                                                          <w:divsChild>
                                                            <w:div w:id="1133789313">
                                                              <w:marLeft w:val="0"/>
                                                              <w:marRight w:val="0"/>
                                                              <w:marTop w:val="0"/>
                                                              <w:marBottom w:val="0"/>
                                                              <w:divBdr>
                                                                <w:top w:val="none" w:sz="0" w:space="0" w:color="auto"/>
                                                                <w:left w:val="none" w:sz="0" w:space="0" w:color="auto"/>
                                                                <w:bottom w:val="none" w:sz="0" w:space="0" w:color="auto"/>
                                                                <w:right w:val="none" w:sz="0" w:space="0" w:color="auto"/>
                                                              </w:divBdr>
                                                              <w:divsChild>
                                                                <w:div w:id="983970971">
                                                                  <w:marLeft w:val="0"/>
                                                                  <w:marRight w:val="0"/>
                                                                  <w:marTop w:val="0"/>
                                                                  <w:marBottom w:val="0"/>
                                                                  <w:divBdr>
                                                                    <w:top w:val="none" w:sz="0" w:space="0" w:color="auto"/>
                                                                    <w:left w:val="none" w:sz="0" w:space="0" w:color="auto"/>
                                                                    <w:bottom w:val="none" w:sz="0" w:space="0" w:color="auto"/>
                                                                    <w:right w:val="none" w:sz="0" w:space="0" w:color="auto"/>
                                                                  </w:divBdr>
                                                                  <w:divsChild>
                                                                    <w:div w:id="1746613076">
                                                                      <w:marLeft w:val="0"/>
                                                                      <w:marRight w:val="0"/>
                                                                      <w:marTop w:val="0"/>
                                                                      <w:marBottom w:val="0"/>
                                                                      <w:divBdr>
                                                                        <w:top w:val="none" w:sz="0" w:space="0" w:color="auto"/>
                                                                        <w:left w:val="none" w:sz="0" w:space="0" w:color="auto"/>
                                                                        <w:bottom w:val="none" w:sz="0" w:space="0" w:color="auto"/>
                                                                        <w:right w:val="none" w:sz="0" w:space="0" w:color="auto"/>
                                                                      </w:divBdr>
                                                                      <w:divsChild>
                                                                        <w:div w:id="1558779535">
                                                                          <w:marLeft w:val="0"/>
                                                                          <w:marRight w:val="0"/>
                                                                          <w:marTop w:val="0"/>
                                                                          <w:marBottom w:val="0"/>
                                                                          <w:divBdr>
                                                                            <w:top w:val="none" w:sz="0" w:space="0" w:color="auto"/>
                                                                            <w:left w:val="none" w:sz="0" w:space="0" w:color="auto"/>
                                                                            <w:bottom w:val="none" w:sz="0" w:space="0" w:color="auto"/>
                                                                            <w:right w:val="none" w:sz="0" w:space="0" w:color="auto"/>
                                                                          </w:divBdr>
                                                                          <w:divsChild>
                                                                            <w:div w:id="658731705">
                                                                              <w:marLeft w:val="0"/>
                                                                              <w:marRight w:val="0"/>
                                                                              <w:marTop w:val="0"/>
                                                                              <w:marBottom w:val="0"/>
                                                                              <w:divBdr>
                                                                                <w:top w:val="none" w:sz="0" w:space="0" w:color="auto"/>
                                                                                <w:left w:val="none" w:sz="0" w:space="0" w:color="auto"/>
                                                                                <w:bottom w:val="none" w:sz="0" w:space="0" w:color="auto"/>
                                                                                <w:right w:val="none" w:sz="0" w:space="0" w:color="auto"/>
                                                                              </w:divBdr>
                                                                              <w:divsChild>
                                                                                <w:div w:id="174924496">
                                                                                  <w:marLeft w:val="0"/>
                                                                                  <w:marRight w:val="0"/>
                                                                                  <w:marTop w:val="0"/>
                                                                                  <w:marBottom w:val="0"/>
                                                                                  <w:divBdr>
                                                                                    <w:top w:val="none" w:sz="0" w:space="0" w:color="auto"/>
                                                                                    <w:left w:val="none" w:sz="0" w:space="0" w:color="auto"/>
                                                                                    <w:bottom w:val="none" w:sz="0" w:space="0" w:color="auto"/>
                                                                                    <w:right w:val="none" w:sz="0" w:space="0" w:color="auto"/>
                                                                                  </w:divBdr>
                                                                                  <w:divsChild>
                                                                                    <w:div w:id="1230309390">
                                                                                      <w:marLeft w:val="0"/>
                                                                                      <w:marRight w:val="0"/>
                                                                                      <w:marTop w:val="0"/>
                                                                                      <w:marBottom w:val="0"/>
                                                                                      <w:divBdr>
                                                                                        <w:top w:val="none" w:sz="0" w:space="0" w:color="auto"/>
                                                                                        <w:left w:val="none" w:sz="0" w:space="0" w:color="auto"/>
                                                                                        <w:bottom w:val="none" w:sz="0" w:space="0" w:color="auto"/>
                                                                                        <w:right w:val="none" w:sz="0" w:space="0" w:color="auto"/>
                                                                                      </w:divBdr>
                                                                                      <w:divsChild>
                                                                                        <w:div w:id="17155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019338">
      <w:bodyDiv w:val="1"/>
      <w:marLeft w:val="0"/>
      <w:marRight w:val="0"/>
      <w:marTop w:val="0"/>
      <w:marBottom w:val="0"/>
      <w:divBdr>
        <w:top w:val="none" w:sz="0" w:space="0" w:color="auto"/>
        <w:left w:val="none" w:sz="0" w:space="0" w:color="auto"/>
        <w:bottom w:val="none" w:sz="0" w:space="0" w:color="auto"/>
        <w:right w:val="none" w:sz="0" w:space="0" w:color="auto"/>
      </w:divBdr>
      <w:divsChild>
        <w:div w:id="105391652">
          <w:marLeft w:val="0"/>
          <w:marRight w:val="0"/>
          <w:marTop w:val="0"/>
          <w:marBottom w:val="0"/>
          <w:divBdr>
            <w:top w:val="none" w:sz="0" w:space="0" w:color="auto"/>
            <w:left w:val="none" w:sz="0" w:space="0" w:color="auto"/>
            <w:bottom w:val="none" w:sz="0" w:space="0" w:color="auto"/>
            <w:right w:val="none" w:sz="0" w:space="0" w:color="auto"/>
          </w:divBdr>
          <w:divsChild>
            <w:div w:id="1827278742">
              <w:marLeft w:val="0"/>
              <w:marRight w:val="0"/>
              <w:marTop w:val="0"/>
              <w:marBottom w:val="0"/>
              <w:divBdr>
                <w:top w:val="none" w:sz="0" w:space="0" w:color="auto"/>
                <w:left w:val="none" w:sz="0" w:space="0" w:color="auto"/>
                <w:bottom w:val="none" w:sz="0" w:space="0" w:color="auto"/>
                <w:right w:val="none" w:sz="0" w:space="0" w:color="auto"/>
              </w:divBdr>
              <w:divsChild>
                <w:div w:id="793254803">
                  <w:marLeft w:val="0"/>
                  <w:marRight w:val="0"/>
                  <w:marTop w:val="0"/>
                  <w:marBottom w:val="0"/>
                  <w:divBdr>
                    <w:top w:val="none" w:sz="0" w:space="0" w:color="auto"/>
                    <w:left w:val="none" w:sz="0" w:space="0" w:color="auto"/>
                    <w:bottom w:val="none" w:sz="0" w:space="0" w:color="auto"/>
                    <w:right w:val="none" w:sz="0" w:space="0" w:color="auto"/>
                  </w:divBdr>
                  <w:divsChild>
                    <w:div w:id="1596397574">
                      <w:marLeft w:val="0"/>
                      <w:marRight w:val="0"/>
                      <w:marTop w:val="0"/>
                      <w:marBottom w:val="0"/>
                      <w:divBdr>
                        <w:top w:val="none" w:sz="0" w:space="0" w:color="auto"/>
                        <w:left w:val="none" w:sz="0" w:space="0" w:color="auto"/>
                        <w:bottom w:val="none" w:sz="0" w:space="0" w:color="auto"/>
                        <w:right w:val="none" w:sz="0" w:space="0" w:color="auto"/>
                      </w:divBdr>
                      <w:divsChild>
                        <w:div w:id="685525577">
                          <w:marLeft w:val="0"/>
                          <w:marRight w:val="0"/>
                          <w:marTop w:val="0"/>
                          <w:marBottom w:val="0"/>
                          <w:divBdr>
                            <w:top w:val="none" w:sz="0" w:space="0" w:color="auto"/>
                            <w:left w:val="none" w:sz="0" w:space="0" w:color="auto"/>
                            <w:bottom w:val="none" w:sz="0" w:space="0" w:color="auto"/>
                            <w:right w:val="none" w:sz="0" w:space="0" w:color="auto"/>
                          </w:divBdr>
                          <w:divsChild>
                            <w:div w:id="264851362">
                              <w:marLeft w:val="0"/>
                              <w:marRight w:val="0"/>
                              <w:marTop w:val="0"/>
                              <w:marBottom w:val="0"/>
                              <w:divBdr>
                                <w:top w:val="none" w:sz="0" w:space="0" w:color="auto"/>
                                <w:left w:val="none" w:sz="0" w:space="0" w:color="auto"/>
                                <w:bottom w:val="none" w:sz="0" w:space="0" w:color="auto"/>
                                <w:right w:val="none" w:sz="0" w:space="0" w:color="auto"/>
                              </w:divBdr>
                              <w:divsChild>
                                <w:div w:id="84621133">
                                  <w:marLeft w:val="0"/>
                                  <w:marRight w:val="0"/>
                                  <w:marTop w:val="0"/>
                                  <w:marBottom w:val="0"/>
                                  <w:divBdr>
                                    <w:top w:val="none" w:sz="0" w:space="0" w:color="auto"/>
                                    <w:left w:val="none" w:sz="0" w:space="0" w:color="auto"/>
                                    <w:bottom w:val="none" w:sz="0" w:space="0" w:color="auto"/>
                                    <w:right w:val="none" w:sz="0" w:space="0" w:color="auto"/>
                                  </w:divBdr>
                                  <w:divsChild>
                                    <w:div w:id="2017343345">
                                      <w:marLeft w:val="0"/>
                                      <w:marRight w:val="0"/>
                                      <w:marTop w:val="0"/>
                                      <w:marBottom w:val="0"/>
                                      <w:divBdr>
                                        <w:top w:val="none" w:sz="0" w:space="0" w:color="auto"/>
                                        <w:left w:val="none" w:sz="0" w:space="0" w:color="auto"/>
                                        <w:bottom w:val="none" w:sz="0" w:space="0" w:color="auto"/>
                                        <w:right w:val="none" w:sz="0" w:space="0" w:color="auto"/>
                                      </w:divBdr>
                                      <w:divsChild>
                                        <w:div w:id="2021076901">
                                          <w:marLeft w:val="0"/>
                                          <w:marRight w:val="0"/>
                                          <w:marTop w:val="0"/>
                                          <w:marBottom w:val="0"/>
                                          <w:divBdr>
                                            <w:top w:val="none" w:sz="0" w:space="0" w:color="auto"/>
                                            <w:left w:val="none" w:sz="0" w:space="0" w:color="auto"/>
                                            <w:bottom w:val="none" w:sz="0" w:space="0" w:color="auto"/>
                                            <w:right w:val="none" w:sz="0" w:space="0" w:color="auto"/>
                                          </w:divBdr>
                                          <w:divsChild>
                                            <w:div w:id="2123717415">
                                              <w:marLeft w:val="0"/>
                                              <w:marRight w:val="0"/>
                                              <w:marTop w:val="0"/>
                                              <w:marBottom w:val="0"/>
                                              <w:divBdr>
                                                <w:top w:val="none" w:sz="0" w:space="0" w:color="auto"/>
                                                <w:left w:val="none" w:sz="0" w:space="0" w:color="auto"/>
                                                <w:bottom w:val="none" w:sz="0" w:space="0" w:color="auto"/>
                                                <w:right w:val="none" w:sz="0" w:space="0" w:color="auto"/>
                                              </w:divBdr>
                                              <w:divsChild>
                                                <w:div w:id="2021665595">
                                                  <w:marLeft w:val="0"/>
                                                  <w:marRight w:val="0"/>
                                                  <w:marTop w:val="0"/>
                                                  <w:marBottom w:val="0"/>
                                                  <w:divBdr>
                                                    <w:top w:val="none" w:sz="0" w:space="0" w:color="auto"/>
                                                    <w:left w:val="none" w:sz="0" w:space="0" w:color="auto"/>
                                                    <w:bottom w:val="none" w:sz="0" w:space="0" w:color="auto"/>
                                                    <w:right w:val="none" w:sz="0" w:space="0" w:color="auto"/>
                                                  </w:divBdr>
                                                  <w:divsChild>
                                                    <w:div w:id="895042878">
                                                      <w:marLeft w:val="0"/>
                                                      <w:marRight w:val="0"/>
                                                      <w:marTop w:val="0"/>
                                                      <w:marBottom w:val="0"/>
                                                      <w:divBdr>
                                                        <w:top w:val="none" w:sz="0" w:space="0" w:color="auto"/>
                                                        <w:left w:val="none" w:sz="0" w:space="0" w:color="auto"/>
                                                        <w:bottom w:val="none" w:sz="0" w:space="0" w:color="auto"/>
                                                        <w:right w:val="none" w:sz="0" w:space="0" w:color="auto"/>
                                                      </w:divBdr>
                                                      <w:divsChild>
                                                        <w:div w:id="131990766">
                                                          <w:marLeft w:val="0"/>
                                                          <w:marRight w:val="0"/>
                                                          <w:marTop w:val="0"/>
                                                          <w:marBottom w:val="0"/>
                                                          <w:divBdr>
                                                            <w:top w:val="none" w:sz="0" w:space="0" w:color="auto"/>
                                                            <w:left w:val="none" w:sz="0" w:space="0" w:color="auto"/>
                                                            <w:bottom w:val="none" w:sz="0" w:space="0" w:color="auto"/>
                                                            <w:right w:val="none" w:sz="0" w:space="0" w:color="auto"/>
                                                          </w:divBdr>
                                                          <w:divsChild>
                                                            <w:div w:id="1302883933">
                                                              <w:marLeft w:val="0"/>
                                                              <w:marRight w:val="0"/>
                                                              <w:marTop w:val="0"/>
                                                              <w:marBottom w:val="0"/>
                                                              <w:divBdr>
                                                                <w:top w:val="none" w:sz="0" w:space="0" w:color="auto"/>
                                                                <w:left w:val="none" w:sz="0" w:space="0" w:color="auto"/>
                                                                <w:bottom w:val="none" w:sz="0" w:space="0" w:color="auto"/>
                                                                <w:right w:val="none" w:sz="0" w:space="0" w:color="auto"/>
                                                              </w:divBdr>
                                                              <w:divsChild>
                                                                <w:div w:id="1864439691">
                                                                  <w:marLeft w:val="0"/>
                                                                  <w:marRight w:val="0"/>
                                                                  <w:marTop w:val="0"/>
                                                                  <w:marBottom w:val="0"/>
                                                                  <w:divBdr>
                                                                    <w:top w:val="none" w:sz="0" w:space="0" w:color="auto"/>
                                                                    <w:left w:val="none" w:sz="0" w:space="0" w:color="auto"/>
                                                                    <w:bottom w:val="none" w:sz="0" w:space="0" w:color="auto"/>
                                                                    <w:right w:val="none" w:sz="0" w:space="0" w:color="auto"/>
                                                                  </w:divBdr>
                                                                  <w:divsChild>
                                                                    <w:div w:id="1273780553">
                                                                      <w:marLeft w:val="0"/>
                                                                      <w:marRight w:val="0"/>
                                                                      <w:marTop w:val="0"/>
                                                                      <w:marBottom w:val="0"/>
                                                                      <w:divBdr>
                                                                        <w:top w:val="none" w:sz="0" w:space="0" w:color="auto"/>
                                                                        <w:left w:val="none" w:sz="0" w:space="0" w:color="auto"/>
                                                                        <w:bottom w:val="none" w:sz="0" w:space="0" w:color="auto"/>
                                                                        <w:right w:val="none" w:sz="0" w:space="0" w:color="auto"/>
                                                                      </w:divBdr>
                                                                      <w:divsChild>
                                                                        <w:div w:id="1829397733">
                                                                          <w:marLeft w:val="0"/>
                                                                          <w:marRight w:val="0"/>
                                                                          <w:marTop w:val="0"/>
                                                                          <w:marBottom w:val="0"/>
                                                                          <w:divBdr>
                                                                            <w:top w:val="none" w:sz="0" w:space="0" w:color="auto"/>
                                                                            <w:left w:val="none" w:sz="0" w:space="0" w:color="auto"/>
                                                                            <w:bottom w:val="none" w:sz="0" w:space="0" w:color="auto"/>
                                                                            <w:right w:val="none" w:sz="0" w:space="0" w:color="auto"/>
                                                                          </w:divBdr>
                                                                          <w:divsChild>
                                                                            <w:div w:id="1334919475">
                                                                              <w:marLeft w:val="0"/>
                                                                              <w:marRight w:val="0"/>
                                                                              <w:marTop w:val="0"/>
                                                                              <w:marBottom w:val="0"/>
                                                                              <w:divBdr>
                                                                                <w:top w:val="none" w:sz="0" w:space="0" w:color="auto"/>
                                                                                <w:left w:val="none" w:sz="0" w:space="0" w:color="auto"/>
                                                                                <w:bottom w:val="none" w:sz="0" w:space="0" w:color="auto"/>
                                                                                <w:right w:val="none" w:sz="0" w:space="0" w:color="auto"/>
                                                                              </w:divBdr>
                                                                              <w:divsChild>
                                                                                <w:div w:id="21066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309984">
                                          <w:marLeft w:val="0"/>
                                          <w:marRight w:val="0"/>
                                          <w:marTop w:val="0"/>
                                          <w:marBottom w:val="0"/>
                                          <w:divBdr>
                                            <w:top w:val="none" w:sz="0" w:space="0" w:color="auto"/>
                                            <w:left w:val="none" w:sz="0" w:space="0" w:color="auto"/>
                                            <w:bottom w:val="none" w:sz="0" w:space="0" w:color="auto"/>
                                            <w:right w:val="none" w:sz="0" w:space="0" w:color="auto"/>
                                          </w:divBdr>
                                          <w:divsChild>
                                            <w:div w:id="289632949">
                                              <w:marLeft w:val="0"/>
                                              <w:marRight w:val="0"/>
                                              <w:marTop w:val="0"/>
                                              <w:marBottom w:val="0"/>
                                              <w:divBdr>
                                                <w:top w:val="none" w:sz="0" w:space="0" w:color="auto"/>
                                                <w:left w:val="none" w:sz="0" w:space="0" w:color="auto"/>
                                                <w:bottom w:val="none" w:sz="0" w:space="0" w:color="auto"/>
                                                <w:right w:val="none" w:sz="0" w:space="0" w:color="auto"/>
                                              </w:divBdr>
                                              <w:divsChild>
                                                <w:div w:id="51467951">
                                                  <w:marLeft w:val="0"/>
                                                  <w:marRight w:val="0"/>
                                                  <w:marTop w:val="0"/>
                                                  <w:marBottom w:val="0"/>
                                                  <w:divBdr>
                                                    <w:top w:val="none" w:sz="0" w:space="0" w:color="auto"/>
                                                    <w:left w:val="none" w:sz="0" w:space="0" w:color="auto"/>
                                                    <w:bottom w:val="none" w:sz="0" w:space="0" w:color="auto"/>
                                                    <w:right w:val="none" w:sz="0" w:space="0" w:color="auto"/>
                                                  </w:divBdr>
                                                  <w:divsChild>
                                                    <w:div w:id="476915067">
                                                      <w:marLeft w:val="0"/>
                                                      <w:marRight w:val="0"/>
                                                      <w:marTop w:val="0"/>
                                                      <w:marBottom w:val="0"/>
                                                      <w:divBdr>
                                                        <w:top w:val="none" w:sz="0" w:space="0" w:color="auto"/>
                                                        <w:left w:val="none" w:sz="0" w:space="0" w:color="auto"/>
                                                        <w:bottom w:val="none" w:sz="0" w:space="0" w:color="auto"/>
                                                        <w:right w:val="none" w:sz="0" w:space="0" w:color="auto"/>
                                                      </w:divBdr>
                                                      <w:divsChild>
                                                        <w:div w:id="1818690524">
                                                          <w:marLeft w:val="0"/>
                                                          <w:marRight w:val="0"/>
                                                          <w:marTop w:val="0"/>
                                                          <w:marBottom w:val="0"/>
                                                          <w:divBdr>
                                                            <w:top w:val="none" w:sz="0" w:space="0" w:color="auto"/>
                                                            <w:left w:val="none" w:sz="0" w:space="0" w:color="auto"/>
                                                            <w:bottom w:val="none" w:sz="0" w:space="0" w:color="auto"/>
                                                            <w:right w:val="none" w:sz="0" w:space="0" w:color="auto"/>
                                                          </w:divBdr>
                                                          <w:divsChild>
                                                            <w:div w:id="317079359">
                                                              <w:marLeft w:val="0"/>
                                                              <w:marRight w:val="0"/>
                                                              <w:marTop w:val="0"/>
                                                              <w:marBottom w:val="0"/>
                                                              <w:divBdr>
                                                                <w:top w:val="none" w:sz="0" w:space="0" w:color="auto"/>
                                                                <w:left w:val="none" w:sz="0" w:space="0" w:color="auto"/>
                                                                <w:bottom w:val="none" w:sz="0" w:space="0" w:color="auto"/>
                                                                <w:right w:val="none" w:sz="0" w:space="0" w:color="auto"/>
                                                              </w:divBdr>
                                                              <w:divsChild>
                                                                <w:div w:id="993293758">
                                                                  <w:marLeft w:val="0"/>
                                                                  <w:marRight w:val="0"/>
                                                                  <w:marTop w:val="0"/>
                                                                  <w:marBottom w:val="0"/>
                                                                  <w:divBdr>
                                                                    <w:top w:val="none" w:sz="0" w:space="0" w:color="auto"/>
                                                                    <w:left w:val="none" w:sz="0" w:space="0" w:color="auto"/>
                                                                    <w:bottom w:val="none" w:sz="0" w:space="0" w:color="auto"/>
                                                                    <w:right w:val="none" w:sz="0" w:space="0" w:color="auto"/>
                                                                  </w:divBdr>
                                                                  <w:divsChild>
                                                                    <w:div w:id="1829053250">
                                                                      <w:marLeft w:val="0"/>
                                                                      <w:marRight w:val="0"/>
                                                                      <w:marTop w:val="0"/>
                                                                      <w:marBottom w:val="0"/>
                                                                      <w:divBdr>
                                                                        <w:top w:val="none" w:sz="0" w:space="0" w:color="auto"/>
                                                                        <w:left w:val="none" w:sz="0" w:space="0" w:color="auto"/>
                                                                        <w:bottom w:val="none" w:sz="0" w:space="0" w:color="auto"/>
                                                                        <w:right w:val="none" w:sz="0" w:space="0" w:color="auto"/>
                                                                      </w:divBdr>
                                                                      <w:divsChild>
                                                                        <w:div w:id="1048846277">
                                                                          <w:marLeft w:val="0"/>
                                                                          <w:marRight w:val="0"/>
                                                                          <w:marTop w:val="0"/>
                                                                          <w:marBottom w:val="0"/>
                                                                          <w:divBdr>
                                                                            <w:top w:val="none" w:sz="0" w:space="0" w:color="auto"/>
                                                                            <w:left w:val="none" w:sz="0" w:space="0" w:color="auto"/>
                                                                            <w:bottom w:val="none" w:sz="0" w:space="0" w:color="auto"/>
                                                                            <w:right w:val="none" w:sz="0" w:space="0" w:color="auto"/>
                                                                          </w:divBdr>
                                                                          <w:divsChild>
                                                                            <w:div w:id="1937471191">
                                                                              <w:marLeft w:val="0"/>
                                                                              <w:marRight w:val="0"/>
                                                                              <w:marTop w:val="0"/>
                                                                              <w:marBottom w:val="0"/>
                                                                              <w:divBdr>
                                                                                <w:top w:val="none" w:sz="0" w:space="0" w:color="auto"/>
                                                                                <w:left w:val="none" w:sz="0" w:space="0" w:color="auto"/>
                                                                                <w:bottom w:val="none" w:sz="0" w:space="0" w:color="auto"/>
                                                                                <w:right w:val="none" w:sz="0" w:space="0" w:color="auto"/>
                                                                              </w:divBdr>
                                                                              <w:divsChild>
                                                                                <w:div w:id="1245408246">
                                                                                  <w:marLeft w:val="0"/>
                                                                                  <w:marRight w:val="0"/>
                                                                                  <w:marTop w:val="0"/>
                                                                                  <w:marBottom w:val="0"/>
                                                                                  <w:divBdr>
                                                                                    <w:top w:val="none" w:sz="0" w:space="0" w:color="auto"/>
                                                                                    <w:left w:val="none" w:sz="0" w:space="0" w:color="auto"/>
                                                                                    <w:bottom w:val="none" w:sz="0" w:space="0" w:color="auto"/>
                                                                                    <w:right w:val="none" w:sz="0" w:space="0" w:color="auto"/>
                                                                                  </w:divBdr>
                                                                                  <w:divsChild>
                                                                                    <w:div w:id="305281190">
                                                                                      <w:marLeft w:val="0"/>
                                                                                      <w:marRight w:val="0"/>
                                                                                      <w:marTop w:val="0"/>
                                                                                      <w:marBottom w:val="0"/>
                                                                                      <w:divBdr>
                                                                                        <w:top w:val="none" w:sz="0" w:space="0" w:color="auto"/>
                                                                                        <w:left w:val="none" w:sz="0" w:space="0" w:color="auto"/>
                                                                                        <w:bottom w:val="none" w:sz="0" w:space="0" w:color="auto"/>
                                                                                        <w:right w:val="none" w:sz="0" w:space="0" w:color="auto"/>
                                                                                      </w:divBdr>
                                                                                      <w:divsChild>
                                                                                        <w:div w:id="18425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158303">
      <w:bodyDiv w:val="1"/>
      <w:marLeft w:val="0"/>
      <w:marRight w:val="0"/>
      <w:marTop w:val="0"/>
      <w:marBottom w:val="0"/>
      <w:divBdr>
        <w:top w:val="none" w:sz="0" w:space="0" w:color="auto"/>
        <w:left w:val="none" w:sz="0" w:space="0" w:color="auto"/>
        <w:bottom w:val="none" w:sz="0" w:space="0" w:color="auto"/>
        <w:right w:val="none" w:sz="0" w:space="0" w:color="auto"/>
      </w:divBdr>
      <w:divsChild>
        <w:div w:id="346643105">
          <w:marLeft w:val="0"/>
          <w:marRight w:val="0"/>
          <w:marTop w:val="0"/>
          <w:marBottom w:val="0"/>
          <w:divBdr>
            <w:top w:val="none" w:sz="0" w:space="0" w:color="auto"/>
            <w:left w:val="none" w:sz="0" w:space="0" w:color="auto"/>
            <w:bottom w:val="none" w:sz="0" w:space="0" w:color="auto"/>
            <w:right w:val="none" w:sz="0" w:space="0" w:color="auto"/>
          </w:divBdr>
        </w:div>
        <w:div w:id="59257475">
          <w:marLeft w:val="0"/>
          <w:marRight w:val="0"/>
          <w:marTop w:val="0"/>
          <w:marBottom w:val="0"/>
          <w:divBdr>
            <w:top w:val="none" w:sz="0" w:space="0" w:color="auto"/>
            <w:left w:val="none" w:sz="0" w:space="0" w:color="auto"/>
            <w:bottom w:val="none" w:sz="0" w:space="0" w:color="auto"/>
            <w:right w:val="none" w:sz="0" w:space="0" w:color="auto"/>
          </w:divBdr>
        </w:div>
        <w:div w:id="1713650950">
          <w:marLeft w:val="0"/>
          <w:marRight w:val="0"/>
          <w:marTop w:val="0"/>
          <w:marBottom w:val="0"/>
          <w:divBdr>
            <w:top w:val="none" w:sz="0" w:space="0" w:color="auto"/>
            <w:left w:val="none" w:sz="0" w:space="0" w:color="auto"/>
            <w:bottom w:val="none" w:sz="0" w:space="0" w:color="auto"/>
            <w:right w:val="none" w:sz="0" w:space="0" w:color="auto"/>
          </w:divBdr>
        </w:div>
        <w:div w:id="905065371">
          <w:marLeft w:val="0"/>
          <w:marRight w:val="0"/>
          <w:marTop w:val="0"/>
          <w:marBottom w:val="0"/>
          <w:divBdr>
            <w:top w:val="none" w:sz="0" w:space="0" w:color="auto"/>
            <w:left w:val="none" w:sz="0" w:space="0" w:color="auto"/>
            <w:bottom w:val="none" w:sz="0" w:space="0" w:color="auto"/>
            <w:right w:val="none" w:sz="0" w:space="0" w:color="auto"/>
          </w:divBdr>
        </w:div>
      </w:divsChild>
    </w:div>
    <w:div w:id="2147239694">
      <w:bodyDiv w:val="1"/>
      <w:marLeft w:val="0"/>
      <w:marRight w:val="0"/>
      <w:marTop w:val="0"/>
      <w:marBottom w:val="0"/>
      <w:divBdr>
        <w:top w:val="none" w:sz="0" w:space="0" w:color="auto"/>
        <w:left w:val="none" w:sz="0" w:space="0" w:color="auto"/>
        <w:bottom w:val="none" w:sz="0" w:space="0" w:color="auto"/>
        <w:right w:val="none" w:sz="0" w:space="0" w:color="auto"/>
      </w:divBdr>
      <w:divsChild>
        <w:div w:id="570501724">
          <w:marLeft w:val="0"/>
          <w:marRight w:val="0"/>
          <w:marTop w:val="0"/>
          <w:marBottom w:val="0"/>
          <w:divBdr>
            <w:top w:val="none" w:sz="0" w:space="0" w:color="auto"/>
            <w:left w:val="none" w:sz="0" w:space="0" w:color="auto"/>
            <w:bottom w:val="none" w:sz="0" w:space="0" w:color="auto"/>
            <w:right w:val="none" w:sz="0" w:space="0" w:color="auto"/>
          </w:divBdr>
        </w:div>
        <w:div w:id="468672130">
          <w:marLeft w:val="0"/>
          <w:marRight w:val="0"/>
          <w:marTop w:val="0"/>
          <w:marBottom w:val="0"/>
          <w:divBdr>
            <w:top w:val="none" w:sz="0" w:space="0" w:color="auto"/>
            <w:left w:val="none" w:sz="0" w:space="0" w:color="auto"/>
            <w:bottom w:val="none" w:sz="0" w:space="0" w:color="auto"/>
            <w:right w:val="none" w:sz="0" w:space="0" w:color="auto"/>
          </w:divBdr>
        </w:div>
        <w:div w:id="927688882">
          <w:marLeft w:val="0"/>
          <w:marRight w:val="0"/>
          <w:marTop w:val="0"/>
          <w:marBottom w:val="0"/>
          <w:divBdr>
            <w:top w:val="none" w:sz="0" w:space="0" w:color="auto"/>
            <w:left w:val="none" w:sz="0" w:space="0" w:color="auto"/>
            <w:bottom w:val="none" w:sz="0" w:space="0" w:color="auto"/>
            <w:right w:val="none" w:sz="0" w:space="0" w:color="auto"/>
          </w:divBdr>
        </w:div>
        <w:div w:id="19616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PER.21-0078" TargetMode="External"/><Relationship Id="rId18" Type="http://schemas.openxmlformats.org/officeDocument/2006/relationships/hyperlink" Target="https://doi.org/10.1177/00220345231160747" TargetMode="External"/><Relationship Id="rId26" Type="http://schemas.openxmlformats.org/officeDocument/2006/relationships/hyperlink" Target="https://doi.org/10.1371/journal.pone.0134234" TargetMode="External"/><Relationship Id="rId39" Type="http://schemas.openxmlformats.org/officeDocument/2006/relationships/fontTable" Target="fontTable.xml"/><Relationship Id="rId21" Type="http://schemas.openxmlformats.org/officeDocument/2006/relationships/hyperlink" Target="https://doi.org/10.1016/j.cell.2020.05.048" TargetMode="External"/><Relationship Id="rId34" Type="http://schemas.openxmlformats.org/officeDocument/2006/relationships/header" Target="header2.xml"/><Relationship Id="rId7" Type="http://schemas.openxmlformats.org/officeDocument/2006/relationships/hyperlink" Target="https://doi.org/10.1126/science.aan4526" TargetMode="External"/><Relationship Id="rId12" Type="http://schemas.openxmlformats.org/officeDocument/2006/relationships/hyperlink" Target="https://doi.org/10.3389/fimmu.2021.620124" TargetMode="External"/><Relationship Id="rId17" Type="http://schemas.openxmlformats.org/officeDocument/2006/relationships/hyperlink" Target="https://doi.org/10.3390/biomedicines12030685" TargetMode="External"/><Relationship Id="rId25" Type="http://schemas.openxmlformats.org/officeDocument/2006/relationships/hyperlink" Target="https://doi.org/10.3390/medicina5804054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577-020-00488-6" TargetMode="External"/><Relationship Id="rId20" Type="http://schemas.openxmlformats.org/officeDocument/2006/relationships/hyperlink" Target="https://doi.org/10.1038/nrdp.2017.38" TargetMode="External"/><Relationship Id="rId29" Type="http://schemas.openxmlformats.org/officeDocument/2006/relationships/hyperlink" Target="https://doi.org/10.3390/medicina60091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220345231221709" TargetMode="External"/><Relationship Id="rId24" Type="http://schemas.openxmlformats.org/officeDocument/2006/relationships/hyperlink" Target="https://doi.org/10.3389/fcimb.2023.1093967" TargetMode="External"/><Relationship Id="rId32" Type="http://schemas.openxmlformats.org/officeDocument/2006/relationships/hyperlink" Target="https://doi.org/10.3389/fcimb.2024.147836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nri3785" TargetMode="External"/><Relationship Id="rId23" Type="http://schemas.openxmlformats.org/officeDocument/2006/relationships/hyperlink" Target="https://doi.org/10.3389/fimmu.2022.1010368" TargetMode="External"/><Relationship Id="rId28" Type="http://schemas.openxmlformats.org/officeDocument/2006/relationships/hyperlink" Target="https://doi.org/10.4300/JGME-D-22-00480.1" TargetMode="External"/><Relationship Id="rId36" Type="http://schemas.openxmlformats.org/officeDocument/2006/relationships/footer" Target="footer2.xml"/><Relationship Id="rId10" Type="http://schemas.openxmlformats.org/officeDocument/2006/relationships/hyperlink" Target="https://doi.org/10.3390/cancers15184594" TargetMode="External"/><Relationship Id="rId19" Type="http://schemas.openxmlformats.org/officeDocument/2006/relationships/hyperlink" Target="https://doi.org/10.3389/froh.2021.722495" TargetMode="External"/><Relationship Id="rId31" Type="http://schemas.openxmlformats.org/officeDocument/2006/relationships/hyperlink" Target="https://doi.org/10.1111/jcpe.12945" TargetMode="External"/><Relationship Id="rId4" Type="http://schemas.openxmlformats.org/officeDocument/2006/relationships/webSettings" Target="webSettings.xml"/><Relationship Id="rId9" Type="http://schemas.openxmlformats.org/officeDocument/2006/relationships/hyperlink" Target="https://doi.org/10.1177/00220345231222800" TargetMode="External"/><Relationship Id="rId14" Type="http://schemas.openxmlformats.org/officeDocument/2006/relationships/hyperlink" Target="https://doi.org/10.1902/jop.2015.140520" TargetMode="External"/><Relationship Id="rId22" Type="http://schemas.openxmlformats.org/officeDocument/2006/relationships/hyperlink" Target="https://doi.org/10.3748/wjg.v29.i6.967" TargetMode="External"/><Relationship Id="rId27" Type="http://schemas.openxmlformats.org/officeDocument/2006/relationships/hyperlink" Target="https://doi.org/10.1111/omi.12359" TargetMode="External"/><Relationship Id="rId30" Type="http://schemas.openxmlformats.org/officeDocument/2006/relationships/hyperlink" Target="https://doi.org/10.1093/ecco-jcc/jjae028" TargetMode="External"/><Relationship Id="rId35" Type="http://schemas.openxmlformats.org/officeDocument/2006/relationships/footer" Target="footer1.xml"/><Relationship Id="rId8" Type="http://schemas.openxmlformats.org/officeDocument/2006/relationships/hyperlink" Target="https://doi.org/10.1111/jre.700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9675</Words>
  <Characters>55149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4</cp:revision>
  <dcterms:created xsi:type="dcterms:W3CDTF">2026-05-18T12:16:00Z</dcterms:created>
  <dcterms:modified xsi:type="dcterms:W3CDTF">2026-05-18T14:23:00Z</dcterms:modified>
</cp:coreProperties>
</file>