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A3FB6" w14:textId="01A4B6AD" w:rsidR="009A49CE" w:rsidRDefault="009A49CE">
      <w:pPr>
        <w:spacing w:after="160"/>
        <w:jc w:val="center"/>
        <w:rPr>
          <w:b/>
          <w:bCs/>
          <w:sz w:val="30"/>
          <w:szCs w:val="30"/>
        </w:rPr>
      </w:pPr>
      <w:r w:rsidRPr="009A49CE">
        <w:rPr>
          <w:b/>
          <w:bCs/>
          <w:sz w:val="30"/>
          <w:szCs w:val="30"/>
        </w:rPr>
        <w:t>Case report</w:t>
      </w:r>
    </w:p>
    <w:p w14:paraId="3AEFC146" w14:textId="19EAD8C6" w:rsidR="00183AF9" w:rsidRDefault="00BB5016">
      <w:pPr>
        <w:spacing w:after="160"/>
        <w:jc w:val="center"/>
      </w:pPr>
      <w:r>
        <w:rPr>
          <w:b/>
          <w:bCs/>
          <w:sz w:val="30"/>
          <w:szCs w:val="30"/>
        </w:rPr>
        <w:t>Lithium Disilicate Resin-Bonded Fixed Dental Prosthesis for Replacement of a Missing Maxillary Lateral Incisor Using Digital Workflow: A CARE-Compliant Case Report</w:t>
      </w:r>
    </w:p>
    <w:p w14:paraId="36EF1A24" w14:textId="62DABBC7" w:rsidR="0099663F" w:rsidRDefault="0099663F">
      <w:pPr>
        <w:spacing w:before="40" w:after="40"/>
        <w:jc w:val="center"/>
        <w:rPr>
          <w:b/>
          <w:bCs/>
        </w:rPr>
      </w:pPr>
    </w:p>
    <w:p w14:paraId="7C62B4E7" w14:textId="71C30C88" w:rsidR="00965109" w:rsidRDefault="00965109">
      <w:pPr>
        <w:spacing w:before="40" w:after="40"/>
        <w:jc w:val="center"/>
        <w:rPr>
          <w:sz w:val="20"/>
          <w:szCs w:val="20"/>
        </w:rPr>
      </w:pPr>
    </w:p>
    <w:p w14:paraId="62C4BF1B" w14:textId="77777777" w:rsidR="00965109" w:rsidRDefault="00965109">
      <w:pPr>
        <w:spacing w:before="40" w:after="40"/>
        <w:jc w:val="center"/>
        <w:rPr>
          <w:sz w:val="20"/>
          <w:szCs w:val="20"/>
        </w:rPr>
      </w:pPr>
    </w:p>
    <w:p w14:paraId="4BC6ADD5" w14:textId="77777777" w:rsidR="00183AF9" w:rsidRDefault="00BB5016">
      <w:pPr>
        <w:pBdr>
          <w:top w:val="single" w:sz="6" w:space="0" w:color="1F3864"/>
        </w:pBdr>
        <w:spacing w:before="160"/>
      </w:pPr>
      <w:r>
        <w:rPr>
          <w:b/>
          <w:bCs/>
          <w:color w:val="1F3864"/>
          <w:sz w:val="26"/>
          <w:szCs w:val="26"/>
        </w:rPr>
        <w:t>ABSTRACT</w:t>
      </w:r>
    </w:p>
    <w:p w14:paraId="2007A50A" w14:textId="77777777" w:rsidR="00183AF9" w:rsidRDefault="00BB5016">
      <w:pPr>
        <w:spacing w:before="80" w:after="60"/>
        <w:jc w:val="both"/>
      </w:pPr>
      <w:r>
        <w:rPr>
          <w:b/>
          <w:bCs/>
        </w:rPr>
        <w:t xml:space="preserve">Background: </w:t>
      </w:r>
      <w:r>
        <w:t>Resin-bonded fixed dental prostheses (RBFDPs) represent a minimally invasive solution for replacing missing anterior teeth. The evolution of ceramic materials, particularly lithium disilicate, combined with digital CAD-CAM workflows has significantly enhanced the clinical predictability and aesthetic outcomes of these restorations.</w:t>
      </w:r>
    </w:p>
    <w:p w14:paraId="6053303F" w14:textId="77777777" w:rsidR="00183AF9" w:rsidRDefault="00BB5016">
      <w:pPr>
        <w:spacing w:before="60" w:after="60"/>
        <w:jc w:val="both"/>
      </w:pPr>
      <w:r>
        <w:rPr>
          <w:b/>
          <w:bCs/>
        </w:rPr>
        <w:t xml:space="preserve">Case Presentation: </w:t>
      </w:r>
      <w:r>
        <w:t>A 33-year-old male patient presented with a missing maxillary left lateral incisor (#12) and multiple missing mandibular anterior teeth following trauma. A lithium disilicate RBFDP was planned and fabricated using intraoral scanning and CAD-CAM technology for the maxillary arch. Abutment preparation was conservative, with supragingival shoulder finish lines created on teeth #11 and #13. The prosthesis was cemented with self-adhesive resin cement following acid etching protocols.</w:t>
      </w:r>
    </w:p>
    <w:p w14:paraId="726EC2E4" w14:textId="77777777" w:rsidR="00183AF9" w:rsidRDefault="00BB5016">
      <w:pPr>
        <w:spacing w:before="60" w:after="60"/>
        <w:jc w:val="both"/>
      </w:pPr>
      <w:r>
        <w:rPr>
          <w:b/>
          <w:bCs/>
        </w:rPr>
        <w:t xml:space="preserve">Conclusion: </w:t>
      </w:r>
      <w:r>
        <w:t>This case demonstrates that lithium disilicate RBFDPs fabricated through a digital workflow provide a reliable, aesthetic, and minimally invasive alternative to conventional fixed partial dentures and implant-supported prostheses for selected patients. Meticulous case selection, surface preparation, and adhesive protocol adherence are pivotal to long-term success.</w:t>
      </w:r>
    </w:p>
    <w:p w14:paraId="1E379526" w14:textId="77777777" w:rsidR="00183AF9" w:rsidRDefault="00BB5016">
      <w:pPr>
        <w:spacing w:before="60" w:after="80"/>
        <w:jc w:val="both"/>
      </w:pPr>
      <w:r>
        <w:rPr>
          <w:b/>
          <w:bCs/>
        </w:rPr>
        <w:t xml:space="preserve">Keywords: </w:t>
      </w:r>
      <w:r>
        <w:t>Resin-bonded fixed dental prosthesis; Maryland bridge; Lithium disilicate; CAD-CAM; Intraoral scanner; Minimally invasive dentistry; Anterior tooth replacement</w:t>
      </w:r>
    </w:p>
    <w:p w14:paraId="55619112" w14:textId="77777777" w:rsidR="00183AF9" w:rsidRDefault="00183AF9">
      <w:pPr>
        <w:pBdr>
          <w:bottom w:val="single" w:sz="6" w:space="0" w:color="1F3864"/>
        </w:pBdr>
        <w:spacing w:after="200"/>
      </w:pPr>
    </w:p>
    <w:p w14:paraId="1B073735" w14:textId="77777777" w:rsidR="00183AF9" w:rsidRDefault="00BB5016">
      <w:pPr>
        <w:pStyle w:val="Heading1"/>
      </w:pPr>
      <w:r>
        <w:t>1. INTRODUCTION</w:t>
      </w:r>
    </w:p>
    <w:p w14:paraId="7EDDB3A8" w14:textId="77777777" w:rsidR="00183AF9" w:rsidRDefault="00BB5016">
      <w:pPr>
        <w:spacing w:before="100" w:after="100"/>
        <w:jc w:val="both"/>
      </w:pPr>
      <w:r>
        <w:t>The loss of an anterior tooth, irrespective of its aetiology, carries significant functional, aesthetic, and psychosocial implications for the patient. Among the various tooth replacement options available in contemporary prosthodontics, resin-bonded fixed dental prostheses (RBFDPs) — popularly known as Maryland bridges — occupy a unique niche as a minimally invasive, cost-effective, and aesthetically satisfying modality.</w:t>
      </w:r>
    </w:p>
    <w:p w14:paraId="1A423835" w14:textId="77777777" w:rsidR="00183AF9" w:rsidRDefault="00BB5016">
      <w:pPr>
        <w:spacing w:before="100" w:after="100"/>
        <w:jc w:val="both"/>
      </w:pPr>
      <w:r>
        <w:t>The concept of the RBFDP was first described by Rochette in 1973, who proposed a perforated metal retainer bonded to enamel using composite resin for the temporary splinting of periodontally compromised anterior teeth.</w:t>
      </w:r>
      <w:r>
        <w:rPr>
          <w:sz w:val="20"/>
          <w:szCs w:val="20"/>
          <w:vertAlign w:val="superscript"/>
        </w:rPr>
        <w:t>1</w:t>
      </w:r>
      <w:r>
        <w:t xml:space="preserve"> The subsequent refinement of electrochemical etching of nickel-chromium alloys in the early 1980s led to the development of the Maryland bridge as a more definitive restoration.</w:t>
      </w:r>
      <w:r>
        <w:rPr>
          <w:sz w:val="20"/>
          <w:szCs w:val="20"/>
          <w:vertAlign w:val="superscript"/>
        </w:rPr>
        <w:t>2</w:t>
      </w:r>
      <w:r>
        <w:t xml:space="preserve"> Over the following decades, concerns about the metallic framework compromising enamel translucency and aesthetics drove the development of all-ceramic alternatives.</w:t>
      </w:r>
    </w:p>
    <w:p w14:paraId="79730C9C" w14:textId="77777777" w:rsidR="00183AF9" w:rsidRDefault="00BB5016">
      <w:pPr>
        <w:spacing w:before="100" w:after="100"/>
        <w:jc w:val="both"/>
      </w:pPr>
      <w:r>
        <w:t>Kern et al. introduced the first metal-free, all-ceramic RBFDP in 1991.</w:t>
      </w:r>
      <w:r>
        <w:rPr>
          <w:sz w:val="20"/>
          <w:szCs w:val="20"/>
          <w:vertAlign w:val="superscript"/>
        </w:rPr>
        <w:t>3</w:t>
      </w:r>
      <w:r>
        <w:t xml:space="preserve"> Since then, glass-ceramic materials — particularly leucite-reinforced and lithium disilicate-reinforced systems — have </w:t>
      </w:r>
      <w:r>
        <w:lastRenderedPageBreak/>
        <w:t>gained clinical traction owing to their superior translucency, ability to be etched with hydrofluoric acid for micro-mechanical bonding, and their high flexural strength.</w:t>
      </w:r>
      <w:r>
        <w:rPr>
          <w:sz w:val="20"/>
          <w:szCs w:val="20"/>
          <w:vertAlign w:val="superscript"/>
        </w:rPr>
        <w:t>4</w:t>
      </w:r>
      <w:r>
        <w:t xml:space="preserve"> Lithium disilicate ceramics offer a flexural strength of approximately 400 MPa, far exceeding the load demands of anterior restorations, while simultaneously providing outstanding optical characteristics that closely mimic natural dentition.</w:t>
      </w:r>
      <w:r>
        <w:rPr>
          <w:sz w:val="20"/>
          <w:szCs w:val="20"/>
          <w:vertAlign w:val="superscript"/>
        </w:rPr>
        <w:t>5</w:t>
      </w:r>
    </w:p>
    <w:p w14:paraId="4DB7C830" w14:textId="77777777" w:rsidR="00183AF9" w:rsidRDefault="00BB5016">
      <w:pPr>
        <w:spacing w:before="100" w:after="100"/>
        <w:jc w:val="both"/>
      </w:pPr>
      <w:r>
        <w:t>The parallel advancement of digital dentistry — specifically intraoral scanning technology and computer-aided design and computer-aided manufacturing (CAD-CAM) — has brought a further dimension of precision and reproducibility to the fabrication of ceramic RBFDPs.</w:t>
      </w:r>
      <w:r>
        <w:rPr>
          <w:sz w:val="20"/>
          <w:szCs w:val="20"/>
          <w:vertAlign w:val="superscript"/>
        </w:rPr>
        <w:t>6</w:t>
      </w:r>
      <w:r>
        <w:t xml:space="preserve"> Digital impressions eliminate the distortions inherent to conventional elastomeric impressions, and milling or pressing of lithium disilicate ingots ensures consistent material microstructure and marginal accuracy.</w:t>
      </w:r>
      <w:r>
        <w:rPr>
          <w:sz w:val="20"/>
          <w:szCs w:val="20"/>
          <w:vertAlign w:val="superscript"/>
        </w:rPr>
        <w:t>7</w:t>
      </w:r>
    </w:p>
    <w:p w14:paraId="1E87BBAC" w14:textId="77777777" w:rsidR="00183AF9" w:rsidRDefault="00BB5016">
      <w:pPr>
        <w:spacing w:before="100" w:after="100"/>
        <w:jc w:val="both"/>
      </w:pPr>
      <w:r>
        <w:t>This case report, prepared in accordance with the CARE (</w:t>
      </w:r>
      <w:proofErr w:type="spellStart"/>
      <w:r>
        <w:t>CAse</w:t>
      </w:r>
      <w:proofErr w:type="spellEnd"/>
      <w:r>
        <w:t xml:space="preserve"> </w:t>
      </w:r>
      <w:proofErr w:type="spellStart"/>
      <w:r>
        <w:t>REport</w:t>
      </w:r>
      <w:proofErr w:type="spellEnd"/>
      <w:r>
        <w:t>) guidelines, documents the clinical management of a missing maxillary lateral incisor using a lithium disilicate RBFDP fabricated through an entirely digital workflow. The report additionally discusses the material rationale, adhesive protocol, and available evidence regarding long-term outcomes.</w:t>
      </w:r>
    </w:p>
    <w:p w14:paraId="58376DFB" w14:textId="77777777" w:rsidR="00183AF9" w:rsidRDefault="00BB5016">
      <w:pPr>
        <w:pStyle w:val="Heading1"/>
      </w:pPr>
      <w:r>
        <w:t>2. CASE PRESENTATION</w:t>
      </w:r>
    </w:p>
    <w:p w14:paraId="61830E5F" w14:textId="77777777" w:rsidR="00183AF9" w:rsidRDefault="00BB5016">
      <w:pPr>
        <w:pStyle w:val="Heading2"/>
      </w:pPr>
      <w:r>
        <w:t>2.1 Patient Information</w:t>
      </w:r>
    </w:p>
    <w:p w14:paraId="7BCB4AB2" w14:textId="77777777" w:rsidR="00183AF9" w:rsidRDefault="00BB5016">
      <w:pPr>
        <w:spacing w:before="100" w:after="100"/>
        <w:jc w:val="both"/>
      </w:pPr>
      <w:r>
        <w:t xml:space="preserve">A 33-year-old male patient of South Asian origin presented to the Department of Prosthodontics, Crown and Bridge at Bapuji Dental College and Hospital, </w:t>
      </w:r>
      <w:proofErr w:type="spellStart"/>
      <w:r>
        <w:t>Davangere</w:t>
      </w:r>
      <w:proofErr w:type="spellEnd"/>
      <w:r>
        <w:t>, Karnataka, India, with the chief complaint of missing teeth in the maxillary and mandibular anterior regions, affecting his appearance and chewing function. The patient reported a history of trauma one year prior, during which the maxillary left lateral incisor and mandibular anterior teeth became mobile and were subsequently extracted two to four days after the injury. He was in good general health, reported no significant medical history, and had no known drug allergies. He was a non-smoker with no parafunctional habits.</w:t>
      </w:r>
    </w:p>
    <w:p w14:paraId="40FD75FE" w14:textId="77777777" w:rsidR="00183AF9" w:rsidRDefault="00BB5016">
      <w:pPr>
        <w:pStyle w:val="Heading2"/>
      </w:pPr>
      <w:r>
        <w:t>2.2 Clinical Findings</w:t>
      </w:r>
    </w:p>
    <w:p w14:paraId="56A45755" w14:textId="77777777" w:rsidR="00183AF9" w:rsidRDefault="00BB5016">
      <w:pPr>
        <w:spacing w:before="100" w:after="100"/>
        <w:jc w:val="both"/>
      </w:pPr>
      <w:r>
        <w:t>Extraoral examination revealed a mesocephalic facial form with a Class II jaw relationship, no lymphadenopathy, and no temporomandibular joint signs or symptoms. The patient demonstrated competent lip closure, and the facial midline was coincident with the maxillary dental midline.</w:t>
      </w:r>
    </w:p>
    <w:p w14:paraId="79B72B59" w14:textId="77777777" w:rsidR="00183AF9" w:rsidRDefault="00BB5016">
      <w:pPr>
        <w:spacing w:before="100" w:after="100"/>
        <w:jc w:val="both"/>
      </w:pPr>
      <w:r>
        <w:t xml:space="preserve">Intraoral examination confirmed the absence of the maxillary left lateral incisor (#12) and mandibular incisors (#31, #32, #41, and #42). The edentulous ridge at site #12 was well-formed with adequate width and showed no significant resorption. The mesiodistal space measured 7 mm, buccolingual dimension 4 mm, and </w:t>
      </w:r>
      <w:proofErr w:type="spellStart"/>
      <w:r>
        <w:t>gingivio</w:t>
      </w:r>
      <w:proofErr w:type="spellEnd"/>
      <w:r>
        <w:t>-occlusal dimension 7 mm. The adjacent abutment teeth — maxillary right central incisor (#11) and maxillary left canine (#13) — were unrestored, vital, and caries-free. A Class II occlusal relationship was recorded with an overjet of 5 mm and overbite of 4 mm.</w:t>
      </w:r>
    </w:p>
    <w:p w14:paraId="0306DC83" w14:textId="77777777" w:rsidR="00183AF9" w:rsidRDefault="00BB5016">
      <w:pPr>
        <w:pStyle w:val="Heading2"/>
      </w:pPr>
      <w:r>
        <w:t>2.3 Diagnostic Assessment</w:t>
      </w:r>
    </w:p>
    <w:p w14:paraId="394645B6" w14:textId="77777777" w:rsidR="00183AF9" w:rsidRDefault="00BB5016">
      <w:pPr>
        <w:spacing w:before="100" w:after="100"/>
        <w:jc w:val="both"/>
      </w:pPr>
      <w:r>
        <w:t>Periapical and orthopantomographic radiographs demonstrated adequate bone levels around the abutment teeth with no evidence of periapical pathology. Articulated diagnostic study casts were fabricated following irreversible hydrocolloid impressions (</w:t>
      </w:r>
      <w:proofErr w:type="spellStart"/>
      <w:r>
        <w:t>Algitex</w:t>
      </w:r>
      <w:proofErr w:type="spellEnd"/>
      <w:r>
        <w:t xml:space="preserve"> Alginate Impression Material, </w:t>
      </w:r>
      <w:r>
        <w:lastRenderedPageBreak/>
        <w:t>Dental Products of India). Type III dental stone (Goldstone, Asian Chemicals, Rajkot, India) was used to pour the casts. A facebow transfer was performed using a Hanau Spring facebow, and the casts were mounted on a Hanau Wide Vue semi-adjustable articulator. A diagnostic wax-up was conducted for the missing teeth with arbitrary preparation of the abutment teeth simulated on the cast.</w:t>
      </w:r>
    </w:p>
    <w:p w14:paraId="57ED32D5" w14:textId="77777777" w:rsidR="00183AF9" w:rsidRDefault="00BB5016">
      <w:pPr>
        <w:pStyle w:val="Heading2"/>
      </w:pPr>
      <w:r>
        <w:t>2.4 Treatment Plan</w:t>
      </w:r>
    </w:p>
    <w:p w14:paraId="41C3EC72" w14:textId="77777777" w:rsidR="00183AF9" w:rsidRDefault="00BB5016">
      <w:pPr>
        <w:spacing w:before="100" w:after="100"/>
        <w:jc w:val="both"/>
      </w:pPr>
      <w:r>
        <w:t>Following comprehensive discussion of the available options — including a conventional three-unit fixed partial denture, an implant-supported single crown, and an RBFDP — the patient selected the RBFDP for the maxillary arch on account of minimal tooth preparation requirement and cost-effectiveness. Given his age (33 years), absence of parafunctional habits, Class II occlusion with increased overjet providing favourable load distribution, and unrestored abutment teeth with adequate enamel, the clinical situation was well-suited for an all-ceramic RBFDP. For the mandibular anterior region, the patient consented to an implant-supported hybrid prosthesis, planned separately.</w:t>
      </w:r>
    </w:p>
    <w:p w14:paraId="1452ADCE" w14:textId="77777777" w:rsidR="00183AF9" w:rsidRDefault="00BB5016">
      <w:pPr>
        <w:pStyle w:val="Heading2"/>
      </w:pPr>
      <w:r>
        <w:t>2.5 Treatment Progress</w:t>
      </w:r>
    </w:p>
    <w:p w14:paraId="42E269E3" w14:textId="77777777" w:rsidR="00183AF9" w:rsidRDefault="00BB5016">
      <w:pPr>
        <w:spacing w:before="100" w:after="100"/>
        <w:jc w:val="both"/>
      </w:pPr>
      <w:r>
        <w:rPr>
          <w:b/>
          <w:bCs/>
        </w:rPr>
        <w:t xml:space="preserve">Step 1 — Preparation of Abutment Teeth: </w:t>
      </w:r>
      <w:r>
        <w:t>Tooth preparation was performed under local anaesthesia (2% lignocaine with 1:80,000 adrenaline). A supragingival shoulder finish line was created at a depth of 1 mm on the palatal and proximal surfaces of teeth #11 and #13 — the distal surface of #11 and the mesial surface of #13. The incisal extent was maintained 1 mm cervical to the incisal edge to avoid incisal interference. All margins were confined to enamel as a prerequisite for optimal resin bonding.</w:t>
      </w:r>
      <w:r>
        <w:rPr>
          <w:sz w:val="20"/>
          <w:szCs w:val="20"/>
          <w:vertAlign w:val="superscript"/>
        </w:rPr>
        <w:t>8</w:t>
      </w:r>
    </w:p>
    <w:p w14:paraId="03051032" w14:textId="77777777" w:rsidR="00183AF9" w:rsidRDefault="00BB5016">
      <w:pPr>
        <w:spacing w:before="100" w:after="100"/>
        <w:jc w:val="both"/>
      </w:pPr>
      <w:r>
        <w:rPr>
          <w:b/>
          <w:bCs/>
        </w:rPr>
        <w:t xml:space="preserve">Step 2 — Intraoral Scanning and CAD Design: </w:t>
      </w:r>
      <w:r>
        <w:t xml:space="preserve">A digital impression was obtained using the Prime Scan intraoral scanner (Dentsply Sirona, Germany). The digital STL files were uploaded to CAD software, where preparation margins were delineated and the </w:t>
      </w:r>
      <w:proofErr w:type="spellStart"/>
      <w:r>
        <w:t>pontic</w:t>
      </w:r>
      <w:proofErr w:type="spellEnd"/>
      <w:r>
        <w:t xml:space="preserve"> was designed with optimal emergence profile and gingival convexity compatible with oral hygiene access. Retaining wings were designed with a minimum thickness of 0.6 mm at the margins, increasing to 0.8 mm at the mid-body, as recommended for lithium disilicate frameworks.</w:t>
      </w:r>
      <w:r>
        <w:rPr>
          <w:sz w:val="20"/>
          <w:szCs w:val="20"/>
          <w:vertAlign w:val="superscript"/>
        </w:rPr>
        <w:t>9</w:t>
      </w:r>
      <w:r>
        <w:t xml:space="preserve"> Occlusal contacts were verified digitally to confirm freedom from premature contacts in centric relation and eccentric movements.</w:t>
      </w:r>
    </w:p>
    <w:p w14:paraId="744B02C3" w14:textId="77777777" w:rsidR="00183AF9" w:rsidRDefault="00BB5016">
      <w:pPr>
        <w:spacing w:before="100" w:after="100"/>
        <w:jc w:val="both"/>
      </w:pPr>
      <w:r>
        <w:rPr>
          <w:b/>
          <w:bCs/>
        </w:rPr>
        <w:t xml:space="preserve">Step 3 — Laboratory Fabrication: </w:t>
      </w:r>
      <w:r>
        <w:t xml:space="preserve">Following CAD design approval, a wax pattern was milled and subsequently pressed using lithium disilicate ingots (IPS </w:t>
      </w:r>
      <w:proofErr w:type="spellStart"/>
      <w:r>
        <w:t>e.max</w:t>
      </w:r>
      <w:proofErr w:type="spellEnd"/>
      <w:r>
        <w:t xml:space="preserve"> Press, </w:t>
      </w:r>
      <w:proofErr w:type="spellStart"/>
      <w:r>
        <w:t>Ivoclar</w:t>
      </w:r>
      <w:proofErr w:type="spellEnd"/>
      <w:r>
        <w:t xml:space="preserve"> </w:t>
      </w:r>
      <w:proofErr w:type="spellStart"/>
      <w:r>
        <w:t>Vivadent</w:t>
      </w:r>
      <w:proofErr w:type="spellEnd"/>
      <w:r>
        <w:t>, Schaan, Liechtenstein). The pressed ceramic prosthesis was then characterised with ceramic stains and glazed in a dental furnace to achieve final aesthetics and a smooth surface compatible with the opposing natural dentition.</w:t>
      </w:r>
    </w:p>
    <w:p w14:paraId="7CB5E04F" w14:textId="77777777" w:rsidR="00183AF9" w:rsidRDefault="00BB5016">
      <w:pPr>
        <w:spacing w:before="100" w:after="100"/>
        <w:jc w:val="both"/>
      </w:pPr>
      <w:r>
        <w:rPr>
          <w:b/>
          <w:bCs/>
        </w:rPr>
        <w:t xml:space="preserve">Step 4 — Try-in and Evaluation: </w:t>
      </w:r>
      <w:r>
        <w:t>The prosthesis was initially assessed on the articulated casts for marginal fit, contacts, and aesthetics, then evaluated intraorally. Marginal integrity was confirmed using an explorer tip and digital pressure. Occlusal contacts were verified in centric occlusion and lateral excursions using 12-micron articulating paper (Bausch). No adjustments to the occlusal surface were required.</w:t>
      </w:r>
    </w:p>
    <w:p w14:paraId="686B3600" w14:textId="77777777" w:rsidR="00183AF9" w:rsidRDefault="00BB5016">
      <w:pPr>
        <w:spacing w:before="100" w:after="100"/>
        <w:jc w:val="both"/>
      </w:pPr>
      <w:r>
        <w:rPr>
          <w:b/>
          <w:bCs/>
        </w:rPr>
        <w:t xml:space="preserve">Step 5 — Surface Conditioning and Cementation: </w:t>
      </w:r>
      <w:r>
        <w:t xml:space="preserve">The intaglio surfaces of the prosthesis were etched with 9.5% hydrofluoric acid (IPS Ceramic Etching Gel, </w:t>
      </w:r>
      <w:proofErr w:type="spellStart"/>
      <w:r>
        <w:t>Ivoclar</w:t>
      </w:r>
      <w:proofErr w:type="spellEnd"/>
      <w:r>
        <w:t xml:space="preserve"> </w:t>
      </w:r>
      <w:proofErr w:type="spellStart"/>
      <w:r>
        <w:t>Vivadent</w:t>
      </w:r>
      <w:proofErr w:type="spellEnd"/>
      <w:r>
        <w:t>) for 20 seconds, rinsed, and dried. A silane coupling agent (</w:t>
      </w:r>
      <w:proofErr w:type="spellStart"/>
      <w:r>
        <w:t>Monobond</w:t>
      </w:r>
      <w:proofErr w:type="spellEnd"/>
      <w:r>
        <w:t xml:space="preserve"> Plus, </w:t>
      </w:r>
      <w:proofErr w:type="spellStart"/>
      <w:r>
        <w:t>Ivoclar</w:t>
      </w:r>
      <w:proofErr w:type="spellEnd"/>
      <w:r>
        <w:t xml:space="preserve"> </w:t>
      </w:r>
      <w:proofErr w:type="spellStart"/>
      <w:r>
        <w:t>Vivadent</w:t>
      </w:r>
      <w:proofErr w:type="spellEnd"/>
      <w:r>
        <w:t xml:space="preserve">) was applied and allowed to react for 60 seconds. On the tooth side, the prepared enamel surfaces were etched with </w:t>
      </w:r>
      <w:r>
        <w:lastRenderedPageBreak/>
        <w:t>37% phosphoric acid for 30 seconds, rinsed, and gently air-dried. A bonding agent was applied and lightly air-thinned. The prosthesis was loaded with self-adhesive universal resin cement (</w:t>
      </w:r>
      <w:proofErr w:type="spellStart"/>
      <w:r>
        <w:t>RelyX</w:t>
      </w:r>
      <w:proofErr w:type="spellEnd"/>
      <w:r>
        <w:t xml:space="preserve"> </w:t>
      </w:r>
      <w:proofErr w:type="spellStart"/>
      <w:r>
        <w:t>Unicem</w:t>
      </w:r>
      <w:proofErr w:type="spellEnd"/>
      <w:r>
        <w:t xml:space="preserve"> 2, 3M ESPE, USA), seated with firm digital pressure, and excess cement removed prior to light curing for 20 seconds per surface (LED unit, 800 </w:t>
      </w:r>
      <w:proofErr w:type="spellStart"/>
      <w:r>
        <w:t>mW</w:t>
      </w:r>
      <w:proofErr w:type="spellEnd"/>
      <w:r>
        <w:t>/cm²). Occlusion was re-verified after cementation.</w:t>
      </w:r>
      <w:r>
        <w:rPr>
          <w:sz w:val="20"/>
          <w:szCs w:val="20"/>
          <w:vertAlign w:val="superscript"/>
        </w:rPr>
        <w:t>10</w:t>
      </w:r>
    </w:p>
    <w:p w14:paraId="74038F37" w14:textId="77777777" w:rsidR="00183AF9" w:rsidRDefault="00BB5016">
      <w:pPr>
        <w:pStyle w:val="Heading2"/>
      </w:pPr>
      <w:r>
        <w:t>2.6 Follow-up and Outcomes</w:t>
      </w:r>
    </w:p>
    <w:p w14:paraId="479A1C6D" w14:textId="77777777" w:rsidR="00183AF9" w:rsidRDefault="00BB5016">
      <w:pPr>
        <w:spacing w:before="100" w:after="100"/>
        <w:jc w:val="both"/>
      </w:pPr>
      <w:r>
        <w:t xml:space="preserve">The patient was reviewed at one week, one month, and three months post-cementation. At each recall, the prosthesis was assessed for marginal integrity, gingival health, surface continuity, and patient satisfaction. The prosthesis remained firmly seated with no evidence of debonding or fracture. Gingival tissues around the abutments and in the </w:t>
      </w:r>
      <w:proofErr w:type="spellStart"/>
      <w:r>
        <w:t>pontic</w:t>
      </w:r>
      <w:proofErr w:type="spellEnd"/>
      <w:r>
        <w:t xml:space="preserve"> region showed no signs of inflammation or recession. The patient reported satisfactory aesthetics and comfortable function, with a marked improvement in self-confidence compared to the pre-treatment presentation. No adverse events were recorded during the observation period.</w:t>
      </w:r>
    </w:p>
    <w:p w14:paraId="7E416DB7" w14:textId="77777777" w:rsidR="00183AF9" w:rsidRDefault="00BB5016">
      <w:pPr>
        <w:pStyle w:val="Heading1"/>
      </w:pPr>
      <w:r>
        <w:t>3. DISCUSSION</w:t>
      </w:r>
    </w:p>
    <w:p w14:paraId="2F1B09CE" w14:textId="77777777" w:rsidR="00183AF9" w:rsidRDefault="00BB5016">
      <w:pPr>
        <w:spacing w:before="100" w:after="100"/>
        <w:jc w:val="both"/>
      </w:pPr>
      <w:r>
        <w:t>This case illustrates several important clinical and technical considerations that underpin the successful use of a lithium disilicate RBFDP for anterior tooth replacement. The RBFDP remains a viable and scientifically supported treatment option for carefully selected patients, and its clinical application has been bolstered by the development of high-strength ceramic materials and refined adhesive techniques.</w:t>
      </w:r>
    </w:p>
    <w:p w14:paraId="3B53F549" w14:textId="77777777" w:rsidR="00183AF9" w:rsidRDefault="00BB5016">
      <w:pPr>
        <w:spacing w:before="100" w:after="100"/>
        <w:jc w:val="both"/>
      </w:pPr>
      <w:r>
        <w:t>Case selection is the most critical determinant of RBFDP success. Ideal candidates are patients with unrestored abutment teeth, short edentulous spans, adequate enamel volume at the proposed preparation sites, absence of parafunctional habits, and Class I or Class II occlusion with sufficient overjet to minimise lateral loading on the retaining wings.</w:t>
      </w:r>
      <w:r>
        <w:rPr>
          <w:sz w:val="20"/>
          <w:szCs w:val="20"/>
          <w:vertAlign w:val="superscript"/>
        </w:rPr>
        <w:t>11</w:t>
      </w:r>
      <w:r>
        <w:t xml:space="preserve"> The patient in this report fulfilled all of these criteria. The Class II occlusal relationship with an overjet of 5 mm was particularly favourable, as it reduces the risk of retainer debonding compared to a deep vertical overbite in Class II Division 2 cases.</w:t>
      </w:r>
    </w:p>
    <w:p w14:paraId="1EF5B602" w14:textId="77777777" w:rsidR="00183AF9" w:rsidRDefault="00BB5016">
      <w:pPr>
        <w:spacing w:before="100" w:after="100"/>
        <w:jc w:val="both"/>
      </w:pPr>
      <w:r>
        <w:t xml:space="preserve">From a materials science perspective, the selection of lithium disilicate was scientifically justified. Lithium disilicate glass-ceramics contain interlocking crystals of </w:t>
      </w:r>
      <w:proofErr w:type="spellStart"/>
      <w:r>
        <w:t>Li₂Si₂O</w:t>
      </w:r>
      <w:proofErr w:type="spellEnd"/>
      <w:r>
        <w:t>₅ embedded in a glassy matrix, conferring a flexural strength of approximately 400 MPa and a fracture toughness of approximately 2.75 MPa·m½.</w:t>
      </w:r>
      <w:r>
        <w:rPr>
          <w:sz w:val="20"/>
          <w:szCs w:val="20"/>
          <w:vertAlign w:val="superscript"/>
        </w:rPr>
        <w:t>12</w:t>
      </w:r>
      <w:r>
        <w:t xml:space="preserve"> The silica content enables effective etching with hydrofluoric acid, creating a micro-retentive surface topography that, when </w:t>
      </w:r>
      <w:proofErr w:type="spellStart"/>
      <w:r>
        <w:t>silanised</w:t>
      </w:r>
      <w:proofErr w:type="spellEnd"/>
      <w:r>
        <w:t>, forms a durable chemical and micromechanical bond with resin cement.</w:t>
      </w:r>
      <w:r>
        <w:rPr>
          <w:sz w:val="20"/>
          <w:szCs w:val="20"/>
          <w:vertAlign w:val="superscript"/>
        </w:rPr>
        <w:t>13</w:t>
      </w:r>
      <w:r>
        <w:t xml:space="preserve"> Published data from a retrospective study by </w:t>
      </w:r>
      <w:proofErr w:type="spellStart"/>
      <w:r>
        <w:t>Sailer</w:t>
      </w:r>
      <w:proofErr w:type="spellEnd"/>
      <w:r>
        <w:t xml:space="preserve"> et al. demonstrated a 100% survival rate for single-retainer cantilever lithium disilicate RBFDPs at a mean follow-up of six years.</w:t>
      </w:r>
      <w:r>
        <w:rPr>
          <w:sz w:val="20"/>
          <w:szCs w:val="20"/>
          <w:vertAlign w:val="superscript"/>
        </w:rPr>
        <w:t>14</w:t>
      </w:r>
      <w:r>
        <w:t xml:space="preserve"> A literature review by van Dalen et al. reported a 95% success rate for two-unit cantilevered resin-bonded restorations over a two-year observation period.</w:t>
      </w:r>
      <w:r>
        <w:rPr>
          <w:sz w:val="20"/>
          <w:szCs w:val="20"/>
          <w:vertAlign w:val="superscript"/>
        </w:rPr>
        <w:t>15</w:t>
      </w:r>
    </w:p>
    <w:p w14:paraId="53541EF3" w14:textId="77777777" w:rsidR="00183AF9" w:rsidRDefault="00BB5016">
      <w:pPr>
        <w:spacing w:before="100" w:after="100"/>
        <w:jc w:val="both"/>
      </w:pPr>
      <w:r>
        <w:t>The digital workflow adopted in this case contributed significantly to prosthesis precision. Intraoral scanning with the Dentsply Sirona Prime Scan offers documented trueness of less than 10 µm and repeatability within 5 µm for full-arch scans, substantially outperforming conventional elastomeric impression techniques.</w:t>
      </w:r>
      <w:r>
        <w:rPr>
          <w:sz w:val="20"/>
          <w:szCs w:val="20"/>
          <w:vertAlign w:val="superscript"/>
        </w:rPr>
        <w:t>6</w:t>
      </w:r>
      <w:r>
        <w:t xml:space="preserve"> The CAD design environment additionally permitted pre-operative simulation of </w:t>
      </w:r>
      <w:proofErr w:type="spellStart"/>
      <w:r>
        <w:t>pontic</w:t>
      </w:r>
      <w:proofErr w:type="spellEnd"/>
      <w:r>
        <w:t xml:space="preserve"> morphology and retainer wing dimensions, reducing the likelihood of intraoral adjustments and preserving the integrity of the glazed surface.</w:t>
      </w:r>
    </w:p>
    <w:p w14:paraId="5D344145" w14:textId="77777777" w:rsidR="00183AF9" w:rsidRDefault="00BB5016">
      <w:pPr>
        <w:spacing w:before="100" w:after="100"/>
        <w:jc w:val="both"/>
      </w:pPr>
      <w:r>
        <w:lastRenderedPageBreak/>
        <w:t>The cementation protocol is equally important to long-term performance. Hydrofluoric acid etching dissolves the glassy matrix of lithium disilicate and exposes the crystalline infrastructure, creating micro-porosity for resin infiltration.</w:t>
      </w:r>
      <w:r>
        <w:rPr>
          <w:sz w:val="20"/>
          <w:szCs w:val="20"/>
          <w:vertAlign w:val="superscript"/>
        </w:rPr>
        <w:t>16</w:t>
      </w:r>
      <w:r>
        <w:t xml:space="preserve"> </w:t>
      </w:r>
      <w:proofErr w:type="spellStart"/>
      <w:r>
        <w:t>Silanisation</w:t>
      </w:r>
      <w:proofErr w:type="spellEnd"/>
      <w:r>
        <w:t xml:space="preserve"> further enhances this bond through covalent linkages between the ceramic surface and the resin matrix. The use of </w:t>
      </w:r>
      <w:proofErr w:type="spellStart"/>
      <w:r>
        <w:t>RelyX</w:t>
      </w:r>
      <w:proofErr w:type="spellEnd"/>
      <w:r>
        <w:t xml:space="preserve"> </w:t>
      </w:r>
      <w:proofErr w:type="spellStart"/>
      <w:r>
        <w:t>Unicem</w:t>
      </w:r>
      <w:proofErr w:type="spellEnd"/>
      <w:r>
        <w:t xml:space="preserve"> 2 (3M ESPE) was appropriate; MDP-containing self-adhesive resin cements achieve adequate bond strengths to acid-etched and </w:t>
      </w:r>
      <w:proofErr w:type="spellStart"/>
      <w:r>
        <w:t>silanised</w:t>
      </w:r>
      <w:proofErr w:type="spellEnd"/>
      <w:r>
        <w:t xml:space="preserve"> ceramic surfaces without a separate primer or bonding agent.</w:t>
      </w:r>
      <w:r>
        <w:rPr>
          <w:sz w:val="20"/>
          <w:szCs w:val="20"/>
          <w:vertAlign w:val="superscript"/>
        </w:rPr>
        <w:t>17</w:t>
      </w:r>
    </w:p>
    <w:p w14:paraId="38B8CA9C" w14:textId="77777777" w:rsidR="00183AF9" w:rsidRDefault="00BB5016">
      <w:pPr>
        <w:spacing w:before="100" w:after="100"/>
        <w:jc w:val="both"/>
      </w:pPr>
      <w:r>
        <w:t>Evidence suggests that single-retainer cantilever RBFDPs demonstrate superior clinical performance compared to two-retainer designs, since the latter are susceptible to differential movement of abutment teeth generating debonding forces at one retainer.</w:t>
      </w:r>
      <w:r>
        <w:rPr>
          <w:sz w:val="20"/>
          <w:szCs w:val="20"/>
          <w:vertAlign w:val="superscript"/>
        </w:rPr>
        <w:t>18</w:t>
      </w:r>
      <w:r>
        <w:t xml:space="preserve"> In this case, the two-retainer design was selected based on the patient's specific occlusal characteristics and the need to distribute functional loads across two abutments.</w:t>
      </w:r>
    </w:p>
    <w:p w14:paraId="244194A5" w14:textId="77777777" w:rsidR="00183AF9" w:rsidRDefault="00BB5016">
      <w:pPr>
        <w:spacing w:before="100" w:after="100"/>
        <w:jc w:val="both"/>
      </w:pPr>
      <w:r>
        <w:t xml:space="preserve">It is important to acknowledge the limitations of this modality. RBFDPs do not prevent alveolar bone resorption at the edentulous site, as there is no </w:t>
      </w:r>
      <w:proofErr w:type="spellStart"/>
      <w:r>
        <w:t>osseointegrated</w:t>
      </w:r>
      <w:proofErr w:type="spellEnd"/>
      <w:r>
        <w:t xml:space="preserve"> implant transmitting functional loads to the supporting bone.</w:t>
      </w:r>
      <w:r>
        <w:rPr>
          <w:sz w:val="20"/>
          <w:szCs w:val="20"/>
          <w:vertAlign w:val="superscript"/>
        </w:rPr>
        <w:t>19</w:t>
      </w:r>
      <w:r>
        <w:t xml:space="preserve"> Furthermore, debonding remains the most common complication, necessitating </w:t>
      </w:r>
      <w:proofErr w:type="spellStart"/>
      <w:r>
        <w:t>rebonding</w:t>
      </w:r>
      <w:proofErr w:type="spellEnd"/>
      <w:r>
        <w:t xml:space="preserve"> or refabrication.</w:t>
      </w:r>
      <w:r>
        <w:rPr>
          <w:sz w:val="20"/>
          <w:szCs w:val="20"/>
          <w:vertAlign w:val="superscript"/>
        </w:rPr>
        <w:t>20</w:t>
      </w:r>
      <w:r>
        <w:t xml:space="preserve"> Patient education regarding avoidance of excessive anterior loading and the importance of regular recall appointments is therefore non-negotiable.</w:t>
      </w:r>
    </w:p>
    <w:p w14:paraId="02F04CD8" w14:textId="77777777" w:rsidR="00183AF9" w:rsidRDefault="00BB5016">
      <w:pPr>
        <w:pStyle w:val="Heading1"/>
      </w:pPr>
      <w:r>
        <w:t>4. CONCLUSION</w:t>
      </w:r>
    </w:p>
    <w:p w14:paraId="57C0B835" w14:textId="77777777" w:rsidR="00183AF9" w:rsidRDefault="00BB5016">
      <w:pPr>
        <w:spacing w:before="100" w:after="100"/>
        <w:jc w:val="both"/>
      </w:pPr>
      <w:r>
        <w:t>This case demonstrates that a lithium disilicate resin-bonded fixed dental prosthesis, fabricated through a fully digital workflow incorporating intraoral scanning and CAD-CAM technology, provides an aesthetically superior, minimally invasive, and clinically reliable solution for replacing a missing maxillary lateral incisor in a carefully selected patient. The digital impression protocol eliminated impression-related distortions and facilitated precise prosthesis design, while the superior optical and mechanical properties of lithium disilicate — combined with a rigorous adhesive cementation protocol — underpin the durability of the restoration. Long-term outcomes are contingent upon meticulous case selection, strict adherence to tooth preparation principles within enamel, and fidelity to established surface conditioning and cementation guidelines. RBFDPs should be considered an evidence-based, conservative alternative to implant-supported prostheses, particularly in young patients for whom preservation of bone and tooth structure is paramount.</w:t>
      </w:r>
    </w:p>
    <w:p w14:paraId="1767BCE0" w14:textId="77777777" w:rsidR="00183AF9" w:rsidRDefault="00BB5016">
      <w:pPr>
        <w:pStyle w:val="Heading1"/>
      </w:pPr>
      <w:r>
        <w:t>5. DECLARATIONS</w:t>
      </w:r>
    </w:p>
    <w:p w14:paraId="01C58BE9" w14:textId="77777777" w:rsidR="00183AF9" w:rsidRDefault="00BB5016">
      <w:pPr>
        <w:spacing w:before="100" w:after="100"/>
        <w:jc w:val="both"/>
      </w:pPr>
      <w:r>
        <w:rPr>
          <w:b/>
          <w:bCs/>
        </w:rPr>
        <w:t xml:space="preserve">Patient Consent: </w:t>
      </w:r>
      <w:r>
        <w:t>Written informed consent was obtained from the patient for the publication of this case report and accompanying clinical photographs. The patient's identity has been anonymised in accordance with institutional and journal requirements.</w:t>
      </w:r>
    </w:p>
    <w:p w14:paraId="12951568" w14:textId="77777777" w:rsidR="00183AF9" w:rsidRDefault="00BB5016">
      <w:pPr>
        <w:spacing w:before="100" w:after="100"/>
        <w:jc w:val="both"/>
      </w:pPr>
      <w:r>
        <w:rPr>
          <w:b/>
          <w:bCs/>
        </w:rPr>
        <w:t xml:space="preserve">Ethical Approval: </w:t>
      </w:r>
      <w:r>
        <w:t>This case report was prepared in accordance with the CARE (</w:t>
      </w:r>
      <w:proofErr w:type="spellStart"/>
      <w:r>
        <w:t>CAse</w:t>
      </w:r>
      <w:proofErr w:type="spellEnd"/>
      <w:r>
        <w:t xml:space="preserve"> </w:t>
      </w:r>
      <w:proofErr w:type="spellStart"/>
      <w:r>
        <w:t>REport</w:t>
      </w:r>
      <w:proofErr w:type="spellEnd"/>
      <w:r>
        <w:t>) guidelines. Institutional ethics committee approval was obtained prior to submission.</w:t>
      </w:r>
    </w:p>
    <w:p w14:paraId="7C62ED41" w14:textId="77777777" w:rsidR="00183AF9" w:rsidRDefault="00BB5016">
      <w:pPr>
        <w:spacing w:before="100" w:after="100"/>
        <w:jc w:val="both"/>
      </w:pPr>
      <w:r>
        <w:rPr>
          <w:b/>
          <w:bCs/>
        </w:rPr>
        <w:t xml:space="preserve">Conflict of Interest: </w:t>
      </w:r>
      <w:r>
        <w:t>The authors declare no conflicts of interest.</w:t>
      </w:r>
    </w:p>
    <w:p w14:paraId="621FCC11" w14:textId="77777777" w:rsidR="0020221F" w:rsidRDefault="0020221F">
      <w:pPr>
        <w:pStyle w:val="Heading1"/>
      </w:pPr>
    </w:p>
    <w:p w14:paraId="562238B1" w14:textId="330857DF" w:rsidR="00183AF9" w:rsidRDefault="00BB5016">
      <w:pPr>
        <w:pStyle w:val="Heading1"/>
      </w:pPr>
      <w:bookmarkStart w:id="0" w:name="_GoBack"/>
      <w:bookmarkEnd w:id="0"/>
      <w:r>
        <w:lastRenderedPageBreak/>
        <w:t>6. TABLES</w:t>
      </w:r>
    </w:p>
    <w:p w14:paraId="79E5C360" w14:textId="77777777" w:rsidR="00183AF9" w:rsidRDefault="00BB5016">
      <w:pPr>
        <w:spacing w:before="120" w:after="80"/>
      </w:pPr>
      <w:r>
        <w:rPr>
          <w:b/>
          <w:bCs/>
        </w:rPr>
        <w:t xml:space="preserve">Table 1. </w:t>
      </w:r>
      <w:r>
        <w:rPr>
          <w:i/>
          <w:iCs/>
        </w:rPr>
        <w:t>Indications and Contraindications for Resin-Bonded Fixed Dental Prostheses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83AF9" w14:paraId="13E8F2CC" w14:textId="77777777">
        <w:tc>
          <w:tcPr>
            <w:tcW w:w="4680" w:type="dxa"/>
            <w:tcBorders>
              <w:top w:val="single" w:sz="0" w:space="0" w:color="999999"/>
              <w:left w:val="single" w:sz="0" w:space="0" w:color="999999"/>
              <w:bottom w:val="single" w:sz="0" w:space="0" w:color="999999"/>
              <w:right w:val="single" w:sz="0" w:space="0" w:color="999999"/>
            </w:tcBorders>
            <w:shd w:val="clear" w:color="auto" w:fill="D0E4F5"/>
            <w:tcMar>
              <w:top w:w="80" w:type="dxa"/>
              <w:left w:w="120" w:type="dxa"/>
              <w:bottom w:w="80" w:type="dxa"/>
              <w:right w:w="120" w:type="dxa"/>
            </w:tcMar>
            <w:vAlign w:val="center"/>
          </w:tcPr>
          <w:p w14:paraId="7E853B59" w14:textId="77777777" w:rsidR="00183AF9" w:rsidRDefault="00BB5016">
            <w:r>
              <w:rPr>
                <w:b/>
                <w:bCs/>
                <w:sz w:val="22"/>
                <w:szCs w:val="22"/>
              </w:rPr>
              <w:t>Indications</w:t>
            </w:r>
          </w:p>
        </w:tc>
        <w:tc>
          <w:tcPr>
            <w:tcW w:w="4680" w:type="dxa"/>
            <w:tcBorders>
              <w:top w:val="single" w:sz="0" w:space="0" w:color="999999"/>
              <w:left w:val="single" w:sz="0" w:space="0" w:color="999999"/>
              <w:bottom w:val="single" w:sz="0" w:space="0" w:color="999999"/>
              <w:right w:val="single" w:sz="0" w:space="0" w:color="999999"/>
            </w:tcBorders>
            <w:shd w:val="clear" w:color="auto" w:fill="D0E4F5"/>
            <w:tcMar>
              <w:top w:w="80" w:type="dxa"/>
              <w:left w:w="120" w:type="dxa"/>
              <w:bottom w:w="80" w:type="dxa"/>
              <w:right w:w="120" w:type="dxa"/>
            </w:tcMar>
            <w:vAlign w:val="center"/>
          </w:tcPr>
          <w:p w14:paraId="5842C0BD" w14:textId="77777777" w:rsidR="00183AF9" w:rsidRDefault="00BB5016">
            <w:r>
              <w:rPr>
                <w:b/>
                <w:bCs/>
                <w:sz w:val="22"/>
                <w:szCs w:val="22"/>
              </w:rPr>
              <w:t>Contraindications</w:t>
            </w:r>
          </w:p>
        </w:tc>
      </w:tr>
      <w:tr w:rsidR="00183AF9" w14:paraId="35082B22"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6AB7314E" w14:textId="77777777" w:rsidR="00183AF9" w:rsidRDefault="00BB5016">
            <w:r>
              <w:rPr>
                <w:sz w:val="22"/>
                <w:szCs w:val="22"/>
              </w:rPr>
              <w:t>Replacement of missing anterior teeth in children and adolescents</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10EB7C31" w14:textId="77777777" w:rsidR="00183AF9" w:rsidRDefault="00BB5016">
            <w:r>
              <w:rPr>
                <w:sz w:val="22"/>
                <w:szCs w:val="22"/>
              </w:rPr>
              <w:t>Parafunctional habits (bruxism, clenching)</w:t>
            </w:r>
          </w:p>
        </w:tc>
      </w:tr>
      <w:tr w:rsidR="00183AF9" w14:paraId="1F092DB9"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156B8E32" w14:textId="77777777" w:rsidR="00183AF9" w:rsidRDefault="00BB5016">
            <w:r>
              <w:rPr>
                <w:sz w:val="22"/>
                <w:szCs w:val="22"/>
              </w:rPr>
              <w:t>Short edentulous span</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5A3ADBA5" w14:textId="77777777" w:rsidR="00183AF9" w:rsidRDefault="00BB5016">
            <w:r>
              <w:rPr>
                <w:sz w:val="22"/>
                <w:szCs w:val="22"/>
              </w:rPr>
              <w:t>Long edentulous span</w:t>
            </w:r>
          </w:p>
        </w:tc>
      </w:tr>
      <w:tr w:rsidR="00183AF9" w14:paraId="00E4E71D"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3E2BD172" w14:textId="77777777" w:rsidR="00183AF9" w:rsidRDefault="00BB5016">
            <w:r>
              <w:rPr>
                <w:sz w:val="22"/>
                <w:szCs w:val="22"/>
              </w:rPr>
              <w:t>Unrestored abutment teeth</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320EE7F1" w14:textId="77777777" w:rsidR="00183AF9" w:rsidRDefault="00BB5016">
            <w:r>
              <w:rPr>
                <w:sz w:val="22"/>
                <w:szCs w:val="22"/>
              </w:rPr>
              <w:t>Restored or structurally compromised abutments</w:t>
            </w:r>
          </w:p>
        </w:tc>
      </w:tr>
      <w:tr w:rsidR="00183AF9" w14:paraId="43B78FCB"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6882FFDA" w14:textId="77777777" w:rsidR="00183AF9" w:rsidRDefault="00BB5016">
            <w:r>
              <w:rPr>
                <w:sz w:val="22"/>
                <w:szCs w:val="22"/>
              </w:rPr>
              <w:t>Single posterior tooth replacement</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49E3082" w14:textId="77777777" w:rsidR="00183AF9" w:rsidRDefault="00BB5016">
            <w:r>
              <w:rPr>
                <w:sz w:val="22"/>
                <w:szCs w:val="22"/>
              </w:rPr>
              <w:t>Severely compromised enamel volume</w:t>
            </w:r>
          </w:p>
        </w:tc>
      </w:tr>
      <w:tr w:rsidR="00183AF9" w14:paraId="4AC99CEA"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74142ACC" w14:textId="77777777" w:rsidR="00183AF9" w:rsidRDefault="00BB5016">
            <w:r>
              <w:rPr>
                <w:sz w:val="22"/>
                <w:szCs w:val="22"/>
              </w:rPr>
              <w:t>Adequate clinical crown length</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44BABBF6" w14:textId="77777777" w:rsidR="00183AF9" w:rsidRDefault="00BB5016">
            <w:r>
              <w:rPr>
                <w:sz w:val="22"/>
                <w:szCs w:val="22"/>
              </w:rPr>
              <w:t xml:space="preserve">Significant </w:t>
            </w:r>
            <w:proofErr w:type="spellStart"/>
            <w:r>
              <w:rPr>
                <w:sz w:val="22"/>
                <w:szCs w:val="22"/>
              </w:rPr>
              <w:t>pontic</w:t>
            </w:r>
            <w:proofErr w:type="spellEnd"/>
            <w:r>
              <w:rPr>
                <w:sz w:val="22"/>
                <w:szCs w:val="22"/>
              </w:rPr>
              <w:t xml:space="preserve"> width discrepancy</w:t>
            </w:r>
          </w:p>
        </w:tc>
      </w:tr>
      <w:tr w:rsidR="00183AF9" w14:paraId="36AF097E"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3395A0F7" w14:textId="77777777" w:rsidR="00183AF9" w:rsidRDefault="00BB5016">
            <w:r>
              <w:rPr>
                <w:sz w:val="22"/>
                <w:szCs w:val="22"/>
              </w:rPr>
              <w:t>Excellent moisture control achievable</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E4CE30C" w14:textId="77777777" w:rsidR="00183AF9" w:rsidRDefault="00BB5016">
            <w:r>
              <w:rPr>
                <w:sz w:val="22"/>
                <w:szCs w:val="22"/>
              </w:rPr>
              <w:t>Deep vertical overbite (Class II Division 2)</w:t>
            </w:r>
          </w:p>
        </w:tc>
      </w:tr>
      <w:tr w:rsidR="00183AF9" w14:paraId="480B406B"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740C0136" w14:textId="77777777" w:rsidR="00183AF9" w:rsidRDefault="00BB5016">
            <w:r>
              <w:rPr>
                <w:sz w:val="22"/>
                <w:szCs w:val="22"/>
              </w:rPr>
              <w:t>Nickel allergy (favour ceramic alternative)</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B9757AD" w14:textId="77777777" w:rsidR="00183AF9" w:rsidRDefault="00BB5016">
            <w:r>
              <w:rPr>
                <w:sz w:val="22"/>
                <w:szCs w:val="22"/>
              </w:rPr>
              <w:t>Poor patient compliance or oral hygiene</w:t>
            </w:r>
          </w:p>
        </w:tc>
      </w:tr>
    </w:tbl>
    <w:p w14:paraId="72B32807" w14:textId="77777777" w:rsidR="00183AF9" w:rsidRDefault="00183AF9">
      <w:pPr>
        <w:spacing w:before="200" w:after="80"/>
      </w:pPr>
    </w:p>
    <w:p w14:paraId="5E13889B" w14:textId="77777777" w:rsidR="00183AF9" w:rsidRDefault="00BB5016">
      <w:pPr>
        <w:spacing w:before="80" w:after="80"/>
      </w:pPr>
      <w:r>
        <w:rPr>
          <w:b/>
          <w:bCs/>
        </w:rPr>
        <w:t xml:space="preserve">Table 2. </w:t>
      </w:r>
      <w:r>
        <w:rPr>
          <w:i/>
          <w:iCs/>
        </w:rPr>
        <w:t>Advantages and Disadvantages of Resin-Bonded Fixed Dental Prostheses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83AF9" w14:paraId="5E2D045F" w14:textId="77777777">
        <w:tc>
          <w:tcPr>
            <w:tcW w:w="4680" w:type="dxa"/>
            <w:tcBorders>
              <w:top w:val="single" w:sz="0" w:space="0" w:color="999999"/>
              <w:left w:val="single" w:sz="0" w:space="0" w:color="999999"/>
              <w:bottom w:val="single" w:sz="0" w:space="0" w:color="999999"/>
              <w:right w:val="single" w:sz="0" w:space="0" w:color="999999"/>
            </w:tcBorders>
            <w:shd w:val="clear" w:color="auto" w:fill="D0E4F5"/>
            <w:tcMar>
              <w:top w:w="80" w:type="dxa"/>
              <w:left w:w="120" w:type="dxa"/>
              <w:bottom w:w="80" w:type="dxa"/>
              <w:right w:w="120" w:type="dxa"/>
            </w:tcMar>
            <w:vAlign w:val="center"/>
          </w:tcPr>
          <w:p w14:paraId="2E6C8A16" w14:textId="77777777" w:rsidR="00183AF9" w:rsidRDefault="00BB5016">
            <w:r>
              <w:rPr>
                <w:b/>
                <w:bCs/>
                <w:sz w:val="22"/>
                <w:szCs w:val="22"/>
              </w:rPr>
              <w:t>Advantages</w:t>
            </w:r>
          </w:p>
        </w:tc>
        <w:tc>
          <w:tcPr>
            <w:tcW w:w="4680" w:type="dxa"/>
            <w:tcBorders>
              <w:top w:val="single" w:sz="0" w:space="0" w:color="999999"/>
              <w:left w:val="single" w:sz="0" w:space="0" w:color="999999"/>
              <w:bottom w:val="single" w:sz="0" w:space="0" w:color="999999"/>
              <w:right w:val="single" w:sz="0" w:space="0" w:color="999999"/>
            </w:tcBorders>
            <w:shd w:val="clear" w:color="auto" w:fill="D0E4F5"/>
            <w:tcMar>
              <w:top w:w="80" w:type="dxa"/>
              <w:left w:w="120" w:type="dxa"/>
              <w:bottom w:w="80" w:type="dxa"/>
              <w:right w:w="120" w:type="dxa"/>
            </w:tcMar>
            <w:vAlign w:val="center"/>
          </w:tcPr>
          <w:p w14:paraId="14FA376D" w14:textId="77777777" w:rsidR="00183AF9" w:rsidRDefault="00BB5016">
            <w:r>
              <w:rPr>
                <w:b/>
                <w:bCs/>
                <w:sz w:val="22"/>
                <w:szCs w:val="22"/>
              </w:rPr>
              <w:t>Disadvantages</w:t>
            </w:r>
          </w:p>
        </w:tc>
      </w:tr>
      <w:tr w:rsidR="00183AF9" w14:paraId="251768C9"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00D9E10" w14:textId="77777777" w:rsidR="00183AF9" w:rsidRDefault="00BB5016">
            <w:r>
              <w:rPr>
                <w:sz w:val="22"/>
                <w:szCs w:val="22"/>
              </w:rPr>
              <w:t>Minimal removal of tooth structure</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25756E5B" w14:textId="77777777" w:rsidR="00183AF9" w:rsidRDefault="00BB5016">
            <w:r>
              <w:rPr>
                <w:sz w:val="22"/>
                <w:szCs w:val="22"/>
              </w:rPr>
              <w:t>Relatively reduced longevity compared to implants</w:t>
            </w:r>
          </w:p>
        </w:tc>
      </w:tr>
      <w:tr w:rsidR="00183AF9" w14:paraId="05C926D3"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E1BB253" w14:textId="77777777" w:rsidR="00183AF9" w:rsidRDefault="00BB5016">
            <w:r>
              <w:rPr>
                <w:sz w:val="22"/>
                <w:szCs w:val="22"/>
              </w:rPr>
              <w:t>Minimal risk of pulpal trauma</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5794E2AF" w14:textId="77777777" w:rsidR="00183AF9" w:rsidRDefault="00BB5016">
            <w:r>
              <w:rPr>
                <w:sz w:val="22"/>
                <w:szCs w:val="22"/>
              </w:rPr>
              <w:t>Enamel modification of abutments still required</w:t>
            </w:r>
          </w:p>
        </w:tc>
      </w:tr>
      <w:tr w:rsidR="00183AF9" w14:paraId="62B85CD3"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10E31890" w14:textId="77777777" w:rsidR="00183AF9" w:rsidRDefault="00BB5016">
            <w:r>
              <w:rPr>
                <w:sz w:val="22"/>
                <w:szCs w:val="22"/>
              </w:rPr>
              <w:t>Anaesthesia often not required</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733210B8" w14:textId="77777777" w:rsidR="00183AF9" w:rsidRDefault="00BB5016">
            <w:r>
              <w:rPr>
                <w:sz w:val="22"/>
                <w:szCs w:val="22"/>
              </w:rPr>
              <w:t>Space discrepancies are difficult to correct</w:t>
            </w:r>
          </w:p>
        </w:tc>
      </w:tr>
      <w:tr w:rsidR="00183AF9" w14:paraId="724E8A01"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55CDFFC4" w14:textId="77777777" w:rsidR="00183AF9" w:rsidRDefault="00BB5016">
            <w:r>
              <w:rPr>
                <w:sz w:val="22"/>
                <w:szCs w:val="22"/>
              </w:rPr>
              <w:t>Supragingival margins achievable</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5AD9D85F" w14:textId="77777777" w:rsidR="00183AF9" w:rsidRDefault="00BB5016">
            <w:r>
              <w:rPr>
                <w:sz w:val="22"/>
                <w:szCs w:val="22"/>
              </w:rPr>
              <w:t>Good abutment alignment is essential</w:t>
            </w:r>
          </w:p>
        </w:tc>
      </w:tr>
      <w:tr w:rsidR="00183AF9" w14:paraId="3DD02799"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4A112BDE" w14:textId="77777777" w:rsidR="00183AF9" w:rsidRDefault="00BB5016">
            <w:r>
              <w:rPr>
                <w:sz w:val="22"/>
                <w:szCs w:val="22"/>
              </w:rPr>
              <w:t>Simplified impression and fabrication</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FCCC5E2" w14:textId="77777777" w:rsidR="00183AF9" w:rsidRDefault="00BB5016">
            <w:r>
              <w:rPr>
                <w:sz w:val="22"/>
                <w:szCs w:val="22"/>
              </w:rPr>
              <w:t>Aesthetics may be compromised posteriorly</w:t>
            </w:r>
          </w:p>
        </w:tc>
      </w:tr>
      <w:tr w:rsidR="00183AF9" w14:paraId="73368613"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758BF0C5" w14:textId="77777777" w:rsidR="00183AF9" w:rsidRDefault="00BB5016">
            <w:r>
              <w:rPr>
                <w:sz w:val="22"/>
                <w:szCs w:val="22"/>
              </w:rPr>
              <w:t>No interim prosthesis usually required</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14A0ADC1" w14:textId="77777777" w:rsidR="00183AF9" w:rsidRDefault="00BB5016">
            <w:r>
              <w:rPr>
                <w:sz w:val="22"/>
                <w:szCs w:val="22"/>
              </w:rPr>
              <w:t>Debonding is the most frequent complication</w:t>
            </w:r>
          </w:p>
        </w:tc>
      </w:tr>
      <w:tr w:rsidR="00183AF9" w14:paraId="6E96B2C9"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0DC27341" w14:textId="77777777" w:rsidR="00183AF9" w:rsidRDefault="00BB5016">
            <w:r>
              <w:rPr>
                <w:sz w:val="22"/>
                <w:szCs w:val="22"/>
              </w:rPr>
              <w:t>Reduced chair time and patient cost</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77CC2AE6" w14:textId="77777777" w:rsidR="00183AF9" w:rsidRDefault="00BB5016">
            <w:r>
              <w:rPr>
                <w:sz w:val="22"/>
                <w:szCs w:val="22"/>
              </w:rPr>
              <w:t>Does not prevent alveolar ridge resorption</w:t>
            </w:r>
          </w:p>
        </w:tc>
      </w:tr>
      <w:tr w:rsidR="00183AF9" w14:paraId="1CFAFD30" w14:textId="77777777">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2655C554" w14:textId="77777777" w:rsidR="00183AF9" w:rsidRDefault="00BB5016">
            <w:proofErr w:type="spellStart"/>
            <w:r>
              <w:rPr>
                <w:sz w:val="22"/>
                <w:szCs w:val="22"/>
              </w:rPr>
              <w:t>Rebonding</w:t>
            </w:r>
            <w:proofErr w:type="spellEnd"/>
            <w:r>
              <w:rPr>
                <w:sz w:val="22"/>
                <w:szCs w:val="22"/>
              </w:rPr>
              <w:t xml:space="preserve"> is possible on failure</w:t>
            </w:r>
          </w:p>
        </w:tc>
        <w:tc>
          <w:tcPr>
            <w:tcW w:w="468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vAlign w:val="center"/>
          </w:tcPr>
          <w:p w14:paraId="437FE82E" w14:textId="77777777" w:rsidR="00183AF9" w:rsidRDefault="00BB5016">
            <w:r>
              <w:rPr>
                <w:sz w:val="22"/>
                <w:szCs w:val="22"/>
              </w:rPr>
              <w:t>Strict moisture control during cementation required</w:t>
            </w:r>
          </w:p>
        </w:tc>
      </w:tr>
    </w:tbl>
    <w:p w14:paraId="63CFD10F" w14:textId="77777777" w:rsidR="00183AF9" w:rsidRDefault="00183AF9">
      <w:pPr>
        <w:spacing w:before="200" w:after="100"/>
      </w:pPr>
    </w:p>
    <w:p w14:paraId="36941640" w14:textId="5707ED8A" w:rsidR="00183AF9" w:rsidRDefault="00BB5016">
      <w:pPr>
        <w:pStyle w:val="Heading1"/>
      </w:pPr>
      <w:r>
        <w:t>7. FIGURES</w:t>
      </w:r>
    </w:p>
    <w:p w14:paraId="729C4220" w14:textId="77777777" w:rsidR="0099663F" w:rsidRDefault="0099663F" w:rsidP="0099663F">
      <w:pPr>
        <w:spacing w:before="240" w:after="40"/>
        <w:jc w:val="center"/>
      </w:pPr>
      <w:r>
        <w:rPr>
          <w:noProof/>
        </w:rPr>
        <w:lastRenderedPageBreak/>
        <w:drawing>
          <wp:inline distT="0" distB="0" distL="0" distR="0" wp14:anchorId="2C1DE88A" wp14:editId="126EC8EF">
            <wp:extent cx="4114800" cy="5486400"/>
            <wp:effectExtent l="0" t="0" r="0" b="0"/>
            <wp:docPr id="440240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40891" name="Picture 440240891"/>
                    <pic:cNvPicPr>
                      <a:picLocks noChangeAspect="1" noChangeArrowheads="1"/>
                    </pic:cNvPicPr>
                  </pic:nvPicPr>
                  <pic:blipFill>
                    <a:blip r:embed="rId6"/>
                    <a:srcRect/>
                    <a:stretch>
                      <a:fillRect/>
                    </a:stretch>
                  </pic:blipFill>
                  <pic:spPr>
                    <a:xfrm>
                      <a:off x="0" y="0"/>
                      <a:ext cx="4114800" cy="5486400"/>
                    </a:xfrm>
                    <a:prstGeom prst="rect">
                      <a:avLst/>
                    </a:prstGeom>
                  </pic:spPr>
                </pic:pic>
              </a:graphicData>
            </a:graphic>
          </wp:inline>
        </w:drawing>
      </w:r>
    </w:p>
    <w:p w14:paraId="6FA1C560" w14:textId="4D5EC951" w:rsidR="0099663F" w:rsidRDefault="0099663F" w:rsidP="0099663F">
      <w:pPr>
        <w:spacing w:before="40" w:after="240"/>
        <w:jc w:val="center"/>
        <w:rPr>
          <w:b/>
          <w:bCs/>
          <w:sz w:val="22"/>
          <w:szCs w:val="22"/>
        </w:rPr>
      </w:pPr>
      <w:r>
        <w:rPr>
          <w:b/>
          <w:bCs/>
          <w:sz w:val="22"/>
          <w:szCs w:val="22"/>
        </w:rPr>
        <w:t xml:space="preserve">Figure </w:t>
      </w:r>
      <w:proofErr w:type="gramStart"/>
      <w:r>
        <w:rPr>
          <w:b/>
          <w:bCs/>
          <w:sz w:val="22"/>
          <w:szCs w:val="22"/>
        </w:rPr>
        <w:t>1:</w:t>
      </w:r>
      <w:r>
        <w:rPr>
          <w:b/>
          <w:bCs/>
          <w:sz w:val="22"/>
          <w:szCs w:val="22"/>
          <w:lang w:val="en-US"/>
        </w:rPr>
        <w:t>preoperative</w:t>
      </w:r>
      <w:proofErr w:type="gramEnd"/>
      <w:r>
        <w:rPr>
          <w:b/>
          <w:bCs/>
          <w:sz w:val="22"/>
          <w:szCs w:val="22"/>
          <w:lang w:val="en-US"/>
        </w:rPr>
        <w:t xml:space="preserve"> frontal view of patient </w:t>
      </w:r>
      <w:r>
        <w:rPr>
          <w:b/>
          <w:bCs/>
          <w:sz w:val="22"/>
          <w:szCs w:val="22"/>
        </w:rPr>
        <w:t xml:space="preserve"> </w:t>
      </w:r>
    </w:p>
    <w:p w14:paraId="485E190B" w14:textId="5CF3950F" w:rsidR="0099663F" w:rsidRDefault="0099663F" w:rsidP="0099663F">
      <w:pPr>
        <w:spacing w:before="40" w:after="240"/>
        <w:jc w:val="center"/>
        <w:rPr>
          <w:b/>
          <w:bCs/>
          <w:sz w:val="22"/>
          <w:szCs w:val="22"/>
        </w:rPr>
      </w:pPr>
    </w:p>
    <w:p w14:paraId="2A73A492" w14:textId="77777777" w:rsidR="0099663F" w:rsidRDefault="0099663F" w:rsidP="0099663F">
      <w:pPr>
        <w:spacing w:before="240" w:after="40"/>
        <w:jc w:val="center"/>
      </w:pPr>
      <w:r>
        <w:rPr>
          <w:noProof/>
        </w:rPr>
        <w:lastRenderedPageBreak/>
        <w:drawing>
          <wp:inline distT="0" distB="0" distL="0" distR="0" wp14:anchorId="2DB57184" wp14:editId="24D0AFD8">
            <wp:extent cx="4114800" cy="3086100"/>
            <wp:effectExtent l="0" t="0" r="0" b="0"/>
            <wp:docPr id="132343410" name="Picture 2" descr="Close-up of a person's mouth with tee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3410" name="Picture 2" descr="Close-up of a person's mouth with teeth&#10;&#10;Description automatically generated"/>
                    <pic:cNvPicPr>
                      <a:picLocks noChangeAspect="1" noChangeArrowheads="1"/>
                    </pic:cNvPicPr>
                  </pic:nvPicPr>
                  <pic:blipFill>
                    <a:blip r:embed="rId7"/>
                    <a:srcRect/>
                    <a:stretch>
                      <a:fillRect/>
                    </a:stretch>
                  </pic:blipFill>
                  <pic:spPr>
                    <a:xfrm>
                      <a:off x="0" y="0"/>
                      <a:ext cx="4114800" cy="3086100"/>
                    </a:xfrm>
                    <a:prstGeom prst="rect">
                      <a:avLst/>
                    </a:prstGeom>
                  </pic:spPr>
                </pic:pic>
              </a:graphicData>
            </a:graphic>
          </wp:inline>
        </w:drawing>
      </w:r>
    </w:p>
    <w:p w14:paraId="317D4464" w14:textId="5F10F0EE" w:rsidR="0099663F" w:rsidRDefault="0099663F" w:rsidP="0099663F">
      <w:pPr>
        <w:spacing w:before="40" w:after="240"/>
        <w:jc w:val="center"/>
        <w:rPr>
          <w:b/>
          <w:bCs/>
          <w:sz w:val="22"/>
          <w:szCs w:val="22"/>
        </w:rPr>
      </w:pPr>
      <w:r>
        <w:rPr>
          <w:b/>
          <w:bCs/>
          <w:sz w:val="22"/>
          <w:szCs w:val="22"/>
        </w:rPr>
        <w:t xml:space="preserve">Figure </w:t>
      </w:r>
      <w:proofErr w:type="gramStart"/>
      <w:r>
        <w:rPr>
          <w:b/>
          <w:bCs/>
          <w:sz w:val="22"/>
          <w:szCs w:val="22"/>
          <w:lang w:val="en-US"/>
        </w:rPr>
        <w:t>2:preopeparative</w:t>
      </w:r>
      <w:proofErr w:type="gramEnd"/>
      <w:r>
        <w:rPr>
          <w:b/>
          <w:bCs/>
          <w:sz w:val="22"/>
          <w:szCs w:val="22"/>
          <w:lang w:val="en-US"/>
        </w:rPr>
        <w:t xml:space="preserve"> occlusal view </w:t>
      </w:r>
      <w:r>
        <w:rPr>
          <w:b/>
          <w:bCs/>
          <w:sz w:val="22"/>
          <w:szCs w:val="22"/>
        </w:rPr>
        <w:t xml:space="preserve"> </w:t>
      </w:r>
    </w:p>
    <w:p w14:paraId="644B6576" w14:textId="77777777" w:rsidR="0099663F" w:rsidRDefault="0099663F" w:rsidP="0099663F">
      <w:pPr>
        <w:spacing w:before="240" w:after="40"/>
        <w:jc w:val="center"/>
      </w:pPr>
      <w:r>
        <w:rPr>
          <w:noProof/>
        </w:rPr>
        <w:drawing>
          <wp:inline distT="0" distB="0" distL="0" distR="0" wp14:anchorId="45ECCFFB" wp14:editId="28F3A0F5">
            <wp:extent cx="4114800" cy="3086100"/>
            <wp:effectExtent l="0" t="0" r="0" b="0"/>
            <wp:docPr id="1951554607" name="Picture 5" descr="Close-up of a person's mouth with teeth and dental im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54607" name="Picture 5" descr="Close-up of a person's mouth with teeth and dental implants&#10;&#10;Description automatically generated"/>
                    <pic:cNvPicPr>
                      <a:picLocks noChangeAspect="1" noChangeArrowheads="1"/>
                    </pic:cNvPicPr>
                  </pic:nvPicPr>
                  <pic:blipFill>
                    <a:blip r:embed="rId8"/>
                    <a:srcRect/>
                    <a:stretch>
                      <a:fillRect/>
                    </a:stretch>
                  </pic:blipFill>
                  <pic:spPr>
                    <a:xfrm>
                      <a:off x="0" y="0"/>
                      <a:ext cx="4114800" cy="3086100"/>
                    </a:xfrm>
                    <a:prstGeom prst="rect">
                      <a:avLst/>
                    </a:prstGeom>
                  </pic:spPr>
                </pic:pic>
              </a:graphicData>
            </a:graphic>
          </wp:inline>
        </w:drawing>
      </w:r>
    </w:p>
    <w:p w14:paraId="3B805940" w14:textId="77777777" w:rsidR="0099663F" w:rsidRDefault="0099663F" w:rsidP="0099663F">
      <w:pPr>
        <w:spacing w:before="40" w:after="240"/>
        <w:jc w:val="center"/>
      </w:pPr>
      <w:r>
        <w:rPr>
          <w:b/>
          <w:bCs/>
          <w:sz w:val="22"/>
          <w:szCs w:val="22"/>
        </w:rPr>
        <w:t xml:space="preserve">Figure </w:t>
      </w:r>
      <w:proofErr w:type="gramStart"/>
      <w:r>
        <w:rPr>
          <w:b/>
          <w:bCs/>
          <w:sz w:val="22"/>
          <w:szCs w:val="22"/>
          <w:lang w:val="en-US"/>
        </w:rPr>
        <w:t>3</w:t>
      </w:r>
      <w:r>
        <w:rPr>
          <w:b/>
          <w:bCs/>
          <w:sz w:val="22"/>
          <w:szCs w:val="22"/>
        </w:rPr>
        <w:t>:</w:t>
      </w:r>
      <w:r>
        <w:rPr>
          <w:b/>
          <w:bCs/>
          <w:sz w:val="22"/>
          <w:szCs w:val="22"/>
          <w:lang w:val="en-US"/>
        </w:rPr>
        <w:t>preoperative</w:t>
      </w:r>
      <w:proofErr w:type="gramEnd"/>
      <w:r>
        <w:rPr>
          <w:b/>
          <w:bCs/>
          <w:sz w:val="22"/>
          <w:szCs w:val="22"/>
          <w:lang w:val="en-US"/>
        </w:rPr>
        <w:t xml:space="preserve"> occlusion </w:t>
      </w:r>
      <w:r>
        <w:rPr>
          <w:b/>
          <w:bCs/>
          <w:sz w:val="22"/>
          <w:szCs w:val="22"/>
        </w:rPr>
        <w:t xml:space="preserve"> </w:t>
      </w:r>
    </w:p>
    <w:p w14:paraId="27F7B0EE" w14:textId="77777777" w:rsidR="0099663F" w:rsidRDefault="0099663F" w:rsidP="0099663F">
      <w:pPr>
        <w:spacing w:before="40" w:after="240"/>
        <w:jc w:val="center"/>
      </w:pPr>
    </w:p>
    <w:p w14:paraId="07AA4708" w14:textId="77777777" w:rsidR="0099663F" w:rsidRDefault="0099663F" w:rsidP="0099663F">
      <w:pPr>
        <w:spacing w:before="40" w:after="240"/>
        <w:jc w:val="center"/>
      </w:pPr>
    </w:p>
    <w:p w14:paraId="6630A0F8" w14:textId="77777777" w:rsidR="0099663F" w:rsidRDefault="0099663F">
      <w:pPr>
        <w:pStyle w:val="Heading1"/>
      </w:pPr>
    </w:p>
    <w:p w14:paraId="7177E63B" w14:textId="77777777" w:rsidR="00183AF9" w:rsidRDefault="00BB5016">
      <w:pPr>
        <w:spacing w:before="240" w:after="40"/>
        <w:jc w:val="center"/>
      </w:pPr>
      <w:r>
        <w:rPr>
          <w:noProof/>
        </w:rPr>
        <w:lastRenderedPageBreak/>
        <w:drawing>
          <wp:inline distT="0" distB="0" distL="0" distR="0" wp14:anchorId="14EB439E" wp14:editId="208DAF56">
            <wp:extent cx="4114800" cy="2009775"/>
            <wp:effectExtent l="0" t="0" r="0" b="0"/>
            <wp:docPr id="203926072" name="Picture 203926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6072" name="Picture 203926072"/>
                    <pic:cNvPicPr>
                      <a:picLocks noChangeAspect="1" noChangeArrowheads="1"/>
                    </pic:cNvPicPr>
                  </pic:nvPicPr>
                  <pic:blipFill>
                    <a:blip r:embed="rId9"/>
                    <a:srcRect/>
                    <a:stretch>
                      <a:fillRect/>
                    </a:stretch>
                  </pic:blipFill>
                  <pic:spPr>
                    <a:xfrm>
                      <a:off x="0" y="0"/>
                      <a:ext cx="4114800" cy="2009775"/>
                    </a:xfrm>
                    <a:prstGeom prst="rect">
                      <a:avLst/>
                    </a:prstGeom>
                  </pic:spPr>
                </pic:pic>
              </a:graphicData>
            </a:graphic>
          </wp:inline>
        </w:drawing>
      </w:r>
    </w:p>
    <w:p w14:paraId="1FC868B6" w14:textId="77777777" w:rsidR="00183AF9" w:rsidRDefault="00183AF9">
      <w:pPr>
        <w:spacing w:before="40" w:after="240"/>
        <w:jc w:val="center"/>
      </w:pPr>
    </w:p>
    <w:p w14:paraId="6665CA95" w14:textId="77777777" w:rsidR="00183AF9" w:rsidRDefault="00183AF9">
      <w:pPr>
        <w:spacing w:before="240" w:after="40"/>
        <w:jc w:val="center"/>
      </w:pPr>
    </w:p>
    <w:p w14:paraId="4682B342" w14:textId="77777777" w:rsidR="0099663F" w:rsidRDefault="0099663F" w:rsidP="0099663F">
      <w:pPr>
        <w:spacing w:before="240" w:after="40"/>
        <w:jc w:val="center"/>
      </w:pPr>
      <w:r>
        <w:rPr>
          <w:noProof/>
        </w:rPr>
        <w:drawing>
          <wp:inline distT="0" distB="0" distL="0" distR="0" wp14:anchorId="37DE1325" wp14:editId="5D914742">
            <wp:extent cx="4114800" cy="2743200"/>
            <wp:effectExtent l="0" t="0" r="0" b="0"/>
            <wp:docPr id="44850848" name="Picture 4" descr="A close-up of a mold of tee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0848" name="Picture 4" descr="A close-up of a mold of teeth&#10;&#10;Description automatically generated"/>
                    <pic:cNvPicPr>
                      <a:picLocks noChangeAspect="1" noChangeArrowheads="1"/>
                    </pic:cNvPicPr>
                  </pic:nvPicPr>
                  <pic:blipFill>
                    <a:blip r:embed="rId10"/>
                    <a:srcRect/>
                    <a:stretch>
                      <a:fillRect/>
                    </a:stretch>
                  </pic:blipFill>
                  <pic:spPr>
                    <a:xfrm>
                      <a:off x="0" y="0"/>
                      <a:ext cx="4114800" cy="2743200"/>
                    </a:xfrm>
                    <a:prstGeom prst="rect">
                      <a:avLst/>
                    </a:prstGeom>
                  </pic:spPr>
                </pic:pic>
              </a:graphicData>
            </a:graphic>
          </wp:inline>
        </w:drawing>
      </w:r>
    </w:p>
    <w:p w14:paraId="1F23B4DC" w14:textId="77777777" w:rsidR="0099663F" w:rsidRDefault="0099663F" w:rsidP="0099663F">
      <w:pPr>
        <w:spacing w:before="40" w:after="240"/>
        <w:jc w:val="center"/>
      </w:pPr>
      <w:r>
        <w:rPr>
          <w:b/>
          <w:bCs/>
          <w:sz w:val="22"/>
          <w:szCs w:val="22"/>
        </w:rPr>
        <w:t xml:space="preserve">Figure </w:t>
      </w:r>
      <w:proofErr w:type="gramStart"/>
      <w:r>
        <w:rPr>
          <w:b/>
          <w:bCs/>
          <w:sz w:val="22"/>
          <w:szCs w:val="22"/>
          <w:lang w:val="en-US"/>
        </w:rPr>
        <w:t>4</w:t>
      </w:r>
      <w:r>
        <w:rPr>
          <w:b/>
          <w:bCs/>
          <w:sz w:val="22"/>
          <w:szCs w:val="22"/>
        </w:rPr>
        <w:t>:</w:t>
      </w:r>
      <w:r>
        <w:rPr>
          <w:b/>
          <w:bCs/>
          <w:sz w:val="22"/>
          <w:szCs w:val="22"/>
          <w:lang w:val="en-US"/>
        </w:rPr>
        <w:t>diagnostic</w:t>
      </w:r>
      <w:proofErr w:type="gramEnd"/>
      <w:r>
        <w:rPr>
          <w:b/>
          <w:bCs/>
          <w:sz w:val="22"/>
          <w:szCs w:val="22"/>
          <w:lang w:val="en-US"/>
        </w:rPr>
        <w:t xml:space="preserve"> casts </w:t>
      </w:r>
      <w:r>
        <w:rPr>
          <w:b/>
          <w:bCs/>
          <w:sz w:val="22"/>
          <w:szCs w:val="22"/>
        </w:rPr>
        <w:t xml:space="preserve"> </w:t>
      </w:r>
    </w:p>
    <w:p w14:paraId="158B24E2" w14:textId="77777777" w:rsidR="0099663F" w:rsidRDefault="00BB5016" w:rsidP="0099663F">
      <w:pPr>
        <w:spacing w:before="240" w:after="40"/>
        <w:jc w:val="center"/>
      </w:pPr>
      <w:r>
        <w:rPr>
          <w:b/>
          <w:bCs/>
          <w:sz w:val="22"/>
          <w:szCs w:val="22"/>
        </w:rPr>
        <w:lastRenderedPageBreak/>
        <w:t xml:space="preserve"> </w:t>
      </w:r>
      <w:r w:rsidR="0099663F">
        <w:rPr>
          <w:noProof/>
        </w:rPr>
        <w:drawing>
          <wp:inline distT="0" distB="0" distL="0" distR="0" wp14:anchorId="18EB24AA" wp14:editId="0FEA4416">
            <wp:extent cx="4114800" cy="5486400"/>
            <wp:effectExtent l="0" t="0" r="0" b="0"/>
            <wp:docPr id="1362640938" name="Picture 6" descr="A person with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40938" name="Picture 6" descr="A person with a microscope&#10;&#10;Description automatically generated"/>
                    <pic:cNvPicPr>
                      <a:picLocks noChangeAspect="1" noChangeArrowheads="1"/>
                    </pic:cNvPicPr>
                  </pic:nvPicPr>
                  <pic:blipFill>
                    <a:blip r:embed="rId11"/>
                    <a:srcRect/>
                    <a:stretch>
                      <a:fillRect/>
                    </a:stretch>
                  </pic:blipFill>
                  <pic:spPr>
                    <a:xfrm>
                      <a:off x="0" y="0"/>
                      <a:ext cx="4114800" cy="5486400"/>
                    </a:xfrm>
                    <a:prstGeom prst="rect">
                      <a:avLst/>
                    </a:prstGeom>
                  </pic:spPr>
                </pic:pic>
              </a:graphicData>
            </a:graphic>
          </wp:inline>
        </w:drawing>
      </w:r>
    </w:p>
    <w:p w14:paraId="1612B025" w14:textId="77777777" w:rsidR="0099663F" w:rsidRDefault="0099663F" w:rsidP="0099663F">
      <w:pPr>
        <w:spacing w:before="40" w:after="240"/>
        <w:jc w:val="center"/>
        <w:rPr>
          <w:lang w:val="en-US"/>
        </w:rPr>
      </w:pPr>
      <w:r>
        <w:rPr>
          <w:b/>
          <w:bCs/>
          <w:sz w:val="22"/>
          <w:szCs w:val="22"/>
        </w:rPr>
        <w:t xml:space="preserve">Figure </w:t>
      </w:r>
      <w:r>
        <w:rPr>
          <w:b/>
          <w:bCs/>
          <w:sz w:val="22"/>
          <w:szCs w:val="22"/>
          <w:lang w:val="en-US"/>
        </w:rPr>
        <w:t>5</w:t>
      </w:r>
      <w:r>
        <w:rPr>
          <w:b/>
          <w:bCs/>
          <w:sz w:val="22"/>
          <w:szCs w:val="22"/>
        </w:rPr>
        <w:t xml:space="preserve">: </w:t>
      </w:r>
      <w:r>
        <w:rPr>
          <w:b/>
          <w:bCs/>
          <w:sz w:val="22"/>
          <w:szCs w:val="22"/>
          <w:lang w:val="en-US"/>
        </w:rPr>
        <w:t>facebow transfer</w:t>
      </w:r>
    </w:p>
    <w:p w14:paraId="6A19A65F" w14:textId="65FC3E33" w:rsidR="00183AF9" w:rsidRDefault="00183AF9">
      <w:pPr>
        <w:spacing w:before="40" w:after="240"/>
        <w:jc w:val="center"/>
        <w:rPr>
          <w:lang w:val="en-US"/>
        </w:rPr>
      </w:pPr>
    </w:p>
    <w:p w14:paraId="75106818" w14:textId="77777777" w:rsidR="00183AF9" w:rsidRDefault="00BB5016">
      <w:pPr>
        <w:spacing w:before="240" w:after="40"/>
        <w:jc w:val="center"/>
      </w:pPr>
      <w:r>
        <w:rPr>
          <w:noProof/>
        </w:rPr>
        <w:lastRenderedPageBreak/>
        <w:drawing>
          <wp:inline distT="0" distB="0" distL="0" distR="0" wp14:anchorId="768C2CC9" wp14:editId="7A9F2436">
            <wp:extent cx="4114800" cy="3086100"/>
            <wp:effectExtent l="0" t="0" r="0" b="0"/>
            <wp:docPr id="1391702930" name="Picture 139170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02930" name="Picture 1391702930"/>
                    <pic:cNvPicPr>
                      <a:picLocks noChangeAspect="1" noChangeArrowheads="1"/>
                    </pic:cNvPicPr>
                  </pic:nvPicPr>
                  <pic:blipFill>
                    <a:blip r:embed="rId12"/>
                    <a:srcRect/>
                    <a:stretch>
                      <a:fillRect/>
                    </a:stretch>
                  </pic:blipFill>
                  <pic:spPr>
                    <a:xfrm>
                      <a:off x="0" y="0"/>
                      <a:ext cx="4114800" cy="3086100"/>
                    </a:xfrm>
                    <a:prstGeom prst="rect">
                      <a:avLst/>
                    </a:prstGeom>
                  </pic:spPr>
                </pic:pic>
              </a:graphicData>
            </a:graphic>
          </wp:inline>
        </w:drawing>
      </w:r>
    </w:p>
    <w:p w14:paraId="11765BE7" w14:textId="731E17BC" w:rsidR="00183AF9" w:rsidRDefault="00BB5016">
      <w:pPr>
        <w:spacing w:before="40" w:after="240"/>
        <w:jc w:val="center"/>
        <w:rPr>
          <w:b/>
          <w:bCs/>
          <w:sz w:val="22"/>
          <w:szCs w:val="22"/>
        </w:rPr>
      </w:pPr>
      <w:r>
        <w:rPr>
          <w:b/>
          <w:bCs/>
          <w:sz w:val="22"/>
          <w:szCs w:val="22"/>
        </w:rPr>
        <w:t xml:space="preserve">Figure </w:t>
      </w:r>
      <w:proofErr w:type="gramStart"/>
      <w:r>
        <w:rPr>
          <w:b/>
          <w:bCs/>
          <w:sz w:val="22"/>
          <w:szCs w:val="22"/>
          <w:lang w:val="en-US"/>
        </w:rPr>
        <w:t>6</w:t>
      </w:r>
      <w:r>
        <w:rPr>
          <w:b/>
          <w:bCs/>
          <w:sz w:val="22"/>
          <w:szCs w:val="22"/>
        </w:rPr>
        <w:t>:</w:t>
      </w:r>
      <w:r>
        <w:rPr>
          <w:b/>
          <w:bCs/>
          <w:sz w:val="22"/>
          <w:szCs w:val="22"/>
          <w:lang w:val="en-US"/>
        </w:rPr>
        <w:t>diagnostic</w:t>
      </w:r>
      <w:proofErr w:type="gramEnd"/>
      <w:r>
        <w:rPr>
          <w:b/>
          <w:bCs/>
          <w:sz w:val="22"/>
          <w:szCs w:val="22"/>
          <w:lang w:val="en-US"/>
        </w:rPr>
        <w:t xml:space="preserve"> mounting in </w:t>
      </w:r>
      <w:proofErr w:type="spellStart"/>
      <w:r>
        <w:rPr>
          <w:b/>
          <w:bCs/>
          <w:sz w:val="22"/>
          <w:szCs w:val="22"/>
          <w:lang w:val="en-US"/>
        </w:rPr>
        <w:t>hanau</w:t>
      </w:r>
      <w:proofErr w:type="spellEnd"/>
      <w:r>
        <w:rPr>
          <w:b/>
          <w:bCs/>
          <w:sz w:val="22"/>
          <w:szCs w:val="22"/>
          <w:lang w:val="en-US"/>
        </w:rPr>
        <w:t xml:space="preserve"> articulator</w:t>
      </w:r>
      <w:r>
        <w:rPr>
          <w:b/>
          <w:bCs/>
          <w:sz w:val="22"/>
          <w:szCs w:val="22"/>
        </w:rPr>
        <w:t xml:space="preserve"> </w:t>
      </w:r>
    </w:p>
    <w:p w14:paraId="573556E3" w14:textId="77777777" w:rsidR="0099663F" w:rsidRDefault="0099663F" w:rsidP="0099663F">
      <w:pPr>
        <w:spacing w:before="240" w:after="40"/>
        <w:jc w:val="center"/>
      </w:pPr>
      <w:r>
        <w:rPr>
          <w:noProof/>
        </w:rPr>
        <w:drawing>
          <wp:inline distT="0" distB="0" distL="0" distR="0" wp14:anchorId="728318BD" wp14:editId="2A590731">
            <wp:extent cx="4114800" cy="3086100"/>
            <wp:effectExtent l="0" t="0" r="0" b="0"/>
            <wp:docPr id="14966704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0460" name="Picture 1496670460"/>
                    <pic:cNvPicPr>
                      <a:picLocks noChangeAspect="1" noChangeArrowheads="1"/>
                    </pic:cNvPicPr>
                  </pic:nvPicPr>
                  <pic:blipFill>
                    <a:blip r:embed="rId13"/>
                    <a:srcRect/>
                    <a:stretch>
                      <a:fillRect/>
                    </a:stretch>
                  </pic:blipFill>
                  <pic:spPr>
                    <a:xfrm>
                      <a:off x="0" y="0"/>
                      <a:ext cx="4114800" cy="3086100"/>
                    </a:xfrm>
                    <a:prstGeom prst="rect">
                      <a:avLst/>
                    </a:prstGeom>
                  </pic:spPr>
                </pic:pic>
              </a:graphicData>
            </a:graphic>
          </wp:inline>
        </w:drawing>
      </w:r>
    </w:p>
    <w:p w14:paraId="34531616" w14:textId="26AA2FED" w:rsidR="0099663F" w:rsidRDefault="0099663F" w:rsidP="0099663F">
      <w:pPr>
        <w:spacing w:before="40" w:after="240"/>
        <w:jc w:val="center"/>
        <w:rPr>
          <w:b/>
          <w:bCs/>
          <w:sz w:val="22"/>
          <w:szCs w:val="22"/>
        </w:rPr>
      </w:pPr>
      <w:r>
        <w:rPr>
          <w:b/>
          <w:bCs/>
          <w:sz w:val="22"/>
          <w:szCs w:val="22"/>
        </w:rPr>
        <w:t xml:space="preserve">Figure </w:t>
      </w:r>
      <w:proofErr w:type="gramStart"/>
      <w:r>
        <w:rPr>
          <w:b/>
          <w:bCs/>
          <w:sz w:val="22"/>
          <w:szCs w:val="22"/>
          <w:lang w:val="en-US"/>
        </w:rPr>
        <w:t>7</w:t>
      </w:r>
      <w:r>
        <w:rPr>
          <w:b/>
          <w:bCs/>
          <w:sz w:val="22"/>
          <w:szCs w:val="22"/>
        </w:rPr>
        <w:t>:</w:t>
      </w:r>
      <w:r>
        <w:rPr>
          <w:b/>
          <w:bCs/>
          <w:sz w:val="22"/>
          <w:szCs w:val="22"/>
          <w:lang w:val="en-US"/>
        </w:rPr>
        <w:t>wax</w:t>
      </w:r>
      <w:proofErr w:type="gramEnd"/>
      <w:r>
        <w:rPr>
          <w:b/>
          <w:bCs/>
          <w:sz w:val="22"/>
          <w:szCs w:val="22"/>
          <w:lang w:val="en-US"/>
        </w:rPr>
        <w:t xml:space="preserve"> up of </w:t>
      </w:r>
      <w:proofErr w:type="spellStart"/>
      <w:r>
        <w:rPr>
          <w:b/>
          <w:bCs/>
          <w:sz w:val="22"/>
          <w:szCs w:val="22"/>
          <w:lang w:val="en-US"/>
        </w:rPr>
        <w:t>pontic</w:t>
      </w:r>
      <w:proofErr w:type="spellEnd"/>
      <w:r>
        <w:rPr>
          <w:b/>
          <w:bCs/>
          <w:sz w:val="22"/>
          <w:szCs w:val="22"/>
          <w:lang w:val="en-US"/>
        </w:rPr>
        <w:t xml:space="preserve"> region in relation to 12</w:t>
      </w:r>
      <w:r>
        <w:rPr>
          <w:b/>
          <w:bCs/>
          <w:sz w:val="22"/>
          <w:szCs w:val="22"/>
        </w:rPr>
        <w:t xml:space="preserve"> </w:t>
      </w:r>
    </w:p>
    <w:p w14:paraId="3941AB9D" w14:textId="77777777" w:rsidR="0099663F" w:rsidRDefault="0099663F" w:rsidP="0099663F">
      <w:pPr>
        <w:spacing w:before="240" w:after="40"/>
        <w:jc w:val="center"/>
      </w:pPr>
      <w:r>
        <w:rPr>
          <w:noProof/>
        </w:rPr>
        <w:lastRenderedPageBreak/>
        <w:drawing>
          <wp:inline distT="0" distB="0" distL="0" distR="0" wp14:anchorId="5FF282E3" wp14:editId="75941621">
            <wp:extent cx="4114800" cy="3086100"/>
            <wp:effectExtent l="0" t="0" r="0" b="0"/>
            <wp:docPr id="2106237114" name="Picture 8" descr="Close-up of a person's mouth with teeth and gu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37114" name="Picture 8" descr="Close-up of a person's mouth with teeth and gums&#10;&#10;Description automatically generated"/>
                    <pic:cNvPicPr>
                      <a:picLocks noChangeAspect="1" noChangeArrowheads="1"/>
                    </pic:cNvPicPr>
                  </pic:nvPicPr>
                  <pic:blipFill>
                    <a:blip r:embed="rId14"/>
                    <a:srcRect/>
                    <a:stretch>
                      <a:fillRect/>
                    </a:stretch>
                  </pic:blipFill>
                  <pic:spPr>
                    <a:xfrm>
                      <a:off x="0" y="0"/>
                      <a:ext cx="4114800" cy="3086100"/>
                    </a:xfrm>
                    <a:prstGeom prst="rect">
                      <a:avLst/>
                    </a:prstGeom>
                  </pic:spPr>
                </pic:pic>
              </a:graphicData>
            </a:graphic>
          </wp:inline>
        </w:drawing>
      </w:r>
    </w:p>
    <w:p w14:paraId="27616F2B" w14:textId="77777777" w:rsidR="0099663F" w:rsidRDefault="0099663F" w:rsidP="0099663F">
      <w:pPr>
        <w:spacing w:before="40" w:after="240"/>
        <w:jc w:val="center"/>
      </w:pPr>
      <w:r>
        <w:rPr>
          <w:b/>
          <w:bCs/>
          <w:sz w:val="22"/>
          <w:szCs w:val="22"/>
        </w:rPr>
        <w:t xml:space="preserve">Figure </w:t>
      </w:r>
      <w:proofErr w:type="gramStart"/>
      <w:r>
        <w:rPr>
          <w:b/>
          <w:bCs/>
          <w:sz w:val="22"/>
          <w:szCs w:val="22"/>
          <w:lang w:val="en-US"/>
        </w:rPr>
        <w:t>8</w:t>
      </w:r>
      <w:r>
        <w:rPr>
          <w:b/>
          <w:bCs/>
          <w:sz w:val="22"/>
          <w:szCs w:val="22"/>
        </w:rPr>
        <w:t>:</w:t>
      </w:r>
      <w:proofErr w:type="spellStart"/>
      <w:r>
        <w:rPr>
          <w:b/>
          <w:bCs/>
          <w:sz w:val="22"/>
          <w:szCs w:val="22"/>
          <w:lang w:val="en-US"/>
        </w:rPr>
        <w:t>intral</w:t>
      </w:r>
      <w:proofErr w:type="spellEnd"/>
      <w:proofErr w:type="gramEnd"/>
      <w:r>
        <w:rPr>
          <w:b/>
          <w:bCs/>
          <w:sz w:val="22"/>
          <w:szCs w:val="22"/>
          <w:lang w:val="en-US"/>
        </w:rPr>
        <w:t xml:space="preserve"> oral tooth preparation in relation to 11 and 13</w:t>
      </w:r>
      <w:r>
        <w:rPr>
          <w:b/>
          <w:bCs/>
          <w:sz w:val="22"/>
          <w:szCs w:val="22"/>
        </w:rPr>
        <w:t xml:space="preserve"> </w:t>
      </w:r>
    </w:p>
    <w:p w14:paraId="69FD6612" w14:textId="77777777" w:rsidR="0099663F" w:rsidRDefault="0099663F" w:rsidP="0099663F">
      <w:pPr>
        <w:spacing w:before="40" w:after="240"/>
        <w:jc w:val="center"/>
      </w:pPr>
    </w:p>
    <w:p w14:paraId="648180C1" w14:textId="77777777" w:rsidR="0099663F" w:rsidRDefault="0099663F">
      <w:pPr>
        <w:spacing w:before="40" w:after="240"/>
        <w:jc w:val="center"/>
      </w:pPr>
    </w:p>
    <w:p w14:paraId="04B07813" w14:textId="77777777" w:rsidR="00183AF9" w:rsidRDefault="00BB5016">
      <w:pPr>
        <w:spacing w:before="240" w:after="40"/>
        <w:jc w:val="center"/>
      </w:pPr>
      <w:r>
        <w:rPr>
          <w:noProof/>
        </w:rPr>
        <w:drawing>
          <wp:inline distT="0" distB="0" distL="0" distR="0" wp14:anchorId="463D1BEF" wp14:editId="31658474">
            <wp:extent cx="4114800" cy="3086100"/>
            <wp:effectExtent l="0" t="0" r="0" b="0"/>
            <wp:docPr id="1210142361" name="Picture 1210142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42361" name="Picture 1210142361"/>
                    <pic:cNvPicPr>
                      <a:picLocks noChangeAspect="1" noChangeArrowheads="1"/>
                    </pic:cNvPicPr>
                  </pic:nvPicPr>
                  <pic:blipFill>
                    <a:blip r:embed="rId15"/>
                    <a:srcRect/>
                    <a:stretch>
                      <a:fillRect/>
                    </a:stretch>
                  </pic:blipFill>
                  <pic:spPr>
                    <a:xfrm>
                      <a:off x="0" y="0"/>
                      <a:ext cx="4114800" cy="3086100"/>
                    </a:xfrm>
                    <a:prstGeom prst="rect">
                      <a:avLst/>
                    </a:prstGeom>
                  </pic:spPr>
                </pic:pic>
              </a:graphicData>
            </a:graphic>
          </wp:inline>
        </w:drawing>
      </w:r>
    </w:p>
    <w:p w14:paraId="00FB2B80" w14:textId="6FC2ED84" w:rsidR="00183AF9" w:rsidRDefault="00BB5016">
      <w:pPr>
        <w:spacing w:before="40" w:after="240"/>
        <w:jc w:val="center"/>
        <w:rPr>
          <w:b/>
          <w:bCs/>
          <w:sz w:val="22"/>
          <w:szCs w:val="22"/>
        </w:rPr>
      </w:pPr>
      <w:r>
        <w:rPr>
          <w:b/>
          <w:bCs/>
          <w:sz w:val="22"/>
          <w:szCs w:val="22"/>
        </w:rPr>
        <w:t xml:space="preserve">Figure </w:t>
      </w:r>
      <w:r>
        <w:rPr>
          <w:b/>
          <w:bCs/>
          <w:sz w:val="22"/>
          <w:szCs w:val="22"/>
          <w:lang w:val="en-US"/>
        </w:rPr>
        <w:t>9</w:t>
      </w:r>
      <w:r>
        <w:rPr>
          <w:b/>
          <w:bCs/>
          <w:sz w:val="22"/>
          <w:szCs w:val="22"/>
        </w:rPr>
        <w:t>:</w:t>
      </w:r>
      <w:r>
        <w:rPr>
          <w:b/>
          <w:bCs/>
          <w:sz w:val="22"/>
          <w:szCs w:val="22"/>
          <w:lang w:val="en-US"/>
        </w:rPr>
        <w:t xml:space="preserve"> scanning of prepared tooth using </w:t>
      </w:r>
      <w:proofErr w:type="spellStart"/>
      <w:r>
        <w:rPr>
          <w:b/>
          <w:bCs/>
          <w:sz w:val="22"/>
          <w:szCs w:val="22"/>
          <w:lang w:val="en-US"/>
        </w:rPr>
        <w:t>intral</w:t>
      </w:r>
      <w:proofErr w:type="spellEnd"/>
      <w:r>
        <w:rPr>
          <w:b/>
          <w:bCs/>
          <w:sz w:val="22"/>
          <w:szCs w:val="22"/>
          <w:lang w:val="en-US"/>
        </w:rPr>
        <w:t xml:space="preserve"> oral scanner</w:t>
      </w:r>
      <w:r>
        <w:rPr>
          <w:b/>
          <w:bCs/>
          <w:sz w:val="22"/>
          <w:szCs w:val="22"/>
        </w:rPr>
        <w:t xml:space="preserve"> </w:t>
      </w:r>
    </w:p>
    <w:p w14:paraId="4EFB755A" w14:textId="77777777" w:rsidR="0099663F" w:rsidRDefault="0099663F" w:rsidP="0099663F">
      <w:pPr>
        <w:spacing w:before="240" w:after="40"/>
        <w:jc w:val="center"/>
      </w:pPr>
      <w:r>
        <w:rPr>
          <w:noProof/>
        </w:rPr>
        <w:lastRenderedPageBreak/>
        <w:drawing>
          <wp:inline distT="0" distB="0" distL="0" distR="0" wp14:anchorId="4EDF249B" wp14:editId="618C381B">
            <wp:extent cx="4114800" cy="3086100"/>
            <wp:effectExtent l="0" t="0" r="0" b="0"/>
            <wp:docPr id="1" name="Picture 3" descr="A close-up of a model of tee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close-up of a model of teeth&#10;&#10;Description automatically generated"/>
                    <pic:cNvPicPr>
                      <a:picLocks noChangeAspect="1" noChangeArrowheads="1"/>
                    </pic:cNvPicPr>
                  </pic:nvPicPr>
                  <pic:blipFill>
                    <a:blip r:embed="rId16"/>
                    <a:srcRect/>
                    <a:stretch>
                      <a:fillRect/>
                    </a:stretch>
                  </pic:blipFill>
                  <pic:spPr>
                    <a:xfrm>
                      <a:off x="0" y="0"/>
                      <a:ext cx="4114800" cy="3086100"/>
                    </a:xfrm>
                    <a:prstGeom prst="rect">
                      <a:avLst/>
                    </a:prstGeom>
                  </pic:spPr>
                </pic:pic>
              </a:graphicData>
            </a:graphic>
          </wp:inline>
        </w:drawing>
      </w:r>
    </w:p>
    <w:p w14:paraId="1FD1CE2C" w14:textId="77777777" w:rsidR="0099663F" w:rsidRDefault="0099663F" w:rsidP="0099663F">
      <w:pPr>
        <w:spacing w:before="40" w:after="240"/>
        <w:jc w:val="center"/>
      </w:pPr>
      <w:r>
        <w:rPr>
          <w:b/>
          <w:bCs/>
          <w:sz w:val="22"/>
          <w:szCs w:val="22"/>
        </w:rPr>
        <w:t xml:space="preserve">Figure </w:t>
      </w:r>
      <w:proofErr w:type="gramStart"/>
      <w:r>
        <w:rPr>
          <w:b/>
          <w:bCs/>
          <w:sz w:val="22"/>
          <w:szCs w:val="22"/>
        </w:rPr>
        <w:t>1</w:t>
      </w:r>
      <w:r>
        <w:rPr>
          <w:b/>
          <w:bCs/>
          <w:sz w:val="22"/>
          <w:szCs w:val="22"/>
          <w:lang w:val="en-US"/>
        </w:rPr>
        <w:t>0</w:t>
      </w:r>
      <w:r>
        <w:rPr>
          <w:b/>
          <w:bCs/>
          <w:sz w:val="22"/>
          <w:szCs w:val="22"/>
        </w:rPr>
        <w:t>:</w:t>
      </w:r>
      <w:r>
        <w:rPr>
          <w:b/>
          <w:bCs/>
          <w:sz w:val="22"/>
          <w:szCs w:val="22"/>
          <w:lang w:val="en-US"/>
        </w:rPr>
        <w:t>designing</w:t>
      </w:r>
      <w:proofErr w:type="gramEnd"/>
      <w:r>
        <w:rPr>
          <w:b/>
          <w:bCs/>
          <w:sz w:val="22"/>
          <w:szCs w:val="22"/>
          <w:lang w:val="en-US"/>
        </w:rPr>
        <w:t xml:space="preserve"> of </w:t>
      </w:r>
      <w:proofErr w:type="spellStart"/>
      <w:r>
        <w:rPr>
          <w:b/>
          <w:bCs/>
          <w:sz w:val="22"/>
          <w:szCs w:val="22"/>
          <w:lang w:val="en-US"/>
        </w:rPr>
        <w:t>maryland</w:t>
      </w:r>
      <w:proofErr w:type="spellEnd"/>
      <w:r>
        <w:rPr>
          <w:b/>
          <w:bCs/>
          <w:sz w:val="22"/>
          <w:szCs w:val="22"/>
          <w:lang w:val="en-US"/>
        </w:rPr>
        <w:t xml:space="preserve"> prosthesis using software</w:t>
      </w:r>
      <w:r>
        <w:rPr>
          <w:b/>
          <w:bCs/>
          <w:sz w:val="22"/>
          <w:szCs w:val="22"/>
        </w:rPr>
        <w:t xml:space="preserve"> </w:t>
      </w:r>
    </w:p>
    <w:p w14:paraId="241EDC70" w14:textId="77777777" w:rsidR="0099663F" w:rsidRDefault="0099663F">
      <w:pPr>
        <w:spacing w:before="40" w:after="240"/>
        <w:jc w:val="center"/>
      </w:pPr>
    </w:p>
    <w:p w14:paraId="3EC082A0" w14:textId="77777777" w:rsidR="00183AF9" w:rsidRDefault="00BB5016">
      <w:pPr>
        <w:spacing w:before="240" w:after="40"/>
        <w:jc w:val="center"/>
      </w:pPr>
      <w:r>
        <w:rPr>
          <w:noProof/>
        </w:rPr>
        <w:drawing>
          <wp:inline distT="0" distB="0" distL="0" distR="0" wp14:anchorId="1E972DCF" wp14:editId="28C5259C">
            <wp:extent cx="4114800" cy="3086100"/>
            <wp:effectExtent l="0" t="0" r="0" b="0"/>
            <wp:docPr id="1398778597" name="Picture 1398778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78597" name="Picture 1398778597"/>
                    <pic:cNvPicPr>
                      <a:picLocks noChangeAspect="1" noChangeArrowheads="1"/>
                    </pic:cNvPicPr>
                  </pic:nvPicPr>
                  <pic:blipFill>
                    <a:blip r:embed="rId17"/>
                    <a:srcRect/>
                    <a:stretch>
                      <a:fillRect/>
                    </a:stretch>
                  </pic:blipFill>
                  <pic:spPr>
                    <a:xfrm>
                      <a:off x="0" y="0"/>
                      <a:ext cx="4114800" cy="3086100"/>
                    </a:xfrm>
                    <a:prstGeom prst="rect">
                      <a:avLst/>
                    </a:prstGeom>
                  </pic:spPr>
                </pic:pic>
              </a:graphicData>
            </a:graphic>
          </wp:inline>
        </w:drawing>
      </w:r>
    </w:p>
    <w:p w14:paraId="7A6005A5" w14:textId="77777777" w:rsidR="00183AF9" w:rsidRDefault="00BB5016">
      <w:pPr>
        <w:spacing w:before="40" w:after="240"/>
        <w:jc w:val="center"/>
      </w:pPr>
      <w:r>
        <w:rPr>
          <w:b/>
          <w:bCs/>
          <w:sz w:val="22"/>
          <w:szCs w:val="22"/>
        </w:rPr>
        <w:t xml:space="preserve">Figure </w:t>
      </w:r>
      <w:proofErr w:type="gramStart"/>
      <w:r>
        <w:rPr>
          <w:b/>
          <w:bCs/>
          <w:sz w:val="22"/>
          <w:szCs w:val="22"/>
          <w:lang w:val="en-US"/>
        </w:rPr>
        <w:t>11</w:t>
      </w:r>
      <w:r>
        <w:rPr>
          <w:b/>
          <w:bCs/>
          <w:sz w:val="22"/>
          <w:szCs w:val="22"/>
        </w:rPr>
        <w:t>:</w:t>
      </w:r>
      <w:r>
        <w:rPr>
          <w:b/>
          <w:bCs/>
          <w:sz w:val="22"/>
          <w:szCs w:val="22"/>
          <w:lang w:val="en-US"/>
        </w:rPr>
        <w:t>final</w:t>
      </w:r>
      <w:proofErr w:type="gramEnd"/>
      <w:r>
        <w:rPr>
          <w:b/>
          <w:bCs/>
          <w:sz w:val="22"/>
          <w:szCs w:val="22"/>
          <w:lang w:val="en-US"/>
        </w:rPr>
        <w:t xml:space="preserve"> prosthesis finished and polished </w:t>
      </w:r>
      <w:r>
        <w:rPr>
          <w:b/>
          <w:bCs/>
          <w:sz w:val="22"/>
          <w:szCs w:val="22"/>
        </w:rPr>
        <w:t xml:space="preserve"> </w:t>
      </w:r>
    </w:p>
    <w:p w14:paraId="1F83D288" w14:textId="77777777" w:rsidR="00183AF9" w:rsidRDefault="00BB5016">
      <w:pPr>
        <w:spacing w:before="240" w:after="40"/>
        <w:jc w:val="center"/>
      </w:pPr>
      <w:r>
        <w:rPr>
          <w:noProof/>
        </w:rPr>
        <w:lastRenderedPageBreak/>
        <w:drawing>
          <wp:inline distT="0" distB="0" distL="0" distR="0" wp14:anchorId="066E97F8" wp14:editId="5BC8A829">
            <wp:extent cx="4114800" cy="5486400"/>
            <wp:effectExtent l="0" t="0" r="0" b="0"/>
            <wp:docPr id="1133488957" name="Picture 1133488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88957" name="Picture 1133488957"/>
                    <pic:cNvPicPr>
                      <a:picLocks noChangeAspect="1" noChangeArrowheads="1"/>
                    </pic:cNvPicPr>
                  </pic:nvPicPr>
                  <pic:blipFill>
                    <a:blip r:embed="rId18"/>
                    <a:srcRect/>
                    <a:stretch>
                      <a:fillRect/>
                    </a:stretch>
                  </pic:blipFill>
                  <pic:spPr>
                    <a:xfrm>
                      <a:off x="0" y="0"/>
                      <a:ext cx="4114800" cy="5486400"/>
                    </a:xfrm>
                    <a:prstGeom prst="rect">
                      <a:avLst/>
                    </a:prstGeom>
                  </pic:spPr>
                </pic:pic>
              </a:graphicData>
            </a:graphic>
          </wp:inline>
        </w:drawing>
      </w:r>
    </w:p>
    <w:p w14:paraId="1F306567" w14:textId="77777777" w:rsidR="00183AF9" w:rsidRDefault="00BB5016">
      <w:pPr>
        <w:spacing w:before="40" w:after="240"/>
        <w:jc w:val="center"/>
        <w:rPr>
          <w:lang w:val="en-US"/>
        </w:rPr>
      </w:pPr>
      <w:r>
        <w:rPr>
          <w:b/>
          <w:bCs/>
          <w:sz w:val="22"/>
          <w:szCs w:val="22"/>
        </w:rPr>
        <w:t xml:space="preserve">Figure 12: </w:t>
      </w:r>
      <w:r>
        <w:rPr>
          <w:b/>
          <w:bCs/>
          <w:sz w:val="22"/>
          <w:szCs w:val="22"/>
          <w:lang w:val="en-US"/>
        </w:rPr>
        <w:t>Happy patient</w:t>
      </w:r>
    </w:p>
    <w:p w14:paraId="3D2E8118" w14:textId="77777777" w:rsidR="00183AF9" w:rsidRDefault="00BB5016">
      <w:pPr>
        <w:pStyle w:val="Heading1"/>
      </w:pPr>
      <w:r>
        <w:t>REFERENCES</w:t>
      </w:r>
    </w:p>
    <w:p w14:paraId="3C1B39C1" w14:textId="77777777" w:rsidR="00183AF9" w:rsidRDefault="00BB5016">
      <w:pPr>
        <w:spacing w:before="60" w:after="40"/>
        <w:ind w:left="360" w:hanging="360"/>
      </w:pPr>
      <w:r>
        <w:rPr>
          <w:sz w:val="22"/>
          <w:szCs w:val="22"/>
        </w:rPr>
        <w:t xml:space="preserve">1. Rochette AL. Attachment of a splint to enamel of lower anterior teeth. J </w:t>
      </w:r>
      <w:proofErr w:type="spellStart"/>
      <w:r>
        <w:rPr>
          <w:sz w:val="22"/>
          <w:szCs w:val="22"/>
        </w:rPr>
        <w:t>Prosthet</w:t>
      </w:r>
      <w:proofErr w:type="spellEnd"/>
      <w:r>
        <w:rPr>
          <w:sz w:val="22"/>
          <w:szCs w:val="22"/>
        </w:rPr>
        <w:t xml:space="preserve"> Dent. 1973;30(4):418–23.</w:t>
      </w:r>
    </w:p>
    <w:p w14:paraId="7B837840" w14:textId="77777777" w:rsidR="00183AF9" w:rsidRDefault="00BB5016">
      <w:pPr>
        <w:spacing w:before="60" w:after="40"/>
        <w:ind w:left="360" w:hanging="360"/>
      </w:pPr>
      <w:r>
        <w:rPr>
          <w:sz w:val="22"/>
          <w:szCs w:val="22"/>
        </w:rPr>
        <w:t xml:space="preserve">2. Livaditis GJ, Thompson VP. Etched castings: an improved retentive mechanism for resin-bonded retainers. J </w:t>
      </w:r>
      <w:proofErr w:type="spellStart"/>
      <w:r>
        <w:rPr>
          <w:sz w:val="22"/>
          <w:szCs w:val="22"/>
        </w:rPr>
        <w:t>Prosthet</w:t>
      </w:r>
      <w:proofErr w:type="spellEnd"/>
      <w:r>
        <w:rPr>
          <w:sz w:val="22"/>
          <w:szCs w:val="22"/>
        </w:rPr>
        <w:t xml:space="preserve"> Dent. 1982;47(1):52–8.</w:t>
      </w:r>
    </w:p>
    <w:p w14:paraId="7DA938F7" w14:textId="77777777" w:rsidR="00183AF9" w:rsidRDefault="00BB5016">
      <w:pPr>
        <w:spacing w:before="60" w:after="40"/>
        <w:ind w:left="360" w:hanging="360"/>
      </w:pPr>
      <w:r>
        <w:rPr>
          <w:sz w:val="22"/>
          <w:szCs w:val="22"/>
        </w:rPr>
        <w:t xml:space="preserve">3. Kern M, </w:t>
      </w:r>
      <w:proofErr w:type="spellStart"/>
      <w:r>
        <w:rPr>
          <w:sz w:val="22"/>
          <w:szCs w:val="22"/>
        </w:rPr>
        <w:t>Knode</w:t>
      </w:r>
      <w:proofErr w:type="spellEnd"/>
      <w:r>
        <w:rPr>
          <w:sz w:val="22"/>
          <w:szCs w:val="22"/>
        </w:rPr>
        <w:t xml:space="preserve"> H, </w:t>
      </w:r>
      <w:proofErr w:type="spellStart"/>
      <w:r>
        <w:rPr>
          <w:sz w:val="22"/>
          <w:szCs w:val="22"/>
        </w:rPr>
        <w:t>Strubb</w:t>
      </w:r>
      <w:proofErr w:type="spellEnd"/>
      <w:r>
        <w:rPr>
          <w:sz w:val="22"/>
          <w:szCs w:val="22"/>
        </w:rPr>
        <w:t xml:space="preserve"> JR. The all-porcelain, resin-bonded bridge. Quintessence Int. 1991;22(4):257–62.</w:t>
      </w:r>
    </w:p>
    <w:p w14:paraId="5FFB5689" w14:textId="77777777" w:rsidR="00183AF9" w:rsidRDefault="00BB5016">
      <w:pPr>
        <w:spacing w:before="60" w:after="40"/>
        <w:ind w:left="360" w:hanging="360"/>
      </w:pPr>
      <w:r>
        <w:rPr>
          <w:sz w:val="22"/>
          <w:szCs w:val="22"/>
        </w:rPr>
        <w:t xml:space="preserve">4. </w:t>
      </w:r>
      <w:proofErr w:type="spellStart"/>
      <w:r>
        <w:rPr>
          <w:sz w:val="22"/>
          <w:szCs w:val="22"/>
        </w:rPr>
        <w:t>Habibzadeh</w:t>
      </w:r>
      <w:proofErr w:type="spellEnd"/>
      <w:r>
        <w:rPr>
          <w:sz w:val="22"/>
          <w:szCs w:val="22"/>
        </w:rPr>
        <w:t xml:space="preserve"> S, </w:t>
      </w:r>
      <w:proofErr w:type="spellStart"/>
      <w:r>
        <w:rPr>
          <w:sz w:val="22"/>
          <w:szCs w:val="22"/>
        </w:rPr>
        <w:t>Khamisi</w:t>
      </w:r>
      <w:proofErr w:type="spellEnd"/>
      <w:r>
        <w:rPr>
          <w:sz w:val="22"/>
          <w:szCs w:val="22"/>
        </w:rPr>
        <w:t xml:space="preserve"> F, </w:t>
      </w:r>
      <w:proofErr w:type="spellStart"/>
      <w:r>
        <w:rPr>
          <w:sz w:val="22"/>
          <w:szCs w:val="22"/>
        </w:rPr>
        <w:t>Mosaddad</w:t>
      </w:r>
      <w:proofErr w:type="spellEnd"/>
      <w:r>
        <w:rPr>
          <w:sz w:val="22"/>
          <w:szCs w:val="22"/>
        </w:rPr>
        <w:t xml:space="preserve"> SA, Fernandes GVO, </w:t>
      </w:r>
      <w:proofErr w:type="spellStart"/>
      <w:r>
        <w:rPr>
          <w:sz w:val="22"/>
          <w:szCs w:val="22"/>
        </w:rPr>
        <w:t>Heboyan</w:t>
      </w:r>
      <w:proofErr w:type="spellEnd"/>
      <w:r>
        <w:rPr>
          <w:sz w:val="22"/>
          <w:szCs w:val="22"/>
        </w:rPr>
        <w:t xml:space="preserve"> A. Full-ceramic resin-bonded fixed dental prostheses: a systematic review. J </w:t>
      </w:r>
      <w:proofErr w:type="spellStart"/>
      <w:r>
        <w:rPr>
          <w:sz w:val="22"/>
          <w:szCs w:val="22"/>
        </w:rPr>
        <w:t>Appl</w:t>
      </w:r>
      <w:proofErr w:type="spellEnd"/>
      <w:r>
        <w:rPr>
          <w:sz w:val="22"/>
          <w:szCs w:val="22"/>
        </w:rPr>
        <w:t xml:space="preserve"> </w:t>
      </w:r>
      <w:proofErr w:type="spellStart"/>
      <w:r>
        <w:rPr>
          <w:sz w:val="22"/>
          <w:szCs w:val="22"/>
        </w:rPr>
        <w:t>Biomater</w:t>
      </w:r>
      <w:proofErr w:type="spellEnd"/>
      <w:r>
        <w:rPr>
          <w:sz w:val="22"/>
          <w:szCs w:val="22"/>
        </w:rPr>
        <w:t xml:space="preserve"> </w:t>
      </w:r>
      <w:proofErr w:type="spellStart"/>
      <w:r>
        <w:rPr>
          <w:sz w:val="22"/>
          <w:szCs w:val="22"/>
        </w:rPr>
        <w:t>Funct</w:t>
      </w:r>
      <w:proofErr w:type="spellEnd"/>
      <w:r>
        <w:rPr>
          <w:sz w:val="22"/>
          <w:szCs w:val="22"/>
        </w:rPr>
        <w:t xml:space="preserve"> Mater. 2024;22. doi:10.1177/22808000241250118.</w:t>
      </w:r>
    </w:p>
    <w:p w14:paraId="4833BAE2" w14:textId="77777777" w:rsidR="00183AF9" w:rsidRDefault="00BB5016">
      <w:pPr>
        <w:spacing w:before="60" w:after="40"/>
        <w:ind w:left="360" w:hanging="360"/>
      </w:pPr>
      <w:r>
        <w:rPr>
          <w:sz w:val="22"/>
          <w:szCs w:val="22"/>
        </w:rPr>
        <w:t xml:space="preserve">5. </w:t>
      </w:r>
      <w:proofErr w:type="spellStart"/>
      <w:r>
        <w:rPr>
          <w:sz w:val="22"/>
          <w:szCs w:val="22"/>
        </w:rPr>
        <w:t>Guzelce</w:t>
      </w:r>
      <w:proofErr w:type="spellEnd"/>
      <w:r>
        <w:rPr>
          <w:sz w:val="22"/>
          <w:szCs w:val="22"/>
        </w:rPr>
        <w:t xml:space="preserve"> E, </w:t>
      </w:r>
      <w:proofErr w:type="spellStart"/>
      <w:r>
        <w:rPr>
          <w:sz w:val="22"/>
          <w:szCs w:val="22"/>
        </w:rPr>
        <w:t>Bassi</w:t>
      </w:r>
      <w:proofErr w:type="spellEnd"/>
      <w:r>
        <w:rPr>
          <w:sz w:val="22"/>
          <w:szCs w:val="22"/>
        </w:rPr>
        <w:t xml:space="preserve"> F, </w:t>
      </w:r>
      <w:proofErr w:type="spellStart"/>
      <w:r>
        <w:rPr>
          <w:sz w:val="22"/>
          <w:szCs w:val="22"/>
        </w:rPr>
        <w:t>Karacer</w:t>
      </w:r>
      <w:proofErr w:type="spellEnd"/>
      <w:r>
        <w:rPr>
          <w:sz w:val="22"/>
          <w:szCs w:val="22"/>
        </w:rPr>
        <w:t xml:space="preserve"> O. Restoring congenitally missing mandibular central incisor using lithium disilicate based resin bonded prostheses: a case report. Oral Health Dent Sci. 2018;2(2):1–3.</w:t>
      </w:r>
    </w:p>
    <w:p w14:paraId="03954646" w14:textId="77777777" w:rsidR="00183AF9" w:rsidRDefault="00BB5016">
      <w:pPr>
        <w:spacing w:before="60" w:after="40"/>
        <w:ind w:left="360" w:hanging="360"/>
      </w:pPr>
      <w:r>
        <w:rPr>
          <w:sz w:val="22"/>
          <w:szCs w:val="22"/>
        </w:rPr>
        <w:lastRenderedPageBreak/>
        <w:t xml:space="preserve">6. Ender A, Mehl A. Accuracy of complete-arch dental impressions: a new method of measuring trueness and precision. J </w:t>
      </w:r>
      <w:proofErr w:type="spellStart"/>
      <w:r>
        <w:rPr>
          <w:sz w:val="22"/>
          <w:szCs w:val="22"/>
        </w:rPr>
        <w:t>Prosthet</w:t>
      </w:r>
      <w:proofErr w:type="spellEnd"/>
      <w:r>
        <w:rPr>
          <w:sz w:val="22"/>
          <w:szCs w:val="22"/>
        </w:rPr>
        <w:t xml:space="preserve"> Dent. 2013;109(2):121–8.</w:t>
      </w:r>
    </w:p>
    <w:p w14:paraId="10B59A90" w14:textId="77777777" w:rsidR="00183AF9" w:rsidRDefault="00BB5016">
      <w:pPr>
        <w:spacing w:before="60" w:after="40"/>
        <w:ind w:left="360" w:hanging="360"/>
      </w:pPr>
      <w:r>
        <w:rPr>
          <w:sz w:val="22"/>
          <w:szCs w:val="22"/>
        </w:rPr>
        <w:t xml:space="preserve">7. Mangano FG, Veronesi G, </w:t>
      </w:r>
      <w:proofErr w:type="spellStart"/>
      <w:r>
        <w:rPr>
          <w:sz w:val="22"/>
          <w:szCs w:val="22"/>
        </w:rPr>
        <w:t>Hauschild</w:t>
      </w:r>
      <w:proofErr w:type="spellEnd"/>
      <w:r>
        <w:rPr>
          <w:sz w:val="22"/>
          <w:szCs w:val="22"/>
        </w:rPr>
        <w:t xml:space="preserve"> U, </w:t>
      </w:r>
      <w:proofErr w:type="spellStart"/>
      <w:r>
        <w:rPr>
          <w:sz w:val="22"/>
          <w:szCs w:val="22"/>
        </w:rPr>
        <w:t>Mijiritsky</w:t>
      </w:r>
      <w:proofErr w:type="spellEnd"/>
      <w:r>
        <w:rPr>
          <w:sz w:val="22"/>
          <w:szCs w:val="22"/>
        </w:rPr>
        <w:t xml:space="preserve"> E, </w:t>
      </w:r>
      <w:proofErr w:type="spellStart"/>
      <w:r>
        <w:rPr>
          <w:sz w:val="22"/>
          <w:szCs w:val="22"/>
        </w:rPr>
        <w:t>Mangano</w:t>
      </w:r>
      <w:proofErr w:type="spellEnd"/>
      <w:r>
        <w:rPr>
          <w:sz w:val="22"/>
          <w:szCs w:val="22"/>
        </w:rPr>
        <w:t xml:space="preserve"> C. Trueness and precision of four intraoral scanners in oral implantology: a comparative in vitro study. </w:t>
      </w:r>
      <w:proofErr w:type="spellStart"/>
      <w:r>
        <w:rPr>
          <w:sz w:val="22"/>
          <w:szCs w:val="22"/>
        </w:rPr>
        <w:t>PLoS</w:t>
      </w:r>
      <w:proofErr w:type="spellEnd"/>
      <w:r>
        <w:rPr>
          <w:sz w:val="22"/>
          <w:szCs w:val="22"/>
        </w:rPr>
        <w:t xml:space="preserve"> One. 2016;11(9</w:t>
      </w:r>
      <w:proofErr w:type="gramStart"/>
      <w:r>
        <w:rPr>
          <w:sz w:val="22"/>
          <w:szCs w:val="22"/>
        </w:rPr>
        <w:t>):e</w:t>
      </w:r>
      <w:proofErr w:type="gramEnd"/>
      <w:r>
        <w:rPr>
          <w:sz w:val="22"/>
          <w:szCs w:val="22"/>
        </w:rPr>
        <w:t>0163107.</w:t>
      </w:r>
    </w:p>
    <w:p w14:paraId="21F74375" w14:textId="77777777" w:rsidR="00183AF9" w:rsidRDefault="00BB5016">
      <w:pPr>
        <w:spacing w:before="60" w:after="40"/>
        <w:ind w:left="360" w:hanging="360"/>
      </w:pPr>
      <w:r>
        <w:rPr>
          <w:sz w:val="22"/>
          <w:szCs w:val="22"/>
        </w:rPr>
        <w:t>8. Kern M. Resin-bonded bridges: the state of the art. Quintessence Int. 2017;48(5):370–7.</w:t>
      </w:r>
    </w:p>
    <w:p w14:paraId="25E39B60" w14:textId="77777777" w:rsidR="00183AF9" w:rsidRDefault="00BB5016">
      <w:pPr>
        <w:spacing w:before="60" w:after="40"/>
        <w:ind w:left="360" w:hanging="360"/>
      </w:pPr>
      <w:r>
        <w:rPr>
          <w:sz w:val="22"/>
          <w:szCs w:val="22"/>
        </w:rPr>
        <w:t xml:space="preserve">9. </w:t>
      </w:r>
      <w:proofErr w:type="spellStart"/>
      <w:r>
        <w:rPr>
          <w:sz w:val="22"/>
          <w:szCs w:val="22"/>
        </w:rPr>
        <w:t>Sailer</w:t>
      </w:r>
      <w:proofErr w:type="spellEnd"/>
      <w:r>
        <w:rPr>
          <w:sz w:val="22"/>
          <w:szCs w:val="22"/>
        </w:rPr>
        <w:t xml:space="preserve"> I, </w:t>
      </w:r>
      <w:proofErr w:type="spellStart"/>
      <w:r>
        <w:rPr>
          <w:sz w:val="22"/>
          <w:szCs w:val="22"/>
        </w:rPr>
        <w:t>Strasding</w:t>
      </w:r>
      <w:proofErr w:type="spellEnd"/>
      <w:r>
        <w:rPr>
          <w:sz w:val="22"/>
          <w:szCs w:val="22"/>
        </w:rPr>
        <w:t xml:space="preserve"> M, Valente NA, Zwahlen M, Liu S, Pjetursson BE. A systematic review of the survival and complication rates of zirconia-ceramic and metal-ceramic multiple-unit fixed dental prostheses. Clin Oral Implants Res. 2018;29 </w:t>
      </w:r>
      <w:proofErr w:type="spellStart"/>
      <w:r>
        <w:rPr>
          <w:sz w:val="22"/>
          <w:szCs w:val="22"/>
        </w:rPr>
        <w:t>Suppl</w:t>
      </w:r>
      <w:proofErr w:type="spellEnd"/>
      <w:r>
        <w:rPr>
          <w:sz w:val="22"/>
          <w:szCs w:val="22"/>
        </w:rPr>
        <w:t xml:space="preserve"> 16:184–98.</w:t>
      </w:r>
    </w:p>
    <w:p w14:paraId="27CC6A5F" w14:textId="77777777" w:rsidR="00183AF9" w:rsidRDefault="00BB5016">
      <w:pPr>
        <w:spacing w:before="60" w:after="40"/>
        <w:ind w:left="360" w:hanging="360"/>
      </w:pPr>
      <w:r>
        <w:rPr>
          <w:sz w:val="22"/>
          <w:szCs w:val="22"/>
        </w:rPr>
        <w:t xml:space="preserve">10. van </w:t>
      </w:r>
      <w:proofErr w:type="spellStart"/>
      <w:r>
        <w:rPr>
          <w:sz w:val="22"/>
          <w:szCs w:val="22"/>
        </w:rPr>
        <w:t>Meerbeek</w:t>
      </w:r>
      <w:proofErr w:type="spellEnd"/>
      <w:r>
        <w:rPr>
          <w:sz w:val="22"/>
          <w:szCs w:val="22"/>
        </w:rPr>
        <w:t xml:space="preserve"> B, Yoshihara K, Yoshida Y, Mine A, De Munck J, Van Landuyt KL. State of the art of self-etch adhesives. Dent Mater. 2011;27(1):17–28.</w:t>
      </w:r>
    </w:p>
    <w:p w14:paraId="681996B3" w14:textId="77777777" w:rsidR="00183AF9" w:rsidRDefault="00BB5016">
      <w:pPr>
        <w:spacing w:before="60" w:after="40"/>
        <w:ind w:left="360" w:hanging="360"/>
      </w:pPr>
      <w:r>
        <w:rPr>
          <w:sz w:val="22"/>
          <w:szCs w:val="22"/>
        </w:rPr>
        <w:t xml:space="preserve">11. Kinzer GA, Kokich VO Jr. Managing congenitally missing lateral incisors. Part II: tooth-supported restorations. J </w:t>
      </w:r>
      <w:proofErr w:type="spellStart"/>
      <w:r>
        <w:rPr>
          <w:sz w:val="22"/>
          <w:szCs w:val="22"/>
        </w:rPr>
        <w:t>Esthet</w:t>
      </w:r>
      <w:proofErr w:type="spellEnd"/>
      <w:r>
        <w:rPr>
          <w:sz w:val="22"/>
          <w:szCs w:val="22"/>
        </w:rPr>
        <w:t xml:space="preserve"> </w:t>
      </w:r>
      <w:proofErr w:type="spellStart"/>
      <w:r>
        <w:rPr>
          <w:sz w:val="22"/>
          <w:szCs w:val="22"/>
        </w:rPr>
        <w:t>Restor</w:t>
      </w:r>
      <w:proofErr w:type="spellEnd"/>
      <w:r>
        <w:rPr>
          <w:sz w:val="22"/>
          <w:szCs w:val="22"/>
        </w:rPr>
        <w:t xml:space="preserve"> Dent. 2005;17(2):76–84.</w:t>
      </w:r>
    </w:p>
    <w:p w14:paraId="38B74937" w14:textId="77777777" w:rsidR="00183AF9" w:rsidRDefault="00BB5016">
      <w:pPr>
        <w:spacing w:before="60" w:after="40"/>
        <w:ind w:left="360" w:hanging="360"/>
      </w:pPr>
      <w:r>
        <w:rPr>
          <w:sz w:val="22"/>
          <w:szCs w:val="22"/>
        </w:rPr>
        <w:t>12. Guess PC, Schultheis S, Bonfante EA, Coelho PG, Ferencz JL, Silva NR. All-ceramic systems: laboratory and clinical performance. Dent Clin North Am. 2011;55(2):333–52.</w:t>
      </w:r>
    </w:p>
    <w:p w14:paraId="6A8083F1" w14:textId="77777777" w:rsidR="00183AF9" w:rsidRDefault="00BB5016">
      <w:pPr>
        <w:spacing w:before="60" w:after="40"/>
        <w:ind w:left="360" w:hanging="360"/>
      </w:pPr>
      <w:r>
        <w:rPr>
          <w:sz w:val="22"/>
          <w:szCs w:val="22"/>
        </w:rPr>
        <w:t xml:space="preserve">13. Blatz MB, Sadan A, Kern M. Resin-ceramic bonding: a review of the literature. J </w:t>
      </w:r>
      <w:proofErr w:type="spellStart"/>
      <w:r>
        <w:rPr>
          <w:sz w:val="22"/>
          <w:szCs w:val="22"/>
        </w:rPr>
        <w:t>Prosthet</w:t>
      </w:r>
      <w:proofErr w:type="spellEnd"/>
      <w:r>
        <w:rPr>
          <w:sz w:val="22"/>
          <w:szCs w:val="22"/>
        </w:rPr>
        <w:t xml:space="preserve"> Dent. 2003;89(3):268–74.</w:t>
      </w:r>
    </w:p>
    <w:p w14:paraId="5F52A0E5" w14:textId="77777777" w:rsidR="00183AF9" w:rsidRDefault="00BB5016">
      <w:pPr>
        <w:spacing w:before="60" w:after="40"/>
        <w:ind w:left="360" w:hanging="360"/>
      </w:pPr>
      <w:r>
        <w:rPr>
          <w:sz w:val="22"/>
          <w:szCs w:val="22"/>
        </w:rPr>
        <w:t xml:space="preserve">14. </w:t>
      </w:r>
      <w:proofErr w:type="spellStart"/>
      <w:r>
        <w:rPr>
          <w:sz w:val="22"/>
          <w:szCs w:val="22"/>
        </w:rPr>
        <w:t>Sailer</w:t>
      </w:r>
      <w:proofErr w:type="spellEnd"/>
      <w:r>
        <w:rPr>
          <w:sz w:val="22"/>
          <w:szCs w:val="22"/>
        </w:rPr>
        <w:t xml:space="preserve"> I, </w:t>
      </w:r>
      <w:proofErr w:type="spellStart"/>
      <w:r>
        <w:rPr>
          <w:sz w:val="22"/>
          <w:szCs w:val="22"/>
        </w:rPr>
        <w:t>Bonani</w:t>
      </w:r>
      <w:proofErr w:type="spellEnd"/>
      <w:r>
        <w:rPr>
          <w:sz w:val="22"/>
          <w:szCs w:val="22"/>
        </w:rPr>
        <w:t xml:space="preserve"> T, Brodbeck U, Hammerle CH. Retrospective clinical study of single-retainer cantilever anterior and posterior glass-ceramic resin-bonded fixed dental prostheses at a mean follow-up of 6 years. Int J </w:t>
      </w:r>
      <w:proofErr w:type="spellStart"/>
      <w:r>
        <w:rPr>
          <w:sz w:val="22"/>
          <w:szCs w:val="22"/>
        </w:rPr>
        <w:t>Prosthodont</w:t>
      </w:r>
      <w:proofErr w:type="spellEnd"/>
      <w:r>
        <w:rPr>
          <w:sz w:val="22"/>
          <w:szCs w:val="22"/>
        </w:rPr>
        <w:t>. 2013;26(5):443–50.</w:t>
      </w:r>
    </w:p>
    <w:p w14:paraId="7FF3640E" w14:textId="77777777" w:rsidR="00183AF9" w:rsidRDefault="00BB5016">
      <w:pPr>
        <w:spacing w:before="60" w:after="40"/>
        <w:ind w:left="360" w:hanging="360"/>
      </w:pPr>
      <w:r>
        <w:rPr>
          <w:sz w:val="22"/>
          <w:szCs w:val="22"/>
        </w:rPr>
        <w:t xml:space="preserve">15. van Dalen A, </w:t>
      </w:r>
      <w:proofErr w:type="spellStart"/>
      <w:r>
        <w:rPr>
          <w:sz w:val="22"/>
          <w:szCs w:val="22"/>
        </w:rPr>
        <w:t>Feilzer</w:t>
      </w:r>
      <w:proofErr w:type="spellEnd"/>
      <w:r>
        <w:rPr>
          <w:sz w:val="22"/>
          <w:szCs w:val="22"/>
        </w:rPr>
        <w:t xml:space="preserve"> AJ, </w:t>
      </w:r>
      <w:proofErr w:type="spellStart"/>
      <w:r>
        <w:rPr>
          <w:sz w:val="22"/>
          <w:szCs w:val="22"/>
        </w:rPr>
        <w:t>Kleverlaan</w:t>
      </w:r>
      <w:proofErr w:type="spellEnd"/>
      <w:r>
        <w:rPr>
          <w:sz w:val="22"/>
          <w:szCs w:val="22"/>
        </w:rPr>
        <w:t xml:space="preserve"> CJ. A literature review of two-unit cantilevered FPDs. Int J </w:t>
      </w:r>
      <w:proofErr w:type="spellStart"/>
      <w:r>
        <w:rPr>
          <w:sz w:val="22"/>
          <w:szCs w:val="22"/>
        </w:rPr>
        <w:t>Prosthodont</w:t>
      </w:r>
      <w:proofErr w:type="spellEnd"/>
      <w:r>
        <w:rPr>
          <w:sz w:val="22"/>
          <w:szCs w:val="22"/>
        </w:rPr>
        <w:t>. 2004;17(3):281–4.</w:t>
      </w:r>
    </w:p>
    <w:p w14:paraId="37525862" w14:textId="77777777" w:rsidR="00183AF9" w:rsidRDefault="00BB5016">
      <w:pPr>
        <w:spacing w:before="60" w:after="40"/>
        <w:ind w:left="360" w:hanging="360"/>
      </w:pPr>
      <w:r>
        <w:rPr>
          <w:sz w:val="22"/>
          <w:szCs w:val="22"/>
        </w:rPr>
        <w:t xml:space="preserve">16. </w:t>
      </w:r>
      <w:proofErr w:type="spellStart"/>
      <w:r>
        <w:rPr>
          <w:sz w:val="22"/>
          <w:szCs w:val="22"/>
        </w:rPr>
        <w:t>Matinlinna</w:t>
      </w:r>
      <w:proofErr w:type="spellEnd"/>
      <w:r>
        <w:rPr>
          <w:sz w:val="22"/>
          <w:szCs w:val="22"/>
        </w:rPr>
        <w:t xml:space="preserve"> JP, Lung CYK, Tsoi JKH. Silane adhesion mechanism in dental applications and surface treatments: a review. Dent Mater. 2018;34(1):13–28.</w:t>
      </w:r>
    </w:p>
    <w:p w14:paraId="6D1585A2" w14:textId="77777777" w:rsidR="00183AF9" w:rsidRDefault="00BB5016">
      <w:pPr>
        <w:spacing w:before="60" w:after="40"/>
        <w:ind w:left="360" w:hanging="360"/>
      </w:pPr>
      <w:r>
        <w:rPr>
          <w:sz w:val="22"/>
          <w:szCs w:val="22"/>
        </w:rPr>
        <w:t xml:space="preserve">17. Mante FK, Osei-Ansah B, Mante EO, Flinton R. Effect of surface treatments and adhesive systems on the bond strength of resin cement to IPS </w:t>
      </w:r>
      <w:proofErr w:type="spellStart"/>
      <w:r>
        <w:rPr>
          <w:sz w:val="22"/>
          <w:szCs w:val="22"/>
        </w:rPr>
        <w:t>e.max</w:t>
      </w:r>
      <w:proofErr w:type="spellEnd"/>
      <w:r>
        <w:rPr>
          <w:sz w:val="22"/>
          <w:szCs w:val="22"/>
        </w:rPr>
        <w:t xml:space="preserve"> CAD ceramic. J </w:t>
      </w:r>
      <w:proofErr w:type="spellStart"/>
      <w:r>
        <w:rPr>
          <w:sz w:val="22"/>
          <w:szCs w:val="22"/>
        </w:rPr>
        <w:t>Adhes</w:t>
      </w:r>
      <w:proofErr w:type="spellEnd"/>
      <w:r>
        <w:rPr>
          <w:sz w:val="22"/>
          <w:szCs w:val="22"/>
        </w:rPr>
        <w:t xml:space="preserve"> Dent. 2014;16(4):357–62.</w:t>
      </w:r>
    </w:p>
    <w:p w14:paraId="6DB4967A" w14:textId="77777777" w:rsidR="00183AF9" w:rsidRDefault="00BB5016">
      <w:pPr>
        <w:spacing w:before="60" w:after="40"/>
        <w:ind w:left="360" w:hanging="360"/>
      </w:pPr>
      <w:r>
        <w:rPr>
          <w:sz w:val="22"/>
          <w:szCs w:val="22"/>
        </w:rPr>
        <w:t xml:space="preserve">18. Kern M, </w:t>
      </w:r>
      <w:proofErr w:type="spellStart"/>
      <w:r>
        <w:rPr>
          <w:sz w:val="22"/>
          <w:szCs w:val="22"/>
        </w:rPr>
        <w:t>Passia</w:t>
      </w:r>
      <w:proofErr w:type="spellEnd"/>
      <w:r>
        <w:rPr>
          <w:sz w:val="22"/>
          <w:szCs w:val="22"/>
        </w:rPr>
        <w:t xml:space="preserve"> N, </w:t>
      </w:r>
      <w:proofErr w:type="spellStart"/>
      <w:r>
        <w:rPr>
          <w:sz w:val="22"/>
          <w:szCs w:val="22"/>
        </w:rPr>
        <w:t>Sasse</w:t>
      </w:r>
      <w:proofErr w:type="spellEnd"/>
      <w:r>
        <w:rPr>
          <w:sz w:val="22"/>
          <w:szCs w:val="22"/>
        </w:rPr>
        <w:t xml:space="preserve"> M, </w:t>
      </w:r>
      <w:proofErr w:type="spellStart"/>
      <w:r>
        <w:rPr>
          <w:sz w:val="22"/>
          <w:szCs w:val="22"/>
        </w:rPr>
        <w:t>Yazigi</w:t>
      </w:r>
      <w:proofErr w:type="spellEnd"/>
      <w:r>
        <w:rPr>
          <w:sz w:val="22"/>
          <w:szCs w:val="22"/>
        </w:rPr>
        <w:t xml:space="preserve"> C. Ten-year outcome of zirconia ceramic cantilever resin-bonded fixed dental prostheses and the influence of the reasons for missing incisors. J Dent. </w:t>
      </w:r>
      <w:proofErr w:type="gramStart"/>
      <w:r>
        <w:rPr>
          <w:sz w:val="22"/>
          <w:szCs w:val="22"/>
        </w:rPr>
        <w:t>2016;50:93</w:t>
      </w:r>
      <w:proofErr w:type="gramEnd"/>
      <w:r>
        <w:rPr>
          <w:sz w:val="22"/>
          <w:szCs w:val="22"/>
        </w:rPr>
        <w:t>–8.</w:t>
      </w:r>
    </w:p>
    <w:p w14:paraId="43FDC5A0" w14:textId="77777777" w:rsidR="00183AF9" w:rsidRDefault="00BB5016">
      <w:pPr>
        <w:spacing w:before="60" w:after="40"/>
        <w:ind w:left="360" w:hanging="360"/>
      </w:pPr>
      <w:r>
        <w:rPr>
          <w:sz w:val="22"/>
          <w:szCs w:val="22"/>
        </w:rPr>
        <w:t xml:space="preserve">19. Ahmad M, Naim H, Adawi AM, Siddiq A, </w:t>
      </w:r>
      <w:proofErr w:type="spellStart"/>
      <w:r>
        <w:rPr>
          <w:sz w:val="22"/>
          <w:szCs w:val="22"/>
        </w:rPr>
        <w:t>Mayidi</w:t>
      </w:r>
      <w:proofErr w:type="spellEnd"/>
      <w:r>
        <w:rPr>
          <w:sz w:val="22"/>
          <w:szCs w:val="22"/>
        </w:rPr>
        <w:t xml:space="preserve"> HM, </w:t>
      </w:r>
      <w:proofErr w:type="spellStart"/>
      <w:r>
        <w:rPr>
          <w:sz w:val="22"/>
          <w:szCs w:val="22"/>
        </w:rPr>
        <w:t>Hakami</w:t>
      </w:r>
      <w:proofErr w:type="spellEnd"/>
      <w:r>
        <w:rPr>
          <w:sz w:val="22"/>
          <w:szCs w:val="22"/>
        </w:rPr>
        <w:t xml:space="preserve"> YH. A conservative approach to replace missing teeth in the aesthetic zone with Maryland bridge: a case report. Dent Oral </w:t>
      </w:r>
      <w:proofErr w:type="spellStart"/>
      <w:r>
        <w:rPr>
          <w:sz w:val="22"/>
          <w:szCs w:val="22"/>
        </w:rPr>
        <w:t>Craniofac</w:t>
      </w:r>
      <w:proofErr w:type="spellEnd"/>
      <w:r>
        <w:rPr>
          <w:sz w:val="22"/>
          <w:szCs w:val="22"/>
        </w:rPr>
        <w:t xml:space="preserve"> Res. </w:t>
      </w:r>
      <w:proofErr w:type="gramStart"/>
      <w:r>
        <w:rPr>
          <w:sz w:val="22"/>
          <w:szCs w:val="22"/>
        </w:rPr>
        <w:t>2017;3:1</w:t>
      </w:r>
      <w:proofErr w:type="gramEnd"/>
      <w:r>
        <w:rPr>
          <w:sz w:val="22"/>
          <w:szCs w:val="22"/>
        </w:rPr>
        <w:t>–3.</w:t>
      </w:r>
    </w:p>
    <w:p w14:paraId="799355FA" w14:textId="77777777" w:rsidR="00183AF9" w:rsidRDefault="00BB5016">
      <w:pPr>
        <w:spacing w:before="60" w:after="40"/>
        <w:ind w:left="360" w:hanging="360"/>
      </w:pPr>
      <w:r>
        <w:rPr>
          <w:sz w:val="22"/>
          <w:szCs w:val="22"/>
        </w:rPr>
        <w:t xml:space="preserve">20. Jain A, Mustaffa HG. All ceramic resin-bonded bridge: an </w:t>
      </w:r>
      <w:proofErr w:type="spellStart"/>
      <w:r>
        <w:rPr>
          <w:sz w:val="22"/>
          <w:szCs w:val="22"/>
        </w:rPr>
        <w:t>esthetic</w:t>
      </w:r>
      <w:proofErr w:type="spellEnd"/>
      <w:r>
        <w:rPr>
          <w:sz w:val="22"/>
          <w:szCs w:val="22"/>
        </w:rPr>
        <w:t xml:space="preserve"> alternative to conventional fixed prosthesis. Int J Sci Res. 2016;5(9):760–1.</w:t>
      </w:r>
    </w:p>
    <w:sectPr w:rsidR="00183AF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012D9" w14:textId="77777777" w:rsidR="00412F42" w:rsidRDefault="00412F42" w:rsidP="00284CE4">
      <w:r>
        <w:separator/>
      </w:r>
    </w:p>
  </w:endnote>
  <w:endnote w:type="continuationSeparator" w:id="0">
    <w:p w14:paraId="2EDE0144" w14:textId="77777777" w:rsidR="00412F42" w:rsidRDefault="00412F42" w:rsidP="0028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A6E37" w14:textId="77777777" w:rsidR="00284CE4" w:rsidRDefault="00284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E6DC" w14:textId="77777777" w:rsidR="00284CE4" w:rsidRDefault="00284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DA27C" w14:textId="77777777" w:rsidR="00284CE4" w:rsidRDefault="00284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B0E0E" w14:textId="77777777" w:rsidR="00412F42" w:rsidRDefault="00412F42" w:rsidP="00284CE4">
      <w:r>
        <w:separator/>
      </w:r>
    </w:p>
  </w:footnote>
  <w:footnote w:type="continuationSeparator" w:id="0">
    <w:p w14:paraId="5FE70F0B" w14:textId="77777777" w:rsidR="00412F42" w:rsidRDefault="00412F42" w:rsidP="0028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985A" w14:textId="65ED80DE" w:rsidR="00284CE4" w:rsidRDefault="00284CE4">
    <w:pPr>
      <w:pStyle w:val="Header"/>
    </w:pPr>
    <w:r>
      <w:rPr>
        <w:noProof/>
      </w:rPr>
      <w:pict w14:anchorId="2C557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9473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7413B" w14:textId="4ABB7321" w:rsidR="00284CE4" w:rsidRDefault="00284CE4">
    <w:pPr>
      <w:pStyle w:val="Header"/>
    </w:pPr>
    <w:r>
      <w:rPr>
        <w:noProof/>
      </w:rPr>
      <w:pict w14:anchorId="04D3C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9473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E163F" w14:textId="0F6A2713" w:rsidR="00284CE4" w:rsidRDefault="00284CE4">
    <w:pPr>
      <w:pStyle w:val="Header"/>
    </w:pPr>
    <w:r>
      <w:rPr>
        <w:noProof/>
      </w:rPr>
      <w:pict w14:anchorId="14DA2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9473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DD"/>
    <w:rsid w:val="000B56DD"/>
    <w:rsid w:val="00183AF9"/>
    <w:rsid w:val="0020221F"/>
    <w:rsid w:val="00284CE4"/>
    <w:rsid w:val="00412F42"/>
    <w:rsid w:val="00965109"/>
    <w:rsid w:val="0099663F"/>
    <w:rsid w:val="009A49CE"/>
    <w:rsid w:val="00A652A6"/>
    <w:rsid w:val="00BB5016"/>
    <w:rsid w:val="0E6C42A7"/>
    <w:rsid w:val="271E24D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7D4CAE"/>
  <w15:docId w15:val="{8FA76BB3-4823-49C4-A50C-60F973B8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uiPriority w:val="9"/>
    <w:qFormat/>
    <w:pPr>
      <w:spacing w:before="360" w:after="140"/>
      <w:outlineLvl w:val="0"/>
    </w:pPr>
    <w:rPr>
      <w:b/>
      <w:bCs/>
      <w:color w:val="1F3864"/>
      <w:sz w:val="28"/>
      <w:szCs w:val="28"/>
    </w:rPr>
  </w:style>
  <w:style w:type="paragraph" w:styleId="Heading2">
    <w:name w:val="heading 2"/>
    <w:uiPriority w:val="9"/>
    <w:unhideWhenUsed/>
    <w:qFormat/>
    <w:pPr>
      <w:spacing w:before="240" w:after="80"/>
      <w:outlineLvl w:val="1"/>
    </w:pPr>
    <w:rPr>
      <w:b/>
      <w:bCs/>
      <w:color w:val="1F386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sz w:val="24"/>
      <w:szCs w:val="24"/>
    </w:rPr>
  </w:style>
  <w:style w:type="paragraph" w:styleId="Heading5">
    <w:name w:val="heading 5"/>
    <w:uiPriority w:val="9"/>
    <w:semiHidden/>
    <w:unhideWhenUsed/>
    <w:qFormat/>
    <w:pPr>
      <w:outlineLvl w:val="4"/>
    </w:pPr>
    <w:rPr>
      <w:color w:val="2E74B5"/>
      <w:sz w:val="24"/>
      <w:szCs w:val="24"/>
    </w:rPr>
  </w:style>
  <w:style w:type="paragraph" w:styleId="Heading6">
    <w:name w:val="heading 6"/>
    <w:uiPriority w:val="9"/>
    <w:semiHidden/>
    <w:unhideWhenUsed/>
    <w:qFormat/>
    <w:pPr>
      <w:outlineLvl w:val="5"/>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qFormat/>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style>
  <w:style w:type="character" w:styleId="Hyperlink">
    <w:name w:val="Hyperlink"/>
    <w:uiPriority w:val="99"/>
    <w:unhideWhenUsed/>
    <w:qFormat/>
    <w:rPr>
      <w:color w:val="0563C1"/>
      <w:u w:val="single"/>
    </w:rPr>
  </w:style>
  <w:style w:type="paragraph" w:styleId="Title">
    <w:name w:val="Title"/>
    <w:uiPriority w:val="10"/>
    <w:qFormat/>
    <w:rPr>
      <w:sz w:val="56"/>
      <w:szCs w:val="56"/>
    </w:rPr>
  </w:style>
  <w:style w:type="paragraph" w:customStyle="1" w:styleId="Strong1">
    <w:name w:val="Strong1"/>
    <w:qFormat/>
    <w:rPr>
      <w:b/>
      <w:bCs/>
      <w:sz w:val="24"/>
      <w:szCs w:val="24"/>
    </w:rPr>
  </w:style>
  <w:style w:type="paragraph" w:styleId="ListParagraph">
    <w:name w:val="List Paragraph"/>
    <w:qFormat/>
    <w:rPr>
      <w:sz w:val="24"/>
      <w:szCs w:val="24"/>
    </w:rPr>
  </w:style>
  <w:style w:type="character" w:customStyle="1" w:styleId="FootnoteTextChar">
    <w:name w:val="Footnote Text Char"/>
    <w:link w:val="FootnoteText"/>
    <w:uiPriority w:val="99"/>
    <w:semiHidden/>
    <w:unhideWhenUsed/>
    <w:qFormat/>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84CE4"/>
    <w:pPr>
      <w:tabs>
        <w:tab w:val="center" w:pos="4680"/>
        <w:tab w:val="right" w:pos="9360"/>
      </w:tabs>
    </w:pPr>
  </w:style>
  <w:style w:type="character" w:customStyle="1" w:styleId="HeaderChar">
    <w:name w:val="Header Char"/>
    <w:basedOn w:val="DefaultParagraphFont"/>
    <w:link w:val="Header"/>
    <w:uiPriority w:val="99"/>
    <w:rsid w:val="00284CE4"/>
    <w:rPr>
      <w:sz w:val="24"/>
      <w:szCs w:val="24"/>
    </w:rPr>
  </w:style>
  <w:style w:type="paragraph" w:styleId="Footer">
    <w:name w:val="footer"/>
    <w:basedOn w:val="Normal"/>
    <w:link w:val="FooterChar"/>
    <w:uiPriority w:val="99"/>
    <w:unhideWhenUsed/>
    <w:rsid w:val="00284CE4"/>
    <w:pPr>
      <w:tabs>
        <w:tab w:val="center" w:pos="4680"/>
        <w:tab w:val="right" w:pos="9360"/>
      </w:tabs>
    </w:pPr>
  </w:style>
  <w:style w:type="character" w:customStyle="1" w:styleId="FooterChar">
    <w:name w:val="Footer Char"/>
    <w:basedOn w:val="DefaultParagraphFont"/>
    <w:link w:val="Footer"/>
    <w:uiPriority w:val="99"/>
    <w:rsid w:val="00284C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70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header" Target="header3.xml"/><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3199</Words>
  <Characters>18235</Characters>
  <Application>Microsoft Office Word</Application>
  <DocSecurity>0</DocSecurity>
  <Lines>151</Lines>
  <Paragraphs>42</Paragraphs>
  <ScaleCrop>false</ScaleCrop>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9</cp:revision>
  <dcterms:created xsi:type="dcterms:W3CDTF">2026-04-30T06:35:00Z</dcterms:created>
  <dcterms:modified xsi:type="dcterms:W3CDTF">2026-05-13T12:23:00Z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eyJoZGlkIjoiNThjNjcwMDhhYzZkN2MwZDg5ZGE2OTc5ZDZkZjFiNWQifQ==</vt:lpwstr>
  </property>
  <property fmtid="{D5CDD505-2E9C-101B-9397-08002B2CF9AE}" pid="3" name="KSOProductBuildVer">
    <vt:lpwstr>1033-12.1.0.25242</vt:lpwstr>
  </property>
  <property fmtid="{D5CDD505-2E9C-101B-9397-08002B2CF9AE}" pid="4" name="ICV">
    <vt:lpwstr>DF7A89350754449CAAD89620D13D5C6C_12</vt:lpwstr>
  </property>
</Properties>
</file>