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169C" w14:textId="77777777" w:rsidR="00DF18F8" w:rsidRDefault="00687004" w:rsidP="00D151BD">
      <w:pPr>
        <w:spacing w:after="0" w:line="360" w:lineRule="auto"/>
        <w:jc w:val="center"/>
        <w:rPr>
          <w:rFonts w:ascii="Times New Roman" w:hAnsi="Times New Roman" w:cs="Times New Roman"/>
          <w:b/>
          <w:color w:val="000000" w:themeColor="text1"/>
          <w:sz w:val="28"/>
          <w:szCs w:val="28"/>
        </w:rPr>
      </w:pPr>
      <w:r w:rsidRPr="000D7881">
        <w:rPr>
          <w:rFonts w:ascii="Times New Roman" w:hAnsi="Times New Roman" w:cs="Times New Roman"/>
          <w:b/>
          <w:color w:val="000000" w:themeColor="text1"/>
          <w:sz w:val="28"/>
          <w:szCs w:val="28"/>
        </w:rPr>
        <w:t xml:space="preserve">EFFECTS OF TRELLIS TECHNIQUES ON GROWTH, DEVELOPMENT, AND YIELD OF </w:t>
      </w:r>
      <w:r w:rsidRPr="000D7881">
        <w:rPr>
          <w:rStyle w:val="Emphasis"/>
          <w:rFonts w:ascii="Times New Roman" w:hAnsi="Times New Roman" w:cs="Times New Roman"/>
          <w:b/>
          <w:color w:val="000000" w:themeColor="text1"/>
          <w:sz w:val="28"/>
          <w:szCs w:val="28"/>
        </w:rPr>
        <w:t>DIOSCOREA PERSIMILIS</w:t>
      </w:r>
      <w:r w:rsidRPr="000D7881">
        <w:rPr>
          <w:rFonts w:ascii="Times New Roman" w:hAnsi="Times New Roman" w:cs="Times New Roman"/>
          <w:b/>
          <w:color w:val="000000" w:themeColor="text1"/>
          <w:sz w:val="28"/>
          <w:szCs w:val="28"/>
        </w:rPr>
        <w:t xml:space="preserve"> IN THAI NGUYEN, VIETNAM</w:t>
      </w:r>
    </w:p>
    <w:p w14:paraId="5F1C8BB4" w14:textId="77777777" w:rsidR="00AF5667" w:rsidRDefault="00AF5667" w:rsidP="00D151BD">
      <w:pPr>
        <w:spacing w:after="0" w:line="360" w:lineRule="auto"/>
        <w:jc w:val="center"/>
        <w:rPr>
          <w:rFonts w:ascii="Times New Roman" w:hAnsi="Times New Roman" w:cs="Times New Roman"/>
          <w:b/>
          <w:color w:val="000000" w:themeColor="text1"/>
          <w:sz w:val="28"/>
          <w:szCs w:val="28"/>
        </w:rPr>
      </w:pPr>
    </w:p>
    <w:p w14:paraId="5726B042" w14:textId="77777777" w:rsidR="00AF5667" w:rsidRPr="000D7881" w:rsidRDefault="00AF5667" w:rsidP="00D151BD">
      <w:pPr>
        <w:spacing w:after="0" w:line="360" w:lineRule="auto"/>
        <w:jc w:val="center"/>
        <w:rPr>
          <w:rFonts w:ascii="Times New Roman" w:hAnsi="Times New Roman" w:cs="Times New Roman"/>
          <w:b/>
          <w:color w:val="000000" w:themeColor="text1"/>
          <w:sz w:val="28"/>
          <w:szCs w:val="28"/>
        </w:rPr>
      </w:pPr>
    </w:p>
    <w:p w14:paraId="2364D337" w14:textId="77777777" w:rsidR="00AF5667" w:rsidRDefault="00AF5667" w:rsidP="00523A62">
      <w:pPr>
        <w:jc w:val="both"/>
        <w:rPr>
          <w:rFonts w:ascii="Arial" w:eastAsia="Times New Roman" w:hAnsi="Arial" w:cs="Arial"/>
          <w:b/>
          <w:sz w:val="24"/>
          <w:szCs w:val="20"/>
        </w:rPr>
      </w:pPr>
    </w:p>
    <w:p w14:paraId="3F5CE453" w14:textId="77777777" w:rsidR="00B701F6" w:rsidRPr="0004091E" w:rsidRDefault="00B701F6" w:rsidP="00523A62">
      <w:pPr>
        <w:jc w:val="both"/>
        <w:rPr>
          <w:rFonts w:ascii="Arial" w:eastAsia="Times New Roman" w:hAnsi="Arial" w:cs="Arial"/>
          <w:i/>
          <w:sz w:val="20"/>
          <w:szCs w:val="20"/>
        </w:rPr>
      </w:pPr>
    </w:p>
    <w:p w14:paraId="160DEA25" w14:textId="77777777" w:rsidR="009777D6" w:rsidRPr="00844D9B" w:rsidRDefault="00C34004" w:rsidP="00D151BD">
      <w:pPr>
        <w:spacing w:after="0" w:line="360" w:lineRule="auto"/>
        <w:jc w:val="center"/>
        <w:rPr>
          <w:rFonts w:ascii="Arial" w:eastAsia="Times New Roman" w:hAnsi="Arial" w:cs="Arial"/>
          <w:b/>
          <w:caps/>
          <w:szCs w:val="20"/>
        </w:rPr>
      </w:pPr>
      <w:r w:rsidRPr="00844D9B">
        <w:rPr>
          <w:rFonts w:ascii="Arial" w:eastAsia="Times New Roman" w:hAnsi="Arial" w:cs="Arial"/>
          <w:b/>
          <w:caps/>
          <w:szCs w:val="20"/>
        </w:rPr>
        <w:t>ABSTRACT</w:t>
      </w:r>
    </w:p>
    <w:p w14:paraId="2EDC3FB8" w14:textId="77777777" w:rsidR="009D19EF" w:rsidRPr="00844D9B" w:rsidRDefault="009D19EF" w:rsidP="00F130E8">
      <w:pPr>
        <w:spacing w:after="0" w:line="360" w:lineRule="auto"/>
        <w:ind w:firstLine="720"/>
        <w:jc w:val="both"/>
        <w:rPr>
          <w:rFonts w:ascii="Arial" w:eastAsia="Calibri" w:hAnsi="Arial" w:cs="Arial"/>
          <w:sz w:val="20"/>
        </w:rPr>
      </w:pPr>
      <w:r w:rsidRPr="00844D9B">
        <w:rPr>
          <w:rFonts w:ascii="Arial" w:eastAsia="Calibri" w:hAnsi="Arial" w:cs="Arial"/>
          <w:sz w:val="20"/>
        </w:rPr>
        <w:t>The experiment was conducted to evaluate the effects of trellis techniques on the growth, yield, and economic efficiency of the medicinal plant Hoai Son (</w:t>
      </w:r>
      <w:r w:rsidRPr="00844D9B">
        <w:rPr>
          <w:rFonts w:ascii="Arial" w:eastAsia="Calibri" w:hAnsi="Arial" w:cs="Arial"/>
          <w:i/>
          <w:iCs/>
          <w:sz w:val="20"/>
        </w:rPr>
        <w:t xml:space="preserve">Dioscorea </w:t>
      </w:r>
      <w:proofErr w:type="spellStart"/>
      <w:r w:rsidRPr="00844D9B">
        <w:rPr>
          <w:rFonts w:ascii="Arial" w:eastAsia="Calibri" w:hAnsi="Arial" w:cs="Arial"/>
          <w:i/>
          <w:iCs/>
          <w:sz w:val="20"/>
        </w:rPr>
        <w:t>persimilis</w:t>
      </w:r>
      <w:proofErr w:type="spellEnd"/>
      <w:r w:rsidRPr="00844D9B">
        <w:rPr>
          <w:rFonts w:ascii="Arial" w:eastAsia="Calibri" w:hAnsi="Arial" w:cs="Arial"/>
          <w:sz w:val="20"/>
        </w:rPr>
        <w:t xml:space="preserve">) in </w:t>
      </w:r>
      <w:r w:rsidR="006D7B5E">
        <w:rPr>
          <w:rFonts w:ascii="Arial" w:eastAsia="Calibri" w:hAnsi="Arial" w:cs="Arial"/>
          <w:sz w:val="20"/>
        </w:rPr>
        <w:t>Dinh Hoa</w:t>
      </w:r>
      <w:r w:rsidRPr="00844D9B">
        <w:rPr>
          <w:rFonts w:ascii="Arial" w:eastAsia="Calibri" w:hAnsi="Arial" w:cs="Arial"/>
          <w:sz w:val="20"/>
        </w:rPr>
        <w:t xml:space="preserve"> district, Thai Nguyen province, from 2024 to 2025. The study was arranged in a Randomized Complete Block Design with three replications and four treatments (T1, T2, T3, and T4). Growth characteristics, yield, and economic efficiency of </w:t>
      </w:r>
      <w:r w:rsidRPr="00844D9B">
        <w:rPr>
          <w:rFonts w:ascii="Arial" w:eastAsia="Calibri" w:hAnsi="Arial" w:cs="Arial"/>
          <w:i/>
          <w:iCs/>
          <w:sz w:val="20"/>
        </w:rPr>
        <w:t xml:space="preserve">Dioscorea </w:t>
      </w:r>
      <w:proofErr w:type="spellStart"/>
      <w:r w:rsidRPr="00844D9B">
        <w:rPr>
          <w:rFonts w:ascii="Arial" w:eastAsia="Calibri" w:hAnsi="Arial" w:cs="Arial"/>
          <w:i/>
          <w:iCs/>
          <w:sz w:val="20"/>
        </w:rPr>
        <w:t>persimilis</w:t>
      </w:r>
      <w:proofErr w:type="spellEnd"/>
      <w:r w:rsidRPr="00844D9B">
        <w:rPr>
          <w:rFonts w:ascii="Arial" w:eastAsia="Calibri" w:hAnsi="Arial" w:cs="Arial"/>
          <w:sz w:val="20"/>
        </w:rPr>
        <w:t xml:space="preserve"> were recorded. The results showed that T2 (using a clustered trellis system) produced the highest plant height (202.3 cm), stem diameter (3.7 mm), leaf length (10.9 cm), leaf width (6.7 cm), tuber weight (0.68 kg), yield (31.6 t ha</w:t>
      </w:r>
      <w:r w:rsidRPr="00844D9B">
        <w:rPr>
          <w:rFonts w:ascii="Cambria Math" w:eastAsia="Calibri" w:hAnsi="Cambria Math" w:cs="Cambria Math"/>
          <w:sz w:val="20"/>
        </w:rPr>
        <w:t>⁻</w:t>
      </w:r>
      <w:r w:rsidRPr="00844D9B">
        <w:rPr>
          <w:rFonts w:ascii="Arial" w:eastAsia="Calibri" w:hAnsi="Arial" w:cs="Arial"/>
          <w:sz w:val="20"/>
        </w:rPr>
        <w:t>¹), and economic efficiency compared with the other treatments at the 95% confidence level. In conclusion, it is suggested that the clustered trellis system is a practical approach for enhancing the production of Hoai Son in mountainous areas of northern Vietnam.</w:t>
      </w:r>
    </w:p>
    <w:p w14:paraId="52854B1D" w14:textId="77777777" w:rsidR="009D19EF" w:rsidRPr="00844D9B" w:rsidRDefault="009D19EF" w:rsidP="009D19EF">
      <w:pPr>
        <w:spacing w:after="0" w:line="360" w:lineRule="auto"/>
        <w:ind w:firstLine="720"/>
        <w:jc w:val="both"/>
        <w:rPr>
          <w:rFonts w:ascii="Arial" w:eastAsia="Calibri" w:hAnsi="Arial" w:cs="Arial"/>
          <w:i/>
          <w:iCs/>
          <w:sz w:val="20"/>
        </w:rPr>
      </w:pPr>
      <w:r w:rsidRPr="00844D9B">
        <w:rPr>
          <w:rFonts w:ascii="Arial" w:eastAsia="Calibri" w:hAnsi="Arial" w:cs="Arial"/>
          <w:sz w:val="20"/>
        </w:rPr>
        <w:t xml:space="preserve">Keywords: </w:t>
      </w:r>
      <w:r w:rsidRPr="00844D9B">
        <w:rPr>
          <w:rFonts w:ascii="Arial" w:eastAsia="Calibri" w:hAnsi="Arial" w:cs="Arial"/>
          <w:i/>
          <w:iCs/>
          <w:sz w:val="20"/>
        </w:rPr>
        <w:t xml:space="preserve">Dioscorea </w:t>
      </w:r>
      <w:proofErr w:type="spellStart"/>
      <w:r w:rsidRPr="00844D9B">
        <w:rPr>
          <w:rFonts w:ascii="Arial" w:eastAsia="Calibri" w:hAnsi="Arial" w:cs="Arial"/>
          <w:i/>
          <w:iCs/>
          <w:sz w:val="20"/>
        </w:rPr>
        <w:t>persimilis</w:t>
      </w:r>
      <w:proofErr w:type="spellEnd"/>
      <w:r w:rsidRPr="00844D9B">
        <w:rPr>
          <w:rFonts w:ascii="Arial" w:eastAsia="Calibri" w:hAnsi="Arial" w:cs="Arial"/>
          <w:i/>
          <w:iCs/>
          <w:sz w:val="20"/>
        </w:rPr>
        <w:t>, Trellis Techniques, growth, yield, economic efficiency</w:t>
      </w:r>
    </w:p>
    <w:p w14:paraId="5E9F6622" w14:textId="77777777" w:rsidR="00BD0721" w:rsidRPr="00844D9B" w:rsidRDefault="00BD0721" w:rsidP="00D151BD">
      <w:pPr>
        <w:spacing w:after="0" w:line="360" w:lineRule="auto"/>
        <w:rPr>
          <w:rFonts w:ascii="Arial" w:eastAsia="Times New Roman" w:hAnsi="Arial" w:cs="Arial"/>
          <w:b/>
          <w:caps/>
          <w:szCs w:val="20"/>
        </w:rPr>
      </w:pPr>
      <w:r w:rsidRPr="00844D9B">
        <w:rPr>
          <w:rFonts w:ascii="Arial" w:eastAsia="Times New Roman" w:hAnsi="Arial" w:cs="Arial"/>
          <w:b/>
          <w:caps/>
          <w:szCs w:val="20"/>
        </w:rPr>
        <w:t>I. Introduction</w:t>
      </w:r>
    </w:p>
    <w:p w14:paraId="241E14F3" w14:textId="77777777" w:rsidR="00C65F0D" w:rsidRPr="00844D9B" w:rsidRDefault="00BD0721" w:rsidP="0078253B">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The Hoai Son plant, scientifically known as Dioscorea </w:t>
      </w:r>
      <w:proofErr w:type="spellStart"/>
      <w:r w:rsidRPr="00844D9B">
        <w:rPr>
          <w:rFonts w:ascii="Arial" w:eastAsia="Times New Roman" w:hAnsi="Arial" w:cs="Arial"/>
          <w:sz w:val="20"/>
          <w:szCs w:val="20"/>
        </w:rPr>
        <w:t>persimilis</w:t>
      </w:r>
      <w:proofErr w:type="spellEnd"/>
      <w:r w:rsidRPr="00844D9B">
        <w:rPr>
          <w:rFonts w:ascii="Arial" w:eastAsia="Times New Roman" w:hAnsi="Arial" w:cs="Arial"/>
          <w:sz w:val="20"/>
          <w:szCs w:val="20"/>
        </w:rPr>
        <w:t xml:space="preserve"> Prain et Burkill, belongs to the family </w:t>
      </w:r>
      <w:proofErr w:type="spellStart"/>
      <w:r w:rsidRPr="00844D9B">
        <w:rPr>
          <w:rFonts w:ascii="Arial" w:eastAsia="Times New Roman" w:hAnsi="Arial" w:cs="Arial"/>
          <w:sz w:val="20"/>
          <w:szCs w:val="20"/>
        </w:rPr>
        <w:t>Dioscoreaceae</w:t>
      </w:r>
      <w:proofErr w:type="spellEnd"/>
      <w:r w:rsidRPr="00844D9B">
        <w:rPr>
          <w:rFonts w:ascii="Arial" w:eastAsia="Times New Roman" w:hAnsi="Arial" w:cs="Arial"/>
          <w:sz w:val="20"/>
          <w:szCs w:val="20"/>
        </w:rPr>
        <w:t xml:space="preserve">, order </w:t>
      </w:r>
      <w:proofErr w:type="spellStart"/>
      <w:r w:rsidRPr="00844D9B">
        <w:rPr>
          <w:rFonts w:ascii="Arial" w:eastAsia="Times New Roman" w:hAnsi="Arial" w:cs="Arial"/>
          <w:sz w:val="20"/>
          <w:szCs w:val="20"/>
        </w:rPr>
        <w:t>Dioscoreales</w:t>
      </w:r>
      <w:proofErr w:type="spellEnd"/>
      <w:r w:rsidRPr="00844D9B">
        <w:rPr>
          <w:rFonts w:ascii="Arial" w:eastAsia="Times New Roman" w:hAnsi="Arial" w:cs="Arial"/>
          <w:sz w:val="20"/>
          <w:szCs w:val="20"/>
        </w:rPr>
        <w:t xml:space="preserve">, class </w:t>
      </w:r>
      <w:proofErr w:type="spellStart"/>
      <w:r w:rsidRPr="00844D9B">
        <w:rPr>
          <w:rFonts w:ascii="Arial" w:eastAsia="Times New Roman" w:hAnsi="Arial" w:cs="Arial"/>
          <w:sz w:val="20"/>
          <w:szCs w:val="20"/>
        </w:rPr>
        <w:t>Liliopsida</w:t>
      </w:r>
      <w:proofErr w:type="spellEnd"/>
      <w:r w:rsidRPr="00844D9B">
        <w:rPr>
          <w:rFonts w:ascii="Arial" w:eastAsia="Times New Roman" w:hAnsi="Arial" w:cs="Arial"/>
          <w:sz w:val="20"/>
          <w:szCs w:val="20"/>
        </w:rPr>
        <w:t xml:space="preserve">, and phylum </w:t>
      </w:r>
      <w:proofErr w:type="spellStart"/>
      <w:r w:rsidRPr="00844D9B">
        <w:rPr>
          <w:rFonts w:ascii="Arial" w:eastAsia="Times New Roman" w:hAnsi="Arial" w:cs="Arial"/>
          <w:sz w:val="20"/>
          <w:szCs w:val="20"/>
        </w:rPr>
        <w:t>Magnoliophyta</w:t>
      </w:r>
      <w:proofErr w:type="spellEnd"/>
      <w:r w:rsidRPr="00844D9B">
        <w:rPr>
          <w:rFonts w:ascii="Arial" w:eastAsia="Times New Roman" w:hAnsi="Arial" w:cs="Arial"/>
          <w:sz w:val="20"/>
          <w:szCs w:val="20"/>
        </w:rPr>
        <w:t xml:space="preserve"> (Nguyen </w:t>
      </w:r>
      <w:proofErr w:type="spellStart"/>
      <w:r w:rsidRPr="00844D9B">
        <w:rPr>
          <w:rFonts w:ascii="Arial" w:eastAsia="Times New Roman" w:hAnsi="Arial" w:cs="Arial"/>
          <w:sz w:val="20"/>
          <w:szCs w:val="20"/>
        </w:rPr>
        <w:t>Thi</w:t>
      </w:r>
      <w:proofErr w:type="spellEnd"/>
      <w:r w:rsidRPr="00844D9B">
        <w:rPr>
          <w:rFonts w:ascii="Arial" w:eastAsia="Times New Roman" w:hAnsi="Arial" w:cs="Arial"/>
          <w:sz w:val="20"/>
          <w:szCs w:val="20"/>
        </w:rPr>
        <w:t xml:space="preserve"> Thu Huyen </w:t>
      </w:r>
      <w:r w:rsidRPr="00844D9B">
        <w:rPr>
          <w:rFonts w:ascii="Arial" w:eastAsia="Times New Roman" w:hAnsi="Arial" w:cs="Arial"/>
          <w:i/>
          <w:sz w:val="20"/>
          <w:szCs w:val="20"/>
        </w:rPr>
        <w:t>et al.,</w:t>
      </w:r>
      <w:r w:rsidRPr="00844D9B">
        <w:rPr>
          <w:rFonts w:ascii="Arial" w:eastAsia="Times New Roman" w:hAnsi="Arial" w:cs="Arial"/>
          <w:sz w:val="20"/>
          <w:szCs w:val="20"/>
        </w:rPr>
        <w:t xml:space="preserve"> 2019).</w:t>
      </w:r>
      <w:r w:rsidR="00C65F0D" w:rsidRPr="00844D9B">
        <w:rPr>
          <w:rFonts w:ascii="Arial" w:eastAsia="Times New Roman" w:hAnsi="Arial" w:cs="Arial"/>
          <w:sz w:val="20"/>
          <w:szCs w:val="20"/>
        </w:rPr>
        <w:t xml:space="preserve"> In Vietnam, </w:t>
      </w:r>
      <w:r w:rsidR="00C65F0D" w:rsidRPr="00685F27">
        <w:rPr>
          <w:rFonts w:ascii="Arial" w:eastAsia="Times New Roman" w:hAnsi="Arial" w:cs="Arial"/>
          <w:i/>
          <w:sz w:val="20"/>
          <w:szCs w:val="20"/>
        </w:rPr>
        <w:t xml:space="preserve">Dioscorea </w:t>
      </w:r>
      <w:proofErr w:type="spellStart"/>
      <w:r w:rsidR="00C65F0D" w:rsidRPr="00685F27">
        <w:rPr>
          <w:rFonts w:ascii="Arial" w:eastAsia="Times New Roman" w:hAnsi="Arial" w:cs="Arial"/>
          <w:i/>
          <w:sz w:val="20"/>
          <w:szCs w:val="20"/>
        </w:rPr>
        <w:t>persimilis</w:t>
      </w:r>
      <w:proofErr w:type="spellEnd"/>
      <w:r w:rsidR="00C65F0D" w:rsidRPr="00844D9B">
        <w:rPr>
          <w:rFonts w:ascii="Arial" w:eastAsia="Times New Roman" w:hAnsi="Arial" w:cs="Arial"/>
          <w:sz w:val="20"/>
          <w:szCs w:val="20"/>
        </w:rPr>
        <w:t xml:space="preserve"> is widely distributed throughout the northern mountainous and midland provinces (Hang </w:t>
      </w:r>
      <w:r w:rsidR="00C65F0D" w:rsidRPr="00844D9B">
        <w:rPr>
          <w:rFonts w:ascii="Arial" w:eastAsia="Times New Roman" w:hAnsi="Arial" w:cs="Arial"/>
          <w:i/>
          <w:sz w:val="20"/>
          <w:szCs w:val="20"/>
        </w:rPr>
        <w:t>et al.,</w:t>
      </w:r>
      <w:r w:rsidR="00C65F0D" w:rsidRPr="00844D9B">
        <w:rPr>
          <w:rFonts w:ascii="Arial" w:eastAsia="Times New Roman" w:hAnsi="Arial" w:cs="Arial"/>
          <w:sz w:val="20"/>
          <w:szCs w:val="20"/>
        </w:rPr>
        <w:t xml:space="preserve"> 2020). The species is known by various local names across different regions and ethnic communities, including Sơn Dược, </w:t>
      </w:r>
      <w:proofErr w:type="spellStart"/>
      <w:r w:rsidR="00C65F0D" w:rsidRPr="00844D9B">
        <w:rPr>
          <w:rFonts w:ascii="Arial" w:eastAsia="Times New Roman" w:hAnsi="Arial" w:cs="Arial"/>
          <w:sz w:val="20"/>
          <w:szCs w:val="20"/>
        </w:rPr>
        <w:t>Củ</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Mài</w:t>
      </w:r>
      <w:proofErr w:type="spellEnd"/>
      <w:r w:rsidR="00C65F0D" w:rsidRPr="00844D9B">
        <w:rPr>
          <w:rFonts w:ascii="Arial" w:eastAsia="Times New Roman" w:hAnsi="Arial" w:cs="Arial"/>
          <w:sz w:val="20"/>
          <w:szCs w:val="20"/>
        </w:rPr>
        <w:t xml:space="preserve">, Khoai </w:t>
      </w:r>
      <w:proofErr w:type="spellStart"/>
      <w:r w:rsidR="00C65F0D" w:rsidRPr="00844D9B">
        <w:rPr>
          <w:rFonts w:ascii="Arial" w:eastAsia="Times New Roman" w:hAnsi="Arial" w:cs="Arial"/>
          <w:sz w:val="20"/>
          <w:szCs w:val="20"/>
        </w:rPr>
        <w:t>Mài</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Mằn</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chèn</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Mán</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dịn</w:t>
      </w:r>
      <w:proofErr w:type="spellEnd"/>
      <w:r w:rsidR="00C65F0D" w:rsidRPr="00844D9B">
        <w:rPr>
          <w:rFonts w:ascii="Arial" w:eastAsia="Times New Roman" w:hAnsi="Arial" w:cs="Arial"/>
          <w:sz w:val="20"/>
          <w:szCs w:val="20"/>
        </w:rPr>
        <w:t xml:space="preserve">, Co </w:t>
      </w:r>
      <w:proofErr w:type="spellStart"/>
      <w:r w:rsidR="00C65F0D" w:rsidRPr="00844D9B">
        <w:rPr>
          <w:rFonts w:ascii="Arial" w:eastAsia="Times New Roman" w:hAnsi="Arial" w:cs="Arial"/>
          <w:sz w:val="20"/>
          <w:szCs w:val="20"/>
        </w:rPr>
        <w:t>mằn</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kép</w:t>
      </w:r>
      <w:proofErr w:type="spellEnd"/>
      <w:r w:rsidR="00C65F0D" w:rsidRPr="00844D9B">
        <w:rPr>
          <w:rFonts w:ascii="Arial" w:eastAsia="Times New Roman" w:hAnsi="Arial" w:cs="Arial"/>
          <w:sz w:val="20"/>
          <w:szCs w:val="20"/>
        </w:rPr>
        <w:t xml:space="preserve"> (Thai ethnic group), </w:t>
      </w:r>
      <w:proofErr w:type="spellStart"/>
      <w:r w:rsidR="00C65F0D" w:rsidRPr="00844D9B">
        <w:rPr>
          <w:rFonts w:ascii="Arial" w:eastAsia="Times New Roman" w:hAnsi="Arial" w:cs="Arial"/>
          <w:sz w:val="20"/>
          <w:szCs w:val="20"/>
        </w:rPr>
        <w:t>Mằn</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ôn</w:t>
      </w:r>
      <w:proofErr w:type="spellEnd"/>
      <w:r w:rsidR="00C65F0D" w:rsidRPr="00844D9B">
        <w:rPr>
          <w:rFonts w:ascii="Arial" w:eastAsia="Times New Roman" w:hAnsi="Arial" w:cs="Arial"/>
          <w:sz w:val="20"/>
          <w:szCs w:val="20"/>
        </w:rPr>
        <w:t xml:space="preserve"> (Nung ethnic group), </w:t>
      </w:r>
      <w:proofErr w:type="spellStart"/>
      <w:r w:rsidR="00C65F0D" w:rsidRPr="00844D9B">
        <w:rPr>
          <w:rFonts w:ascii="Arial" w:eastAsia="Times New Roman" w:hAnsi="Arial" w:cs="Arial"/>
          <w:sz w:val="20"/>
          <w:szCs w:val="20"/>
        </w:rPr>
        <w:t>Hìa</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dòi</w:t>
      </w:r>
      <w:proofErr w:type="spellEnd"/>
      <w:r w:rsidR="00C65F0D" w:rsidRPr="00844D9B">
        <w:rPr>
          <w:rFonts w:ascii="Arial" w:eastAsia="Times New Roman" w:hAnsi="Arial" w:cs="Arial"/>
          <w:sz w:val="20"/>
          <w:szCs w:val="20"/>
        </w:rPr>
        <w:t xml:space="preserve"> (Dao ethnic group), </w:t>
      </w:r>
      <w:proofErr w:type="spellStart"/>
      <w:r w:rsidR="00C65F0D" w:rsidRPr="00844D9B">
        <w:rPr>
          <w:rFonts w:ascii="Arial" w:eastAsia="Times New Roman" w:hAnsi="Arial" w:cs="Arial"/>
          <w:sz w:val="20"/>
          <w:szCs w:val="20"/>
        </w:rPr>
        <w:t>Gờ</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lờn</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K'dong</w:t>
      </w:r>
      <w:proofErr w:type="spellEnd"/>
      <w:r w:rsidR="00C65F0D" w:rsidRPr="00844D9B">
        <w:rPr>
          <w:rFonts w:ascii="Arial" w:eastAsia="Times New Roman" w:hAnsi="Arial" w:cs="Arial"/>
          <w:sz w:val="20"/>
          <w:szCs w:val="20"/>
        </w:rPr>
        <w:t xml:space="preserve"> ethnic group), and </w:t>
      </w:r>
      <w:proofErr w:type="spellStart"/>
      <w:r w:rsidR="00C65F0D" w:rsidRPr="00844D9B">
        <w:rPr>
          <w:rFonts w:ascii="Arial" w:eastAsia="Times New Roman" w:hAnsi="Arial" w:cs="Arial"/>
          <w:sz w:val="20"/>
          <w:szCs w:val="20"/>
        </w:rPr>
        <w:t>Củ</w:t>
      </w:r>
      <w:proofErr w:type="spellEnd"/>
      <w:r w:rsidR="00C65F0D" w:rsidRPr="00844D9B">
        <w:rPr>
          <w:rFonts w:ascii="Arial" w:eastAsia="Times New Roman" w:hAnsi="Arial" w:cs="Arial"/>
          <w:sz w:val="20"/>
          <w:szCs w:val="20"/>
        </w:rPr>
        <w:t xml:space="preserve"> </w:t>
      </w:r>
      <w:proofErr w:type="spellStart"/>
      <w:r w:rsidR="00C65F0D" w:rsidRPr="00844D9B">
        <w:rPr>
          <w:rFonts w:ascii="Arial" w:eastAsia="Times New Roman" w:hAnsi="Arial" w:cs="Arial"/>
          <w:sz w:val="20"/>
          <w:szCs w:val="20"/>
        </w:rPr>
        <w:t>Lỗ</w:t>
      </w:r>
      <w:proofErr w:type="spellEnd"/>
      <w:r w:rsidR="00C65F0D" w:rsidRPr="00844D9B">
        <w:rPr>
          <w:rFonts w:ascii="Arial" w:eastAsia="Times New Roman" w:hAnsi="Arial" w:cs="Arial"/>
          <w:sz w:val="20"/>
          <w:szCs w:val="20"/>
        </w:rPr>
        <w:t xml:space="preserve"> (Nguyễn Thị Thu Huyền </w:t>
      </w:r>
      <w:r w:rsidR="00C65F0D" w:rsidRPr="00844D9B">
        <w:rPr>
          <w:rFonts w:ascii="Arial" w:eastAsia="Times New Roman" w:hAnsi="Arial" w:cs="Arial"/>
          <w:i/>
          <w:sz w:val="20"/>
          <w:szCs w:val="20"/>
        </w:rPr>
        <w:t>et al.,</w:t>
      </w:r>
      <w:r w:rsidR="00C65F0D" w:rsidRPr="00844D9B">
        <w:rPr>
          <w:rFonts w:ascii="Arial" w:eastAsia="Times New Roman" w:hAnsi="Arial" w:cs="Arial"/>
          <w:sz w:val="20"/>
          <w:szCs w:val="20"/>
        </w:rPr>
        <w:t xml:space="preserve"> 2019).</w:t>
      </w:r>
    </w:p>
    <w:p w14:paraId="311665A7" w14:textId="77777777" w:rsidR="00647D13" w:rsidRPr="00844D9B" w:rsidRDefault="00F95DE7" w:rsidP="00685F27">
      <w:pPr>
        <w:widowControl w:val="0"/>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The Hoai Son plant is considered a valuable nutritional food source, as its dried tubers contain approximately 63.25% starch and 6.75% protein (He </w:t>
      </w:r>
      <w:r w:rsidRPr="00844D9B">
        <w:rPr>
          <w:rFonts w:ascii="Arial" w:eastAsia="Times New Roman" w:hAnsi="Arial" w:cs="Arial"/>
          <w:i/>
          <w:sz w:val="20"/>
          <w:szCs w:val="20"/>
        </w:rPr>
        <w:t>et al.,</w:t>
      </w:r>
      <w:r w:rsidRPr="00844D9B">
        <w:rPr>
          <w:rFonts w:ascii="Arial" w:eastAsia="Times New Roman" w:hAnsi="Arial" w:cs="Arial"/>
          <w:sz w:val="20"/>
          <w:szCs w:val="20"/>
        </w:rPr>
        <w:t xml:space="preserve"> 2002). Furthermore, the tubers are rich in essential amino acids, B-complex vitamins, and important trace elements such as Zn, Fe, and Mn, with total starch content ranging from 70–80% (Chang </w:t>
      </w:r>
      <w:r w:rsidRPr="00844D9B">
        <w:rPr>
          <w:rFonts w:ascii="Arial" w:eastAsia="Times New Roman" w:hAnsi="Arial" w:cs="Arial"/>
          <w:i/>
          <w:sz w:val="20"/>
          <w:szCs w:val="20"/>
        </w:rPr>
        <w:t>et al.,</w:t>
      </w:r>
      <w:r w:rsidRPr="00844D9B">
        <w:rPr>
          <w:rFonts w:ascii="Arial" w:eastAsia="Times New Roman" w:hAnsi="Arial" w:cs="Arial"/>
          <w:sz w:val="20"/>
          <w:szCs w:val="20"/>
        </w:rPr>
        <w:t xml:space="preserve"> 2013).</w:t>
      </w:r>
      <w:r w:rsidR="00647D13" w:rsidRPr="00844D9B">
        <w:rPr>
          <w:rFonts w:ascii="Arial" w:eastAsia="Times New Roman" w:hAnsi="Arial" w:cs="Arial"/>
          <w:sz w:val="20"/>
          <w:szCs w:val="20"/>
        </w:rPr>
        <w:t xml:space="preserve"> </w:t>
      </w:r>
      <w:r w:rsidRPr="00844D9B">
        <w:rPr>
          <w:rFonts w:ascii="Arial" w:eastAsia="Times New Roman" w:hAnsi="Arial" w:cs="Arial"/>
          <w:sz w:val="20"/>
          <w:szCs w:val="20"/>
        </w:rPr>
        <w:t xml:space="preserve">Moreover, the Hoai Son plant is an important medicinal species widely </w:t>
      </w:r>
      <w:r w:rsidR="00647D13" w:rsidRPr="00844D9B">
        <w:rPr>
          <w:rFonts w:ascii="Arial" w:eastAsia="Times New Roman" w:hAnsi="Arial" w:cs="Arial"/>
          <w:sz w:val="20"/>
          <w:szCs w:val="20"/>
        </w:rPr>
        <w:t>used</w:t>
      </w:r>
      <w:r w:rsidRPr="00844D9B">
        <w:rPr>
          <w:rFonts w:ascii="Arial" w:eastAsia="Times New Roman" w:hAnsi="Arial" w:cs="Arial"/>
          <w:sz w:val="20"/>
          <w:szCs w:val="20"/>
        </w:rPr>
        <w:t xml:space="preserve"> in traditional medicine because of its high nutritional and pharmacological value (</w:t>
      </w:r>
      <w:proofErr w:type="spellStart"/>
      <w:r w:rsidRPr="00844D9B">
        <w:rPr>
          <w:rFonts w:ascii="Arial" w:eastAsia="Times New Roman" w:hAnsi="Arial" w:cs="Arial"/>
          <w:sz w:val="20"/>
          <w:szCs w:val="20"/>
        </w:rPr>
        <w:t>Mignouna</w:t>
      </w:r>
      <w:proofErr w:type="spellEnd"/>
      <w:r w:rsidRPr="00844D9B">
        <w:rPr>
          <w:rFonts w:ascii="Arial" w:eastAsia="Times New Roman" w:hAnsi="Arial" w:cs="Arial"/>
          <w:sz w:val="20"/>
          <w:szCs w:val="20"/>
        </w:rPr>
        <w:t xml:space="preserve"> </w:t>
      </w:r>
      <w:r w:rsidRPr="00844D9B">
        <w:rPr>
          <w:rFonts w:ascii="Arial" w:eastAsia="Times New Roman" w:hAnsi="Arial" w:cs="Arial"/>
          <w:i/>
          <w:sz w:val="20"/>
          <w:szCs w:val="20"/>
        </w:rPr>
        <w:t>et al.,</w:t>
      </w:r>
      <w:r w:rsidRPr="00844D9B">
        <w:rPr>
          <w:rFonts w:ascii="Arial" w:eastAsia="Times New Roman" w:hAnsi="Arial" w:cs="Arial"/>
          <w:sz w:val="20"/>
          <w:szCs w:val="20"/>
        </w:rPr>
        <w:t xml:space="preserve"> 2003). It has the effects of tonifying the spleen, and stabilizing the essence, </w:t>
      </w:r>
      <w:r w:rsidR="00647D13" w:rsidRPr="00844D9B">
        <w:rPr>
          <w:rFonts w:ascii="Arial" w:eastAsia="Times New Roman" w:hAnsi="Arial" w:cs="Arial"/>
          <w:sz w:val="20"/>
          <w:szCs w:val="20"/>
        </w:rPr>
        <w:t xml:space="preserve">and it is </w:t>
      </w:r>
      <w:r w:rsidRPr="00844D9B">
        <w:rPr>
          <w:rFonts w:ascii="Arial" w:eastAsia="Times New Roman" w:hAnsi="Arial" w:cs="Arial"/>
          <w:sz w:val="20"/>
          <w:szCs w:val="20"/>
        </w:rPr>
        <w:t>commonly used to treat digestive disorders, chronic diarrhea, spermatorrhea, and nocturnal urination. In addition,</w:t>
      </w:r>
      <w:r w:rsidR="00647D13" w:rsidRPr="00844D9B">
        <w:rPr>
          <w:rFonts w:ascii="Arial" w:eastAsia="Times New Roman" w:hAnsi="Arial" w:cs="Arial"/>
          <w:sz w:val="20"/>
          <w:szCs w:val="20"/>
        </w:rPr>
        <w:t xml:space="preserve"> the tubers contain bioactive compounds such as diosgenin and saponins which exhibit antioxidant, and immune-boosting activities, and may support for treating chronic diseases (Chang </w:t>
      </w:r>
      <w:r w:rsidR="00647D13" w:rsidRPr="00844D9B">
        <w:rPr>
          <w:rFonts w:ascii="Arial" w:eastAsia="Times New Roman" w:hAnsi="Arial" w:cs="Arial"/>
          <w:i/>
          <w:sz w:val="20"/>
          <w:szCs w:val="20"/>
        </w:rPr>
        <w:t>et al.,</w:t>
      </w:r>
      <w:r w:rsidR="00647D13" w:rsidRPr="00844D9B">
        <w:rPr>
          <w:rFonts w:ascii="Arial" w:eastAsia="Times New Roman" w:hAnsi="Arial" w:cs="Arial"/>
          <w:sz w:val="20"/>
          <w:szCs w:val="20"/>
        </w:rPr>
        <w:t xml:space="preserve"> 2013).</w:t>
      </w:r>
    </w:p>
    <w:p w14:paraId="4346740F" w14:textId="77777777" w:rsidR="00AF1AD7" w:rsidRPr="00844D9B" w:rsidRDefault="00AF1AD7" w:rsidP="00685F27">
      <w:pPr>
        <w:widowControl w:val="0"/>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The Hoai Son plant is a climbing vine with soft, smooth, light-green stems that turn reddish</w:t>
      </w:r>
      <w:r w:rsidR="00685F27">
        <w:rPr>
          <w:rFonts w:ascii="Arial" w:eastAsia="Times New Roman" w:hAnsi="Arial" w:cs="Arial"/>
          <w:sz w:val="20"/>
          <w:szCs w:val="20"/>
        </w:rPr>
        <w:t xml:space="preserve"> </w:t>
      </w:r>
      <w:r w:rsidRPr="00844D9B">
        <w:rPr>
          <w:rFonts w:ascii="Arial" w:eastAsia="Times New Roman" w:hAnsi="Arial" w:cs="Arial"/>
          <w:sz w:val="20"/>
          <w:szCs w:val="20"/>
        </w:rPr>
        <w:t xml:space="preserve">brown </w:t>
      </w:r>
      <w:r w:rsidRPr="00844D9B">
        <w:rPr>
          <w:rFonts w:ascii="Arial" w:eastAsia="Times New Roman" w:hAnsi="Arial" w:cs="Arial"/>
          <w:sz w:val="20"/>
          <w:szCs w:val="20"/>
        </w:rPr>
        <w:lastRenderedPageBreak/>
        <w:t>when mature or dried. The stems are cylindrical or may possess 4–6 angular edges, and the vines twine from right to left during climbing. Therefore, trellis construction is usually carried out approximately 15–20 days after planting to support proper plant growth and development (</w:t>
      </w:r>
      <w:r w:rsidR="00796296" w:rsidRPr="00844D9B">
        <w:rPr>
          <w:rFonts w:ascii="Arial" w:eastAsia="Times New Roman" w:hAnsi="Arial" w:cs="Arial"/>
          <w:sz w:val="20"/>
          <w:szCs w:val="20"/>
        </w:rPr>
        <w:t>Hue and Loc</w:t>
      </w:r>
      <w:r w:rsidRPr="00844D9B">
        <w:rPr>
          <w:rFonts w:ascii="Arial" w:eastAsia="Times New Roman" w:hAnsi="Arial" w:cs="Arial"/>
          <w:sz w:val="20"/>
          <w:szCs w:val="20"/>
        </w:rPr>
        <w:t>, 2005). However, according to Ngan et al. (2021), the cultivation of Hoai Sơn is still mostly based on traditional farming practices, with limited mechanization and low adoption of modern technologies such as soil tillers, mechanized planting systems, drip irrigation, and tuber harvesting equipment, particularly in trellis construction techniques for Hoai Sơn cultivation.</w:t>
      </w:r>
    </w:p>
    <w:p w14:paraId="00DF4CBA" w14:textId="77777777" w:rsidR="0000384E" w:rsidRPr="00844D9B" w:rsidRDefault="0000384E"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In Thai Nguyen, despite the favorable climatic conditions and substantial land resource potential for the development of medicinal plant cultivation areas, Hoai Sơn production is still mainly conducted on a small and fragmented scale, while proper planning and research on cultivation techniques suitable for local conditions are still lacking.</w:t>
      </w:r>
      <w:r w:rsidR="001F1164" w:rsidRPr="00844D9B">
        <w:rPr>
          <w:rFonts w:ascii="Arial" w:eastAsia="Times New Roman" w:hAnsi="Arial" w:cs="Arial"/>
          <w:sz w:val="20"/>
          <w:szCs w:val="20"/>
        </w:rPr>
        <w:t xml:space="preserve"> </w:t>
      </w:r>
      <w:r w:rsidRPr="00844D9B">
        <w:rPr>
          <w:rFonts w:ascii="Arial" w:eastAsia="Times New Roman" w:hAnsi="Arial" w:cs="Arial"/>
          <w:sz w:val="20"/>
          <w:szCs w:val="20"/>
        </w:rPr>
        <w:t>Hence, the aim of this study was to evaluate suitable trellis systems for improving the growth, development, yield, and quality of the medicinal plant Hoai Sơn under Thai Nguyen conditions, thereby contributing to enhanced cultivation efficiency.</w:t>
      </w:r>
    </w:p>
    <w:p w14:paraId="118F36EB" w14:textId="77777777" w:rsidR="00202280" w:rsidRPr="00844D9B" w:rsidRDefault="00202280" w:rsidP="00D151BD">
      <w:pPr>
        <w:spacing w:after="0" w:line="360" w:lineRule="auto"/>
        <w:jc w:val="both"/>
        <w:rPr>
          <w:rFonts w:ascii="Arial" w:eastAsia="Times New Roman" w:hAnsi="Arial" w:cs="Arial"/>
          <w:b/>
          <w:caps/>
          <w:szCs w:val="20"/>
        </w:rPr>
      </w:pPr>
      <w:r w:rsidRPr="00844D9B">
        <w:rPr>
          <w:rFonts w:ascii="Arial" w:eastAsia="Times New Roman" w:hAnsi="Arial" w:cs="Arial"/>
          <w:b/>
          <w:caps/>
          <w:szCs w:val="20"/>
        </w:rPr>
        <w:t>II. MATERIALS AND METHODS</w:t>
      </w:r>
    </w:p>
    <w:p w14:paraId="3E3A8374" w14:textId="77777777" w:rsidR="00202280" w:rsidRPr="00844D9B" w:rsidRDefault="007E3A96" w:rsidP="00D151BD">
      <w:pPr>
        <w:spacing w:after="0" w:line="360" w:lineRule="auto"/>
        <w:jc w:val="both"/>
        <w:rPr>
          <w:rFonts w:ascii="Arial" w:eastAsia="Times New Roman" w:hAnsi="Arial" w:cs="Arial"/>
          <w:b/>
          <w:szCs w:val="20"/>
        </w:rPr>
      </w:pPr>
      <w:r w:rsidRPr="00844D9B">
        <w:rPr>
          <w:rFonts w:ascii="Arial" w:eastAsia="Times New Roman" w:hAnsi="Arial" w:cs="Arial"/>
          <w:b/>
          <w:szCs w:val="20"/>
        </w:rPr>
        <w:t xml:space="preserve">2.1. </w:t>
      </w:r>
      <w:r w:rsidR="00685F27">
        <w:rPr>
          <w:rFonts w:ascii="Arial" w:eastAsia="Times New Roman" w:hAnsi="Arial" w:cs="Arial"/>
          <w:b/>
          <w:szCs w:val="20"/>
        </w:rPr>
        <w:t>Plant m</w:t>
      </w:r>
      <w:r w:rsidR="00202280" w:rsidRPr="00844D9B">
        <w:rPr>
          <w:rFonts w:ascii="Arial" w:eastAsia="Times New Roman" w:hAnsi="Arial" w:cs="Arial"/>
          <w:b/>
          <w:szCs w:val="20"/>
        </w:rPr>
        <w:t xml:space="preserve">aterials and </w:t>
      </w:r>
      <w:r w:rsidR="00685F27">
        <w:rPr>
          <w:rFonts w:ascii="Arial" w:eastAsia="Times New Roman" w:hAnsi="Arial" w:cs="Arial"/>
          <w:b/>
          <w:szCs w:val="20"/>
        </w:rPr>
        <w:t>e</w:t>
      </w:r>
      <w:r w:rsidR="00202280" w:rsidRPr="00844D9B">
        <w:rPr>
          <w:rFonts w:ascii="Arial" w:eastAsia="Times New Roman" w:hAnsi="Arial" w:cs="Arial"/>
          <w:b/>
          <w:szCs w:val="20"/>
        </w:rPr>
        <w:t xml:space="preserve">xperiment </w:t>
      </w:r>
      <w:r w:rsidR="00685F27">
        <w:rPr>
          <w:rFonts w:ascii="Arial" w:eastAsia="Times New Roman" w:hAnsi="Arial" w:cs="Arial"/>
          <w:b/>
          <w:szCs w:val="20"/>
        </w:rPr>
        <w:t>t</w:t>
      </w:r>
      <w:r w:rsidR="00202280" w:rsidRPr="00844D9B">
        <w:rPr>
          <w:rFonts w:ascii="Arial" w:eastAsia="Times New Roman" w:hAnsi="Arial" w:cs="Arial"/>
          <w:b/>
          <w:szCs w:val="20"/>
        </w:rPr>
        <w:t>reatments</w:t>
      </w:r>
    </w:p>
    <w:p w14:paraId="65D1D351"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The experiment was conducted in </w:t>
      </w:r>
      <w:r w:rsidR="00685F27">
        <w:rPr>
          <w:rFonts w:ascii="Arial" w:eastAsia="Times New Roman" w:hAnsi="Arial" w:cs="Arial"/>
          <w:sz w:val="20"/>
          <w:szCs w:val="20"/>
        </w:rPr>
        <w:t>Boc</w:t>
      </w:r>
      <w:r w:rsidRPr="00844D9B">
        <w:rPr>
          <w:rFonts w:ascii="Arial" w:eastAsia="Times New Roman" w:hAnsi="Arial" w:cs="Arial"/>
          <w:sz w:val="20"/>
          <w:szCs w:val="20"/>
        </w:rPr>
        <w:t xml:space="preserve"> </w:t>
      </w:r>
      <w:proofErr w:type="spellStart"/>
      <w:r w:rsidRPr="00844D9B">
        <w:rPr>
          <w:rFonts w:ascii="Arial" w:eastAsia="Times New Roman" w:hAnsi="Arial" w:cs="Arial"/>
          <w:sz w:val="20"/>
          <w:szCs w:val="20"/>
        </w:rPr>
        <w:t>Nhiêu</w:t>
      </w:r>
      <w:proofErr w:type="spellEnd"/>
      <w:r w:rsidRPr="00844D9B">
        <w:rPr>
          <w:rFonts w:ascii="Arial" w:eastAsia="Times New Roman" w:hAnsi="Arial" w:cs="Arial"/>
          <w:sz w:val="20"/>
          <w:szCs w:val="20"/>
        </w:rPr>
        <w:t xml:space="preserve"> commune, </w:t>
      </w:r>
      <w:r w:rsidR="00685F27">
        <w:rPr>
          <w:rFonts w:ascii="Arial" w:eastAsia="Times New Roman" w:hAnsi="Arial" w:cs="Arial"/>
          <w:sz w:val="20"/>
          <w:szCs w:val="20"/>
        </w:rPr>
        <w:t>Dinh Hoa</w:t>
      </w:r>
      <w:r w:rsidRPr="00844D9B">
        <w:rPr>
          <w:rFonts w:ascii="Arial" w:eastAsia="Times New Roman" w:hAnsi="Arial" w:cs="Arial"/>
          <w:sz w:val="20"/>
          <w:szCs w:val="20"/>
        </w:rPr>
        <w:t xml:space="preserve"> district, Thai Nguyen province, from 2024 to 2025. The experiment was designed using a Randomized Complete Block Design (RCBD) including of </w:t>
      </w:r>
      <w:r w:rsidR="00AB2883" w:rsidRPr="00844D9B">
        <w:rPr>
          <w:rFonts w:ascii="Arial" w:eastAsia="Times New Roman" w:hAnsi="Arial" w:cs="Arial"/>
          <w:sz w:val="20"/>
          <w:szCs w:val="20"/>
        </w:rPr>
        <w:t>four</w:t>
      </w:r>
      <w:r w:rsidRPr="00844D9B">
        <w:rPr>
          <w:rFonts w:ascii="Arial" w:eastAsia="Times New Roman" w:hAnsi="Arial" w:cs="Arial"/>
          <w:sz w:val="20"/>
          <w:szCs w:val="20"/>
        </w:rPr>
        <w:t xml:space="preserve"> treatments with three replications. Each experimental plot covered an area of 10 m², giving a total experimental area of 150 m², excluding buffer zones. The </w:t>
      </w:r>
      <w:r w:rsidR="00360B5D" w:rsidRPr="00844D9B">
        <w:rPr>
          <w:rFonts w:ascii="Arial" w:eastAsia="Times New Roman" w:hAnsi="Arial" w:cs="Arial"/>
          <w:sz w:val="20"/>
          <w:szCs w:val="20"/>
        </w:rPr>
        <w:t>four</w:t>
      </w:r>
      <w:r w:rsidRPr="00844D9B">
        <w:rPr>
          <w:rFonts w:ascii="Arial" w:eastAsia="Times New Roman" w:hAnsi="Arial" w:cs="Arial"/>
          <w:sz w:val="20"/>
          <w:szCs w:val="20"/>
        </w:rPr>
        <w:t xml:space="preserve"> treatments were established as follows:</w:t>
      </w:r>
    </w:p>
    <w:p w14:paraId="3DA4A83D"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T1: A-shaped trellis system (control)</w:t>
      </w:r>
    </w:p>
    <w:p w14:paraId="70D6EF85"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T2: </w:t>
      </w:r>
      <w:r w:rsidR="00016624" w:rsidRPr="00844D9B">
        <w:rPr>
          <w:rFonts w:ascii="Arial" w:eastAsia="Times New Roman" w:hAnsi="Arial" w:cs="Arial"/>
          <w:sz w:val="20"/>
          <w:szCs w:val="20"/>
        </w:rPr>
        <w:t xml:space="preserve">Clustered trellis </w:t>
      </w:r>
      <w:r w:rsidRPr="00844D9B">
        <w:rPr>
          <w:rFonts w:ascii="Arial" w:eastAsia="Times New Roman" w:hAnsi="Arial" w:cs="Arial"/>
          <w:sz w:val="20"/>
          <w:szCs w:val="20"/>
        </w:rPr>
        <w:t>system</w:t>
      </w:r>
    </w:p>
    <w:p w14:paraId="00AFA679"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T3: String-supported trellis system</w:t>
      </w:r>
    </w:p>
    <w:p w14:paraId="6D922BD3" w14:textId="77777777" w:rsidR="00923339" w:rsidRPr="00844D9B" w:rsidRDefault="00923339"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T4: Net trellis system combined with tensioned strings</w:t>
      </w:r>
    </w:p>
    <w:p w14:paraId="1BA81C84" w14:textId="77777777" w:rsidR="00CE5878" w:rsidRPr="00844D9B" w:rsidRDefault="00CE5878"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Before planting, tuber cuttings approximately 5 cm long were treated for one week with a mixture of lime and wood ash at a 70:30 </w:t>
      </w:r>
      <w:r w:rsidR="002E6D20" w:rsidRPr="00844D9B">
        <w:rPr>
          <w:rFonts w:ascii="Arial" w:eastAsia="Times New Roman" w:hAnsi="Arial" w:cs="Arial"/>
          <w:sz w:val="20"/>
          <w:szCs w:val="20"/>
        </w:rPr>
        <w:t>ratios</w:t>
      </w:r>
      <w:r w:rsidRPr="00844D9B">
        <w:rPr>
          <w:rFonts w:ascii="Arial" w:eastAsia="Times New Roman" w:hAnsi="Arial" w:cs="Arial"/>
          <w:sz w:val="20"/>
          <w:szCs w:val="20"/>
        </w:rPr>
        <w:t xml:space="preserve">. The planting density and spacing were 50,000 plants per hectare, with a spacing arrangement of 80 cm × 25 cm. </w:t>
      </w:r>
      <w:r w:rsidR="003E3847" w:rsidRPr="00844D9B">
        <w:rPr>
          <w:rFonts w:ascii="Arial" w:eastAsia="Times New Roman" w:hAnsi="Arial" w:cs="Arial"/>
          <w:sz w:val="20"/>
          <w:szCs w:val="20"/>
        </w:rPr>
        <w:t>The tuber cuttings were planted at a depth of approximately 5 cm. After planting, the cuttings were covered with soil, irrigated, and maintained under adequate moisture conditions to promote sprouting and early growth. Trellises were constructed 15</w:t>
      </w:r>
      <w:r w:rsidR="00FB0DDE" w:rsidRPr="00844D9B">
        <w:rPr>
          <w:rFonts w:ascii="Arial" w:eastAsia="Times New Roman" w:hAnsi="Arial" w:cs="Arial"/>
          <w:sz w:val="20"/>
          <w:szCs w:val="20"/>
        </w:rPr>
        <w:t>-</w:t>
      </w:r>
      <w:r w:rsidR="003E3847" w:rsidRPr="00844D9B">
        <w:rPr>
          <w:rFonts w:ascii="Arial" w:eastAsia="Times New Roman" w:hAnsi="Arial" w:cs="Arial"/>
          <w:sz w:val="20"/>
          <w:szCs w:val="20"/>
        </w:rPr>
        <w:t xml:space="preserve">20 days after planting to support vine growth. The trellis structures needed to be build sturdy because the vigorous climbing of the plants could cause weak trellises to collapse. </w:t>
      </w:r>
      <w:r w:rsidRPr="00844D9B">
        <w:rPr>
          <w:rFonts w:ascii="Arial" w:eastAsia="Times New Roman" w:hAnsi="Arial" w:cs="Arial"/>
          <w:sz w:val="20"/>
          <w:szCs w:val="20"/>
        </w:rPr>
        <w:t>The basal fertilizer application consisted of 9 tons of organic microbial fertilizer, 500 kg of powdered lime, 300 kg of urea, 500 kg of superphosphate, and 150 kg of potassium chloride per hectare. Nitrogen and potassium fertilizers were with one-third of the total amount applied monthly from April to May, the remaining amount was applied in July.</w:t>
      </w:r>
    </w:p>
    <w:p w14:paraId="1B5AB152" w14:textId="77777777" w:rsidR="00CE5878" w:rsidRPr="00844D9B" w:rsidRDefault="002E6D20" w:rsidP="00D151BD">
      <w:pPr>
        <w:spacing w:after="0" w:line="360" w:lineRule="auto"/>
        <w:jc w:val="both"/>
        <w:rPr>
          <w:rFonts w:ascii="Arial" w:eastAsia="Times New Roman" w:hAnsi="Arial" w:cs="Arial"/>
          <w:b/>
          <w:szCs w:val="20"/>
        </w:rPr>
      </w:pPr>
      <w:r w:rsidRPr="00844D9B">
        <w:rPr>
          <w:rFonts w:ascii="Arial" w:eastAsia="Times New Roman" w:hAnsi="Arial" w:cs="Arial"/>
          <w:b/>
          <w:szCs w:val="20"/>
        </w:rPr>
        <w:t>2.2 Data Collection</w:t>
      </w:r>
    </w:p>
    <w:p w14:paraId="01516791" w14:textId="77777777" w:rsidR="00A47E3C" w:rsidRPr="00844D9B" w:rsidRDefault="00A47E3C"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 xml:space="preserve">Leaf size, including leaf length and width (cm), was measured using vernier calipers at the stage when the plants reached the trellis. Stem diameter (mm) was measured at 5 cm above the ground surface </w:t>
      </w:r>
      <w:r w:rsidRPr="00844D9B">
        <w:rPr>
          <w:rFonts w:ascii="Arial" w:eastAsia="Times New Roman" w:hAnsi="Arial" w:cs="Arial"/>
          <w:sz w:val="20"/>
          <w:szCs w:val="20"/>
        </w:rPr>
        <w:lastRenderedPageBreak/>
        <w:t>using digital vernier calipers, and average values were calculated at both the trellis-reaching stage and the harvest stage. Tuber size, including tuber length and diameter, was measured using vernier calipers. Yield for each treatment was determined by weighing the total tuber yield harvested from each plot. Tuber characteristics and yield components were evaluated at the harvest stage.</w:t>
      </w:r>
    </w:p>
    <w:p w14:paraId="2AFED1CF" w14:textId="77777777" w:rsidR="00923339" w:rsidRPr="00844D9B" w:rsidRDefault="00A47E3C" w:rsidP="00D151BD">
      <w:pPr>
        <w:spacing w:after="0" w:line="360" w:lineRule="auto"/>
        <w:jc w:val="both"/>
        <w:rPr>
          <w:rFonts w:ascii="Arial" w:eastAsia="Times New Roman" w:hAnsi="Arial" w:cs="Arial"/>
          <w:b/>
          <w:szCs w:val="20"/>
        </w:rPr>
      </w:pPr>
      <w:r w:rsidRPr="00844D9B">
        <w:rPr>
          <w:rFonts w:ascii="Arial" w:eastAsia="Times New Roman" w:hAnsi="Arial" w:cs="Arial"/>
          <w:b/>
          <w:szCs w:val="20"/>
        </w:rPr>
        <w:t>2.3 Statistical Analysis</w:t>
      </w:r>
    </w:p>
    <w:p w14:paraId="0CC3CB85" w14:textId="77777777" w:rsidR="006F3E51" w:rsidRPr="00844D9B" w:rsidRDefault="00A47E3C" w:rsidP="001F1164">
      <w:pPr>
        <w:spacing w:after="0" w:line="360" w:lineRule="auto"/>
        <w:ind w:firstLine="720"/>
        <w:jc w:val="both"/>
        <w:rPr>
          <w:rFonts w:ascii="Arial" w:eastAsia="Times New Roman" w:hAnsi="Arial" w:cs="Arial"/>
          <w:sz w:val="20"/>
          <w:szCs w:val="20"/>
        </w:rPr>
      </w:pPr>
      <w:r w:rsidRPr="00844D9B">
        <w:rPr>
          <w:rFonts w:ascii="Arial" w:eastAsia="Times New Roman" w:hAnsi="Arial" w:cs="Arial"/>
          <w:sz w:val="20"/>
          <w:szCs w:val="20"/>
        </w:rPr>
        <w:t>The data were analyzed using SAS 9.1 software</w:t>
      </w:r>
      <w:r w:rsidR="006F3E51" w:rsidRPr="00844D9B">
        <w:rPr>
          <w:rFonts w:ascii="Arial" w:eastAsia="Times New Roman" w:hAnsi="Arial" w:cs="Arial"/>
          <w:sz w:val="20"/>
          <w:szCs w:val="20"/>
        </w:rPr>
        <w:t xml:space="preserve"> to </w:t>
      </w:r>
      <w:r w:rsidRPr="00844D9B">
        <w:rPr>
          <w:rFonts w:ascii="Arial" w:eastAsia="Times New Roman" w:hAnsi="Arial" w:cs="Arial"/>
          <w:sz w:val="20"/>
          <w:szCs w:val="20"/>
        </w:rPr>
        <w:t xml:space="preserve">evaluate treatment effects, and mean comparisons among treatments were conducted using Duncan’s Multiple Range Test </w:t>
      </w:r>
      <w:r w:rsidR="006F3E51" w:rsidRPr="00844D9B">
        <w:rPr>
          <w:rFonts w:ascii="Arial" w:eastAsia="Times New Roman" w:hAnsi="Arial" w:cs="Arial"/>
          <w:sz w:val="20"/>
          <w:szCs w:val="20"/>
        </w:rPr>
        <w:t>at a significance level of 95%.</w:t>
      </w:r>
    </w:p>
    <w:p w14:paraId="4E6359B6" w14:textId="77777777" w:rsidR="00112DFB" w:rsidRPr="00844D9B" w:rsidRDefault="00112DFB" w:rsidP="00D151BD">
      <w:pPr>
        <w:spacing w:after="0" w:line="360" w:lineRule="auto"/>
        <w:jc w:val="both"/>
        <w:rPr>
          <w:rFonts w:ascii="Arial" w:eastAsia="Times New Roman" w:hAnsi="Arial" w:cs="Arial"/>
          <w:b/>
          <w:caps/>
          <w:szCs w:val="20"/>
        </w:rPr>
      </w:pPr>
      <w:r w:rsidRPr="00844D9B">
        <w:rPr>
          <w:rFonts w:ascii="Arial" w:eastAsia="Times New Roman" w:hAnsi="Arial" w:cs="Arial"/>
          <w:b/>
          <w:caps/>
          <w:szCs w:val="20"/>
        </w:rPr>
        <w:t>3. RESULTS AND DISCUSSION</w:t>
      </w:r>
    </w:p>
    <w:p w14:paraId="547579A3" w14:textId="77777777" w:rsidR="00923339" w:rsidRPr="00844D9B" w:rsidRDefault="00112DFB" w:rsidP="00D151BD">
      <w:pPr>
        <w:spacing w:after="0" w:line="360" w:lineRule="auto"/>
        <w:jc w:val="both"/>
        <w:rPr>
          <w:rFonts w:ascii="Arial" w:eastAsia="Times New Roman" w:hAnsi="Arial" w:cs="Arial"/>
          <w:b/>
          <w:szCs w:val="20"/>
        </w:rPr>
      </w:pPr>
      <w:r w:rsidRPr="00844D9B">
        <w:rPr>
          <w:rFonts w:ascii="Arial" w:eastAsia="Times New Roman" w:hAnsi="Arial" w:cs="Arial"/>
          <w:b/>
          <w:szCs w:val="20"/>
        </w:rPr>
        <w:t>3.1. E</w:t>
      </w:r>
      <w:r w:rsidR="00844D9B">
        <w:rPr>
          <w:rFonts w:ascii="Arial" w:eastAsia="Times New Roman" w:hAnsi="Arial" w:cs="Arial"/>
          <w:b/>
          <w:szCs w:val="20"/>
        </w:rPr>
        <w:t>ffect of trellis system on the m</w:t>
      </w:r>
      <w:r w:rsidRPr="00844D9B">
        <w:rPr>
          <w:rFonts w:ascii="Arial" w:eastAsia="Times New Roman" w:hAnsi="Arial" w:cs="Arial"/>
          <w:b/>
          <w:szCs w:val="20"/>
        </w:rPr>
        <w:t xml:space="preserve">orphological </w:t>
      </w:r>
      <w:r w:rsidR="00844D9B">
        <w:rPr>
          <w:rFonts w:ascii="Arial" w:eastAsia="Times New Roman" w:hAnsi="Arial" w:cs="Arial"/>
          <w:b/>
          <w:szCs w:val="20"/>
        </w:rPr>
        <w:t>c</w:t>
      </w:r>
      <w:r w:rsidRPr="00844D9B">
        <w:rPr>
          <w:rFonts w:ascii="Arial" w:eastAsia="Times New Roman" w:hAnsi="Arial" w:cs="Arial"/>
          <w:b/>
          <w:szCs w:val="20"/>
        </w:rPr>
        <w:t xml:space="preserve">haracteristics of Hoai Sơn </w:t>
      </w:r>
      <w:r w:rsidR="00844D9B">
        <w:rPr>
          <w:rFonts w:ascii="Arial" w:eastAsia="Times New Roman" w:hAnsi="Arial" w:cs="Arial"/>
          <w:b/>
          <w:szCs w:val="20"/>
        </w:rPr>
        <w:t>p</w:t>
      </w:r>
      <w:r w:rsidRPr="00844D9B">
        <w:rPr>
          <w:rFonts w:ascii="Arial" w:eastAsia="Times New Roman" w:hAnsi="Arial" w:cs="Arial"/>
          <w:b/>
          <w:szCs w:val="20"/>
        </w:rPr>
        <w:t>lants</w:t>
      </w:r>
    </w:p>
    <w:p w14:paraId="39C8548E" w14:textId="77777777" w:rsidR="001F1164" w:rsidRDefault="001F1164" w:rsidP="001F1164">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According to </w:t>
      </w:r>
      <w:proofErr w:type="spellStart"/>
      <w:r w:rsidRPr="00D317F2">
        <w:rPr>
          <w:rFonts w:ascii="Arial" w:eastAsia="Times New Roman" w:hAnsi="Arial" w:cs="Arial"/>
          <w:sz w:val="20"/>
          <w:szCs w:val="20"/>
        </w:rPr>
        <w:t>Aminifard</w:t>
      </w:r>
      <w:proofErr w:type="spellEnd"/>
      <w:r w:rsidRPr="00D317F2">
        <w:rPr>
          <w:rFonts w:ascii="Arial" w:eastAsia="Times New Roman" w:hAnsi="Arial" w:cs="Arial"/>
          <w:sz w:val="20"/>
          <w:szCs w:val="20"/>
        </w:rPr>
        <w:t xml:space="preserve"> et al. (2012), plant height is evaluated through the rate of height growth and is closely associated with plant yield. Increased plant height under favorable growing conditions often contributes to higher yields. Therefore, plant height is an important indicator of plant growth potential and depends on both varietal characteristics and cultivation techniques. The results presented in Table 1 show that there were revealed significant differences among treatments in plant height (p ≤ 0.05). In contrast, T2 recorded the greatest plant height (202.3 cm), whereas the T3 and T4 showed lower plant heights, reaching 197.2 cm and 200.3 cm, respectively, both significantly lower than the control treatment at the 95% confidence level. This result indicates that T 2, in which clustered </w:t>
      </w:r>
      <w:r w:rsidR="00A01490" w:rsidRPr="00D317F2">
        <w:rPr>
          <w:rFonts w:ascii="Arial" w:eastAsia="Times New Roman" w:hAnsi="Arial" w:cs="Arial"/>
          <w:sz w:val="20"/>
          <w:szCs w:val="20"/>
        </w:rPr>
        <w:t>trellis</w:t>
      </w:r>
      <w:r w:rsidRPr="00D317F2">
        <w:rPr>
          <w:rFonts w:ascii="Arial" w:eastAsia="Times New Roman" w:hAnsi="Arial" w:cs="Arial"/>
          <w:sz w:val="20"/>
          <w:szCs w:val="20"/>
        </w:rPr>
        <w:t xml:space="preserve"> formed a stable support structure, promoted plant growth by enabling the vines to attach easily and climb more effectively, thereby creating favorable conditions for stem elongation. This may be explained by the climbing characteristic of </w:t>
      </w:r>
      <w:r w:rsidRPr="00D317F2">
        <w:rPr>
          <w:rFonts w:ascii="Arial" w:eastAsia="Times New Roman" w:hAnsi="Arial" w:cs="Arial"/>
          <w:i/>
          <w:iCs/>
          <w:sz w:val="20"/>
          <w:szCs w:val="20"/>
        </w:rPr>
        <w:t xml:space="preserve">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sz w:val="20"/>
          <w:szCs w:val="20"/>
        </w:rPr>
        <w:t xml:space="preserve">, whose stems twine from right to left around the support structure without tendrils like other climbing species (Nguyen Van Nam </w:t>
      </w:r>
      <w:r w:rsidRPr="00D317F2">
        <w:rPr>
          <w:rFonts w:ascii="Arial" w:eastAsia="Times New Roman" w:hAnsi="Arial" w:cs="Arial"/>
          <w:i/>
          <w:sz w:val="20"/>
          <w:szCs w:val="20"/>
        </w:rPr>
        <w:t>et al.,</w:t>
      </w:r>
      <w:r w:rsidRPr="00D317F2">
        <w:rPr>
          <w:rFonts w:ascii="Arial" w:eastAsia="Times New Roman" w:hAnsi="Arial" w:cs="Arial"/>
          <w:sz w:val="20"/>
          <w:szCs w:val="20"/>
        </w:rPr>
        <w:t xml:space="preserve"> 2020). Conversely, T3 and T4 which applying wire and mesh trellis systems, respectively provided less suitable support structures for vine attachment and climbing, resulting in shorter plant heights because these trellis types were not suitable for the climbing nature of the plants. These results are consistent with those reported by Le Quang Thai et al. (2018), who studied </w:t>
      </w:r>
      <w:r w:rsidRPr="00D317F2">
        <w:rPr>
          <w:rFonts w:ascii="Arial" w:eastAsia="Times New Roman" w:hAnsi="Arial" w:cs="Arial"/>
          <w:i/>
          <w:iCs/>
          <w:sz w:val="20"/>
          <w:szCs w:val="20"/>
        </w:rPr>
        <w:t xml:space="preserve">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sz w:val="20"/>
          <w:szCs w:val="20"/>
        </w:rPr>
        <w:t xml:space="preserve"> in northern Vietnam and suggested that traditional trellis systems, such as A-shaped and clustered trellises, are more suitable than modern trellis types because of the characteristic twining stems of this medicinal plant.</w:t>
      </w:r>
    </w:p>
    <w:p w14:paraId="5560AC78" w14:textId="77777777" w:rsidR="007F4A8D" w:rsidRPr="00D317F2" w:rsidRDefault="007F4A8D" w:rsidP="007F4A8D">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The results presented in Table 1 indicated that there were no significant differences among treatments in terms of stem diameter, leaf length, and leaf width at the 95% confidence level. This shows that while the form of the trellis affects the plant's ability to grow tall, it has little influence on the development of other parts such as the roots and leaves. This can be explained by the fact that the </w:t>
      </w:r>
      <w:r w:rsidRPr="00D317F2">
        <w:rPr>
          <w:rFonts w:ascii="Arial" w:eastAsia="Times New Roman" w:hAnsi="Arial" w:cs="Arial"/>
          <w:i/>
          <w:iCs/>
          <w:sz w:val="20"/>
          <w:szCs w:val="20"/>
        </w:rPr>
        <w:t xml:space="preserve">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sz w:val="20"/>
          <w:szCs w:val="20"/>
        </w:rPr>
        <w:t xml:space="preserve"> plant primarily grows its stem on the trellis to facilitate photosynthesis and nutrient accumulation for the tubers. Characteristics such as root diameter and leaf size are more dependent on nutrient levels and planting density than on the form of the trellis. It seems that the form of the trellis affects the plant's ability to grow tall, however little influence on the development of other parts such as the roots and leaves. This may be explained that the</w:t>
      </w:r>
      <w:r w:rsidRPr="00D317F2">
        <w:rPr>
          <w:rFonts w:ascii="Arial" w:eastAsia="Times New Roman" w:hAnsi="Arial" w:cs="Arial"/>
          <w:i/>
          <w:iCs/>
          <w:sz w:val="20"/>
          <w:szCs w:val="20"/>
        </w:rPr>
        <w:t xml:space="preserve"> 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i/>
          <w:iCs/>
          <w:sz w:val="20"/>
          <w:szCs w:val="20"/>
        </w:rPr>
        <w:t xml:space="preserve"> </w:t>
      </w:r>
      <w:r w:rsidRPr="00D317F2">
        <w:rPr>
          <w:rFonts w:ascii="Arial" w:eastAsia="Times New Roman" w:hAnsi="Arial" w:cs="Arial"/>
          <w:sz w:val="20"/>
          <w:szCs w:val="20"/>
        </w:rPr>
        <w:t xml:space="preserve">plant grows its stem on a trellis to facilitate photosynthesis </w:t>
      </w:r>
      <w:r w:rsidRPr="00D317F2">
        <w:rPr>
          <w:rFonts w:ascii="Arial" w:eastAsia="Times New Roman" w:hAnsi="Arial" w:cs="Arial"/>
          <w:sz w:val="20"/>
          <w:szCs w:val="20"/>
        </w:rPr>
        <w:lastRenderedPageBreak/>
        <w:t xml:space="preserve">and accumulate nutrients for the tuber, whereas characteristics of this plant such as stem diameter and leaf size are generally </w:t>
      </w:r>
      <w:proofErr w:type="spellStart"/>
      <w:r w:rsidRPr="00D317F2">
        <w:rPr>
          <w:rFonts w:ascii="Arial" w:eastAsia="Times New Roman" w:hAnsi="Arial" w:cs="Arial"/>
          <w:sz w:val="20"/>
          <w:szCs w:val="20"/>
        </w:rPr>
        <w:t>generally</w:t>
      </w:r>
      <w:proofErr w:type="spellEnd"/>
      <w:r w:rsidRPr="00D317F2">
        <w:rPr>
          <w:rFonts w:ascii="Arial" w:eastAsia="Times New Roman" w:hAnsi="Arial" w:cs="Arial"/>
          <w:sz w:val="20"/>
          <w:szCs w:val="20"/>
        </w:rPr>
        <w:t xml:space="preserve"> influenced more by nutrient availability and planting density than by trellis type. This results are consistent with those reported by Nguyen </w:t>
      </w:r>
      <w:proofErr w:type="spellStart"/>
      <w:r w:rsidRPr="00D317F2">
        <w:rPr>
          <w:rFonts w:ascii="Arial" w:eastAsia="Times New Roman" w:hAnsi="Arial" w:cs="Arial"/>
          <w:sz w:val="20"/>
          <w:szCs w:val="20"/>
        </w:rPr>
        <w:t>Thi</w:t>
      </w:r>
      <w:proofErr w:type="spellEnd"/>
      <w:r w:rsidRPr="00D317F2">
        <w:rPr>
          <w:rFonts w:ascii="Arial" w:eastAsia="Times New Roman" w:hAnsi="Arial" w:cs="Arial"/>
          <w:sz w:val="20"/>
          <w:szCs w:val="20"/>
        </w:rPr>
        <w:t xml:space="preserve"> Hong et al. (2019) in a study on the impact of trellising techniques on yam plants (</w:t>
      </w:r>
      <w:r w:rsidRPr="007F4A8D">
        <w:rPr>
          <w:rFonts w:ascii="Arial" w:eastAsia="Times New Roman" w:hAnsi="Arial" w:cs="Arial"/>
          <w:i/>
          <w:sz w:val="20"/>
          <w:szCs w:val="20"/>
        </w:rPr>
        <w:t>Dioscorea alata</w:t>
      </w:r>
      <w:r w:rsidRPr="00D317F2">
        <w:rPr>
          <w:rFonts w:ascii="Arial" w:eastAsia="Times New Roman" w:hAnsi="Arial" w:cs="Arial"/>
          <w:sz w:val="20"/>
          <w:szCs w:val="20"/>
        </w:rPr>
        <w:t>), which demonstrated that different trellis models had no significant effect on stem diameter and leaf size, except for plant height.</w:t>
      </w:r>
    </w:p>
    <w:p w14:paraId="78C54C1C" w14:textId="77777777" w:rsidR="00112DFB" w:rsidRPr="00D317F2" w:rsidRDefault="00112DFB" w:rsidP="00CA29E1">
      <w:pPr>
        <w:spacing w:after="0" w:line="360" w:lineRule="auto"/>
        <w:jc w:val="center"/>
        <w:rPr>
          <w:rFonts w:ascii="Arial" w:eastAsia="Times New Roman" w:hAnsi="Arial" w:cs="Arial"/>
          <w:b/>
          <w:sz w:val="20"/>
          <w:szCs w:val="20"/>
        </w:rPr>
      </w:pPr>
      <w:r w:rsidRPr="00D317F2">
        <w:rPr>
          <w:rFonts w:ascii="Arial" w:eastAsia="Times New Roman" w:hAnsi="Arial" w:cs="Arial"/>
          <w:b/>
          <w:sz w:val="20"/>
          <w:szCs w:val="20"/>
        </w:rPr>
        <w:t>Table 1. Effects of trellis systems on the morphological characteristics of Hoai Son medicinal plants in Thai Nguyen</w:t>
      </w:r>
      <w:r w:rsidR="007C2C12" w:rsidRPr="00D317F2">
        <w:rPr>
          <w:rFonts w:ascii="Arial" w:eastAsia="Times New Roman" w:hAnsi="Arial" w:cs="Arial"/>
          <w:b/>
          <w:sz w:val="20"/>
          <w:szCs w:val="20"/>
        </w:rPr>
        <w:t>*</w:t>
      </w:r>
    </w:p>
    <w:tbl>
      <w:tblPr>
        <w:tblStyle w:val="TableGrid"/>
        <w:tblW w:w="93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1"/>
        <w:gridCol w:w="1984"/>
        <w:gridCol w:w="2126"/>
        <w:gridCol w:w="1276"/>
        <w:gridCol w:w="1276"/>
      </w:tblGrid>
      <w:tr w:rsidR="009777D6" w:rsidRPr="009777D6" w14:paraId="1BCE80E0" w14:textId="77777777" w:rsidTr="00D04CE9">
        <w:tc>
          <w:tcPr>
            <w:tcW w:w="1560" w:type="dxa"/>
            <w:tcBorders>
              <w:top w:val="single" w:sz="4" w:space="0" w:color="auto"/>
              <w:bottom w:val="single" w:sz="4" w:space="0" w:color="auto"/>
            </w:tcBorders>
            <w:vAlign w:val="center"/>
          </w:tcPr>
          <w:p w14:paraId="4405CA2E"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Treatment</w:t>
            </w:r>
          </w:p>
        </w:tc>
        <w:tc>
          <w:tcPr>
            <w:tcW w:w="1131" w:type="dxa"/>
            <w:tcBorders>
              <w:top w:val="single" w:sz="4" w:space="0" w:color="auto"/>
              <w:bottom w:val="single" w:sz="4" w:space="0" w:color="auto"/>
            </w:tcBorders>
            <w:vAlign w:val="center"/>
          </w:tcPr>
          <w:p w14:paraId="2D2A11DE"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Plant height (cm)</w:t>
            </w:r>
          </w:p>
        </w:tc>
        <w:tc>
          <w:tcPr>
            <w:tcW w:w="1984" w:type="dxa"/>
            <w:tcBorders>
              <w:top w:val="single" w:sz="4" w:space="0" w:color="auto"/>
              <w:bottom w:val="single" w:sz="4" w:space="0" w:color="auto"/>
            </w:tcBorders>
            <w:vAlign w:val="center"/>
          </w:tcPr>
          <w:p w14:paraId="41FC2C3E"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Stem diameter at trellis-reaching stage (mm)¹</w:t>
            </w:r>
          </w:p>
        </w:tc>
        <w:tc>
          <w:tcPr>
            <w:tcW w:w="2126" w:type="dxa"/>
            <w:tcBorders>
              <w:top w:val="single" w:sz="4" w:space="0" w:color="auto"/>
              <w:bottom w:val="single" w:sz="4" w:space="0" w:color="auto"/>
            </w:tcBorders>
            <w:vAlign w:val="center"/>
          </w:tcPr>
          <w:p w14:paraId="023A2204"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Stem diameter at harvest stage (mm)²</w:t>
            </w:r>
          </w:p>
        </w:tc>
        <w:tc>
          <w:tcPr>
            <w:tcW w:w="1276" w:type="dxa"/>
            <w:tcBorders>
              <w:top w:val="single" w:sz="4" w:space="0" w:color="auto"/>
              <w:bottom w:val="single" w:sz="4" w:space="0" w:color="auto"/>
            </w:tcBorders>
            <w:vAlign w:val="center"/>
          </w:tcPr>
          <w:p w14:paraId="0B379E9E"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Leaf length (cm)</w:t>
            </w:r>
          </w:p>
        </w:tc>
        <w:tc>
          <w:tcPr>
            <w:tcW w:w="1276" w:type="dxa"/>
            <w:tcBorders>
              <w:top w:val="single" w:sz="4" w:space="0" w:color="auto"/>
              <w:bottom w:val="single" w:sz="4" w:space="0" w:color="auto"/>
            </w:tcBorders>
            <w:vAlign w:val="center"/>
          </w:tcPr>
          <w:p w14:paraId="6FCCB87D" w14:textId="77777777" w:rsidR="00112DFB" w:rsidRPr="00D317F2" w:rsidRDefault="00112DFB" w:rsidP="00CA29E1">
            <w:pPr>
              <w:jc w:val="center"/>
              <w:rPr>
                <w:rFonts w:ascii="Arial" w:eastAsia="Times New Roman" w:hAnsi="Arial" w:cs="Arial"/>
                <w:b/>
                <w:sz w:val="20"/>
                <w:szCs w:val="20"/>
              </w:rPr>
            </w:pPr>
            <w:r w:rsidRPr="00D317F2">
              <w:rPr>
                <w:rFonts w:ascii="Arial" w:eastAsia="Times New Roman" w:hAnsi="Arial" w:cs="Arial"/>
                <w:b/>
                <w:sz w:val="20"/>
                <w:szCs w:val="20"/>
              </w:rPr>
              <w:t>Leaf width (cm)</w:t>
            </w:r>
          </w:p>
        </w:tc>
      </w:tr>
      <w:tr w:rsidR="009777D6" w:rsidRPr="009777D6" w14:paraId="1B2BDFFE" w14:textId="77777777" w:rsidTr="00D04CE9">
        <w:tc>
          <w:tcPr>
            <w:tcW w:w="1560" w:type="dxa"/>
            <w:tcBorders>
              <w:top w:val="single" w:sz="4" w:space="0" w:color="auto"/>
            </w:tcBorders>
          </w:tcPr>
          <w:p w14:paraId="5C32C41A"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sz w:val="20"/>
                <w:szCs w:val="20"/>
              </w:rPr>
              <w:t>T1 (control)</w:t>
            </w:r>
          </w:p>
        </w:tc>
        <w:tc>
          <w:tcPr>
            <w:tcW w:w="1131" w:type="dxa"/>
            <w:tcBorders>
              <w:top w:val="single" w:sz="4" w:space="0" w:color="auto"/>
            </w:tcBorders>
            <w:vAlign w:val="center"/>
          </w:tcPr>
          <w:p w14:paraId="2299F22A"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201.9</w:t>
            </w:r>
            <w:r w:rsidRPr="007F4A8D">
              <w:rPr>
                <w:rFonts w:ascii="Arial" w:eastAsia="Times New Roman" w:hAnsi="Arial" w:cs="Arial"/>
                <w:sz w:val="20"/>
                <w:szCs w:val="20"/>
                <w:vertAlign w:val="superscript"/>
              </w:rPr>
              <w:t>a</w:t>
            </w:r>
          </w:p>
        </w:tc>
        <w:tc>
          <w:tcPr>
            <w:tcW w:w="1984" w:type="dxa"/>
            <w:tcBorders>
              <w:top w:val="single" w:sz="4" w:space="0" w:color="auto"/>
            </w:tcBorders>
            <w:vAlign w:val="center"/>
          </w:tcPr>
          <w:p w14:paraId="06EBEB23"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3.69</w:t>
            </w:r>
            <w:r w:rsidRPr="007F4A8D">
              <w:rPr>
                <w:rFonts w:ascii="Arial" w:eastAsia="Times New Roman" w:hAnsi="Arial" w:cs="Arial"/>
                <w:sz w:val="20"/>
                <w:szCs w:val="20"/>
                <w:vertAlign w:val="superscript"/>
              </w:rPr>
              <w:t>a</w:t>
            </w:r>
          </w:p>
        </w:tc>
        <w:tc>
          <w:tcPr>
            <w:tcW w:w="2126" w:type="dxa"/>
            <w:tcBorders>
              <w:top w:val="single" w:sz="4" w:space="0" w:color="auto"/>
            </w:tcBorders>
            <w:vAlign w:val="center"/>
          </w:tcPr>
          <w:p w14:paraId="23A841D5"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3.90</w:t>
            </w:r>
            <w:r w:rsidRPr="007F4A8D">
              <w:rPr>
                <w:rFonts w:ascii="Arial" w:eastAsia="Times New Roman" w:hAnsi="Arial" w:cs="Arial"/>
                <w:sz w:val="20"/>
                <w:szCs w:val="20"/>
                <w:vertAlign w:val="superscript"/>
              </w:rPr>
              <w:t>a</w:t>
            </w:r>
          </w:p>
        </w:tc>
        <w:tc>
          <w:tcPr>
            <w:tcW w:w="1276" w:type="dxa"/>
            <w:tcBorders>
              <w:top w:val="single" w:sz="4" w:space="0" w:color="auto"/>
            </w:tcBorders>
            <w:vAlign w:val="center"/>
          </w:tcPr>
          <w:p w14:paraId="08F250FD"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10.8</w:t>
            </w:r>
            <w:r w:rsidRPr="007F4A8D">
              <w:rPr>
                <w:rFonts w:ascii="Arial" w:eastAsia="Times New Roman" w:hAnsi="Arial" w:cs="Arial"/>
                <w:sz w:val="20"/>
                <w:szCs w:val="20"/>
                <w:vertAlign w:val="superscript"/>
              </w:rPr>
              <w:t>a</w:t>
            </w:r>
          </w:p>
        </w:tc>
        <w:tc>
          <w:tcPr>
            <w:tcW w:w="1276" w:type="dxa"/>
            <w:tcBorders>
              <w:top w:val="single" w:sz="4" w:space="0" w:color="auto"/>
            </w:tcBorders>
            <w:vAlign w:val="center"/>
          </w:tcPr>
          <w:p w14:paraId="5319ADC2"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6.6</w:t>
            </w:r>
            <w:r w:rsidRPr="007F4A8D">
              <w:rPr>
                <w:rFonts w:ascii="Arial" w:eastAsia="Times New Roman" w:hAnsi="Arial" w:cs="Arial"/>
                <w:sz w:val="20"/>
                <w:szCs w:val="20"/>
                <w:vertAlign w:val="superscript"/>
              </w:rPr>
              <w:t>a</w:t>
            </w:r>
          </w:p>
        </w:tc>
      </w:tr>
      <w:tr w:rsidR="009777D6" w:rsidRPr="009777D6" w14:paraId="2058AC32" w14:textId="77777777" w:rsidTr="00D04CE9">
        <w:tc>
          <w:tcPr>
            <w:tcW w:w="1560" w:type="dxa"/>
          </w:tcPr>
          <w:p w14:paraId="7D3CD80E"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sz w:val="20"/>
                <w:szCs w:val="20"/>
              </w:rPr>
              <w:t>T2</w:t>
            </w:r>
          </w:p>
        </w:tc>
        <w:tc>
          <w:tcPr>
            <w:tcW w:w="1131" w:type="dxa"/>
            <w:vAlign w:val="center"/>
          </w:tcPr>
          <w:p w14:paraId="2239878D"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202.3</w:t>
            </w:r>
            <w:r w:rsidRPr="007F4A8D">
              <w:rPr>
                <w:rFonts w:ascii="Arial" w:eastAsia="Times New Roman" w:hAnsi="Arial" w:cs="Arial"/>
                <w:sz w:val="20"/>
                <w:szCs w:val="20"/>
                <w:vertAlign w:val="superscript"/>
              </w:rPr>
              <w:t>a</w:t>
            </w:r>
          </w:p>
        </w:tc>
        <w:tc>
          <w:tcPr>
            <w:tcW w:w="1984" w:type="dxa"/>
            <w:vAlign w:val="center"/>
          </w:tcPr>
          <w:p w14:paraId="1411E672"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3.70</w:t>
            </w:r>
            <w:r w:rsidRPr="007F4A8D">
              <w:rPr>
                <w:rFonts w:ascii="Arial" w:eastAsia="Times New Roman" w:hAnsi="Arial" w:cs="Arial"/>
                <w:sz w:val="20"/>
                <w:szCs w:val="20"/>
                <w:vertAlign w:val="superscript"/>
              </w:rPr>
              <w:t>a</w:t>
            </w:r>
          </w:p>
        </w:tc>
        <w:tc>
          <w:tcPr>
            <w:tcW w:w="2126" w:type="dxa"/>
            <w:vAlign w:val="center"/>
          </w:tcPr>
          <w:p w14:paraId="0DC25C10"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3.92</w:t>
            </w:r>
            <w:r w:rsidRPr="007F4A8D">
              <w:rPr>
                <w:rFonts w:ascii="Arial" w:eastAsia="Times New Roman" w:hAnsi="Arial" w:cs="Arial"/>
                <w:sz w:val="20"/>
                <w:szCs w:val="20"/>
                <w:vertAlign w:val="superscript"/>
              </w:rPr>
              <w:t>a</w:t>
            </w:r>
          </w:p>
        </w:tc>
        <w:tc>
          <w:tcPr>
            <w:tcW w:w="1276" w:type="dxa"/>
            <w:vAlign w:val="center"/>
          </w:tcPr>
          <w:p w14:paraId="74529193"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10.9</w:t>
            </w:r>
            <w:r w:rsidRPr="007F4A8D">
              <w:rPr>
                <w:rFonts w:ascii="Arial" w:eastAsia="Times New Roman" w:hAnsi="Arial" w:cs="Arial"/>
                <w:sz w:val="20"/>
                <w:szCs w:val="20"/>
                <w:vertAlign w:val="superscript"/>
              </w:rPr>
              <w:t>a</w:t>
            </w:r>
          </w:p>
        </w:tc>
        <w:tc>
          <w:tcPr>
            <w:tcW w:w="1276" w:type="dxa"/>
            <w:vAlign w:val="center"/>
          </w:tcPr>
          <w:p w14:paraId="1EA7A459"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6.7</w:t>
            </w:r>
            <w:r w:rsidRPr="007F4A8D">
              <w:rPr>
                <w:rFonts w:ascii="Arial" w:eastAsia="Times New Roman" w:hAnsi="Arial" w:cs="Arial"/>
                <w:sz w:val="20"/>
                <w:szCs w:val="20"/>
                <w:vertAlign w:val="superscript"/>
              </w:rPr>
              <w:t>a</w:t>
            </w:r>
          </w:p>
        </w:tc>
      </w:tr>
      <w:tr w:rsidR="009777D6" w:rsidRPr="009777D6" w14:paraId="22701B84" w14:textId="77777777" w:rsidTr="00D04CE9">
        <w:tc>
          <w:tcPr>
            <w:tcW w:w="1560" w:type="dxa"/>
          </w:tcPr>
          <w:p w14:paraId="04D2C70B"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sz w:val="20"/>
                <w:szCs w:val="20"/>
              </w:rPr>
              <w:t>T3</w:t>
            </w:r>
          </w:p>
        </w:tc>
        <w:tc>
          <w:tcPr>
            <w:tcW w:w="1131" w:type="dxa"/>
            <w:vAlign w:val="center"/>
          </w:tcPr>
          <w:p w14:paraId="252AB269"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197.2</w:t>
            </w:r>
            <w:r w:rsidRPr="007F4A8D">
              <w:rPr>
                <w:rFonts w:ascii="Arial" w:eastAsia="Times New Roman" w:hAnsi="Arial" w:cs="Arial"/>
                <w:sz w:val="20"/>
                <w:szCs w:val="20"/>
                <w:vertAlign w:val="superscript"/>
              </w:rPr>
              <w:t>c</w:t>
            </w:r>
          </w:p>
        </w:tc>
        <w:tc>
          <w:tcPr>
            <w:tcW w:w="1984" w:type="dxa"/>
            <w:vAlign w:val="center"/>
          </w:tcPr>
          <w:p w14:paraId="720B2F92"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3.62</w:t>
            </w:r>
            <w:r w:rsidRPr="007F4A8D">
              <w:rPr>
                <w:rFonts w:ascii="Arial" w:eastAsia="Times New Roman" w:hAnsi="Arial" w:cs="Arial"/>
                <w:sz w:val="20"/>
                <w:szCs w:val="20"/>
                <w:vertAlign w:val="superscript"/>
              </w:rPr>
              <w:t>a</w:t>
            </w:r>
          </w:p>
        </w:tc>
        <w:tc>
          <w:tcPr>
            <w:tcW w:w="2126" w:type="dxa"/>
            <w:vAlign w:val="center"/>
          </w:tcPr>
          <w:p w14:paraId="322CF48B"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3.84</w:t>
            </w:r>
            <w:r w:rsidRPr="007F4A8D">
              <w:rPr>
                <w:rFonts w:ascii="Arial" w:eastAsia="Times New Roman" w:hAnsi="Arial" w:cs="Arial"/>
                <w:sz w:val="20"/>
                <w:szCs w:val="20"/>
                <w:vertAlign w:val="superscript"/>
              </w:rPr>
              <w:t>a</w:t>
            </w:r>
          </w:p>
        </w:tc>
        <w:tc>
          <w:tcPr>
            <w:tcW w:w="1276" w:type="dxa"/>
            <w:vAlign w:val="center"/>
          </w:tcPr>
          <w:p w14:paraId="01AE3FC2"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10.5</w:t>
            </w:r>
            <w:r w:rsidRPr="007F4A8D">
              <w:rPr>
                <w:rFonts w:ascii="Arial" w:eastAsia="Times New Roman" w:hAnsi="Arial" w:cs="Arial"/>
                <w:sz w:val="20"/>
                <w:szCs w:val="20"/>
                <w:vertAlign w:val="superscript"/>
              </w:rPr>
              <w:t>a</w:t>
            </w:r>
          </w:p>
        </w:tc>
        <w:tc>
          <w:tcPr>
            <w:tcW w:w="1276" w:type="dxa"/>
            <w:vAlign w:val="center"/>
          </w:tcPr>
          <w:p w14:paraId="14D09EFD"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6.4</w:t>
            </w:r>
            <w:r w:rsidRPr="007F4A8D">
              <w:rPr>
                <w:rFonts w:ascii="Arial" w:eastAsia="Times New Roman" w:hAnsi="Arial" w:cs="Arial"/>
                <w:sz w:val="20"/>
                <w:szCs w:val="20"/>
                <w:vertAlign w:val="superscript"/>
              </w:rPr>
              <w:t>a</w:t>
            </w:r>
          </w:p>
        </w:tc>
      </w:tr>
      <w:tr w:rsidR="009777D6" w:rsidRPr="009777D6" w14:paraId="4E48D221" w14:textId="77777777" w:rsidTr="00D04CE9">
        <w:tc>
          <w:tcPr>
            <w:tcW w:w="1560" w:type="dxa"/>
          </w:tcPr>
          <w:p w14:paraId="41DC6BFF"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sz w:val="20"/>
                <w:szCs w:val="20"/>
              </w:rPr>
              <w:t>T4</w:t>
            </w:r>
          </w:p>
        </w:tc>
        <w:tc>
          <w:tcPr>
            <w:tcW w:w="1131" w:type="dxa"/>
            <w:vAlign w:val="center"/>
          </w:tcPr>
          <w:p w14:paraId="4027F5B2"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200.3</w:t>
            </w:r>
            <w:r w:rsidRPr="007F4A8D">
              <w:rPr>
                <w:rFonts w:ascii="Arial" w:eastAsia="Times New Roman" w:hAnsi="Arial" w:cs="Arial"/>
                <w:sz w:val="20"/>
                <w:szCs w:val="20"/>
                <w:vertAlign w:val="superscript"/>
              </w:rPr>
              <w:t>b</w:t>
            </w:r>
          </w:p>
        </w:tc>
        <w:tc>
          <w:tcPr>
            <w:tcW w:w="1984" w:type="dxa"/>
            <w:vAlign w:val="center"/>
          </w:tcPr>
          <w:p w14:paraId="58098242"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3.68</w:t>
            </w:r>
            <w:r w:rsidRPr="007F4A8D">
              <w:rPr>
                <w:rFonts w:ascii="Arial" w:eastAsia="Times New Roman" w:hAnsi="Arial" w:cs="Arial"/>
                <w:sz w:val="20"/>
                <w:szCs w:val="20"/>
                <w:vertAlign w:val="superscript"/>
              </w:rPr>
              <w:t>a</w:t>
            </w:r>
          </w:p>
        </w:tc>
        <w:tc>
          <w:tcPr>
            <w:tcW w:w="2126" w:type="dxa"/>
            <w:vAlign w:val="center"/>
          </w:tcPr>
          <w:p w14:paraId="7FD6FA96"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3.89</w:t>
            </w:r>
            <w:r w:rsidRPr="007F4A8D">
              <w:rPr>
                <w:rFonts w:ascii="Arial" w:eastAsia="Times New Roman" w:hAnsi="Arial" w:cs="Arial"/>
                <w:sz w:val="20"/>
                <w:szCs w:val="20"/>
                <w:vertAlign w:val="superscript"/>
              </w:rPr>
              <w:t>a</w:t>
            </w:r>
          </w:p>
        </w:tc>
        <w:tc>
          <w:tcPr>
            <w:tcW w:w="1276" w:type="dxa"/>
            <w:vAlign w:val="center"/>
          </w:tcPr>
          <w:p w14:paraId="755839CF"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10.6</w:t>
            </w:r>
            <w:r w:rsidRPr="007F4A8D">
              <w:rPr>
                <w:rFonts w:ascii="Arial" w:eastAsia="Times New Roman" w:hAnsi="Arial" w:cs="Arial"/>
                <w:sz w:val="20"/>
                <w:szCs w:val="20"/>
                <w:vertAlign w:val="superscript"/>
              </w:rPr>
              <w:t>a</w:t>
            </w:r>
          </w:p>
        </w:tc>
        <w:tc>
          <w:tcPr>
            <w:tcW w:w="1276" w:type="dxa"/>
            <w:vAlign w:val="center"/>
          </w:tcPr>
          <w:p w14:paraId="54AEBB00"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6.5</w:t>
            </w:r>
            <w:r w:rsidRPr="007F4A8D">
              <w:rPr>
                <w:rFonts w:ascii="Arial" w:eastAsia="Times New Roman" w:hAnsi="Arial" w:cs="Arial"/>
                <w:sz w:val="20"/>
                <w:szCs w:val="20"/>
                <w:vertAlign w:val="superscript"/>
              </w:rPr>
              <w:t>a</w:t>
            </w:r>
          </w:p>
        </w:tc>
      </w:tr>
      <w:tr w:rsidR="009777D6" w:rsidRPr="009777D6" w14:paraId="60412C8C" w14:textId="77777777" w:rsidTr="00D04CE9">
        <w:tc>
          <w:tcPr>
            <w:tcW w:w="1560" w:type="dxa"/>
          </w:tcPr>
          <w:p w14:paraId="5AB221BD" w14:textId="77777777" w:rsidR="00112DFB" w:rsidRPr="00D317F2" w:rsidRDefault="00112DFB" w:rsidP="00CA29E1">
            <w:pPr>
              <w:jc w:val="both"/>
              <w:rPr>
                <w:rFonts w:ascii="Arial" w:eastAsia="Times New Roman" w:hAnsi="Arial" w:cs="Arial"/>
                <w:sz w:val="20"/>
                <w:szCs w:val="20"/>
              </w:rPr>
            </w:pPr>
            <w:r w:rsidRPr="00D317F2">
              <w:rPr>
                <w:rFonts w:ascii="Arial" w:eastAsia="Times New Roman" w:hAnsi="Arial" w:cs="Arial"/>
                <w:i/>
                <w:iCs/>
                <w:sz w:val="20"/>
                <w:szCs w:val="20"/>
              </w:rPr>
              <w:t>P</w:t>
            </w:r>
            <w:r w:rsidRPr="00D317F2">
              <w:rPr>
                <w:rFonts w:ascii="Arial" w:eastAsia="Times New Roman" w:hAnsi="Arial" w:cs="Arial"/>
                <w:sz w:val="20"/>
                <w:szCs w:val="20"/>
              </w:rPr>
              <w:t>-value</w:t>
            </w:r>
          </w:p>
        </w:tc>
        <w:tc>
          <w:tcPr>
            <w:tcW w:w="1131" w:type="dxa"/>
            <w:vAlign w:val="center"/>
          </w:tcPr>
          <w:p w14:paraId="7EC5431F"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c>
          <w:tcPr>
            <w:tcW w:w="1984" w:type="dxa"/>
            <w:vAlign w:val="center"/>
          </w:tcPr>
          <w:p w14:paraId="70ACF8F1"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&gt;0.05</w:t>
            </w:r>
          </w:p>
        </w:tc>
        <w:tc>
          <w:tcPr>
            <w:tcW w:w="2126" w:type="dxa"/>
            <w:vAlign w:val="center"/>
          </w:tcPr>
          <w:p w14:paraId="36D718FB"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&gt;0.05</w:t>
            </w:r>
          </w:p>
        </w:tc>
        <w:tc>
          <w:tcPr>
            <w:tcW w:w="1276" w:type="dxa"/>
            <w:vAlign w:val="center"/>
          </w:tcPr>
          <w:p w14:paraId="74E63085"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&gt;0.05</w:t>
            </w:r>
          </w:p>
        </w:tc>
        <w:tc>
          <w:tcPr>
            <w:tcW w:w="1276" w:type="dxa"/>
            <w:vAlign w:val="center"/>
          </w:tcPr>
          <w:p w14:paraId="3DE04844"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&gt;0.05</w:t>
            </w:r>
          </w:p>
        </w:tc>
      </w:tr>
      <w:tr w:rsidR="009777D6" w:rsidRPr="009777D6" w14:paraId="2FF00A44" w14:textId="77777777" w:rsidTr="00D04CE9">
        <w:tc>
          <w:tcPr>
            <w:tcW w:w="1560" w:type="dxa"/>
          </w:tcPr>
          <w:p w14:paraId="3F56DA84" w14:textId="77777777" w:rsidR="00112DFB" w:rsidRPr="00D317F2" w:rsidRDefault="00112DFB" w:rsidP="00CA29E1">
            <w:pPr>
              <w:jc w:val="both"/>
              <w:rPr>
                <w:rFonts w:ascii="Arial" w:eastAsia="Times New Roman" w:hAnsi="Arial" w:cs="Arial"/>
                <w:i/>
                <w:iCs/>
                <w:sz w:val="20"/>
                <w:szCs w:val="20"/>
              </w:rPr>
            </w:pPr>
            <w:r w:rsidRPr="00D317F2">
              <w:rPr>
                <w:rFonts w:ascii="Arial" w:eastAsia="Times New Roman" w:hAnsi="Arial" w:cs="Arial"/>
                <w:sz w:val="20"/>
                <w:szCs w:val="20"/>
              </w:rPr>
              <w:t>LSD</w:t>
            </w:r>
            <w:r w:rsidRPr="00D317F2">
              <w:rPr>
                <w:rFonts w:ascii="Cambria Math" w:eastAsia="Times New Roman" w:hAnsi="Cambria Math" w:cs="Cambria Math"/>
                <w:sz w:val="20"/>
                <w:szCs w:val="20"/>
              </w:rPr>
              <w:t>₀</w:t>
            </w:r>
            <w:r w:rsidRPr="00D317F2">
              <w:rPr>
                <w:rFonts w:ascii="Arial" w:eastAsia="Times New Roman" w:hAnsi="Arial" w:cs="Arial"/>
                <w:sz w:val="20"/>
                <w:szCs w:val="20"/>
              </w:rPr>
              <w:t>.</w:t>
            </w:r>
            <w:r w:rsidRPr="00D317F2">
              <w:rPr>
                <w:rFonts w:ascii="Cambria Math" w:eastAsia="Times New Roman" w:hAnsi="Cambria Math" w:cs="Cambria Math"/>
                <w:sz w:val="20"/>
                <w:szCs w:val="20"/>
              </w:rPr>
              <w:t>₀₅</w:t>
            </w:r>
          </w:p>
        </w:tc>
        <w:tc>
          <w:tcPr>
            <w:tcW w:w="1131" w:type="dxa"/>
            <w:vAlign w:val="center"/>
          </w:tcPr>
          <w:p w14:paraId="0209C3C3"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0.68</w:t>
            </w:r>
          </w:p>
        </w:tc>
        <w:tc>
          <w:tcPr>
            <w:tcW w:w="1984" w:type="dxa"/>
            <w:vAlign w:val="center"/>
          </w:tcPr>
          <w:p w14:paraId="4BA7C018"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0.10</w:t>
            </w:r>
          </w:p>
        </w:tc>
        <w:tc>
          <w:tcPr>
            <w:tcW w:w="2126" w:type="dxa"/>
            <w:vAlign w:val="center"/>
          </w:tcPr>
          <w:p w14:paraId="7D8131A8"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0.09</w:t>
            </w:r>
          </w:p>
        </w:tc>
        <w:tc>
          <w:tcPr>
            <w:tcW w:w="1276" w:type="dxa"/>
            <w:vAlign w:val="center"/>
          </w:tcPr>
          <w:p w14:paraId="605B022D" w14:textId="77777777" w:rsidR="00112DFB" w:rsidRPr="00D317F2" w:rsidRDefault="00112DFB" w:rsidP="00CA29E1">
            <w:pPr>
              <w:jc w:val="center"/>
              <w:rPr>
                <w:rFonts w:ascii="Arial" w:eastAsia="Times New Roman" w:hAnsi="Arial" w:cs="Arial"/>
                <w:sz w:val="20"/>
                <w:szCs w:val="20"/>
              </w:rPr>
            </w:pPr>
            <w:r w:rsidRPr="00D317F2">
              <w:rPr>
                <w:rFonts w:ascii="Arial" w:eastAsia="Times New Roman" w:hAnsi="Arial" w:cs="Arial"/>
                <w:sz w:val="20"/>
                <w:szCs w:val="20"/>
              </w:rPr>
              <w:t>0.44</w:t>
            </w:r>
          </w:p>
        </w:tc>
        <w:tc>
          <w:tcPr>
            <w:tcW w:w="1276" w:type="dxa"/>
            <w:vAlign w:val="center"/>
          </w:tcPr>
          <w:p w14:paraId="1E6F53D6" w14:textId="77777777" w:rsidR="00112DFB" w:rsidRPr="00D317F2" w:rsidRDefault="00112DFB" w:rsidP="00CA29E1">
            <w:pPr>
              <w:widowControl w:val="0"/>
              <w:autoSpaceDE w:val="0"/>
              <w:autoSpaceDN w:val="0"/>
              <w:adjustRightInd w:val="0"/>
              <w:jc w:val="center"/>
              <w:rPr>
                <w:rFonts w:ascii="Arial" w:eastAsia="Times New Roman" w:hAnsi="Arial" w:cs="Arial"/>
                <w:sz w:val="20"/>
                <w:szCs w:val="20"/>
              </w:rPr>
            </w:pPr>
            <w:r w:rsidRPr="00D317F2">
              <w:rPr>
                <w:rFonts w:ascii="Arial" w:eastAsia="Times New Roman" w:hAnsi="Arial" w:cs="Arial"/>
                <w:sz w:val="20"/>
                <w:szCs w:val="20"/>
              </w:rPr>
              <w:t>0.62</w:t>
            </w:r>
          </w:p>
        </w:tc>
      </w:tr>
    </w:tbl>
    <w:p w14:paraId="26C69E28" w14:textId="77777777" w:rsidR="00112DFB" w:rsidRPr="00CA29E1" w:rsidRDefault="007C2C12" w:rsidP="00D151BD">
      <w:pPr>
        <w:spacing w:after="0" w:line="360" w:lineRule="auto"/>
        <w:jc w:val="both"/>
        <w:rPr>
          <w:rFonts w:ascii="Arial" w:eastAsia="Times New Roman" w:hAnsi="Arial" w:cs="Arial"/>
          <w:i/>
          <w:sz w:val="18"/>
          <w:szCs w:val="18"/>
        </w:rPr>
      </w:pPr>
      <w:r w:rsidRPr="00CA29E1">
        <w:rPr>
          <w:rFonts w:ascii="Arial" w:eastAsia="Times New Roman" w:hAnsi="Arial" w:cs="Arial"/>
          <w:i/>
          <w:sz w:val="18"/>
          <w:szCs w:val="18"/>
        </w:rPr>
        <w:t>*Means followed by different letter are significantly different within columns by Duncan’s multiple range Test, p ≤ 0.05</w:t>
      </w:r>
    </w:p>
    <w:p w14:paraId="2CAE3B00" w14:textId="77777777" w:rsidR="00923339" w:rsidRPr="00D317F2" w:rsidRDefault="00023C1F" w:rsidP="00D151BD">
      <w:pPr>
        <w:spacing w:after="0" w:line="360" w:lineRule="auto"/>
        <w:jc w:val="both"/>
        <w:rPr>
          <w:rFonts w:ascii="Arial" w:eastAsia="Times New Roman" w:hAnsi="Arial" w:cs="Arial"/>
          <w:b/>
          <w:szCs w:val="20"/>
        </w:rPr>
      </w:pPr>
      <w:r w:rsidRPr="00D317F2">
        <w:rPr>
          <w:rFonts w:ascii="Arial" w:eastAsia="Times New Roman" w:hAnsi="Arial" w:cs="Arial"/>
          <w:b/>
          <w:szCs w:val="20"/>
        </w:rPr>
        <w:t>3.2. Effe</w:t>
      </w:r>
      <w:r w:rsidR="00D317F2">
        <w:rPr>
          <w:rFonts w:ascii="Arial" w:eastAsia="Times New Roman" w:hAnsi="Arial" w:cs="Arial"/>
          <w:b/>
          <w:szCs w:val="20"/>
        </w:rPr>
        <w:t xml:space="preserve">ct of </w:t>
      </w:r>
      <w:proofErr w:type="spellStart"/>
      <w:r w:rsidR="00D317F2">
        <w:rPr>
          <w:rFonts w:ascii="Arial" w:eastAsia="Times New Roman" w:hAnsi="Arial" w:cs="Arial"/>
          <w:b/>
          <w:szCs w:val="20"/>
        </w:rPr>
        <w:t>of</w:t>
      </w:r>
      <w:proofErr w:type="spellEnd"/>
      <w:r w:rsidR="00D317F2">
        <w:rPr>
          <w:rFonts w:ascii="Arial" w:eastAsia="Times New Roman" w:hAnsi="Arial" w:cs="Arial"/>
          <w:b/>
          <w:szCs w:val="20"/>
        </w:rPr>
        <w:t xml:space="preserve"> trellis system on the y</w:t>
      </w:r>
      <w:r w:rsidRPr="00D317F2">
        <w:rPr>
          <w:rFonts w:ascii="Arial" w:eastAsia="Times New Roman" w:hAnsi="Arial" w:cs="Arial"/>
          <w:b/>
          <w:szCs w:val="20"/>
        </w:rPr>
        <w:t xml:space="preserve">ield of Hoai Sơn </w:t>
      </w:r>
      <w:r w:rsidR="00D317F2">
        <w:rPr>
          <w:rFonts w:ascii="Arial" w:eastAsia="Times New Roman" w:hAnsi="Arial" w:cs="Arial"/>
          <w:b/>
          <w:szCs w:val="20"/>
        </w:rPr>
        <w:t>p</w:t>
      </w:r>
      <w:r w:rsidRPr="00D317F2">
        <w:rPr>
          <w:rFonts w:ascii="Arial" w:eastAsia="Times New Roman" w:hAnsi="Arial" w:cs="Arial"/>
          <w:b/>
          <w:szCs w:val="20"/>
        </w:rPr>
        <w:t>lants</w:t>
      </w:r>
    </w:p>
    <w:p w14:paraId="331A3A01" w14:textId="77777777" w:rsidR="001F1164" w:rsidRPr="00D317F2" w:rsidRDefault="001F1164" w:rsidP="001F1164">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The data presented in Table 2 indicated that there were significant differences among treatments in tuber weight. T2 had the highest tuber weight (0.63 kg tuber</w:t>
      </w:r>
      <w:r w:rsidRPr="00D317F2">
        <w:rPr>
          <w:rFonts w:ascii="Cambria Math" w:eastAsia="Times New Roman" w:hAnsi="Cambria Math" w:cs="Cambria Math"/>
          <w:sz w:val="20"/>
          <w:szCs w:val="20"/>
        </w:rPr>
        <w:t>⁻</w:t>
      </w:r>
      <w:r w:rsidRPr="00D317F2">
        <w:rPr>
          <w:rFonts w:ascii="Arial" w:eastAsia="Times New Roman" w:hAnsi="Arial" w:cs="Arial"/>
          <w:sz w:val="20"/>
          <w:szCs w:val="20"/>
        </w:rPr>
        <w:t>¹), whereas T3 and T4 produced lower tuber weights of 0.56 and 0.59 kg tuber</w:t>
      </w:r>
      <w:r w:rsidRPr="00D317F2">
        <w:rPr>
          <w:rFonts w:ascii="Cambria Math" w:eastAsia="Times New Roman" w:hAnsi="Cambria Math" w:cs="Cambria Math"/>
          <w:sz w:val="20"/>
          <w:szCs w:val="20"/>
        </w:rPr>
        <w:t>⁻</w:t>
      </w:r>
      <w:r w:rsidRPr="00D317F2">
        <w:rPr>
          <w:rFonts w:ascii="Arial" w:eastAsia="Times New Roman" w:hAnsi="Arial" w:cs="Arial"/>
          <w:sz w:val="20"/>
          <w:szCs w:val="20"/>
        </w:rPr>
        <w:t xml:space="preserve">¹, respectively, both significantly lower than the control treatment (T1) at the 95% confidence level. It seems that different trellis types have different effects on </w:t>
      </w:r>
      <w:proofErr w:type="spellStart"/>
      <w:r w:rsidRPr="00D317F2">
        <w:rPr>
          <w:rFonts w:ascii="Arial" w:eastAsia="Times New Roman" w:hAnsi="Arial" w:cs="Arial"/>
          <w:sz w:val="20"/>
          <w:szCs w:val="20"/>
        </w:rPr>
        <w:t>on</w:t>
      </w:r>
      <w:proofErr w:type="spellEnd"/>
      <w:r w:rsidRPr="00D317F2">
        <w:rPr>
          <w:rFonts w:ascii="Arial" w:eastAsia="Times New Roman" w:hAnsi="Arial" w:cs="Arial"/>
          <w:sz w:val="20"/>
          <w:szCs w:val="20"/>
        </w:rPr>
        <w:t xml:space="preserve"> tuber biomass accumulation, with T2 producing the highest tuber weight. This can be explained the</w:t>
      </w:r>
      <w:r w:rsidRPr="00D317F2">
        <w:rPr>
          <w:rFonts w:ascii="Arial" w:eastAsia="Times New Roman" w:hAnsi="Arial" w:cs="Arial"/>
          <w:i/>
          <w:iCs/>
          <w:sz w:val="20"/>
          <w:szCs w:val="20"/>
        </w:rPr>
        <w:t xml:space="preserve"> 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sz w:val="20"/>
          <w:szCs w:val="20"/>
        </w:rPr>
        <w:t xml:space="preserve"> plant has a climbing stem so the cl</w:t>
      </w:r>
      <w:r w:rsidR="008D2341" w:rsidRPr="00D317F2">
        <w:rPr>
          <w:rFonts w:ascii="Arial" w:eastAsia="Times New Roman" w:hAnsi="Arial" w:cs="Arial"/>
          <w:sz w:val="20"/>
          <w:szCs w:val="20"/>
        </w:rPr>
        <w:t>ustered trellis (</w:t>
      </w:r>
      <w:r w:rsidRPr="00D317F2">
        <w:rPr>
          <w:rFonts w:ascii="Arial" w:eastAsia="Times New Roman" w:hAnsi="Arial" w:cs="Arial"/>
          <w:sz w:val="20"/>
          <w:szCs w:val="20"/>
        </w:rPr>
        <w:t>T2) and A-shaped trellis (T1) provided more suitable support conditions for stem and leaf development, thereby enhancing photosynthesis and nutrient accumulation in the tubers. Conversely, the trellis structures used in T3 and T4</w:t>
      </w:r>
      <w:r w:rsidR="008D2341" w:rsidRPr="00D317F2">
        <w:rPr>
          <w:rFonts w:ascii="Arial" w:eastAsia="Times New Roman" w:hAnsi="Arial" w:cs="Arial"/>
          <w:sz w:val="20"/>
          <w:szCs w:val="20"/>
        </w:rPr>
        <w:t xml:space="preserve"> </w:t>
      </w:r>
      <w:r w:rsidRPr="00D317F2">
        <w:rPr>
          <w:rFonts w:ascii="Arial" w:eastAsia="Times New Roman" w:hAnsi="Arial" w:cs="Arial"/>
          <w:sz w:val="20"/>
          <w:szCs w:val="20"/>
        </w:rPr>
        <w:t>was not suitable for the climbing nature of the plant, which may have adversely affected plant growth and photosynthetic efficiency, thus reducing tuber weight.</w:t>
      </w:r>
    </w:p>
    <w:p w14:paraId="10300B63" w14:textId="77777777" w:rsidR="008032E1" w:rsidRPr="00D317F2" w:rsidRDefault="008032E1" w:rsidP="00D151BD">
      <w:pPr>
        <w:spacing w:after="0" w:line="360" w:lineRule="auto"/>
        <w:jc w:val="center"/>
        <w:rPr>
          <w:rFonts w:ascii="Arial" w:eastAsia="Times New Roman" w:hAnsi="Arial" w:cs="Arial"/>
          <w:b/>
          <w:sz w:val="20"/>
          <w:szCs w:val="20"/>
        </w:rPr>
      </w:pPr>
      <w:r w:rsidRPr="00D317F2">
        <w:rPr>
          <w:rFonts w:ascii="Arial" w:eastAsia="Times New Roman" w:hAnsi="Arial" w:cs="Arial"/>
          <w:b/>
          <w:sz w:val="20"/>
          <w:szCs w:val="20"/>
        </w:rPr>
        <w:t>Table 2. Effects of trellis systems on yield and yield components of Hoai Son medicinal plants in Thai Nguyen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9777D6" w:rsidRPr="009777D6" w14:paraId="623C0B07" w14:textId="77777777" w:rsidTr="00D04CE9">
        <w:tc>
          <w:tcPr>
            <w:tcW w:w="1870" w:type="dxa"/>
            <w:tcBorders>
              <w:top w:val="single" w:sz="4" w:space="0" w:color="auto"/>
              <w:bottom w:val="single" w:sz="4" w:space="0" w:color="auto"/>
            </w:tcBorders>
          </w:tcPr>
          <w:p w14:paraId="1E319255" w14:textId="77777777" w:rsidR="008032E1" w:rsidRPr="00D317F2" w:rsidRDefault="00D04CE9" w:rsidP="00CA29E1">
            <w:pPr>
              <w:jc w:val="center"/>
              <w:rPr>
                <w:rFonts w:ascii="Arial" w:eastAsia="Times New Roman" w:hAnsi="Arial" w:cs="Arial"/>
                <w:b/>
                <w:sz w:val="20"/>
                <w:szCs w:val="20"/>
              </w:rPr>
            </w:pPr>
            <w:r w:rsidRPr="00D317F2">
              <w:rPr>
                <w:rFonts w:ascii="Arial" w:eastAsia="Times New Roman" w:hAnsi="Arial" w:cs="Arial"/>
                <w:b/>
                <w:sz w:val="20"/>
                <w:szCs w:val="20"/>
              </w:rPr>
              <w:t>Treatment</w:t>
            </w:r>
          </w:p>
        </w:tc>
        <w:tc>
          <w:tcPr>
            <w:tcW w:w="1870" w:type="dxa"/>
            <w:tcBorders>
              <w:top w:val="single" w:sz="4" w:space="0" w:color="auto"/>
              <w:bottom w:val="single" w:sz="4" w:space="0" w:color="auto"/>
            </w:tcBorders>
          </w:tcPr>
          <w:p w14:paraId="6EC797A6" w14:textId="77777777" w:rsidR="008032E1" w:rsidRPr="00D317F2" w:rsidRDefault="008032E1" w:rsidP="00CA29E1">
            <w:pPr>
              <w:jc w:val="center"/>
              <w:rPr>
                <w:rFonts w:ascii="Arial" w:eastAsia="Times New Roman" w:hAnsi="Arial" w:cs="Arial"/>
                <w:b/>
                <w:sz w:val="20"/>
                <w:szCs w:val="20"/>
              </w:rPr>
            </w:pPr>
            <w:r w:rsidRPr="00D317F2">
              <w:rPr>
                <w:rFonts w:ascii="Arial" w:eastAsia="Times New Roman" w:hAnsi="Arial" w:cs="Arial"/>
                <w:b/>
                <w:sz w:val="20"/>
                <w:szCs w:val="20"/>
              </w:rPr>
              <w:t>Tuber weight (kg tuber</w:t>
            </w:r>
            <w:r w:rsidRPr="00D317F2">
              <w:rPr>
                <w:rFonts w:ascii="Cambria Math" w:eastAsia="Times New Roman" w:hAnsi="Cambria Math" w:cs="Cambria Math"/>
                <w:b/>
                <w:sz w:val="20"/>
                <w:szCs w:val="20"/>
              </w:rPr>
              <w:t>⁻</w:t>
            </w:r>
            <w:r w:rsidRPr="00D317F2">
              <w:rPr>
                <w:rFonts w:ascii="Arial" w:eastAsia="Times New Roman" w:hAnsi="Arial" w:cs="Arial"/>
                <w:b/>
                <w:sz w:val="20"/>
                <w:szCs w:val="20"/>
              </w:rPr>
              <w:t>¹)</w:t>
            </w:r>
          </w:p>
        </w:tc>
        <w:tc>
          <w:tcPr>
            <w:tcW w:w="1870" w:type="dxa"/>
            <w:tcBorders>
              <w:top w:val="single" w:sz="4" w:space="0" w:color="auto"/>
              <w:bottom w:val="single" w:sz="4" w:space="0" w:color="auto"/>
            </w:tcBorders>
          </w:tcPr>
          <w:p w14:paraId="7A11B429" w14:textId="77777777" w:rsidR="008032E1" w:rsidRPr="00D317F2" w:rsidRDefault="008032E1" w:rsidP="00CA29E1">
            <w:pPr>
              <w:jc w:val="center"/>
              <w:rPr>
                <w:rFonts w:ascii="Arial" w:eastAsia="Times New Roman" w:hAnsi="Arial" w:cs="Arial"/>
                <w:b/>
                <w:sz w:val="20"/>
                <w:szCs w:val="20"/>
              </w:rPr>
            </w:pPr>
            <w:r w:rsidRPr="00D317F2">
              <w:rPr>
                <w:rFonts w:ascii="Arial" w:eastAsia="Times New Roman" w:hAnsi="Arial" w:cs="Arial"/>
                <w:b/>
                <w:sz w:val="20"/>
                <w:szCs w:val="20"/>
              </w:rPr>
              <w:t>Tuber length (cm)</w:t>
            </w:r>
          </w:p>
        </w:tc>
        <w:tc>
          <w:tcPr>
            <w:tcW w:w="1870" w:type="dxa"/>
            <w:tcBorders>
              <w:top w:val="single" w:sz="4" w:space="0" w:color="auto"/>
              <w:bottom w:val="single" w:sz="4" w:space="0" w:color="auto"/>
            </w:tcBorders>
          </w:tcPr>
          <w:p w14:paraId="143988A6" w14:textId="77777777" w:rsidR="008032E1" w:rsidRPr="00D317F2" w:rsidRDefault="008032E1" w:rsidP="00CA29E1">
            <w:pPr>
              <w:jc w:val="center"/>
              <w:rPr>
                <w:rFonts w:ascii="Arial" w:eastAsia="Times New Roman" w:hAnsi="Arial" w:cs="Arial"/>
                <w:b/>
                <w:sz w:val="20"/>
                <w:szCs w:val="20"/>
              </w:rPr>
            </w:pPr>
            <w:r w:rsidRPr="00D317F2">
              <w:rPr>
                <w:rFonts w:ascii="Arial" w:eastAsia="Times New Roman" w:hAnsi="Arial" w:cs="Arial"/>
                <w:b/>
                <w:sz w:val="20"/>
                <w:szCs w:val="20"/>
              </w:rPr>
              <w:t>Tuber diameter (cm)</w:t>
            </w:r>
          </w:p>
        </w:tc>
        <w:tc>
          <w:tcPr>
            <w:tcW w:w="1870" w:type="dxa"/>
            <w:tcBorders>
              <w:top w:val="single" w:sz="4" w:space="0" w:color="auto"/>
              <w:bottom w:val="single" w:sz="4" w:space="0" w:color="auto"/>
            </w:tcBorders>
          </w:tcPr>
          <w:p w14:paraId="7E3C169A" w14:textId="77777777" w:rsidR="008032E1" w:rsidRPr="00D317F2" w:rsidRDefault="008032E1" w:rsidP="00CA29E1">
            <w:pPr>
              <w:jc w:val="center"/>
              <w:rPr>
                <w:rFonts w:ascii="Arial" w:eastAsia="Times New Roman" w:hAnsi="Arial" w:cs="Arial"/>
                <w:b/>
                <w:sz w:val="20"/>
                <w:szCs w:val="20"/>
              </w:rPr>
            </w:pPr>
            <w:r w:rsidRPr="00D317F2">
              <w:rPr>
                <w:rFonts w:ascii="Arial" w:eastAsia="Times New Roman" w:hAnsi="Arial" w:cs="Arial"/>
                <w:b/>
                <w:sz w:val="20"/>
                <w:szCs w:val="20"/>
              </w:rPr>
              <w:t>yield (t ha</w:t>
            </w:r>
            <w:r w:rsidRPr="00D317F2">
              <w:rPr>
                <w:rFonts w:ascii="Cambria Math" w:eastAsia="Times New Roman" w:hAnsi="Cambria Math" w:cs="Cambria Math"/>
                <w:b/>
                <w:sz w:val="20"/>
                <w:szCs w:val="20"/>
              </w:rPr>
              <w:t>⁻</w:t>
            </w:r>
            <w:r w:rsidRPr="00D317F2">
              <w:rPr>
                <w:rFonts w:ascii="Arial" w:eastAsia="Times New Roman" w:hAnsi="Arial" w:cs="Arial"/>
                <w:b/>
                <w:sz w:val="20"/>
                <w:szCs w:val="20"/>
              </w:rPr>
              <w:t>¹)</w:t>
            </w:r>
          </w:p>
        </w:tc>
      </w:tr>
      <w:tr w:rsidR="009777D6" w:rsidRPr="009777D6" w14:paraId="1B7A5F5C" w14:textId="77777777" w:rsidTr="00D04CE9">
        <w:tc>
          <w:tcPr>
            <w:tcW w:w="1870" w:type="dxa"/>
            <w:tcBorders>
              <w:top w:val="single" w:sz="4" w:space="0" w:color="auto"/>
            </w:tcBorders>
          </w:tcPr>
          <w:p w14:paraId="347FF9C3"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sz w:val="20"/>
                <w:szCs w:val="20"/>
              </w:rPr>
              <w:t>T1 (control)</w:t>
            </w:r>
          </w:p>
        </w:tc>
        <w:tc>
          <w:tcPr>
            <w:tcW w:w="1870" w:type="dxa"/>
            <w:tcBorders>
              <w:top w:val="single" w:sz="4" w:space="0" w:color="auto"/>
            </w:tcBorders>
            <w:vAlign w:val="center"/>
          </w:tcPr>
          <w:p w14:paraId="2C9D8F19"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0.62</w:t>
            </w:r>
            <w:r w:rsidRPr="007F4A8D">
              <w:rPr>
                <w:rFonts w:ascii="Arial" w:eastAsia="Times New Roman" w:hAnsi="Arial" w:cs="Arial"/>
                <w:sz w:val="20"/>
                <w:szCs w:val="20"/>
                <w:vertAlign w:val="superscript"/>
              </w:rPr>
              <w:t>a</w:t>
            </w:r>
          </w:p>
        </w:tc>
        <w:tc>
          <w:tcPr>
            <w:tcW w:w="1870" w:type="dxa"/>
            <w:tcBorders>
              <w:top w:val="single" w:sz="4" w:space="0" w:color="auto"/>
            </w:tcBorders>
            <w:vAlign w:val="center"/>
          </w:tcPr>
          <w:p w14:paraId="33878315"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68.77</w:t>
            </w:r>
            <w:r w:rsidRPr="007F4A8D">
              <w:rPr>
                <w:rFonts w:ascii="Arial" w:eastAsia="Times New Roman" w:hAnsi="Arial" w:cs="Arial"/>
                <w:sz w:val="20"/>
                <w:szCs w:val="20"/>
                <w:vertAlign w:val="superscript"/>
              </w:rPr>
              <w:t>a</w:t>
            </w:r>
          </w:p>
        </w:tc>
        <w:tc>
          <w:tcPr>
            <w:tcW w:w="1870" w:type="dxa"/>
            <w:tcBorders>
              <w:top w:val="single" w:sz="4" w:space="0" w:color="auto"/>
            </w:tcBorders>
            <w:vAlign w:val="center"/>
          </w:tcPr>
          <w:p w14:paraId="70BC7DAA"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4.06</w:t>
            </w:r>
            <w:r w:rsidRPr="007F4A8D">
              <w:rPr>
                <w:rFonts w:ascii="Arial" w:eastAsia="Times New Roman" w:hAnsi="Arial" w:cs="Arial"/>
                <w:sz w:val="20"/>
                <w:szCs w:val="20"/>
                <w:vertAlign w:val="superscript"/>
              </w:rPr>
              <w:t>b</w:t>
            </w:r>
          </w:p>
        </w:tc>
        <w:tc>
          <w:tcPr>
            <w:tcW w:w="1870" w:type="dxa"/>
            <w:tcBorders>
              <w:top w:val="single" w:sz="4" w:space="0" w:color="auto"/>
            </w:tcBorders>
            <w:vAlign w:val="center"/>
          </w:tcPr>
          <w:p w14:paraId="0A2DD613"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31.0</w:t>
            </w:r>
            <w:r w:rsidRPr="007F4A8D">
              <w:rPr>
                <w:rFonts w:ascii="Arial" w:eastAsia="Times New Roman" w:hAnsi="Arial" w:cs="Arial"/>
                <w:sz w:val="20"/>
                <w:szCs w:val="20"/>
                <w:vertAlign w:val="superscript"/>
              </w:rPr>
              <w:t>a</w:t>
            </w:r>
          </w:p>
        </w:tc>
      </w:tr>
      <w:tr w:rsidR="009777D6" w:rsidRPr="009777D6" w14:paraId="464A46F7" w14:textId="77777777" w:rsidTr="00D04CE9">
        <w:tc>
          <w:tcPr>
            <w:tcW w:w="1870" w:type="dxa"/>
          </w:tcPr>
          <w:p w14:paraId="40A918B3"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sz w:val="20"/>
                <w:szCs w:val="20"/>
              </w:rPr>
              <w:t>T2</w:t>
            </w:r>
          </w:p>
        </w:tc>
        <w:tc>
          <w:tcPr>
            <w:tcW w:w="1870" w:type="dxa"/>
            <w:vAlign w:val="center"/>
          </w:tcPr>
          <w:p w14:paraId="3225616C"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0.63</w:t>
            </w:r>
            <w:r w:rsidRPr="007F4A8D">
              <w:rPr>
                <w:rFonts w:ascii="Arial" w:eastAsia="Times New Roman" w:hAnsi="Arial" w:cs="Arial"/>
                <w:sz w:val="20"/>
                <w:szCs w:val="20"/>
                <w:vertAlign w:val="superscript"/>
              </w:rPr>
              <w:t>a</w:t>
            </w:r>
          </w:p>
        </w:tc>
        <w:tc>
          <w:tcPr>
            <w:tcW w:w="1870" w:type="dxa"/>
            <w:vAlign w:val="center"/>
          </w:tcPr>
          <w:p w14:paraId="5F173045"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69.16</w:t>
            </w:r>
            <w:r w:rsidRPr="007F4A8D">
              <w:rPr>
                <w:rFonts w:ascii="Arial" w:eastAsia="Times New Roman" w:hAnsi="Arial" w:cs="Arial"/>
                <w:sz w:val="20"/>
                <w:szCs w:val="20"/>
                <w:vertAlign w:val="superscript"/>
              </w:rPr>
              <w:t>a</w:t>
            </w:r>
          </w:p>
        </w:tc>
        <w:tc>
          <w:tcPr>
            <w:tcW w:w="1870" w:type="dxa"/>
            <w:vAlign w:val="center"/>
          </w:tcPr>
          <w:p w14:paraId="17A39E36"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4.09</w:t>
            </w:r>
            <w:r w:rsidRPr="007F4A8D">
              <w:rPr>
                <w:rFonts w:ascii="Arial" w:eastAsia="Times New Roman" w:hAnsi="Arial" w:cs="Arial"/>
                <w:sz w:val="20"/>
                <w:szCs w:val="20"/>
                <w:vertAlign w:val="superscript"/>
              </w:rPr>
              <w:t>a</w:t>
            </w:r>
          </w:p>
        </w:tc>
        <w:tc>
          <w:tcPr>
            <w:tcW w:w="1870" w:type="dxa"/>
            <w:vAlign w:val="center"/>
          </w:tcPr>
          <w:p w14:paraId="7AF93A9B"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31.6</w:t>
            </w:r>
            <w:r w:rsidRPr="007F4A8D">
              <w:rPr>
                <w:rFonts w:ascii="Arial" w:eastAsia="Times New Roman" w:hAnsi="Arial" w:cs="Arial"/>
                <w:sz w:val="20"/>
                <w:szCs w:val="20"/>
                <w:vertAlign w:val="superscript"/>
              </w:rPr>
              <w:t>a</w:t>
            </w:r>
          </w:p>
        </w:tc>
      </w:tr>
      <w:tr w:rsidR="009777D6" w:rsidRPr="009777D6" w14:paraId="3FBA6842" w14:textId="77777777" w:rsidTr="00D04CE9">
        <w:tc>
          <w:tcPr>
            <w:tcW w:w="1870" w:type="dxa"/>
          </w:tcPr>
          <w:p w14:paraId="2A9158E9"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sz w:val="20"/>
                <w:szCs w:val="20"/>
              </w:rPr>
              <w:t>T3</w:t>
            </w:r>
          </w:p>
        </w:tc>
        <w:tc>
          <w:tcPr>
            <w:tcW w:w="1870" w:type="dxa"/>
            <w:vAlign w:val="center"/>
          </w:tcPr>
          <w:p w14:paraId="250C9AB1"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0.56</w:t>
            </w:r>
            <w:r w:rsidRPr="007F4A8D">
              <w:rPr>
                <w:rFonts w:ascii="Arial" w:eastAsia="Times New Roman" w:hAnsi="Arial" w:cs="Arial"/>
                <w:sz w:val="20"/>
                <w:szCs w:val="20"/>
                <w:vertAlign w:val="superscript"/>
              </w:rPr>
              <w:t>b</w:t>
            </w:r>
          </w:p>
        </w:tc>
        <w:tc>
          <w:tcPr>
            <w:tcW w:w="1870" w:type="dxa"/>
            <w:vAlign w:val="center"/>
          </w:tcPr>
          <w:p w14:paraId="6F974D0B"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62.65</w:t>
            </w:r>
            <w:r w:rsidRPr="007F4A8D">
              <w:rPr>
                <w:rFonts w:ascii="Arial" w:eastAsia="Times New Roman" w:hAnsi="Arial" w:cs="Arial"/>
                <w:sz w:val="20"/>
                <w:szCs w:val="20"/>
                <w:vertAlign w:val="superscript"/>
              </w:rPr>
              <w:t>b</w:t>
            </w:r>
          </w:p>
        </w:tc>
        <w:tc>
          <w:tcPr>
            <w:tcW w:w="1870" w:type="dxa"/>
            <w:vAlign w:val="center"/>
          </w:tcPr>
          <w:p w14:paraId="1A73898C"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4.03</w:t>
            </w:r>
            <w:r w:rsidRPr="007F4A8D">
              <w:rPr>
                <w:rFonts w:ascii="Arial" w:eastAsia="Times New Roman" w:hAnsi="Arial" w:cs="Arial"/>
                <w:sz w:val="20"/>
                <w:szCs w:val="20"/>
                <w:vertAlign w:val="superscript"/>
              </w:rPr>
              <w:t>c</w:t>
            </w:r>
          </w:p>
        </w:tc>
        <w:tc>
          <w:tcPr>
            <w:tcW w:w="1870" w:type="dxa"/>
            <w:vAlign w:val="center"/>
          </w:tcPr>
          <w:p w14:paraId="5D707EB9"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28.1</w:t>
            </w:r>
            <w:r w:rsidRPr="007F4A8D">
              <w:rPr>
                <w:rFonts w:ascii="Arial" w:eastAsia="Times New Roman" w:hAnsi="Arial" w:cs="Arial"/>
                <w:sz w:val="20"/>
                <w:szCs w:val="20"/>
                <w:vertAlign w:val="superscript"/>
              </w:rPr>
              <w:t>b</w:t>
            </w:r>
          </w:p>
        </w:tc>
      </w:tr>
      <w:tr w:rsidR="009777D6" w:rsidRPr="009777D6" w14:paraId="3A0FD9C6" w14:textId="77777777" w:rsidTr="00D04CE9">
        <w:tc>
          <w:tcPr>
            <w:tcW w:w="1870" w:type="dxa"/>
          </w:tcPr>
          <w:p w14:paraId="6D3E78C7"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sz w:val="20"/>
                <w:szCs w:val="20"/>
              </w:rPr>
              <w:t>T4</w:t>
            </w:r>
          </w:p>
        </w:tc>
        <w:tc>
          <w:tcPr>
            <w:tcW w:w="1870" w:type="dxa"/>
            <w:vAlign w:val="center"/>
          </w:tcPr>
          <w:p w14:paraId="10AC4B1B"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0.59</w:t>
            </w:r>
            <w:r w:rsidRPr="007F4A8D">
              <w:rPr>
                <w:rFonts w:ascii="Arial" w:eastAsia="Times New Roman" w:hAnsi="Arial" w:cs="Arial"/>
                <w:sz w:val="20"/>
                <w:szCs w:val="20"/>
                <w:vertAlign w:val="superscript"/>
              </w:rPr>
              <w:t>c</w:t>
            </w:r>
          </w:p>
        </w:tc>
        <w:tc>
          <w:tcPr>
            <w:tcW w:w="1870" w:type="dxa"/>
            <w:vAlign w:val="center"/>
          </w:tcPr>
          <w:p w14:paraId="3CC9F1FF"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65.75</w:t>
            </w:r>
            <w:r w:rsidRPr="007F4A8D">
              <w:rPr>
                <w:rFonts w:ascii="Arial" w:eastAsia="Times New Roman" w:hAnsi="Arial" w:cs="Arial"/>
                <w:sz w:val="20"/>
                <w:szCs w:val="20"/>
                <w:vertAlign w:val="superscript"/>
              </w:rPr>
              <w:t>c</w:t>
            </w:r>
          </w:p>
        </w:tc>
        <w:tc>
          <w:tcPr>
            <w:tcW w:w="1870" w:type="dxa"/>
            <w:vAlign w:val="center"/>
          </w:tcPr>
          <w:p w14:paraId="2A559D67"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4.05</w:t>
            </w:r>
            <w:r w:rsidRPr="007F4A8D">
              <w:rPr>
                <w:rFonts w:ascii="Arial" w:eastAsia="Times New Roman" w:hAnsi="Arial" w:cs="Arial"/>
                <w:sz w:val="20"/>
                <w:szCs w:val="20"/>
                <w:vertAlign w:val="superscript"/>
              </w:rPr>
              <w:t>b</w:t>
            </w:r>
          </w:p>
        </w:tc>
        <w:tc>
          <w:tcPr>
            <w:tcW w:w="1870" w:type="dxa"/>
            <w:vAlign w:val="center"/>
          </w:tcPr>
          <w:p w14:paraId="3184431F"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29.6</w:t>
            </w:r>
            <w:r w:rsidRPr="007F4A8D">
              <w:rPr>
                <w:rFonts w:ascii="Arial" w:eastAsia="Times New Roman" w:hAnsi="Arial" w:cs="Arial"/>
                <w:sz w:val="20"/>
                <w:szCs w:val="20"/>
                <w:vertAlign w:val="superscript"/>
              </w:rPr>
              <w:t>c</w:t>
            </w:r>
          </w:p>
        </w:tc>
      </w:tr>
      <w:tr w:rsidR="009777D6" w:rsidRPr="009777D6" w14:paraId="2615423F" w14:textId="77777777" w:rsidTr="00D04CE9">
        <w:tc>
          <w:tcPr>
            <w:tcW w:w="1870" w:type="dxa"/>
          </w:tcPr>
          <w:p w14:paraId="0D224EC9" w14:textId="77777777" w:rsidR="008032E1" w:rsidRPr="00D317F2" w:rsidRDefault="008032E1" w:rsidP="00CA29E1">
            <w:pPr>
              <w:jc w:val="both"/>
              <w:rPr>
                <w:rFonts w:ascii="Arial" w:eastAsia="Times New Roman" w:hAnsi="Arial" w:cs="Arial"/>
                <w:sz w:val="20"/>
                <w:szCs w:val="20"/>
              </w:rPr>
            </w:pPr>
            <w:r w:rsidRPr="00D317F2">
              <w:rPr>
                <w:rFonts w:ascii="Arial" w:eastAsia="Times New Roman" w:hAnsi="Arial" w:cs="Arial"/>
                <w:i/>
                <w:iCs/>
                <w:sz w:val="20"/>
                <w:szCs w:val="20"/>
              </w:rPr>
              <w:t>P</w:t>
            </w:r>
            <w:r w:rsidRPr="00D317F2">
              <w:rPr>
                <w:rFonts w:ascii="Arial" w:eastAsia="Times New Roman" w:hAnsi="Arial" w:cs="Arial"/>
                <w:sz w:val="20"/>
                <w:szCs w:val="20"/>
              </w:rPr>
              <w:t>-value</w:t>
            </w:r>
          </w:p>
        </w:tc>
        <w:tc>
          <w:tcPr>
            <w:tcW w:w="1870" w:type="dxa"/>
            <w:vAlign w:val="center"/>
          </w:tcPr>
          <w:p w14:paraId="78351DED"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c>
          <w:tcPr>
            <w:tcW w:w="1870" w:type="dxa"/>
            <w:vAlign w:val="center"/>
          </w:tcPr>
          <w:p w14:paraId="28CA140C"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c>
          <w:tcPr>
            <w:tcW w:w="1870" w:type="dxa"/>
            <w:vAlign w:val="center"/>
          </w:tcPr>
          <w:p w14:paraId="6B6FC914"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c>
          <w:tcPr>
            <w:tcW w:w="1870" w:type="dxa"/>
            <w:vAlign w:val="center"/>
          </w:tcPr>
          <w:p w14:paraId="3A81F15D"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≤0.05</w:t>
            </w:r>
          </w:p>
        </w:tc>
      </w:tr>
      <w:tr w:rsidR="009777D6" w:rsidRPr="009777D6" w14:paraId="755E53DB" w14:textId="77777777" w:rsidTr="00D04CE9">
        <w:tc>
          <w:tcPr>
            <w:tcW w:w="1870" w:type="dxa"/>
          </w:tcPr>
          <w:p w14:paraId="189B2CFA" w14:textId="77777777" w:rsidR="008032E1" w:rsidRPr="00D317F2" w:rsidRDefault="008032E1" w:rsidP="00CA29E1">
            <w:pPr>
              <w:jc w:val="both"/>
              <w:rPr>
                <w:rFonts w:ascii="Arial" w:eastAsia="Times New Roman" w:hAnsi="Arial" w:cs="Arial"/>
                <w:i/>
                <w:iCs/>
                <w:sz w:val="20"/>
                <w:szCs w:val="20"/>
              </w:rPr>
            </w:pPr>
            <w:r w:rsidRPr="00D317F2">
              <w:rPr>
                <w:rFonts w:ascii="Arial" w:eastAsia="Times New Roman" w:hAnsi="Arial" w:cs="Arial"/>
                <w:sz w:val="20"/>
                <w:szCs w:val="20"/>
              </w:rPr>
              <w:t>LSD</w:t>
            </w:r>
            <w:r w:rsidRPr="00D317F2">
              <w:rPr>
                <w:rFonts w:ascii="Cambria Math" w:eastAsia="Times New Roman" w:hAnsi="Cambria Math" w:cs="Cambria Math"/>
                <w:sz w:val="20"/>
                <w:szCs w:val="20"/>
              </w:rPr>
              <w:t>₀</w:t>
            </w:r>
            <w:r w:rsidRPr="00D317F2">
              <w:rPr>
                <w:rFonts w:ascii="Arial" w:eastAsia="Times New Roman" w:hAnsi="Arial" w:cs="Arial"/>
                <w:sz w:val="20"/>
                <w:szCs w:val="20"/>
              </w:rPr>
              <w:t>.</w:t>
            </w:r>
            <w:r w:rsidRPr="00D317F2">
              <w:rPr>
                <w:rFonts w:ascii="Cambria Math" w:eastAsia="Times New Roman" w:hAnsi="Cambria Math" w:cs="Cambria Math"/>
                <w:sz w:val="20"/>
                <w:szCs w:val="20"/>
              </w:rPr>
              <w:t>₀₅</w:t>
            </w:r>
          </w:p>
        </w:tc>
        <w:tc>
          <w:tcPr>
            <w:tcW w:w="1870" w:type="dxa"/>
            <w:vAlign w:val="center"/>
          </w:tcPr>
          <w:p w14:paraId="14192E3E" w14:textId="77777777" w:rsidR="008032E1" w:rsidRPr="00D317F2" w:rsidRDefault="008032E1" w:rsidP="00CA29E1">
            <w:pPr>
              <w:widowControl w:val="0"/>
              <w:autoSpaceDE w:val="0"/>
              <w:autoSpaceDN w:val="0"/>
              <w:adjustRightInd w:val="0"/>
              <w:jc w:val="center"/>
              <w:rPr>
                <w:rFonts w:ascii="Arial" w:eastAsia="Times New Roman" w:hAnsi="Arial" w:cs="Arial"/>
                <w:sz w:val="20"/>
                <w:szCs w:val="20"/>
              </w:rPr>
            </w:pPr>
            <w:r w:rsidRPr="00D317F2">
              <w:rPr>
                <w:rFonts w:ascii="Arial" w:eastAsia="Times New Roman" w:hAnsi="Arial" w:cs="Arial"/>
                <w:sz w:val="20"/>
                <w:szCs w:val="20"/>
              </w:rPr>
              <w:t>0.01</w:t>
            </w:r>
          </w:p>
        </w:tc>
        <w:tc>
          <w:tcPr>
            <w:tcW w:w="1870" w:type="dxa"/>
            <w:vAlign w:val="center"/>
          </w:tcPr>
          <w:p w14:paraId="250FB593" w14:textId="77777777" w:rsidR="008032E1" w:rsidRPr="00D317F2" w:rsidRDefault="008032E1" w:rsidP="00CA29E1">
            <w:pPr>
              <w:widowControl w:val="0"/>
              <w:autoSpaceDE w:val="0"/>
              <w:autoSpaceDN w:val="0"/>
              <w:adjustRightInd w:val="0"/>
              <w:jc w:val="center"/>
              <w:rPr>
                <w:rFonts w:ascii="Arial" w:eastAsia="Times New Roman" w:hAnsi="Arial" w:cs="Arial"/>
                <w:sz w:val="20"/>
                <w:szCs w:val="20"/>
              </w:rPr>
            </w:pPr>
            <w:r w:rsidRPr="00D317F2">
              <w:rPr>
                <w:rFonts w:ascii="Arial" w:eastAsia="Times New Roman" w:hAnsi="Arial" w:cs="Arial"/>
                <w:sz w:val="20"/>
                <w:szCs w:val="20"/>
              </w:rPr>
              <w:t>1.34</w:t>
            </w:r>
          </w:p>
        </w:tc>
        <w:tc>
          <w:tcPr>
            <w:tcW w:w="1870" w:type="dxa"/>
            <w:vAlign w:val="center"/>
          </w:tcPr>
          <w:p w14:paraId="66B592F4"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0.01</w:t>
            </w:r>
          </w:p>
        </w:tc>
        <w:tc>
          <w:tcPr>
            <w:tcW w:w="1870" w:type="dxa"/>
            <w:vAlign w:val="center"/>
          </w:tcPr>
          <w:p w14:paraId="5ED39094" w14:textId="77777777" w:rsidR="008032E1" w:rsidRPr="00D317F2" w:rsidRDefault="008032E1" w:rsidP="00CA29E1">
            <w:pPr>
              <w:jc w:val="center"/>
              <w:rPr>
                <w:rFonts w:ascii="Arial" w:eastAsia="Times New Roman" w:hAnsi="Arial" w:cs="Arial"/>
                <w:sz w:val="20"/>
                <w:szCs w:val="20"/>
              </w:rPr>
            </w:pPr>
            <w:r w:rsidRPr="00D317F2">
              <w:rPr>
                <w:rFonts w:ascii="Arial" w:eastAsia="Times New Roman" w:hAnsi="Arial" w:cs="Arial"/>
                <w:sz w:val="20"/>
                <w:szCs w:val="20"/>
              </w:rPr>
              <w:t>0.97</w:t>
            </w:r>
          </w:p>
        </w:tc>
      </w:tr>
    </w:tbl>
    <w:p w14:paraId="3EC3ED72" w14:textId="77777777" w:rsidR="00D13C3D" w:rsidRPr="00CA29E1" w:rsidRDefault="00D13C3D" w:rsidP="00D151BD">
      <w:pPr>
        <w:spacing w:after="0" w:line="360" w:lineRule="auto"/>
        <w:jc w:val="both"/>
        <w:rPr>
          <w:rFonts w:ascii="Arial" w:eastAsia="Times New Roman" w:hAnsi="Arial" w:cs="Arial"/>
          <w:i/>
          <w:sz w:val="18"/>
          <w:szCs w:val="18"/>
        </w:rPr>
      </w:pPr>
      <w:r w:rsidRPr="00CA29E1">
        <w:rPr>
          <w:rFonts w:ascii="Arial" w:eastAsia="Times New Roman" w:hAnsi="Arial" w:cs="Arial"/>
          <w:i/>
          <w:sz w:val="18"/>
          <w:szCs w:val="18"/>
        </w:rPr>
        <w:t>*Means followed by different letter are significantly different within columns by Duncan’s multiple range Test, p ≤ 0.05</w:t>
      </w:r>
    </w:p>
    <w:p w14:paraId="7D791609" w14:textId="77777777" w:rsidR="00CA29E1" w:rsidRPr="00D317F2" w:rsidRDefault="00CA29E1" w:rsidP="00CA29E1">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According to the Vietnamese Pharmacopoeia V, Part 2, the tubers of </w:t>
      </w:r>
      <w:r w:rsidRPr="00D317F2">
        <w:rPr>
          <w:rFonts w:ascii="Arial" w:eastAsia="Times New Roman" w:hAnsi="Arial" w:cs="Arial"/>
          <w:i/>
          <w:iCs/>
          <w:sz w:val="20"/>
          <w:szCs w:val="20"/>
        </w:rPr>
        <w:t xml:space="preserve">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sz w:val="20"/>
          <w:szCs w:val="20"/>
        </w:rPr>
        <w:t xml:space="preserve"> have various shapes, ranging in length from 5 cm and possibly up to 1 m. The diameter of </w:t>
      </w:r>
      <w:proofErr w:type="spellStart"/>
      <w:r w:rsidRPr="00D317F2">
        <w:rPr>
          <w:rFonts w:ascii="Arial" w:eastAsia="Times New Roman" w:hAnsi="Arial" w:cs="Arial"/>
          <w:sz w:val="20"/>
          <w:szCs w:val="20"/>
        </w:rPr>
        <w:t>tuberfrom</w:t>
      </w:r>
      <w:proofErr w:type="spellEnd"/>
      <w:r w:rsidRPr="00D317F2">
        <w:rPr>
          <w:rFonts w:ascii="Arial" w:eastAsia="Times New Roman" w:hAnsi="Arial" w:cs="Arial"/>
          <w:sz w:val="20"/>
          <w:szCs w:val="20"/>
        </w:rPr>
        <w:t xml:space="preserve"> 1 cm to 3 cm, and up to 10 cm. The results in Table 2 indicated that there was significant difference among treatments in terms of tuber size (p≤0.05). T2 had the highest tuber length and diameter, with values ​​of 69.16 cm and </w:t>
      </w:r>
      <w:r w:rsidRPr="00D317F2">
        <w:rPr>
          <w:rFonts w:ascii="Arial" w:eastAsia="Times New Roman" w:hAnsi="Arial" w:cs="Arial"/>
          <w:sz w:val="20"/>
          <w:szCs w:val="20"/>
        </w:rPr>
        <w:lastRenderedPageBreak/>
        <w:t>4.09 cm, respectively. T3 had the lowest tuber size, with a length of 62.65 cm and a diameter of 4.03 cm, both significantly lower than T1 (control) at a 95% confidence level. The remaining treatments had tuber sizes lower than T1 (control) at a 95% confidence level.</w:t>
      </w:r>
    </w:p>
    <w:p w14:paraId="294F5F7E" w14:textId="77777777" w:rsidR="00B8462E" w:rsidRPr="00D317F2" w:rsidRDefault="00714836" w:rsidP="00D151BD">
      <w:pPr>
        <w:spacing w:after="0" w:line="360" w:lineRule="auto"/>
        <w:jc w:val="both"/>
        <w:rPr>
          <w:rFonts w:ascii="Arial" w:eastAsia="Times New Roman" w:hAnsi="Arial" w:cs="Arial"/>
          <w:b/>
          <w:szCs w:val="20"/>
        </w:rPr>
      </w:pPr>
      <w:r w:rsidRPr="00D317F2">
        <w:rPr>
          <w:rFonts w:ascii="Arial" w:eastAsia="Times New Roman" w:hAnsi="Arial" w:cs="Arial"/>
          <w:b/>
          <w:szCs w:val="20"/>
        </w:rPr>
        <w:t>3.3. Effects of trellis systems on the economic efficiency of Hoai Son cultivation</w:t>
      </w:r>
    </w:p>
    <w:p w14:paraId="650F20F0" w14:textId="77777777" w:rsidR="00B8462E" w:rsidRPr="009777D6" w:rsidRDefault="00714836" w:rsidP="00D151BD">
      <w:pPr>
        <w:spacing w:after="0" w:line="360" w:lineRule="auto"/>
        <w:jc w:val="center"/>
        <w:rPr>
          <w:rFonts w:ascii="Times New Roman" w:hAnsi="Times New Roman" w:cs="Times New Roman"/>
          <w:color w:val="000000" w:themeColor="text1"/>
          <w:sz w:val="24"/>
          <w:szCs w:val="24"/>
        </w:rPr>
      </w:pPr>
      <w:r w:rsidRPr="009777D6">
        <w:rPr>
          <w:rFonts w:ascii="Times New Roman" w:hAnsi="Times New Roman" w:cs="Times New Roman"/>
          <w:noProof/>
          <w:color w:val="000000" w:themeColor="text1"/>
          <w:sz w:val="24"/>
          <w:szCs w:val="24"/>
        </w:rPr>
        <w:drawing>
          <wp:inline distT="0" distB="0" distL="0" distR="0" wp14:anchorId="657C7064" wp14:editId="71F08E1B">
            <wp:extent cx="3340867" cy="33355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61505" cy="3356119"/>
                    </a:xfrm>
                    <a:prstGeom prst="rect">
                      <a:avLst/>
                    </a:prstGeom>
                  </pic:spPr>
                </pic:pic>
              </a:graphicData>
            </a:graphic>
          </wp:inline>
        </w:drawing>
      </w:r>
    </w:p>
    <w:p w14:paraId="106F91EC" w14:textId="77777777" w:rsidR="002752AC" w:rsidRPr="00D317F2" w:rsidRDefault="002752AC" w:rsidP="00D151BD">
      <w:pPr>
        <w:spacing w:after="0" w:line="360" w:lineRule="auto"/>
        <w:jc w:val="center"/>
        <w:rPr>
          <w:rFonts w:ascii="Arial" w:eastAsia="Times New Roman" w:hAnsi="Arial" w:cs="Arial"/>
          <w:b/>
          <w:szCs w:val="20"/>
        </w:rPr>
      </w:pPr>
      <w:r w:rsidRPr="00D317F2">
        <w:rPr>
          <w:rFonts w:ascii="Arial" w:eastAsia="Times New Roman" w:hAnsi="Arial" w:cs="Arial"/>
          <w:b/>
          <w:szCs w:val="20"/>
        </w:rPr>
        <w:t>Figure 1. Effects of trellis systems on the economic efficiency of Hoai Son cultivation</w:t>
      </w:r>
    </w:p>
    <w:p w14:paraId="233DD271" w14:textId="77777777" w:rsidR="00C1581D" w:rsidRPr="00D317F2" w:rsidRDefault="00C1581D" w:rsidP="00C1581D">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Figure 1 shows that different trellis construction techniques had varying effects on the economic efficiency of </w:t>
      </w:r>
      <w:r w:rsidRPr="00D317F2">
        <w:rPr>
          <w:rFonts w:ascii="Arial" w:eastAsia="Times New Roman" w:hAnsi="Arial" w:cs="Arial"/>
          <w:i/>
          <w:iCs/>
          <w:sz w:val="20"/>
          <w:szCs w:val="20"/>
        </w:rPr>
        <w:t xml:space="preserve">Dioscorea </w:t>
      </w:r>
      <w:proofErr w:type="spellStart"/>
      <w:r w:rsidRPr="00D317F2">
        <w:rPr>
          <w:rFonts w:ascii="Arial" w:eastAsia="Times New Roman" w:hAnsi="Arial" w:cs="Arial"/>
          <w:i/>
          <w:iCs/>
          <w:sz w:val="20"/>
          <w:szCs w:val="20"/>
        </w:rPr>
        <w:t>persimilis</w:t>
      </w:r>
      <w:proofErr w:type="spellEnd"/>
      <w:r w:rsidRPr="00D317F2">
        <w:rPr>
          <w:rFonts w:ascii="Arial" w:eastAsia="Times New Roman" w:hAnsi="Arial" w:cs="Arial"/>
          <w:sz w:val="20"/>
          <w:szCs w:val="20"/>
        </w:rPr>
        <w:t>, mainly due to differences in material costs, labor requirements, and yield among the experimental treatments. Among the trellis systems, T2 using clustered trellises produced the highest yield and the greatest profit. Therefore, compared with the other treatments, T2 was considered the most economically efficient trellis system under the experimental conditions.</w:t>
      </w:r>
    </w:p>
    <w:p w14:paraId="15BF0C60" w14:textId="77777777" w:rsidR="00167D0D" w:rsidRPr="00D317F2" w:rsidRDefault="00520EFF" w:rsidP="00D151BD">
      <w:pPr>
        <w:spacing w:after="0" w:line="360" w:lineRule="auto"/>
        <w:jc w:val="both"/>
        <w:rPr>
          <w:rFonts w:ascii="Arial" w:eastAsia="Times New Roman" w:hAnsi="Arial" w:cs="Arial"/>
          <w:b/>
          <w:caps/>
          <w:szCs w:val="20"/>
        </w:rPr>
      </w:pPr>
      <w:r w:rsidRPr="00D317F2">
        <w:rPr>
          <w:rFonts w:ascii="Arial" w:eastAsia="Times New Roman" w:hAnsi="Arial" w:cs="Arial"/>
          <w:b/>
          <w:caps/>
          <w:szCs w:val="20"/>
        </w:rPr>
        <w:t>4. CONCLUSIONS</w:t>
      </w:r>
    </w:p>
    <w:p w14:paraId="5D4A71C0" w14:textId="77777777" w:rsidR="00520EFF" w:rsidRPr="00D317F2" w:rsidRDefault="00AC2310" w:rsidP="0069405C">
      <w:pPr>
        <w:spacing w:after="0" w:line="360" w:lineRule="auto"/>
        <w:ind w:firstLine="720"/>
        <w:jc w:val="both"/>
        <w:rPr>
          <w:rFonts w:ascii="Arial" w:eastAsia="Times New Roman" w:hAnsi="Arial" w:cs="Arial"/>
          <w:sz w:val="20"/>
          <w:szCs w:val="20"/>
        </w:rPr>
      </w:pPr>
      <w:r w:rsidRPr="00D317F2">
        <w:rPr>
          <w:rFonts w:ascii="Arial" w:eastAsia="Times New Roman" w:hAnsi="Arial" w:cs="Arial"/>
          <w:sz w:val="20"/>
          <w:szCs w:val="20"/>
        </w:rPr>
        <w:t xml:space="preserve">In conclusion, different trellis construction techniques have varying effects on the growth, development, yield of Dioscorea </w:t>
      </w:r>
      <w:proofErr w:type="spellStart"/>
      <w:r w:rsidRPr="00D317F2">
        <w:rPr>
          <w:rFonts w:ascii="Arial" w:eastAsia="Times New Roman" w:hAnsi="Arial" w:cs="Arial"/>
          <w:sz w:val="20"/>
          <w:szCs w:val="20"/>
        </w:rPr>
        <w:t>persimilis</w:t>
      </w:r>
      <w:proofErr w:type="spellEnd"/>
      <w:r w:rsidRPr="00D317F2">
        <w:rPr>
          <w:rFonts w:ascii="Arial" w:eastAsia="Times New Roman" w:hAnsi="Arial" w:cs="Arial"/>
          <w:sz w:val="20"/>
          <w:szCs w:val="20"/>
        </w:rPr>
        <w:t xml:space="preserve">. </w:t>
      </w:r>
      <w:r w:rsidR="00AA5851" w:rsidRPr="00D317F2">
        <w:rPr>
          <w:rFonts w:ascii="Arial" w:eastAsia="Times New Roman" w:hAnsi="Arial" w:cs="Arial"/>
          <w:sz w:val="20"/>
          <w:szCs w:val="20"/>
        </w:rPr>
        <w:t xml:space="preserve">T2 using clustered trellises resulted in the best plant growth, development, tuber yield under production conditions in Thai Nguyen. Therefore, the clustered trellis system is recommended as an effective cultivation to improving the growth performance, yield, and economic efficiency of Dioscorea </w:t>
      </w:r>
      <w:proofErr w:type="spellStart"/>
      <w:r w:rsidR="00AA5851" w:rsidRPr="00D317F2">
        <w:rPr>
          <w:rFonts w:ascii="Arial" w:eastAsia="Times New Roman" w:hAnsi="Arial" w:cs="Arial"/>
          <w:sz w:val="20"/>
          <w:szCs w:val="20"/>
        </w:rPr>
        <w:t>persimilis</w:t>
      </w:r>
      <w:proofErr w:type="spellEnd"/>
      <w:r w:rsidR="00AA5851" w:rsidRPr="00D317F2">
        <w:rPr>
          <w:rFonts w:ascii="Arial" w:eastAsia="Times New Roman" w:hAnsi="Arial" w:cs="Arial"/>
          <w:sz w:val="20"/>
          <w:szCs w:val="20"/>
        </w:rPr>
        <w:t xml:space="preserve"> cultivation in Thai Nguyen province.</w:t>
      </w:r>
    </w:p>
    <w:p w14:paraId="0D2F984E" w14:textId="77777777" w:rsidR="00D70894" w:rsidRPr="00AF5667" w:rsidRDefault="00D70894" w:rsidP="00AF5667">
      <w:pPr>
        <w:spacing w:after="200" w:line="276" w:lineRule="auto"/>
        <w:rPr>
          <w:rFonts w:ascii="Calibri" w:eastAsia="Times New Roman" w:hAnsi="Calibri" w:cs="Times New Roman"/>
          <w:lang w:val="en-GB" w:eastAsia="en-GB"/>
        </w:rPr>
      </w:pPr>
    </w:p>
    <w:p w14:paraId="2FC345BD" w14:textId="77777777" w:rsidR="00923339" w:rsidRPr="00D317F2" w:rsidRDefault="00EE55E5" w:rsidP="00D151BD">
      <w:pPr>
        <w:spacing w:after="0" w:line="360" w:lineRule="auto"/>
        <w:jc w:val="both"/>
        <w:rPr>
          <w:rFonts w:ascii="Arial" w:eastAsia="Times New Roman" w:hAnsi="Arial" w:cs="Arial"/>
          <w:b/>
          <w:caps/>
          <w:szCs w:val="20"/>
        </w:rPr>
      </w:pPr>
      <w:r w:rsidRPr="00D317F2">
        <w:rPr>
          <w:rFonts w:ascii="Arial" w:eastAsia="Times New Roman" w:hAnsi="Arial" w:cs="Arial"/>
          <w:b/>
          <w:caps/>
          <w:szCs w:val="20"/>
        </w:rPr>
        <w:t>REFERENCES</w:t>
      </w:r>
    </w:p>
    <w:p w14:paraId="71572538" w14:textId="77777777" w:rsidR="005540AD" w:rsidRPr="00D317F2" w:rsidRDefault="005540AD" w:rsidP="002F60D8">
      <w:pPr>
        <w:widowControl w:val="0"/>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1. </w:t>
      </w:r>
      <w:proofErr w:type="spellStart"/>
      <w:r w:rsidRPr="00D317F2">
        <w:rPr>
          <w:rFonts w:ascii="Arial" w:eastAsia="Times New Roman" w:hAnsi="Arial" w:cs="Arial"/>
          <w:sz w:val="20"/>
          <w:szCs w:val="20"/>
        </w:rPr>
        <w:t>Aminifard</w:t>
      </w:r>
      <w:proofErr w:type="spellEnd"/>
      <w:r w:rsidRPr="00D317F2">
        <w:rPr>
          <w:rFonts w:ascii="Arial" w:eastAsia="Times New Roman" w:hAnsi="Arial" w:cs="Arial"/>
          <w:sz w:val="20"/>
          <w:szCs w:val="20"/>
        </w:rPr>
        <w:t xml:space="preserve">, M.H., </w:t>
      </w:r>
      <w:proofErr w:type="spellStart"/>
      <w:r w:rsidRPr="00D317F2">
        <w:rPr>
          <w:rFonts w:ascii="Arial" w:eastAsia="Times New Roman" w:hAnsi="Arial" w:cs="Arial"/>
          <w:sz w:val="20"/>
          <w:szCs w:val="20"/>
        </w:rPr>
        <w:t>Aroiee</w:t>
      </w:r>
      <w:proofErr w:type="spellEnd"/>
      <w:r w:rsidRPr="00D317F2">
        <w:rPr>
          <w:rFonts w:ascii="Arial" w:eastAsia="Times New Roman" w:hAnsi="Arial" w:cs="Arial"/>
          <w:sz w:val="20"/>
          <w:szCs w:val="20"/>
        </w:rPr>
        <w:t>, H., Ameri, A. and Fatemi, H. 2012. Effect of plant density and nitrogen fertilizer on growth, yield and fruit quality of sweet pepper (</w:t>
      </w:r>
      <w:r w:rsidRPr="00D317F2">
        <w:rPr>
          <w:rFonts w:ascii="Arial" w:eastAsia="Times New Roman" w:hAnsi="Arial" w:cs="Arial"/>
          <w:i/>
          <w:sz w:val="20"/>
          <w:szCs w:val="20"/>
        </w:rPr>
        <w:t>Capsicum annuum</w:t>
      </w:r>
      <w:r w:rsidRPr="00D317F2">
        <w:rPr>
          <w:rFonts w:ascii="Arial" w:eastAsia="Times New Roman" w:hAnsi="Arial" w:cs="Arial"/>
          <w:sz w:val="20"/>
          <w:szCs w:val="20"/>
        </w:rPr>
        <w:t xml:space="preserve"> L.). African Journal of Agricultural Research. 7(6): 859–866.</w:t>
      </w:r>
    </w:p>
    <w:p w14:paraId="373BD313"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lastRenderedPageBreak/>
        <w:t xml:space="preserve">2. </w:t>
      </w:r>
      <w:r w:rsidR="0069405C" w:rsidRPr="00D317F2">
        <w:rPr>
          <w:rFonts w:ascii="Arial" w:eastAsia="Times New Roman" w:hAnsi="Arial" w:cs="Arial"/>
          <w:sz w:val="20"/>
          <w:szCs w:val="20"/>
        </w:rPr>
        <w:t>Ministry of Health. 2018. Vietnamese Pharmacopoeia V. Medical Publishing House, Hanoi, Vietnam</w:t>
      </w:r>
      <w:r w:rsidRPr="00D317F2">
        <w:rPr>
          <w:rFonts w:ascii="Arial" w:eastAsia="Times New Roman" w:hAnsi="Arial" w:cs="Arial"/>
          <w:sz w:val="20"/>
          <w:szCs w:val="20"/>
        </w:rPr>
        <w:t>.</w:t>
      </w:r>
    </w:p>
    <w:p w14:paraId="0D1D51F4"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3. Chang, W.T., Chen, H.M., Yin, S.Y., Chen, Y.H., Wen, C.C., Wei, W.C., Lai, P., Wang, C.H. and Yang, N.S. 2013. Specific </w:t>
      </w:r>
      <w:r w:rsidRPr="00D317F2">
        <w:rPr>
          <w:rFonts w:ascii="Arial" w:eastAsia="Times New Roman" w:hAnsi="Arial" w:cs="Arial"/>
          <w:i/>
          <w:sz w:val="20"/>
          <w:szCs w:val="20"/>
        </w:rPr>
        <w:t>Dioscorea</w:t>
      </w:r>
      <w:r w:rsidRPr="00D317F2">
        <w:rPr>
          <w:rFonts w:ascii="Arial" w:eastAsia="Times New Roman" w:hAnsi="Arial" w:cs="Arial"/>
          <w:sz w:val="20"/>
          <w:szCs w:val="20"/>
        </w:rPr>
        <w:t xml:space="preserve"> phytoextracts enhance TCL-loaded DC-based vaccines against cancer. Evidence-Based Complementary and Alternative Medicine. 2013: 1–13.</w:t>
      </w:r>
    </w:p>
    <w:p w14:paraId="38DDAD25"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4. Hang, P.T., Dieu, N.T.T., Dat, P.T. and Nhien, N.T.T. 2020. Some morphological and anatomical characteristics of wild </w:t>
      </w:r>
      <w:proofErr w:type="spellStart"/>
      <w:r w:rsidRPr="00D317F2">
        <w:rPr>
          <w:rFonts w:ascii="Arial" w:eastAsia="Times New Roman" w:hAnsi="Arial" w:cs="Arial"/>
          <w:i/>
          <w:sz w:val="20"/>
          <w:szCs w:val="20"/>
        </w:rPr>
        <w:t>Dioscoreaceae</w:t>
      </w:r>
      <w:proofErr w:type="spellEnd"/>
      <w:r w:rsidRPr="00D317F2">
        <w:rPr>
          <w:rFonts w:ascii="Arial" w:eastAsia="Times New Roman" w:hAnsi="Arial" w:cs="Arial"/>
          <w:sz w:val="20"/>
          <w:szCs w:val="20"/>
        </w:rPr>
        <w:t xml:space="preserve"> species in Bay Nui, An Giang Province. Can Tho University Journal of Science. 56(3A): 44–52.</w:t>
      </w:r>
    </w:p>
    <w:p w14:paraId="2B48446D"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5. He, B., Jiang, J., Mo, J., Huang, D., Zhou, L., Ban, H. and He, Y. 2002. Study on the quality of rhizome of </w:t>
      </w:r>
      <w:r w:rsidRPr="00D317F2">
        <w:rPr>
          <w:rFonts w:ascii="Arial" w:eastAsia="Times New Roman" w:hAnsi="Arial" w:cs="Arial"/>
          <w:i/>
          <w:sz w:val="20"/>
          <w:szCs w:val="20"/>
        </w:rPr>
        <w:t xml:space="preserve">Dioscorea </w:t>
      </w:r>
      <w:proofErr w:type="spellStart"/>
      <w:r w:rsidRPr="00D317F2">
        <w:rPr>
          <w:rFonts w:ascii="Arial" w:eastAsia="Times New Roman" w:hAnsi="Arial" w:cs="Arial"/>
          <w:i/>
          <w:sz w:val="20"/>
          <w:szCs w:val="20"/>
        </w:rPr>
        <w:t>persimilis</w:t>
      </w:r>
      <w:proofErr w:type="spellEnd"/>
      <w:r w:rsidRPr="00D317F2">
        <w:rPr>
          <w:rFonts w:ascii="Arial" w:eastAsia="Times New Roman" w:hAnsi="Arial" w:cs="Arial"/>
          <w:sz w:val="20"/>
          <w:szCs w:val="20"/>
        </w:rPr>
        <w:t>. Journal of Chinese Medicinal Materials. 25(4): 233–236.</w:t>
      </w:r>
    </w:p>
    <w:p w14:paraId="0E75D73A" w14:textId="77777777" w:rsidR="005540AD" w:rsidRPr="00D317F2" w:rsidRDefault="005540AD" w:rsidP="003749B1">
      <w:pPr>
        <w:widowControl w:val="0"/>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Hue, N.T.N. and Loc, D.T. 2005. Tuberous plants and intensive cultivation techniques. Labor and Social Publishing House, Hanoi, Vietnam.</w:t>
      </w:r>
    </w:p>
    <w:p w14:paraId="59CE8670" w14:textId="77777777" w:rsidR="005540AD" w:rsidRPr="00D317F2" w:rsidRDefault="005540AD" w:rsidP="003749B1">
      <w:pPr>
        <w:widowControl w:val="0"/>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6. </w:t>
      </w:r>
      <w:r w:rsidR="0069405C" w:rsidRPr="00D317F2">
        <w:rPr>
          <w:rFonts w:ascii="Arial" w:eastAsia="Times New Roman" w:hAnsi="Arial" w:cs="Arial"/>
          <w:sz w:val="20"/>
          <w:szCs w:val="20"/>
        </w:rPr>
        <w:t xml:space="preserve">Le Quang Thai, Tran </w:t>
      </w:r>
      <w:proofErr w:type="spellStart"/>
      <w:r w:rsidR="0069405C" w:rsidRPr="00D317F2">
        <w:rPr>
          <w:rFonts w:ascii="Arial" w:eastAsia="Times New Roman" w:hAnsi="Arial" w:cs="Arial"/>
          <w:sz w:val="20"/>
          <w:szCs w:val="20"/>
        </w:rPr>
        <w:t>Thi</w:t>
      </w:r>
      <w:proofErr w:type="spellEnd"/>
      <w:r w:rsidR="0069405C" w:rsidRPr="00D317F2">
        <w:rPr>
          <w:rFonts w:ascii="Arial" w:eastAsia="Times New Roman" w:hAnsi="Arial" w:cs="Arial"/>
          <w:sz w:val="20"/>
          <w:szCs w:val="20"/>
        </w:rPr>
        <w:t xml:space="preserve"> Thanh and Do Van Khoa. 2018. Study on the effects of trellis construction techniques on the growth and yield of Hoai Son in Northern Vietnam. Journal of Science and Development. 16(4): 543–549 </w:t>
      </w:r>
      <w:r w:rsidRPr="00D317F2">
        <w:rPr>
          <w:rFonts w:ascii="Arial" w:eastAsia="Times New Roman" w:hAnsi="Arial" w:cs="Arial"/>
          <w:sz w:val="20"/>
          <w:szCs w:val="20"/>
        </w:rPr>
        <w:t>(</w:t>
      </w:r>
      <w:r w:rsidRPr="00D317F2">
        <w:rPr>
          <w:rFonts w:ascii="Arial" w:eastAsia="Times New Roman" w:hAnsi="Arial" w:cs="Arial"/>
          <w:i/>
          <w:sz w:val="20"/>
          <w:szCs w:val="20"/>
        </w:rPr>
        <w:t>In Vietnamese</w:t>
      </w:r>
      <w:r w:rsidRPr="00D317F2">
        <w:rPr>
          <w:rFonts w:ascii="Arial" w:eastAsia="Times New Roman" w:hAnsi="Arial" w:cs="Arial"/>
          <w:sz w:val="20"/>
          <w:szCs w:val="20"/>
        </w:rPr>
        <w:t>).</w:t>
      </w:r>
    </w:p>
    <w:p w14:paraId="630863A2"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7. </w:t>
      </w:r>
      <w:proofErr w:type="spellStart"/>
      <w:r w:rsidRPr="00D317F2">
        <w:rPr>
          <w:rFonts w:ascii="Arial" w:eastAsia="Times New Roman" w:hAnsi="Arial" w:cs="Arial"/>
          <w:sz w:val="20"/>
          <w:szCs w:val="20"/>
        </w:rPr>
        <w:t>Mignouna</w:t>
      </w:r>
      <w:proofErr w:type="spellEnd"/>
      <w:r w:rsidRPr="00D317F2">
        <w:rPr>
          <w:rFonts w:ascii="Arial" w:eastAsia="Times New Roman" w:hAnsi="Arial" w:cs="Arial"/>
          <w:sz w:val="20"/>
          <w:szCs w:val="20"/>
        </w:rPr>
        <w:t>, H.D., Abang, M.M. and Asiedu, R. 2003. Harnessing modern biotechnology for tropical tuber crop improvement: Yam (</w:t>
      </w:r>
      <w:r w:rsidRPr="00D317F2">
        <w:rPr>
          <w:rFonts w:ascii="Arial" w:eastAsia="Times New Roman" w:hAnsi="Arial" w:cs="Arial"/>
          <w:i/>
          <w:sz w:val="20"/>
          <w:szCs w:val="20"/>
        </w:rPr>
        <w:t>Dioscorea</w:t>
      </w:r>
      <w:r w:rsidRPr="00D317F2">
        <w:rPr>
          <w:rFonts w:ascii="Arial" w:eastAsia="Times New Roman" w:hAnsi="Arial" w:cs="Arial"/>
          <w:sz w:val="20"/>
          <w:szCs w:val="20"/>
        </w:rPr>
        <w:t xml:space="preserve"> spp.) molecular breeding. African Journal of Biotechnology. 2(12): 478–485.</w:t>
      </w:r>
    </w:p>
    <w:p w14:paraId="53E31BBC"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8. Ngan, N.T.T., Hoang, N.H., Hien, N.T., Lan, N.N., Huong, P.T.M. and Quang, T.H. 2021. Secondary metabolites from the tubers of </w:t>
      </w:r>
      <w:r w:rsidRPr="00D317F2">
        <w:rPr>
          <w:rFonts w:ascii="Arial" w:eastAsia="Times New Roman" w:hAnsi="Arial" w:cs="Arial"/>
          <w:i/>
          <w:sz w:val="20"/>
          <w:szCs w:val="20"/>
        </w:rPr>
        <w:t xml:space="preserve">Dioscorea </w:t>
      </w:r>
      <w:proofErr w:type="spellStart"/>
      <w:r w:rsidRPr="00D317F2">
        <w:rPr>
          <w:rFonts w:ascii="Arial" w:eastAsia="Times New Roman" w:hAnsi="Arial" w:cs="Arial"/>
          <w:i/>
          <w:sz w:val="20"/>
          <w:szCs w:val="20"/>
        </w:rPr>
        <w:t>persimilis</w:t>
      </w:r>
      <w:proofErr w:type="spellEnd"/>
      <w:r w:rsidRPr="00D317F2">
        <w:rPr>
          <w:rFonts w:ascii="Arial" w:eastAsia="Times New Roman" w:hAnsi="Arial" w:cs="Arial"/>
          <w:sz w:val="20"/>
          <w:szCs w:val="20"/>
        </w:rPr>
        <w:t>. Vietnam Journal of Chemistry. 59(5): 684–688.</w:t>
      </w:r>
    </w:p>
    <w:p w14:paraId="4AABEBFD"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9. </w:t>
      </w:r>
      <w:r w:rsidR="0069405C" w:rsidRPr="00D317F2">
        <w:rPr>
          <w:rFonts w:ascii="Arial" w:eastAsia="Times New Roman" w:hAnsi="Arial" w:cs="Arial"/>
          <w:sz w:val="20"/>
          <w:szCs w:val="20"/>
        </w:rPr>
        <w:t xml:space="preserve">Nguyen </w:t>
      </w:r>
      <w:proofErr w:type="spellStart"/>
      <w:r w:rsidR="0069405C" w:rsidRPr="00D317F2">
        <w:rPr>
          <w:rFonts w:ascii="Arial" w:eastAsia="Times New Roman" w:hAnsi="Arial" w:cs="Arial"/>
          <w:sz w:val="20"/>
          <w:szCs w:val="20"/>
        </w:rPr>
        <w:t>Thi</w:t>
      </w:r>
      <w:proofErr w:type="spellEnd"/>
      <w:r w:rsidR="0069405C" w:rsidRPr="00D317F2">
        <w:rPr>
          <w:rFonts w:ascii="Arial" w:eastAsia="Times New Roman" w:hAnsi="Arial" w:cs="Arial"/>
          <w:sz w:val="20"/>
          <w:szCs w:val="20"/>
        </w:rPr>
        <w:t xml:space="preserve"> Hong, Tran Van Thanh and Nguyen Van Dong. 2019. Effects of different trellis systems on the growth and development of yam (</w:t>
      </w:r>
      <w:r w:rsidR="0069405C" w:rsidRPr="00D317F2">
        <w:rPr>
          <w:rFonts w:ascii="Arial" w:eastAsia="Times New Roman" w:hAnsi="Arial" w:cs="Arial"/>
          <w:i/>
          <w:sz w:val="20"/>
          <w:szCs w:val="20"/>
        </w:rPr>
        <w:t>Dioscorea alata</w:t>
      </w:r>
      <w:r w:rsidR="0069405C" w:rsidRPr="00D317F2">
        <w:rPr>
          <w:rFonts w:ascii="Arial" w:eastAsia="Times New Roman" w:hAnsi="Arial" w:cs="Arial"/>
          <w:sz w:val="20"/>
          <w:szCs w:val="20"/>
        </w:rPr>
        <w:t xml:space="preserve"> L.) in Central Vietnam. Vietnam Journal of Agricultural Sciences. 17(3): 150–157 </w:t>
      </w:r>
      <w:r w:rsidRPr="00D317F2">
        <w:rPr>
          <w:rFonts w:ascii="Arial" w:eastAsia="Times New Roman" w:hAnsi="Arial" w:cs="Arial"/>
          <w:sz w:val="20"/>
          <w:szCs w:val="20"/>
        </w:rPr>
        <w:t>(</w:t>
      </w:r>
      <w:r w:rsidRPr="00D317F2">
        <w:rPr>
          <w:rFonts w:ascii="Arial" w:eastAsia="Times New Roman" w:hAnsi="Arial" w:cs="Arial"/>
          <w:i/>
          <w:sz w:val="20"/>
          <w:szCs w:val="20"/>
        </w:rPr>
        <w:t>In Vietnamese</w:t>
      </w:r>
      <w:r w:rsidRPr="00D317F2">
        <w:rPr>
          <w:rFonts w:ascii="Arial" w:eastAsia="Times New Roman" w:hAnsi="Arial" w:cs="Arial"/>
          <w:sz w:val="20"/>
          <w:szCs w:val="20"/>
        </w:rPr>
        <w:t>).</w:t>
      </w:r>
    </w:p>
    <w:p w14:paraId="408929F1" w14:textId="77777777" w:rsidR="005540AD"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10. </w:t>
      </w:r>
      <w:r w:rsidR="0069405C" w:rsidRPr="00D317F2">
        <w:rPr>
          <w:rFonts w:ascii="Arial" w:eastAsia="Times New Roman" w:hAnsi="Arial" w:cs="Arial"/>
          <w:sz w:val="20"/>
          <w:szCs w:val="20"/>
        </w:rPr>
        <w:t xml:space="preserve">Nguyen </w:t>
      </w:r>
      <w:proofErr w:type="spellStart"/>
      <w:r w:rsidR="0069405C" w:rsidRPr="00D317F2">
        <w:rPr>
          <w:rFonts w:ascii="Arial" w:eastAsia="Times New Roman" w:hAnsi="Arial" w:cs="Arial"/>
          <w:sz w:val="20"/>
          <w:szCs w:val="20"/>
        </w:rPr>
        <w:t>Thi</w:t>
      </w:r>
      <w:proofErr w:type="spellEnd"/>
      <w:r w:rsidR="0069405C" w:rsidRPr="00D317F2">
        <w:rPr>
          <w:rFonts w:ascii="Arial" w:eastAsia="Times New Roman" w:hAnsi="Arial" w:cs="Arial"/>
          <w:sz w:val="20"/>
          <w:szCs w:val="20"/>
        </w:rPr>
        <w:t xml:space="preserve"> Thu Huyen, Pham </w:t>
      </w:r>
      <w:proofErr w:type="spellStart"/>
      <w:r w:rsidR="0069405C" w:rsidRPr="00D317F2">
        <w:rPr>
          <w:rFonts w:ascii="Arial" w:eastAsia="Times New Roman" w:hAnsi="Arial" w:cs="Arial"/>
          <w:sz w:val="20"/>
          <w:szCs w:val="20"/>
        </w:rPr>
        <w:t>Thi</w:t>
      </w:r>
      <w:proofErr w:type="spellEnd"/>
      <w:r w:rsidR="0069405C" w:rsidRPr="00D317F2">
        <w:rPr>
          <w:rFonts w:ascii="Arial" w:eastAsia="Times New Roman" w:hAnsi="Arial" w:cs="Arial"/>
          <w:sz w:val="20"/>
          <w:szCs w:val="20"/>
        </w:rPr>
        <w:t xml:space="preserve"> Tuyet Nhung, Nguyen Viet Than, Hoang </w:t>
      </w:r>
      <w:proofErr w:type="spellStart"/>
      <w:r w:rsidR="0069405C" w:rsidRPr="00D317F2">
        <w:rPr>
          <w:rFonts w:ascii="Arial" w:eastAsia="Times New Roman" w:hAnsi="Arial" w:cs="Arial"/>
          <w:sz w:val="20"/>
          <w:szCs w:val="20"/>
        </w:rPr>
        <w:t>Thi</w:t>
      </w:r>
      <w:proofErr w:type="spellEnd"/>
      <w:r w:rsidR="0069405C" w:rsidRPr="00D317F2">
        <w:rPr>
          <w:rFonts w:ascii="Arial" w:eastAsia="Times New Roman" w:hAnsi="Arial" w:cs="Arial"/>
          <w:sz w:val="20"/>
          <w:szCs w:val="20"/>
        </w:rPr>
        <w:t xml:space="preserve"> Cuc and Le Thanh Liem. 2019. Study on morphological and microscopic characteristics of two yam species collected in Thai Nguyen. Journal of Science and Technology – Thai Nguyen University. 194(01): 87–89</w:t>
      </w:r>
      <w:r w:rsidRPr="00D317F2">
        <w:rPr>
          <w:rFonts w:ascii="Arial" w:eastAsia="Times New Roman" w:hAnsi="Arial" w:cs="Arial"/>
          <w:sz w:val="20"/>
          <w:szCs w:val="20"/>
        </w:rPr>
        <w:t xml:space="preserve"> (</w:t>
      </w:r>
      <w:r w:rsidRPr="00D317F2">
        <w:rPr>
          <w:rFonts w:ascii="Arial" w:eastAsia="Times New Roman" w:hAnsi="Arial" w:cs="Arial"/>
          <w:i/>
          <w:sz w:val="20"/>
          <w:szCs w:val="20"/>
        </w:rPr>
        <w:t>In Vietnamese</w:t>
      </w:r>
      <w:r w:rsidRPr="00D317F2">
        <w:rPr>
          <w:rFonts w:ascii="Arial" w:eastAsia="Times New Roman" w:hAnsi="Arial" w:cs="Arial"/>
          <w:sz w:val="20"/>
          <w:szCs w:val="20"/>
        </w:rPr>
        <w:t>).</w:t>
      </w:r>
    </w:p>
    <w:p w14:paraId="691AE501" w14:textId="77777777" w:rsidR="00263EBE" w:rsidRPr="00D317F2" w:rsidRDefault="005540AD" w:rsidP="005540AD">
      <w:pPr>
        <w:spacing w:after="0" w:line="360" w:lineRule="auto"/>
        <w:jc w:val="both"/>
        <w:rPr>
          <w:rFonts w:ascii="Arial" w:eastAsia="Times New Roman" w:hAnsi="Arial" w:cs="Arial"/>
          <w:sz w:val="20"/>
          <w:szCs w:val="20"/>
        </w:rPr>
      </w:pPr>
      <w:r w:rsidRPr="00D317F2">
        <w:rPr>
          <w:rFonts w:ascii="Arial" w:eastAsia="Times New Roman" w:hAnsi="Arial" w:cs="Arial"/>
          <w:sz w:val="20"/>
          <w:szCs w:val="20"/>
        </w:rPr>
        <w:t xml:space="preserve">11. </w:t>
      </w:r>
      <w:r w:rsidR="0069405C" w:rsidRPr="00D317F2">
        <w:rPr>
          <w:rFonts w:ascii="Arial" w:eastAsia="Times New Roman" w:hAnsi="Arial" w:cs="Arial"/>
          <w:sz w:val="20"/>
          <w:szCs w:val="20"/>
        </w:rPr>
        <w:t>Nguyen Van Nam, Pham Minh Duc and Tran Van Khoa. 2020. Effects of organic fertilizer derived from agricultural waste on the growth and development of yam (</w:t>
      </w:r>
      <w:r w:rsidR="0069405C" w:rsidRPr="00D317F2">
        <w:rPr>
          <w:rFonts w:ascii="Arial" w:eastAsia="Times New Roman" w:hAnsi="Arial" w:cs="Arial"/>
          <w:i/>
          <w:sz w:val="20"/>
          <w:szCs w:val="20"/>
        </w:rPr>
        <w:t>Dioscorea alata</w:t>
      </w:r>
      <w:r w:rsidR="0069405C" w:rsidRPr="00D317F2">
        <w:rPr>
          <w:rFonts w:ascii="Arial" w:eastAsia="Times New Roman" w:hAnsi="Arial" w:cs="Arial"/>
          <w:sz w:val="20"/>
          <w:szCs w:val="20"/>
        </w:rPr>
        <w:t xml:space="preserve"> L.). Journal of Agricultural Science and Technology. 11(4): 65–72 </w:t>
      </w:r>
      <w:r w:rsidRPr="00D317F2">
        <w:rPr>
          <w:rFonts w:ascii="Arial" w:eastAsia="Times New Roman" w:hAnsi="Arial" w:cs="Arial"/>
          <w:sz w:val="20"/>
          <w:szCs w:val="20"/>
        </w:rPr>
        <w:t>(</w:t>
      </w:r>
      <w:r w:rsidRPr="00D317F2">
        <w:rPr>
          <w:rFonts w:ascii="Arial" w:eastAsia="Times New Roman" w:hAnsi="Arial" w:cs="Arial"/>
          <w:i/>
          <w:sz w:val="20"/>
          <w:szCs w:val="20"/>
        </w:rPr>
        <w:t>In Vietnamese</w:t>
      </w:r>
      <w:r w:rsidRPr="00D317F2">
        <w:rPr>
          <w:rFonts w:ascii="Arial" w:eastAsia="Times New Roman" w:hAnsi="Arial" w:cs="Arial"/>
          <w:sz w:val="20"/>
          <w:szCs w:val="20"/>
        </w:rPr>
        <w:t>).</w:t>
      </w:r>
    </w:p>
    <w:sectPr w:rsidR="00263EBE" w:rsidRPr="00D317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EBF0" w14:textId="77777777" w:rsidR="006B76B5" w:rsidRDefault="006B76B5" w:rsidP="00946B1F">
      <w:pPr>
        <w:spacing w:after="0" w:line="240" w:lineRule="auto"/>
      </w:pPr>
      <w:r>
        <w:separator/>
      </w:r>
    </w:p>
  </w:endnote>
  <w:endnote w:type="continuationSeparator" w:id="0">
    <w:p w14:paraId="1ACC387E" w14:textId="77777777" w:rsidR="006B76B5" w:rsidRDefault="006B76B5" w:rsidP="0094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C9A8" w14:textId="77777777" w:rsidR="00946B1F" w:rsidRDefault="00946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6333" w14:textId="77777777" w:rsidR="00946B1F" w:rsidRDefault="00946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160E" w14:textId="77777777" w:rsidR="00946B1F" w:rsidRDefault="0094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2F27" w14:textId="77777777" w:rsidR="006B76B5" w:rsidRDefault="006B76B5" w:rsidP="00946B1F">
      <w:pPr>
        <w:spacing w:after="0" w:line="240" w:lineRule="auto"/>
      </w:pPr>
      <w:r>
        <w:separator/>
      </w:r>
    </w:p>
  </w:footnote>
  <w:footnote w:type="continuationSeparator" w:id="0">
    <w:p w14:paraId="1B192ABF" w14:textId="77777777" w:rsidR="006B76B5" w:rsidRDefault="006B76B5" w:rsidP="00946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72E4" w14:textId="6122894C" w:rsidR="00946B1F" w:rsidRDefault="00946B1F">
    <w:pPr>
      <w:pStyle w:val="Header"/>
    </w:pPr>
    <w:r>
      <w:rPr>
        <w:noProof/>
      </w:rPr>
      <w:pict w14:anchorId="76EC4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14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5F85" w14:textId="6A58BAC7" w:rsidR="00946B1F" w:rsidRDefault="00946B1F">
    <w:pPr>
      <w:pStyle w:val="Header"/>
    </w:pPr>
    <w:r>
      <w:rPr>
        <w:noProof/>
      </w:rPr>
      <w:pict w14:anchorId="7407C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14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1098" w14:textId="7BB2A3B5" w:rsidR="00946B1F" w:rsidRDefault="00946B1F">
    <w:pPr>
      <w:pStyle w:val="Header"/>
    </w:pPr>
    <w:r>
      <w:rPr>
        <w:noProof/>
      </w:rPr>
      <w:pict w14:anchorId="716CF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14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F8"/>
    <w:rsid w:val="0000384E"/>
    <w:rsid w:val="00016624"/>
    <w:rsid w:val="00023B1F"/>
    <w:rsid w:val="00023C1F"/>
    <w:rsid w:val="00035D00"/>
    <w:rsid w:val="0004091E"/>
    <w:rsid w:val="0007240C"/>
    <w:rsid w:val="000B12AF"/>
    <w:rsid w:val="000B47F4"/>
    <w:rsid w:val="000D7881"/>
    <w:rsid w:val="000E177C"/>
    <w:rsid w:val="001009A7"/>
    <w:rsid w:val="00112DFB"/>
    <w:rsid w:val="00114EF0"/>
    <w:rsid w:val="0012121D"/>
    <w:rsid w:val="00156E0B"/>
    <w:rsid w:val="00167D0D"/>
    <w:rsid w:val="001753B8"/>
    <w:rsid w:val="001B6D46"/>
    <w:rsid w:val="001F1164"/>
    <w:rsid w:val="00202280"/>
    <w:rsid w:val="00206C72"/>
    <w:rsid w:val="00235DB7"/>
    <w:rsid w:val="00263EBE"/>
    <w:rsid w:val="0027433B"/>
    <w:rsid w:val="002752AC"/>
    <w:rsid w:val="002E6D20"/>
    <w:rsid w:val="002F60D8"/>
    <w:rsid w:val="00341A34"/>
    <w:rsid w:val="00360B5D"/>
    <w:rsid w:val="00367DC9"/>
    <w:rsid w:val="003749B1"/>
    <w:rsid w:val="00384A12"/>
    <w:rsid w:val="003E3847"/>
    <w:rsid w:val="00407498"/>
    <w:rsid w:val="004A6EA0"/>
    <w:rsid w:val="004B6B29"/>
    <w:rsid w:val="00520EFF"/>
    <w:rsid w:val="00523A62"/>
    <w:rsid w:val="005540AD"/>
    <w:rsid w:val="005F3923"/>
    <w:rsid w:val="0063071C"/>
    <w:rsid w:val="00647D13"/>
    <w:rsid w:val="00685F27"/>
    <w:rsid w:val="00687004"/>
    <w:rsid w:val="0069405C"/>
    <w:rsid w:val="006A18E5"/>
    <w:rsid w:val="006B76B5"/>
    <w:rsid w:val="006D18EE"/>
    <w:rsid w:val="006D1DBF"/>
    <w:rsid w:val="006D7B5E"/>
    <w:rsid w:val="006E4A97"/>
    <w:rsid w:val="006E7523"/>
    <w:rsid w:val="006F3E51"/>
    <w:rsid w:val="00714836"/>
    <w:rsid w:val="007359D4"/>
    <w:rsid w:val="00770A9E"/>
    <w:rsid w:val="0078253B"/>
    <w:rsid w:val="00796296"/>
    <w:rsid w:val="007A4A75"/>
    <w:rsid w:val="007B584E"/>
    <w:rsid w:val="007C2C12"/>
    <w:rsid w:val="007E3A96"/>
    <w:rsid w:val="007F4A8D"/>
    <w:rsid w:val="008001CE"/>
    <w:rsid w:val="008032E1"/>
    <w:rsid w:val="008062BC"/>
    <w:rsid w:val="00815462"/>
    <w:rsid w:val="00844D9B"/>
    <w:rsid w:val="00863A55"/>
    <w:rsid w:val="00886527"/>
    <w:rsid w:val="00887F18"/>
    <w:rsid w:val="008B7F4C"/>
    <w:rsid w:val="008D2341"/>
    <w:rsid w:val="00913285"/>
    <w:rsid w:val="00923339"/>
    <w:rsid w:val="00926B9E"/>
    <w:rsid w:val="00946B1F"/>
    <w:rsid w:val="00947056"/>
    <w:rsid w:val="009557B4"/>
    <w:rsid w:val="00975848"/>
    <w:rsid w:val="009777D6"/>
    <w:rsid w:val="009C3306"/>
    <w:rsid w:val="009D19EF"/>
    <w:rsid w:val="009D712C"/>
    <w:rsid w:val="00A01490"/>
    <w:rsid w:val="00A1409B"/>
    <w:rsid w:val="00A26D31"/>
    <w:rsid w:val="00A34454"/>
    <w:rsid w:val="00A47E3C"/>
    <w:rsid w:val="00A81C4F"/>
    <w:rsid w:val="00AA5851"/>
    <w:rsid w:val="00AB2883"/>
    <w:rsid w:val="00AC2310"/>
    <w:rsid w:val="00AD5B04"/>
    <w:rsid w:val="00AF1AD7"/>
    <w:rsid w:val="00AF5667"/>
    <w:rsid w:val="00B02A43"/>
    <w:rsid w:val="00B460D9"/>
    <w:rsid w:val="00B701F6"/>
    <w:rsid w:val="00B84406"/>
    <w:rsid w:val="00B8462E"/>
    <w:rsid w:val="00BA2DEB"/>
    <w:rsid w:val="00BD0721"/>
    <w:rsid w:val="00BF29A5"/>
    <w:rsid w:val="00C1581D"/>
    <w:rsid w:val="00C34004"/>
    <w:rsid w:val="00C46BB8"/>
    <w:rsid w:val="00C65F0D"/>
    <w:rsid w:val="00CA29E1"/>
    <w:rsid w:val="00CB098F"/>
    <w:rsid w:val="00CD1578"/>
    <w:rsid w:val="00CE20B8"/>
    <w:rsid w:val="00CE5878"/>
    <w:rsid w:val="00D04CE9"/>
    <w:rsid w:val="00D13C3D"/>
    <w:rsid w:val="00D151BD"/>
    <w:rsid w:val="00D2035D"/>
    <w:rsid w:val="00D317F2"/>
    <w:rsid w:val="00D70894"/>
    <w:rsid w:val="00D86FF7"/>
    <w:rsid w:val="00D97688"/>
    <w:rsid w:val="00DE19E2"/>
    <w:rsid w:val="00DF18F8"/>
    <w:rsid w:val="00E46337"/>
    <w:rsid w:val="00E86796"/>
    <w:rsid w:val="00E94DA8"/>
    <w:rsid w:val="00EA5052"/>
    <w:rsid w:val="00EE55E5"/>
    <w:rsid w:val="00F015E6"/>
    <w:rsid w:val="00F130E8"/>
    <w:rsid w:val="00F33E40"/>
    <w:rsid w:val="00F46845"/>
    <w:rsid w:val="00F95DE7"/>
    <w:rsid w:val="00FA625A"/>
    <w:rsid w:val="00FB0DDE"/>
    <w:rsid w:val="00FB2C0A"/>
    <w:rsid w:val="00FE5567"/>
    <w:rsid w:val="00FF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F37C6"/>
  <w15:chartTrackingRefBased/>
  <w15:docId w15:val="{46EA74A6-8745-4F4F-A45F-16DE758F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F18F8"/>
    <w:rPr>
      <w:i/>
      <w:iCs/>
    </w:rPr>
  </w:style>
  <w:style w:type="paragraph" w:styleId="ListParagraph">
    <w:name w:val="List Paragraph"/>
    <w:basedOn w:val="Normal"/>
    <w:uiPriority w:val="34"/>
    <w:qFormat/>
    <w:rsid w:val="00BD0721"/>
    <w:pPr>
      <w:ind w:left="720"/>
      <w:contextualSpacing/>
    </w:pPr>
  </w:style>
  <w:style w:type="character" w:customStyle="1" w:styleId="whitespace-normal">
    <w:name w:val="whitespace-normal"/>
    <w:basedOn w:val="DefaultParagraphFont"/>
    <w:rsid w:val="00BD0721"/>
  </w:style>
  <w:style w:type="paragraph" w:styleId="NormalWeb">
    <w:name w:val="Normal (Web)"/>
    <w:basedOn w:val="Normal"/>
    <w:uiPriority w:val="99"/>
    <w:semiHidden/>
    <w:unhideWhenUsed/>
    <w:rsid w:val="00CE58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1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23A62"/>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523A62"/>
    <w:rPr>
      <w:rFonts w:ascii="Times New Roman" w:hAnsi="Times New Roman" w:cs="Times New Roman" w:hint="default"/>
      <w:b w:val="0"/>
      <w:bCs w:val="0"/>
      <w:i/>
      <w:iCs/>
      <w:color w:val="0D0D0D"/>
      <w:sz w:val="24"/>
      <w:szCs w:val="24"/>
    </w:rPr>
  </w:style>
  <w:style w:type="character" w:styleId="Hyperlink">
    <w:name w:val="Hyperlink"/>
    <w:basedOn w:val="DefaultParagraphFont"/>
    <w:uiPriority w:val="99"/>
    <w:unhideWhenUsed/>
    <w:rsid w:val="00523A62"/>
    <w:rPr>
      <w:color w:val="0000FF"/>
      <w:u w:val="single"/>
    </w:rPr>
  </w:style>
  <w:style w:type="character" w:styleId="UnresolvedMention">
    <w:name w:val="Unresolved Mention"/>
    <w:basedOn w:val="DefaultParagraphFont"/>
    <w:uiPriority w:val="99"/>
    <w:semiHidden/>
    <w:unhideWhenUsed/>
    <w:rsid w:val="00AF5667"/>
    <w:rPr>
      <w:color w:val="605E5C"/>
      <w:shd w:val="clear" w:color="auto" w:fill="E1DFDD"/>
    </w:rPr>
  </w:style>
  <w:style w:type="paragraph" w:styleId="Header">
    <w:name w:val="header"/>
    <w:basedOn w:val="Normal"/>
    <w:link w:val="HeaderChar"/>
    <w:uiPriority w:val="99"/>
    <w:unhideWhenUsed/>
    <w:rsid w:val="00946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B1F"/>
  </w:style>
  <w:style w:type="paragraph" w:styleId="Footer">
    <w:name w:val="footer"/>
    <w:basedOn w:val="Normal"/>
    <w:link w:val="FooterChar"/>
    <w:uiPriority w:val="99"/>
    <w:unhideWhenUsed/>
    <w:rsid w:val="00946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4531">
      <w:bodyDiv w:val="1"/>
      <w:marLeft w:val="0"/>
      <w:marRight w:val="0"/>
      <w:marTop w:val="0"/>
      <w:marBottom w:val="0"/>
      <w:divBdr>
        <w:top w:val="none" w:sz="0" w:space="0" w:color="auto"/>
        <w:left w:val="none" w:sz="0" w:space="0" w:color="auto"/>
        <w:bottom w:val="none" w:sz="0" w:space="0" w:color="auto"/>
        <w:right w:val="none" w:sz="0" w:space="0" w:color="auto"/>
      </w:divBdr>
      <w:divsChild>
        <w:div w:id="1517689662">
          <w:marLeft w:val="0"/>
          <w:marRight w:val="0"/>
          <w:marTop w:val="0"/>
          <w:marBottom w:val="0"/>
          <w:divBdr>
            <w:top w:val="none" w:sz="0" w:space="0" w:color="auto"/>
            <w:left w:val="none" w:sz="0" w:space="0" w:color="auto"/>
            <w:bottom w:val="none" w:sz="0" w:space="0" w:color="auto"/>
            <w:right w:val="none" w:sz="0" w:space="0" w:color="auto"/>
          </w:divBdr>
          <w:divsChild>
            <w:div w:id="409037754">
              <w:marLeft w:val="0"/>
              <w:marRight w:val="0"/>
              <w:marTop w:val="0"/>
              <w:marBottom w:val="0"/>
              <w:divBdr>
                <w:top w:val="none" w:sz="0" w:space="0" w:color="auto"/>
                <w:left w:val="none" w:sz="0" w:space="0" w:color="auto"/>
                <w:bottom w:val="none" w:sz="0" w:space="0" w:color="auto"/>
                <w:right w:val="none" w:sz="0" w:space="0" w:color="auto"/>
              </w:divBdr>
              <w:divsChild>
                <w:div w:id="969093431">
                  <w:marLeft w:val="0"/>
                  <w:marRight w:val="0"/>
                  <w:marTop w:val="0"/>
                  <w:marBottom w:val="0"/>
                  <w:divBdr>
                    <w:top w:val="none" w:sz="0" w:space="0" w:color="auto"/>
                    <w:left w:val="none" w:sz="0" w:space="0" w:color="auto"/>
                    <w:bottom w:val="none" w:sz="0" w:space="0" w:color="auto"/>
                    <w:right w:val="none" w:sz="0" w:space="0" w:color="auto"/>
                  </w:divBdr>
                  <w:divsChild>
                    <w:div w:id="630017831">
                      <w:marLeft w:val="0"/>
                      <w:marRight w:val="0"/>
                      <w:marTop w:val="0"/>
                      <w:marBottom w:val="0"/>
                      <w:divBdr>
                        <w:top w:val="none" w:sz="0" w:space="0" w:color="auto"/>
                        <w:left w:val="none" w:sz="0" w:space="0" w:color="auto"/>
                        <w:bottom w:val="none" w:sz="0" w:space="0" w:color="auto"/>
                        <w:right w:val="none" w:sz="0" w:space="0" w:color="auto"/>
                      </w:divBdr>
                      <w:divsChild>
                        <w:div w:id="547304316">
                          <w:marLeft w:val="0"/>
                          <w:marRight w:val="0"/>
                          <w:marTop w:val="0"/>
                          <w:marBottom w:val="0"/>
                          <w:divBdr>
                            <w:top w:val="none" w:sz="0" w:space="0" w:color="auto"/>
                            <w:left w:val="none" w:sz="0" w:space="0" w:color="auto"/>
                            <w:bottom w:val="none" w:sz="0" w:space="0" w:color="auto"/>
                            <w:right w:val="none" w:sz="0" w:space="0" w:color="auto"/>
                          </w:divBdr>
                          <w:divsChild>
                            <w:div w:id="133181481">
                              <w:marLeft w:val="0"/>
                              <w:marRight w:val="0"/>
                              <w:marTop w:val="0"/>
                              <w:marBottom w:val="0"/>
                              <w:divBdr>
                                <w:top w:val="none" w:sz="0" w:space="0" w:color="auto"/>
                                <w:left w:val="none" w:sz="0" w:space="0" w:color="auto"/>
                                <w:bottom w:val="none" w:sz="0" w:space="0" w:color="auto"/>
                                <w:right w:val="none" w:sz="0" w:space="0" w:color="auto"/>
                              </w:divBdr>
                              <w:divsChild>
                                <w:div w:id="1374037428">
                                  <w:marLeft w:val="0"/>
                                  <w:marRight w:val="0"/>
                                  <w:marTop w:val="0"/>
                                  <w:marBottom w:val="0"/>
                                  <w:divBdr>
                                    <w:top w:val="none" w:sz="0" w:space="0" w:color="auto"/>
                                    <w:left w:val="none" w:sz="0" w:space="0" w:color="auto"/>
                                    <w:bottom w:val="none" w:sz="0" w:space="0" w:color="auto"/>
                                    <w:right w:val="none" w:sz="0" w:space="0" w:color="auto"/>
                                  </w:divBdr>
                                  <w:divsChild>
                                    <w:div w:id="1972322681">
                                      <w:marLeft w:val="0"/>
                                      <w:marRight w:val="0"/>
                                      <w:marTop w:val="0"/>
                                      <w:marBottom w:val="0"/>
                                      <w:divBdr>
                                        <w:top w:val="none" w:sz="0" w:space="0" w:color="auto"/>
                                        <w:left w:val="none" w:sz="0" w:space="0" w:color="auto"/>
                                        <w:bottom w:val="none" w:sz="0" w:space="0" w:color="auto"/>
                                        <w:right w:val="none" w:sz="0" w:space="0" w:color="auto"/>
                                      </w:divBdr>
                                      <w:divsChild>
                                        <w:div w:id="18971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8989">
      <w:bodyDiv w:val="1"/>
      <w:marLeft w:val="0"/>
      <w:marRight w:val="0"/>
      <w:marTop w:val="0"/>
      <w:marBottom w:val="0"/>
      <w:divBdr>
        <w:top w:val="none" w:sz="0" w:space="0" w:color="auto"/>
        <w:left w:val="none" w:sz="0" w:space="0" w:color="auto"/>
        <w:bottom w:val="none" w:sz="0" w:space="0" w:color="auto"/>
        <w:right w:val="none" w:sz="0" w:space="0" w:color="auto"/>
      </w:divBdr>
      <w:divsChild>
        <w:div w:id="1002002126">
          <w:marLeft w:val="0"/>
          <w:marRight w:val="0"/>
          <w:marTop w:val="0"/>
          <w:marBottom w:val="0"/>
          <w:divBdr>
            <w:top w:val="none" w:sz="0" w:space="0" w:color="auto"/>
            <w:left w:val="none" w:sz="0" w:space="0" w:color="auto"/>
            <w:bottom w:val="none" w:sz="0" w:space="0" w:color="auto"/>
            <w:right w:val="none" w:sz="0" w:space="0" w:color="auto"/>
          </w:divBdr>
          <w:divsChild>
            <w:div w:id="1066880757">
              <w:marLeft w:val="0"/>
              <w:marRight w:val="0"/>
              <w:marTop w:val="0"/>
              <w:marBottom w:val="0"/>
              <w:divBdr>
                <w:top w:val="none" w:sz="0" w:space="0" w:color="auto"/>
                <w:left w:val="none" w:sz="0" w:space="0" w:color="auto"/>
                <w:bottom w:val="none" w:sz="0" w:space="0" w:color="auto"/>
                <w:right w:val="none" w:sz="0" w:space="0" w:color="auto"/>
              </w:divBdr>
              <w:divsChild>
                <w:div w:id="1941142939">
                  <w:marLeft w:val="0"/>
                  <w:marRight w:val="0"/>
                  <w:marTop w:val="0"/>
                  <w:marBottom w:val="0"/>
                  <w:divBdr>
                    <w:top w:val="none" w:sz="0" w:space="0" w:color="auto"/>
                    <w:left w:val="none" w:sz="0" w:space="0" w:color="auto"/>
                    <w:bottom w:val="none" w:sz="0" w:space="0" w:color="auto"/>
                    <w:right w:val="none" w:sz="0" w:space="0" w:color="auto"/>
                  </w:divBdr>
                  <w:divsChild>
                    <w:div w:id="1635060586">
                      <w:marLeft w:val="0"/>
                      <w:marRight w:val="0"/>
                      <w:marTop w:val="0"/>
                      <w:marBottom w:val="0"/>
                      <w:divBdr>
                        <w:top w:val="none" w:sz="0" w:space="0" w:color="auto"/>
                        <w:left w:val="none" w:sz="0" w:space="0" w:color="auto"/>
                        <w:bottom w:val="none" w:sz="0" w:space="0" w:color="auto"/>
                        <w:right w:val="none" w:sz="0" w:space="0" w:color="auto"/>
                      </w:divBdr>
                      <w:divsChild>
                        <w:div w:id="1293829534">
                          <w:marLeft w:val="0"/>
                          <w:marRight w:val="0"/>
                          <w:marTop w:val="0"/>
                          <w:marBottom w:val="0"/>
                          <w:divBdr>
                            <w:top w:val="none" w:sz="0" w:space="0" w:color="auto"/>
                            <w:left w:val="none" w:sz="0" w:space="0" w:color="auto"/>
                            <w:bottom w:val="none" w:sz="0" w:space="0" w:color="auto"/>
                            <w:right w:val="none" w:sz="0" w:space="0" w:color="auto"/>
                          </w:divBdr>
                          <w:divsChild>
                            <w:div w:id="536242362">
                              <w:marLeft w:val="0"/>
                              <w:marRight w:val="0"/>
                              <w:marTop w:val="0"/>
                              <w:marBottom w:val="0"/>
                              <w:divBdr>
                                <w:top w:val="none" w:sz="0" w:space="0" w:color="auto"/>
                                <w:left w:val="none" w:sz="0" w:space="0" w:color="auto"/>
                                <w:bottom w:val="none" w:sz="0" w:space="0" w:color="auto"/>
                                <w:right w:val="none" w:sz="0" w:space="0" w:color="auto"/>
                              </w:divBdr>
                              <w:divsChild>
                                <w:div w:id="579679753">
                                  <w:marLeft w:val="0"/>
                                  <w:marRight w:val="0"/>
                                  <w:marTop w:val="0"/>
                                  <w:marBottom w:val="0"/>
                                  <w:divBdr>
                                    <w:top w:val="none" w:sz="0" w:space="0" w:color="auto"/>
                                    <w:left w:val="none" w:sz="0" w:space="0" w:color="auto"/>
                                    <w:bottom w:val="none" w:sz="0" w:space="0" w:color="auto"/>
                                    <w:right w:val="none" w:sz="0" w:space="0" w:color="auto"/>
                                  </w:divBdr>
                                  <w:divsChild>
                                    <w:div w:id="1807317355">
                                      <w:marLeft w:val="0"/>
                                      <w:marRight w:val="0"/>
                                      <w:marTop w:val="0"/>
                                      <w:marBottom w:val="0"/>
                                      <w:divBdr>
                                        <w:top w:val="none" w:sz="0" w:space="0" w:color="auto"/>
                                        <w:left w:val="none" w:sz="0" w:space="0" w:color="auto"/>
                                        <w:bottom w:val="none" w:sz="0" w:space="0" w:color="auto"/>
                                        <w:right w:val="none" w:sz="0" w:space="0" w:color="auto"/>
                                      </w:divBdr>
                                      <w:divsChild>
                                        <w:div w:id="199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536350">
      <w:bodyDiv w:val="1"/>
      <w:marLeft w:val="0"/>
      <w:marRight w:val="0"/>
      <w:marTop w:val="0"/>
      <w:marBottom w:val="0"/>
      <w:divBdr>
        <w:top w:val="none" w:sz="0" w:space="0" w:color="auto"/>
        <w:left w:val="none" w:sz="0" w:space="0" w:color="auto"/>
        <w:bottom w:val="none" w:sz="0" w:space="0" w:color="auto"/>
        <w:right w:val="none" w:sz="0" w:space="0" w:color="auto"/>
      </w:divBdr>
      <w:divsChild>
        <w:div w:id="761800962">
          <w:marLeft w:val="0"/>
          <w:marRight w:val="0"/>
          <w:marTop w:val="0"/>
          <w:marBottom w:val="0"/>
          <w:divBdr>
            <w:top w:val="none" w:sz="0" w:space="0" w:color="auto"/>
            <w:left w:val="none" w:sz="0" w:space="0" w:color="auto"/>
            <w:bottom w:val="none" w:sz="0" w:space="0" w:color="auto"/>
            <w:right w:val="none" w:sz="0" w:space="0" w:color="auto"/>
          </w:divBdr>
          <w:divsChild>
            <w:div w:id="632637596">
              <w:marLeft w:val="0"/>
              <w:marRight w:val="0"/>
              <w:marTop w:val="0"/>
              <w:marBottom w:val="0"/>
              <w:divBdr>
                <w:top w:val="none" w:sz="0" w:space="0" w:color="auto"/>
                <w:left w:val="none" w:sz="0" w:space="0" w:color="auto"/>
                <w:bottom w:val="none" w:sz="0" w:space="0" w:color="auto"/>
                <w:right w:val="none" w:sz="0" w:space="0" w:color="auto"/>
              </w:divBdr>
              <w:divsChild>
                <w:div w:id="2056732661">
                  <w:marLeft w:val="0"/>
                  <w:marRight w:val="0"/>
                  <w:marTop w:val="0"/>
                  <w:marBottom w:val="0"/>
                  <w:divBdr>
                    <w:top w:val="none" w:sz="0" w:space="0" w:color="auto"/>
                    <w:left w:val="none" w:sz="0" w:space="0" w:color="auto"/>
                    <w:bottom w:val="none" w:sz="0" w:space="0" w:color="auto"/>
                    <w:right w:val="none" w:sz="0" w:space="0" w:color="auto"/>
                  </w:divBdr>
                  <w:divsChild>
                    <w:div w:id="14894101">
                      <w:marLeft w:val="0"/>
                      <w:marRight w:val="0"/>
                      <w:marTop w:val="0"/>
                      <w:marBottom w:val="0"/>
                      <w:divBdr>
                        <w:top w:val="none" w:sz="0" w:space="0" w:color="auto"/>
                        <w:left w:val="none" w:sz="0" w:space="0" w:color="auto"/>
                        <w:bottom w:val="none" w:sz="0" w:space="0" w:color="auto"/>
                        <w:right w:val="none" w:sz="0" w:space="0" w:color="auto"/>
                      </w:divBdr>
                      <w:divsChild>
                        <w:div w:id="1531602240">
                          <w:marLeft w:val="0"/>
                          <w:marRight w:val="0"/>
                          <w:marTop w:val="0"/>
                          <w:marBottom w:val="0"/>
                          <w:divBdr>
                            <w:top w:val="none" w:sz="0" w:space="0" w:color="auto"/>
                            <w:left w:val="none" w:sz="0" w:space="0" w:color="auto"/>
                            <w:bottom w:val="none" w:sz="0" w:space="0" w:color="auto"/>
                            <w:right w:val="none" w:sz="0" w:space="0" w:color="auto"/>
                          </w:divBdr>
                          <w:divsChild>
                            <w:div w:id="621494329">
                              <w:marLeft w:val="0"/>
                              <w:marRight w:val="0"/>
                              <w:marTop w:val="0"/>
                              <w:marBottom w:val="0"/>
                              <w:divBdr>
                                <w:top w:val="none" w:sz="0" w:space="0" w:color="auto"/>
                                <w:left w:val="none" w:sz="0" w:space="0" w:color="auto"/>
                                <w:bottom w:val="none" w:sz="0" w:space="0" w:color="auto"/>
                                <w:right w:val="none" w:sz="0" w:space="0" w:color="auto"/>
                              </w:divBdr>
                              <w:divsChild>
                                <w:div w:id="810639998">
                                  <w:marLeft w:val="0"/>
                                  <w:marRight w:val="0"/>
                                  <w:marTop w:val="0"/>
                                  <w:marBottom w:val="0"/>
                                  <w:divBdr>
                                    <w:top w:val="none" w:sz="0" w:space="0" w:color="auto"/>
                                    <w:left w:val="none" w:sz="0" w:space="0" w:color="auto"/>
                                    <w:bottom w:val="none" w:sz="0" w:space="0" w:color="auto"/>
                                    <w:right w:val="none" w:sz="0" w:space="0" w:color="auto"/>
                                  </w:divBdr>
                                  <w:divsChild>
                                    <w:div w:id="1782989837">
                                      <w:marLeft w:val="0"/>
                                      <w:marRight w:val="0"/>
                                      <w:marTop w:val="0"/>
                                      <w:marBottom w:val="0"/>
                                      <w:divBdr>
                                        <w:top w:val="none" w:sz="0" w:space="0" w:color="auto"/>
                                        <w:left w:val="none" w:sz="0" w:space="0" w:color="auto"/>
                                        <w:bottom w:val="none" w:sz="0" w:space="0" w:color="auto"/>
                                        <w:right w:val="none" w:sz="0" w:space="0" w:color="auto"/>
                                      </w:divBdr>
                                      <w:divsChild>
                                        <w:div w:id="17354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294665">
      <w:bodyDiv w:val="1"/>
      <w:marLeft w:val="0"/>
      <w:marRight w:val="0"/>
      <w:marTop w:val="0"/>
      <w:marBottom w:val="0"/>
      <w:divBdr>
        <w:top w:val="none" w:sz="0" w:space="0" w:color="auto"/>
        <w:left w:val="none" w:sz="0" w:space="0" w:color="auto"/>
        <w:bottom w:val="none" w:sz="0" w:space="0" w:color="auto"/>
        <w:right w:val="none" w:sz="0" w:space="0" w:color="auto"/>
      </w:divBdr>
    </w:div>
    <w:div w:id="1434976721">
      <w:bodyDiv w:val="1"/>
      <w:marLeft w:val="0"/>
      <w:marRight w:val="0"/>
      <w:marTop w:val="0"/>
      <w:marBottom w:val="0"/>
      <w:divBdr>
        <w:top w:val="none" w:sz="0" w:space="0" w:color="auto"/>
        <w:left w:val="none" w:sz="0" w:space="0" w:color="auto"/>
        <w:bottom w:val="none" w:sz="0" w:space="0" w:color="auto"/>
        <w:right w:val="none" w:sz="0" w:space="0" w:color="auto"/>
      </w:divBdr>
      <w:divsChild>
        <w:div w:id="594098512">
          <w:marLeft w:val="0"/>
          <w:marRight w:val="0"/>
          <w:marTop w:val="0"/>
          <w:marBottom w:val="0"/>
          <w:divBdr>
            <w:top w:val="none" w:sz="0" w:space="0" w:color="auto"/>
            <w:left w:val="none" w:sz="0" w:space="0" w:color="auto"/>
            <w:bottom w:val="none" w:sz="0" w:space="0" w:color="auto"/>
            <w:right w:val="none" w:sz="0" w:space="0" w:color="auto"/>
          </w:divBdr>
          <w:divsChild>
            <w:div w:id="2118286986">
              <w:marLeft w:val="0"/>
              <w:marRight w:val="0"/>
              <w:marTop w:val="0"/>
              <w:marBottom w:val="0"/>
              <w:divBdr>
                <w:top w:val="none" w:sz="0" w:space="0" w:color="auto"/>
                <w:left w:val="none" w:sz="0" w:space="0" w:color="auto"/>
                <w:bottom w:val="none" w:sz="0" w:space="0" w:color="auto"/>
                <w:right w:val="none" w:sz="0" w:space="0" w:color="auto"/>
              </w:divBdr>
              <w:divsChild>
                <w:div w:id="795366756">
                  <w:marLeft w:val="0"/>
                  <w:marRight w:val="0"/>
                  <w:marTop w:val="0"/>
                  <w:marBottom w:val="0"/>
                  <w:divBdr>
                    <w:top w:val="none" w:sz="0" w:space="0" w:color="auto"/>
                    <w:left w:val="none" w:sz="0" w:space="0" w:color="auto"/>
                    <w:bottom w:val="none" w:sz="0" w:space="0" w:color="auto"/>
                    <w:right w:val="none" w:sz="0" w:space="0" w:color="auto"/>
                  </w:divBdr>
                  <w:divsChild>
                    <w:div w:id="545029807">
                      <w:marLeft w:val="0"/>
                      <w:marRight w:val="0"/>
                      <w:marTop w:val="0"/>
                      <w:marBottom w:val="0"/>
                      <w:divBdr>
                        <w:top w:val="none" w:sz="0" w:space="0" w:color="auto"/>
                        <w:left w:val="none" w:sz="0" w:space="0" w:color="auto"/>
                        <w:bottom w:val="none" w:sz="0" w:space="0" w:color="auto"/>
                        <w:right w:val="none" w:sz="0" w:space="0" w:color="auto"/>
                      </w:divBdr>
                      <w:divsChild>
                        <w:div w:id="1038774884">
                          <w:marLeft w:val="0"/>
                          <w:marRight w:val="0"/>
                          <w:marTop w:val="0"/>
                          <w:marBottom w:val="0"/>
                          <w:divBdr>
                            <w:top w:val="none" w:sz="0" w:space="0" w:color="auto"/>
                            <w:left w:val="none" w:sz="0" w:space="0" w:color="auto"/>
                            <w:bottom w:val="none" w:sz="0" w:space="0" w:color="auto"/>
                            <w:right w:val="none" w:sz="0" w:space="0" w:color="auto"/>
                          </w:divBdr>
                          <w:divsChild>
                            <w:div w:id="559051585">
                              <w:marLeft w:val="0"/>
                              <w:marRight w:val="0"/>
                              <w:marTop w:val="0"/>
                              <w:marBottom w:val="0"/>
                              <w:divBdr>
                                <w:top w:val="none" w:sz="0" w:space="0" w:color="auto"/>
                                <w:left w:val="none" w:sz="0" w:space="0" w:color="auto"/>
                                <w:bottom w:val="none" w:sz="0" w:space="0" w:color="auto"/>
                                <w:right w:val="none" w:sz="0" w:space="0" w:color="auto"/>
                              </w:divBdr>
                              <w:divsChild>
                                <w:div w:id="1160924350">
                                  <w:marLeft w:val="0"/>
                                  <w:marRight w:val="0"/>
                                  <w:marTop w:val="0"/>
                                  <w:marBottom w:val="0"/>
                                  <w:divBdr>
                                    <w:top w:val="none" w:sz="0" w:space="0" w:color="auto"/>
                                    <w:left w:val="none" w:sz="0" w:space="0" w:color="auto"/>
                                    <w:bottom w:val="none" w:sz="0" w:space="0" w:color="auto"/>
                                    <w:right w:val="none" w:sz="0" w:space="0" w:color="auto"/>
                                  </w:divBdr>
                                  <w:divsChild>
                                    <w:div w:id="263003783">
                                      <w:marLeft w:val="0"/>
                                      <w:marRight w:val="0"/>
                                      <w:marTop w:val="0"/>
                                      <w:marBottom w:val="0"/>
                                      <w:divBdr>
                                        <w:top w:val="none" w:sz="0" w:space="0" w:color="auto"/>
                                        <w:left w:val="none" w:sz="0" w:space="0" w:color="auto"/>
                                        <w:bottom w:val="none" w:sz="0" w:space="0" w:color="auto"/>
                                        <w:right w:val="none" w:sz="0" w:space="0" w:color="auto"/>
                                      </w:divBdr>
                                      <w:divsChild>
                                        <w:div w:id="1016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733300">
      <w:bodyDiv w:val="1"/>
      <w:marLeft w:val="0"/>
      <w:marRight w:val="0"/>
      <w:marTop w:val="0"/>
      <w:marBottom w:val="0"/>
      <w:divBdr>
        <w:top w:val="none" w:sz="0" w:space="0" w:color="auto"/>
        <w:left w:val="none" w:sz="0" w:space="0" w:color="auto"/>
        <w:bottom w:val="none" w:sz="0" w:space="0" w:color="auto"/>
        <w:right w:val="none" w:sz="0" w:space="0" w:color="auto"/>
      </w:divBdr>
      <w:divsChild>
        <w:div w:id="1138717649">
          <w:marLeft w:val="0"/>
          <w:marRight w:val="0"/>
          <w:marTop w:val="0"/>
          <w:marBottom w:val="0"/>
          <w:divBdr>
            <w:top w:val="none" w:sz="0" w:space="0" w:color="auto"/>
            <w:left w:val="none" w:sz="0" w:space="0" w:color="auto"/>
            <w:bottom w:val="none" w:sz="0" w:space="0" w:color="auto"/>
            <w:right w:val="none" w:sz="0" w:space="0" w:color="auto"/>
          </w:divBdr>
          <w:divsChild>
            <w:div w:id="950549078">
              <w:marLeft w:val="0"/>
              <w:marRight w:val="0"/>
              <w:marTop w:val="0"/>
              <w:marBottom w:val="0"/>
              <w:divBdr>
                <w:top w:val="none" w:sz="0" w:space="0" w:color="auto"/>
                <w:left w:val="none" w:sz="0" w:space="0" w:color="auto"/>
                <w:bottom w:val="none" w:sz="0" w:space="0" w:color="auto"/>
                <w:right w:val="none" w:sz="0" w:space="0" w:color="auto"/>
              </w:divBdr>
              <w:divsChild>
                <w:div w:id="454982025">
                  <w:marLeft w:val="0"/>
                  <w:marRight w:val="0"/>
                  <w:marTop w:val="0"/>
                  <w:marBottom w:val="0"/>
                  <w:divBdr>
                    <w:top w:val="none" w:sz="0" w:space="0" w:color="auto"/>
                    <w:left w:val="none" w:sz="0" w:space="0" w:color="auto"/>
                    <w:bottom w:val="none" w:sz="0" w:space="0" w:color="auto"/>
                    <w:right w:val="none" w:sz="0" w:space="0" w:color="auto"/>
                  </w:divBdr>
                </w:div>
              </w:divsChild>
            </w:div>
            <w:div w:id="1838185582">
              <w:marLeft w:val="0"/>
              <w:marRight w:val="0"/>
              <w:marTop w:val="0"/>
              <w:marBottom w:val="0"/>
              <w:divBdr>
                <w:top w:val="none" w:sz="0" w:space="0" w:color="auto"/>
                <w:left w:val="none" w:sz="0" w:space="0" w:color="auto"/>
                <w:bottom w:val="none" w:sz="0" w:space="0" w:color="auto"/>
                <w:right w:val="none" w:sz="0" w:space="0" w:color="auto"/>
              </w:divBdr>
              <w:divsChild>
                <w:div w:id="2510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8089">
          <w:marLeft w:val="0"/>
          <w:marRight w:val="0"/>
          <w:marTop w:val="0"/>
          <w:marBottom w:val="0"/>
          <w:divBdr>
            <w:top w:val="none" w:sz="0" w:space="0" w:color="auto"/>
            <w:left w:val="none" w:sz="0" w:space="0" w:color="auto"/>
            <w:bottom w:val="none" w:sz="0" w:space="0" w:color="auto"/>
            <w:right w:val="none" w:sz="0" w:space="0" w:color="auto"/>
          </w:divBdr>
          <w:divsChild>
            <w:div w:id="1141458431">
              <w:marLeft w:val="0"/>
              <w:marRight w:val="0"/>
              <w:marTop w:val="0"/>
              <w:marBottom w:val="0"/>
              <w:divBdr>
                <w:top w:val="none" w:sz="0" w:space="0" w:color="auto"/>
                <w:left w:val="none" w:sz="0" w:space="0" w:color="auto"/>
                <w:bottom w:val="none" w:sz="0" w:space="0" w:color="auto"/>
                <w:right w:val="none" w:sz="0" w:space="0" w:color="auto"/>
              </w:divBdr>
              <w:divsChild>
                <w:div w:id="2070492432">
                  <w:marLeft w:val="0"/>
                  <w:marRight w:val="0"/>
                  <w:marTop w:val="0"/>
                  <w:marBottom w:val="0"/>
                  <w:divBdr>
                    <w:top w:val="none" w:sz="0" w:space="0" w:color="auto"/>
                    <w:left w:val="none" w:sz="0" w:space="0" w:color="auto"/>
                    <w:bottom w:val="none" w:sz="0" w:space="0" w:color="auto"/>
                    <w:right w:val="none" w:sz="0" w:space="0" w:color="auto"/>
                  </w:divBdr>
                  <w:divsChild>
                    <w:div w:id="10436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78394">
      <w:bodyDiv w:val="1"/>
      <w:marLeft w:val="0"/>
      <w:marRight w:val="0"/>
      <w:marTop w:val="0"/>
      <w:marBottom w:val="0"/>
      <w:divBdr>
        <w:top w:val="none" w:sz="0" w:space="0" w:color="auto"/>
        <w:left w:val="none" w:sz="0" w:space="0" w:color="auto"/>
        <w:bottom w:val="none" w:sz="0" w:space="0" w:color="auto"/>
        <w:right w:val="none" w:sz="0" w:space="0" w:color="auto"/>
      </w:divBdr>
      <w:divsChild>
        <w:div w:id="1908108378">
          <w:marLeft w:val="0"/>
          <w:marRight w:val="0"/>
          <w:marTop w:val="0"/>
          <w:marBottom w:val="0"/>
          <w:divBdr>
            <w:top w:val="none" w:sz="0" w:space="0" w:color="auto"/>
            <w:left w:val="none" w:sz="0" w:space="0" w:color="auto"/>
            <w:bottom w:val="none" w:sz="0" w:space="0" w:color="auto"/>
            <w:right w:val="none" w:sz="0" w:space="0" w:color="auto"/>
          </w:divBdr>
          <w:divsChild>
            <w:div w:id="1944416844">
              <w:marLeft w:val="0"/>
              <w:marRight w:val="0"/>
              <w:marTop w:val="0"/>
              <w:marBottom w:val="0"/>
              <w:divBdr>
                <w:top w:val="none" w:sz="0" w:space="0" w:color="auto"/>
                <w:left w:val="none" w:sz="0" w:space="0" w:color="auto"/>
                <w:bottom w:val="none" w:sz="0" w:space="0" w:color="auto"/>
                <w:right w:val="none" w:sz="0" w:space="0" w:color="auto"/>
              </w:divBdr>
              <w:divsChild>
                <w:div w:id="19404414">
                  <w:marLeft w:val="0"/>
                  <w:marRight w:val="0"/>
                  <w:marTop w:val="0"/>
                  <w:marBottom w:val="0"/>
                  <w:divBdr>
                    <w:top w:val="none" w:sz="0" w:space="0" w:color="auto"/>
                    <w:left w:val="none" w:sz="0" w:space="0" w:color="auto"/>
                    <w:bottom w:val="none" w:sz="0" w:space="0" w:color="auto"/>
                    <w:right w:val="none" w:sz="0" w:space="0" w:color="auto"/>
                  </w:divBdr>
                  <w:divsChild>
                    <w:div w:id="443694421">
                      <w:marLeft w:val="0"/>
                      <w:marRight w:val="0"/>
                      <w:marTop w:val="0"/>
                      <w:marBottom w:val="0"/>
                      <w:divBdr>
                        <w:top w:val="none" w:sz="0" w:space="0" w:color="auto"/>
                        <w:left w:val="none" w:sz="0" w:space="0" w:color="auto"/>
                        <w:bottom w:val="none" w:sz="0" w:space="0" w:color="auto"/>
                        <w:right w:val="none" w:sz="0" w:space="0" w:color="auto"/>
                      </w:divBdr>
                      <w:divsChild>
                        <w:div w:id="1176844182">
                          <w:marLeft w:val="0"/>
                          <w:marRight w:val="0"/>
                          <w:marTop w:val="0"/>
                          <w:marBottom w:val="0"/>
                          <w:divBdr>
                            <w:top w:val="none" w:sz="0" w:space="0" w:color="auto"/>
                            <w:left w:val="none" w:sz="0" w:space="0" w:color="auto"/>
                            <w:bottom w:val="none" w:sz="0" w:space="0" w:color="auto"/>
                            <w:right w:val="none" w:sz="0" w:space="0" w:color="auto"/>
                          </w:divBdr>
                          <w:divsChild>
                            <w:div w:id="822700718">
                              <w:marLeft w:val="0"/>
                              <w:marRight w:val="0"/>
                              <w:marTop w:val="0"/>
                              <w:marBottom w:val="0"/>
                              <w:divBdr>
                                <w:top w:val="none" w:sz="0" w:space="0" w:color="auto"/>
                                <w:left w:val="none" w:sz="0" w:space="0" w:color="auto"/>
                                <w:bottom w:val="none" w:sz="0" w:space="0" w:color="auto"/>
                                <w:right w:val="none" w:sz="0" w:space="0" w:color="auto"/>
                              </w:divBdr>
                              <w:divsChild>
                                <w:div w:id="1918899086">
                                  <w:marLeft w:val="0"/>
                                  <w:marRight w:val="0"/>
                                  <w:marTop w:val="0"/>
                                  <w:marBottom w:val="0"/>
                                  <w:divBdr>
                                    <w:top w:val="none" w:sz="0" w:space="0" w:color="auto"/>
                                    <w:left w:val="none" w:sz="0" w:space="0" w:color="auto"/>
                                    <w:bottom w:val="none" w:sz="0" w:space="0" w:color="auto"/>
                                    <w:right w:val="none" w:sz="0" w:space="0" w:color="auto"/>
                                  </w:divBdr>
                                  <w:divsChild>
                                    <w:div w:id="480266915">
                                      <w:marLeft w:val="0"/>
                                      <w:marRight w:val="0"/>
                                      <w:marTop w:val="0"/>
                                      <w:marBottom w:val="0"/>
                                      <w:divBdr>
                                        <w:top w:val="none" w:sz="0" w:space="0" w:color="auto"/>
                                        <w:left w:val="none" w:sz="0" w:space="0" w:color="auto"/>
                                        <w:bottom w:val="none" w:sz="0" w:space="0" w:color="auto"/>
                                        <w:right w:val="none" w:sz="0" w:space="0" w:color="auto"/>
                                      </w:divBdr>
                                      <w:divsChild>
                                        <w:div w:id="8521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89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6</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122</cp:revision>
  <dcterms:created xsi:type="dcterms:W3CDTF">2026-05-18T06:52:00Z</dcterms:created>
  <dcterms:modified xsi:type="dcterms:W3CDTF">2026-05-20T09:59:00Z</dcterms:modified>
</cp:coreProperties>
</file>